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36914" w14:textId="10374BDC" w:rsidR="00EC23C1" w:rsidRPr="00EC23C1" w:rsidRDefault="00EC23C1" w:rsidP="00EF65CB">
      <w:pPr>
        <w:pStyle w:val="1"/>
        <w:adjustRightInd w:val="0"/>
        <w:snapToGrid w:val="0"/>
        <w:spacing w:line="360" w:lineRule="auto"/>
        <w:jc w:val="both"/>
        <w:outlineLvl w:val="0"/>
        <w:rPr>
          <w:rFonts w:ascii="Book Antiqua" w:hAnsi="Book Antiqua" w:cs="Times New Roman"/>
          <w:b/>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31"/>
      <w:bookmarkStart w:id="12" w:name="OLE_LINK23"/>
      <w:bookmarkStart w:id="13" w:name="OLE_LINK373"/>
      <w:r w:rsidRPr="00EC23C1">
        <w:rPr>
          <w:rFonts w:ascii="Book Antiqua" w:hAnsi="Book Antiqua" w:cs="Times New Roman"/>
          <w:b/>
          <w:sz w:val="24"/>
          <w:szCs w:val="24"/>
          <w:highlight w:val="white"/>
          <w:lang w:val="en-US" w:eastAsia="zh-CN"/>
        </w:rPr>
        <w:t xml:space="preserve">Name of </w:t>
      </w:r>
      <w:r w:rsidRPr="00EC23C1">
        <w:rPr>
          <w:rFonts w:ascii="Book Antiqua" w:hAnsi="Book Antiqua" w:cs="Times New Roman"/>
          <w:b/>
          <w:caps/>
          <w:sz w:val="24"/>
          <w:szCs w:val="24"/>
          <w:highlight w:val="white"/>
          <w:lang w:val="en-US" w:eastAsia="zh-CN"/>
        </w:rPr>
        <w:t>j</w:t>
      </w:r>
      <w:r w:rsidRPr="00EC23C1">
        <w:rPr>
          <w:rFonts w:ascii="Book Antiqua" w:hAnsi="Book Antiqua" w:cs="Times New Roman"/>
          <w:b/>
          <w:sz w:val="24"/>
          <w:szCs w:val="24"/>
          <w:highlight w:val="white"/>
          <w:lang w:val="en-US" w:eastAsia="zh-CN"/>
        </w:rPr>
        <w:t xml:space="preserve">ournal: </w:t>
      </w:r>
      <w:bookmarkStart w:id="14" w:name="OLE_LINK718"/>
      <w:bookmarkStart w:id="15" w:name="OLE_LINK719"/>
      <w:r w:rsidRPr="00EC23C1">
        <w:rPr>
          <w:rFonts w:ascii="Book Antiqua" w:hAnsi="Book Antiqua" w:cs="Times New Roman"/>
          <w:b/>
          <w:i/>
          <w:sz w:val="24"/>
          <w:szCs w:val="24"/>
          <w:highlight w:val="white"/>
          <w:lang w:val="en-US" w:eastAsia="zh-CN"/>
        </w:rPr>
        <w:t>World Journal of Gastroenterology</w:t>
      </w:r>
      <w:bookmarkEnd w:id="14"/>
      <w:bookmarkEnd w:id="15"/>
    </w:p>
    <w:p w14:paraId="1682E528" w14:textId="35EA0D18" w:rsidR="00EC23C1" w:rsidRPr="00EC23C1" w:rsidRDefault="00EC23C1" w:rsidP="00EF65CB">
      <w:pPr>
        <w:pStyle w:val="1"/>
        <w:adjustRightInd w:val="0"/>
        <w:snapToGrid w:val="0"/>
        <w:spacing w:line="360" w:lineRule="auto"/>
        <w:jc w:val="both"/>
        <w:outlineLvl w:val="0"/>
        <w:rPr>
          <w:rFonts w:ascii="Book Antiqua" w:hAnsi="Book Antiqua" w:cs="Times New Roman"/>
          <w:b/>
          <w:i/>
          <w:sz w:val="24"/>
          <w:szCs w:val="24"/>
          <w:highlight w:val="white"/>
          <w:lang w:val="en-US" w:eastAsia="zh-CN"/>
        </w:rPr>
      </w:pPr>
      <w:bookmarkStart w:id="16" w:name="OLE_LINK485"/>
      <w:bookmarkStart w:id="17" w:name="OLE_LINK486"/>
      <w:bookmarkStart w:id="18" w:name="OLE_LINK661"/>
      <w:bookmarkStart w:id="19" w:name="OLE_LINK768"/>
      <w:bookmarkStart w:id="20" w:name="OLE_LINK514"/>
      <w:bookmarkStart w:id="21" w:name="OLE_LINK515"/>
      <w:r w:rsidRPr="00EC23C1">
        <w:rPr>
          <w:rFonts w:ascii="Book Antiqua" w:hAnsi="Book Antiqua" w:cs="Times New Roman"/>
          <w:b/>
          <w:sz w:val="24"/>
          <w:szCs w:val="24"/>
          <w:highlight w:val="white"/>
          <w:lang w:val="en-US" w:eastAsia="zh-CN"/>
        </w:rPr>
        <w:t>Manuscript NO:</w:t>
      </w:r>
      <w:bookmarkEnd w:id="16"/>
      <w:bookmarkEnd w:id="17"/>
      <w:bookmarkEnd w:id="18"/>
      <w:bookmarkEnd w:id="19"/>
      <w:r w:rsidRPr="00EC23C1">
        <w:rPr>
          <w:rFonts w:ascii="Book Antiqua" w:hAnsi="Book Antiqua" w:cs="Times New Roman"/>
          <w:b/>
          <w:sz w:val="24"/>
          <w:szCs w:val="24"/>
          <w:highlight w:val="white"/>
          <w:lang w:val="en-US" w:eastAsia="zh-CN"/>
        </w:rPr>
        <w:t xml:space="preserve"> </w:t>
      </w:r>
      <w:r>
        <w:rPr>
          <w:rFonts w:ascii="Book Antiqua" w:hAnsi="Book Antiqua" w:cs="Times New Roman"/>
          <w:b/>
          <w:sz w:val="24"/>
          <w:szCs w:val="24"/>
          <w:lang w:val="en-US" w:eastAsia="zh-CN"/>
        </w:rPr>
        <w:t>43477</w:t>
      </w:r>
    </w:p>
    <w:bookmarkEnd w:id="20"/>
    <w:bookmarkEnd w:id="21"/>
    <w:p w14:paraId="369DEE8C" w14:textId="77777777" w:rsidR="00EC23C1" w:rsidRPr="00EC23C1" w:rsidRDefault="00EC23C1" w:rsidP="00EF65CB">
      <w:pPr>
        <w:wordWrap/>
        <w:adjustRightInd w:val="0"/>
        <w:snapToGrid w:val="0"/>
        <w:spacing w:line="360" w:lineRule="auto"/>
        <w:outlineLvl w:val="0"/>
        <w:rPr>
          <w:rFonts w:ascii="Book Antiqua" w:hAnsi="Book Antiqua"/>
          <w:b/>
          <w:color w:val="000000"/>
          <w:sz w:val="24"/>
          <w:szCs w:val="24"/>
        </w:rPr>
      </w:pPr>
      <w:r w:rsidRPr="00EC23C1">
        <w:rPr>
          <w:rFonts w:ascii="Book Antiqua" w:hAnsi="Book Antiqua"/>
          <w:b/>
          <w:color w:val="000000"/>
          <w:sz w:val="24"/>
          <w:szCs w:val="24"/>
          <w:highlight w:val="white"/>
        </w:rPr>
        <w:t xml:space="preserve">Manuscript </w:t>
      </w:r>
      <w:r w:rsidRPr="00EC23C1">
        <w:rPr>
          <w:rFonts w:ascii="Book Antiqua" w:hAnsi="Book Antiqua"/>
          <w:b/>
          <w:caps/>
          <w:color w:val="000000"/>
          <w:sz w:val="24"/>
          <w:szCs w:val="24"/>
          <w:highlight w:val="white"/>
        </w:rPr>
        <w:t>t</w:t>
      </w:r>
      <w:r w:rsidRPr="00EC23C1">
        <w:rPr>
          <w:rFonts w:ascii="Book Antiqua" w:hAnsi="Book Antiqua"/>
          <w:b/>
          <w:color w:val="000000"/>
          <w:sz w:val="24"/>
          <w:szCs w:val="24"/>
          <w:highlight w:val="white"/>
        </w:rPr>
        <w:t>ype</w:t>
      </w:r>
      <w:r w:rsidRPr="00EC23C1">
        <w:rPr>
          <w:rFonts w:ascii="Book Antiqua" w:hAnsi="Book Antiqua"/>
          <w:b/>
          <w:color w:val="000000"/>
          <w:sz w:val="24"/>
          <w:szCs w:val="24"/>
        </w:rPr>
        <w:t>:</w:t>
      </w:r>
      <w:bookmarkEnd w:id="0"/>
      <w:bookmarkEnd w:id="1"/>
      <w:bookmarkEnd w:id="2"/>
      <w:bookmarkEnd w:id="3"/>
      <w:bookmarkEnd w:id="4"/>
      <w:bookmarkEnd w:id="5"/>
      <w:bookmarkEnd w:id="6"/>
      <w:bookmarkEnd w:id="7"/>
      <w:bookmarkEnd w:id="8"/>
      <w:bookmarkEnd w:id="9"/>
      <w:bookmarkEnd w:id="10"/>
      <w:r w:rsidRPr="00EC23C1">
        <w:rPr>
          <w:rFonts w:ascii="Book Antiqua" w:hAnsi="Book Antiqua"/>
          <w:b/>
          <w:color w:val="000000"/>
          <w:sz w:val="24"/>
          <w:szCs w:val="24"/>
        </w:rPr>
        <w:t xml:space="preserve"> </w:t>
      </w:r>
      <w:bookmarkStart w:id="22" w:name="OLE_LINK12"/>
      <w:bookmarkStart w:id="23" w:name="OLE_LINK13"/>
      <w:r w:rsidRPr="00EC23C1">
        <w:rPr>
          <w:rFonts w:ascii="Book Antiqua" w:hAnsi="Book Antiqua"/>
          <w:b/>
          <w:color w:val="000000"/>
          <w:sz w:val="24"/>
          <w:szCs w:val="24"/>
        </w:rPr>
        <w:t>ORIGINAL ARTICLE</w:t>
      </w:r>
      <w:bookmarkEnd w:id="11"/>
      <w:bookmarkEnd w:id="22"/>
      <w:bookmarkEnd w:id="23"/>
    </w:p>
    <w:p w14:paraId="63D5417B" w14:textId="77777777" w:rsidR="00EC23C1" w:rsidRPr="00EC23C1" w:rsidRDefault="00EC23C1" w:rsidP="00EC23C1">
      <w:pPr>
        <w:wordWrap/>
        <w:adjustRightInd w:val="0"/>
        <w:snapToGrid w:val="0"/>
        <w:spacing w:line="360" w:lineRule="auto"/>
        <w:rPr>
          <w:rFonts w:ascii="Book Antiqua" w:hAnsi="Book Antiqua"/>
          <w:b/>
          <w:color w:val="000000"/>
          <w:sz w:val="24"/>
          <w:szCs w:val="24"/>
        </w:rPr>
      </w:pPr>
      <w:bookmarkStart w:id="24" w:name="OLE_LINK45"/>
    </w:p>
    <w:bookmarkEnd w:id="24"/>
    <w:p w14:paraId="3B1CD586" w14:textId="3184FFBB" w:rsidR="00EC23C1" w:rsidRPr="00EC23C1" w:rsidRDefault="00EC23C1" w:rsidP="00EF65CB">
      <w:pPr>
        <w:wordWrap/>
        <w:adjustRightInd w:val="0"/>
        <w:snapToGrid w:val="0"/>
        <w:spacing w:line="360" w:lineRule="auto"/>
        <w:outlineLvl w:val="0"/>
        <w:rPr>
          <w:rFonts w:ascii="Book Antiqua" w:hAnsi="Book Antiqua"/>
          <w:b/>
          <w:color w:val="000000" w:themeColor="text1"/>
          <w:sz w:val="24"/>
          <w:szCs w:val="24"/>
        </w:rPr>
      </w:pPr>
      <w:r>
        <w:rPr>
          <w:rFonts w:ascii="Book Antiqua" w:eastAsia="YouYuan" w:hAnsi="Book Antiqua"/>
          <w:b/>
          <w:i/>
          <w:sz w:val="24"/>
          <w:szCs w:val="24"/>
        </w:rPr>
        <w:t>Basic</w:t>
      </w:r>
      <w:r w:rsidRPr="00EC23C1">
        <w:rPr>
          <w:rFonts w:ascii="Book Antiqua" w:eastAsia="YouYuan" w:hAnsi="Book Antiqua"/>
          <w:b/>
          <w:i/>
          <w:sz w:val="24"/>
          <w:szCs w:val="24"/>
        </w:rPr>
        <w:t xml:space="preserve"> Study</w:t>
      </w:r>
      <w:bookmarkEnd w:id="12"/>
      <w:bookmarkEnd w:id="13"/>
    </w:p>
    <w:p w14:paraId="28F577CD" w14:textId="4149C6C5" w:rsidR="00DB03D6" w:rsidRPr="00B43A8C" w:rsidRDefault="007B2358" w:rsidP="00EC23C1">
      <w:pPr>
        <w:wordWrap/>
        <w:adjustRightInd w:val="0"/>
        <w:snapToGrid w:val="0"/>
        <w:spacing w:line="360" w:lineRule="auto"/>
        <w:rPr>
          <w:rFonts w:ascii="Book Antiqua" w:hAnsi="Book Antiqua"/>
          <w:b/>
          <w:color w:val="000000" w:themeColor="text1"/>
          <w:sz w:val="24"/>
          <w:szCs w:val="24"/>
        </w:rPr>
      </w:pPr>
      <w:r w:rsidRPr="00B43A8C">
        <w:rPr>
          <w:rFonts w:ascii="Book Antiqua" w:hAnsi="Book Antiqua"/>
          <w:b/>
          <w:color w:val="000000" w:themeColor="text1"/>
          <w:sz w:val="24"/>
          <w:szCs w:val="24"/>
        </w:rPr>
        <w:t>Clinical assessment</w:t>
      </w:r>
      <w:r w:rsidR="00DB03D6" w:rsidRPr="00B43A8C">
        <w:rPr>
          <w:rFonts w:ascii="Book Antiqua" w:hAnsi="Book Antiqua"/>
          <w:b/>
          <w:color w:val="000000" w:themeColor="text1"/>
          <w:sz w:val="24"/>
          <w:szCs w:val="24"/>
        </w:rPr>
        <w:t xml:space="preserve"> and identification of immuno-oncology markers concerning the 19-gene based risk classifier in stage IV colorectal ca</w:t>
      </w:r>
      <w:r w:rsidR="00EF65CB">
        <w:rPr>
          <w:rFonts w:ascii="Book Antiqua" w:hAnsi="Book Antiqua"/>
          <w:b/>
          <w:color w:val="000000" w:themeColor="text1"/>
          <w:sz w:val="24"/>
          <w:szCs w:val="24"/>
        </w:rPr>
        <w:t>ncer</w:t>
      </w:r>
    </w:p>
    <w:p w14:paraId="6C01C957" w14:textId="1BB94713" w:rsidR="00DB03D6" w:rsidRPr="00B43A8C" w:rsidRDefault="00DB03D6" w:rsidP="00B43A8C">
      <w:pPr>
        <w:wordWrap/>
        <w:adjustRightInd w:val="0"/>
        <w:snapToGrid w:val="0"/>
        <w:spacing w:line="360" w:lineRule="auto"/>
        <w:rPr>
          <w:rFonts w:ascii="Book Antiqua" w:hAnsi="Book Antiqua"/>
          <w:b/>
          <w:color w:val="000000" w:themeColor="text1"/>
          <w:sz w:val="24"/>
          <w:szCs w:val="24"/>
        </w:rPr>
      </w:pPr>
    </w:p>
    <w:p w14:paraId="2DE85548" w14:textId="31D5BD5C" w:rsidR="00CE6CA9" w:rsidRPr="00B43A8C" w:rsidRDefault="00EC23C1" w:rsidP="00EF65CB">
      <w:pPr>
        <w:wordWrap/>
        <w:adjustRightInd w:val="0"/>
        <w:snapToGrid w:val="0"/>
        <w:spacing w:line="360" w:lineRule="auto"/>
        <w:outlineLvl w:val="0"/>
        <w:rPr>
          <w:rFonts w:ascii="Book Antiqua" w:hAnsi="Book Antiqua"/>
          <w:color w:val="000000" w:themeColor="text1"/>
          <w:sz w:val="24"/>
          <w:szCs w:val="24"/>
        </w:rPr>
      </w:pPr>
      <w:r w:rsidRPr="00B43A8C">
        <w:rPr>
          <w:rFonts w:ascii="Book Antiqua" w:hAnsi="Book Antiqua"/>
          <w:color w:val="000000" w:themeColor="text1"/>
          <w:sz w:val="24"/>
          <w:szCs w:val="24"/>
        </w:rPr>
        <w:t>Lee</w:t>
      </w:r>
      <w:r>
        <w:rPr>
          <w:rFonts w:ascii="Book Antiqua" w:hAnsi="Book Antiqua"/>
          <w:color w:val="000000" w:themeColor="text1"/>
          <w:sz w:val="24"/>
          <w:szCs w:val="24"/>
        </w:rPr>
        <w:t xml:space="preserve"> JL </w:t>
      </w:r>
      <w:r w:rsidRPr="00EC23C1">
        <w:rPr>
          <w:rFonts w:ascii="Book Antiqua" w:hAnsi="Book Antiqua"/>
          <w:i/>
          <w:color w:val="000000" w:themeColor="text1"/>
          <w:sz w:val="24"/>
          <w:szCs w:val="24"/>
        </w:rPr>
        <w:t>et al</w:t>
      </w:r>
      <w:r>
        <w:rPr>
          <w:rFonts w:ascii="Book Antiqua" w:hAnsi="Book Antiqua"/>
          <w:color w:val="000000" w:themeColor="text1"/>
          <w:sz w:val="24"/>
          <w:szCs w:val="24"/>
        </w:rPr>
        <w:t>.</w:t>
      </w:r>
      <w:r w:rsidR="00CE6CA9" w:rsidRPr="00B43A8C">
        <w:rPr>
          <w:rFonts w:ascii="Book Antiqua" w:hAnsi="Book Antiqua"/>
          <w:color w:val="000000" w:themeColor="text1"/>
          <w:sz w:val="24"/>
          <w:szCs w:val="24"/>
        </w:rPr>
        <w:t xml:space="preserve"> </w:t>
      </w:r>
      <w:r w:rsidRPr="00B43A8C">
        <w:rPr>
          <w:rFonts w:ascii="Book Antiqua" w:eastAsiaTheme="minorEastAsia" w:hAnsi="Book Antiqua"/>
          <w:color w:val="000000" w:themeColor="text1"/>
          <w:sz w:val="24"/>
          <w:szCs w:val="24"/>
        </w:rPr>
        <w:t>TCA19</w:t>
      </w:r>
      <w:r w:rsidR="00CE6CA9" w:rsidRPr="00B43A8C">
        <w:rPr>
          <w:rFonts w:ascii="Book Antiqua" w:hAnsi="Book Antiqua"/>
          <w:color w:val="000000" w:themeColor="text1"/>
          <w:sz w:val="24"/>
          <w:szCs w:val="24"/>
        </w:rPr>
        <w:t xml:space="preserve"> as markers</w:t>
      </w:r>
    </w:p>
    <w:p w14:paraId="7E33E15E" w14:textId="77777777" w:rsidR="00CE6CA9" w:rsidRPr="00B43A8C" w:rsidRDefault="00CE6CA9" w:rsidP="00B43A8C">
      <w:pPr>
        <w:wordWrap/>
        <w:adjustRightInd w:val="0"/>
        <w:snapToGrid w:val="0"/>
        <w:spacing w:line="360" w:lineRule="auto"/>
        <w:rPr>
          <w:rFonts w:ascii="Book Antiqua" w:hAnsi="Book Antiqua"/>
          <w:color w:val="000000" w:themeColor="text1"/>
          <w:sz w:val="24"/>
          <w:szCs w:val="24"/>
        </w:rPr>
      </w:pPr>
    </w:p>
    <w:p w14:paraId="1B95EE97" w14:textId="5FF2B2CE" w:rsidR="00DB03D6" w:rsidRPr="00B43A8C" w:rsidRDefault="00DB03D6" w:rsidP="00B43A8C">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color w:val="000000" w:themeColor="text1"/>
          <w:sz w:val="24"/>
          <w:szCs w:val="24"/>
        </w:rPr>
        <w:t xml:space="preserve">Jong </w:t>
      </w:r>
      <w:proofErr w:type="spellStart"/>
      <w:r w:rsidRPr="00B43A8C">
        <w:rPr>
          <w:rFonts w:ascii="Book Antiqua" w:hAnsi="Book Antiqua"/>
          <w:color w:val="000000" w:themeColor="text1"/>
          <w:sz w:val="24"/>
          <w:szCs w:val="24"/>
        </w:rPr>
        <w:t>Lyul</w:t>
      </w:r>
      <w:proofErr w:type="spellEnd"/>
      <w:r w:rsidRPr="00B43A8C">
        <w:rPr>
          <w:rFonts w:ascii="Book Antiqua" w:hAnsi="Book Antiqua"/>
          <w:color w:val="000000" w:themeColor="text1"/>
          <w:sz w:val="24"/>
          <w:szCs w:val="24"/>
        </w:rPr>
        <w:t xml:space="preserve"> Lee, </w:t>
      </w:r>
      <w:proofErr w:type="spellStart"/>
      <w:r w:rsidRPr="00B43A8C">
        <w:rPr>
          <w:rFonts w:ascii="Book Antiqua" w:hAnsi="Book Antiqua"/>
          <w:color w:val="000000" w:themeColor="text1"/>
          <w:sz w:val="24"/>
          <w:szCs w:val="24"/>
        </w:rPr>
        <w:t>Seon</w:t>
      </w:r>
      <w:proofErr w:type="spellEnd"/>
      <w:r w:rsidRPr="00B43A8C">
        <w:rPr>
          <w:rFonts w:ascii="Book Antiqua" w:hAnsi="Book Antiqua"/>
          <w:color w:val="000000" w:themeColor="text1"/>
          <w:sz w:val="24"/>
          <w:szCs w:val="24"/>
        </w:rPr>
        <w:t xml:space="preserve"> Ae </w:t>
      </w:r>
      <w:proofErr w:type="spellStart"/>
      <w:r w:rsidRPr="00B43A8C">
        <w:rPr>
          <w:rFonts w:ascii="Book Antiqua" w:hAnsi="Book Antiqua"/>
          <w:color w:val="000000" w:themeColor="text1"/>
          <w:sz w:val="24"/>
          <w:szCs w:val="24"/>
        </w:rPr>
        <w:t>Roh</w:t>
      </w:r>
      <w:proofErr w:type="spellEnd"/>
      <w:r w:rsidRPr="00B43A8C">
        <w:rPr>
          <w:rFonts w:ascii="Book Antiqua" w:hAnsi="Book Antiqua"/>
          <w:color w:val="000000" w:themeColor="text1"/>
          <w:sz w:val="24"/>
          <w:szCs w:val="24"/>
        </w:rPr>
        <w:t xml:space="preserve">, Chan </w:t>
      </w:r>
      <w:proofErr w:type="spellStart"/>
      <w:r w:rsidRPr="00B43A8C">
        <w:rPr>
          <w:rFonts w:ascii="Book Antiqua" w:hAnsi="Book Antiqua"/>
          <w:color w:val="000000" w:themeColor="text1"/>
          <w:sz w:val="24"/>
          <w:szCs w:val="24"/>
        </w:rPr>
        <w:t>Wook</w:t>
      </w:r>
      <w:proofErr w:type="spellEnd"/>
      <w:r w:rsidRPr="00B43A8C">
        <w:rPr>
          <w:rFonts w:ascii="Book Antiqua" w:hAnsi="Book Antiqua"/>
          <w:color w:val="000000" w:themeColor="text1"/>
          <w:sz w:val="24"/>
          <w:szCs w:val="24"/>
        </w:rPr>
        <w:t xml:space="preserve"> Kim, Yi Hong Kwon, Ye </w:t>
      </w:r>
      <w:proofErr w:type="spellStart"/>
      <w:r w:rsidRPr="00B43A8C">
        <w:rPr>
          <w:rFonts w:ascii="Book Antiqua" w:hAnsi="Book Antiqua"/>
          <w:color w:val="000000" w:themeColor="text1"/>
          <w:sz w:val="24"/>
          <w:szCs w:val="24"/>
        </w:rPr>
        <w:t>Jin</w:t>
      </w:r>
      <w:proofErr w:type="spellEnd"/>
      <w:r w:rsidRPr="00B43A8C">
        <w:rPr>
          <w:rFonts w:ascii="Book Antiqua" w:hAnsi="Book Antiqua"/>
          <w:color w:val="000000" w:themeColor="text1"/>
          <w:sz w:val="24"/>
          <w:szCs w:val="24"/>
        </w:rPr>
        <w:t xml:space="preserve"> Ha, </w:t>
      </w:r>
      <w:proofErr w:type="spellStart"/>
      <w:r w:rsidRPr="00B43A8C">
        <w:rPr>
          <w:rFonts w:ascii="Book Antiqua" w:hAnsi="Book Antiqua"/>
          <w:color w:val="000000" w:themeColor="text1"/>
          <w:sz w:val="24"/>
          <w:szCs w:val="24"/>
        </w:rPr>
        <w:t>Seon-Kyu</w:t>
      </w:r>
      <w:proofErr w:type="spellEnd"/>
      <w:r w:rsidRPr="00B43A8C">
        <w:rPr>
          <w:rFonts w:ascii="Book Antiqua" w:hAnsi="Book Antiqua"/>
          <w:color w:val="000000" w:themeColor="text1"/>
          <w:sz w:val="24"/>
          <w:szCs w:val="24"/>
        </w:rPr>
        <w:t xml:space="preserve"> Kim, </w:t>
      </w:r>
      <w:proofErr w:type="spellStart"/>
      <w:r w:rsidRPr="00B43A8C">
        <w:rPr>
          <w:rFonts w:ascii="Book Antiqua" w:hAnsi="Book Antiqua"/>
          <w:color w:val="000000" w:themeColor="text1"/>
          <w:sz w:val="24"/>
          <w:szCs w:val="24"/>
        </w:rPr>
        <w:t>Seon</w:t>
      </w:r>
      <w:proofErr w:type="spellEnd"/>
      <w:r w:rsidRPr="00B43A8C">
        <w:rPr>
          <w:rFonts w:ascii="Book Antiqua" w:hAnsi="Book Antiqua"/>
          <w:color w:val="000000" w:themeColor="text1"/>
          <w:sz w:val="24"/>
          <w:szCs w:val="24"/>
        </w:rPr>
        <w:t>-Young Kim,</w:t>
      </w:r>
      <w:r w:rsidRPr="00B43A8C">
        <w:rPr>
          <w:rFonts w:ascii="Book Antiqua" w:hAnsi="Book Antiqua"/>
          <w:color w:val="000000" w:themeColor="text1"/>
          <w:sz w:val="24"/>
          <w:szCs w:val="24"/>
          <w:vertAlign w:val="superscript"/>
        </w:rPr>
        <w:t xml:space="preserve"> </w:t>
      </w:r>
      <w:r w:rsidRPr="00B43A8C">
        <w:rPr>
          <w:rFonts w:ascii="Book Antiqua" w:hAnsi="Book Antiqua"/>
          <w:color w:val="000000" w:themeColor="text1"/>
          <w:sz w:val="24"/>
          <w:szCs w:val="24"/>
        </w:rPr>
        <w:t xml:space="preserve">Dong-Hyung Cho, Yong Sung Kim, </w:t>
      </w:r>
      <w:proofErr w:type="spellStart"/>
      <w:r w:rsidRPr="00B43A8C">
        <w:rPr>
          <w:rFonts w:ascii="Book Antiqua" w:hAnsi="Book Antiqua"/>
          <w:color w:val="000000" w:themeColor="text1"/>
          <w:sz w:val="24"/>
          <w:szCs w:val="24"/>
        </w:rPr>
        <w:t>Jin</w:t>
      </w:r>
      <w:proofErr w:type="spellEnd"/>
      <w:r w:rsidRPr="00B43A8C">
        <w:rPr>
          <w:rFonts w:ascii="Book Antiqua" w:hAnsi="Book Antiqua"/>
          <w:color w:val="000000" w:themeColor="text1"/>
          <w:sz w:val="24"/>
          <w:szCs w:val="24"/>
        </w:rPr>
        <w:t xml:space="preserve"> </w:t>
      </w:r>
      <w:proofErr w:type="spellStart"/>
      <w:r w:rsidRPr="00B43A8C">
        <w:rPr>
          <w:rFonts w:ascii="Book Antiqua" w:hAnsi="Book Antiqua"/>
          <w:color w:val="000000" w:themeColor="text1"/>
          <w:sz w:val="24"/>
          <w:szCs w:val="24"/>
        </w:rPr>
        <w:t>Cheon</w:t>
      </w:r>
      <w:proofErr w:type="spellEnd"/>
      <w:r w:rsidRPr="00B43A8C">
        <w:rPr>
          <w:rFonts w:ascii="Book Antiqua" w:hAnsi="Book Antiqua"/>
          <w:color w:val="000000" w:themeColor="text1"/>
          <w:sz w:val="24"/>
          <w:szCs w:val="24"/>
        </w:rPr>
        <w:t xml:space="preserve"> Kim</w:t>
      </w:r>
    </w:p>
    <w:p w14:paraId="61EEE48E" w14:textId="77777777" w:rsidR="00DB03D6" w:rsidRPr="00B43A8C" w:rsidRDefault="00DB03D6" w:rsidP="00B43A8C">
      <w:pPr>
        <w:wordWrap/>
        <w:adjustRightInd w:val="0"/>
        <w:snapToGrid w:val="0"/>
        <w:spacing w:line="360" w:lineRule="auto"/>
        <w:rPr>
          <w:rFonts w:ascii="Book Antiqua" w:hAnsi="Book Antiqua"/>
          <w:color w:val="000000" w:themeColor="text1"/>
          <w:sz w:val="24"/>
          <w:szCs w:val="24"/>
        </w:rPr>
      </w:pPr>
    </w:p>
    <w:p w14:paraId="24C3034A" w14:textId="14F36380" w:rsidR="00DB03D6" w:rsidRDefault="00EC23C1" w:rsidP="00B43A8C">
      <w:pPr>
        <w:wordWrap/>
        <w:adjustRightInd w:val="0"/>
        <w:snapToGrid w:val="0"/>
        <w:spacing w:line="360" w:lineRule="auto"/>
        <w:rPr>
          <w:rFonts w:ascii="Book Antiqua" w:hAnsi="Book Antiqua"/>
          <w:color w:val="000000" w:themeColor="text1"/>
          <w:sz w:val="24"/>
          <w:szCs w:val="24"/>
        </w:rPr>
      </w:pPr>
      <w:r w:rsidRPr="00EC23C1">
        <w:rPr>
          <w:rFonts w:ascii="Book Antiqua" w:hAnsi="Book Antiqua"/>
          <w:b/>
          <w:color w:val="000000" w:themeColor="text1"/>
          <w:sz w:val="24"/>
          <w:szCs w:val="24"/>
        </w:rPr>
        <w:t xml:space="preserve">Jong </w:t>
      </w:r>
      <w:proofErr w:type="spellStart"/>
      <w:r w:rsidRPr="00EC23C1">
        <w:rPr>
          <w:rFonts w:ascii="Book Antiqua" w:hAnsi="Book Antiqua"/>
          <w:b/>
          <w:color w:val="000000" w:themeColor="text1"/>
          <w:sz w:val="24"/>
          <w:szCs w:val="24"/>
        </w:rPr>
        <w:t>Lyul</w:t>
      </w:r>
      <w:proofErr w:type="spellEnd"/>
      <w:r w:rsidRPr="00EC23C1">
        <w:rPr>
          <w:rFonts w:ascii="Book Antiqua" w:hAnsi="Book Antiqua"/>
          <w:b/>
          <w:color w:val="000000" w:themeColor="text1"/>
          <w:sz w:val="24"/>
          <w:szCs w:val="24"/>
        </w:rPr>
        <w:t xml:space="preserve"> Lee, Chan </w:t>
      </w:r>
      <w:proofErr w:type="spellStart"/>
      <w:r w:rsidRPr="00EC23C1">
        <w:rPr>
          <w:rFonts w:ascii="Book Antiqua" w:hAnsi="Book Antiqua"/>
          <w:b/>
          <w:color w:val="000000" w:themeColor="text1"/>
          <w:sz w:val="24"/>
          <w:szCs w:val="24"/>
        </w:rPr>
        <w:t>Wook</w:t>
      </w:r>
      <w:proofErr w:type="spellEnd"/>
      <w:r w:rsidRPr="00EC23C1">
        <w:rPr>
          <w:rFonts w:ascii="Book Antiqua" w:hAnsi="Book Antiqua"/>
          <w:b/>
          <w:color w:val="000000" w:themeColor="text1"/>
          <w:sz w:val="24"/>
          <w:szCs w:val="24"/>
        </w:rPr>
        <w:t xml:space="preserve"> Kim, </w:t>
      </w:r>
      <w:proofErr w:type="spellStart"/>
      <w:r w:rsidRPr="00EC23C1">
        <w:rPr>
          <w:rFonts w:ascii="Book Antiqua" w:hAnsi="Book Antiqua"/>
          <w:b/>
          <w:color w:val="000000" w:themeColor="text1"/>
          <w:sz w:val="24"/>
          <w:szCs w:val="24"/>
        </w:rPr>
        <w:t>Jin</w:t>
      </w:r>
      <w:proofErr w:type="spellEnd"/>
      <w:r w:rsidRPr="00EC23C1">
        <w:rPr>
          <w:rFonts w:ascii="Book Antiqua" w:hAnsi="Book Antiqua"/>
          <w:b/>
          <w:color w:val="000000" w:themeColor="text1"/>
          <w:sz w:val="24"/>
          <w:szCs w:val="24"/>
        </w:rPr>
        <w:t xml:space="preserve"> </w:t>
      </w:r>
      <w:proofErr w:type="spellStart"/>
      <w:r w:rsidRPr="00EC23C1">
        <w:rPr>
          <w:rFonts w:ascii="Book Antiqua" w:hAnsi="Book Antiqua"/>
          <w:b/>
          <w:color w:val="000000" w:themeColor="text1"/>
          <w:sz w:val="24"/>
          <w:szCs w:val="24"/>
        </w:rPr>
        <w:t>Cheon</w:t>
      </w:r>
      <w:proofErr w:type="spellEnd"/>
      <w:r w:rsidRPr="00EC23C1">
        <w:rPr>
          <w:rFonts w:ascii="Book Antiqua" w:hAnsi="Book Antiqua"/>
          <w:b/>
          <w:color w:val="000000" w:themeColor="text1"/>
          <w:sz w:val="24"/>
          <w:szCs w:val="24"/>
        </w:rPr>
        <w:t xml:space="preserve"> Kim, </w:t>
      </w:r>
      <w:r w:rsidR="00DB03D6" w:rsidRPr="00B43A8C">
        <w:rPr>
          <w:rFonts w:ascii="Book Antiqua" w:hAnsi="Book Antiqua"/>
          <w:color w:val="000000" w:themeColor="text1"/>
          <w:sz w:val="24"/>
          <w:szCs w:val="24"/>
        </w:rPr>
        <w:t xml:space="preserve">Department of Surgery, University of Ulsan College of Medicine, Seoul 05505, </w:t>
      </w:r>
      <w:r w:rsidR="00BA6B22" w:rsidRPr="00B43A8C">
        <w:rPr>
          <w:rFonts w:ascii="Book Antiqua" w:hAnsi="Book Antiqua"/>
          <w:color w:val="000000" w:themeColor="text1"/>
          <w:sz w:val="24"/>
          <w:szCs w:val="24"/>
        </w:rPr>
        <w:t xml:space="preserve">South </w:t>
      </w:r>
      <w:r w:rsidR="00DB03D6" w:rsidRPr="00B43A8C">
        <w:rPr>
          <w:rFonts w:ascii="Book Antiqua" w:hAnsi="Book Antiqua"/>
          <w:color w:val="000000" w:themeColor="text1"/>
          <w:sz w:val="24"/>
          <w:szCs w:val="24"/>
        </w:rPr>
        <w:t>Korea</w:t>
      </w:r>
    </w:p>
    <w:p w14:paraId="583CEA6F" w14:textId="77777777" w:rsidR="00EC23C1" w:rsidRPr="00B43A8C" w:rsidRDefault="00EC23C1" w:rsidP="00B43A8C">
      <w:pPr>
        <w:wordWrap/>
        <w:adjustRightInd w:val="0"/>
        <w:snapToGrid w:val="0"/>
        <w:spacing w:line="360" w:lineRule="auto"/>
        <w:rPr>
          <w:rFonts w:ascii="Book Antiqua" w:hAnsi="Book Antiqua"/>
          <w:color w:val="000000" w:themeColor="text1"/>
          <w:sz w:val="24"/>
          <w:szCs w:val="24"/>
        </w:rPr>
      </w:pPr>
    </w:p>
    <w:p w14:paraId="6861F058" w14:textId="24CCA596" w:rsidR="00DB03D6" w:rsidRDefault="00EC23C1" w:rsidP="00B43A8C">
      <w:pPr>
        <w:wordWrap/>
        <w:adjustRightInd w:val="0"/>
        <w:snapToGrid w:val="0"/>
        <w:spacing w:line="360" w:lineRule="auto"/>
        <w:rPr>
          <w:rFonts w:ascii="Book Antiqua" w:hAnsi="Book Antiqua"/>
          <w:color w:val="000000" w:themeColor="text1"/>
          <w:sz w:val="24"/>
          <w:szCs w:val="24"/>
        </w:rPr>
      </w:pPr>
      <w:r w:rsidRPr="00EC23C1">
        <w:rPr>
          <w:rFonts w:ascii="Book Antiqua" w:hAnsi="Book Antiqua"/>
          <w:b/>
          <w:color w:val="000000" w:themeColor="text1"/>
          <w:sz w:val="24"/>
          <w:szCs w:val="24"/>
        </w:rPr>
        <w:t xml:space="preserve">Jong </w:t>
      </w:r>
      <w:proofErr w:type="spellStart"/>
      <w:r w:rsidRPr="00EC23C1">
        <w:rPr>
          <w:rFonts w:ascii="Book Antiqua" w:hAnsi="Book Antiqua"/>
          <w:b/>
          <w:color w:val="000000" w:themeColor="text1"/>
          <w:sz w:val="24"/>
          <w:szCs w:val="24"/>
        </w:rPr>
        <w:t>Lyul</w:t>
      </w:r>
      <w:proofErr w:type="spellEnd"/>
      <w:r w:rsidRPr="00EC23C1">
        <w:rPr>
          <w:rFonts w:ascii="Book Antiqua" w:hAnsi="Book Antiqua"/>
          <w:b/>
          <w:color w:val="000000" w:themeColor="text1"/>
          <w:sz w:val="24"/>
          <w:szCs w:val="24"/>
        </w:rPr>
        <w:t xml:space="preserve"> Lee, </w:t>
      </w:r>
      <w:proofErr w:type="spellStart"/>
      <w:r w:rsidRPr="00EC23C1">
        <w:rPr>
          <w:rFonts w:ascii="Book Antiqua" w:hAnsi="Book Antiqua"/>
          <w:b/>
          <w:color w:val="000000" w:themeColor="text1"/>
          <w:sz w:val="24"/>
          <w:szCs w:val="24"/>
        </w:rPr>
        <w:t>Seon</w:t>
      </w:r>
      <w:proofErr w:type="spellEnd"/>
      <w:r w:rsidRPr="00EC23C1">
        <w:rPr>
          <w:rFonts w:ascii="Book Antiqua" w:hAnsi="Book Antiqua"/>
          <w:b/>
          <w:color w:val="000000" w:themeColor="text1"/>
          <w:sz w:val="24"/>
          <w:szCs w:val="24"/>
        </w:rPr>
        <w:t xml:space="preserve"> Ae </w:t>
      </w:r>
      <w:proofErr w:type="spellStart"/>
      <w:r w:rsidRPr="00EC23C1">
        <w:rPr>
          <w:rFonts w:ascii="Book Antiqua" w:hAnsi="Book Antiqua"/>
          <w:b/>
          <w:color w:val="000000" w:themeColor="text1"/>
          <w:sz w:val="24"/>
          <w:szCs w:val="24"/>
        </w:rPr>
        <w:t>Roh</w:t>
      </w:r>
      <w:proofErr w:type="spellEnd"/>
      <w:r w:rsidRPr="00EC23C1">
        <w:rPr>
          <w:rFonts w:ascii="Book Antiqua" w:hAnsi="Book Antiqua"/>
          <w:b/>
          <w:color w:val="000000" w:themeColor="text1"/>
          <w:sz w:val="24"/>
          <w:szCs w:val="24"/>
        </w:rPr>
        <w:t xml:space="preserve">, Chan </w:t>
      </w:r>
      <w:proofErr w:type="spellStart"/>
      <w:r w:rsidRPr="00EC23C1">
        <w:rPr>
          <w:rFonts w:ascii="Book Antiqua" w:hAnsi="Book Antiqua"/>
          <w:b/>
          <w:color w:val="000000" w:themeColor="text1"/>
          <w:sz w:val="24"/>
          <w:szCs w:val="24"/>
        </w:rPr>
        <w:t>Wook</w:t>
      </w:r>
      <w:proofErr w:type="spellEnd"/>
      <w:r w:rsidRPr="00EC23C1">
        <w:rPr>
          <w:rFonts w:ascii="Book Antiqua" w:hAnsi="Book Antiqua"/>
          <w:b/>
          <w:color w:val="000000" w:themeColor="text1"/>
          <w:sz w:val="24"/>
          <w:szCs w:val="24"/>
        </w:rPr>
        <w:t xml:space="preserve"> Kim, Yi Hong Kwon, Ye </w:t>
      </w:r>
      <w:proofErr w:type="spellStart"/>
      <w:r w:rsidRPr="00EC23C1">
        <w:rPr>
          <w:rFonts w:ascii="Book Antiqua" w:hAnsi="Book Antiqua"/>
          <w:b/>
          <w:color w:val="000000" w:themeColor="text1"/>
          <w:sz w:val="24"/>
          <w:szCs w:val="24"/>
        </w:rPr>
        <w:t>Jin</w:t>
      </w:r>
      <w:proofErr w:type="spellEnd"/>
      <w:r w:rsidRPr="00EC23C1">
        <w:rPr>
          <w:rFonts w:ascii="Book Antiqua" w:hAnsi="Book Antiqua"/>
          <w:b/>
          <w:color w:val="000000" w:themeColor="text1"/>
          <w:sz w:val="24"/>
          <w:szCs w:val="24"/>
        </w:rPr>
        <w:t xml:space="preserve"> Ha, </w:t>
      </w:r>
      <w:proofErr w:type="spellStart"/>
      <w:r w:rsidRPr="00EC23C1">
        <w:rPr>
          <w:rFonts w:ascii="Book Antiqua" w:hAnsi="Book Antiqua"/>
          <w:b/>
          <w:color w:val="000000" w:themeColor="text1"/>
          <w:sz w:val="24"/>
          <w:szCs w:val="24"/>
        </w:rPr>
        <w:t>Jin</w:t>
      </w:r>
      <w:proofErr w:type="spellEnd"/>
      <w:r w:rsidRPr="00EC23C1">
        <w:rPr>
          <w:rFonts w:ascii="Book Antiqua" w:hAnsi="Book Antiqua"/>
          <w:b/>
          <w:color w:val="000000" w:themeColor="text1"/>
          <w:sz w:val="24"/>
          <w:szCs w:val="24"/>
        </w:rPr>
        <w:t xml:space="preserve"> </w:t>
      </w:r>
      <w:proofErr w:type="spellStart"/>
      <w:r w:rsidRPr="00EC23C1">
        <w:rPr>
          <w:rFonts w:ascii="Book Antiqua" w:hAnsi="Book Antiqua"/>
          <w:b/>
          <w:color w:val="000000" w:themeColor="text1"/>
          <w:sz w:val="24"/>
          <w:szCs w:val="24"/>
        </w:rPr>
        <w:t>Cheon</w:t>
      </w:r>
      <w:proofErr w:type="spellEnd"/>
      <w:r w:rsidRPr="00EC23C1">
        <w:rPr>
          <w:rFonts w:ascii="Book Antiqua" w:hAnsi="Book Antiqua"/>
          <w:b/>
          <w:color w:val="000000" w:themeColor="text1"/>
          <w:sz w:val="24"/>
          <w:szCs w:val="24"/>
        </w:rPr>
        <w:t xml:space="preserve"> Kim,</w:t>
      </w:r>
      <w:r w:rsidRPr="00B43A8C">
        <w:rPr>
          <w:rFonts w:ascii="Book Antiqua" w:hAnsi="Book Antiqua"/>
          <w:color w:val="000000" w:themeColor="text1"/>
          <w:sz w:val="24"/>
          <w:szCs w:val="24"/>
        </w:rPr>
        <w:t xml:space="preserve"> </w:t>
      </w:r>
      <w:r w:rsidR="00DB03D6" w:rsidRPr="00B43A8C">
        <w:rPr>
          <w:rFonts w:ascii="Book Antiqua" w:hAnsi="Book Antiqua"/>
          <w:color w:val="000000" w:themeColor="text1"/>
          <w:sz w:val="24"/>
          <w:szCs w:val="24"/>
        </w:rPr>
        <w:t xml:space="preserve">Institute of Innovative Cancer Research, </w:t>
      </w:r>
      <w:proofErr w:type="spellStart"/>
      <w:r w:rsidR="00DB03D6" w:rsidRPr="00B43A8C">
        <w:rPr>
          <w:rFonts w:ascii="Book Antiqua" w:hAnsi="Book Antiqua"/>
          <w:color w:val="000000" w:themeColor="text1"/>
          <w:sz w:val="24"/>
          <w:szCs w:val="24"/>
        </w:rPr>
        <w:t>Asan</w:t>
      </w:r>
      <w:proofErr w:type="spellEnd"/>
      <w:r w:rsidR="00DB03D6" w:rsidRPr="00B43A8C">
        <w:rPr>
          <w:rFonts w:ascii="Book Antiqua" w:hAnsi="Book Antiqua"/>
          <w:color w:val="000000" w:themeColor="text1"/>
          <w:sz w:val="24"/>
          <w:szCs w:val="24"/>
        </w:rPr>
        <w:t xml:space="preserve"> Medical Center, Seoul 05505, </w:t>
      </w:r>
      <w:r w:rsidR="00BA6B22" w:rsidRPr="00B43A8C">
        <w:rPr>
          <w:rFonts w:ascii="Book Antiqua" w:hAnsi="Book Antiqua"/>
          <w:color w:val="000000" w:themeColor="text1"/>
          <w:sz w:val="24"/>
          <w:szCs w:val="24"/>
        </w:rPr>
        <w:t xml:space="preserve">South </w:t>
      </w:r>
      <w:r w:rsidR="00DB03D6" w:rsidRPr="00B43A8C">
        <w:rPr>
          <w:rFonts w:ascii="Book Antiqua" w:hAnsi="Book Antiqua"/>
          <w:color w:val="000000" w:themeColor="text1"/>
          <w:sz w:val="24"/>
          <w:szCs w:val="24"/>
        </w:rPr>
        <w:t>Korea</w:t>
      </w:r>
    </w:p>
    <w:p w14:paraId="59F93080" w14:textId="77777777" w:rsidR="00EC23C1" w:rsidRPr="00B43A8C" w:rsidRDefault="00EC23C1" w:rsidP="00B43A8C">
      <w:pPr>
        <w:wordWrap/>
        <w:adjustRightInd w:val="0"/>
        <w:snapToGrid w:val="0"/>
        <w:spacing w:line="360" w:lineRule="auto"/>
        <w:rPr>
          <w:rFonts w:ascii="Book Antiqua" w:hAnsi="Book Antiqua"/>
          <w:color w:val="000000" w:themeColor="text1"/>
          <w:sz w:val="24"/>
          <w:szCs w:val="24"/>
        </w:rPr>
      </w:pPr>
    </w:p>
    <w:p w14:paraId="104E3E3B" w14:textId="4FF4B62F" w:rsidR="00DB03D6" w:rsidRDefault="00EC23C1" w:rsidP="00B43A8C">
      <w:pPr>
        <w:wordWrap/>
        <w:adjustRightInd w:val="0"/>
        <w:snapToGrid w:val="0"/>
        <w:spacing w:line="360" w:lineRule="auto"/>
        <w:rPr>
          <w:rFonts w:ascii="Book Antiqua" w:hAnsi="Book Antiqua"/>
          <w:color w:val="000000" w:themeColor="text1"/>
          <w:sz w:val="24"/>
          <w:szCs w:val="24"/>
        </w:rPr>
      </w:pPr>
      <w:proofErr w:type="spellStart"/>
      <w:r w:rsidRPr="00EC23C1">
        <w:rPr>
          <w:rFonts w:ascii="Book Antiqua" w:hAnsi="Book Antiqua"/>
          <w:b/>
          <w:color w:val="000000" w:themeColor="text1"/>
          <w:sz w:val="24"/>
          <w:szCs w:val="24"/>
        </w:rPr>
        <w:t>Seon-Kyu</w:t>
      </w:r>
      <w:proofErr w:type="spellEnd"/>
      <w:r w:rsidRPr="00EC23C1">
        <w:rPr>
          <w:rFonts w:ascii="Book Antiqua" w:hAnsi="Book Antiqua"/>
          <w:b/>
          <w:color w:val="000000" w:themeColor="text1"/>
          <w:sz w:val="24"/>
          <w:szCs w:val="24"/>
        </w:rPr>
        <w:t xml:space="preserve"> Kim, </w:t>
      </w:r>
      <w:proofErr w:type="spellStart"/>
      <w:r w:rsidRPr="00EC23C1">
        <w:rPr>
          <w:rFonts w:ascii="Book Antiqua" w:hAnsi="Book Antiqua"/>
          <w:b/>
          <w:color w:val="000000" w:themeColor="text1"/>
          <w:sz w:val="24"/>
          <w:szCs w:val="24"/>
        </w:rPr>
        <w:t>Seon</w:t>
      </w:r>
      <w:proofErr w:type="spellEnd"/>
      <w:r w:rsidRPr="00EC23C1">
        <w:rPr>
          <w:rFonts w:ascii="Book Antiqua" w:hAnsi="Book Antiqua"/>
          <w:b/>
          <w:color w:val="000000" w:themeColor="text1"/>
          <w:sz w:val="24"/>
          <w:szCs w:val="24"/>
        </w:rPr>
        <w:t xml:space="preserve">-Young Kim, Yong Sung Kim, </w:t>
      </w:r>
      <w:r w:rsidR="00DB03D6" w:rsidRPr="00B43A8C">
        <w:rPr>
          <w:rFonts w:ascii="Book Antiqua" w:hAnsi="Book Antiqua"/>
          <w:color w:val="000000" w:themeColor="text1"/>
          <w:sz w:val="24"/>
          <w:szCs w:val="24"/>
        </w:rPr>
        <w:t>Medical Genomics Research Center, Korea Re</w:t>
      </w:r>
      <w:r>
        <w:rPr>
          <w:rFonts w:ascii="Book Antiqua" w:hAnsi="Book Antiqua"/>
          <w:color w:val="000000" w:themeColor="text1"/>
          <w:sz w:val="24"/>
          <w:szCs w:val="24"/>
        </w:rPr>
        <w:t>search Institute of Bioscience and</w:t>
      </w:r>
      <w:r w:rsidR="00DB03D6" w:rsidRPr="00B43A8C">
        <w:rPr>
          <w:rFonts w:ascii="Book Antiqua" w:hAnsi="Book Antiqua"/>
          <w:color w:val="000000" w:themeColor="text1"/>
          <w:sz w:val="24"/>
          <w:szCs w:val="24"/>
        </w:rPr>
        <w:t xml:space="preserve"> Biotechnology, Daejeon</w:t>
      </w:r>
      <w:r>
        <w:rPr>
          <w:rFonts w:ascii="Book Antiqua" w:hAnsi="Book Antiqua"/>
          <w:color w:val="000000" w:themeColor="text1"/>
          <w:sz w:val="24"/>
          <w:szCs w:val="24"/>
        </w:rPr>
        <w:t xml:space="preserve"> 34141</w:t>
      </w:r>
      <w:r w:rsidR="00DB03D6" w:rsidRPr="00B43A8C">
        <w:rPr>
          <w:rFonts w:ascii="Book Antiqua" w:hAnsi="Book Antiqua"/>
          <w:color w:val="000000" w:themeColor="text1"/>
          <w:sz w:val="24"/>
          <w:szCs w:val="24"/>
        </w:rPr>
        <w:t xml:space="preserve">, </w:t>
      </w:r>
      <w:r w:rsidR="00BA6B22" w:rsidRPr="00B43A8C">
        <w:rPr>
          <w:rFonts w:ascii="Book Antiqua" w:hAnsi="Book Antiqua"/>
          <w:color w:val="000000" w:themeColor="text1"/>
          <w:sz w:val="24"/>
          <w:szCs w:val="24"/>
        </w:rPr>
        <w:t xml:space="preserve">South </w:t>
      </w:r>
      <w:r w:rsidR="00DB03D6" w:rsidRPr="00B43A8C">
        <w:rPr>
          <w:rFonts w:ascii="Book Antiqua" w:hAnsi="Book Antiqua"/>
          <w:color w:val="000000" w:themeColor="text1"/>
          <w:sz w:val="24"/>
          <w:szCs w:val="24"/>
        </w:rPr>
        <w:t>Korea</w:t>
      </w:r>
    </w:p>
    <w:p w14:paraId="79FDFA4B" w14:textId="77777777" w:rsidR="00EC23C1" w:rsidRPr="00B43A8C" w:rsidRDefault="00EC23C1" w:rsidP="00B43A8C">
      <w:pPr>
        <w:wordWrap/>
        <w:adjustRightInd w:val="0"/>
        <w:snapToGrid w:val="0"/>
        <w:spacing w:line="360" w:lineRule="auto"/>
        <w:rPr>
          <w:rFonts w:ascii="Book Antiqua" w:hAnsi="Book Antiqua"/>
          <w:color w:val="000000" w:themeColor="text1"/>
          <w:sz w:val="24"/>
          <w:szCs w:val="24"/>
        </w:rPr>
      </w:pPr>
    </w:p>
    <w:p w14:paraId="24B6243E" w14:textId="1D7AA4D2" w:rsidR="00DB03D6" w:rsidRPr="00B43A8C" w:rsidRDefault="00EC23C1" w:rsidP="00B43A8C">
      <w:pPr>
        <w:wordWrap/>
        <w:adjustRightInd w:val="0"/>
        <w:snapToGrid w:val="0"/>
        <w:spacing w:line="360" w:lineRule="auto"/>
        <w:rPr>
          <w:rFonts w:ascii="Book Antiqua" w:hAnsi="Book Antiqua"/>
          <w:color w:val="000000" w:themeColor="text1"/>
          <w:sz w:val="24"/>
          <w:szCs w:val="24"/>
        </w:rPr>
      </w:pPr>
      <w:r w:rsidRPr="00B81FB6">
        <w:rPr>
          <w:rFonts w:ascii="Book Antiqua" w:hAnsi="Book Antiqua"/>
          <w:b/>
          <w:color w:val="000000" w:themeColor="text1"/>
          <w:sz w:val="24"/>
          <w:szCs w:val="24"/>
        </w:rPr>
        <w:t xml:space="preserve">Dong-Hyung Cho, </w:t>
      </w:r>
      <w:r w:rsidR="00DB03D6" w:rsidRPr="00B43A8C">
        <w:rPr>
          <w:rFonts w:ascii="Book Antiqua" w:hAnsi="Book Antiqua"/>
          <w:color w:val="000000" w:themeColor="text1"/>
          <w:sz w:val="24"/>
          <w:szCs w:val="24"/>
        </w:rPr>
        <w:t xml:space="preserve">Graduate School of East-West Medical Science, Kyung </w:t>
      </w:r>
      <w:proofErr w:type="spellStart"/>
      <w:r w:rsidR="00DB03D6" w:rsidRPr="00B43A8C">
        <w:rPr>
          <w:rFonts w:ascii="Book Antiqua" w:hAnsi="Book Antiqua"/>
          <w:color w:val="000000" w:themeColor="text1"/>
          <w:sz w:val="24"/>
          <w:szCs w:val="24"/>
        </w:rPr>
        <w:t>Hee</w:t>
      </w:r>
      <w:proofErr w:type="spellEnd"/>
      <w:r w:rsidR="00DB03D6" w:rsidRPr="00B43A8C">
        <w:rPr>
          <w:rFonts w:ascii="Book Antiqua" w:hAnsi="Book Antiqua"/>
          <w:color w:val="000000" w:themeColor="text1"/>
          <w:sz w:val="24"/>
          <w:szCs w:val="24"/>
        </w:rPr>
        <w:t xml:space="preserve"> University, </w:t>
      </w:r>
      <w:proofErr w:type="spellStart"/>
      <w:r w:rsidR="00B81FB6">
        <w:rPr>
          <w:rFonts w:ascii="Book Antiqua" w:hAnsi="Book Antiqua"/>
          <w:color w:val="000000" w:themeColor="text1"/>
          <w:sz w:val="24"/>
          <w:szCs w:val="24"/>
        </w:rPr>
        <w:t>Yongin</w:t>
      </w:r>
      <w:proofErr w:type="spellEnd"/>
      <w:r w:rsidR="00B81FB6">
        <w:rPr>
          <w:rFonts w:ascii="Book Antiqua" w:hAnsi="Book Antiqua"/>
          <w:color w:val="000000" w:themeColor="text1"/>
          <w:sz w:val="24"/>
          <w:szCs w:val="24"/>
        </w:rPr>
        <w:t xml:space="preserve"> 17104, </w:t>
      </w:r>
      <w:r w:rsidR="00BA6B22" w:rsidRPr="00B43A8C">
        <w:rPr>
          <w:rFonts w:ascii="Book Antiqua" w:hAnsi="Book Antiqua"/>
          <w:color w:val="000000" w:themeColor="text1"/>
          <w:sz w:val="24"/>
          <w:szCs w:val="24"/>
        </w:rPr>
        <w:t xml:space="preserve">South </w:t>
      </w:r>
      <w:r w:rsidR="00DB03D6" w:rsidRPr="00B43A8C">
        <w:rPr>
          <w:rFonts w:ascii="Book Antiqua" w:hAnsi="Book Antiqua"/>
          <w:color w:val="000000" w:themeColor="text1"/>
          <w:sz w:val="24"/>
          <w:szCs w:val="24"/>
        </w:rPr>
        <w:t>Korea</w:t>
      </w:r>
    </w:p>
    <w:p w14:paraId="5A592034" w14:textId="4F6C54A5" w:rsidR="00B24520" w:rsidRPr="00B43A8C" w:rsidRDefault="00B24520" w:rsidP="00B43A8C">
      <w:pPr>
        <w:wordWrap/>
        <w:adjustRightInd w:val="0"/>
        <w:snapToGrid w:val="0"/>
        <w:spacing w:line="360" w:lineRule="auto"/>
        <w:rPr>
          <w:rFonts w:ascii="Book Antiqua" w:hAnsi="Book Antiqua"/>
          <w:b/>
          <w:bCs/>
          <w:color w:val="000000" w:themeColor="text1"/>
          <w:sz w:val="24"/>
          <w:szCs w:val="24"/>
          <w:vertAlign w:val="superscript"/>
        </w:rPr>
      </w:pPr>
    </w:p>
    <w:p w14:paraId="0DC37C59" w14:textId="43B6F2A9" w:rsidR="008F0E2D" w:rsidRPr="00B43A8C" w:rsidRDefault="00B24520" w:rsidP="00B43A8C">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b/>
          <w:bCs/>
          <w:color w:val="000000" w:themeColor="text1"/>
          <w:sz w:val="24"/>
          <w:szCs w:val="24"/>
        </w:rPr>
        <w:t>ORCID number:</w:t>
      </w:r>
      <w:r w:rsidR="008F0E2D" w:rsidRPr="00B43A8C">
        <w:rPr>
          <w:rFonts w:ascii="Book Antiqua" w:hAnsi="Book Antiqua"/>
          <w:color w:val="000000" w:themeColor="text1"/>
          <w:sz w:val="24"/>
          <w:szCs w:val="24"/>
        </w:rPr>
        <w:t xml:space="preserve"> Jong</w:t>
      </w:r>
      <w:r w:rsidR="008F1C20">
        <w:rPr>
          <w:rFonts w:ascii="Book Antiqua" w:hAnsi="Book Antiqua"/>
          <w:color w:val="000000" w:themeColor="text1"/>
          <w:sz w:val="24"/>
          <w:szCs w:val="24"/>
        </w:rPr>
        <w:t xml:space="preserve"> </w:t>
      </w:r>
      <w:proofErr w:type="spellStart"/>
      <w:r w:rsidR="008F1C20">
        <w:rPr>
          <w:rFonts w:ascii="Book Antiqua" w:hAnsi="Book Antiqua"/>
          <w:color w:val="000000" w:themeColor="text1"/>
          <w:sz w:val="24"/>
          <w:szCs w:val="24"/>
        </w:rPr>
        <w:t>Lyul</w:t>
      </w:r>
      <w:proofErr w:type="spellEnd"/>
      <w:r w:rsidR="008F1C20">
        <w:rPr>
          <w:rFonts w:ascii="Book Antiqua" w:hAnsi="Book Antiqua"/>
          <w:color w:val="000000" w:themeColor="text1"/>
          <w:sz w:val="24"/>
          <w:szCs w:val="24"/>
        </w:rPr>
        <w:t xml:space="preserve"> Lee (0000-0002-5878-8000);</w:t>
      </w:r>
      <w:r w:rsidR="008F0E2D" w:rsidRPr="00B43A8C">
        <w:rPr>
          <w:rFonts w:ascii="Book Antiqua" w:hAnsi="Book Antiqua"/>
          <w:color w:val="000000" w:themeColor="text1"/>
          <w:sz w:val="24"/>
          <w:szCs w:val="24"/>
        </w:rPr>
        <w:t xml:space="preserve"> </w:t>
      </w:r>
      <w:proofErr w:type="spellStart"/>
      <w:r w:rsidR="008F0E2D" w:rsidRPr="00B43A8C">
        <w:rPr>
          <w:rFonts w:ascii="Book Antiqua" w:hAnsi="Book Antiqua"/>
          <w:color w:val="000000" w:themeColor="text1"/>
          <w:sz w:val="24"/>
          <w:szCs w:val="24"/>
        </w:rPr>
        <w:t>Se</w:t>
      </w:r>
      <w:r w:rsidR="008F1C20">
        <w:rPr>
          <w:rFonts w:ascii="Book Antiqua" w:hAnsi="Book Antiqua"/>
          <w:color w:val="000000" w:themeColor="text1"/>
          <w:sz w:val="24"/>
          <w:szCs w:val="24"/>
        </w:rPr>
        <w:t>on</w:t>
      </w:r>
      <w:proofErr w:type="spellEnd"/>
      <w:r w:rsidR="008F1C20">
        <w:rPr>
          <w:rFonts w:ascii="Book Antiqua" w:hAnsi="Book Antiqua"/>
          <w:color w:val="000000" w:themeColor="text1"/>
          <w:sz w:val="24"/>
          <w:szCs w:val="24"/>
        </w:rPr>
        <w:t xml:space="preserve"> Ae </w:t>
      </w:r>
      <w:proofErr w:type="spellStart"/>
      <w:r w:rsidR="008F1C20">
        <w:rPr>
          <w:rFonts w:ascii="Book Antiqua" w:hAnsi="Book Antiqua"/>
          <w:color w:val="000000" w:themeColor="text1"/>
          <w:sz w:val="24"/>
          <w:szCs w:val="24"/>
        </w:rPr>
        <w:t>Roh</w:t>
      </w:r>
      <w:proofErr w:type="spellEnd"/>
      <w:r w:rsidR="008F1C20">
        <w:rPr>
          <w:rFonts w:ascii="Book Antiqua" w:hAnsi="Book Antiqua"/>
          <w:color w:val="000000" w:themeColor="text1"/>
          <w:sz w:val="24"/>
          <w:szCs w:val="24"/>
        </w:rPr>
        <w:t xml:space="preserve"> (0000-0002-6371-4778);</w:t>
      </w:r>
      <w:r w:rsidR="008F0E2D" w:rsidRPr="00B43A8C">
        <w:rPr>
          <w:rFonts w:ascii="Book Antiqua" w:hAnsi="Book Antiqua"/>
          <w:color w:val="000000" w:themeColor="text1"/>
          <w:sz w:val="24"/>
          <w:szCs w:val="24"/>
        </w:rPr>
        <w:t xml:space="preserve"> Chan </w:t>
      </w:r>
      <w:proofErr w:type="spellStart"/>
      <w:r w:rsidR="008F0E2D" w:rsidRPr="00B43A8C">
        <w:rPr>
          <w:rFonts w:ascii="Book Antiqua" w:hAnsi="Book Antiqua"/>
          <w:color w:val="000000" w:themeColor="text1"/>
          <w:sz w:val="24"/>
          <w:szCs w:val="24"/>
        </w:rPr>
        <w:t>Wook</w:t>
      </w:r>
      <w:proofErr w:type="spellEnd"/>
      <w:r w:rsidR="008F0E2D" w:rsidRPr="00B43A8C">
        <w:rPr>
          <w:rFonts w:ascii="Book Antiqua" w:hAnsi="Book Antiqua"/>
          <w:color w:val="000000" w:themeColor="text1"/>
          <w:sz w:val="24"/>
          <w:szCs w:val="24"/>
        </w:rPr>
        <w:t xml:space="preserve"> Kim</w:t>
      </w:r>
      <w:r w:rsidR="008F0E2D" w:rsidRPr="00B43A8C">
        <w:rPr>
          <w:rFonts w:ascii="Book Antiqua" w:hAnsi="Book Antiqua"/>
          <w:color w:val="000000" w:themeColor="text1"/>
          <w:sz w:val="24"/>
          <w:szCs w:val="24"/>
          <w:vertAlign w:val="superscript"/>
        </w:rPr>
        <w:t xml:space="preserve"> </w:t>
      </w:r>
      <w:r w:rsidR="008F1C20">
        <w:rPr>
          <w:rFonts w:ascii="Book Antiqua" w:hAnsi="Book Antiqua"/>
          <w:color w:val="000000" w:themeColor="text1"/>
          <w:sz w:val="24"/>
          <w:szCs w:val="24"/>
        </w:rPr>
        <w:t>(0000-0002-2382-0939);</w:t>
      </w:r>
      <w:r w:rsidR="008F0E2D" w:rsidRPr="00B43A8C">
        <w:rPr>
          <w:rFonts w:ascii="Book Antiqua" w:hAnsi="Book Antiqua"/>
          <w:color w:val="000000" w:themeColor="text1"/>
          <w:sz w:val="24"/>
          <w:szCs w:val="24"/>
        </w:rPr>
        <w:t xml:space="preserve"> Yi </w:t>
      </w:r>
      <w:r w:rsidR="008F1C20">
        <w:rPr>
          <w:rFonts w:ascii="Book Antiqua" w:hAnsi="Book Antiqua"/>
          <w:color w:val="000000" w:themeColor="text1"/>
          <w:sz w:val="24"/>
          <w:szCs w:val="24"/>
        </w:rPr>
        <w:t>Hong Kwon (0000-0001-8422-4324);</w:t>
      </w:r>
      <w:r w:rsidR="008F0E2D" w:rsidRPr="00B43A8C">
        <w:rPr>
          <w:rFonts w:ascii="Book Antiqua" w:hAnsi="Book Antiqua"/>
          <w:color w:val="000000" w:themeColor="text1"/>
          <w:sz w:val="24"/>
          <w:szCs w:val="24"/>
        </w:rPr>
        <w:t xml:space="preserve"> Ye </w:t>
      </w:r>
      <w:proofErr w:type="spellStart"/>
      <w:r w:rsidR="008F0E2D" w:rsidRPr="00B43A8C">
        <w:rPr>
          <w:rFonts w:ascii="Book Antiqua" w:hAnsi="Book Antiqua"/>
          <w:color w:val="000000" w:themeColor="text1"/>
          <w:sz w:val="24"/>
          <w:szCs w:val="24"/>
        </w:rPr>
        <w:t>Jin</w:t>
      </w:r>
      <w:proofErr w:type="spellEnd"/>
      <w:r w:rsidR="008F0E2D" w:rsidRPr="00B43A8C">
        <w:rPr>
          <w:rFonts w:ascii="Book Antiqua" w:hAnsi="Book Antiqua"/>
          <w:color w:val="000000" w:themeColor="text1"/>
          <w:sz w:val="24"/>
          <w:szCs w:val="24"/>
        </w:rPr>
        <w:t xml:space="preserve"> Ha</w:t>
      </w:r>
      <w:r w:rsidR="008F0E2D" w:rsidRPr="00B43A8C">
        <w:rPr>
          <w:rFonts w:ascii="Book Antiqua" w:hAnsi="Book Antiqua"/>
          <w:color w:val="000000" w:themeColor="text1"/>
          <w:sz w:val="24"/>
          <w:szCs w:val="24"/>
          <w:vertAlign w:val="superscript"/>
        </w:rPr>
        <w:t xml:space="preserve"> </w:t>
      </w:r>
      <w:r w:rsidR="008F1C20">
        <w:rPr>
          <w:rFonts w:ascii="Book Antiqua" w:hAnsi="Book Antiqua"/>
          <w:color w:val="000000" w:themeColor="text1"/>
          <w:sz w:val="24"/>
          <w:szCs w:val="24"/>
        </w:rPr>
        <w:t>(0000-0003-2001-7435);</w:t>
      </w:r>
      <w:r w:rsidR="008F0E2D" w:rsidRPr="00B43A8C">
        <w:rPr>
          <w:rFonts w:ascii="Book Antiqua" w:hAnsi="Book Antiqua"/>
          <w:color w:val="000000" w:themeColor="text1"/>
          <w:sz w:val="24"/>
          <w:szCs w:val="24"/>
        </w:rPr>
        <w:t xml:space="preserve"> </w:t>
      </w:r>
      <w:proofErr w:type="spellStart"/>
      <w:r w:rsidR="008F0E2D" w:rsidRPr="00B43A8C">
        <w:rPr>
          <w:rFonts w:ascii="Book Antiqua" w:hAnsi="Book Antiqua"/>
          <w:color w:val="000000" w:themeColor="text1"/>
          <w:sz w:val="24"/>
          <w:szCs w:val="24"/>
        </w:rPr>
        <w:t>Seon-Kyu</w:t>
      </w:r>
      <w:proofErr w:type="spellEnd"/>
      <w:r w:rsidR="008F0E2D" w:rsidRPr="00B43A8C">
        <w:rPr>
          <w:rFonts w:ascii="Book Antiqua" w:hAnsi="Book Antiqua"/>
          <w:color w:val="000000" w:themeColor="text1"/>
          <w:sz w:val="24"/>
          <w:szCs w:val="24"/>
        </w:rPr>
        <w:t xml:space="preserve"> Kim</w:t>
      </w:r>
      <w:r w:rsidR="008F0E2D" w:rsidRPr="00B43A8C">
        <w:rPr>
          <w:rFonts w:ascii="Book Antiqua" w:hAnsi="Book Antiqua"/>
          <w:color w:val="000000" w:themeColor="text1"/>
          <w:sz w:val="24"/>
          <w:szCs w:val="24"/>
          <w:vertAlign w:val="superscript"/>
        </w:rPr>
        <w:t xml:space="preserve"> </w:t>
      </w:r>
      <w:r w:rsidR="008F1C20">
        <w:rPr>
          <w:rFonts w:ascii="Book Antiqua" w:hAnsi="Book Antiqua"/>
          <w:color w:val="000000" w:themeColor="text1"/>
          <w:sz w:val="24"/>
          <w:szCs w:val="24"/>
        </w:rPr>
        <w:t>(0000-0002-4176-5187);</w:t>
      </w:r>
      <w:r w:rsidR="008F0E2D" w:rsidRPr="00B43A8C">
        <w:rPr>
          <w:rFonts w:ascii="Book Antiqua" w:hAnsi="Book Antiqua"/>
          <w:color w:val="000000" w:themeColor="text1"/>
          <w:sz w:val="24"/>
          <w:szCs w:val="24"/>
        </w:rPr>
        <w:t xml:space="preserve"> </w:t>
      </w:r>
      <w:proofErr w:type="spellStart"/>
      <w:r w:rsidR="008F0E2D" w:rsidRPr="00B43A8C">
        <w:rPr>
          <w:rFonts w:ascii="Book Antiqua" w:hAnsi="Book Antiqua"/>
          <w:color w:val="000000" w:themeColor="text1"/>
          <w:sz w:val="24"/>
          <w:szCs w:val="24"/>
        </w:rPr>
        <w:t>Seon</w:t>
      </w:r>
      <w:proofErr w:type="spellEnd"/>
      <w:r w:rsidR="008F0E2D" w:rsidRPr="00B43A8C">
        <w:rPr>
          <w:rFonts w:ascii="Book Antiqua" w:hAnsi="Book Antiqua"/>
          <w:color w:val="000000" w:themeColor="text1"/>
          <w:sz w:val="24"/>
          <w:szCs w:val="24"/>
        </w:rPr>
        <w:t>-</w:t>
      </w:r>
      <w:r w:rsidR="008F0E2D" w:rsidRPr="00B43A8C">
        <w:rPr>
          <w:rFonts w:ascii="Book Antiqua" w:hAnsi="Book Antiqua"/>
          <w:color w:val="000000" w:themeColor="text1"/>
          <w:sz w:val="24"/>
          <w:szCs w:val="24"/>
        </w:rPr>
        <w:lastRenderedPageBreak/>
        <w:t>Young Kim</w:t>
      </w:r>
      <w:r w:rsidR="008F0E2D" w:rsidRPr="00B43A8C">
        <w:rPr>
          <w:rFonts w:ascii="Book Antiqua" w:hAnsi="Book Antiqua"/>
          <w:color w:val="000000" w:themeColor="text1"/>
          <w:sz w:val="24"/>
          <w:szCs w:val="24"/>
          <w:vertAlign w:val="superscript"/>
        </w:rPr>
        <w:t xml:space="preserve"> </w:t>
      </w:r>
      <w:r w:rsidR="008F0E2D" w:rsidRPr="00B43A8C">
        <w:rPr>
          <w:rFonts w:ascii="Book Antiqua" w:hAnsi="Book Antiqua"/>
          <w:color w:val="000000" w:themeColor="text1"/>
          <w:sz w:val="24"/>
          <w:szCs w:val="24"/>
        </w:rPr>
        <w:t>(0000-0002-1030-7730)</w:t>
      </w:r>
      <w:r w:rsidR="008F1C20">
        <w:rPr>
          <w:rFonts w:ascii="Book Antiqua" w:hAnsi="Book Antiqua"/>
          <w:color w:val="000000" w:themeColor="text1"/>
          <w:sz w:val="24"/>
          <w:szCs w:val="24"/>
        </w:rPr>
        <w:t>;</w:t>
      </w:r>
      <w:r w:rsidR="008F0E2D" w:rsidRPr="00B43A8C">
        <w:rPr>
          <w:rFonts w:ascii="Book Antiqua" w:hAnsi="Book Antiqua"/>
          <w:color w:val="000000" w:themeColor="text1"/>
          <w:sz w:val="24"/>
          <w:szCs w:val="24"/>
          <w:vertAlign w:val="superscript"/>
        </w:rPr>
        <w:t xml:space="preserve"> </w:t>
      </w:r>
      <w:r w:rsidR="008F0E2D" w:rsidRPr="00B43A8C">
        <w:rPr>
          <w:rFonts w:ascii="Book Antiqua" w:hAnsi="Book Antiqua"/>
          <w:color w:val="000000" w:themeColor="text1"/>
          <w:sz w:val="24"/>
          <w:szCs w:val="24"/>
        </w:rPr>
        <w:t>Dong-</w:t>
      </w:r>
      <w:r w:rsidR="008F1C20">
        <w:rPr>
          <w:rFonts w:ascii="Book Antiqua" w:hAnsi="Book Antiqua"/>
          <w:color w:val="000000" w:themeColor="text1"/>
          <w:sz w:val="24"/>
          <w:szCs w:val="24"/>
        </w:rPr>
        <w:t>Hyung Cho (0000-0002-8859-0310);</w:t>
      </w:r>
      <w:r w:rsidR="008F0E2D" w:rsidRPr="00B43A8C">
        <w:rPr>
          <w:rFonts w:ascii="Book Antiqua" w:hAnsi="Book Antiqua"/>
          <w:color w:val="000000" w:themeColor="text1"/>
          <w:sz w:val="24"/>
          <w:szCs w:val="24"/>
        </w:rPr>
        <w:t xml:space="preserve"> Yong Sung Kim</w:t>
      </w:r>
      <w:r w:rsidR="008F0E2D" w:rsidRPr="00B43A8C">
        <w:rPr>
          <w:rFonts w:ascii="Book Antiqua" w:hAnsi="Book Antiqua"/>
          <w:color w:val="000000" w:themeColor="text1"/>
          <w:sz w:val="24"/>
          <w:szCs w:val="24"/>
          <w:vertAlign w:val="superscript"/>
        </w:rPr>
        <w:t xml:space="preserve"> </w:t>
      </w:r>
      <w:r w:rsidR="008F1C20">
        <w:rPr>
          <w:rFonts w:ascii="Book Antiqua" w:hAnsi="Book Antiqua"/>
          <w:color w:val="000000" w:themeColor="text1"/>
          <w:sz w:val="24"/>
          <w:szCs w:val="24"/>
        </w:rPr>
        <w:t>(0000-0001-7113-272X);</w:t>
      </w:r>
      <w:r w:rsidR="008F0E2D" w:rsidRPr="00B43A8C">
        <w:rPr>
          <w:rFonts w:ascii="Book Antiqua" w:hAnsi="Book Antiqua"/>
          <w:color w:val="000000" w:themeColor="text1"/>
          <w:sz w:val="24"/>
          <w:szCs w:val="24"/>
        </w:rPr>
        <w:t xml:space="preserve"> </w:t>
      </w:r>
      <w:proofErr w:type="spellStart"/>
      <w:r w:rsidR="008F0E2D" w:rsidRPr="00B43A8C">
        <w:rPr>
          <w:rFonts w:ascii="Book Antiqua" w:hAnsi="Book Antiqua"/>
          <w:color w:val="000000" w:themeColor="text1"/>
          <w:sz w:val="24"/>
          <w:szCs w:val="24"/>
        </w:rPr>
        <w:t>Jin</w:t>
      </w:r>
      <w:proofErr w:type="spellEnd"/>
      <w:r w:rsidR="008F0E2D" w:rsidRPr="00B43A8C">
        <w:rPr>
          <w:rFonts w:ascii="Book Antiqua" w:hAnsi="Book Antiqua"/>
          <w:color w:val="000000" w:themeColor="text1"/>
          <w:sz w:val="24"/>
          <w:szCs w:val="24"/>
        </w:rPr>
        <w:t xml:space="preserve"> </w:t>
      </w:r>
      <w:proofErr w:type="spellStart"/>
      <w:r w:rsidR="008F0E2D" w:rsidRPr="00B43A8C">
        <w:rPr>
          <w:rFonts w:ascii="Book Antiqua" w:hAnsi="Book Antiqua"/>
          <w:color w:val="000000" w:themeColor="text1"/>
          <w:sz w:val="24"/>
          <w:szCs w:val="24"/>
        </w:rPr>
        <w:t>Cheon</w:t>
      </w:r>
      <w:proofErr w:type="spellEnd"/>
      <w:r w:rsidR="008F0E2D" w:rsidRPr="00B43A8C">
        <w:rPr>
          <w:rFonts w:ascii="Book Antiqua" w:hAnsi="Book Antiqua"/>
          <w:color w:val="000000" w:themeColor="text1"/>
          <w:sz w:val="24"/>
          <w:szCs w:val="24"/>
        </w:rPr>
        <w:t xml:space="preserve"> Kim (0000-0003-4823-8619)</w:t>
      </w:r>
      <w:r w:rsidR="008F1C20">
        <w:rPr>
          <w:rFonts w:ascii="Book Antiqua" w:hAnsi="Book Antiqua"/>
          <w:color w:val="000000" w:themeColor="text1"/>
          <w:sz w:val="24"/>
          <w:szCs w:val="24"/>
        </w:rPr>
        <w:t>.</w:t>
      </w:r>
    </w:p>
    <w:p w14:paraId="72DDBB8B" w14:textId="77777777" w:rsidR="0002226F" w:rsidRPr="00B43A8C" w:rsidRDefault="0002226F" w:rsidP="00B43A8C">
      <w:pPr>
        <w:wordWrap/>
        <w:adjustRightInd w:val="0"/>
        <w:snapToGrid w:val="0"/>
        <w:spacing w:line="360" w:lineRule="auto"/>
        <w:rPr>
          <w:rFonts w:ascii="Book Antiqua" w:hAnsi="Book Antiqua"/>
          <w:color w:val="000000" w:themeColor="text1"/>
          <w:sz w:val="24"/>
          <w:szCs w:val="24"/>
        </w:rPr>
      </w:pPr>
    </w:p>
    <w:p w14:paraId="2D6B92DE" w14:textId="77777777" w:rsidR="008F1C20" w:rsidRDefault="0002226F" w:rsidP="00B43A8C">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b/>
          <w:color w:val="000000" w:themeColor="text1"/>
          <w:sz w:val="24"/>
          <w:szCs w:val="24"/>
        </w:rPr>
        <w:t>Author contributions</w:t>
      </w:r>
      <w:r w:rsidR="008F1C20">
        <w:rPr>
          <w:rFonts w:ascii="Book Antiqua" w:hAnsi="Book Antiqua"/>
          <w:b/>
          <w:color w:val="000000" w:themeColor="text1"/>
          <w:sz w:val="24"/>
          <w:szCs w:val="24"/>
        </w:rPr>
        <w:t xml:space="preserve">: </w:t>
      </w:r>
      <w:r w:rsidRPr="00B43A8C">
        <w:rPr>
          <w:rFonts w:ascii="Book Antiqua" w:hAnsi="Book Antiqua"/>
          <w:color w:val="000000" w:themeColor="text1"/>
          <w:sz w:val="24"/>
          <w:szCs w:val="24"/>
        </w:rPr>
        <w:t>Lee</w:t>
      </w:r>
      <w:r w:rsidR="008F1C20">
        <w:rPr>
          <w:rFonts w:ascii="Book Antiqua" w:hAnsi="Book Antiqua"/>
          <w:color w:val="000000" w:themeColor="text1"/>
          <w:sz w:val="24"/>
          <w:szCs w:val="24"/>
        </w:rPr>
        <w:t xml:space="preserve"> JL, </w:t>
      </w:r>
      <w:proofErr w:type="spellStart"/>
      <w:r w:rsidR="008F1C20" w:rsidRPr="00B43A8C">
        <w:rPr>
          <w:rFonts w:ascii="Book Antiqua" w:hAnsi="Book Antiqua"/>
          <w:color w:val="000000" w:themeColor="text1"/>
          <w:sz w:val="24"/>
          <w:szCs w:val="24"/>
        </w:rPr>
        <w:t>Roh</w:t>
      </w:r>
      <w:proofErr w:type="spellEnd"/>
      <w:r w:rsidR="008F1C20">
        <w:rPr>
          <w:rFonts w:ascii="Book Antiqua" w:hAnsi="Book Antiqua"/>
          <w:color w:val="000000" w:themeColor="text1"/>
          <w:sz w:val="24"/>
          <w:szCs w:val="24"/>
        </w:rPr>
        <w:t xml:space="preserve"> SA and </w:t>
      </w:r>
      <w:r w:rsidR="008F1C20" w:rsidRPr="00B43A8C">
        <w:rPr>
          <w:rFonts w:ascii="Book Antiqua" w:hAnsi="Book Antiqua"/>
          <w:color w:val="000000" w:themeColor="text1"/>
          <w:sz w:val="24"/>
          <w:szCs w:val="24"/>
        </w:rPr>
        <w:t>Kim</w:t>
      </w:r>
      <w:r w:rsidR="008F1C20">
        <w:rPr>
          <w:rFonts w:ascii="Book Antiqua" w:hAnsi="Book Antiqua"/>
          <w:color w:val="000000" w:themeColor="text1"/>
          <w:sz w:val="24"/>
          <w:szCs w:val="24"/>
        </w:rPr>
        <w:t xml:space="preserve"> JC</w:t>
      </w:r>
      <w:r w:rsidRPr="00B43A8C">
        <w:rPr>
          <w:rFonts w:ascii="Book Antiqua" w:hAnsi="Book Antiqua"/>
          <w:color w:val="000000" w:themeColor="text1"/>
          <w:sz w:val="24"/>
          <w:szCs w:val="24"/>
        </w:rPr>
        <w:t xml:space="preserve"> made substantial contributions to the study conception and design, data acquisition, analysis, and interpretation, drafting a critical revision of the manuscript, and approving the final version of the text.</w:t>
      </w:r>
      <w:r w:rsidR="008F1C20">
        <w:rPr>
          <w:rFonts w:ascii="Book Antiqua" w:hAnsi="Book Antiqua"/>
          <w:b/>
          <w:color w:val="000000" w:themeColor="text1"/>
          <w:sz w:val="24"/>
          <w:szCs w:val="24"/>
        </w:rPr>
        <w:t xml:space="preserve"> </w:t>
      </w:r>
      <w:r w:rsidR="008F1C20" w:rsidRPr="00B43A8C">
        <w:rPr>
          <w:rFonts w:ascii="Book Antiqua" w:hAnsi="Book Antiqua"/>
          <w:color w:val="000000" w:themeColor="text1"/>
          <w:sz w:val="24"/>
          <w:szCs w:val="24"/>
        </w:rPr>
        <w:t>Lee</w:t>
      </w:r>
      <w:r w:rsidR="008F1C20">
        <w:rPr>
          <w:rFonts w:ascii="Book Antiqua" w:hAnsi="Book Antiqua"/>
          <w:color w:val="000000" w:themeColor="text1"/>
          <w:sz w:val="24"/>
          <w:szCs w:val="24"/>
        </w:rPr>
        <w:t xml:space="preserve"> JL and </w:t>
      </w:r>
      <w:proofErr w:type="spellStart"/>
      <w:r w:rsidR="008F1C20" w:rsidRPr="00B43A8C">
        <w:rPr>
          <w:rFonts w:ascii="Book Antiqua" w:hAnsi="Book Antiqua"/>
          <w:color w:val="000000" w:themeColor="text1"/>
          <w:sz w:val="24"/>
          <w:szCs w:val="24"/>
        </w:rPr>
        <w:t>Roh</w:t>
      </w:r>
      <w:proofErr w:type="spellEnd"/>
      <w:r w:rsidR="008F1C20">
        <w:rPr>
          <w:rFonts w:ascii="Book Antiqua" w:hAnsi="Book Antiqua"/>
          <w:color w:val="000000" w:themeColor="text1"/>
          <w:sz w:val="24"/>
          <w:szCs w:val="24"/>
        </w:rPr>
        <w:t xml:space="preserve"> SA</w:t>
      </w:r>
      <w:r w:rsidR="008F1C20" w:rsidRPr="00B43A8C">
        <w:rPr>
          <w:rFonts w:ascii="Book Antiqua" w:hAnsi="Book Antiqua"/>
          <w:color w:val="000000" w:themeColor="text1"/>
          <w:sz w:val="24"/>
          <w:szCs w:val="24"/>
        </w:rPr>
        <w:t xml:space="preserve"> </w:t>
      </w:r>
      <w:r w:rsidR="008F1C20">
        <w:rPr>
          <w:rFonts w:ascii="Book Antiqua" w:hAnsi="Book Antiqua"/>
          <w:color w:val="000000" w:themeColor="text1"/>
          <w:sz w:val="24"/>
          <w:szCs w:val="24"/>
        </w:rPr>
        <w:t xml:space="preserve">contributed equally. </w:t>
      </w:r>
      <w:r w:rsidRPr="00B43A8C">
        <w:rPr>
          <w:rFonts w:ascii="Book Antiqua" w:hAnsi="Book Antiqua"/>
          <w:color w:val="000000" w:themeColor="text1"/>
          <w:sz w:val="24"/>
          <w:szCs w:val="24"/>
        </w:rPr>
        <w:t>Kim</w:t>
      </w:r>
      <w:r w:rsidR="008F1C20">
        <w:rPr>
          <w:rFonts w:ascii="Book Antiqua" w:hAnsi="Book Antiqua"/>
          <w:color w:val="000000" w:themeColor="text1"/>
          <w:sz w:val="24"/>
          <w:szCs w:val="24"/>
        </w:rPr>
        <w:t xml:space="preserve"> CW</w:t>
      </w:r>
      <w:r w:rsidRPr="00B43A8C">
        <w:rPr>
          <w:rFonts w:ascii="Book Antiqua" w:hAnsi="Book Antiqua"/>
          <w:color w:val="000000" w:themeColor="text1"/>
          <w:sz w:val="24"/>
          <w:szCs w:val="24"/>
        </w:rPr>
        <w:t xml:space="preserve"> made contributions to the study design, provided data from his patients, and approved the final version of the text.</w:t>
      </w:r>
      <w:r w:rsidR="008F1C20">
        <w:rPr>
          <w:rFonts w:ascii="Book Antiqua" w:hAnsi="Book Antiqua"/>
          <w:b/>
          <w:color w:val="000000" w:themeColor="text1"/>
          <w:sz w:val="24"/>
          <w:szCs w:val="24"/>
        </w:rPr>
        <w:t xml:space="preserve"> </w:t>
      </w:r>
      <w:r w:rsidRPr="00B43A8C">
        <w:rPr>
          <w:rFonts w:ascii="Book Antiqua" w:hAnsi="Book Antiqua"/>
          <w:color w:val="000000" w:themeColor="text1"/>
          <w:sz w:val="24"/>
          <w:szCs w:val="24"/>
        </w:rPr>
        <w:t>Kwon</w:t>
      </w:r>
      <w:r w:rsidR="008F1C20">
        <w:rPr>
          <w:rFonts w:ascii="Book Antiqua" w:hAnsi="Book Antiqua"/>
          <w:color w:val="000000" w:themeColor="text1"/>
          <w:sz w:val="24"/>
          <w:szCs w:val="24"/>
        </w:rPr>
        <w:t xml:space="preserve"> YH</w:t>
      </w:r>
      <w:r w:rsidRPr="00B43A8C">
        <w:rPr>
          <w:rFonts w:ascii="Book Antiqua" w:hAnsi="Book Antiqua"/>
          <w:color w:val="000000" w:themeColor="text1"/>
          <w:sz w:val="24"/>
          <w:szCs w:val="24"/>
        </w:rPr>
        <w:t xml:space="preserve"> performed research, helped to write parts of the manuscript related to method, and approved the final version of the text.</w:t>
      </w:r>
      <w:r w:rsidR="008F1C20">
        <w:rPr>
          <w:rFonts w:ascii="Book Antiqua" w:hAnsi="Book Antiqua"/>
          <w:b/>
          <w:color w:val="000000" w:themeColor="text1"/>
          <w:sz w:val="24"/>
          <w:szCs w:val="24"/>
        </w:rPr>
        <w:t xml:space="preserve"> </w:t>
      </w:r>
      <w:r w:rsidRPr="00B43A8C">
        <w:rPr>
          <w:rFonts w:ascii="Book Antiqua" w:hAnsi="Book Antiqua"/>
          <w:color w:val="000000" w:themeColor="text1"/>
          <w:sz w:val="24"/>
          <w:szCs w:val="24"/>
        </w:rPr>
        <w:t>Ha</w:t>
      </w:r>
      <w:r w:rsidR="008F1C20">
        <w:rPr>
          <w:rFonts w:ascii="Book Antiqua" w:hAnsi="Book Antiqua"/>
          <w:color w:val="000000" w:themeColor="text1"/>
          <w:sz w:val="24"/>
          <w:szCs w:val="24"/>
        </w:rPr>
        <w:t xml:space="preserve"> YJ</w:t>
      </w:r>
      <w:r w:rsidRPr="00B43A8C">
        <w:rPr>
          <w:rFonts w:ascii="Book Antiqua" w:hAnsi="Book Antiqua"/>
          <w:color w:val="000000" w:themeColor="text1"/>
          <w:sz w:val="24"/>
          <w:szCs w:val="24"/>
        </w:rPr>
        <w:t xml:space="preserve"> performed research and approved the final version of the text.</w:t>
      </w:r>
      <w:r w:rsidR="008F1C20">
        <w:rPr>
          <w:rFonts w:ascii="Book Antiqua" w:hAnsi="Book Antiqua"/>
          <w:b/>
          <w:color w:val="000000" w:themeColor="text1"/>
          <w:sz w:val="24"/>
          <w:szCs w:val="24"/>
        </w:rPr>
        <w:t xml:space="preserve"> </w:t>
      </w:r>
      <w:r w:rsidRPr="00B43A8C">
        <w:rPr>
          <w:rFonts w:ascii="Book Antiqua" w:hAnsi="Book Antiqua"/>
          <w:color w:val="000000" w:themeColor="text1"/>
          <w:sz w:val="24"/>
          <w:szCs w:val="24"/>
        </w:rPr>
        <w:t>Kim</w:t>
      </w:r>
      <w:r w:rsidR="008F1C20">
        <w:rPr>
          <w:rFonts w:ascii="Book Antiqua" w:hAnsi="Book Antiqua"/>
          <w:color w:val="000000" w:themeColor="text1"/>
          <w:sz w:val="24"/>
          <w:szCs w:val="24"/>
        </w:rPr>
        <w:t xml:space="preserve"> SK</w:t>
      </w:r>
      <w:r w:rsidRPr="00B43A8C">
        <w:rPr>
          <w:rFonts w:ascii="Book Antiqua" w:hAnsi="Book Antiqua"/>
          <w:color w:val="000000" w:themeColor="text1"/>
          <w:sz w:val="24"/>
          <w:szCs w:val="24"/>
        </w:rPr>
        <w:t xml:space="preserve"> made contributions to the study design and helped to analyze data.</w:t>
      </w:r>
      <w:r w:rsidR="008F1C20">
        <w:rPr>
          <w:rFonts w:ascii="Book Antiqua" w:hAnsi="Book Antiqua"/>
          <w:b/>
          <w:color w:val="000000" w:themeColor="text1"/>
          <w:sz w:val="24"/>
          <w:szCs w:val="24"/>
        </w:rPr>
        <w:t xml:space="preserve"> </w:t>
      </w:r>
      <w:r w:rsidR="008F1C20">
        <w:rPr>
          <w:rFonts w:ascii="Book Antiqua" w:hAnsi="Book Antiqua"/>
          <w:color w:val="000000" w:themeColor="text1"/>
          <w:sz w:val="24"/>
          <w:szCs w:val="24"/>
        </w:rPr>
        <w:t>Kim SY</w:t>
      </w:r>
      <w:r w:rsidRPr="00B43A8C">
        <w:rPr>
          <w:rFonts w:ascii="Book Antiqua" w:hAnsi="Book Antiqua"/>
          <w:color w:val="000000" w:themeColor="text1"/>
          <w:sz w:val="24"/>
          <w:szCs w:val="24"/>
        </w:rPr>
        <w:t xml:space="preserve"> made contributions to the study design and helped to analyze data.</w:t>
      </w:r>
      <w:r w:rsidR="008F1C20">
        <w:rPr>
          <w:rFonts w:ascii="Book Antiqua" w:hAnsi="Book Antiqua"/>
          <w:b/>
          <w:color w:val="000000" w:themeColor="text1"/>
          <w:sz w:val="24"/>
          <w:szCs w:val="24"/>
        </w:rPr>
        <w:t xml:space="preserve"> </w:t>
      </w:r>
      <w:r w:rsidR="008F1C20">
        <w:rPr>
          <w:rFonts w:ascii="Book Antiqua" w:hAnsi="Book Antiqua"/>
          <w:color w:val="000000" w:themeColor="text1"/>
          <w:sz w:val="24"/>
          <w:szCs w:val="24"/>
        </w:rPr>
        <w:t>Cho DH</w:t>
      </w:r>
      <w:r w:rsidRPr="00B43A8C">
        <w:rPr>
          <w:rFonts w:ascii="Book Antiqua" w:hAnsi="Book Antiqua"/>
          <w:color w:val="000000" w:themeColor="text1"/>
          <w:sz w:val="24"/>
          <w:szCs w:val="24"/>
        </w:rPr>
        <w:t xml:space="preserve"> made substantial contributi</w:t>
      </w:r>
      <w:r w:rsidR="006F1146" w:rsidRPr="00B43A8C">
        <w:rPr>
          <w:rFonts w:ascii="Book Antiqua" w:hAnsi="Book Antiqua"/>
          <w:color w:val="000000" w:themeColor="text1"/>
          <w:sz w:val="24"/>
          <w:szCs w:val="24"/>
        </w:rPr>
        <w:t>ons to the study conception and</w:t>
      </w:r>
      <w:r w:rsidRPr="00B43A8C">
        <w:rPr>
          <w:rFonts w:ascii="Book Antiqua" w:hAnsi="Book Antiqua"/>
          <w:color w:val="000000" w:themeColor="text1"/>
          <w:sz w:val="24"/>
          <w:szCs w:val="24"/>
        </w:rPr>
        <w:t xml:space="preserve"> interpretation</w:t>
      </w:r>
      <w:r w:rsidR="006F1146" w:rsidRPr="00B43A8C">
        <w:rPr>
          <w:rFonts w:ascii="Book Antiqua" w:hAnsi="Book Antiqua"/>
          <w:color w:val="000000" w:themeColor="text1"/>
          <w:sz w:val="24"/>
          <w:szCs w:val="24"/>
        </w:rPr>
        <w:t>.</w:t>
      </w:r>
      <w:r w:rsidR="008F1C20">
        <w:rPr>
          <w:rFonts w:ascii="Book Antiqua" w:hAnsi="Book Antiqua"/>
          <w:b/>
          <w:color w:val="000000" w:themeColor="text1"/>
          <w:sz w:val="24"/>
          <w:szCs w:val="24"/>
        </w:rPr>
        <w:t xml:space="preserve"> </w:t>
      </w:r>
      <w:r w:rsidR="008F1C20">
        <w:rPr>
          <w:rFonts w:ascii="Book Antiqua" w:hAnsi="Book Antiqua"/>
          <w:color w:val="000000" w:themeColor="text1"/>
          <w:sz w:val="24"/>
          <w:szCs w:val="24"/>
        </w:rPr>
        <w:t>Kim YS</w:t>
      </w:r>
      <w:r w:rsidR="006F1146" w:rsidRPr="00B43A8C">
        <w:rPr>
          <w:rFonts w:ascii="Book Antiqua" w:hAnsi="Book Antiqua"/>
          <w:color w:val="000000" w:themeColor="text1"/>
          <w:sz w:val="24"/>
          <w:szCs w:val="24"/>
        </w:rPr>
        <w:t xml:space="preserve"> made substantial contributions to the study conception and design, drafting a revision of the manuscript.</w:t>
      </w:r>
    </w:p>
    <w:p w14:paraId="361C96BE" w14:textId="12EE06EC" w:rsidR="00BA6B22" w:rsidRPr="00B43A8C" w:rsidRDefault="008F1C20" w:rsidP="00B43A8C">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color w:val="000000" w:themeColor="text1"/>
          <w:sz w:val="24"/>
          <w:szCs w:val="24"/>
        </w:rPr>
        <w:t xml:space="preserve"> </w:t>
      </w:r>
    </w:p>
    <w:p w14:paraId="194DD6F7" w14:textId="2251B55C" w:rsidR="00BA6B22" w:rsidRPr="00B43A8C" w:rsidRDefault="00BA6B22" w:rsidP="00B43A8C">
      <w:pPr>
        <w:wordWrap/>
        <w:adjustRightInd w:val="0"/>
        <w:snapToGrid w:val="0"/>
        <w:spacing w:line="360" w:lineRule="auto"/>
        <w:rPr>
          <w:rFonts w:ascii="Book Antiqua" w:eastAsiaTheme="minorEastAsia" w:hAnsi="Book Antiqua"/>
          <w:color w:val="000000" w:themeColor="text1"/>
          <w:sz w:val="24"/>
          <w:szCs w:val="24"/>
        </w:rPr>
      </w:pPr>
      <w:r w:rsidRPr="008F1C20">
        <w:rPr>
          <w:rFonts w:ascii="Book Antiqua" w:hAnsi="Book Antiqua"/>
          <w:b/>
          <w:color w:val="000000" w:themeColor="text1"/>
          <w:sz w:val="24"/>
          <w:szCs w:val="24"/>
        </w:rPr>
        <w:t>Supported by</w:t>
      </w:r>
      <w:r w:rsidRPr="008F1C20">
        <w:rPr>
          <w:rFonts w:ascii="Book Antiqua" w:hAnsi="Book Antiqua"/>
          <w:b/>
          <w:color w:val="000000" w:themeColor="text1"/>
          <w:kern w:val="0"/>
          <w:sz w:val="24"/>
          <w:szCs w:val="24"/>
        </w:rPr>
        <w:t xml:space="preserve"> </w:t>
      </w:r>
      <w:r w:rsidRPr="00B43A8C">
        <w:rPr>
          <w:rFonts w:ascii="Book Antiqua" w:hAnsi="Book Antiqua"/>
          <w:color w:val="000000" w:themeColor="text1"/>
          <w:sz w:val="24"/>
          <w:szCs w:val="24"/>
        </w:rPr>
        <w:t>Korea Research Found</w:t>
      </w:r>
      <w:r w:rsidR="008F1C20">
        <w:rPr>
          <w:rFonts w:ascii="Book Antiqua" w:hAnsi="Book Antiqua"/>
          <w:color w:val="000000" w:themeColor="text1"/>
          <w:sz w:val="24"/>
          <w:szCs w:val="24"/>
        </w:rPr>
        <w:t xml:space="preserve">ation, No. </w:t>
      </w:r>
      <w:r w:rsidR="00032288" w:rsidRPr="00B43A8C">
        <w:rPr>
          <w:rFonts w:ascii="Book Antiqua" w:hAnsi="Book Antiqua"/>
          <w:color w:val="000000" w:themeColor="text1"/>
          <w:sz w:val="24"/>
          <w:szCs w:val="24"/>
        </w:rPr>
        <w:t xml:space="preserve">2016R1E1A1A02919844 to </w:t>
      </w:r>
      <w:r w:rsidRPr="00B43A8C">
        <w:rPr>
          <w:rFonts w:ascii="Book Antiqua" w:hAnsi="Book Antiqua"/>
          <w:color w:val="000000" w:themeColor="text1"/>
          <w:sz w:val="24"/>
          <w:szCs w:val="24"/>
        </w:rPr>
        <w:t>Kim</w:t>
      </w:r>
      <w:r w:rsidR="008F1C20">
        <w:rPr>
          <w:rFonts w:ascii="Book Antiqua" w:hAnsi="Book Antiqua"/>
          <w:color w:val="000000" w:themeColor="text1"/>
          <w:sz w:val="24"/>
          <w:szCs w:val="24"/>
        </w:rPr>
        <w:t xml:space="preserve"> </w:t>
      </w:r>
      <w:r w:rsidR="008F1C20" w:rsidRPr="00B43A8C">
        <w:rPr>
          <w:rFonts w:ascii="Book Antiqua" w:hAnsi="Book Antiqua"/>
          <w:color w:val="000000" w:themeColor="text1"/>
          <w:sz w:val="24"/>
          <w:szCs w:val="24"/>
        </w:rPr>
        <w:t>JC</w:t>
      </w:r>
      <w:r w:rsidRPr="00B43A8C">
        <w:rPr>
          <w:rFonts w:ascii="Book Antiqua" w:hAnsi="Book Antiqua"/>
          <w:color w:val="000000" w:themeColor="text1"/>
          <w:sz w:val="24"/>
          <w:szCs w:val="24"/>
        </w:rPr>
        <w:t xml:space="preserve"> and </w:t>
      </w:r>
      <w:r w:rsidR="008F1C20">
        <w:rPr>
          <w:rFonts w:ascii="Book Antiqua" w:hAnsi="Book Antiqua"/>
          <w:color w:val="000000" w:themeColor="text1"/>
          <w:sz w:val="24"/>
          <w:szCs w:val="24"/>
        </w:rPr>
        <w:t xml:space="preserve">No. </w:t>
      </w:r>
      <w:r w:rsidRPr="00B43A8C">
        <w:rPr>
          <w:rFonts w:ascii="Book Antiqua" w:hAnsi="Book Antiqua"/>
          <w:color w:val="000000" w:themeColor="text1"/>
          <w:sz w:val="24"/>
          <w:szCs w:val="24"/>
        </w:rPr>
        <w:t xml:space="preserve">2017R1A2B1009062 to </w:t>
      </w:r>
      <w:proofErr w:type="spellStart"/>
      <w:r w:rsidRPr="00B43A8C">
        <w:rPr>
          <w:rFonts w:ascii="Book Antiqua" w:hAnsi="Book Antiqua"/>
          <w:color w:val="000000" w:themeColor="text1"/>
          <w:sz w:val="24"/>
          <w:szCs w:val="24"/>
        </w:rPr>
        <w:t>Roh</w:t>
      </w:r>
      <w:proofErr w:type="spellEnd"/>
      <w:r w:rsidR="008F1C20">
        <w:rPr>
          <w:rFonts w:ascii="Book Antiqua" w:hAnsi="Book Antiqua"/>
          <w:color w:val="000000" w:themeColor="text1"/>
          <w:sz w:val="24"/>
          <w:szCs w:val="24"/>
        </w:rPr>
        <w:t xml:space="preserve"> </w:t>
      </w:r>
      <w:r w:rsidR="008F1C20" w:rsidRPr="00B43A8C">
        <w:rPr>
          <w:rFonts w:ascii="Book Antiqua" w:hAnsi="Book Antiqua"/>
          <w:color w:val="000000" w:themeColor="text1"/>
          <w:sz w:val="24"/>
          <w:szCs w:val="24"/>
        </w:rPr>
        <w:t>SA</w:t>
      </w:r>
      <w:r w:rsidR="008F1C20">
        <w:rPr>
          <w:rFonts w:ascii="Book Antiqua" w:hAnsi="Book Antiqua"/>
          <w:color w:val="000000" w:themeColor="text1"/>
          <w:sz w:val="24"/>
          <w:szCs w:val="24"/>
        </w:rPr>
        <w:t>;</w:t>
      </w:r>
      <w:r w:rsidRPr="00B43A8C">
        <w:rPr>
          <w:rFonts w:ascii="Book Antiqua" w:hAnsi="Book Antiqua"/>
          <w:color w:val="000000" w:themeColor="text1"/>
          <w:sz w:val="24"/>
          <w:szCs w:val="24"/>
        </w:rPr>
        <w:t xml:space="preserve"> Ministry of Science, ICT, and Future Planning, Republic of Korea and </w:t>
      </w:r>
      <w:r w:rsidRPr="00B43A8C">
        <w:rPr>
          <w:rFonts w:ascii="Book Antiqua" w:eastAsiaTheme="minorEastAsia" w:hAnsi="Book Antiqua"/>
          <w:color w:val="000000" w:themeColor="text1"/>
          <w:sz w:val="24"/>
          <w:szCs w:val="24"/>
        </w:rPr>
        <w:t xml:space="preserve">the </w:t>
      </w:r>
      <w:proofErr w:type="spellStart"/>
      <w:r w:rsidRPr="00B43A8C">
        <w:rPr>
          <w:rFonts w:ascii="Book Antiqua" w:eastAsiaTheme="minorEastAsia" w:hAnsi="Book Antiqua"/>
          <w:color w:val="000000" w:themeColor="text1"/>
          <w:sz w:val="24"/>
          <w:szCs w:val="24"/>
        </w:rPr>
        <w:t>Asan</w:t>
      </w:r>
      <w:proofErr w:type="spellEnd"/>
      <w:r w:rsidRPr="00B43A8C">
        <w:rPr>
          <w:rFonts w:ascii="Book Antiqua" w:eastAsiaTheme="minorEastAsia" w:hAnsi="Book Antiqua"/>
          <w:color w:val="000000" w:themeColor="text1"/>
          <w:sz w:val="24"/>
          <w:szCs w:val="24"/>
        </w:rPr>
        <w:t xml:space="preserve"> Institute for Life Sciences</w:t>
      </w:r>
      <w:r w:rsidR="008F1C20">
        <w:rPr>
          <w:rFonts w:ascii="Book Antiqua" w:eastAsiaTheme="minorEastAsia" w:hAnsi="Book Antiqua"/>
          <w:color w:val="000000" w:themeColor="text1"/>
          <w:sz w:val="24"/>
          <w:szCs w:val="24"/>
        </w:rPr>
        <w:t xml:space="preserve">, No. </w:t>
      </w:r>
      <w:r w:rsidRPr="00B43A8C">
        <w:rPr>
          <w:rFonts w:ascii="Book Antiqua" w:hAnsi="Book Antiqua"/>
          <w:color w:val="000000" w:themeColor="text1"/>
          <w:sz w:val="24"/>
          <w:szCs w:val="24"/>
        </w:rPr>
        <w:t>2016-710 to Lee</w:t>
      </w:r>
      <w:r w:rsidR="008F1C20">
        <w:rPr>
          <w:rFonts w:ascii="Book Antiqua" w:hAnsi="Book Antiqua"/>
          <w:color w:val="000000" w:themeColor="text1"/>
          <w:sz w:val="24"/>
          <w:szCs w:val="24"/>
        </w:rPr>
        <w:t xml:space="preserve"> JL</w:t>
      </w:r>
      <w:r w:rsidRPr="00B43A8C">
        <w:rPr>
          <w:rFonts w:ascii="Book Antiqua" w:eastAsiaTheme="minorEastAsia" w:hAnsi="Book Antiqua"/>
          <w:color w:val="000000" w:themeColor="text1"/>
          <w:sz w:val="24"/>
          <w:szCs w:val="24"/>
        </w:rPr>
        <w:t>.</w:t>
      </w:r>
    </w:p>
    <w:p w14:paraId="7FDE67E2" w14:textId="0D40EE51" w:rsidR="00BA6B22" w:rsidRPr="00B43A8C" w:rsidRDefault="00BA6B22" w:rsidP="00B43A8C">
      <w:pPr>
        <w:wordWrap/>
        <w:adjustRightInd w:val="0"/>
        <w:snapToGrid w:val="0"/>
        <w:spacing w:line="360" w:lineRule="auto"/>
        <w:rPr>
          <w:rFonts w:ascii="Book Antiqua" w:eastAsiaTheme="minorEastAsia" w:hAnsi="Book Antiqua"/>
          <w:color w:val="000000" w:themeColor="text1"/>
          <w:sz w:val="24"/>
          <w:szCs w:val="24"/>
        </w:rPr>
      </w:pPr>
    </w:p>
    <w:p w14:paraId="0F034FAD" w14:textId="0D706E97" w:rsidR="00BA6B22" w:rsidRPr="00B43A8C" w:rsidRDefault="00BA6B22" w:rsidP="00B43A8C">
      <w:pPr>
        <w:wordWrap/>
        <w:adjustRightInd w:val="0"/>
        <w:snapToGrid w:val="0"/>
        <w:spacing w:line="360" w:lineRule="auto"/>
        <w:rPr>
          <w:rFonts w:ascii="Book Antiqua" w:hAnsi="Book Antiqua"/>
          <w:color w:val="000000" w:themeColor="text1"/>
          <w:sz w:val="24"/>
          <w:szCs w:val="24"/>
        </w:rPr>
      </w:pPr>
      <w:r w:rsidRPr="003154EF">
        <w:rPr>
          <w:rFonts w:ascii="Book Antiqua" w:eastAsiaTheme="minorEastAsia" w:hAnsi="Book Antiqua"/>
          <w:b/>
          <w:color w:val="000000" w:themeColor="text1"/>
          <w:sz w:val="24"/>
          <w:szCs w:val="24"/>
        </w:rPr>
        <w:t>Institutional review board statement:</w:t>
      </w:r>
      <w:r w:rsidRPr="003154EF">
        <w:rPr>
          <w:rFonts w:ascii="Book Antiqua" w:hAnsi="Book Antiqua"/>
          <w:b/>
          <w:color w:val="000000" w:themeColor="text1"/>
          <w:sz w:val="24"/>
          <w:szCs w:val="24"/>
        </w:rPr>
        <w:t xml:space="preserve"> </w:t>
      </w:r>
      <w:r w:rsidRPr="00B43A8C">
        <w:rPr>
          <w:rFonts w:ascii="Book Antiqua" w:hAnsi="Book Antiqua"/>
          <w:color w:val="000000" w:themeColor="text1"/>
          <w:sz w:val="24"/>
          <w:szCs w:val="24"/>
        </w:rPr>
        <w:t xml:space="preserve">The study protocol was approved by the Institutional Review Board of </w:t>
      </w:r>
      <w:proofErr w:type="spellStart"/>
      <w:r w:rsidRPr="00B43A8C">
        <w:rPr>
          <w:rFonts w:ascii="Book Antiqua" w:hAnsi="Book Antiqua"/>
          <w:color w:val="000000" w:themeColor="text1"/>
          <w:sz w:val="24"/>
          <w:szCs w:val="24"/>
        </w:rPr>
        <w:t>Asa</w:t>
      </w:r>
      <w:r w:rsidR="003154EF">
        <w:rPr>
          <w:rFonts w:ascii="Book Antiqua" w:hAnsi="Book Antiqua"/>
          <w:color w:val="000000" w:themeColor="text1"/>
          <w:sz w:val="24"/>
          <w:szCs w:val="24"/>
        </w:rPr>
        <w:t>n</w:t>
      </w:r>
      <w:proofErr w:type="spellEnd"/>
      <w:r w:rsidR="003154EF">
        <w:rPr>
          <w:rFonts w:ascii="Book Antiqua" w:hAnsi="Book Antiqua"/>
          <w:color w:val="000000" w:themeColor="text1"/>
          <w:sz w:val="24"/>
          <w:szCs w:val="24"/>
        </w:rPr>
        <w:t xml:space="preserve"> Medical Center (registration No. </w:t>
      </w:r>
      <w:r w:rsidRPr="00B43A8C">
        <w:rPr>
          <w:rFonts w:ascii="Book Antiqua" w:hAnsi="Book Antiqua"/>
          <w:color w:val="000000" w:themeColor="text1"/>
          <w:sz w:val="24"/>
          <w:szCs w:val="24"/>
        </w:rPr>
        <w:t>2015-0581), in accord with the Declaration of Helsinki.</w:t>
      </w:r>
    </w:p>
    <w:p w14:paraId="051BCE7E" w14:textId="77777777" w:rsidR="006F1146" w:rsidRPr="00B43A8C" w:rsidRDefault="006F1146" w:rsidP="00B43A8C">
      <w:pPr>
        <w:wordWrap/>
        <w:adjustRightInd w:val="0"/>
        <w:snapToGrid w:val="0"/>
        <w:spacing w:line="360" w:lineRule="auto"/>
        <w:rPr>
          <w:rFonts w:ascii="Book Antiqua" w:hAnsi="Book Antiqua"/>
          <w:color w:val="000000" w:themeColor="text1"/>
          <w:sz w:val="24"/>
          <w:szCs w:val="24"/>
        </w:rPr>
      </w:pPr>
    </w:p>
    <w:p w14:paraId="119379BC" w14:textId="3BD8AEC6" w:rsidR="006F1146" w:rsidRPr="00B43A8C" w:rsidRDefault="003154EF" w:rsidP="00B43A8C">
      <w:pPr>
        <w:wordWrap/>
        <w:adjustRightInd w:val="0"/>
        <w:snapToGrid w:val="0"/>
        <w:spacing w:line="360" w:lineRule="auto"/>
        <w:rPr>
          <w:rFonts w:ascii="Book Antiqua" w:hAnsi="Book Antiqua"/>
          <w:color w:val="000000" w:themeColor="text1"/>
          <w:sz w:val="24"/>
          <w:szCs w:val="24"/>
        </w:rPr>
      </w:pPr>
      <w:r>
        <w:rPr>
          <w:rFonts w:ascii="Book Antiqua" w:hAnsi="Book Antiqua"/>
          <w:b/>
          <w:color w:val="000000" w:themeColor="text1"/>
          <w:sz w:val="24"/>
          <w:szCs w:val="24"/>
        </w:rPr>
        <w:t>Conflict-of-</w:t>
      </w:r>
      <w:r w:rsidRPr="003154EF">
        <w:rPr>
          <w:rFonts w:ascii="Book Antiqua" w:hAnsi="Book Antiqua"/>
          <w:b/>
          <w:color w:val="000000" w:themeColor="text1"/>
          <w:sz w:val="24"/>
          <w:szCs w:val="24"/>
        </w:rPr>
        <w:t>interest statement:</w:t>
      </w:r>
      <w:r>
        <w:rPr>
          <w:rFonts w:ascii="Book Antiqua" w:hAnsi="Book Antiqua"/>
          <w:color w:val="000000" w:themeColor="text1"/>
          <w:sz w:val="24"/>
          <w:szCs w:val="24"/>
        </w:rPr>
        <w:t xml:space="preserve"> </w:t>
      </w:r>
      <w:r w:rsidR="006F1146" w:rsidRPr="00B43A8C">
        <w:rPr>
          <w:rFonts w:ascii="Book Antiqua" w:hAnsi="Book Antiqua"/>
          <w:color w:val="000000" w:themeColor="text1"/>
          <w:sz w:val="24"/>
          <w:szCs w:val="24"/>
        </w:rPr>
        <w:t>The authors declare that they have no conflict of interest.</w:t>
      </w:r>
    </w:p>
    <w:p w14:paraId="44375299" w14:textId="42CD6138" w:rsidR="006F1146" w:rsidRPr="00B43A8C" w:rsidRDefault="006F1146" w:rsidP="00B43A8C">
      <w:pPr>
        <w:wordWrap/>
        <w:adjustRightInd w:val="0"/>
        <w:snapToGrid w:val="0"/>
        <w:spacing w:line="360" w:lineRule="auto"/>
        <w:rPr>
          <w:rFonts w:ascii="Book Antiqua" w:hAnsi="Book Antiqua"/>
          <w:color w:val="000000" w:themeColor="text1"/>
          <w:sz w:val="24"/>
          <w:szCs w:val="24"/>
        </w:rPr>
      </w:pPr>
    </w:p>
    <w:p w14:paraId="5C177317" w14:textId="19B49257" w:rsidR="006F1146" w:rsidRPr="00B43A8C" w:rsidRDefault="003154EF" w:rsidP="00EF65CB">
      <w:pPr>
        <w:wordWrap/>
        <w:adjustRightInd w:val="0"/>
        <w:snapToGrid w:val="0"/>
        <w:spacing w:line="360" w:lineRule="auto"/>
        <w:outlineLvl w:val="0"/>
        <w:rPr>
          <w:rFonts w:ascii="Book Antiqua" w:hAnsi="Book Antiqua"/>
          <w:color w:val="000000" w:themeColor="text1"/>
          <w:sz w:val="24"/>
          <w:szCs w:val="24"/>
        </w:rPr>
      </w:pPr>
      <w:r w:rsidRPr="003154EF">
        <w:rPr>
          <w:rFonts w:ascii="Book Antiqua" w:hAnsi="Book Antiqua"/>
          <w:b/>
          <w:color w:val="000000" w:themeColor="text1"/>
          <w:sz w:val="24"/>
          <w:szCs w:val="24"/>
        </w:rPr>
        <w:t>Data sharing statement:</w:t>
      </w:r>
      <w:r>
        <w:rPr>
          <w:rFonts w:ascii="Book Antiqua" w:hAnsi="Book Antiqua"/>
          <w:color w:val="000000" w:themeColor="text1"/>
          <w:sz w:val="24"/>
          <w:szCs w:val="24"/>
        </w:rPr>
        <w:t xml:space="preserve"> No additional data are available.</w:t>
      </w:r>
    </w:p>
    <w:p w14:paraId="40B1F7FC" w14:textId="77777777" w:rsidR="006F1146" w:rsidRPr="00B43A8C" w:rsidRDefault="006F1146" w:rsidP="00B43A8C">
      <w:pPr>
        <w:wordWrap/>
        <w:adjustRightInd w:val="0"/>
        <w:snapToGrid w:val="0"/>
        <w:spacing w:line="360" w:lineRule="auto"/>
        <w:rPr>
          <w:rFonts w:ascii="Book Antiqua" w:hAnsi="Book Antiqua"/>
          <w:color w:val="000000" w:themeColor="text1"/>
          <w:sz w:val="24"/>
          <w:szCs w:val="24"/>
        </w:rPr>
      </w:pPr>
    </w:p>
    <w:p w14:paraId="6BCFBF9F" w14:textId="3F5EDBB0" w:rsidR="00BA6B22" w:rsidRPr="00B43A8C" w:rsidRDefault="003154EF" w:rsidP="00EF65CB">
      <w:pPr>
        <w:wordWrap/>
        <w:adjustRightInd w:val="0"/>
        <w:snapToGrid w:val="0"/>
        <w:spacing w:line="360" w:lineRule="auto"/>
        <w:outlineLvl w:val="0"/>
        <w:rPr>
          <w:rFonts w:ascii="Book Antiqua" w:hAnsi="Book Antiqua"/>
          <w:color w:val="000000" w:themeColor="text1"/>
          <w:sz w:val="24"/>
          <w:szCs w:val="24"/>
        </w:rPr>
      </w:pPr>
      <w:r w:rsidRPr="003154EF">
        <w:rPr>
          <w:rFonts w:ascii="Book Antiqua" w:hAnsi="Book Antiqua"/>
          <w:b/>
          <w:color w:val="000000" w:themeColor="text1"/>
          <w:sz w:val="24"/>
          <w:szCs w:val="24"/>
        </w:rPr>
        <w:lastRenderedPageBreak/>
        <w:t>ARRIVE guidelines statement:</w:t>
      </w:r>
      <w:r>
        <w:rPr>
          <w:rFonts w:ascii="Book Antiqua" w:hAnsi="Book Antiqua"/>
          <w:color w:val="000000" w:themeColor="text1"/>
          <w:sz w:val="24"/>
          <w:szCs w:val="24"/>
        </w:rPr>
        <w:t xml:space="preserve"> </w:t>
      </w:r>
      <w:r w:rsidR="00BA6B22" w:rsidRPr="00B43A8C">
        <w:rPr>
          <w:rFonts w:ascii="Book Antiqua" w:hAnsi="Book Antiqua"/>
          <w:color w:val="000000" w:themeColor="text1"/>
          <w:sz w:val="24"/>
          <w:szCs w:val="24"/>
        </w:rPr>
        <w:t>The ARRIVE Guidelines have been adopted.</w:t>
      </w:r>
    </w:p>
    <w:p w14:paraId="5A5A9E84" w14:textId="77777777" w:rsidR="00B24520" w:rsidRPr="003154EF" w:rsidRDefault="00B24520" w:rsidP="003154EF">
      <w:pPr>
        <w:wordWrap/>
        <w:adjustRightInd w:val="0"/>
        <w:snapToGrid w:val="0"/>
        <w:spacing w:line="360" w:lineRule="auto"/>
        <w:rPr>
          <w:rFonts w:ascii="Book Antiqua" w:hAnsi="Book Antiqua"/>
          <w:b/>
          <w:bCs/>
          <w:color w:val="000000" w:themeColor="text1"/>
          <w:sz w:val="24"/>
          <w:szCs w:val="24"/>
          <w:vertAlign w:val="superscript"/>
        </w:rPr>
      </w:pPr>
    </w:p>
    <w:p w14:paraId="14B56C8C" w14:textId="77777777" w:rsidR="003154EF" w:rsidRPr="003154EF" w:rsidRDefault="003154EF" w:rsidP="003154EF">
      <w:pPr>
        <w:wordWrap/>
        <w:adjustRightInd w:val="0"/>
        <w:snapToGrid w:val="0"/>
        <w:spacing w:line="360" w:lineRule="auto"/>
        <w:rPr>
          <w:rFonts w:ascii="Book Antiqua" w:hAnsi="Book Antiqua"/>
          <w:sz w:val="24"/>
          <w:szCs w:val="24"/>
        </w:rPr>
      </w:pPr>
      <w:bookmarkStart w:id="25" w:name="OLE_LINK25"/>
      <w:bookmarkStart w:id="26" w:name="OLE_LINK26"/>
      <w:bookmarkStart w:id="27" w:name="OLE_LINK375"/>
      <w:bookmarkStart w:id="28" w:name="OLE_LINK32"/>
      <w:bookmarkStart w:id="29" w:name="OLE_LINK381"/>
      <w:bookmarkStart w:id="30" w:name="OLE_LINK413"/>
      <w:r w:rsidRPr="003154EF">
        <w:rPr>
          <w:rFonts w:ascii="Book Antiqua" w:hAnsi="Book Antiqua"/>
          <w:b/>
          <w:color w:val="000000"/>
          <w:sz w:val="24"/>
          <w:szCs w:val="24"/>
        </w:rPr>
        <w:t xml:space="preserve">Open-Access: </w:t>
      </w:r>
      <w:r w:rsidRPr="003154EF">
        <w:rPr>
          <w:rFonts w:ascii="Book Antiqua" w:hAnsi="Book Antiqua"/>
          <w:color w:val="000000"/>
          <w:sz w:val="24"/>
          <w:szCs w:val="24"/>
        </w:rPr>
        <w:t xml:space="preserve">This is an </w:t>
      </w:r>
      <w:r w:rsidRPr="003154EF">
        <w:rPr>
          <w:rFonts w:ascii="Book Antiqua" w:hAnsi="Book Antiqua" w:cs="SimSun"/>
          <w:sz w:val="24"/>
          <w:szCs w:val="24"/>
        </w:rPr>
        <w:t xml:space="preserve">open-access article that was </w:t>
      </w:r>
      <w:r w:rsidRPr="003154EF">
        <w:rPr>
          <w:rFonts w:ascii="Book Antiqua" w:hAnsi="Book Antiqua"/>
          <w:sz w:val="24"/>
          <w:szCs w:val="24"/>
        </w:rPr>
        <w:t xml:space="preserve">selected by an in-house editor and fully peer-reviewed by external reviewers. It is </w:t>
      </w:r>
      <w:r w:rsidRPr="003154EF">
        <w:rPr>
          <w:rFonts w:ascii="Book Antiqua" w:hAnsi="Book Antiqua" w:cs="SimSun"/>
          <w:sz w:val="24"/>
          <w:szCs w:val="24"/>
        </w:rPr>
        <w:t xml:space="preserve">distributed in accordance with </w:t>
      </w:r>
      <w:r w:rsidRPr="003154EF">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3154EF">
          <w:rPr>
            <w:rStyle w:val="Hyperlink"/>
            <w:rFonts w:ascii="Book Antiqua" w:hAnsi="Book Antiqua"/>
            <w:sz w:val="24"/>
            <w:szCs w:val="24"/>
          </w:rPr>
          <w:t>http://creativecommons.org/licenses/by-nc/4.0/</w:t>
        </w:r>
      </w:hyperlink>
    </w:p>
    <w:p w14:paraId="0F11E5D8" w14:textId="77777777" w:rsidR="003154EF" w:rsidRPr="003154EF" w:rsidRDefault="003154EF" w:rsidP="003154EF">
      <w:pPr>
        <w:wordWrap/>
        <w:adjustRightInd w:val="0"/>
        <w:snapToGrid w:val="0"/>
        <w:spacing w:line="360" w:lineRule="auto"/>
        <w:rPr>
          <w:rFonts w:ascii="Book Antiqua" w:hAnsi="Book Antiqua"/>
          <w:sz w:val="24"/>
          <w:szCs w:val="24"/>
        </w:rPr>
      </w:pPr>
    </w:p>
    <w:p w14:paraId="351EBEBD" w14:textId="3CAB3EAD" w:rsidR="003154EF" w:rsidRDefault="003154EF" w:rsidP="00EF65CB">
      <w:pPr>
        <w:wordWrap/>
        <w:adjustRightInd w:val="0"/>
        <w:snapToGrid w:val="0"/>
        <w:spacing w:line="360" w:lineRule="auto"/>
        <w:outlineLvl w:val="0"/>
        <w:rPr>
          <w:rFonts w:ascii="Book Antiqua" w:hAnsi="Book Antiqua"/>
          <w:bCs/>
          <w:sz w:val="24"/>
          <w:szCs w:val="24"/>
        </w:rPr>
      </w:pPr>
      <w:bookmarkStart w:id="31" w:name="OLE_LINK11"/>
      <w:r w:rsidRPr="003154EF">
        <w:rPr>
          <w:rFonts w:ascii="Book Antiqua" w:hAnsi="Book Antiqua"/>
          <w:b/>
          <w:bCs/>
          <w:sz w:val="24"/>
          <w:szCs w:val="24"/>
          <w:highlight w:val="white"/>
        </w:rPr>
        <w:t>Manuscript source:</w:t>
      </w:r>
      <w:r w:rsidRPr="003154EF">
        <w:rPr>
          <w:rFonts w:ascii="Book Antiqua" w:hAnsi="Book Antiqua" w:hint="eastAsia"/>
          <w:b/>
          <w:bCs/>
          <w:sz w:val="24"/>
          <w:szCs w:val="24"/>
          <w:highlight w:val="white"/>
          <w:lang w:eastAsia="zh-CN"/>
        </w:rPr>
        <w:t xml:space="preserve"> </w:t>
      </w:r>
      <w:r w:rsidRPr="003154EF">
        <w:rPr>
          <w:rFonts w:ascii="Book Antiqua" w:hAnsi="Book Antiqua"/>
          <w:bCs/>
          <w:sz w:val="24"/>
          <w:szCs w:val="24"/>
          <w:highlight w:val="white"/>
        </w:rPr>
        <w:t>Unsolicited manuscript</w:t>
      </w:r>
      <w:bookmarkEnd w:id="25"/>
      <w:bookmarkEnd w:id="26"/>
      <w:bookmarkEnd w:id="27"/>
      <w:bookmarkEnd w:id="28"/>
      <w:bookmarkEnd w:id="29"/>
      <w:bookmarkEnd w:id="30"/>
      <w:bookmarkEnd w:id="31"/>
    </w:p>
    <w:p w14:paraId="20ECDA79" w14:textId="77777777" w:rsidR="003154EF" w:rsidRPr="003154EF" w:rsidRDefault="003154EF" w:rsidP="003154EF">
      <w:pPr>
        <w:wordWrap/>
        <w:adjustRightInd w:val="0"/>
        <w:snapToGrid w:val="0"/>
        <w:spacing w:line="360" w:lineRule="auto"/>
        <w:rPr>
          <w:rFonts w:ascii="Book Antiqua" w:hAnsi="Book Antiqua"/>
          <w:b/>
          <w:bCs/>
          <w:color w:val="000000" w:themeColor="text1"/>
          <w:sz w:val="24"/>
          <w:szCs w:val="24"/>
          <w:vertAlign w:val="superscript"/>
        </w:rPr>
      </w:pPr>
    </w:p>
    <w:p w14:paraId="6111909B" w14:textId="5CC72C69" w:rsidR="00DB03D6" w:rsidRPr="00B43A8C" w:rsidRDefault="00DB03D6" w:rsidP="00B43A8C">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b/>
          <w:color w:val="000000" w:themeColor="text1"/>
          <w:sz w:val="24"/>
          <w:szCs w:val="24"/>
        </w:rPr>
        <w:t>Correspond</w:t>
      </w:r>
      <w:r w:rsidR="00BA6B22" w:rsidRPr="00B43A8C">
        <w:rPr>
          <w:rFonts w:ascii="Book Antiqua" w:hAnsi="Book Antiqua"/>
          <w:b/>
          <w:color w:val="000000" w:themeColor="text1"/>
          <w:sz w:val="24"/>
          <w:szCs w:val="24"/>
        </w:rPr>
        <w:t>ing author</w:t>
      </w:r>
      <w:r w:rsidRPr="00B43A8C">
        <w:rPr>
          <w:rFonts w:ascii="Book Antiqua" w:hAnsi="Book Antiqua"/>
          <w:b/>
          <w:color w:val="000000" w:themeColor="text1"/>
          <w:sz w:val="24"/>
          <w:szCs w:val="24"/>
        </w:rPr>
        <w:t>:</w:t>
      </w:r>
      <w:r w:rsidRPr="00B43A8C">
        <w:rPr>
          <w:rFonts w:ascii="Book Antiqua" w:hAnsi="Book Antiqua"/>
          <w:color w:val="000000" w:themeColor="text1"/>
          <w:sz w:val="24"/>
          <w:szCs w:val="24"/>
        </w:rPr>
        <w:t xml:space="preserve"> </w:t>
      </w:r>
      <w:proofErr w:type="spellStart"/>
      <w:r w:rsidRPr="003154EF">
        <w:rPr>
          <w:rFonts w:ascii="Book Antiqua" w:hAnsi="Book Antiqua"/>
          <w:b/>
          <w:color w:val="000000" w:themeColor="text1"/>
          <w:sz w:val="24"/>
          <w:szCs w:val="24"/>
        </w:rPr>
        <w:t>Jin</w:t>
      </w:r>
      <w:proofErr w:type="spellEnd"/>
      <w:r w:rsidRPr="003154EF">
        <w:rPr>
          <w:rFonts w:ascii="Book Antiqua" w:hAnsi="Book Antiqua"/>
          <w:b/>
          <w:color w:val="000000" w:themeColor="text1"/>
          <w:sz w:val="24"/>
          <w:szCs w:val="24"/>
        </w:rPr>
        <w:t xml:space="preserve"> </w:t>
      </w:r>
      <w:proofErr w:type="spellStart"/>
      <w:r w:rsidRPr="003154EF">
        <w:rPr>
          <w:rFonts w:ascii="Book Antiqua" w:hAnsi="Book Antiqua"/>
          <w:b/>
          <w:color w:val="000000" w:themeColor="text1"/>
          <w:sz w:val="24"/>
          <w:szCs w:val="24"/>
        </w:rPr>
        <w:t>Cheon</w:t>
      </w:r>
      <w:proofErr w:type="spellEnd"/>
      <w:r w:rsidRPr="003154EF">
        <w:rPr>
          <w:rFonts w:ascii="Book Antiqua" w:hAnsi="Book Antiqua"/>
          <w:b/>
          <w:color w:val="000000" w:themeColor="text1"/>
          <w:sz w:val="24"/>
          <w:szCs w:val="24"/>
        </w:rPr>
        <w:t xml:space="preserve"> Kim, </w:t>
      </w:r>
      <w:r w:rsidR="003154EF" w:rsidRPr="003154EF">
        <w:rPr>
          <w:rFonts w:ascii="Book Antiqua" w:hAnsi="Book Antiqua"/>
          <w:b/>
          <w:color w:val="000000" w:themeColor="text1"/>
          <w:sz w:val="24"/>
          <w:szCs w:val="24"/>
        </w:rPr>
        <w:t>MD, PhD, Doctor, Professor, Surgeon,</w:t>
      </w:r>
      <w:r w:rsidR="006F1146" w:rsidRPr="003154EF">
        <w:rPr>
          <w:rFonts w:ascii="Book Antiqua" w:hAnsi="Book Antiqua"/>
          <w:b/>
          <w:color w:val="000000" w:themeColor="text1"/>
          <w:sz w:val="24"/>
          <w:szCs w:val="24"/>
        </w:rPr>
        <w:t xml:space="preserve"> </w:t>
      </w:r>
      <w:r w:rsidRPr="00B43A8C">
        <w:rPr>
          <w:rFonts w:ascii="Book Antiqua" w:hAnsi="Book Antiqua"/>
          <w:color w:val="000000" w:themeColor="text1"/>
          <w:sz w:val="24"/>
          <w:szCs w:val="24"/>
        </w:rPr>
        <w:t>Department of Surgery, University of Ulsan College of Me</w:t>
      </w:r>
      <w:r w:rsidR="003154EF">
        <w:rPr>
          <w:rFonts w:ascii="Book Antiqua" w:hAnsi="Book Antiqua"/>
          <w:color w:val="000000" w:themeColor="text1"/>
          <w:sz w:val="24"/>
          <w:szCs w:val="24"/>
        </w:rPr>
        <w:t xml:space="preserve">dicine, </w:t>
      </w:r>
      <w:proofErr w:type="spellStart"/>
      <w:r w:rsidR="003154EF">
        <w:rPr>
          <w:rFonts w:ascii="Book Antiqua" w:hAnsi="Book Antiqua"/>
          <w:color w:val="000000" w:themeColor="text1"/>
          <w:sz w:val="24"/>
          <w:szCs w:val="24"/>
        </w:rPr>
        <w:t>Asan</w:t>
      </w:r>
      <w:proofErr w:type="spellEnd"/>
      <w:r w:rsidR="003154EF">
        <w:rPr>
          <w:rFonts w:ascii="Book Antiqua" w:hAnsi="Book Antiqua"/>
          <w:color w:val="000000" w:themeColor="text1"/>
          <w:sz w:val="24"/>
          <w:szCs w:val="24"/>
        </w:rPr>
        <w:t xml:space="preserve"> Medical Center, 88</w:t>
      </w:r>
      <w:r w:rsidRPr="00B43A8C">
        <w:rPr>
          <w:rFonts w:ascii="Book Antiqua" w:hAnsi="Book Antiqua"/>
          <w:color w:val="000000" w:themeColor="text1"/>
          <w:sz w:val="24"/>
          <w:szCs w:val="24"/>
        </w:rPr>
        <w:t xml:space="preserve"> Olym</w:t>
      </w:r>
      <w:r w:rsidR="003154EF">
        <w:rPr>
          <w:rFonts w:ascii="Book Antiqua" w:hAnsi="Book Antiqua"/>
          <w:color w:val="000000" w:themeColor="text1"/>
          <w:sz w:val="24"/>
          <w:szCs w:val="24"/>
        </w:rPr>
        <w:t>pic-</w:t>
      </w:r>
      <w:proofErr w:type="spellStart"/>
      <w:r w:rsidR="003154EF">
        <w:rPr>
          <w:rFonts w:ascii="Book Antiqua" w:hAnsi="Book Antiqua"/>
          <w:color w:val="000000" w:themeColor="text1"/>
          <w:sz w:val="24"/>
          <w:szCs w:val="24"/>
        </w:rPr>
        <w:t>ro</w:t>
      </w:r>
      <w:proofErr w:type="spellEnd"/>
      <w:r w:rsidR="003154EF">
        <w:rPr>
          <w:rFonts w:ascii="Book Antiqua" w:hAnsi="Book Antiqua"/>
          <w:color w:val="000000" w:themeColor="text1"/>
          <w:sz w:val="24"/>
          <w:szCs w:val="24"/>
        </w:rPr>
        <w:t xml:space="preserve"> 43-gil, </w:t>
      </w:r>
      <w:proofErr w:type="spellStart"/>
      <w:r w:rsidR="003154EF">
        <w:rPr>
          <w:rFonts w:ascii="Book Antiqua" w:hAnsi="Book Antiqua"/>
          <w:color w:val="000000" w:themeColor="text1"/>
          <w:sz w:val="24"/>
          <w:szCs w:val="24"/>
        </w:rPr>
        <w:t>Songpa-gu</w:t>
      </w:r>
      <w:proofErr w:type="spellEnd"/>
      <w:r w:rsidR="003154EF">
        <w:rPr>
          <w:rFonts w:ascii="Book Antiqua" w:hAnsi="Book Antiqua"/>
          <w:color w:val="000000" w:themeColor="text1"/>
          <w:sz w:val="24"/>
          <w:szCs w:val="24"/>
        </w:rPr>
        <w:t>, Seoul</w:t>
      </w:r>
      <w:r w:rsidRPr="00B43A8C">
        <w:rPr>
          <w:rFonts w:ascii="Book Antiqua" w:hAnsi="Book Antiqua"/>
          <w:color w:val="000000" w:themeColor="text1"/>
          <w:sz w:val="24"/>
          <w:szCs w:val="24"/>
        </w:rPr>
        <w:t xml:space="preserve"> </w:t>
      </w:r>
      <w:r w:rsidRPr="00B43A8C">
        <w:rPr>
          <w:rFonts w:ascii="Book Antiqua" w:hAnsi="Book Antiqua"/>
          <w:color w:val="000000" w:themeColor="text1"/>
          <w:kern w:val="0"/>
          <w:sz w:val="24"/>
          <w:szCs w:val="24"/>
        </w:rPr>
        <w:t xml:space="preserve">05505, </w:t>
      </w:r>
      <w:r w:rsidR="003154EF">
        <w:rPr>
          <w:rFonts w:ascii="Book Antiqua" w:hAnsi="Book Antiqua"/>
          <w:color w:val="000000" w:themeColor="text1"/>
          <w:kern w:val="0"/>
          <w:sz w:val="24"/>
          <w:szCs w:val="24"/>
        </w:rPr>
        <w:t xml:space="preserve">South </w:t>
      </w:r>
      <w:r w:rsidRPr="00B43A8C">
        <w:rPr>
          <w:rFonts w:ascii="Book Antiqua" w:hAnsi="Book Antiqua"/>
          <w:color w:val="000000" w:themeColor="text1"/>
          <w:sz w:val="24"/>
          <w:szCs w:val="24"/>
        </w:rPr>
        <w:t>Korea</w:t>
      </w:r>
      <w:r w:rsidR="003154EF">
        <w:rPr>
          <w:rFonts w:ascii="Book Antiqua" w:hAnsi="Book Antiqua"/>
          <w:color w:val="000000" w:themeColor="text1"/>
          <w:sz w:val="24"/>
          <w:szCs w:val="24"/>
        </w:rPr>
        <w:t xml:space="preserve">. </w:t>
      </w:r>
      <w:r w:rsidR="003154EF" w:rsidRPr="00B43A8C">
        <w:rPr>
          <w:rFonts w:ascii="Book Antiqua" w:hAnsi="Book Antiqua"/>
          <w:color w:val="000000" w:themeColor="text1"/>
          <w:sz w:val="24"/>
          <w:szCs w:val="24"/>
        </w:rPr>
        <w:t>jckim@amc.seoul.kr</w:t>
      </w:r>
    </w:p>
    <w:p w14:paraId="58327F69" w14:textId="77777777" w:rsidR="003154EF" w:rsidRPr="00342B03" w:rsidRDefault="00DB03D6" w:rsidP="00342B03">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b/>
          <w:color w:val="000000" w:themeColor="text1"/>
          <w:sz w:val="24"/>
          <w:szCs w:val="24"/>
        </w:rPr>
        <w:t>Te</w:t>
      </w:r>
      <w:r w:rsidRPr="00342B03">
        <w:rPr>
          <w:rFonts w:ascii="Book Antiqua" w:hAnsi="Book Antiqua"/>
          <w:b/>
          <w:color w:val="000000" w:themeColor="text1"/>
          <w:sz w:val="24"/>
          <w:szCs w:val="24"/>
        </w:rPr>
        <w:t>l</w:t>
      </w:r>
      <w:r w:rsidR="003154EF" w:rsidRPr="00342B03">
        <w:rPr>
          <w:rFonts w:ascii="Book Antiqua" w:hAnsi="Book Antiqua"/>
          <w:b/>
          <w:color w:val="000000" w:themeColor="text1"/>
          <w:sz w:val="24"/>
          <w:szCs w:val="24"/>
        </w:rPr>
        <w:t>ephone</w:t>
      </w:r>
      <w:r w:rsidRPr="00342B03">
        <w:rPr>
          <w:rFonts w:ascii="Book Antiqua" w:hAnsi="Book Antiqua"/>
          <w:b/>
          <w:color w:val="000000" w:themeColor="text1"/>
          <w:sz w:val="24"/>
          <w:szCs w:val="24"/>
        </w:rPr>
        <w:t>:</w:t>
      </w:r>
      <w:r w:rsidRPr="00342B03">
        <w:rPr>
          <w:rFonts w:ascii="Book Antiqua" w:hAnsi="Book Antiqua"/>
          <w:color w:val="000000" w:themeColor="text1"/>
          <w:sz w:val="24"/>
          <w:szCs w:val="24"/>
        </w:rPr>
        <w:t xml:space="preserve"> </w:t>
      </w:r>
      <w:bookmarkStart w:id="32" w:name="OLE_LINK53"/>
      <w:r w:rsidR="003154EF" w:rsidRPr="00342B03">
        <w:rPr>
          <w:rFonts w:ascii="Book Antiqua" w:hAnsi="Book Antiqua"/>
          <w:color w:val="000000" w:themeColor="text1"/>
          <w:sz w:val="24"/>
          <w:szCs w:val="24"/>
        </w:rPr>
        <w:t>+82-2-30103489</w:t>
      </w:r>
      <w:bookmarkEnd w:id="32"/>
    </w:p>
    <w:p w14:paraId="79E56C89" w14:textId="4CBF8850" w:rsidR="00DB03D6" w:rsidRPr="00342B03" w:rsidRDefault="00DB03D6" w:rsidP="00342B03">
      <w:pPr>
        <w:wordWrap/>
        <w:adjustRightInd w:val="0"/>
        <w:snapToGrid w:val="0"/>
        <w:spacing w:line="360" w:lineRule="auto"/>
        <w:rPr>
          <w:rFonts w:ascii="Book Antiqua" w:hAnsi="Book Antiqua"/>
          <w:color w:val="000000" w:themeColor="text1"/>
          <w:sz w:val="24"/>
          <w:szCs w:val="24"/>
        </w:rPr>
      </w:pPr>
      <w:r w:rsidRPr="00342B03">
        <w:rPr>
          <w:rFonts w:ascii="Book Antiqua" w:hAnsi="Book Antiqua"/>
          <w:b/>
          <w:color w:val="000000" w:themeColor="text1"/>
          <w:sz w:val="24"/>
          <w:szCs w:val="24"/>
        </w:rPr>
        <w:t>Fax</w:t>
      </w:r>
      <w:r w:rsidR="003154EF" w:rsidRPr="00342B03">
        <w:rPr>
          <w:rFonts w:ascii="Book Antiqua" w:hAnsi="Book Antiqua"/>
          <w:b/>
          <w:color w:val="000000" w:themeColor="text1"/>
          <w:sz w:val="24"/>
          <w:szCs w:val="24"/>
        </w:rPr>
        <w:t xml:space="preserve">: </w:t>
      </w:r>
      <w:r w:rsidR="003154EF" w:rsidRPr="00342B03">
        <w:rPr>
          <w:rFonts w:ascii="Book Antiqua" w:hAnsi="Book Antiqua"/>
          <w:color w:val="000000" w:themeColor="text1"/>
          <w:sz w:val="24"/>
          <w:szCs w:val="24"/>
        </w:rPr>
        <w:t>+82-2-474</w:t>
      </w:r>
      <w:r w:rsidRPr="00342B03">
        <w:rPr>
          <w:rFonts w:ascii="Book Antiqua" w:hAnsi="Book Antiqua"/>
          <w:color w:val="000000" w:themeColor="text1"/>
          <w:sz w:val="24"/>
          <w:szCs w:val="24"/>
        </w:rPr>
        <w:t xml:space="preserve">9027 </w:t>
      </w:r>
    </w:p>
    <w:p w14:paraId="32A0B6DF" w14:textId="006C2FC1" w:rsidR="00DB03D6" w:rsidRPr="00342B03" w:rsidRDefault="00DB03D6" w:rsidP="00342B03">
      <w:pPr>
        <w:wordWrap/>
        <w:adjustRightInd w:val="0"/>
        <w:snapToGrid w:val="0"/>
        <w:spacing w:line="360" w:lineRule="auto"/>
        <w:rPr>
          <w:rFonts w:ascii="Book Antiqua" w:hAnsi="Book Antiqua"/>
          <w:color w:val="000000" w:themeColor="text1"/>
          <w:sz w:val="24"/>
          <w:szCs w:val="24"/>
        </w:rPr>
      </w:pPr>
    </w:p>
    <w:p w14:paraId="3D067910" w14:textId="712F7439" w:rsidR="00342B03" w:rsidRPr="00342B03" w:rsidRDefault="00342B03" w:rsidP="00EF65CB">
      <w:pPr>
        <w:wordWrap/>
        <w:adjustRightInd w:val="0"/>
        <w:snapToGrid w:val="0"/>
        <w:spacing w:line="360" w:lineRule="auto"/>
        <w:outlineLvl w:val="0"/>
        <w:rPr>
          <w:rFonts w:ascii="Book Antiqua" w:hAnsi="Book Antiqua"/>
          <w:b/>
          <w:sz w:val="24"/>
          <w:szCs w:val="24"/>
        </w:rPr>
      </w:pPr>
      <w:bookmarkStart w:id="33" w:name="OLE_LINK14"/>
      <w:bookmarkStart w:id="34" w:name="OLE_LINK16"/>
      <w:bookmarkStart w:id="35" w:name="OLE_LINK51"/>
      <w:bookmarkStart w:id="36" w:name="OLE_LINK27"/>
      <w:bookmarkStart w:id="37" w:name="OLE_LINK382"/>
      <w:bookmarkStart w:id="38" w:name="OLE_LINK30"/>
      <w:bookmarkStart w:id="39" w:name="OLE_LINK376"/>
      <w:bookmarkStart w:id="40" w:name="OLE_LINK35"/>
      <w:r w:rsidRPr="00342B03">
        <w:rPr>
          <w:rFonts w:ascii="Book Antiqua" w:hAnsi="Book Antiqua"/>
          <w:b/>
          <w:sz w:val="24"/>
          <w:szCs w:val="24"/>
        </w:rPr>
        <w:t xml:space="preserve">Received: </w:t>
      </w:r>
      <w:r w:rsidR="00D033C8">
        <w:rPr>
          <w:rFonts w:ascii="Book Antiqua" w:hAnsi="Book Antiqua"/>
          <w:sz w:val="24"/>
          <w:szCs w:val="24"/>
        </w:rPr>
        <w:t>November</w:t>
      </w:r>
      <w:r w:rsidR="00D033C8">
        <w:rPr>
          <w:rFonts w:ascii="Book Antiqua" w:eastAsia="DengXian" w:hAnsi="Book Antiqua"/>
          <w:sz w:val="24"/>
          <w:szCs w:val="24"/>
        </w:rPr>
        <w:t xml:space="preserve"> 20</w:t>
      </w:r>
      <w:r w:rsidRPr="00342B03">
        <w:rPr>
          <w:rFonts w:ascii="Book Antiqua" w:eastAsia="DengXian" w:hAnsi="Book Antiqua"/>
          <w:sz w:val="24"/>
          <w:szCs w:val="24"/>
        </w:rPr>
        <w:t>, 2018</w:t>
      </w:r>
    </w:p>
    <w:p w14:paraId="3C5F2657" w14:textId="3A652D1E" w:rsidR="00342B03" w:rsidRPr="00342B03" w:rsidRDefault="00342B03" w:rsidP="00EF65CB">
      <w:pPr>
        <w:wordWrap/>
        <w:adjustRightInd w:val="0"/>
        <w:snapToGrid w:val="0"/>
        <w:spacing w:line="360" w:lineRule="auto"/>
        <w:outlineLvl w:val="0"/>
        <w:rPr>
          <w:rFonts w:ascii="Book Antiqua" w:eastAsia="DengXian" w:hAnsi="Book Antiqua"/>
          <w:b/>
          <w:sz w:val="24"/>
          <w:szCs w:val="24"/>
        </w:rPr>
      </w:pPr>
      <w:r w:rsidRPr="00342B03">
        <w:rPr>
          <w:rFonts w:ascii="Book Antiqua" w:hAnsi="Book Antiqua"/>
          <w:b/>
          <w:sz w:val="24"/>
          <w:szCs w:val="24"/>
        </w:rPr>
        <w:t>Peer-review started:</w:t>
      </w:r>
      <w:r w:rsidRPr="00342B03">
        <w:rPr>
          <w:rFonts w:ascii="Book Antiqua" w:eastAsia="DengXian" w:hAnsi="Book Antiqua"/>
          <w:b/>
          <w:sz w:val="24"/>
          <w:szCs w:val="24"/>
        </w:rPr>
        <w:t xml:space="preserve"> </w:t>
      </w:r>
      <w:r w:rsidR="00D033C8">
        <w:rPr>
          <w:rFonts w:ascii="Book Antiqua" w:hAnsi="Book Antiqua"/>
          <w:sz w:val="24"/>
          <w:szCs w:val="24"/>
        </w:rPr>
        <w:t>November</w:t>
      </w:r>
      <w:r w:rsidR="00D033C8">
        <w:rPr>
          <w:rFonts w:ascii="Book Antiqua" w:eastAsia="DengXian" w:hAnsi="Book Antiqua"/>
          <w:sz w:val="24"/>
          <w:szCs w:val="24"/>
        </w:rPr>
        <w:t xml:space="preserve"> 20</w:t>
      </w:r>
      <w:r w:rsidR="00D033C8" w:rsidRPr="00342B03">
        <w:rPr>
          <w:rFonts w:ascii="Book Antiqua" w:eastAsia="DengXian" w:hAnsi="Book Antiqua"/>
          <w:sz w:val="24"/>
          <w:szCs w:val="24"/>
        </w:rPr>
        <w:t>, 2018</w:t>
      </w:r>
    </w:p>
    <w:p w14:paraId="294EB50B" w14:textId="74461B11" w:rsidR="00342B03" w:rsidRPr="00342B03" w:rsidRDefault="00342B03" w:rsidP="00EF65CB">
      <w:pPr>
        <w:wordWrap/>
        <w:adjustRightInd w:val="0"/>
        <w:snapToGrid w:val="0"/>
        <w:spacing w:line="360" w:lineRule="auto"/>
        <w:outlineLvl w:val="0"/>
        <w:rPr>
          <w:rFonts w:ascii="Book Antiqua" w:eastAsia="DengXian" w:hAnsi="Book Antiqua"/>
          <w:b/>
          <w:sz w:val="24"/>
          <w:szCs w:val="24"/>
        </w:rPr>
      </w:pPr>
      <w:r w:rsidRPr="00342B03">
        <w:rPr>
          <w:rFonts w:ascii="Book Antiqua" w:hAnsi="Book Antiqua"/>
          <w:b/>
          <w:sz w:val="24"/>
          <w:szCs w:val="24"/>
        </w:rPr>
        <w:t>First decision:</w:t>
      </w:r>
      <w:r w:rsidRPr="00342B03">
        <w:rPr>
          <w:rFonts w:ascii="Book Antiqua" w:eastAsia="DengXian" w:hAnsi="Book Antiqua"/>
          <w:b/>
          <w:sz w:val="24"/>
          <w:szCs w:val="24"/>
        </w:rPr>
        <w:t xml:space="preserve"> </w:t>
      </w:r>
      <w:r w:rsidR="00D033C8">
        <w:rPr>
          <w:rFonts w:ascii="Book Antiqua" w:hAnsi="Book Antiqua"/>
          <w:sz w:val="24"/>
          <w:szCs w:val="24"/>
        </w:rPr>
        <w:t>January</w:t>
      </w:r>
      <w:r w:rsidR="00D033C8">
        <w:rPr>
          <w:rFonts w:ascii="Book Antiqua" w:eastAsia="DengXian" w:hAnsi="Book Antiqua"/>
          <w:sz w:val="24"/>
          <w:szCs w:val="24"/>
        </w:rPr>
        <w:t xml:space="preserve"> 30</w:t>
      </w:r>
      <w:r w:rsidRPr="00342B03">
        <w:rPr>
          <w:rFonts w:ascii="Book Antiqua" w:eastAsia="DengXian" w:hAnsi="Book Antiqua"/>
          <w:sz w:val="24"/>
          <w:szCs w:val="24"/>
        </w:rPr>
        <w:t>, 201</w:t>
      </w:r>
      <w:r w:rsidR="00D033C8">
        <w:rPr>
          <w:rFonts w:ascii="Book Antiqua" w:eastAsia="DengXian" w:hAnsi="Book Antiqua"/>
          <w:sz w:val="24"/>
          <w:szCs w:val="24"/>
        </w:rPr>
        <w:t>9</w:t>
      </w:r>
    </w:p>
    <w:p w14:paraId="4B842DE1" w14:textId="1D8DF06F" w:rsidR="00342B03" w:rsidRPr="00342B03" w:rsidRDefault="00342B03" w:rsidP="00342B03">
      <w:pPr>
        <w:wordWrap/>
        <w:adjustRightInd w:val="0"/>
        <w:snapToGrid w:val="0"/>
        <w:spacing w:line="360" w:lineRule="auto"/>
        <w:rPr>
          <w:rFonts w:ascii="Book Antiqua" w:hAnsi="Book Antiqua"/>
          <w:b/>
          <w:sz w:val="24"/>
          <w:szCs w:val="24"/>
        </w:rPr>
      </w:pPr>
      <w:r w:rsidRPr="00342B03">
        <w:rPr>
          <w:rFonts w:ascii="Book Antiqua" w:hAnsi="Book Antiqua"/>
          <w:b/>
          <w:sz w:val="24"/>
          <w:szCs w:val="24"/>
        </w:rPr>
        <w:t xml:space="preserve">Revised: </w:t>
      </w:r>
      <w:r w:rsidR="00D033C8">
        <w:rPr>
          <w:rFonts w:ascii="Book Antiqua" w:hAnsi="Book Antiqua"/>
          <w:sz w:val="24"/>
          <w:szCs w:val="24"/>
        </w:rPr>
        <w:t>February</w:t>
      </w:r>
      <w:r w:rsidR="00D033C8">
        <w:rPr>
          <w:rFonts w:ascii="Book Antiqua" w:eastAsia="DengXian" w:hAnsi="Book Antiqua"/>
          <w:sz w:val="24"/>
          <w:szCs w:val="24"/>
        </w:rPr>
        <w:t xml:space="preserve"> 19</w:t>
      </w:r>
      <w:r w:rsidR="00D033C8" w:rsidRPr="00342B03">
        <w:rPr>
          <w:rFonts w:ascii="Book Antiqua" w:eastAsia="DengXian" w:hAnsi="Book Antiqua"/>
          <w:sz w:val="24"/>
          <w:szCs w:val="24"/>
        </w:rPr>
        <w:t>, 201</w:t>
      </w:r>
      <w:r w:rsidR="00D033C8">
        <w:rPr>
          <w:rFonts w:ascii="Book Antiqua" w:eastAsia="DengXian" w:hAnsi="Book Antiqua"/>
          <w:sz w:val="24"/>
          <w:szCs w:val="24"/>
        </w:rPr>
        <w:t>9</w:t>
      </w:r>
    </w:p>
    <w:p w14:paraId="28E0E423" w14:textId="58E8AB57" w:rsidR="00342B03" w:rsidRPr="00342B03" w:rsidRDefault="00342B03" w:rsidP="00EF65CB">
      <w:pPr>
        <w:wordWrap/>
        <w:adjustRightInd w:val="0"/>
        <w:snapToGrid w:val="0"/>
        <w:spacing w:line="360" w:lineRule="auto"/>
        <w:outlineLvl w:val="0"/>
        <w:rPr>
          <w:rFonts w:ascii="Book Antiqua" w:hAnsi="Book Antiqua"/>
          <w:b/>
          <w:sz w:val="24"/>
          <w:szCs w:val="24"/>
        </w:rPr>
      </w:pPr>
      <w:r w:rsidRPr="00342B03">
        <w:rPr>
          <w:rFonts w:ascii="Book Antiqua" w:hAnsi="Book Antiqua"/>
          <w:b/>
          <w:sz w:val="24"/>
          <w:szCs w:val="24"/>
        </w:rPr>
        <w:t>Accepted:</w:t>
      </w:r>
      <w:r w:rsidR="00A6595C" w:rsidRPr="00A6595C">
        <w:t xml:space="preserve"> </w:t>
      </w:r>
      <w:r w:rsidR="00A6595C" w:rsidRPr="00A6595C">
        <w:rPr>
          <w:rFonts w:ascii="Book Antiqua" w:hAnsi="Book Antiqua"/>
          <w:sz w:val="24"/>
          <w:szCs w:val="24"/>
        </w:rPr>
        <w:t>February 22, 2019</w:t>
      </w:r>
      <w:r w:rsidRPr="00342B03">
        <w:rPr>
          <w:rFonts w:ascii="Book Antiqua" w:hAnsi="Book Antiqua"/>
          <w:b/>
          <w:sz w:val="24"/>
          <w:szCs w:val="24"/>
        </w:rPr>
        <w:t xml:space="preserve"> </w:t>
      </w:r>
    </w:p>
    <w:p w14:paraId="569CCC8F" w14:textId="77777777" w:rsidR="00342B03" w:rsidRPr="00342B03" w:rsidRDefault="00342B03" w:rsidP="00EF65CB">
      <w:pPr>
        <w:wordWrap/>
        <w:adjustRightInd w:val="0"/>
        <w:snapToGrid w:val="0"/>
        <w:spacing w:line="360" w:lineRule="auto"/>
        <w:outlineLvl w:val="0"/>
        <w:rPr>
          <w:rFonts w:ascii="Book Antiqua" w:hAnsi="Book Antiqua"/>
          <w:b/>
          <w:sz w:val="24"/>
          <w:szCs w:val="24"/>
        </w:rPr>
      </w:pPr>
      <w:r w:rsidRPr="00342B03">
        <w:rPr>
          <w:rFonts w:ascii="Book Antiqua" w:hAnsi="Book Antiqua"/>
          <w:b/>
          <w:sz w:val="24"/>
          <w:szCs w:val="24"/>
        </w:rPr>
        <w:t>Article in press:</w:t>
      </w:r>
    </w:p>
    <w:p w14:paraId="58606C7B" w14:textId="77777777" w:rsidR="00342B03" w:rsidRPr="00342B03" w:rsidRDefault="00342B03" w:rsidP="00EF65CB">
      <w:pPr>
        <w:wordWrap/>
        <w:adjustRightInd w:val="0"/>
        <w:snapToGrid w:val="0"/>
        <w:spacing w:line="360" w:lineRule="auto"/>
        <w:outlineLvl w:val="0"/>
        <w:rPr>
          <w:rFonts w:ascii="Book Antiqua" w:hAnsi="Book Antiqua"/>
          <w:color w:val="000000"/>
          <w:sz w:val="24"/>
          <w:szCs w:val="24"/>
        </w:rPr>
      </w:pPr>
      <w:r w:rsidRPr="00342B03">
        <w:rPr>
          <w:rFonts w:ascii="Book Antiqua" w:hAnsi="Book Antiqua"/>
          <w:b/>
          <w:sz w:val="24"/>
          <w:szCs w:val="24"/>
        </w:rPr>
        <w:t>Published online:</w:t>
      </w:r>
      <w:bookmarkEnd w:id="33"/>
      <w:bookmarkEnd w:id="34"/>
      <w:bookmarkEnd w:id="35"/>
      <w:bookmarkEnd w:id="36"/>
      <w:bookmarkEnd w:id="37"/>
    </w:p>
    <w:bookmarkEnd w:id="38"/>
    <w:bookmarkEnd w:id="39"/>
    <w:bookmarkEnd w:id="40"/>
    <w:p w14:paraId="6ADD3CA7" w14:textId="77777777" w:rsidR="003154EF" w:rsidRPr="00342B03" w:rsidRDefault="003154EF" w:rsidP="00342B03">
      <w:pPr>
        <w:wordWrap/>
        <w:adjustRightInd w:val="0"/>
        <w:snapToGrid w:val="0"/>
        <w:spacing w:line="360" w:lineRule="auto"/>
        <w:rPr>
          <w:rFonts w:ascii="Book Antiqua" w:hAnsi="Book Antiqua"/>
          <w:color w:val="000000" w:themeColor="text1"/>
          <w:sz w:val="24"/>
          <w:szCs w:val="24"/>
        </w:rPr>
      </w:pPr>
    </w:p>
    <w:p w14:paraId="5577ACAF" w14:textId="77777777" w:rsidR="00451ECC" w:rsidRPr="00B43A8C" w:rsidRDefault="00451ECC" w:rsidP="00B43A8C">
      <w:pPr>
        <w:widowControl/>
        <w:wordWrap/>
        <w:autoSpaceDE/>
        <w:autoSpaceDN/>
        <w:adjustRightInd w:val="0"/>
        <w:snapToGrid w:val="0"/>
        <w:spacing w:line="360" w:lineRule="auto"/>
        <w:rPr>
          <w:rFonts w:ascii="Book Antiqua" w:hAnsi="Book Antiqua"/>
          <w:b/>
          <w:color w:val="000000" w:themeColor="text1"/>
          <w:sz w:val="24"/>
          <w:szCs w:val="24"/>
        </w:rPr>
      </w:pPr>
      <w:r w:rsidRPr="00B43A8C">
        <w:rPr>
          <w:rFonts w:ascii="Book Antiqua" w:hAnsi="Book Antiqua"/>
          <w:b/>
          <w:color w:val="000000" w:themeColor="text1"/>
          <w:sz w:val="24"/>
          <w:szCs w:val="24"/>
        </w:rPr>
        <w:br w:type="page"/>
      </w:r>
    </w:p>
    <w:p w14:paraId="2DF8C033" w14:textId="7DB2F541" w:rsidR="00DB03D6" w:rsidRPr="00B43A8C" w:rsidRDefault="00DB03D6" w:rsidP="00EF65CB">
      <w:pPr>
        <w:widowControl/>
        <w:wordWrap/>
        <w:adjustRightInd w:val="0"/>
        <w:snapToGrid w:val="0"/>
        <w:spacing w:line="360" w:lineRule="auto"/>
        <w:outlineLvl w:val="0"/>
        <w:rPr>
          <w:rFonts w:ascii="Book Antiqua" w:eastAsiaTheme="minorEastAsia" w:hAnsi="Book Antiqua"/>
          <w:b/>
          <w:color w:val="000000" w:themeColor="text1"/>
          <w:sz w:val="24"/>
          <w:szCs w:val="24"/>
        </w:rPr>
      </w:pPr>
      <w:r w:rsidRPr="00B43A8C">
        <w:rPr>
          <w:rFonts w:ascii="Book Antiqua" w:hAnsi="Book Antiqua"/>
          <w:b/>
          <w:color w:val="000000" w:themeColor="text1"/>
          <w:sz w:val="24"/>
          <w:szCs w:val="24"/>
        </w:rPr>
        <w:lastRenderedPageBreak/>
        <w:t>A</w:t>
      </w:r>
      <w:r w:rsidRPr="00B43A8C">
        <w:rPr>
          <w:rFonts w:ascii="Book Antiqua" w:eastAsiaTheme="minorEastAsia" w:hAnsi="Book Antiqua"/>
          <w:b/>
          <w:color w:val="000000" w:themeColor="text1"/>
          <w:sz w:val="24"/>
          <w:szCs w:val="24"/>
        </w:rPr>
        <w:t>bstract</w:t>
      </w:r>
    </w:p>
    <w:p w14:paraId="1CDF5C69" w14:textId="77777777" w:rsidR="00EF65CB" w:rsidRPr="00EF65CB" w:rsidRDefault="00BA6B22" w:rsidP="00EF65CB">
      <w:pPr>
        <w:wordWrap/>
        <w:adjustRightInd w:val="0"/>
        <w:snapToGrid w:val="0"/>
        <w:spacing w:line="360" w:lineRule="auto"/>
        <w:outlineLvl w:val="0"/>
        <w:rPr>
          <w:rFonts w:ascii="Book Antiqua" w:hAnsi="Book Antiqua"/>
          <w:b/>
          <w:i/>
          <w:color w:val="000000" w:themeColor="text1"/>
          <w:sz w:val="24"/>
          <w:szCs w:val="24"/>
        </w:rPr>
      </w:pPr>
      <w:r w:rsidRPr="00EF65CB">
        <w:rPr>
          <w:rFonts w:ascii="Book Antiqua" w:hAnsi="Book Antiqua"/>
          <w:b/>
          <w:i/>
          <w:color w:val="000000" w:themeColor="text1"/>
          <w:sz w:val="24"/>
          <w:szCs w:val="24"/>
        </w:rPr>
        <w:t>BACKG</w:t>
      </w:r>
      <w:r w:rsidR="00EF65CB" w:rsidRPr="00EF65CB">
        <w:rPr>
          <w:rFonts w:ascii="Book Antiqua" w:hAnsi="Book Antiqua"/>
          <w:b/>
          <w:i/>
          <w:color w:val="000000" w:themeColor="text1"/>
          <w:sz w:val="24"/>
          <w:szCs w:val="24"/>
        </w:rPr>
        <w:t>R</w:t>
      </w:r>
      <w:r w:rsidRPr="00EF65CB">
        <w:rPr>
          <w:rFonts w:ascii="Book Antiqua" w:hAnsi="Book Antiqua"/>
          <w:b/>
          <w:i/>
          <w:color w:val="000000" w:themeColor="text1"/>
          <w:sz w:val="24"/>
          <w:szCs w:val="24"/>
        </w:rPr>
        <w:t>OUND</w:t>
      </w:r>
    </w:p>
    <w:p w14:paraId="32D1C5DE" w14:textId="3FE8F3E6" w:rsidR="00BA6B22" w:rsidRDefault="00971DB1" w:rsidP="00B43A8C">
      <w:pPr>
        <w:wordWrap/>
        <w:adjustRightInd w:val="0"/>
        <w:snapToGrid w:val="0"/>
        <w:spacing w:line="360" w:lineRule="auto"/>
        <w:rPr>
          <w:rFonts w:ascii="Book Antiqua" w:eastAsiaTheme="minorEastAsia" w:hAnsi="Book Antiqua"/>
          <w:color w:val="000000" w:themeColor="text1"/>
          <w:sz w:val="24"/>
          <w:szCs w:val="24"/>
        </w:rPr>
      </w:pPr>
      <w:r w:rsidRPr="00B43A8C">
        <w:rPr>
          <w:rFonts w:ascii="Book Antiqua" w:eastAsiaTheme="minorEastAsia" w:hAnsi="Book Antiqua"/>
          <w:color w:val="000000" w:themeColor="text1"/>
          <w:sz w:val="24"/>
          <w:szCs w:val="24"/>
        </w:rPr>
        <w:t>Genomic profiling of tumors has contributed to the understanding of colorectal cancer (CRC), facilitating diagnosis, prognosis and selection of treatments, including targeted regimens. A report suggested that a</w:t>
      </w:r>
      <w:r w:rsidR="00DB03D6" w:rsidRPr="00B43A8C">
        <w:rPr>
          <w:rFonts w:ascii="Book Antiqua" w:eastAsiaTheme="minorEastAsia" w:hAnsi="Book Antiqua"/>
          <w:color w:val="000000" w:themeColor="text1"/>
          <w:sz w:val="24"/>
          <w:szCs w:val="24"/>
        </w:rPr>
        <w:t xml:space="preserve"> </w:t>
      </w:r>
      <w:bookmarkStart w:id="41" w:name="OLE_LINK50"/>
      <w:bookmarkStart w:id="42" w:name="OLE_LINK52"/>
      <w:r w:rsidR="00DB03D6" w:rsidRPr="00B43A8C">
        <w:rPr>
          <w:rFonts w:ascii="Book Antiqua" w:eastAsiaTheme="minorEastAsia" w:hAnsi="Book Antiqua"/>
          <w:color w:val="000000" w:themeColor="text1"/>
          <w:sz w:val="24"/>
          <w:szCs w:val="24"/>
        </w:rPr>
        <w:t>19-gene-based risk classifier</w:t>
      </w:r>
      <w:bookmarkEnd w:id="41"/>
      <w:bookmarkEnd w:id="42"/>
      <w:r w:rsidR="00DB03D6" w:rsidRPr="00B43A8C">
        <w:rPr>
          <w:rFonts w:ascii="Book Antiqua" w:eastAsiaTheme="minorEastAsia" w:hAnsi="Book Antiqua"/>
          <w:color w:val="000000" w:themeColor="text1"/>
          <w:sz w:val="24"/>
          <w:szCs w:val="24"/>
        </w:rPr>
        <w:t xml:space="preserve"> (TCA19) </w:t>
      </w:r>
      <w:r w:rsidRPr="00B43A8C">
        <w:rPr>
          <w:rFonts w:ascii="Book Antiqua" w:eastAsiaTheme="minorEastAsia" w:hAnsi="Book Antiqua"/>
          <w:color w:val="000000" w:themeColor="text1"/>
          <w:sz w:val="24"/>
          <w:szCs w:val="24"/>
        </w:rPr>
        <w:t>was</w:t>
      </w:r>
      <w:r w:rsidR="00DB03D6" w:rsidRPr="00B43A8C">
        <w:rPr>
          <w:rFonts w:ascii="Book Antiqua" w:eastAsiaTheme="minorEastAsia" w:hAnsi="Book Antiqua"/>
          <w:color w:val="000000" w:themeColor="text1"/>
          <w:sz w:val="24"/>
          <w:szCs w:val="24"/>
        </w:rPr>
        <w:t xml:space="preserve"> a prognostic tool for patients with stage III </w:t>
      </w:r>
      <w:r w:rsidRPr="00B43A8C">
        <w:rPr>
          <w:rFonts w:ascii="Book Antiqua" w:eastAsiaTheme="minorEastAsia" w:hAnsi="Book Antiqua"/>
          <w:color w:val="000000" w:themeColor="text1"/>
          <w:sz w:val="24"/>
          <w:szCs w:val="24"/>
        </w:rPr>
        <w:t>CRC</w:t>
      </w:r>
      <w:r w:rsidR="00DB03D6" w:rsidRPr="00B43A8C">
        <w:rPr>
          <w:rFonts w:ascii="Book Antiqua" w:eastAsiaTheme="minorEastAsia" w:hAnsi="Book Antiqua"/>
          <w:color w:val="000000" w:themeColor="text1"/>
          <w:sz w:val="24"/>
          <w:szCs w:val="24"/>
        </w:rPr>
        <w:t>.</w:t>
      </w:r>
      <w:r w:rsidRPr="00B43A8C">
        <w:rPr>
          <w:rFonts w:ascii="Book Antiqua" w:eastAsiaTheme="minorEastAsia" w:hAnsi="Book Antiqua"/>
          <w:color w:val="000000" w:themeColor="text1"/>
          <w:sz w:val="24"/>
          <w:szCs w:val="24"/>
        </w:rPr>
        <w:t xml:space="preserve"> The survival outcomes in patients with stage IV CRC are still poor and appropriate selection of targeted therapies and immunotherapies is challenging.</w:t>
      </w:r>
    </w:p>
    <w:p w14:paraId="09319F91" w14:textId="77777777" w:rsidR="00EF65CB" w:rsidRPr="00B43A8C" w:rsidRDefault="00EF65CB" w:rsidP="00B43A8C">
      <w:pPr>
        <w:wordWrap/>
        <w:adjustRightInd w:val="0"/>
        <w:snapToGrid w:val="0"/>
        <w:spacing w:line="360" w:lineRule="auto"/>
        <w:rPr>
          <w:rFonts w:ascii="Book Antiqua" w:eastAsiaTheme="minorEastAsia" w:hAnsi="Book Antiqua"/>
          <w:color w:val="000000" w:themeColor="text1"/>
          <w:sz w:val="24"/>
          <w:szCs w:val="24"/>
        </w:rPr>
      </w:pPr>
    </w:p>
    <w:p w14:paraId="550CDBB3" w14:textId="77777777" w:rsidR="00EF65CB" w:rsidRPr="00EF65CB" w:rsidRDefault="00BA6B22" w:rsidP="00B43A8C">
      <w:pPr>
        <w:wordWrap/>
        <w:adjustRightInd w:val="0"/>
        <w:snapToGrid w:val="0"/>
        <w:spacing w:line="360" w:lineRule="auto"/>
        <w:rPr>
          <w:rFonts w:ascii="Book Antiqua" w:hAnsi="Book Antiqua"/>
          <w:b/>
          <w:i/>
          <w:color w:val="000000" w:themeColor="text1"/>
          <w:sz w:val="24"/>
          <w:szCs w:val="24"/>
        </w:rPr>
      </w:pPr>
      <w:r w:rsidRPr="00EF65CB">
        <w:rPr>
          <w:rFonts w:ascii="Book Antiqua" w:hAnsi="Book Antiqua"/>
          <w:b/>
          <w:i/>
          <w:color w:val="000000" w:themeColor="text1"/>
          <w:sz w:val="24"/>
          <w:szCs w:val="24"/>
        </w:rPr>
        <w:t>AIM</w:t>
      </w:r>
    </w:p>
    <w:p w14:paraId="3AF22318" w14:textId="6955441B" w:rsidR="00DB03D6" w:rsidRDefault="00BA6B22" w:rsidP="00B43A8C">
      <w:pPr>
        <w:wordWrap/>
        <w:adjustRightInd w:val="0"/>
        <w:snapToGrid w:val="0"/>
        <w:spacing w:line="360" w:lineRule="auto"/>
        <w:rPr>
          <w:rFonts w:ascii="Book Antiqua" w:eastAsiaTheme="minorEastAsia" w:hAnsi="Book Antiqua"/>
          <w:color w:val="000000" w:themeColor="text1"/>
          <w:sz w:val="24"/>
          <w:szCs w:val="24"/>
        </w:rPr>
      </w:pPr>
      <w:r w:rsidRPr="00B43A8C">
        <w:rPr>
          <w:rFonts w:ascii="Book Antiqua" w:eastAsiaTheme="minorEastAsia" w:hAnsi="Book Antiqua"/>
          <w:color w:val="000000" w:themeColor="text1"/>
          <w:sz w:val="24"/>
          <w:szCs w:val="24"/>
        </w:rPr>
        <w:t>T</w:t>
      </w:r>
      <w:r w:rsidR="00DB03D6" w:rsidRPr="00B43A8C">
        <w:rPr>
          <w:rFonts w:ascii="Book Antiqua" w:eastAsiaTheme="minorEastAsia" w:hAnsi="Book Antiqua"/>
          <w:color w:val="000000" w:themeColor="text1"/>
          <w:sz w:val="24"/>
          <w:szCs w:val="24"/>
        </w:rPr>
        <w:t xml:space="preserve">o </w:t>
      </w:r>
      <w:r w:rsidR="007B2358" w:rsidRPr="00B43A8C">
        <w:rPr>
          <w:rFonts w:ascii="Book Antiqua" w:eastAsiaTheme="minorEastAsia" w:hAnsi="Book Antiqua"/>
          <w:color w:val="000000" w:themeColor="text1"/>
          <w:sz w:val="24"/>
          <w:szCs w:val="24"/>
        </w:rPr>
        <w:t>assess clinical implication of</w:t>
      </w:r>
      <w:r w:rsidR="00DB03D6" w:rsidRPr="00B43A8C">
        <w:rPr>
          <w:rFonts w:ascii="Book Antiqua" w:eastAsiaTheme="minorEastAsia" w:hAnsi="Book Antiqua"/>
          <w:color w:val="000000" w:themeColor="text1"/>
          <w:sz w:val="24"/>
          <w:szCs w:val="24"/>
        </w:rPr>
        <w:t xml:space="preserve"> TCA19 in patients with stage IV CRC, and to identify TCA19 with involvement in immune-oncology.</w:t>
      </w:r>
    </w:p>
    <w:p w14:paraId="0722B719" w14:textId="77777777" w:rsidR="00EF65CB" w:rsidRPr="00B43A8C" w:rsidRDefault="00EF65CB" w:rsidP="00B43A8C">
      <w:pPr>
        <w:wordWrap/>
        <w:adjustRightInd w:val="0"/>
        <w:snapToGrid w:val="0"/>
        <w:spacing w:line="360" w:lineRule="auto"/>
        <w:rPr>
          <w:rFonts w:ascii="Book Antiqua" w:eastAsiaTheme="minorEastAsia" w:hAnsi="Book Antiqua"/>
          <w:color w:val="000000" w:themeColor="text1"/>
          <w:sz w:val="24"/>
          <w:szCs w:val="24"/>
        </w:rPr>
      </w:pPr>
    </w:p>
    <w:p w14:paraId="7DDD0B87" w14:textId="77777777" w:rsidR="00EF65CB" w:rsidRPr="00EF65CB" w:rsidRDefault="00DB03D6" w:rsidP="00B43A8C">
      <w:pPr>
        <w:wordWrap/>
        <w:adjustRightInd w:val="0"/>
        <w:snapToGrid w:val="0"/>
        <w:spacing w:line="360" w:lineRule="auto"/>
        <w:rPr>
          <w:rFonts w:ascii="Book Antiqua" w:hAnsi="Book Antiqua"/>
          <w:b/>
          <w:i/>
          <w:color w:val="000000" w:themeColor="text1"/>
          <w:sz w:val="24"/>
          <w:szCs w:val="24"/>
        </w:rPr>
      </w:pPr>
      <w:r w:rsidRPr="00EF65CB">
        <w:rPr>
          <w:rFonts w:ascii="Book Antiqua" w:hAnsi="Book Antiqua"/>
          <w:b/>
          <w:i/>
          <w:color w:val="000000" w:themeColor="text1"/>
          <w:sz w:val="24"/>
          <w:szCs w:val="24"/>
        </w:rPr>
        <w:t>M</w:t>
      </w:r>
      <w:r w:rsidR="00BA6B22" w:rsidRPr="00EF65CB">
        <w:rPr>
          <w:rFonts w:ascii="Book Antiqua" w:hAnsi="Book Antiqua"/>
          <w:b/>
          <w:i/>
          <w:color w:val="000000" w:themeColor="text1"/>
          <w:sz w:val="24"/>
          <w:szCs w:val="24"/>
        </w:rPr>
        <w:t>ETHODS</w:t>
      </w:r>
    </w:p>
    <w:p w14:paraId="76391CE4" w14:textId="204D7276" w:rsidR="00DB03D6" w:rsidRDefault="00DB03D6" w:rsidP="00B43A8C">
      <w:pPr>
        <w:wordWrap/>
        <w:adjustRightInd w:val="0"/>
        <w:snapToGrid w:val="0"/>
        <w:spacing w:line="360" w:lineRule="auto"/>
        <w:rPr>
          <w:rFonts w:ascii="Book Antiqua" w:eastAsiaTheme="minorEastAsia" w:hAnsi="Book Antiqua"/>
          <w:color w:val="000000" w:themeColor="text1"/>
          <w:sz w:val="24"/>
          <w:szCs w:val="24"/>
        </w:rPr>
      </w:pPr>
      <w:r w:rsidRPr="00B43A8C">
        <w:rPr>
          <w:rFonts w:ascii="Book Antiqua" w:eastAsiaTheme="minorEastAsia" w:hAnsi="Book Antiqua"/>
          <w:color w:val="000000" w:themeColor="text1"/>
          <w:sz w:val="24"/>
          <w:szCs w:val="24"/>
        </w:rPr>
        <w:t>A retrospective review of the medical records of 60 patients with stage IV CRC was conducted, assessing clinicopathological variables and progression-free survival (PFS). TCA19 gene expression was determined by quantitative polymerase chain reaction (</w:t>
      </w:r>
      <w:r w:rsidR="00ED0032" w:rsidRPr="00B43A8C">
        <w:rPr>
          <w:rFonts w:ascii="Book Antiqua" w:eastAsiaTheme="minorEastAsia" w:hAnsi="Book Antiqua"/>
          <w:color w:val="000000" w:themeColor="text1"/>
          <w:sz w:val="24"/>
          <w:szCs w:val="24"/>
        </w:rPr>
        <w:t>q</w:t>
      </w:r>
      <w:r w:rsidRPr="00B43A8C">
        <w:rPr>
          <w:rFonts w:ascii="Book Antiqua" w:eastAsiaTheme="minorEastAsia" w:hAnsi="Book Antiqua"/>
          <w:color w:val="000000" w:themeColor="text1"/>
          <w:sz w:val="24"/>
          <w:szCs w:val="24"/>
        </w:rPr>
        <w:t>PCR) in matched normal and tumor tissues taken from the study cohort. Expression of potential immune-oncology regulatory proteins and targets was examined by immunohistochemistry (IHC), western bl</w:t>
      </w:r>
      <w:r w:rsidR="00EF65CB">
        <w:rPr>
          <w:rFonts w:ascii="Book Antiqua" w:eastAsiaTheme="minorEastAsia" w:hAnsi="Book Antiqua"/>
          <w:color w:val="000000" w:themeColor="text1"/>
          <w:sz w:val="24"/>
          <w:szCs w:val="24"/>
        </w:rPr>
        <w:t>ot, immunofluorescence staining</w:t>
      </w:r>
      <w:r w:rsidRPr="00B43A8C">
        <w:rPr>
          <w:rFonts w:ascii="Book Antiqua" w:eastAsiaTheme="minorEastAsia" w:hAnsi="Book Antiqua"/>
          <w:color w:val="000000" w:themeColor="text1"/>
          <w:sz w:val="24"/>
          <w:szCs w:val="24"/>
        </w:rPr>
        <w:t xml:space="preserve"> in tissues from a validation cohort of 10 patients, and in CRC cell lines co-cultured with monocyte </w:t>
      </w:r>
      <w:r w:rsidRPr="00B43A8C">
        <w:rPr>
          <w:rFonts w:ascii="Book Antiqua" w:eastAsiaTheme="minorEastAsia" w:hAnsi="Book Antiqua"/>
          <w:i/>
          <w:color w:val="000000" w:themeColor="text1"/>
          <w:sz w:val="24"/>
          <w:szCs w:val="24"/>
        </w:rPr>
        <w:t>in vitro</w:t>
      </w:r>
      <w:r w:rsidRPr="00B43A8C">
        <w:rPr>
          <w:rFonts w:ascii="Book Antiqua" w:eastAsiaTheme="minorEastAsia" w:hAnsi="Book Antiqua"/>
          <w:color w:val="000000" w:themeColor="text1"/>
          <w:sz w:val="24"/>
          <w:szCs w:val="24"/>
        </w:rPr>
        <w:t>.</w:t>
      </w:r>
    </w:p>
    <w:p w14:paraId="1B0AD1EB" w14:textId="77777777" w:rsidR="00EF65CB" w:rsidRPr="00B43A8C" w:rsidRDefault="00EF65CB" w:rsidP="00B43A8C">
      <w:pPr>
        <w:wordWrap/>
        <w:adjustRightInd w:val="0"/>
        <w:snapToGrid w:val="0"/>
        <w:spacing w:line="360" w:lineRule="auto"/>
        <w:rPr>
          <w:rFonts w:ascii="Book Antiqua" w:eastAsiaTheme="minorEastAsia" w:hAnsi="Book Antiqua"/>
          <w:color w:val="000000" w:themeColor="text1"/>
          <w:sz w:val="24"/>
          <w:szCs w:val="24"/>
        </w:rPr>
      </w:pPr>
    </w:p>
    <w:p w14:paraId="07C43C60" w14:textId="77777777" w:rsidR="00EF65CB" w:rsidRPr="00EF65CB" w:rsidRDefault="00971DB1" w:rsidP="00B43A8C">
      <w:pPr>
        <w:wordWrap/>
        <w:adjustRightInd w:val="0"/>
        <w:snapToGrid w:val="0"/>
        <w:spacing w:line="360" w:lineRule="auto"/>
        <w:rPr>
          <w:rFonts w:ascii="Book Antiqua" w:hAnsi="Book Antiqua"/>
          <w:b/>
          <w:i/>
          <w:color w:val="000000" w:themeColor="text1"/>
          <w:sz w:val="24"/>
          <w:szCs w:val="24"/>
        </w:rPr>
      </w:pPr>
      <w:r w:rsidRPr="00EF65CB">
        <w:rPr>
          <w:rFonts w:ascii="Book Antiqua" w:hAnsi="Book Antiqua"/>
          <w:b/>
          <w:i/>
          <w:color w:val="000000" w:themeColor="text1"/>
          <w:sz w:val="24"/>
          <w:szCs w:val="24"/>
        </w:rPr>
        <w:t>RESULTS</w:t>
      </w:r>
    </w:p>
    <w:p w14:paraId="08165A7B" w14:textId="00099F7D" w:rsidR="00DB03D6" w:rsidRDefault="00EF65CB" w:rsidP="00B43A8C">
      <w:pPr>
        <w:wordWrap/>
        <w:adjustRightInd w:val="0"/>
        <w:snapToGrid w:val="0"/>
        <w:spacing w:line="360" w:lineRule="auto"/>
        <w:rPr>
          <w:rFonts w:ascii="Book Antiqua" w:eastAsiaTheme="minorEastAsia" w:hAnsi="Book Antiqua"/>
          <w:color w:val="000000" w:themeColor="text1"/>
          <w:sz w:val="24"/>
          <w:szCs w:val="24"/>
        </w:rPr>
      </w:pPr>
      <w:r>
        <w:rPr>
          <w:rFonts w:ascii="Book Antiqua" w:eastAsiaTheme="minorEastAsia" w:hAnsi="Book Antiqua"/>
          <w:color w:val="000000" w:themeColor="text1"/>
          <w:sz w:val="24"/>
          <w:szCs w:val="24"/>
        </w:rPr>
        <w:t>In the patients with TCA</w:t>
      </w:r>
      <w:r w:rsidR="00DB03D6" w:rsidRPr="00B43A8C">
        <w:rPr>
          <w:rFonts w:ascii="Book Antiqua" w:eastAsiaTheme="minorEastAsia" w:hAnsi="Book Antiqua"/>
          <w:color w:val="000000" w:themeColor="text1"/>
          <w:sz w:val="24"/>
          <w:szCs w:val="24"/>
        </w:rPr>
        <w:t>19 score</w:t>
      </w:r>
      <w:r w:rsidR="00DB03D6" w:rsidRPr="00B43A8C">
        <w:rPr>
          <w:rFonts w:ascii="Book Antiqua" w:hAnsi="Book Antiqua"/>
          <w:color w:val="000000" w:themeColor="text1"/>
          <w:sz w:val="24"/>
          <w:szCs w:val="24"/>
        </w:rPr>
        <w:t xml:space="preserve"> </w:t>
      </w:r>
      <w:r w:rsidR="00DB03D6" w:rsidRPr="00B43A8C">
        <w:rPr>
          <w:rFonts w:ascii="Book Antiqua" w:eastAsiaTheme="minorEastAsia" w:hAnsi="Book Antiqua"/>
          <w:color w:val="000000" w:themeColor="text1"/>
          <w:sz w:val="24"/>
          <w:szCs w:val="24"/>
        </w:rPr>
        <w:t xml:space="preserve">higher than the median, </w:t>
      </w:r>
      <w:r w:rsidR="00ED0032" w:rsidRPr="00B43A8C">
        <w:rPr>
          <w:rFonts w:ascii="Book Antiqua" w:eastAsiaTheme="minorEastAsia" w:hAnsi="Book Antiqua"/>
          <w:color w:val="000000" w:themeColor="text1"/>
          <w:sz w:val="24"/>
          <w:szCs w:val="24"/>
        </w:rPr>
        <w:t xml:space="preserve">the </w:t>
      </w:r>
      <w:r w:rsidR="00DB03D6" w:rsidRPr="00B43A8C">
        <w:rPr>
          <w:rFonts w:ascii="Book Antiqua" w:eastAsiaTheme="minorEastAsia" w:hAnsi="Book Antiqua"/>
          <w:color w:val="000000" w:themeColor="text1"/>
          <w:sz w:val="24"/>
          <w:szCs w:val="24"/>
        </w:rPr>
        <w:t>PFS</w:t>
      </w:r>
      <w:r w:rsidR="00ED0032" w:rsidRPr="00B43A8C">
        <w:rPr>
          <w:rFonts w:ascii="Book Antiqua" w:eastAsiaTheme="minorEastAsia" w:hAnsi="Book Antiqua"/>
          <w:color w:val="000000" w:themeColor="text1"/>
          <w:sz w:val="24"/>
          <w:szCs w:val="24"/>
        </w:rPr>
        <w:t xml:space="preserve"> rates of </w:t>
      </w:r>
      <w:r w:rsidR="00DB03D6" w:rsidRPr="00B43A8C">
        <w:rPr>
          <w:rFonts w:ascii="Book Antiqua" w:eastAsiaTheme="minorEastAsia" w:hAnsi="Book Antiqua"/>
          <w:color w:val="000000" w:themeColor="text1"/>
          <w:sz w:val="24"/>
          <w:szCs w:val="24"/>
        </w:rPr>
        <w:t xml:space="preserve">eight patients who received </w:t>
      </w:r>
      <w:r w:rsidR="00ED0032" w:rsidRPr="00B43A8C">
        <w:rPr>
          <w:rFonts w:ascii="Book Antiqua" w:eastAsiaTheme="minorEastAsia" w:hAnsi="Book Antiqua"/>
          <w:color w:val="000000" w:themeColor="text1"/>
          <w:sz w:val="24"/>
          <w:szCs w:val="24"/>
        </w:rPr>
        <w:t xml:space="preserve">the </w:t>
      </w:r>
      <w:r w:rsidR="00DB03D6" w:rsidRPr="00B43A8C">
        <w:rPr>
          <w:rFonts w:ascii="Book Antiqua" w:eastAsiaTheme="minorEastAsia" w:hAnsi="Book Antiqua"/>
          <w:color w:val="000000" w:themeColor="text1"/>
          <w:sz w:val="24"/>
          <w:szCs w:val="24"/>
        </w:rPr>
        <w:t>targeted regimens w</w:t>
      </w:r>
      <w:r w:rsidR="00ED0032" w:rsidRPr="00B43A8C">
        <w:rPr>
          <w:rFonts w:ascii="Book Antiqua" w:eastAsiaTheme="minorEastAsia" w:hAnsi="Book Antiqua"/>
          <w:color w:val="000000" w:themeColor="text1"/>
          <w:sz w:val="24"/>
          <w:szCs w:val="24"/>
        </w:rPr>
        <w:t>ere</w:t>
      </w:r>
      <w:r w:rsidR="00DB03D6" w:rsidRPr="00B43A8C">
        <w:rPr>
          <w:rFonts w:ascii="Book Antiqua" w:eastAsiaTheme="minorEastAsia" w:hAnsi="Book Antiqua"/>
          <w:color w:val="000000" w:themeColor="text1"/>
          <w:sz w:val="24"/>
          <w:szCs w:val="24"/>
        </w:rPr>
        <w:t xml:space="preserve"> significantly higher than</w:t>
      </w:r>
      <w:r w:rsidR="00ED0032" w:rsidRPr="00B43A8C">
        <w:rPr>
          <w:rFonts w:ascii="Book Antiqua" w:eastAsiaTheme="minorEastAsia" w:hAnsi="Book Antiqua"/>
          <w:color w:val="000000" w:themeColor="text1"/>
          <w:sz w:val="24"/>
          <w:szCs w:val="24"/>
        </w:rPr>
        <w:t xml:space="preserve"> the PFS rates of </w:t>
      </w:r>
      <w:r w:rsidR="00DB03D6" w:rsidRPr="00B43A8C">
        <w:rPr>
          <w:rFonts w:ascii="Book Antiqua" w:eastAsiaTheme="minorEastAsia" w:hAnsi="Book Antiqua"/>
          <w:color w:val="000000" w:themeColor="text1"/>
          <w:sz w:val="24"/>
          <w:szCs w:val="24"/>
        </w:rPr>
        <w:t>four patients who received 5-fluorouracil</w:t>
      </w:r>
      <w:r w:rsidR="00ED0032" w:rsidRPr="00B43A8C">
        <w:rPr>
          <w:rFonts w:ascii="Book Antiqua" w:eastAsiaTheme="minorEastAsia" w:hAnsi="Book Antiqua"/>
          <w:color w:val="000000" w:themeColor="text1"/>
          <w:sz w:val="24"/>
          <w:szCs w:val="24"/>
        </w:rPr>
        <w:t>-</w:t>
      </w:r>
      <w:r w:rsidR="00DB03D6" w:rsidRPr="00B43A8C">
        <w:rPr>
          <w:rFonts w:ascii="Book Antiqua" w:eastAsiaTheme="minorEastAsia" w:hAnsi="Book Antiqua"/>
          <w:color w:val="000000" w:themeColor="text1"/>
          <w:sz w:val="24"/>
          <w:szCs w:val="24"/>
        </w:rPr>
        <w:t>based regimen (</w:t>
      </w:r>
      <w:r w:rsidRPr="00B43A8C">
        <w:rPr>
          <w:rFonts w:ascii="Book Antiqua" w:hAnsi="Book Antiqua"/>
          <w:i/>
          <w:color w:val="000000" w:themeColor="text1"/>
          <w:sz w:val="24"/>
          <w:szCs w:val="24"/>
        </w:rPr>
        <w:t>P</w:t>
      </w:r>
      <w:r w:rsidR="00DB03D6" w:rsidRPr="00B43A8C">
        <w:rPr>
          <w:rFonts w:ascii="Book Antiqua" w:hAnsi="Book Antiqua"/>
          <w:color w:val="000000" w:themeColor="text1"/>
          <w:sz w:val="24"/>
          <w:szCs w:val="24"/>
        </w:rPr>
        <w:t xml:space="preserve"> = 0.041).</w:t>
      </w:r>
      <w:r w:rsidR="00ED0032" w:rsidRPr="00B43A8C">
        <w:rPr>
          <w:rFonts w:ascii="Book Antiqua" w:hAnsi="Book Antiqua"/>
          <w:color w:val="000000" w:themeColor="text1"/>
          <w:sz w:val="24"/>
          <w:szCs w:val="24"/>
        </w:rPr>
        <w:t xml:space="preserve"> </w:t>
      </w:r>
      <w:r w:rsidR="00DB03D6" w:rsidRPr="00B43A8C">
        <w:rPr>
          <w:rFonts w:ascii="Book Antiqua" w:eastAsiaTheme="minorEastAsia" w:hAnsi="Book Antiqua"/>
          <w:color w:val="000000" w:themeColor="text1"/>
          <w:sz w:val="24"/>
          <w:szCs w:val="24"/>
        </w:rPr>
        <w:t xml:space="preserve">In multivariate analysis, expression of </w:t>
      </w:r>
      <w:r>
        <w:rPr>
          <w:rFonts w:ascii="Book Antiqua" w:eastAsiaTheme="minorEastAsia" w:hAnsi="Book Antiqua"/>
          <w:color w:val="000000" w:themeColor="text1"/>
          <w:kern w:val="0"/>
          <w:sz w:val="24"/>
          <w:szCs w:val="24"/>
        </w:rPr>
        <w:t>s</w:t>
      </w:r>
      <w:r w:rsidRPr="00EF65CB">
        <w:rPr>
          <w:rFonts w:ascii="Book Antiqua" w:eastAsiaTheme="minorEastAsia" w:hAnsi="Book Antiqua"/>
          <w:color w:val="000000" w:themeColor="text1"/>
          <w:kern w:val="0"/>
          <w:sz w:val="24"/>
          <w:szCs w:val="24"/>
        </w:rPr>
        <w:t>ignaling lymphocytic activation molecule family, member 7</w:t>
      </w:r>
      <w:r>
        <w:rPr>
          <w:rFonts w:ascii="Book Antiqua" w:eastAsiaTheme="minorEastAsia" w:hAnsi="Book Antiqua"/>
          <w:color w:val="000000" w:themeColor="text1"/>
          <w:kern w:val="0"/>
          <w:sz w:val="24"/>
          <w:szCs w:val="24"/>
        </w:rPr>
        <w:t xml:space="preserve"> (</w:t>
      </w:r>
      <w:r w:rsidR="00DB03D6" w:rsidRPr="00B43A8C">
        <w:rPr>
          <w:rFonts w:ascii="Book Antiqua" w:eastAsiaTheme="minorEastAsia" w:hAnsi="Book Antiqua"/>
          <w:color w:val="000000" w:themeColor="text1"/>
          <w:sz w:val="24"/>
          <w:szCs w:val="24"/>
        </w:rPr>
        <w:t>SLAMF7</w:t>
      </w:r>
      <w:r>
        <w:rPr>
          <w:rFonts w:ascii="Book Antiqua" w:eastAsiaTheme="minorEastAsia" w:hAnsi="Book Antiqua"/>
          <w:color w:val="000000" w:themeColor="text1"/>
          <w:sz w:val="24"/>
          <w:szCs w:val="24"/>
        </w:rPr>
        <w:t>)</w:t>
      </w:r>
      <w:r w:rsidR="00DB03D6" w:rsidRPr="00B43A8C">
        <w:rPr>
          <w:rFonts w:ascii="Book Antiqua" w:eastAsiaTheme="minorEastAsia" w:hAnsi="Book Antiqua"/>
          <w:color w:val="000000" w:themeColor="text1"/>
          <w:sz w:val="24"/>
          <w:szCs w:val="24"/>
        </w:rPr>
        <w:t xml:space="preserve"> and </w:t>
      </w:r>
      <w:r>
        <w:rPr>
          <w:rFonts w:ascii="Book Antiqua" w:hAnsi="Book Antiqua"/>
          <w:color w:val="000000" w:themeColor="text1"/>
          <w:sz w:val="24"/>
          <w:szCs w:val="24"/>
        </w:rPr>
        <w:t>t</w:t>
      </w:r>
      <w:r w:rsidRPr="00EF65CB">
        <w:rPr>
          <w:rFonts w:ascii="Book Antiqua" w:hAnsi="Book Antiqua"/>
          <w:color w:val="000000" w:themeColor="text1"/>
          <w:sz w:val="24"/>
          <w:szCs w:val="24"/>
        </w:rPr>
        <w:t>riggering receptor expressed on myeloid cells 1</w:t>
      </w:r>
      <w:r>
        <w:rPr>
          <w:rFonts w:ascii="Book Antiqua" w:hAnsi="Book Antiqua"/>
          <w:color w:val="000000" w:themeColor="text1"/>
          <w:sz w:val="24"/>
          <w:szCs w:val="24"/>
        </w:rPr>
        <w:t xml:space="preserve"> (</w:t>
      </w:r>
      <w:r w:rsidR="00DB03D6" w:rsidRPr="00B43A8C">
        <w:rPr>
          <w:rFonts w:ascii="Book Antiqua" w:eastAsiaTheme="minorEastAsia" w:hAnsi="Book Antiqua"/>
          <w:color w:val="000000" w:themeColor="text1"/>
          <w:sz w:val="24"/>
          <w:szCs w:val="24"/>
        </w:rPr>
        <w:t>TREM1</w:t>
      </w:r>
      <w:r>
        <w:rPr>
          <w:rFonts w:ascii="Book Antiqua" w:eastAsiaTheme="minorEastAsia" w:hAnsi="Book Antiqua"/>
          <w:color w:val="000000" w:themeColor="text1"/>
          <w:sz w:val="24"/>
          <w:szCs w:val="24"/>
        </w:rPr>
        <w:t>)</w:t>
      </w:r>
      <w:r w:rsidR="00DB03D6" w:rsidRPr="00B43A8C">
        <w:rPr>
          <w:rFonts w:ascii="Book Antiqua" w:eastAsiaTheme="minorEastAsia" w:hAnsi="Book Antiqua"/>
          <w:color w:val="000000" w:themeColor="text1"/>
          <w:sz w:val="24"/>
          <w:szCs w:val="24"/>
        </w:rPr>
        <w:t xml:space="preserve"> was associated with PFS in the 60-patient cohort. </w:t>
      </w:r>
      <w:r w:rsidR="00ED0032" w:rsidRPr="00B43A8C">
        <w:rPr>
          <w:rFonts w:ascii="Book Antiqua" w:hAnsi="Book Antiqua"/>
          <w:color w:val="000000" w:themeColor="text1"/>
          <w:sz w:val="24"/>
          <w:szCs w:val="24"/>
        </w:rPr>
        <w:t xml:space="preserve">After checking another 10 </w:t>
      </w:r>
      <w:r w:rsidR="00ED0032" w:rsidRPr="00B43A8C">
        <w:rPr>
          <w:rFonts w:ascii="Book Antiqua" w:hAnsi="Book Antiqua"/>
          <w:color w:val="000000" w:themeColor="text1"/>
          <w:sz w:val="24"/>
          <w:szCs w:val="24"/>
        </w:rPr>
        <w:lastRenderedPageBreak/>
        <w:t xml:space="preserve">validate set, the expression of the IHC, the level of real-time qPCR, and the level of western blot were lower for SLAMF7 and higher for TREM7 in primary and metastatic tumors than in normal tissues. </w:t>
      </w:r>
      <w:r w:rsidR="00DB03D6" w:rsidRPr="00B43A8C">
        <w:rPr>
          <w:rFonts w:ascii="Book Antiqua" w:eastAsiaTheme="minorEastAsia" w:hAnsi="Book Antiqua"/>
          <w:color w:val="000000" w:themeColor="text1"/>
          <w:sz w:val="24"/>
          <w:szCs w:val="24"/>
        </w:rPr>
        <w:t>In CRC cells expressing SLAMF7 that were co-cultured with a monocytic cell line, levels of CD 68 and CD 73 were significantly lower at day</w:t>
      </w:r>
      <w:r>
        <w:rPr>
          <w:rFonts w:ascii="Book Antiqua" w:eastAsiaTheme="minorEastAsia" w:hAnsi="Book Antiqua"/>
          <w:color w:val="000000" w:themeColor="text1"/>
          <w:sz w:val="24"/>
          <w:szCs w:val="24"/>
        </w:rPr>
        <w:t xml:space="preserve"> 5 of co-culture than at day 0.</w:t>
      </w:r>
    </w:p>
    <w:p w14:paraId="27D82070" w14:textId="77777777" w:rsidR="00EF65CB" w:rsidRPr="00B43A8C" w:rsidRDefault="00EF65CB" w:rsidP="00B43A8C">
      <w:pPr>
        <w:wordWrap/>
        <w:adjustRightInd w:val="0"/>
        <w:snapToGrid w:val="0"/>
        <w:spacing w:line="360" w:lineRule="auto"/>
        <w:rPr>
          <w:rFonts w:ascii="Book Antiqua" w:eastAsiaTheme="minorEastAsia" w:hAnsi="Book Antiqua"/>
          <w:color w:val="000000" w:themeColor="text1"/>
          <w:sz w:val="24"/>
          <w:szCs w:val="24"/>
        </w:rPr>
      </w:pPr>
    </w:p>
    <w:p w14:paraId="2389AE60" w14:textId="5D50EA7B" w:rsidR="00EF65CB" w:rsidRPr="00EF65CB" w:rsidRDefault="00971DB1" w:rsidP="00B43A8C">
      <w:pPr>
        <w:wordWrap/>
        <w:adjustRightInd w:val="0"/>
        <w:snapToGrid w:val="0"/>
        <w:spacing w:line="360" w:lineRule="auto"/>
        <w:rPr>
          <w:rFonts w:ascii="Book Antiqua" w:hAnsi="Book Antiqua"/>
          <w:b/>
          <w:i/>
          <w:color w:val="000000" w:themeColor="text1"/>
          <w:sz w:val="24"/>
          <w:szCs w:val="24"/>
        </w:rPr>
      </w:pPr>
      <w:r w:rsidRPr="00EF65CB">
        <w:rPr>
          <w:rFonts w:ascii="Book Antiqua" w:hAnsi="Book Antiqua"/>
          <w:b/>
          <w:i/>
          <w:color w:val="000000" w:themeColor="text1"/>
          <w:sz w:val="24"/>
          <w:szCs w:val="24"/>
        </w:rPr>
        <w:t>CONCLUSION</w:t>
      </w:r>
    </w:p>
    <w:p w14:paraId="5C99D9B4" w14:textId="285165BE" w:rsidR="00DB03D6" w:rsidRPr="00B43A8C" w:rsidRDefault="00DB03D6" w:rsidP="00B43A8C">
      <w:pPr>
        <w:wordWrap/>
        <w:adjustRightInd w:val="0"/>
        <w:snapToGrid w:val="0"/>
        <w:spacing w:line="360" w:lineRule="auto"/>
        <w:rPr>
          <w:rFonts w:ascii="Book Antiqua" w:eastAsiaTheme="minorEastAsia" w:hAnsi="Book Antiqua"/>
          <w:color w:val="000000" w:themeColor="text1"/>
          <w:kern w:val="0"/>
          <w:sz w:val="24"/>
          <w:szCs w:val="24"/>
        </w:rPr>
      </w:pPr>
      <w:r w:rsidRPr="00B43A8C">
        <w:rPr>
          <w:rFonts w:ascii="Book Antiqua" w:eastAsiaTheme="minorEastAsia" w:hAnsi="Book Antiqua"/>
          <w:color w:val="000000" w:themeColor="text1"/>
          <w:kern w:val="0"/>
          <w:sz w:val="24"/>
          <w:szCs w:val="24"/>
        </w:rPr>
        <w:t xml:space="preserve">The </w:t>
      </w:r>
      <w:r w:rsidR="00802499">
        <w:rPr>
          <w:rFonts w:ascii="Book Antiqua" w:eastAsiaTheme="minorEastAsia" w:hAnsi="Book Antiqua"/>
          <w:color w:val="000000" w:themeColor="text1"/>
          <w:kern w:val="0"/>
          <w:sz w:val="24"/>
          <w:szCs w:val="24"/>
        </w:rPr>
        <w:t>TCA19</w:t>
      </w:r>
      <w:r w:rsidRPr="00B43A8C">
        <w:rPr>
          <w:rFonts w:ascii="Book Antiqua" w:eastAsiaTheme="minorEastAsia" w:hAnsi="Book Antiqua"/>
          <w:color w:val="000000" w:themeColor="text1"/>
          <w:kern w:val="0"/>
          <w:sz w:val="24"/>
          <w:szCs w:val="24"/>
        </w:rPr>
        <w:t xml:space="preserve"> score might be prognostic for target-regimen-specific PFS in </w:t>
      </w:r>
      <w:r w:rsidR="00CA2B03" w:rsidRPr="00B43A8C">
        <w:rPr>
          <w:rFonts w:ascii="Book Antiqua" w:eastAsiaTheme="minorEastAsia" w:hAnsi="Book Antiqua"/>
          <w:color w:val="000000" w:themeColor="text1"/>
          <w:kern w:val="0"/>
          <w:sz w:val="24"/>
          <w:szCs w:val="24"/>
        </w:rPr>
        <w:t xml:space="preserve">stage IV </w:t>
      </w:r>
      <w:r w:rsidRPr="00B43A8C">
        <w:rPr>
          <w:rFonts w:ascii="Book Antiqua" w:eastAsiaTheme="minorEastAsia" w:hAnsi="Book Antiqua"/>
          <w:color w:val="000000" w:themeColor="text1"/>
          <w:kern w:val="0"/>
          <w:sz w:val="24"/>
          <w:szCs w:val="24"/>
        </w:rPr>
        <w:t xml:space="preserve">CRC. </w:t>
      </w:r>
      <w:r w:rsidR="00CA2B03" w:rsidRPr="00B43A8C">
        <w:rPr>
          <w:rFonts w:ascii="Book Antiqua" w:eastAsiaTheme="minorEastAsia" w:hAnsi="Book Antiqua"/>
          <w:color w:val="000000" w:themeColor="text1"/>
          <w:kern w:val="0"/>
          <w:sz w:val="24"/>
          <w:szCs w:val="24"/>
        </w:rPr>
        <w:t>D</w:t>
      </w:r>
      <w:r w:rsidRPr="00B43A8C">
        <w:rPr>
          <w:rFonts w:ascii="Book Antiqua" w:eastAsiaTheme="minorEastAsia" w:hAnsi="Book Antiqua"/>
          <w:color w:val="000000" w:themeColor="text1"/>
          <w:kern w:val="0"/>
          <w:sz w:val="24"/>
          <w:szCs w:val="24"/>
        </w:rPr>
        <w:t xml:space="preserve">own-regulation of SLAMF7 and up-regulation of TREM1 occur in primary and metastatic </w:t>
      </w:r>
      <w:r w:rsidR="00520CC1" w:rsidRPr="00B43A8C">
        <w:rPr>
          <w:rFonts w:ascii="Book Antiqua" w:eastAsiaTheme="minorEastAsia" w:hAnsi="Book Antiqua"/>
          <w:color w:val="000000" w:themeColor="text1"/>
          <w:kern w:val="0"/>
          <w:sz w:val="24"/>
          <w:szCs w:val="24"/>
        </w:rPr>
        <w:t>tumor tissues</w:t>
      </w:r>
      <w:r w:rsidR="00EF65CB">
        <w:rPr>
          <w:rFonts w:ascii="Book Antiqua" w:eastAsiaTheme="minorEastAsia" w:hAnsi="Book Antiqua"/>
          <w:color w:val="000000" w:themeColor="text1"/>
          <w:kern w:val="0"/>
          <w:sz w:val="24"/>
          <w:szCs w:val="24"/>
        </w:rPr>
        <w:t>.</w:t>
      </w:r>
    </w:p>
    <w:p w14:paraId="6D77253A" w14:textId="7E2B337D" w:rsidR="00BA6B22" w:rsidRPr="00B43A8C" w:rsidRDefault="00BA6B22" w:rsidP="00B43A8C">
      <w:pPr>
        <w:wordWrap/>
        <w:adjustRightInd w:val="0"/>
        <w:snapToGrid w:val="0"/>
        <w:spacing w:line="360" w:lineRule="auto"/>
        <w:rPr>
          <w:rFonts w:ascii="Book Antiqua" w:eastAsiaTheme="minorEastAsia" w:hAnsi="Book Antiqua"/>
          <w:color w:val="000000" w:themeColor="text1"/>
          <w:kern w:val="0"/>
          <w:sz w:val="24"/>
          <w:szCs w:val="24"/>
        </w:rPr>
      </w:pPr>
    </w:p>
    <w:p w14:paraId="4B76FAEB" w14:textId="203D5FEA" w:rsidR="00BA6B22" w:rsidRPr="00EF65CB" w:rsidRDefault="00BA6B22" w:rsidP="00EF65CB">
      <w:pPr>
        <w:wordWrap/>
        <w:adjustRightInd w:val="0"/>
        <w:snapToGrid w:val="0"/>
        <w:spacing w:line="360" w:lineRule="auto"/>
        <w:rPr>
          <w:rFonts w:ascii="Book Antiqua" w:hAnsi="Book Antiqua"/>
          <w:color w:val="000000" w:themeColor="text1"/>
          <w:sz w:val="24"/>
          <w:szCs w:val="24"/>
        </w:rPr>
      </w:pPr>
      <w:r w:rsidRPr="00EF65CB">
        <w:rPr>
          <w:rFonts w:ascii="Book Antiqua" w:hAnsi="Book Antiqua"/>
          <w:b/>
          <w:color w:val="000000" w:themeColor="text1"/>
          <w:sz w:val="24"/>
          <w:szCs w:val="24"/>
        </w:rPr>
        <w:t>Key words:</w:t>
      </w:r>
      <w:r w:rsidRPr="00EF65CB">
        <w:rPr>
          <w:rFonts w:ascii="Book Antiqua" w:hAnsi="Book Antiqua"/>
          <w:color w:val="000000" w:themeColor="text1"/>
          <w:sz w:val="24"/>
          <w:szCs w:val="24"/>
        </w:rPr>
        <w:t xml:space="preserve"> </w:t>
      </w:r>
      <w:r w:rsidRPr="00B43A8C">
        <w:rPr>
          <w:rFonts w:ascii="Book Antiqua" w:hAnsi="Book Antiqua"/>
          <w:color w:val="000000" w:themeColor="text1"/>
          <w:sz w:val="24"/>
          <w:szCs w:val="24"/>
        </w:rPr>
        <w:t>Colorectal cancer</w:t>
      </w:r>
      <w:r w:rsidRPr="00B43A8C">
        <w:rPr>
          <w:rFonts w:ascii="Book Antiqua" w:eastAsiaTheme="minorEastAsia" w:hAnsi="Book Antiqua"/>
          <w:color w:val="000000" w:themeColor="text1"/>
          <w:sz w:val="24"/>
          <w:szCs w:val="24"/>
        </w:rPr>
        <w:t>;</w:t>
      </w:r>
      <w:r w:rsidRPr="00B43A8C">
        <w:rPr>
          <w:rFonts w:ascii="Book Antiqua" w:hAnsi="Book Antiqua"/>
          <w:color w:val="000000" w:themeColor="text1"/>
          <w:sz w:val="24"/>
          <w:szCs w:val="24"/>
        </w:rPr>
        <w:t xml:space="preserve"> Prognosis; Immunotherapy; </w:t>
      </w:r>
      <w:r w:rsidR="00EF65CB" w:rsidRPr="00EF65CB">
        <w:rPr>
          <w:rFonts w:ascii="Book Antiqua" w:eastAsiaTheme="minorEastAsia" w:hAnsi="Book Antiqua"/>
          <w:color w:val="000000" w:themeColor="text1"/>
          <w:kern w:val="0"/>
          <w:sz w:val="24"/>
          <w:szCs w:val="24"/>
        </w:rPr>
        <w:t>Signaling lymphocytic activation molecule family, member 7</w:t>
      </w:r>
      <w:r w:rsidRPr="00EF65CB">
        <w:rPr>
          <w:rFonts w:ascii="Book Antiqua" w:hAnsi="Book Antiqua"/>
          <w:color w:val="000000" w:themeColor="text1"/>
          <w:sz w:val="24"/>
          <w:szCs w:val="24"/>
        </w:rPr>
        <w:t xml:space="preserve">; </w:t>
      </w:r>
      <w:r w:rsidR="00EF65CB" w:rsidRPr="00EF65CB">
        <w:rPr>
          <w:rFonts w:ascii="Book Antiqua" w:hAnsi="Book Antiqua"/>
          <w:color w:val="000000" w:themeColor="text1"/>
          <w:sz w:val="24"/>
          <w:szCs w:val="24"/>
        </w:rPr>
        <w:t>T</w:t>
      </w:r>
      <w:r w:rsidR="003E4D4B" w:rsidRPr="00EF65CB">
        <w:rPr>
          <w:rFonts w:ascii="Book Antiqua" w:hAnsi="Book Antiqua"/>
          <w:color w:val="000000" w:themeColor="text1"/>
          <w:sz w:val="24"/>
          <w:szCs w:val="24"/>
        </w:rPr>
        <w:t>riggering receptor expressed on myeloid cells 1</w:t>
      </w:r>
    </w:p>
    <w:p w14:paraId="5A63514C" w14:textId="067669D2" w:rsidR="00BA6B22" w:rsidRPr="00EF65CB" w:rsidRDefault="00BA6B22" w:rsidP="00EF65CB">
      <w:pPr>
        <w:wordWrap/>
        <w:adjustRightInd w:val="0"/>
        <w:snapToGrid w:val="0"/>
        <w:spacing w:line="360" w:lineRule="auto"/>
        <w:rPr>
          <w:rFonts w:ascii="Book Antiqua" w:eastAsiaTheme="minorEastAsia" w:hAnsi="Book Antiqua"/>
          <w:color w:val="000000" w:themeColor="text1"/>
          <w:kern w:val="0"/>
          <w:sz w:val="24"/>
          <w:szCs w:val="24"/>
        </w:rPr>
      </w:pPr>
    </w:p>
    <w:p w14:paraId="6D9562E8" w14:textId="6E6A7822" w:rsidR="00EF65CB" w:rsidRDefault="00EF65CB" w:rsidP="00EF65CB">
      <w:pPr>
        <w:wordWrap/>
        <w:adjustRightInd w:val="0"/>
        <w:snapToGrid w:val="0"/>
        <w:spacing w:line="360" w:lineRule="auto"/>
        <w:rPr>
          <w:rFonts w:ascii="Book Antiqua" w:hAnsi="Book Antiqua"/>
          <w:sz w:val="24"/>
          <w:szCs w:val="24"/>
        </w:rPr>
      </w:pPr>
      <w:bookmarkStart w:id="43" w:name="OLE_LINK43"/>
      <w:bookmarkStart w:id="44" w:name="OLE_LINK44"/>
      <w:r w:rsidRPr="00EF65CB">
        <w:rPr>
          <w:rFonts w:ascii="Book Antiqua" w:hAnsi="Book Antiqua"/>
          <w:b/>
          <w:sz w:val="24"/>
          <w:szCs w:val="24"/>
        </w:rPr>
        <w:t>© The Author(s) 201</w:t>
      </w:r>
      <w:r w:rsidRPr="00EF65CB">
        <w:rPr>
          <w:rFonts w:ascii="Book Antiqua" w:hAnsi="Book Antiqua" w:hint="eastAsia"/>
          <w:b/>
          <w:sz w:val="24"/>
          <w:szCs w:val="24"/>
        </w:rPr>
        <w:t>9</w:t>
      </w:r>
      <w:r w:rsidRPr="00EF65CB">
        <w:rPr>
          <w:rFonts w:ascii="Book Antiqua" w:hAnsi="Book Antiqua"/>
          <w:b/>
          <w:sz w:val="24"/>
          <w:szCs w:val="24"/>
        </w:rPr>
        <w:t xml:space="preserve">. </w:t>
      </w:r>
      <w:r w:rsidRPr="00EF65CB">
        <w:rPr>
          <w:rFonts w:ascii="Book Antiqua" w:hAnsi="Book Antiqua"/>
          <w:sz w:val="24"/>
          <w:szCs w:val="24"/>
        </w:rPr>
        <w:t xml:space="preserve">Published by </w:t>
      </w:r>
      <w:proofErr w:type="spellStart"/>
      <w:r w:rsidRPr="00EF65CB">
        <w:rPr>
          <w:rFonts w:ascii="Book Antiqua" w:hAnsi="Book Antiqua"/>
          <w:sz w:val="24"/>
          <w:szCs w:val="24"/>
        </w:rPr>
        <w:t>Baishideng</w:t>
      </w:r>
      <w:proofErr w:type="spellEnd"/>
      <w:r w:rsidRPr="00EF65CB">
        <w:rPr>
          <w:rFonts w:ascii="Book Antiqua" w:hAnsi="Book Antiqua"/>
          <w:sz w:val="24"/>
          <w:szCs w:val="24"/>
        </w:rPr>
        <w:t xml:space="preserve"> Publishing Group Inc. All rights reserved.</w:t>
      </w:r>
      <w:bookmarkEnd w:id="43"/>
      <w:bookmarkEnd w:id="44"/>
    </w:p>
    <w:p w14:paraId="7971182E" w14:textId="77777777" w:rsidR="00EF65CB" w:rsidRPr="00EF65CB" w:rsidRDefault="00EF65CB" w:rsidP="00EF65CB">
      <w:pPr>
        <w:wordWrap/>
        <w:adjustRightInd w:val="0"/>
        <w:snapToGrid w:val="0"/>
        <w:spacing w:line="360" w:lineRule="auto"/>
        <w:rPr>
          <w:rFonts w:ascii="Book Antiqua" w:eastAsiaTheme="minorEastAsia" w:hAnsi="Book Antiqua"/>
          <w:color w:val="000000" w:themeColor="text1"/>
          <w:kern w:val="0"/>
          <w:sz w:val="24"/>
          <w:szCs w:val="24"/>
        </w:rPr>
      </w:pPr>
    </w:p>
    <w:p w14:paraId="10E6D99F" w14:textId="04B29623" w:rsidR="003E4D4B" w:rsidRPr="00B43A8C" w:rsidRDefault="0017571C" w:rsidP="00B43A8C">
      <w:pPr>
        <w:wordWrap/>
        <w:adjustRightInd w:val="0"/>
        <w:snapToGrid w:val="0"/>
        <w:spacing w:line="360" w:lineRule="auto"/>
        <w:rPr>
          <w:rFonts w:ascii="Book Antiqua" w:eastAsiaTheme="minorEastAsia" w:hAnsi="Book Antiqua"/>
          <w:color w:val="000000" w:themeColor="text1"/>
          <w:sz w:val="24"/>
          <w:szCs w:val="24"/>
        </w:rPr>
      </w:pPr>
      <w:r w:rsidRPr="00B43A8C">
        <w:rPr>
          <w:rFonts w:ascii="Book Antiqua" w:eastAsiaTheme="minorEastAsia" w:hAnsi="Book Antiqua"/>
          <w:b/>
          <w:color w:val="000000" w:themeColor="text1"/>
          <w:kern w:val="0"/>
          <w:sz w:val="24"/>
          <w:szCs w:val="24"/>
        </w:rPr>
        <w:t xml:space="preserve">Core tip: </w:t>
      </w:r>
      <w:r w:rsidR="00520CC1" w:rsidRPr="00B43A8C">
        <w:rPr>
          <w:rFonts w:ascii="Book Antiqua" w:eastAsiaTheme="minorEastAsia" w:hAnsi="Book Antiqua"/>
          <w:color w:val="000000" w:themeColor="text1"/>
          <w:kern w:val="0"/>
          <w:sz w:val="24"/>
          <w:szCs w:val="24"/>
        </w:rPr>
        <w:t xml:space="preserve">The </w:t>
      </w:r>
      <w:r w:rsidR="003E4D4B" w:rsidRPr="00B43A8C">
        <w:rPr>
          <w:rFonts w:ascii="Book Antiqua" w:eastAsiaTheme="minorEastAsia" w:hAnsi="Book Antiqua"/>
          <w:color w:val="000000" w:themeColor="text1"/>
          <w:kern w:val="0"/>
          <w:sz w:val="24"/>
          <w:szCs w:val="24"/>
        </w:rPr>
        <w:t>current study</w:t>
      </w:r>
      <w:r w:rsidR="00520CC1" w:rsidRPr="00B43A8C">
        <w:rPr>
          <w:rFonts w:ascii="Book Antiqua" w:eastAsiaTheme="minorEastAsia" w:hAnsi="Book Antiqua"/>
          <w:color w:val="000000" w:themeColor="text1"/>
          <w:kern w:val="0"/>
          <w:sz w:val="24"/>
          <w:szCs w:val="24"/>
        </w:rPr>
        <w:t xml:space="preserve"> showed that </w:t>
      </w:r>
      <w:r w:rsidR="003E4D4B" w:rsidRPr="00B43A8C">
        <w:rPr>
          <w:rFonts w:ascii="Book Antiqua" w:eastAsiaTheme="minorEastAsia" w:hAnsi="Book Antiqua"/>
          <w:color w:val="000000" w:themeColor="text1"/>
          <w:kern w:val="0"/>
          <w:sz w:val="24"/>
          <w:szCs w:val="24"/>
        </w:rPr>
        <w:t>in the patients with</w:t>
      </w:r>
      <w:r w:rsidR="00554D3A" w:rsidRPr="00B43A8C">
        <w:rPr>
          <w:rFonts w:ascii="Book Antiqua" w:eastAsiaTheme="minorEastAsia" w:hAnsi="Book Antiqua"/>
          <w:color w:val="000000" w:themeColor="text1"/>
          <w:kern w:val="0"/>
          <w:sz w:val="24"/>
          <w:szCs w:val="24"/>
        </w:rPr>
        <w:t xml:space="preserve"> stage IV colorectal cancer (CRC) and</w:t>
      </w:r>
      <w:r w:rsidR="003E4D4B" w:rsidRPr="00B43A8C">
        <w:rPr>
          <w:rFonts w:ascii="Book Antiqua" w:eastAsiaTheme="minorEastAsia" w:hAnsi="Book Antiqua"/>
          <w:color w:val="000000" w:themeColor="text1"/>
          <w:kern w:val="0"/>
          <w:sz w:val="24"/>
          <w:szCs w:val="24"/>
        </w:rPr>
        <w:t xml:space="preserve"> a higher 19-gene based risk classifier score, </w:t>
      </w:r>
      <w:r w:rsidR="00554D3A" w:rsidRPr="00B43A8C">
        <w:rPr>
          <w:rFonts w:ascii="Book Antiqua" w:eastAsiaTheme="minorEastAsia" w:hAnsi="Book Antiqua"/>
          <w:color w:val="000000" w:themeColor="text1"/>
          <w:kern w:val="0"/>
          <w:sz w:val="24"/>
          <w:szCs w:val="24"/>
        </w:rPr>
        <w:t xml:space="preserve">the target-regimen-specific progression-free survival (PFS) was significantly increased compared with the </w:t>
      </w:r>
      <w:r w:rsidR="00802499" w:rsidRPr="00B43A8C">
        <w:rPr>
          <w:rFonts w:ascii="Book Antiqua" w:hAnsi="Book Antiqua"/>
          <w:color w:val="000000" w:themeColor="text1"/>
          <w:sz w:val="24"/>
          <w:szCs w:val="24"/>
        </w:rPr>
        <w:t>5-fluorouracil</w:t>
      </w:r>
      <w:r w:rsidR="00554D3A" w:rsidRPr="00B43A8C">
        <w:rPr>
          <w:rFonts w:ascii="Book Antiqua" w:eastAsiaTheme="minorEastAsia" w:hAnsi="Book Antiqua"/>
          <w:color w:val="000000" w:themeColor="text1"/>
          <w:kern w:val="0"/>
          <w:sz w:val="24"/>
          <w:szCs w:val="24"/>
        </w:rPr>
        <w:t>-regimen-specific PFS.</w:t>
      </w:r>
      <w:r w:rsidR="003E4D4B" w:rsidRPr="00B43A8C">
        <w:rPr>
          <w:rFonts w:ascii="Book Antiqua" w:eastAsiaTheme="minorEastAsia" w:hAnsi="Book Antiqua"/>
          <w:color w:val="000000" w:themeColor="text1"/>
          <w:kern w:val="0"/>
          <w:sz w:val="24"/>
          <w:szCs w:val="24"/>
        </w:rPr>
        <w:t xml:space="preserve"> </w:t>
      </w:r>
      <w:r w:rsidR="00520CC1" w:rsidRPr="00B43A8C">
        <w:rPr>
          <w:rFonts w:ascii="Book Antiqua" w:hAnsi="Book Antiqua"/>
          <w:color w:val="000000" w:themeColor="text1"/>
          <w:sz w:val="24"/>
          <w:szCs w:val="24"/>
        </w:rPr>
        <w:t>Using another 10 validate set, d</w:t>
      </w:r>
      <w:r w:rsidR="00520CC1" w:rsidRPr="00B43A8C">
        <w:rPr>
          <w:rFonts w:ascii="Book Antiqua" w:eastAsiaTheme="minorEastAsia" w:hAnsi="Book Antiqua"/>
          <w:color w:val="000000" w:themeColor="text1"/>
          <w:kern w:val="0"/>
          <w:sz w:val="24"/>
          <w:szCs w:val="24"/>
        </w:rPr>
        <w:t xml:space="preserve">own-regulation of </w:t>
      </w:r>
      <w:r w:rsidR="00EF65CB">
        <w:rPr>
          <w:rFonts w:ascii="Book Antiqua" w:hAnsi="Book Antiqua"/>
          <w:color w:val="000000" w:themeColor="text1"/>
          <w:sz w:val="24"/>
          <w:szCs w:val="24"/>
        </w:rPr>
        <w:t>s</w:t>
      </w:r>
      <w:r w:rsidR="00EF65CB" w:rsidRPr="00EF65CB">
        <w:rPr>
          <w:rFonts w:ascii="Book Antiqua" w:hAnsi="Book Antiqua"/>
          <w:color w:val="000000" w:themeColor="text1"/>
          <w:sz w:val="24"/>
          <w:szCs w:val="24"/>
        </w:rPr>
        <w:t>ignaling lymphocytic activation molecule family, member 7</w:t>
      </w:r>
      <w:r w:rsidR="003E4D4B" w:rsidRPr="00B43A8C">
        <w:rPr>
          <w:rFonts w:ascii="Book Antiqua" w:hAnsi="Book Antiqua"/>
          <w:color w:val="000000" w:themeColor="text1"/>
          <w:sz w:val="24"/>
          <w:szCs w:val="24"/>
        </w:rPr>
        <w:t xml:space="preserve"> (SLAMF7)</w:t>
      </w:r>
      <w:r w:rsidR="00DD0EB4" w:rsidRPr="00B43A8C">
        <w:rPr>
          <w:rFonts w:ascii="Book Antiqua" w:hAnsi="Book Antiqua"/>
          <w:color w:val="000000" w:themeColor="text1"/>
          <w:sz w:val="24"/>
          <w:szCs w:val="24"/>
        </w:rPr>
        <w:t xml:space="preserve"> </w:t>
      </w:r>
      <w:r w:rsidR="00520CC1" w:rsidRPr="00B43A8C">
        <w:rPr>
          <w:rFonts w:ascii="Book Antiqua" w:eastAsiaTheme="minorEastAsia" w:hAnsi="Book Antiqua"/>
          <w:color w:val="000000" w:themeColor="text1"/>
          <w:kern w:val="0"/>
          <w:sz w:val="24"/>
          <w:szCs w:val="24"/>
        </w:rPr>
        <w:t xml:space="preserve">and up-regulation of </w:t>
      </w:r>
      <w:r w:rsidR="00DD0EB4" w:rsidRPr="00B43A8C">
        <w:rPr>
          <w:rFonts w:ascii="Book Antiqua" w:hAnsi="Book Antiqua"/>
          <w:color w:val="000000" w:themeColor="text1"/>
          <w:sz w:val="24"/>
          <w:szCs w:val="24"/>
        </w:rPr>
        <w:t>triggering receptor expressed on myeloid cells 1</w:t>
      </w:r>
      <w:r w:rsidR="00520CC1" w:rsidRPr="00B43A8C">
        <w:rPr>
          <w:rFonts w:ascii="Book Antiqua" w:eastAsiaTheme="minorEastAsia" w:hAnsi="Book Antiqua"/>
          <w:color w:val="000000" w:themeColor="text1"/>
          <w:kern w:val="0"/>
          <w:sz w:val="24"/>
          <w:szCs w:val="24"/>
        </w:rPr>
        <w:t xml:space="preserve"> were identified in primary and metastatic tumors compared with normal tissue. </w:t>
      </w:r>
      <w:r w:rsidR="003E4D4B" w:rsidRPr="00B43A8C">
        <w:rPr>
          <w:rFonts w:ascii="Book Antiqua" w:eastAsiaTheme="minorEastAsia" w:hAnsi="Book Antiqua"/>
          <w:color w:val="000000" w:themeColor="text1"/>
          <w:sz w:val="24"/>
          <w:szCs w:val="24"/>
        </w:rPr>
        <w:t xml:space="preserve">In CRC cells expressing SLAMF7 that were co-cultured with a monocytic cell line, levels of CD68 and CD73 were significantly lower at day 5 of co-culture than at day 0. </w:t>
      </w:r>
    </w:p>
    <w:p w14:paraId="2F431436" w14:textId="135DC41C" w:rsidR="00DD0EB4" w:rsidRPr="00B43A8C" w:rsidRDefault="00DD0EB4" w:rsidP="00B43A8C">
      <w:pPr>
        <w:wordWrap/>
        <w:adjustRightInd w:val="0"/>
        <w:snapToGrid w:val="0"/>
        <w:spacing w:line="360" w:lineRule="auto"/>
        <w:rPr>
          <w:rFonts w:ascii="Book Antiqua" w:eastAsiaTheme="minorEastAsia" w:hAnsi="Book Antiqua"/>
          <w:color w:val="000000" w:themeColor="text1"/>
          <w:kern w:val="0"/>
          <w:sz w:val="24"/>
          <w:szCs w:val="24"/>
        </w:rPr>
      </w:pPr>
    </w:p>
    <w:p w14:paraId="4047C4ED" w14:textId="40CCD70F" w:rsidR="00DD0EB4" w:rsidRPr="00B43A8C" w:rsidRDefault="00DD0EB4" w:rsidP="00B43A8C">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color w:val="000000" w:themeColor="text1"/>
          <w:sz w:val="24"/>
          <w:szCs w:val="24"/>
        </w:rPr>
        <w:t>Lee</w:t>
      </w:r>
      <w:r w:rsidR="00EF65CB">
        <w:rPr>
          <w:rFonts w:ascii="Book Antiqua" w:hAnsi="Book Antiqua"/>
          <w:color w:val="000000" w:themeColor="text1"/>
          <w:sz w:val="24"/>
          <w:szCs w:val="24"/>
        </w:rPr>
        <w:t xml:space="preserve"> </w:t>
      </w:r>
      <w:r w:rsidR="00EF65CB" w:rsidRPr="00B43A8C">
        <w:rPr>
          <w:rFonts w:ascii="Book Antiqua" w:hAnsi="Book Antiqua"/>
          <w:color w:val="000000" w:themeColor="text1"/>
          <w:sz w:val="24"/>
          <w:szCs w:val="24"/>
        </w:rPr>
        <w:t>JL</w:t>
      </w:r>
      <w:r w:rsidRPr="00B43A8C">
        <w:rPr>
          <w:rFonts w:ascii="Book Antiqua" w:hAnsi="Book Antiqua"/>
          <w:color w:val="000000" w:themeColor="text1"/>
          <w:sz w:val="24"/>
          <w:szCs w:val="24"/>
        </w:rPr>
        <w:t xml:space="preserve">, </w:t>
      </w:r>
      <w:proofErr w:type="spellStart"/>
      <w:r w:rsidRPr="00B43A8C">
        <w:rPr>
          <w:rFonts w:ascii="Book Antiqua" w:hAnsi="Book Antiqua"/>
          <w:color w:val="000000" w:themeColor="text1"/>
          <w:sz w:val="24"/>
          <w:szCs w:val="24"/>
        </w:rPr>
        <w:t>Roh</w:t>
      </w:r>
      <w:proofErr w:type="spellEnd"/>
      <w:r w:rsidR="00EF65CB">
        <w:rPr>
          <w:rFonts w:ascii="Book Antiqua" w:hAnsi="Book Antiqua"/>
          <w:color w:val="000000" w:themeColor="text1"/>
          <w:sz w:val="24"/>
          <w:szCs w:val="24"/>
        </w:rPr>
        <w:t xml:space="preserve"> </w:t>
      </w:r>
      <w:r w:rsidR="00EF65CB" w:rsidRPr="00B43A8C">
        <w:rPr>
          <w:rFonts w:ascii="Book Antiqua" w:hAnsi="Book Antiqua"/>
          <w:color w:val="000000" w:themeColor="text1"/>
          <w:sz w:val="24"/>
          <w:szCs w:val="24"/>
        </w:rPr>
        <w:t>SA</w:t>
      </w:r>
      <w:r w:rsidRPr="00B43A8C">
        <w:rPr>
          <w:rFonts w:ascii="Book Antiqua" w:hAnsi="Book Antiqua"/>
          <w:color w:val="000000" w:themeColor="text1"/>
          <w:sz w:val="24"/>
          <w:szCs w:val="24"/>
        </w:rPr>
        <w:t>, Kim</w:t>
      </w:r>
      <w:r w:rsidR="00EF65CB">
        <w:rPr>
          <w:rFonts w:ascii="Book Antiqua" w:hAnsi="Book Antiqua"/>
          <w:color w:val="000000" w:themeColor="text1"/>
          <w:sz w:val="24"/>
          <w:szCs w:val="24"/>
        </w:rPr>
        <w:t xml:space="preserve"> </w:t>
      </w:r>
      <w:r w:rsidR="00EF65CB" w:rsidRPr="00B43A8C">
        <w:rPr>
          <w:rFonts w:ascii="Book Antiqua" w:hAnsi="Book Antiqua"/>
          <w:color w:val="000000" w:themeColor="text1"/>
          <w:sz w:val="24"/>
          <w:szCs w:val="24"/>
        </w:rPr>
        <w:t>CW</w:t>
      </w:r>
      <w:r w:rsidRPr="00B43A8C">
        <w:rPr>
          <w:rFonts w:ascii="Book Antiqua" w:hAnsi="Book Antiqua"/>
          <w:color w:val="000000" w:themeColor="text1"/>
          <w:sz w:val="24"/>
          <w:szCs w:val="24"/>
        </w:rPr>
        <w:t>, Kwon</w:t>
      </w:r>
      <w:r w:rsidR="00EF65CB">
        <w:rPr>
          <w:rFonts w:ascii="Book Antiqua" w:hAnsi="Book Antiqua"/>
          <w:color w:val="000000" w:themeColor="text1"/>
          <w:sz w:val="24"/>
          <w:szCs w:val="24"/>
        </w:rPr>
        <w:t xml:space="preserve"> </w:t>
      </w:r>
      <w:r w:rsidR="00EF65CB" w:rsidRPr="00B43A8C">
        <w:rPr>
          <w:rFonts w:ascii="Book Antiqua" w:hAnsi="Book Antiqua"/>
          <w:color w:val="000000" w:themeColor="text1"/>
          <w:sz w:val="24"/>
          <w:szCs w:val="24"/>
        </w:rPr>
        <w:t>YH</w:t>
      </w:r>
      <w:r w:rsidRPr="00B43A8C">
        <w:rPr>
          <w:rFonts w:ascii="Book Antiqua" w:hAnsi="Book Antiqua"/>
          <w:color w:val="000000" w:themeColor="text1"/>
          <w:sz w:val="24"/>
          <w:szCs w:val="24"/>
        </w:rPr>
        <w:t>, Ha</w:t>
      </w:r>
      <w:r w:rsidR="00EF65CB">
        <w:rPr>
          <w:rFonts w:ascii="Book Antiqua" w:hAnsi="Book Antiqua"/>
          <w:color w:val="000000" w:themeColor="text1"/>
          <w:sz w:val="24"/>
          <w:szCs w:val="24"/>
        </w:rPr>
        <w:t xml:space="preserve"> </w:t>
      </w:r>
      <w:r w:rsidR="00EF65CB" w:rsidRPr="00B43A8C">
        <w:rPr>
          <w:rFonts w:ascii="Book Antiqua" w:hAnsi="Book Antiqua"/>
          <w:color w:val="000000" w:themeColor="text1"/>
          <w:sz w:val="24"/>
          <w:szCs w:val="24"/>
        </w:rPr>
        <w:t>YJ</w:t>
      </w:r>
      <w:r w:rsidRPr="00B43A8C">
        <w:rPr>
          <w:rFonts w:ascii="Book Antiqua" w:hAnsi="Book Antiqua"/>
          <w:color w:val="000000" w:themeColor="text1"/>
          <w:sz w:val="24"/>
          <w:szCs w:val="24"/>
        </w:rPr>
        <w:t>, Kim</w:t>
      </w:r>
      <w:r w:rsidR="00EF65CB">
        <w:rPr>
          <w:rFonts w:ascii="Book Antiqua" w:hAnsi="Book Antiqua"/>
          <w:color w:val="000000" w:themeColor="text1"/>
          <w:sz w:val="24"/>
          <w:szCs w:val="24"/>
        </w:rPr>
        <w:t xml:space="preserve"> S</w:t>
      </w:r>
      <w:r w:rsidR="00EF65CB" w:rsidRPr="00B43A8C">
        <w:rPr>
          <w:rFonts w:ascii="Book Antiqua" w:hAnsi="Book Antiqua"/>
          <w:color w:val="000000" w:themeColor="text1"/>
          <w:sz w:val="24"/>
          <w:szCs w:val="24"/>
        </w:rPr>
        <w:t>K</w:t>
      </w:r>
      <w:r w:rsidRPr="00B43A8C">
        <w:rPr>
          <w:rFonts w:ascii="Book Antiqua" w:hAnsi="Book Antiqua"/>
          <w:color w:val="000000" w:themeColor="text1"/>
          <w:sz w:val="24"/>
          <w:szCs w:val="24"/>
        </w:rPr>
        <w:t>, Kim</w:t>
      </w:r>
      <w:r w:rsidR="00EF65CB">
        <w:rPr>
          <w:rFonts w:ascii="Book Antiqua" w:hAnsi="Book Antiqua"/>
          <w:color w:val="000000" w:themeColor="text1"/>
          <w:sz w:val="24"/>
          <w:szCs w:val="24"/>
        </w:rPr>
        <w:t xml:space="preserve"> S</w:t>
      </w:r>
      <w:r w:rsidR="00EF65CB" w:rsidRPr="00B43A8C">
        <w:rPr>
          <w:rFonts w:ascii="Book Antiqua" w:hAnsi="Book Antiqua"/>
          <w:color w:val="000000" w:themeColor="text1"/>
          <w:sz w:val="24"/>
          <w:szCs w:val="24"/>
        </w:rPr>
        <w:t>Y</w:t>
      </w:r>
      <w:r w:rsidRPr="00B43A8C">
        <w:rPr>
          <w:rFonts w:ascii="Book Antiqua" w:hAnsi="Book Antiqua"/>
          <w:color w:val="000000" w:themeColor="text1"/>
          <w:sz w:val="24"/>
          <w:szCs w:val="24"/>
        </w:rPr>
        <w:t>, Cho</w:t>
      </w:r>
      <w:r w:rsidR="00EF65CB">
        <w:rPr>
          <w:rFonts w:ascii="Book Antiqua" w:hAnsi="Book Antiqua"/>
          <w:color w:val="000000" w:themeColor="text1"/>
          <w:sz w:val="24"/>
          <w:szCs w:val="24"/>
        </w:rPr>
        <w:t xml:space="preserve"> D</w:t>
      </w:r>
      <w:r w:rsidR="00EF65CB" w:rsidRPr="00B43A8C">
        <w:rPr>
          <w:rFonts w:ascii="Book Antiqua" w:hAnsi="Book Antiqua"/>
          <w:color w:val="000000" w:themeColor="text1"/>
          <w:sz w:val="24"/>
          <w:szCs w:val="24"/>
        </w:rPr>
        <w:t>H</w:t>
      </w:r>
      <w:r w:rsidRPr="00B43A8C">
        <w:rPr>
          <w:rFonts w:ascii="Book Antiqua" w:hAnsi="Book Antiqua"/>
          <w:color w:val="000000" w:themeColor="text1"/>
          <w:sz w:val="24"/>
          <w:szCs w:val="24"/>
        </w:rPr>
        <w:t>, Kim</w:t>
      </w:r>
      <w:r w:rsidR="00EF65CB">
        <w:rPr>
          <w:rFonts w:ascii="Book Antiqua" w:hAnsi="Book Antiqua"/>
          <w:color w:val="000000" w:themeColor="text1"/>
          <w:sz w:val="24"/>
          <w:szCs w:val="24"/>
        </w:rPr>
        <w:t xml:space="preserve"> </w:t>
      </w:r>
      <w:r w:rsidR="00EF65CB" w:rsidRPr="00B43A8C">
        <w:rPr>
          <w:rFonts w:ascii="Book Antiqua" w:hAnsi="Book Antiqua"/>
          <w:color w:val="000000" w:themeColor="text1"/>
          <w:sz w:val="24"/>
          <w:szCs w:val="24"/>
        </w:rPr>
        <w:t>YS</w:t>
      </w:r>
      <w:r w:rsidRPr="00B43A8C">
        <w:rPr>
          <w:rFonts w:ascii="Book Antiqua" w:hAnsi="Book Antiqua"/>
          <w:color w:val="000000" w:themeColor="text1"/>
          <w:sz w:val="24"/>
          <w:szCs w:val="24"/>
        </w:rPr>
        <w:t>, Kim</w:t>
      </w:r>
      <w:r w:rsidR="00EF65CB">
        <w:rPr>
          <w:rFonts w:ascii="Book Antiqua" w:hAnsi="Book Antiqua"/>
          <w:color w:val="000000" w:themeColor="text1"/>
          <w:sz w:val="24"/>
          <w:szCs w:val="24"/>
        </w:rPr>
        <w:t xml:space="preserve"> </w:t>
      </w:r>
      <w:r w:rsidR="00EF65CB" w:rsidRPr="00B43A8C">
        <w:rPr>
          <w:rFonts w:ascii="Book Antiqua" w:hAnsi="Book Antiqua"/>
          <w:color w:val="000000" w:themeColor="text1"/>
          <w:sz w:val="24"/>
          <w:szCs w:val="24"/>
        </w:rPr>
        <w:t>JC</w:t>
      </w:r>
      <w:r w:rsidRPr="00B43A8C">
        <w:rPr>
          <w:rFonts w:ascii="Book Antiqua" w:hAnsi="Book Antiqua"/>
          <w:color w:val="000000" w:themeColor="text1"/>
          <w:sz w:val="24"/>
          <w:szCs w:val="24"/>
        </w:rPr>
        <w:t xml:space="preserve">. </w:t>
      </w:r>
      <w:r w:rsidR="00EF65CB" w:rsidRPr="00EF65CB">
        <w:rPr>
          <w:rFonts w:ascii="Book Antiqua" w:hAnsi="Book Antiqua"/>
          <w:color w:val="000000" w:themeColor="text1"/>
          <w:sz w:val="24"/>
          <w:szCs w:val="24"/>
        </w:rPr>
        <w:t xml:space="preserve">Clinical assessment and identification of immuno-oncology markers concerning </w:t>
      </w:r>
      <w:r w:rsidR="00EF65CB" w:rsidRPr="00EF65CB">
        <w:rPr>
          <w:rFonts w:ascii="Book Antiqua" w:hAnsi="Book Antiqua"/>
          <w:color w:val="000000" w:themeColor="text1"/>
          <w:sz w:val="24"/>
          <w:szCs w:val="24"/>
        </w:rPr>
        <w:lastRenderedPageBreak/>
        <w:t>the 19-gene based risk classifier in stage IV colorectal cancer</w:t>
      </w:r>
      <w:r w:rsidRPr="00B43A8C">
        <w:rPr>
          <w:rFonts w:ascii="Book Antiqua" w:hAnsi="Book Antiqua"/>
          <w:color w:val="000000" w:themeColor="text1"/>
          <w:sz w:val="24"/>
          <w:szCs w:val="24"/>
        </w:rPr>
        <w:t xml:space="preserve">. </w:t>
      </w:r>
      <w:r w:rsidRPr="00B43A8C">
        <w:rPr>
          <w:rFonts w:ascii="Book Antiqua" w:hAnsi="Book Antiqua"/>
          <w:i/>
          <w:color w:val="000000" w:themeColor="text1"/>
          <w:sz w:val="24"/>
          <w:szCs w:val="24"/>
        </w:rPr>
        <w:t>World J Gastroenterol</w:t>
      </w:r>
      <w:r w:rsidRPr="00B43A8C">
        <w:rPr>
          <w:rFonts w:ascii="Book Antiqua" w:hAnsi="Book Antiqua"/>
          <w:color w:val="000000" w:themeColor="text1"/>
          <w:sz w:val="24"/>
          <w:szCs w:val="24"/>
        </w:rPr>
        <w:t xml:space="preserve"> 2019; In press</w:t>
      </w:r>
    </w:p>
    <w:p w14:paraId="1E1ED286" w14:textId="77777777" w:rsidR="00861A59" w:rsidRDefault="00861A59">
      <w:pPr>
        <w:widowControl/>
        <w:wordWrap/>
        <w:autoSpaceDE/>
        <w:autoSpaceDN/>
        <w:spacing w:after="160" w:line="259" w:lineRule="auto"/>
        <w:rPr>
          <w:rFonts w:ascii="Book Antiqua" w:hAnsi="Book Antiqua"/>
          <w:b/>
          <w:color w:val="000000" w:themeColor="text1"/>
          <w:sz w:val="24"/>
          <w:szCs w:val="24"/>
        </w:rPr>
      </w:pPr>
      <w:r>
        <w:rPr>
          <w:rFonts w:ascii="Book Antiqua" w:hAnsi="Book Antiqua"/>
          <w:b/>
          <w:color w:val="000000" w:themeColor="text1"/>
          <w:sz w:val="24"/>
          <w:szCs w:val="24"/>
        </w:rPr>
        <w:br w:type="page"/>
      </w:r>
    </w:p>
    <w:p w14:paraId="143001FA" w14:textId="5D8A4FA8" w:rsidR="00DB03D6" w:rsidRPr="00B43A8C" w:rsidRDefault="00DB03D6" w:rsidP="00EF65CB">
      <w:pPr>
        <w:wordWrap/>
        <w:adjustRightInd w:val="0"/>
        <w:snapToGrid w:val="0"/>
        <w:spacing w:line="360" w:lineRule="auto"/>
        <w:outlineLvl w:val="0"/>
        <w:rPr>
          <w:rFonts w:ascii="Book Antiqua" w:hAnsi="Book Antiqua"/>
          <w:color w:val="000000" w:themeColor="text1"/>
          <w:sz w:val="24"/>
          <w:szCs w:val="24"/>
        </w:rPr>
      </w:pPr>
      <w:r w:rsidRPr="00B43A8C">
        <w:rPr>
          <w:rFonts w:ascii="Book Antiqua" w:hAnsi="Book Antiqua"/>
          <w:b/>
          <w:color w:val="000000" w:themeColor="text1"/>
          <w:sz w:val="24"/>
          <w:szCs w:val="24"/>
        </w:rPr>
        <w:lastRenderedPageBreak/>
        <w:t>I</w:t>
      </w:r>
      <w:r w:rsidR="00DD0EB4" w:rsidRPr="00B43A8C">
        <w:rPr>
          <w:rFonts w:ascii="Book Antiqua" w:hAnsi="Book Antiqua"/>
          <w:b/>
          <w:color w:val="000000" w:themeColor="text1"/>
          <w:sz w:val="24"/>
          <w:szCs w:val="24"/>
        </w:rPr>
        <w:t>NTRODUCTION</w:t>
      </w:r>
    </w:p>
    <w:p w14:paraId="10C89769" w14:textId="232FCCE8" w:rsidR="00DB03D6" w:rsidRPr="00B43A8C" w:rsidRDefault="00DB03D6" w:rsidP="00B43A8C">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color w:val="000000" w:themeColor="text1"/>
          <w:sz w:val="24"/>
          <w:szCs w:val="24"/>
        </w:rPr>
        <w:t xml:space="preserve">According to the Korean National Cancer Information Center, colorectal cancer (CRC) is the third leading cause of cancer death in </w:t>
      </w:r>
      <w:r w:rsidR="00EF65CB">
        <w:rPr>
          <w:rFonts w:ascii="Book Antiqua" w:hAnsi="Book Antiqua"/>
          <w:color w:val="000000" w:themeColor="text1"/>
          <w:sz w:val="24"/>
          <w:szCs w:val="24"/>
        </w:rPr>
        <w:t xml:space="preserve">South </w:t>
      </w:r>
      <w:proofErr w:type="gramStart"/>
      <w:r w:rsidRPr="00B43A8C">
        <w:rPr>
          <w:rFonts w:ascii="Book Antiqua" w:hAnsi="Book Antiqua"/>
          <w:color w:val="000000" w:themeColor="text1"/>
          <w:sz w:val="24"/>
          <w:szCs w:val="24"/>
        </w:rPr>
        <w:t>Korea</w:t>
      </w:r>
      <w:r w:rsidR="00DD0EB4" w:rsidRPr="00B43A8C">
        <w:rPr>
          <w:rFonts w:ascii="Book Antiqua" w:hAnsi="Book Antiqua"/>
          <w:color w:val="000000" w:themeColor="text1"/>
          <w:sz w:val="24"/>
          <w:szCs w:val="24"/>
          <w:vertAlign w:val="superscript"/>
        </w:rPr>
        <w:t>[</w:t>
      </w:r>
      <w:proofErr w:type="gramEnd"/>
      <w:r w:rsidR="00DD0EB4" w:rsidRPr="00B43A8C">
        <w:rPr>
          <w:rFonts w:ascii="Book Antiqua" w:hAnsi="Book Antiqua"/>
          <w:color w:val="000000" w:themeColor="text1"/>
          <w:sz w:val="24"/>
          <w:szCs w:val="24"/>
          <w:vertAlign w:val="superscript"/>
        </w:rPr>
        <w:t>1]</w:t>
      </w:r>
      <w:r w:rsidR="00EF65CB">
        <w:rPr>
          <w:rFonts w:ascii="Book Antiqua" w:hAnsi="Book Antiqua"/>
          <w:color w:val="000000" w:themeColor="text1"/>
          <w:sz w:val="24"/>
          <w:szCs w:val="24"/>
        </w:rPr>
        <w:t>.</w:t>
      </w:r>
      <w:r w:rsidRPr="00B43A8C">
        <w:rPr>
          <w:rFonts w:ascii="Book Antiqua" w:hAnsi="Book Antiqua"/>
          <w:color w:val="000000" w:themeColor="text1"/>
          <w:sz w:val="24"/>
          <w:szCs w:val="24"/>
        </w:rPr>
        <w:t xml:space="preserve"> The survival rate for CRC in Korea has increased over the past two or three decades, with screening programs, new chemotherapy regimens (including targeted agents) and advances in surgical techniques all contributing to survival improvements</w:t>
      </w:r>
      <w:r w:rsidR="00EF65CB" w:rsidRPr="00B43A8C">
        <w:rPr>
          <w:rFonts w:ascii="Book Antiqua" w:hAnsi="Book Antiqua"/>
          <w:color w:val="000000" w:themeColor="text1"/>
          <w:sz w:val="24"/>
          <w:szCs w:val="24"/>
          <w:vertAlign w:val="superscript"/>
        </w:rPr>
        <w:t>[2-4]</w:t>
      </w:r>
      <w:r w:rsidR="00DD0EB4" w:rsidRPr="00B43A8C">
        <w:rPr>
          <w:rFonts w:ascii="Book Antiqua" w:hAnsi="Book Antiqua"/>
          <w:color w:val="000000" w:themeColor="text1"/>
          <w:sz w:val="24"/>
          <w:szCs w:val="24"/>
        </w:rPr>
        <w:t>.</w:t>
      </w:r>
      <w:r w:rsidRPr="00B43A8C">
        <w:rPr>
          <w:rFonts w:ascii="Book Antiqua" w:hAnsi="Book Antiqua"/>
          <w:color w:val="000000" w:themeColor="text1"/>
          <w:sz w:val="24"/>
          <w:szCs w:val="24"/>
        </w:rPr>
        <w:t xml:space="preserve"> Further improvements could be obtained by optimizing selection of treatment regimens for different patients. Pathological staging according to tumor burden (T), presence of cancer cells in lymph nodes (N) and evidence for metastasis (M) is a well-known standard for </w:t>
      </w:r>
      <w:proofErr w:type="gramStart"/>
      <w:r w:rsidRPr="00B43A8C">
        <w:rPr>
          <w:rFonts w:ascii="Book Antiqua" w:hAnsi="Book Antiqua"/>
          <w:color w:val="000000" w:themeColor="text1"/>
          <w:sz w:val="24"/>
          <w:szCs w:val="24"/>
        </w:rPr>
        <w:t>prognosis</w:t>
      </w:r>
      <w:r w:rsidR="00EF65CB" w:rsidRPr="00B43A8C">
        <w:rPr>
          <w:rFonts w:ascii="Book Antiqua" w:hAnsi="Book Antiqua"/>
          <w:color w:val="000000" w:themeColor="text1"/>
          <w:sz w:val="24"/>
          <w:szCs w:val="24"/>
          <w:vertAlign w:val="superscript"/>
        </w:rPr>
        <w:t>[</w:t>
      </w:r>
      <w:proofErr w:type="gramEnd"/>
      <w:r w:rsidR="00EF65CB" w:rsidRPr="00B43A8C">
        <w:rPr>
          <w:rFonts w:ascii="Book Antiqua" w:hAnsi="Book Antiqua"/>
          <w:color w:val="000000" w:themeColor="text1"/>
          <w:sz w:val="24"/>
          <w:szCs w:val="24"/>
          <w:vertAlign w:val="superscript"/>
        </w:rPr>
        <w:t>5]</w:t>
      </w:r>
      <w:r w:rsidR="00DD0EB4" w:rsidRPr="00B43A8C">
        <w:rPr>
          <w:rFonts w:ascii="Book Antiqua" w:hAnsi="Book Antiqua"/>
          <w:color w:val="000000" w:themeColor="text1"/>
          <w:sz w:val="24"/>
          <w:szCs w:val="24"/>
        </w:rPr>
        <w:t>,</w:t>
      </w:r>
      <w:r w:rsidRPr="00B43A8C">
        <w:rPr>
          <w:rFonts w:ascii="Book Antiqua" w:hAnsi="Book Antiqua"/>
          <w:color w:val="000000" w:themeColor="text1"/>
          <w:sz w:val="24"/>
          <w:szCs w:val="24"/>
        </w:rPr>
        <w:t xml:space="preserve"> and along with other clinicopathological characteristics is used for selection of patients for adjuvant chemotherapy. However, the response to chemotherapy varies because of heterogeneity among these </w:t>
      </w:r>
      <w:proofErr w:type="gramStart"/>
      <w:r w:rsidRPr="00B43A8C">
        <w:rPr>
          <w:rFonts w:ascii="Book Antiqua" w:hAnsi="Book Antiqua"/>
          <w:color w:val="000000" w:themeColor="text1"/>
          <w:sz w:val="24"/>
          <w:szCs w:val="24"/>
        </w:rPr>
        <w:t>patients</w:t>
      </w:r>
      <w:r w:rsidR="00EF65CB" w:rsidRPr="00B43A8C">
        <w:rPr>
          <w:rFonts w:ascii="Book Antiqua" w:hAnsi="Book Antiqua"/>
          <w:color w:val="000000" w:themeColor="text1"/>
          <w:sz w:val="24"/>
          <w:szCs w:val="24"/>
          <w:vertAlign w:val="superscript"/>
        </w:rPr>
        <w:t>[</w:t>
      </w:r>
      <w:proofErr w:type="gramEnd"/>
      <w:r w:rsidR="00EF65CB" w:rsidRPr="00B43A8C">
        <w:rPr>
          <w:rFonts w:ascii="Book Antiqua" w:hAnsi="Book Antiqua"/>
          <w:color w:val="000000" w:themeColor="text1"/>
          <w:sz w:val="24"/>
          <w:szCs w:val="24"/>
          <w:vertAlign w:val="superscript"/>
        </w:rPr>
        <w:t>6-9]</w:t>
      </w:r>
      <w:r w:rsidRPr="00B43A8C">
        <w:rPr>
          <w:rFonts w:ascii="Book Antiqua" w:hAnsi="Book Antiqua"/>
          <w:color w:val="000000" w:themeColor="text1"/>
          <w:sz w:val="24"/>
          <w:szCs w:val="24"/>
        </w:rPr>
        <w:t>.</w:t>
      </w:r>
    </w:p>
    <w:p w14:paraId="7A654479" w14:textId="2D20F03A" w:rsidR="00DB03D6" w:rsidRPr="00B43A8C" w:rsidRDefault="00EF65CB" w:rsidP="00EF65CB">
      <w:pPr>
        <w:wordWrap/>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DB03D6" w:rsidRPr="00B43A8C">
        <w:rPr>
          <w:rFonts w:ascii="Book Antiqua" w:hAnsi="Book Antiqua"/>
          <w:color w:val="000000" w:themeColor="text1"/>
          <w:sz w:val="24"/>
          <w:szCs w:val="24"/>
        </w:rPr>
        <w:t xml:space="preserve">Genomic profiling of tumors has contributed to our understanding of CRC, facilitating diagnosis, prognosis and selection of treatments, including targeted </w:t>
      </w:r>
      <w:proofErr w:type="gramStart"/>
      <w:r w:rsidR="00DB03D6" w:rsidRPr="00B43A8C">
        <w:rPr>
          <w:rFonts w:ascii="Book Antiqua" w:hAnsi="Book Antiqua"/>
          <w:color w:val="000000" w:themeColor="text1"/>
          <w:sz w:val="24"/>
          <w:szCs w:val="24"/>
        </w:rPr>
        <w:t>regimens</w:t>
      </w:r>
      <w:r w:rsidRPr="00B43A8C">
        <w:rPr>
          <w:rFonts w:ascii="Book Antiqua" w:hAnsi="Book Antiqua"/>
          <w:color w:val="000000" w:themeColor="text1"/>
          <w:sz w:val="24"/>
          <w:szCs w:val="24"/>
          <w:vertAlign w:val="superscript"/>
        </w:rPr>
        <w:t>[</w:t>
      </w:r>
      <w:proofErr w:type="gramEnd"/>
      <w:r w:rsidRPr="00B43A8C">
        <w:rPr>
          <w:rFonts w:ascii="Book Antiqua" w:hAnsi="Book Antiqua"/>
          <w:color w:val="000000" w:themeColor="text1"/>
          <w:sz w:val="24"/>
          <w:szCs w:val="24"/>
          <w:vertAlign w:val="superscript"/>
        </w:rPr>
        <w:t>10]</w:t>
      </w:r>
      <w:r w:rsidR="00DD0EB4" w:rsidRPr="00B43A8C">
        <w:rPr>
          <w:rFonts w:ascii="Book Antiqua" w:hAnsi="Book Antiqua"/>
          <w:color w:val="000000" w:themeColor="text1"/>
          <w:sz w:val="24"/>
          <w:szCs w:val="24"/>
        </w:rPr>
        <w:t>.</w:t>
      </w:r>
      <w:r w:rsidR="00DB03D6" w:rsidRPr="00B43A8C">
        <w:rPr>
          <w:rFonts w:ascii="Book Antiqua" w:hAnsi="Book Antiqua"/>
          <w:color w:val="000000" w:themeColor="text1"/>
          <w:sz w:val="24"/>
          <w:szCs w:val="24"/>
        </w:rPr>
        <w:t xml:space="preserve"> Multi-gene prognostic classifiers developed in the past decade on the basis of next-generation sequencing have been used clinically to identify patients at risk of recurrence, or to select targeted </w:t>
      </w:r>
      <w:proofErr w:type="gramStart"/>
      <w:r w:rsidR="00DB03D6" w:rsidRPr="00B43A8C">
        <w:rPr>
          <w:rFonts w:ascii="Book Antiqua" w:hAnsi="Book Antiqua"/>
          <w:color w:val="000000" w:themeColor="text1"/>
          <w:sz w:val="24"/>
          <w:szCs w:val="24"/>
        </w:rPr>
        <w:t>therapies</w:t>
      </w:r>
      <w:r w:rsidRPr="00B43A8C">
        <w:rPr>
          <w:rFonts w:ascii="Book Antiqua" w:hAnsi="Book Antiqua"/>
          <w:color w:val="000000" w:themeColor="text1"/>
          <w:sz w:val="24"/>
          <w:szCs w:val="24"/>
          <w:vertAlign w:val="superscript"/>
        </w:rPr>
        <w:t>[</w:t>
      </w:r>
      <w:proofErr w:type="gramEnd"/>
      <w:r w:rsidRPr="00B43A8C">
        <w:rPr>
          <w:rFonts w:ascii="Book Antiqua" w:hAnsi="Book Antiqua"/>
          <w:color w:val="000000" w:themeColor="text1"/>
          <w:sz w:val="24"/>
          <w:szCs w:val="24"/>
          <w:vertAlign w:val="superscript"/>
        </w:rPr>
        <w:t>11,12]</w:t>
      </w:r>
      <w:r w:rsidR="00DB03D6" w:rsidRPr="00B43A8C">
        <w:rPr>
          <w:rFonts w:ascii="Book Antiqua" w:hAnsi="Book Antiqua"/>
          <w:color w:val="000000" w:themeColor="text1"/>
          <w:sz w:val="24"/>
          <w:szCs w:val="24"/>
        </w:rPr>
        <w:t>. Previously, we developed a risk</w:t>
      </w:r>
      <w:r>
        <w:rPr>
          <w:rFonts w:ascii="Book Antiqua" w:hAnsi="Book Antiqua"/>
          <w:color w:val="000000" w:themeColor="text1"/>
          <w:sz w:val="24"/>
          <w:szCs w:val="24"/>
        </w:rPr>
        <w:t xml:space="preserve">-score system based on 19 genes </w:t>
      </w:r>
      <w:r w:rsidRPr="00B43A8C">
        <w:rPr>
          <w:rFonts w:ascii="Book Antiqua" w:hAnsi="Book Antiqua"/>
          <w:color w:val="000000" w:themeColor="text1"/>
          <w:sz w:val="24"/>
          <w:szCs w:val="24"/>
        </w:rPr>
        <w:t>(TCA19)</w:t>
      </w:r>
      <w:r>
        <w:rPr>
          <w:rFonts w:ascii="Book Antiqua" w:hAnsi="Book Antiqua"/>
          <w:color w:val="000000" w:themeColor="text1"/>
          <w:sz w:val="24"/>
          <w:szCs w:val="24"/>
        </w:rPr>
        <w:t xml:space="preserve"> </w:t>
      </w:r>
      <w:r w:rsidR="00DB03D6" w:rsidRPr="00B43A8C">
        <w:rPr>
          <w:rFonts w:ascii="Book Antiqua" w:hAnsi="Book Antiqua"/>
          <w:color w:val="000000" w:themeColor="text1"/>
          <w:sz w:val="24"/>
          <w:szCs w:val="24"/>
        </w:rPr>
        <w:t xml:space="preserve">regulated by activation of </w:t>
      </w:r>
      <w:r>
        <w:rPr>
          <w:rFonts w:ascii="Book Antiqua" w:hAnsi="Book Antiqua"/>
          <w:color w:val="000000" w:themeColor="text1"/>
          <w:sz w:val="24"/>
          <w:szCs w:val="24"/>
        </w:rPr>
        <w:t>t</w:t>
      </w:r>
      <w:r w:rsidRPr="00EF65CB">
        <w:rPr>
          <w:rFonts w:ascii="Book Antiqua" w:hAnsi="Book Antiqua"/>
          <w:color w:val="000000" w:themeColor="text1"/>
          <w:sz w:val="24"/>
          <w:szCs w:val="24"/>
        </w:rPr>
        <w:t>riggering receptor expressed on myeloid cells 1</w:t>
      </w:r>
      <w:r>
        <w:rPr>
          <w:rFonts w:ascii="Book Antiqua" w:hAnsi="Book Antiqua"/>
          <w:color w:val="000000" w:themeColor="text1"/>
          <w:sz w:val="24"/>
          <w:szCs w:val="24"/>
        </w:rPr>
        <w:t xml:space="preserve"> (</w:t>
      </w:r>
      <w:r w:rsidRPr="00B43A8C">
        <w:rPr>
          <w:rFonts w:ascii="Book Antiqua" w:eastAsiaTheme="minorEastAsia" w:hAnsi="Book Antiqua"/>
          <w:color w:val="000000" w:themeColor="text1"/>
          <w:sz w:val="24"/>
          <w:szCs w:val="24"/>
        </w:rPr>
        <w:t>TREM1</w:t>
      </w:r>
      <w:r>
        <w:rPr>
          <w:rFonts w:ascii="Book Antiqua" w:eastAsiaTheme="minorEastAsia" w:hAnsi="Book Antiqua"/>
          <w:color w:val="000000" w:themeColor="text1"/>
          <w:sz w:val="24"/>
          <w:szCs w:val="24"/>
        </w:rPr>
        <w:t>)</w:t>
      </w:r>
      <w:r w:rsidR="00DB03D6" w:rsidRPr="00B43A8C">
        <w:rPr>
          <w:rFonts w:ascii="Book Antiqua" w:hAnsi="Book Antiqua"/>
          <w:color w:val="000000" w:themeColor="text1"/>
          <w:sz w:val="24"/>
          <w:szCs w:val="24"/>
        </w:rPr>
        <w:t xml:space="preserve"> or </w:t>
      </w:r>
      <w:r w:rsidRPr="00EF65CB">
        <w:rPr>
          <w:rFonts w:ascii="Book Antiqua" w:hAnsi="Book Antiqua"/>
          <w:color w:val="000000" w:themeColor="text1"/>
          <w:sz w:val="24"/>
          <w:szCs w:val="24"/>
        </w:rPr>
        <w:t>connective tissue growth factor</w:t>
      </w:r>
      <w:r>
        <w:rPr>
          <w:rFonts w:ascii="Book Antiqua" w:hAnsi="Book Antiqua"/>
          <w:color w:val="000000" w:themeColor="text1"/>
          <w:sz w:val="24"/>
          <w:szCs w:val="24"/>
        </w:rPr>
        <w:t xml:space="preserve"> (</w:t>
      </w:r>
      <w:r w:rsidR="00DB03D6" w:rsidRPr="00B43A8C">
        <w:rPr>
          <w:rFonts w:ascii="Book Antiqua" w:hAnsi="Book Antiqua"/>
          <w:color w:val="000000" w:themeColor="text1"/>
          <w:sz w:val="24"/>
          <w:szCs w:val="24"/>
        </w:rPr>
        <w:t>CTGF</w:t>
      </w:r>
      <w:r>
        <w:rPr>
          <w:rFonts w:ascii="Book Antiqua" w:hAnsi="Book Antiqua"/>
          <w:color w:val="000000" w:themeColor="text1"/>
          <w:sz w:val="24"/>
          <w:szCs w:val="24"/>
        </w:rPr>
        <w:t>)</w:t>
      </w:r>
      <w:r w:rsidRPr="00B43A8C">
        <w:rPr>
          <w:rFonts w:ascii="Book Antiqua" w:hAnsi="Book Antiqua"/>
          <w:color w:val="000000" w:themeColor="text1"/>
          <w:sz w:val="24"/>
          <w:szCs w:val="24"/>
          <w:vertAlign w:val="superscript"/>
        </w:rPr>
        <w:t>[8]</w:t>
      </w:r>
      <w:r w:rsidR="00DB03D6" w:rsidRPr="00B43A8C">
        <w:rPr>
          <w:rFonts w:ascii="Book Antiqua" w:hAnsi="Book Antiqua"/>
          <w:color w:val="000000" w:themeColor="text1"/>
          <w:sz w:val="24"/>
          <w:szCs w:val="24"/>
        </w:rPr>
        <w:t xml:space="preserve">. The genes were selected by their involvement in tumorigenesis and progression, and in providing benefit from adjuvant chemotherapy for stage III </w:t>
      </w:r>
      <w:proofErr w:type="gramStart"/>
      <w:r w:rsidR="00DB03D6" w:rsidRPr="00B43A8C">
        <w:rPr>
          <w:rFonts w:ascii="Book Antiqua" w:hAnsi="Book Antiqua"/>
          <w:color w:val="000000" w:themeColor="text1"/>
          <w:sz w:val="24"/>
          <w:szCs w:val="24"/>
        </w:rPr>
        <w:t>CRC</w:t>
      </w:r>
      <w:r w:rsidRPr="00B43A8C">
        <w:rPr>
          <w:rFonts w:ascii="Book Antiqua" w:hAnsi="Book Antiqua"/>
          <w:color w:val="000000" w:themeColor="text1"/>
          <w:sz w:val="24"/>
          <w:szCs w:val="24"/>
          <w:vertAlign w:val="superscript"/>
        </w:rPr>
        <w:t>[</w:t>
      </w:r>
      <w:proofErr w:type="gramEnd"/>
      <w:r w:rsidRPr="00B43A8C">
        <w:rPr>
          <w:rFonts w:ascii="Book Antiqua" w:hAnsi="Book Antiqua"/>
          <w:color w:val="000000" w:themeColor="text1"/>
          <w:sz w:val="24"/>
          <w:szCs w:val="24"/>
          <w:vertAlign w:val="superscript"/>
        </w:rPr>
        <w:t>8]</w:t>
      </w:r>
      <w:r w:rsidR="00DB03D6" w:rsidRPr="00B43A8C">
        <w:rPr>
          <w:rFonts w:ascii="Book Antiqua" w:hAnsi="Book Antiqua"/>
          <w:color w:val="000000" w:themeColor="text1"/>
          <w:sz w:val="24"/>
          <w:szCs w:val="24"/>
        </w:rPr>
        <w:t>.</w:t>
      </w:r>
      <w:r w:rsidR="00DD0EB4" w:rsidRPr="00B43A8C">
        <w:rPr>
          <w:rFonts w:ascii="Book Antiqua" w:hAnsi="Book Antiqua"/>
          <w:color w:val="000000" w:themeColor="text1"/>
          <w:sz w:val="24"/>
          <w:szCs w:val="24"/>
        </w:rPr>
        <w:t xml:space="preserve"> </w:t>
      </w:r>
      <w:r w:rsidR="00DB03D6" w:rsidRPr="00B43A8C">
        <w:rPr>
          <w:rFonts w:ascii="Book Antiqua" w:hAnsi="Book Antiqua"/>
          <w:color w:val="000000" w:themeColor="text1"/>
          <w:sz w:val="24"/>
          <w:szCs w:val="24"/>
        </w:rPr>
        <w:t>Because survival outcomes in patients with stage IV CRC are poor, and appropriate selection of targeted therapies is challenging, we attempted in the present study to identify whether TCA19 scores predicted survival outcomes in patients with stage IV CRC undergoing d</w:t>
      </w:r>
      <w:r>
        <w:rPr>
          <w:rFonts w:ascii="Book Antiqua" w:hAnsi="Book Antiqua"/>
          <w:color w:val="000000" w:themeColor="text1"/>
          <w:sz w:val="24"/>
          <w:szCs w:val="24"/>
        </w:rPr>
        <w:t>ifferent chemotherapy regimens.</w:t>
      </w:r>
    </w:p>
    <w:p w14:paraId="1A00D20A" w14:textId="7224B5B7" w:rsidR="00DB03D6" w:rsidRPr="00B43A8C" w:rsidRDefault="00EF65CB" w:rsidP="00EF65CB">
      <w:pPr>
        <w:wordWrap/>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DB03D6" w:rsidRPr="00B43A8C">
        <w:rPr>
          <w:rFonts w:ascii="Book Antiqua" w:hAnsi="Book Antiqua"/>
          <w:color w:val="000000" w:themeColor="text1"/>
          <w:sz w:val="24"/>
          <w:szCs w:val="24"/>
        </w:rPr>
        <w:t xml:space="preserve">The immune-checkpoint inhibitor, pembrolizumab has been shown to have a greater effect on disease-free survival in CRC with microsatellite instability than </w:t>
      </w:r>
      <w:proofErr w:type="spellStart"/>
      <w:r w:rsidR="00DB03D6" w:rsidRPr="00B43A8C">
        <w:rPr>
          <w:rFonts w:ascii="Book Antiqua" w:hAnsi="Book Antiqua"/>
          <w:color w:val="000000" w:themeColor="text1"/>
          <w:sz w:val="24"/>
          <w:szCs w:val="24"/>
        </w:rPr>
        <w:t>mincrosatellite</w:t>
      </w:r>
      <w:proofErr w:type="spellEnd"/>
      <w:r w:rsidR="00DB03D6" w:rsidRPr="00B43A8C">
        <w:rPr>
          <w:rFonts w:ascii="Book Antiqua" w:hAnsi="Book Antiqua"/>
          <w:color w:val="000000" w:themeColor="text1"/>
          <w:sz w:val="24"/>
          <w:szCs w:val="24"/>
        </w:rPr>
        <w:t xml:space="preserve">-stable </w:t>
      </w:r>
      <w:proofErr w:type="gramStart"/>
      <w:r w:rsidR="00DB03D6" w:rsidRPr="00B43A8C">
        <w:rPr>
          <w:rFonts w:ascii="Book Antiqua" w:hAnsi="Book Antiqua"/>
          <w:color w:val="000000" w:themeColor="text1"/>
          <w:sz w:val="24"/>
          <w:szCs w:val="24"/>
        </w:rPr>
        <w:t>CRC</w:t>
      </w:r>
      <w:r w:rsidRPr="00B43A8C">
        <w:rPr>
          <w:rFonts w:ascii="Book Antiqua" w:hAnsi="Book Antiqua"/>
          <w:color w:val="000000" w:themeColor="text1"/>
          <w:sz w:val="24"/>
          <w:szCs w:val="24"/>
          <w:vertAlign w:val="superscript"/>
        </w:rPr>
        <w:t>[</w:t>
      </w:r>
      <w:proofErr w:type="gramEnd"/>
      <w:r w:rsidRPr="00B43A8C">
        <w:rPr>
          <w:rFonts w:ascii="Book Antiqua" w:hAnsi="Book Antiqua"/>
          <w:color w:val="000000" w:themeColor="text1"/>
          <w:sz w:val="24"/>
          <w:szCs w:val="24"/>
          <w:vertAlign w:val="superscript"/>
        </w:rPr>
        <w:t>13]</w:t>
      </w:r>
      <w:r w:rsidR="00DB03D6" w:rsidRPr="00B43A8C">
        <w:rPr>
          <w:rFonts w:ascii="Book Antiqua" w:hAnsi="Book Antiqua"/>
          <w:color w:val="000000" w:themeColor="text1"/>
          <w:sz w:val="24"/>
          <w:szCs w:val="24"/>
        </w:rPr>
        <w:t xml:space="preserve">. The effects of pembrolizumab on survival in patients with stage IV CRC also depends on patterns of </w:t>
      </w:r>
      <w:proofErr w:type="gramStart"/>
      <w:r w:rsidR="00DB03D6" w:rsidRPr="00B43A8C">
        <w:rPr>
          <w:rFonts w:ascii="Book Antiqua" w:hAnsi="Book Antiqua"/>
          <w:color w:val="000000" w:themeColor="text1"/>
          <w:sz w:val="24"/>
          <w:szCs w:val="24"/>
        </w:rPr>
        <w:t>metastasis</w:t>
      </w:r>
      <w:r w:rsidRPr="00B43A8C">
        <w:rPr>
          <w:rFonts w:ascii="Book Antiqua" w:hAnsi="Book Antiqua"/>
          <w:color w:val="000000" w:themeColor="text1"/>
          <w:sz w:val="24"/>
          <w:szCs w:val="24"/>
          <w:vertAlign w:val="superscript"/>
        </w:rPr>
        <w:t>[</w:t>
      </w:r>
      <w:proofErr w:type="gramEnd"/>
      <w:r w:rsidRPr="00B43A8C">
        <w:rPr>
          <w:rFonts w:ascii="Book Antiqua" w:hAnsi="Book Antiqua"/>
          <w:color w:val="000000" w:themeColor="text1"/>
          <w:sz w:val="24"/>
          <w:szCs w:val="24"/>
          <w:vertAlign w:val="superscript"/>
        </w:rPr>
        <w:t>14]</w:t>
      </w:r>
      <w:r w:rsidR="00DB03D6" w:rsidRPr="00B43A8C">
        <w:rPr>
          <w:rFonts w:ascii="Book Antiqua" w:hAnsi="Book Antiqua"/>
          <w:color w:val="000000" w:themeColor="text1"/>
          <w:sz w:val="24"/>
          <w:szCs w:val="24"/>
        </w:rPr>
        <w:t>. Tumor-</w:t>
      </w:r>
      <w:proofErr w:type="spellStart"/>
      <w:r w:rsidR="00DB03D6" w:rsidRPr="00B43A8C">
        <w:rPr>
          <w:rFonts w:ascii="Book Antiqua" w:hAnsi="Book Antiqua"/>
          <w:color w:val="000000" w:themeColor="text1"/>
          <w:sz w:val="24"/>
          <w:szCs w:val="24"/>
        </w:rPr>
        <w:t>assosicated</w:t>
      </w:r>
      <w:proofErr w:type="spellEnd"/>
      <w:r w:rsidR="00DB03D6" w:rsidRPr="00B43A8C">
        <w:rPr>
          <w:rFonts w:ascii="Book Antiqua" w:hAnsi="Book Antiqua"/>
          <w:color w:val="000000" w:themeColor="text1"/>
          <w:sz w:val="24"/>
          <w:szCs w:val="24"/>
        </w:rPr>
        <w:t xml:space="preserve"> macrophages (TAMs) of the M2 phenotype are present in the stroma of many </w:t>
      </w:r>
      <w:r w:rsidR="00DB03D6" w:rsidRPr="00B43A8C">
        <w:rPr>
          <w:rFonts w:ascii="Book Antiqua" w:hAnsi="Book Antiqua"/>
          <w:color w:val="000000" w:themeColor="text1"/>
          <w:sz w:val="24"/>
          <w:szCs w:val="24"/>
        </w:rPr>
        <w:lastRenderedPageBreak/>
        <w:t xml:space="preserve">tumors, and frequently associated with the progression of several types of cancer and CD68 acts as macrophage marker and TAMs </w:t>
      </w:r>
      <w:proofErr w:type="gramStart"/>
      <w:r w:rsidR="00DB03D6" w:rsidRPr="00B43A8C">
        <w:rPr>
          <w:rFonts w:ascii="Book Antiqua" w:hAnsi="Book Antiqua"/>
          <w:color w:val="000000" w:themeColor="text1"/>
          <w:sz w:val="24"/>
          <w:szCs w:val="24"/>
        </w:rPr>
        <w:t>marker</w:t>
      </w:r>
      <w:r w:rsidRPr="00B43A8C">
        <w:rPr>
          <w:rFonts w:ascii="Book Antiqua" w:hAnsi="Book Antiqua"/>
          <w:color w:val="000000" w:themeColor="text1"/>
          <w:sz w:val="24"/>
          <w:szCs w:val="24"/>
          <w:vertAlign w:val="superscript"/>
        </w:rPr>
        <w:t>[</w:t>
      </w:r>
      <w:proofErr w:type="gramEnd"/>
      <w:r w:rsidRPr="00B43A8C">
        <w:rPr>
          <w:rFonts w:ascii="Book Antiqua" w:hAnsi="Book Antiqua"/>
          <w:color w:val="000000" w:themeColor="text1"/>
          <w:sz w:val="24"/>
          <w:szCs w:val="24"/>
          <w:vertAlign w:val="superscript"/>
        </w:rPr>
        <w:t>15]</w:t>
      </w:r>
      <w:r w:rsidR="00DB03D6" w:rsidRPr="00B43A8C">
        <w:rPr>
          <w:rFonts w:ascii="Book Antiqua" w:hAnsi="Book Antiqua"/>
          <w:color w:val="000000" w:themeColor="text1"/>
          <w:sz w:val="24"/>
          <w:szCs w:val="24"/>
        </w:rPr>
        <w:t xml:space="preserve">. TAMs infiltration at the invasive hotspot is associated with improvement in both hepatic metastasis and overall survival in </w:t>
      </w:r>
      <w:proofErr w:type="gramStart"/>
      <w:r w:rsidR="00DB03D6" w:rsidRPr="00B43A8C">
        <w:rPr>
          <w:rFonts w:ascii="Book Antiqua" w:hAnsi="Book Antiqua"/>
          <w:color w:val="000000" w:themeColor="text1"/>
          <w:sz w:val="24"/>
          <w:szCs w:val="24"/>
        </w:rPr>
        <w:t>CRC</w:t>
      </w:r>
      <w:r w:rsidRPr="00B43A8C">
        <w:rPr>
          <w:rFonts w:ascii="Book Antiqua" w:hAnsi="Book Antiqua"/>
          <w:color w:val="000000" w:themeColor="text1"/>
          <w:sz w:val="24"/>
          <w:szCs w:val="24"/>
          <w:vertAlign w:val="superscript"/>
        </w:rPr>
        <w:t>[</w:t>
      </w:r>
      <w:proofErr w:type="gramEnd"/>
      <w:r w:rsidRPr="00B43A8C">
        <w:rPr>
          <w:rFonts w:ascii="Book Antiqua" w:hAnsi="Book Antiqua"/>
          <w:color w:val="000000" w:themeColor="text1"/>
          <w:sz w:val="24"/>
          <w:szCs w:val="24"/>
          <w:vertAlign w:val="superscript"/>
        </w:rPr>
        <w:t>16]</w:t>
      </w:r>
      <w:r w:rsidR="00DB03D6" w:rsidRPr="00B43A8C">
        <w:rPr>
          <w:rFonts w:ascii="Book Antiqua" w:hAnsi="Book Antiqua"/>
          <w:color w:val="000000" w:themeColor="text1"/>
          <w:sz w:val="24"/>
          <w:szCs w:val="24"/>
        </w:rPr>
        <w:t xml:space="preserve">. The function of CD73 in tumor is to facilitate escape from immune surveillance and to orchestrate the tumor-stroma interaction to promote cancer growth and </w:t>
      </w:r>
      <w:proofErr w:type="gramStart"/>
      <w:r w:rsidR="00DB03D6" w:rsidRPr="00B43A8C">
        <w:rPr>
          <w:rFonts w:ascii="Book Antiqua" w:hAnsi="Book Antiqua"/>
          <w:color w:val="000000" w:themeColor="text1"/>
          <w:sz w:val="24"/>
          <w:szCs w:val="24"/>
        </w:rPr>
        <w:t>metastasis</w:t>
      </w:r>
      <w:r w:rsidRPr="00B43A8C">
        <w:rPr>
          <w:rFonts w:ascii="Book Antiqua" w:hAnsi="Book Antiqua"/>
          <w:color w:val="000000" w:themeColor="text1"/>
          <w:sz w:val="24"/>
          <w:szCs w:val="24"/>
          <w:vertAlign w:val="superscript"/>
        </w:rPr>
        <w:t>[</w:t>
      </w:r>
      <w:proofErr w:type="gramEnd"/>
      <w:r w:rsidRPr="00B43A8C">
        <w:rPr>
          <w:rFonts w:ascii="Book Antiqua" w:hAnsi="Book Antiqua"/>
          <w:color w:val="000000" w:themeColor="text1"/>
          <w:sz w:val="24"/>
          <w:szCs w:val="24"/>
          <w:vertAlign w:val="superscript"/>
        </w:rPr>
        <w:t>15]</w:t>
      </w:r>
      <w:r w:rsidR="00DB03D6" w:rsidRPr="00B43A8C">
        <w:rPr>
          <w:rFonts w:ascii="Book Antiqua" w:hAnsi="Book Antiqua"/>
          <w:color w:val="000000" w:themeColor="text1"/>
          <w:sz w:val="24"/>
          <w:szCs w:val="24"/>
        </w:rPr>
        <w:t xml:space="preserve">. High expression of CD73 was poor prognostic factor in </w:t>
      </w:r>
      <w:proofErr w:type="gramStart"/>
      <w:r w:rsidR="00DB03D6" w:rsidRPr="00B43A8C">
        <w:rPr>
          <w:rFonts w:ascii="Book Antiqua" w:hAnsi="Book Antiqua"/>
          <w:color w:val="000000" w:themeColor="text1"/>
          <w:sz w:val="24"/>
          <w:szCs w:val="24"/>
        </w:rPr>
        <w:t>CRC</w:t>
      </w:r>
      <w:r w:rsidRPr="00B43A8C">
        <w:rPr>
          <w:rFonts w:ascii="Book Antiqua" w:hAnsi="Book Antiqua"/>
          <w:color w:val="000000" w:themeColor="text1"/>
          <w:sz w:val="24"/>
          <w:szCs w:val="24"/>
          <w:vertAlign w:val="superscript"/>
        </w:rPr>
        <w:t>[</w:t>
      </w:r>
      <w:proofErr w:type="gramEnd"/>
      <w:r w:rsidRPr="00B43A8C">
        <w:rPr>
          <w:rFonts w:ascii="Book Antiqua" w:hAnsi="Book Antiqua"/>
          <w:color w:val="000000" w:themeColor="text1"/>
          <w:sz w:val="24"/>
          <w:szCs w:val="24"/>
          <w:vertAlign w:val="superscript"/>
        </w:rPr>
        <w:t>17]</w:t>
      </w:r>
      <w:r w:rsidR="00DB03D6" w:rsidRPr="00B43A8C">
        <w:rPr>
          <w:rFonts w:ascii="Book Antiqua" w:hAnsi="Book Antiqua"/>
          <w:color w:val="000000" w:themeColor="text1"/>
          <w:sz w:val="24"/>
          <w:szCs w:val="24"/>
        </w:rPr>
        <w:t>.</w:t>
      </w:r>
    </w:p>
    <w:p w14:paraId="2C869BAE" w14:textId="055C1FD3" w:rsidR="00DB03D6" w:rsidRPr="00B43A8C" w:rsidRDefault="00EF65CB" w:rsidP="00EF65CB">
      <w:pPr>
        <w:wordWrap/>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DB03D6" w:rsidRPr="00B43A8C">
        <w:rPr>
          <w:rFonts w:ascii="Book Antiqua" w:hAnsi="Book Antiqua"/>
          <w:color w:val="000000" w:themeColor="text1"/>
          <w:sz w:val="24"/>
          <w:szCs w:val="24"/>
        </w:rPr>
        <w:t>Here, we aim to determine whether the TCA19 system could be used as a prognostic indicator for stage IV CRC. We also attempt to identify possible target or marker genes associated with immune functions among the 19 genes, and examined the biologic behavior of the selected genes in association with immune function.</w:t>
      </w:r>
    </w:p>
    <w:p w14:paraId="430F3814" w14:textId="77777777" w:rsidR="00DB03D6" w:rsidRPr="00B43A8C" w:rsidRDefault="00DB03D6" w:rsidP="00B43A8C">
      <w:pPr>
        <w:wordWrap/>
        <w:adjustRightInd w:val="0"/>
        <w:snapToGrid w:val="0"/>
        <w:spacing w:line="360" w:lineRule="auto"/>
        <w:rPr>
          <w:rFonts w:ascii="Book Antiqua" w:hAnsi="Book Antiqua"/>
          <w:color w:val="000000" w:themeColor="text1"/>
          <w:sz w:val="24"/>
          <w:szCs w:val="24"/>
        </w:rPr>
      </w:pPr>
    </w:p>
    <w:p w14:paraId="39E73740" w14:textId="23BE2D00" w:rsidR="00DB03D6" w:rsidRPr="00B43A8C" w:rsidRDefault="00554D3A" w:rsidP="00EF65CB">
      <w:pPr>
        <w:wordWrap/>
        <w:adjustRightInd w:val="0"/>
        <w:snapToGrid w:val="0"/>
        <w:spacing w:line="360" w:lineRule="auto"/>
        <w:outlineLvl w:val="0"/>
        <w:rPr>
          <w:rFonts w:ascii="Book Antiqua" w:hAnsi="Book Antiqua"/>
          <w:b/>
          <w:color w:val="000000" w:themeColor="text1"/>
          <w:kern w:val="0"/>
          <w:sz w:val="24"/>
          <w:szCs w:val="24"/>
        </w:rPr>
      </w:pPr>
      <w:r w:rsidRPr="00B43A8C">
        <w:rPr>
          <w:rFonts w:ascii="Book Antiqua" w:eastAsiaTheme="minorEastAsia" w:hAnsi="Book Antiqua"/>
          <w:b/>
          <w:color w:val="000000" w:themeColor="text1"/>
          <w:kern w:val="0"/>
          <w:sz w:val="24"/>
          <w:szCs w:val="24"/>
        </w:rPr>
        <w:t>MATERIALS AND METHODS</w:t>
      </w:r>
    </w:p>
    <w:p w14:paraId="763F5FDF" w14:textId="77777777" w:rsidR="00DB03D6" w:rsidRPr="00B43A8C" w:rsidRDefault="00DB03D6" w:rsidP="00EF65CB">
      <w:pPr>
        <w:wordWrap/>
        <w:adjustRightInd w:val="0"/>
        <w:snapToGrid w:val="0"/>
        <w:spacing w:line="360" w:lineRule="auto"/>
        <w:outlineLvl w:val="0"/>
        <w:rPr>
          <w:rFonts w:ascii="Book Antiqua" w:hAnsi="Book Antiqua"/>
          <w:b/>
          <w:i/>
          <w:color w:val="000000" w:themeColor="text1"/>
          <w:sz w:val="24"/>
          <w:szCs w:val="24"/>
        </w:rPr>
      </w:pPr>
      <w:r w:rsidRPr="00B43A8C">
        <w:rPr>
          <w:rFonts w:ascii="Book Antiqua" w:hAnsi="Book Antiqua"/>
          <w:b/>
          <w:i/>
          <w:color w:val="000000" w:themeColor="text1"/>
          <w:sz w:val="24"/>
          <w:szCs w:val="24"/>
        </w:rPr>
        <w:t>Patients</w:t>
      </w:r>
    </w:p>
    <w:p w14:paraId="784DF51B" w14:textId="16AA912A" w:rsidR="00DB03D6" w:rsidRPr="00B43A8C" w:rsidRDefault="00DB03D6" w:rsidP="00B43A8C">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color w:val="000000" w:themeColor="text1"/>
          <w:sz w:val="24"/>
          <w:szCs w:val="24"/>
        </w:rPr>
        <w:t xml:space="preserve">The study included matched tissues from 60 patients with </w:t>
      </w:r>
      <w:r w:rsidR="00B5733F" w:rsidRPr="00B43A8C">
        <w:rPr>
          <w:rFonts w:ascii="Book Antiqua" w:hAnsi="Book Antiqua"/>
          <w:color w:val="000000" w:themeColor="text1"/>
          <w:sz w:val="24"/>
          <w:szCs w:val="24"/>
        </w:rPr>
        <w:t xml:space="preserve">stage IV </w:t>
      </w:r>
      <w:r w:rsidRPr="00B43A8C">
        <w:rPr>
          <w:rFonts w:ascii="Book Antiqua" w:hAnsi="Book Antiqua"/>
          <w:color w:val="000000" w:themeColor="text1"/>
          <w:sz w:val="24"/>
          <w:szCs w:val="24"/>
        </w:rPr>
        <w:t>CRC that were histologically identified as adenocarcinoma and normal colonic tissue (&gt; 5</w:t>
      </w:r>
      <w:r w:rsidR="006447B7">
        <w:rPr>
          <w:rFonts w:ascii="Book Antiqua" w:hAnsi="Book Antiqua"/>
          <w:color w:val="000000" w:themeColor="text1"/>
          <w:sz w:val="24"/>
          <w:szCs w:val="24"/>
        </w:rPr>
        <w:t xml:space="preserve"> </w:t>
      </w:r>
      <w:r w:rsidRPr="00B43A8C">
        <w:rPr>
          <w:rFonts w:ascii="Book Antiqua" w:hAnsi="Book Antiqua"/>
          <w:color w:val="000000" w:themeColor="text1"/>
          <w:sz w:val="24"/>
          <w:szCs w:val="24"/>
        </w:rPr>
        <w:t xml:space="preserve">cm from the tumor border), as well as blood. Another 10 patients were also enrolled for </w:t>
      </w:r>
      <w:r w:rsidR="00B5733F" w:rsidRPr="00B43A8C">
        <w:rPr>
          <w:rFonts w:ascii="Book Antiqua" w:hAnsi="Book Antiqua"/>
          <w:color w:val="000000" w:themeColor="text1"/>
          <w:sz w:val="24"/>
          <w:szCs w:val="24"/>
        </w:rPr>
        <w:t>investigation</w:t>
      </w:r>
      <w:r w:rsidRPr="00B43A8C">
        <w:rPr>
          <w:rFonts w:ascii="Book Antiqua" w:hAnsi="Book Antiqua"/>
          <w:color w:val="000000" w:themeColor="text1"/>
          <w:sz w:val="24"/>
          <w:szCs w:val="24"/>
        </w:rPr>
        <w:t xml:space="preserve"> of candidate gene</w:t>
      </w:r>
      <w:r w:rsidR="00B5733F" w:rsidRPr="00B43A8C">
        <w:rPr>
          <w:rFonts w:ascii="Book Antiqua" w:hAnsi="Book Antiqua"/>
          <w:color w:val="000000" w:themeColor="text1"/>
          <w:sz w:val="24"/>
          <w:szCs w:val="24"/>
        </w:rPr>
        <w:t xml:space="preserve"> </w:t>
      </w:r>
      <w:r w:rsidR="006447B7">
        <w:rPr>
          <w:rFonts w:ascii="Book Antiqua" w:hAnsi="Book Antiqua"/>
          <w:color w:val="000000" w:themeColor="text1"/>
          <w:sz w:val="24"/>
          <w:szCs w:val="24"/>
        </w:rPr>
        <w:t>(Supplementary F</w:t>
      </w:r>
      <w:r w:rsidR="00B5733F" w:rsidRPr="00B43A8C">
        <w:rPr>
          <w:rFonts w:ascii="Book Antiqua" w:hAnsi="Book Antiqua"/>
          <w:color w:val="000000" w:themeColor="text1"/>
          <w:sz w:val="24"/>
          <w:szCs w:val="24"/>
        </w:rPr>
        <w:t xml:space="preserve">igure 1). </w:t>
      </w:r>
      <w:r w:rsidRPr="00B43A8C">
        <w:rPr>
          <w:rFonts w:ascii="Book Antiqua" w:hAnsi="Book Antiqua"/>
          <w:color w:val="000000" w:themeColor="text1"/>
          <w:sz w:val="24"/>
          <w:szCs w:val="24"/>
        </w:rPr>
        <w:t xml:space="preserve">All patients received surgery at the </w:t>
      </w:r>
      <w:proofErr w:type="spellStart"/>
      <w:r w:rsidRPr="00B43A8C">
        <w:rPr>
          <w:rFonts w:ascii="Book Antiqua" w:hAnsi="Book Antiqua"/>
          <w:color w:val="000000" w:themeColor="text1"/>
          <w:sz w:val="24"/>
          <w:szCs w:val="24"/>
        </w:rPr>
        <w:t>Asan</w:t>
      </w:r>
      <w:proofErr w:type="spellEnd"/>
      <w:r w:rsidRPr="00B43A8C">
        <w:rPr>
          <w:rFonts w:ascii="Book Antiqua" w:hAnsi="Book Antiqua"/>
          <w:color w:val="000000" w:themeColor="text1"/>
          <w:sz w:val="24"/>
          <w:szCs w:val="24"/>
        </w:rPr>
        <w:t xml:space="preserve"> Medical Center between December 2008 and October 2014, and CRC tissue and blood samples were acquired at the time of surgery under the patient consent for tissue and blood sample donation and examination. The metastatic tissue samples were acquired during the resection of metastatic disease and if the resection was unavailable, tissue biopsy of metastatic disease during work-up or surgery was also accepted. The serum was used for extraction of DNA from the centrifuged blood sample. The study protocol was approved by the Institutional Review Board of </w:t>
      </w:r>
      <w:proofErr w:type="spellStart"/>
      <w:r w:rsidRPr="00B43A8C">
        <w:rPr>
          <w:rFonts w:ascii="Book Antiqua" w:hAnsi="Book Antiqua"/>
          <w:color w:val="000000" w:themeColor="text1"/>
          <w:sz w:val="24"/>
          <w:szCs w:val="24"/>
        </w:rPr>
        <w:t>Asa</w:t>
      </w:r>
      <w:r w:rsidR="006447B7">
        <w:rPr>
          <w:rFonts w:ascii="Book Antiqua" w:hAnsi="Book Antiqua"/>
          <w:color w:val="000000" w:themeColor="text1"/>
          <w:sz w:val="24"/>
          <w:szCs w:val="24"/>
        </w:rPr>
        <w:t>n</w:t>
      </w:r>
      <w:proofErr w:type="spellEnd"/>
      <w:r w:rsidR="006447B7">
        <w:rPr>
          <w:rFonts w:ascii="Book Antiqua" w:hAnsi="Book Antiqua"/>
          <w:color w:val="000000" w:themeColor="text1"/>
          <w:sz w:val="24"/>
          <w:szCs w:val="24"/>
        </w:rPr>
        <w:t xml:space="preserve"> Medical Center (registration No.</w:t>
      </w:r>
      <w:r w:rsidRPr="00B43A8C">
        <w:rPr>
          <w:rFonts w:ascii="Book Antiqua" w:hAnsi="Book Antiqua"/>
          <w:color w:val="000000" w:themeColor="text1"/>
          <w:sz w:val="24"/>
          <w:szCs w:val="24"/>
        </w:rPr>
        <w:t xml:space="preserve"> 2015-0581), in accord with the Declaration of Helsinki. Clinical and pathologic data were extracted from the medical records. Patients were staged according to the 8th American Joint Committee on Cancer (AJCC) staging system.</w:t>
      </w:r>
    </w:p>
    <w:p w14:paraId="61C0F9D4" w14:textId="77777777" w:rsidR="00DB03D6" w:rsidRPr="00B43A8C" w:rsidRDefault="00DB03D6" w:rsidP="00B43A8C">
      <w:pPr>
        <w:wordWrap/>
        <w:adjustRightInd w:val="0"/>
        <w:snapToGrid w:val="0"/>
        <w:spacing w:line="360" w:lineRule="auto"/>
        <w:rPr>
          <w:rFonts w:ascii="Book Antiqua" w:hAnsi="Book Antiqua"/>
          <w:i/>
          <w:color w:val="000000" w:themeColor="text1"/>
          <w:sz w:val="24"/>
          <w:szCs w:val="24"/>
        </w:rPr>
      </w:pPr>
    </w:p>
    <w:p w14:paraId="433D1EF2" w14:textId="72A28E2E" w:rsidR="00DB03D6" w:rsidRPr="00B43A8C" w:rsidRDefault="00DB03D6" w:rsidP="00EF65CB">
      <w:pPr>
        <w:wordWrap/>
        <w:adjustRightInd w:val="0"/>
        <w:snapToGrid w:val="0"/>
        <w:spacing w:line="360" w:lineRule="auto"/>
        <w:outlineLvl w:val="0"/>
        <w:rPr>
          <w:rFonts w:ascii="Book Antiqua" w:hAnsi="Book Antiqua"/>
          <w:b/>
          <w:i/>
          <w:color w:val="000000" w:themeColor="text1"/>
          <w:sz w:val="24"/>
          <w:szCs w:val="24"/>
        </w:rPr>
      </w:pPr>
      <w:r w:rsidRPr="00B43A8C">
        <w:rPr>
          <w:rFonts w:ascii="Book Antiqua" w:hAnsi="Book Antiqua"/>
          <w:b/>
          <w:i/>
          <w:color w:val="000000" w:themeColor="text1"/>
          <w:sz w:val="24"/>
          <w:szCs w:val="24"/>
        </w:rPr>
        <w:lastRenderedPageBreak/>
        <w:t>Reverse</w:t>
      </w:r>
      <w:r w:rsidR="00802499" w:rsidRPr="00B43A8C">
        <w:rPr>
          <w:rFonts w:ascii="Book Antiqua" w:hAnsi="Book Antiqua"/>
          <w:b/>
          <w:i/>
          <w:color w:val="000000" w:themeColor="text1"/>
          <w:sz w:val="24"/>
          <w:szCs w:val="24"/>
        </w:rPr>
        <w:t xml:space="preserve"> transcription-quantitative polymerase chain reaction</w:t>
      </w:r>
      <w:r w:rsidRPr="00B43A8C">
        <w:rPr>
          <w:rFonts w:ascii="Book Antiqua" w:hAnsi="Book Antiqua"/>
          <w:b/>
          <w:i/>
          <w:color w:val="000000" w:themeColor="text1"/>
          <w:sz w:val="24"/>
          <w:szCs w:val="24"/>
        </w:rPr>
        <w:t xml:space="preserve"> </w:t>
      </w:r>
    </w:p>
    <w:p w14:paraId="6ADF8582" w14:textId="13F437A8" w:rsidR="00D07863" w:rsidRPr="00B43A8C" w:rsidRDefault="00DB03D6" w:rsidP="006447B7">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color w:val="000000" w:themeColor="text1"/>
          <w:sz w:val="24"/>
          <w:szCs w:val="24"/>
        </w:rPr>
        <w:t xml:space="preserve">Total RNA was extracted from the matched normal and tumor tissues </w:t>
      </w:r>
      <w:r w:rsidR="00ED5B1E" w:rsidRPr="00B43A8C">
        <w:rPr>
          <w:rFonts w:ascii="Book Antiqua" w:hAnsi="Book Antiqua"/>
          <w:color w:val="000000" w:themeColor="text1"/>
          <w:sz w:val="24"/>
          <w:szCs w:val="24"/>
        </w:rPr>
        <w:t>of the patients using</w:t>
      </w:r>
      <w:r w:rsidRPr="00B43A8C">
        <w:rPr>
          <w:rFonts w:ascii="Book Antiqua" w:hAnsi="Book Antiqua"/>
          <w:color w:val="000000" w:themeColor="text1"/>
          <w:sz w:val="24"/>
          <w:szCs w:val="24"/>
        </w:rPr>
        <w:t xml:space="preserve"> </w:t>
      </w:r>
      <w:proofErr w:type="spellStart"/>
      <w:r w:rsidRPr="00B43A8C">
        <w:rPr>
          <w:rFonts w:ascii="Book Antiqua" w:hAnsi="Book Antiqua"/>
          <w:color w:val="000000" w:themeColor="text1"/>
          <w:sz w:val="24"/>
          <w:szCs w:val="24"/>
        </w:rPr>
        <w:t>TRIzol</w:t>
      </w:r>
      <w:proofErr w:type="spellEnd"/>
      <w:r w:rsidRPr="00B43A8C">
        <w:rPr>
          <w:rFonts w:ascii="Book Antiqua" w:hAnsi="Book Antiqua"/>
          <w:color w:val="000000" w:themeColor="text1"/>
          <w:sz w:val="24"/>
          <w:szCs w:val="24"/>
        </w:rPr>
        <w:t xml:space="preserve"> reagent (Invitrogen</w:t>
      </w:r>
      <w:r w:rsidR="00802499">
        <w:rPr>
          <w:rFonts w:ascii="Book Antiqua" w:hAnsi="Book Antiqua"/>
          <w:color w:val="000000" w:themeColor="text1"/>
          <w:sz w:val="24"/>
          <w:szCs w:val="24"/>
        </w:rPr>
        <w:t>, Carlsbad, CA, United States</w:t>
      </w:r>
      <w:r w:rsidRPr="00B43A8C">
        <w:rPr>
          <w:rFonts w:ascii="Book Antiqua" w:hAnsi="Book Antiqua"/>
          <w:color w:val="000000" w:themeColor="text1"/>
          <w:sz w:val="24"/>
          <w:szCs w:val="24"/>
        </w:rPr>
        <w:t xml:space="preserve">) according to the manufacturer’s protocol. The cDNA was synthesized from total RNA by amplification using random primers and </w:t>
      </w:r>
      <w:proofErr w:type="spellStart"/>
      <w:r w:rsidRPr="00B43A8C">
        <w:rPr>
          <w:rFonts w:ascii="Book Antiqua" w:hAnsi="Book Antiqua"/>
          <w:color w:val="000000" w:themeColor="text1"/>
          <w:sz w:val="24"/>
          <w:szCs w:val="24"/>
        </w:rPr>
        <w:t>SuperScript</w:t>
      </w:r>
      <w:proofErr w:type="spellEnd"/>
      <w:r w:rsidRPr="00B43A8C">
        <w:rPr>
          <w:rFonts w:ascii="Book Antiqua" w:hAnsi="Book Antiqua"/>
          <w:color w:val="000000" w:themeColor="text1"/>
          <w:sz w:val="24"/>
          <w:szCs w:val="24"/>
        </w:rPr>
        <w:t xml:space="preserve"> II RT (Invitrogen). </w:t>
      </w:r>
      <w:r w:rsidR="00ED5B1E" w:rsidRPr="00B43A8C">
        <w:rPr>
          <w:rFonts w:ascii="Book Antiqua" w:hAnsi="Book Antiqua"/>
          <w:color w:val="000000" w:themeColor="text1"/>
          <w:sz w:val="24"/>
          <w:szCs w:val="24"/>
        </w:rPr>
        <w:t>Quantitative real-</w:t>
      </w:r>
      <w:r w:rsidRPr="00B43A8C">
        <w:rPr>
          <w:rFonts w:ascii="Book Antiqua" w:hAnsi="Book Antiqua"/>
          <w:color w:val="000000" w:themeColor="text1"/>
          <w:sz w:val="24"/>
          <w:szCs w:val="24"/>
        </w:rPr>
        <w:t xml:space="preserve">time </w:t>
      </w:r>
      <w:r w:rsidR="00802499" w:rsidRPr="00802499">
        <w:rPr>
          <w:rFonts w:ascii="Book Antiqua" w:hAnsi="Book Antiqua"/>
          <w:color w:val="000000" w:themeColor="text1"/>
          <w:sz w:val="24"/>
          <w:szCs w:val="24"/>
        </w:rPr>
        <w:t xml:space="preserve">reverse transcription-quantitative polymerase chain reaction (RT-qPCR) </w:t>
      </w:r>
      <w:r w:rsidRPr="00B43A8C">
        <w:rPr>
          <w:rFonts w:ascii="Book Antiqua" w:hAnsi="Book Antiqua"/>
          <w:color w:val="000000" w:themeColor="text1"/>
          <w:sz w:val="24"/>
          <w:szCs w:val="24"/>
        </w:rPr>
        <w:t xml:space="preserve">was performed on a </w:t>
      </w:r>
      <w:proofErr w:type="spellStart"/>
      <w:r w:rsidRPr="00B43A8C">
        <w:rPr>
          <w:rFonts w:ascii="Book Antiqua" w:hAnsi="Book Antiqua"/>
          <w:color w:val="000000" w:themeColor="text1"/>
          <w:sz w:val="24"/>
          <w:szCs w:val="24"/>
        </w:rPr>
        <w:t>LightCycler</w:t>
      </w:r>
      <w:proofErr w:type="spellEnd"/>
      <w:r w:rsidRPr="00B43A8C">
        <w:rPr>
          <w:rFonts w:ascii="Book Antiqua" w:hAnsi="Book Antiqua"/>
          <w:color w:val="000000" w:themeColor="text1"/>
          <w:sz w:val="24"/>
          <w:szCs w:val="24"/>
        </w:rPr>
        <w:t xml:space="preserve"> 96 using the SYBR Green I Master Mix (Roche, Mannheim, Germany), in a total volume of 20 </w:t>
      </w:r>
      <w:proofErr w:type="spellStart"/>
      <w:r w:rsidRPr="00B43A8C">
        <w:rPr>
          <w:rFonts w:ascii="Book Antiqua" w:hAnsi="Book Antiqua"/>
          <w:color w:val="000000" w:themeColor="text1"/>
          <w:sz w:val="24"/>
          <w:szCs w:val="24"/>
        </w:rPr>
        <w:t>μL</w:t>
      </w:r>
      <w:proofErr w:type="spellEnd"/>
      <w:r w:rsidRPr="00B43A8C">
        <w:rPr>
          <w:rFonts w:ascii="Book Antiqua" w:hAnsi="Book Antiqua"/>
          <w:color w:val="000000" w:themeColor="text1"/>
          <w:sz w:val="24"/>
          <w:szCs w:val="24"/>
        </w:rPr>
        <w:t xml:space="preserve"> with the following amplification steps: initial denaturation at 95</w:t>
      </w:r>
      <w:r w:rsidR="00802499">
        <w:rPr>
          <w:rFonts w:ascii="Book Antiqua" w:hAnsi="Book Antiqua"/>
          <w:color w:val="000000" w:themeColor="text1"/>
          <w:sz w:val="24"/>
          <w:szCs w:val="24"/>
        </w:rPr>
        <w:t xml:space="preserve"> </w:t>
      </w:r>
      <w:r w:rsidR="00802499">
        <w:rPr>
          <w:rFonts w:ascii="MS Mincho" w:eastAsia="MS Mincho" w:hAnsi="MS Mincho" w:cs="MS Mincho"/>
          <w:color w:val="000000" w:themeColor="text1"/>
          <w:sz w:val="24"/>
          <w:szCs w:val="24"/>
        </w:rPr>
        <w:t>℃</w:t>
      </w:r>
      <w:r w:rsidRPr="00B43A8C">
        <w:rPr>
          <w:rFonts w:ascii="Book Antiqua" w:hAnsi="Book Antiqua"/>
          <w:color w:val="000000" w:themeColor="text1"/>
          <w:sz w:val="24"/>
          <w:szCs w:val="24"/>
        </w:rPr>
        <w:t xml:space="preserve"> for 10 min, </w:t>
      </w:r>
      <w:r w:rsidR="00ED5B1E" w:rsidRPr="00B43A8C">
        <w:rPr>
          <w:rFonts w:ascii="Book Antiqua" w:hAnsi="Book Antiqua"/>
          <w:color w:val="000000" w:themeColor="text1"/>
          <w:sz w:val="24"/>
          <w:szCs w:val="24"/>
        </w:rPr>
        <w:t xml:space="preserve">which was </w:t>
      </w:r>
      <w:r w:rsidRPr="00B43A8C">
        <w:rPr>
          <w:rFonts w:ascii="Book Antiqua" w:hAnsi="Book Antiqua"/>
          <w:color w:val="000000" w:themeColor="text1"/>
          <w:sz w:val="24"/>
          <w:szCs w:val="24"/>
        </w:rPr>
        <w:t xml:space="preserve">followed by 45 cycles of amplification (95 </w:t>
      </w:r>
      <w:r w:rsidR="00802499">
        <w:rPr>
          <w:rFonts w:ascii="MS Mincho" w:eastAsia="MS Mincho" w:hAnsi="MS Mincho" w:cs="MS Mincho"/>
          <w:color w:val="000000" w:themeColor="text1"/>
          <w:sz w:val="24"/>
          <w:szCs w:val="24"/>
        </w:rPr>
        <w:t>℃</w:t>
      </w:r>
      <w:r w:rsidRPr="00B43A8C">
        <w:rPr>
          <w:rFonts w:ascii="Book Antiqua" w:hAnsi="Book Antiqua"/>
          <w:color w:val="000000" w:themeColor="text1"/>
          <w:sz w:val="24"/>
          <w:szCs w:val="24"/>
        </w:rPr>
        <w:t xml:space="preserve"> for 10 s, Tm for 10 s, and 72</w:t>
      </w:r>
      <w:r w:rsidR="00802499">
        <w:rPr>
          <w:rFonts w:ascii="Book Antiqua" w:hAnsi="Book Antiqua"/>
          <w:color w:val="000000" w:themeColor="text1"/>
          <w:sz w:val="24"/>
          <w:szCs w:val="24"/>
        </w:rPr>
        <w:t xml:space="preserve"> </w:t>
      </w:r>
      <w:r w:rsidR="00802499">
        <w:rPr>
          <w:rFonts w:ascii="MS Mincho" w:eastAsia="MS Mincho" w:hAnsi="MS Mincho" w:cs="MS Mincho"/>
          <w:color w:val="000000" w:themeColor="text1"/>
          <w:sz w:val="24"/>
          <w:szCs w:val="24"/>
        </w:rPr>
        <w:t>℃</w:t>
      </w:r>
      <w:r w:rsidRPr="00B43A8C">
        <w:rPr>
          <w:rFonts w:ascii="Book Antiqua" w:hAnsi="Book Antiqua"/>
          <w:color w:val="000000" w:themeColor="text1"/>
          <w:sz w:val="24"/>
          <w:szCs w:val="24"/>
        </w:rPr>
        <w:t xml:space="preserve"> for 20 s). Gene expression determined by R</w:t>
      </w:r>
      <w:r w:rsidR="00802499">
        <w:rPr>
          <w:rFonts w:ascii="Book Antiqua" w:hAnsi="Book Antiqua"/>
          <w:color w:val="000000" w:themeColor="text1"/>
          <w:sz w:val="24"/>
          <w:szCs w:val="24"/>
        </w:rPr>
        <w:t>T-qPCR was normalized to human g</w:t>
      </w:r>
      <w:r w:rsidRPr="00B43A8C">
        <w:rPr>
          <w:rFonts w:ascii="Book Antiqua" w:hAnsi="Book Antiqua"/>
          <w:color w:val="000000" w:themeColor="text1"/>
          <w:sz w:val="24"/>
          <w:szCs w:val="24"/>
        </w:rPr>
        <w:t xml:space="preserve">lyceraldehyde 3-phosphate dehydrogenase (GAPDH). Primers for TCA19 genes are listed in Supplementary Table 1. Relative levels of gene expression were determined </w:t>
      </w:r>
      <w:r w:rsidR="00ED5B1E" w:rsidRPr="00B43A8C">
        <w:rPr>
          <w:rFonts w:ascii="Book Antiqua" w:hAnsi="Book Antiqua"/>
          <w:color w:val="000000" w:themeColor="text1"/>
          <w:sz w:val="24"/>
          <w:szCs w:val="24"/>
        </w:rPr>
        <w:t>using</w:t>
      </w:r>
      <w:r w:rsidRPr="00B43A8C">
        <w:rPr>
          <w:rFonts w:ascii="Book Antiqua" w:hAnsi="Book Antiqua"/>
          <w:color w:val="000000" w:themeColor="text1"/>
          <w:sz w:val="24"/>
          <w:szCs w:val="24"/>
        </w:rPr>
        <w:t xml:space="preserve"> the </w:t>
      </w:r>
      <w:proofErr w:type="spellStart"/>
      <w:r w:rsidRPr="00B43A8C">
        <w:rPr>
          <w:rFonts w:ascii="Book Antiqua" w:hAnsi="Book Antiqua"/>
          <w:color w:val="000000" w:themeColor="text1"/>
          <w:sz w:val="24"/>
          <w:szCs w:val="24"/>
        </w:rPr>
        <w:t>ΔΔCt</w:t>
      </w:r>
      <w:proofErr w:type="spellEnd"/>
      <w:r w:rsidRPr="00B43A8C">
        <w:rPr>
          <w:rFonts w:ascii="Book Antiqua" w:hAnsi="Book Antiqua"/>
          <w:color w:val="000000" w:themeColor="text1"/>
          <w:sz w:val="24"/>
          <w:szCs w:val="24"/>
        </w:rPr>
        <w:t xml:space="preserve"> method</w:t>
      </w:r>
      <w:r w:rsidR="00841E31" w:rsidRPr="00B43A8C">
        <w:rPr>
          <w:rFonts w:ascii="Book Antiqua" w:hAnsi="Book Antiqua"/>
          <w:color w:val="000000" w:themeColor="text1"/>
          <w:sz w:val="24"/>
          <w:szCs w:val="24"/>
        </w:rPr>
        <w:t xml:space="preserve"> in which </w:t>
      </w:r>
      <w:proofErr w:type="spellStart"/>
      <w:r w:rsidR="00841E31" w:rsidRPr="00B43A8C">
        <w:rPr>
          <w:rFonts w:ascii="Book Antiqua" w:hAnsi="Book Antiqua"/>
          <w:color w:val="000000" w:themeColor="text1"/>
          <w:sz w:val="24"/>
          <w:szCs w:val="24"/>
        </w:rPr>
        <w:t>ΔCt</w:t>
      </w:r>
      <w:proofErr w:type="spellEnd"/>
      <w:r w:rsidR="00841E31" w:rsidRPr="00B43A8C">
        <w:rPr>
          <w:rFonts w:ascii="Book Antiqua" w:hAnsi="Book Antiqua"/>
          <w:color w:val="000000" w:themeColor="text1"/>
          <w:sz w:val="24"/>
          <w:szCs w:val="24"/>
        </w:rPr>
        <w:t xml:space="preserve"> values between one of the </w:t>
      </w:r>
      <w:r w:rsidR="00802499">
        <w:rPr>
          <w:rFonts w:ascii="Book Antiqua" w:hAnsi="Book Antiqua"/>
          <w:color w:val="000000" w:themeColor="text1"/>
          <w:sz w:val="24"/>
          <w:szCs w:val="24"/>
        </w:rPr>
        <w:t>TCA19</w:t>
      </w:r>
      <w:r w:rsidR="00841E31" w:rsidRPr="00B43A8C">
        <w:rPr>
          <w:rFonts w:ascii="Book Antiqua" w:hAnsi="Book Antiqua"/>
          <w:color w:val="000000" w:themeColor="text1"/>
          <w:sz w:val="24"/>
          <w:szCs w:val="24"/>
        </w:rPr>
        <w:t xml:space="preserve"> genes and the GAPDH control [</w:t>
      </w:r>
      <w:proofErr w:type="spellStart"/>
      <w:r w:rsidR="00841E31" w:rsidRPr="00B43A8C">
        <w:rPr>
          <w:rFonts w:ascii="Book Antiqua" w:hAnsi="Book Antiqua"/>
          <w:color w:val="000000" w:themeColor="text1"/>
          <w:sz w:val="24"/>
          <w:szCs w:val="24"/>
        </w:rPr>
        <w:t>ΔCt</w:t>
      </w:r>
      <w:proofErr w:type="spellEnd"/>
      <w:r w:rsidR="00841E31" w:rsidRPr="00B43A8C">
        <w:rPr>
          <w:rFonts w:ascii="Book Antiqua" w:hAnsi="Book Antiqua"/>
          <w:color w:val="000000" w:themeColor="text1"/>
          <w:sz w:val="24"/>
          <w:szCs w:val="24"/>
        </w:rPr>
        <w:t xml:space="preserve"> = (Ct)</w:t>
      </w:r>
      <w:r w:rsidR="00841E31" w:rsidRPr="00B43A8C">
        <w:rPr>
          <w:rFonts w:ascii="Book Antiqua" w:hAnsi="Book Antiqua"/>
          <w:color w:val="000000" w:themeColor="text1"/>
          <w:sz w:val="24"/>
          <w:szCs w:val="24"/>
          <w:vertAlign w:val="subscript"/>
        </w:rPr>
        <w:t>TCA19 genes</w:t>
      </w:r>
      <w:r w:rsidR="00841E31" w:rsidRPr="00B43A8C">
        <w:rPr>
          <w:rFonts w:ascii="Book Antiqua" w:hAnsi="Book Antiqua"/>
          <w:color w:val="000000" w:themeColor="text1"/>
          <w:sz w:val="24"/>
          <w:szCs w:val="24"/>
        </w:rPr>
        <w:t xml:space="preserve"> - (Ct)</w:t>
      </w:r>
      <w:proofErr w:type="gramStart"/>
      <w:r w:rsidR="00841E31" w:rsidRPr="00B43A8C">
        <w:rPr>
          <w:rFonts w:ascii="Book Antiqua" w:hAnsi="Book Antiqua"/>
          <w:color w:val="000000" w:themeColor="text1"/>
          <w:sz w:val="24"/>
          <w:szCs w:val="24"/>
          <w:vertAlign w:val="subscript"/>
        </w:rPr>
        <w:t>GAPDH</w:t>
      </w:r>
      <w:r w:rsidR="00841E31" w:rsidRPr="00B43A8C">
        <w:rPr>
          <w:rFonts w:ascii="Book Antiqua" w:hAnsi="Book Antiqua"/>
          <w:color w:val="000000" w:themeColor="text1"/>
          <w:sz w:val="24"/>
          <w:szCs w:val="24"/>
        </w:rPr>
        <w:t>]</w:t>
      </w:r>
      <w:r w:rsidR="00802499">
        <w:rPr>
          <w:rFonts w:ascii="Book Antiqua" w:hAnsi="Book Antiqua"/>
          <w:color w:val="000000" w:themeColor="text1"/>
          <w:sz w:val="24"/>
          <w:szCs w:val="24"/>
          <w:vertAlign w:val="superscript"/>
        </w:rPr>
        <w:t>[</w:t>
      </w:r>
      <w:proofErr w:type="gramEnd"/>
      <w:r w:rsidR="00802499">
        <w:rPr>
          <w:rFonts w:ascii="Book Antiqua" w:hAnsi="Book Antiqua"/>
          <w:color w:val="000000" w:themeColor="text1"/>
          <w:sz w:val="24"/>
          <w:szCs w:val="24"/>
          <w:vertAlign w:val="superscript"/>
        </w:rPr>
        <w:t>18]</w:t>
      </w:r>
      <w:r w:rsidRPr="00B43A8C">
        <w:rPr>
          <w:rFonts w:ascii="Book Antiqua" w:hAnsi="Book Antiqua"/>
          <w:color w:val="000000" w:themeColor="text1"/>
          <w:sz w:val="24"/>
          <w:szCs w:val="24"/>
        </w:rPr>
        <w:t xml:space="preserve">. </w:t>
      </w:r>
      <w:proofErr w:type="spellStart"/>
      <w:r w:rsidR="00C63483" w:rsidRPr="00B43A8C">
        <w:rPr>
          <w:rFonts w:ascii="Book Antiqua" w:hAnsi="Book Antiqua"/>
          <w:color w:val="000000" w:themeColor="text1"/>
          <w:sz w:val="24"/>
          <w:szCs w:val="24"/>
        </w:rPr>
        <w:t>ΔΔCt</w:t>
      </w:r>
      <w:proofErr w:type="spellEnd"/>
      <w:r w:rsidR="00C63483" w:rsidRPr="00B43A8C">
        <w:rPr>
          <w:rFonts w:ascii="Book Antiqua" w:hAnsi="Book Antiqua"/>
          <w:color w:val="000000" w:themeColor="text1"/>
          <w:sz w:val="24"/>
          <w:szCs w:val="24"/>
        </w:rPr>
        <w:t xml:space="preserve"> was defined as a difference in the </w:t>
      </w:r>
      <w:proofErr w:type="spellStart"/>
      <w:r w:rsidR="00C63483" w:rsidRPr="00B43A8C">
        <w:rPr>
          <w:rFonts w:ascii="Book Antiqua" w:hAnsi="Book Antiqua"/>
          <w:color w:val="000000" w:themeColor="text1"/>
          <w:sz w:val="24"/>
          <w:szCs w:val="24"/>
        </w:rPr>
        <w:t>ΔCt</w:t>
      </w:r>
      <w:proofErr w:type="spellEnd"/>
      <w:r w:rsidR="00C63483" w:rsidRPr="00B43A8C">
        <w:rPr>
          <w:rFonts w:ascii="Book Antiqua" w:hAnsi="Book Antiqua"/>
          <w:color w:val="000000" w:themeColor="text1"/>
          <w:sz w:val="24"/>
          <w:szCs w:val="24"/>
        </w:rPr>
        <w:t xml:space="preserve"> values between a normal tissue and a tumor tissue of the same patient [</w:t>
      </w:r>
      <w:proofErr w:type="spellStart"/>
      <w:r w:rsidR="00C63483" w:rsidRPr="00B43A8C">
        <w:rPr>
          <w:rFonts w:ascii="Book Antiqua" w:hAnsi="Book Antiqua"/>
          <w:color w:val="000000" w:themeColor="text1"/>
          <w:sz w:val="24"/>
          <w:szCs w:val="24"/>
        </w:rPr>
        <w:t>ΔΔCt</w:t>
      </w:r>
      <w:proofErr w:type="spellEnd"/>
      <w:r w:rsidR="00C63483" w:rsidRPr="00B43A8C">
        <w:rPr>
          <w:rFonts w:ascii="Book Antiqua" w:hAnsi="Book Antiqua"/>
          <w:color w:val="000000" w:themeColor="text1"/>
          <w:sz w:val="24"/>
          <w:szCs w:val="24"/>
        </w:rPr>
        <w:t xml:space="preserve"> = (</w:t>
      </w:r>
      <w:proofErr w:type="spellStart"/>
      <w:r w:rsidR="00C63483" w:rsidRPr="00B43A8C">
        <w:rPr>
          <w:rFonts w:ascii="Book Antiqua" w:hAnsi="Book Antiqua"/>
          <w:color w:val="000000" w:themeColor="text1"/>
          <w:sz w:val="24"/>
          <w:szCs w:val="24"/>
        </w:rPr>
        <w:t>ΔCt</w:t>
      </w:r>
      <w:proofErr w:type="spellEnd"/>
      <w:r w:rsidR="00C63483" w:rsidRPr="00B43A8C">
        <w:rPr>
          <w:rFonts w:ascii="Book Antiqua" w:hAnsi="Book Antiqua"/>
          <w:color w:val="000000" w:themeColor="text1"/>
          <w:sz w:val="24"/>
          <w:szCs w:val="24"/>
        </w:rPr>
        <w:t xml:space="preserve">)normal </w:t>
      </w:r>
      <w:r w:rsidR="00802499">
        <w:rPr>
          <w:rFonts w:ascii="Book Antiqua" w:hAnsi="Book Antiqua"/>
          <w:color w:val="000000" w:themeColor="text1"/>
          <w:sz w:val="24"/>
          <w:szCs w:val="24"/>
        </w:rPr>
        <w:t>-</w:t>
      </w:r>
      <w:r w:rsidR="00C63483" w:rsidRPr="00B43A8C">
        <w:rPr>
          <w:rFonts w:ascii="Book Antiqua" w:hAnsi="Book Antiqua"/>
          <w:color w:val="000000" w:themeColor="text1"/>
          <w:sz w:val="24"/>
          <w:szCs w:val="24"/>
        </w:rPr>
        <w:t xml:space="preserve"> (</w:t>
      </w:r>
      <w:proofErr w:type="spellStart"/>
      <w:r w:rsidR="00C63483" w:rsidRPr="00B43A8C">
        <w:rPr>
          <w:rFonts w:ascii="Book Antiqua" w:hAnsi="Book Antiqua"/>
          <w:color w:val="000000" w:themeColor="text1"/>
          <w:sz w:val="24"/>
          <w:szCs w:val="24"/>
        </w:rPr>
        <w:t>ΔCt</w:t>
      </w:r>
      <w:proofErr w:type="spellEnd"/>
      <w:r w:rsidR="00C63483" w:rsidRPr="00B43A8C">
        <w:rPr>
          <w:rFonts w:ascii="Book Antiqua" w:hAnsi="Book Antiqua"/>
          <w:color w:val="000000" w:themeColor="text1"/>
          <w:sz w:val="24"/>
          <w:szCs w:val="24"/>
        </w:rPr>
        <w:t>)tumor] as previously reported.</w:t>
      </w:r>
      <w:r w:rsidR="00C63483" w:rsidRPr="00B43A8C">
        <w:rPr>
          <w:rFonts w:ascii="Book Antiqua" w:hAnsi="Book Antiqua"/>
          <w:color w:val="000000" w:themeColor="text1"/>
          <w:sz w:val="24"/>
          <w:szCs w:val="24"/>
          <w:vertAlign w:val="superscript"/>
        </w:rPr>
        <w:t>18</w:t>
      </w:r>
      <w:r w:rsidR="00C63483" w:rsidRPr="00B43A8C">
        <w:rPr>
          <w:rFonts w:ascii="Book Antiqua" w:hAnsi="Book Antiqua"/>
          <w:color w:val="000000" w:themeColor="text1"/>
          <w:sz w:val="24"/>
          <w:szCs w:val="24"/>
        </w:rPr>
        <w:t xml:space="preserve"> </w:t>
      </w:r>
      <w:r w:rsidR="00D07863" w:rsidRPr="00B43A8C">
        <w:rPr>
          <w:rFonts w:ascii="Book Antiqua" w:hAnsi="Book Antiqua"/>
          <w:color w:val="000000" w:themeColor="text1"/>
          <w:sz w:val="24"/>
          <w:szCs w:val="24"/>
        </w:rPr>
        <w:t>A 2</w:t>
      </w:r>
      <w:r w:rsidR="00802499">
        <w:rPr>
          <w:rFonts w:ascii="Book Antiqua" w:hAnsi="Book Antiqua"/>
          <w:color w:val="000000" w:themeColor="text1"/>
          <w:sz w:val="24"/>
          <w:szCs w:val="24"/>
          <w:vertAlign w:val="superscript"/>
        </w:rPr>
        <w:t>-</w:t>
      </w:r>
      <w:r w:rsidR="00D07863" w:rsidRPr="00B43A8C">
        <w:rPr>
          <w:rFonts w:ascii="Book Antiqua" w:hAnsi="Book Antiqua"/>
          <w:color w:val="000000" w:themeColor="text1"/>
          <w:sz w:val="24"/>
          <w:szCs w:val="24"/>
          <w:vertAlign w:val="superscript"/>
        </w:rPr>
        <w:t xml:space="preserve">ΔΔCt </w:t>
      </w:r>
      <w:r w:rsidR="00D07863" w:rsidRPr="00B43A8C">
        <w:rPr>
          <w:rFonts w:ascii="Book Antiqua" w:hAnsi="Book Antiqua"/>
          <w:color w:val="000000" w:themeColor="text1"/>
          <w:sz w:val="24"/>
          <w:szCs w:val="24"/>
        </w:rPr>
        <w:t xml:space="preserve">value over 1-fold indicates upregulation of the tested </w:t>
      </w:r>
      <w:r w:rsidR="00802499">
        <w:rPr>
          <w:rFonts w:ascii="Book Antiqua" w:hAnsi="Book Antiqua"/>
          <w:color w:val="000000" w:themeColor="text1"/>
          <w:sz w:val="24"/>
          <w:szCs w:val="24"/>
        </w:rPr>
        <w:t>TCA19</w:t>
      </w:r>
      <w:r w:rsidR="00D07863" w:rsidRPr="00B43A8C">
        <w:rPr>
          <w:rFonts w:ascii="Book Antiqua" w:hAnsi="Book Antiqua"/>
          <w:color w:val="000000" w:themeColor="text1"/>
          <w:sz w:val="24"/>
          <w:szCs w:val="24"/>
        </w:rPr>
        <w:t xml:space="preserve"> gene in a tumor tissue compared with a normal counterpart of the same patient.</w:t>
      </w:r>
    </w:p>
    <w:p w14:paraId="108C0AA5" w14:textId="77777777" w:rsidR="00DB03D6" w:rsidRPr="00B43A8C" w:rsidRDefault="00DB03D6" w:rsidP="00B43A8C">
      <w:pPr>
        <w:wordWrap/>
        <w:adjustRightInd w:val="0"/>
        <w:snapToGrid w:val="0"/>
        <w:spacing w:line="360" w:lineRule="auto"/>
        <w:rPr>
          <w:rFonts w:ascii="Book Antiqua" w:hAnsi="Book Antiqua"/>
          <w:color w:val="000000" w:themeColor="text1"/>
          <w:sz w:val="24"/>
          <w:szCs w:val="24"/>
        </w:rPr>
      </w:pPr>
    </w:p>
    <w:p w14:paraId="678114E3" w14:textId="215C41DC" w:rsidR="00DB03D6" w:rsidRPr="00B43A8C" w:rsidRDefault="00ED5B1E" w:rsidP="00EF65CB">
      <w:pPr>
        <w:wordWrap/>
        <w:adjustRightInd w:val="0"/>
        <w:snapToGrid w:val="0"/>
        <w:spacing w:line="360" w:lineRule="auto"/>
        <w:outlineLvl w:val="0"/>
        <w:rPr>
          <w:rFonts w:ascii="Book Antiqua" w:hAnsi="Book Antiqua"/>
          <w:b/>
          <w:i/>
          <w:color w:val="000000" w:themeColor="text1"/>
          <w:sz w:val="24"/>
          <w:szCs w:val="24"/>
        </w:rPr>
      </w:pPr>
      <w:r w:rsidRPr="00B43A8C">
        <w:rPr>
          <w:rFonts w:ascii="Book Antiqua" w:hAnsi="Book Antiqua"/>
          <w:b/>
          <w:i/>
          <w:color w:val="000000" w:themeColor="text1"/>
          <w:sz w:val="24"/>
          <w:szCs w:val="24"/>
        </w:rPr>
        <w:t>TCA19 r</w:t>
      </w:r>
      <w:r w:rsidR="00DB03D6" w:rsidRPr="00B43A8C">
        <w:rPr>
          <w:rFonts w:ascii="Book Antiqua" w:hAnsi="Book Antiqua"/>
          <w:b/>
          <w:i/>
          <w:color w:val="000000" w:themeColor="text1"/>
          <w:sz w:val="24"/>
          <w:szCs w:val="24"/>
        </w:rPr>
        <w:t>isk score</w:t>
      </w:r>
    </w:p>
    <w:p w14:paraId="5E0B241A" w14:textId="597A7EA6" w:rsidR="00DB03D6" w:rsidRPr="00B43A8C" w:rsidRDefault="00DB03D6" w:rsidP="00802499">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color w:val="000000" w:themeColor="text1"/>
          <w:sz w:val="24"/>
          <w:szCs w:val="24"/>
        </w:rPr>
        <w:t xml:space="preserve">A risk score was developed via a previously reported strategy using the Cox regression coefficient for the </w:t>
      </w:r>
      <w:r w:rsidR="00802499">
        <w:rPr>
          <w:rFonts w:ascii="Book Antiqua" w:hAnsi="Book Antiqua"/>
          <w:color w:val="000000" w:themeColor="text1"/>
          <w:sz w:val="24"/>
          <w:szCs w:val="24"/>
        </w:rPr>
        <w:t>TCA19</w:t>
      </w:r>
      <w:r w:rsidRPr="00B43A8C">
        <w:rPr>
          <w:rFonts w:ascii="Book Antiqua" w:hAnsi="Book Antiqua"/>
          <w:color w:val="000000" w:themeColor="text1"/>
          <w:sz w:val="24"/>
          <w:szCs w:val="24"/>
        </w:rPr>
        <w:t xml:space="preserve"> </w:t>
      </w:r>
      <w:proofErr w:type="gramStart"/>
      <w:r w:rsidRPr="00B43A8C">
        <w:rPr>
          <w:rFonts w:ascii="Book Antiqua" w:hAnsi="Book Antiqua"/>
          <w:color w:val="000000" w:themeColor="text1"/>
          <w:sz w:val="24"/>
          <w:szCs w:val="24"/>
        </w:rPr>
        <w:t>genes</w:t>
      </w:r>
      <w:r w:rsidR="00802499" w:rsidRPr="00B43A8C">
        <w:rPr>
          <w:rFonts w:ascii="Book Antiqua" w:hAnsi="Book Antiqua"/>
          <w:color w:val="000000" w:themeColor="text1"/>
          <w:sz w:val="24"/>
          <w:szCs w:val="24"/>
          <w:vertAlign w:val="superscript"/>
        </w:rPr>
        <w:t>[</w:t>
      </w:r>
      <w:proofErr w:type="gramEnd"/>
      <w:r w:rsidR="00802499" w:rsidRPr="00B43A8C">
        <w:rPr>
          <w:rFonts w:ascii="Book Antiqua" w:hAnsi="Book Antiqua"/>
          <w:color w:val="000000" w:themeColor="text1"/>
          <w:sz w:val="24"/>
          <w:szCs w:val="24"/>
          <w:vertAlign w:val="superscript"/>
        </w:rPr>
        <w:t>8,19,20]</w:t>
      </w:r>
      <w:r w:rsidRPr="00B43A8C">
        <w:rPr>
          <w:rFonts w:ascii="Book Antiqua" w:hAnsi="Book Antiqua"/>
          <w:color w:val="000000" w:themeColor="text1"/>
          <w:sz w:val="24"/>
          <w:szCs w:val="24"/>
        </w:rPr>
        <w:t>. The risk score for each patient was calculated as the sum of each gene</w:t>
      </w:r>
      <w:r w:rsidR="00ED5B1E" w:rsidRPr="00B43A8C">
        <w:rPr>
          <w:rFonts w:ascii="Book Antiqua" w:hAnsi="Book Antiqua"/>
          <w:color w:val="000000" w:themeColor="text1"/>
          <w:sz w:val="24"/>
          <w:szCs w:val="24"/>
        </w:rPr>
        <w:t>’s score</w:t>
      </w:r>
      <w:r w:rsidRPr="00B43A8C">
        <w:rPr>
          <w:rFonts w:ascii="Book Antiqua" w:hAnsi="Book Antiqua"/>
          <w:color w:val="000000" w:themeColor="text1"/>
          <w:sz w:val="24"/>
          <w:szCs w:val="24"/>
        </w:rPr>
        <w:t>, which was derived by multiplying the expression level of a gene by its corresponding coefficient using previously reported values (Supplementary Table 2)</w:t>
      </w:r>
      <w:r w:rsidR="00802499" w:rsidRPr="00802499">
        <w:rPr>
          <w:rFonts w:ascii="Book Antiqua" w:hAnsi="Book Antiqua"/>
          <w:color w:val="000000" w:themeColor="text1"/>
          <w:sz w:val="24"/>
          <w:szCs w:val="24"/>
          <w:vertAlign w:val="superscript"/>
        </w:rPr>
        <w:t xml:space="preserve"> </w:t>
      </w:r>
      <w:r w:rsidR="00802499" w:rsidRPr="00B43A8C">
        <w:rPr>
          <w:rFonts w:ascii="Book Antiqua" w:hAnsi="Book Antiqua"/>
          <w:color w:val="000000" w:themeColor="text1"/>
          <w:sz w:val="24"/>
          <w:szCs w:val="24"/>
          <w:vertAlign w:val="superscript"/>
        </w:rPr>
        <w:t>[8]</w:t>
      </w:r>
      <w:r w:rsidRPr="00B43A8C">
        <w:rPr>
          <w:rFonts w:ascii="Book Antiqua" w:hAnsi="Book Antiqua"/>
          <w:color w:val="000000" w:themeColor="text1"/>
          <w:sz w:val="24"/>
          <w:szCs w:val="24"/>
        </w:rPr>
        <w:t xml:space="preserve">. The patients were then divided into two groups, for high or low expression of </w:t>
      </w:r>
      <w:r w:rsidR="00802499">
        <w:rPr>
          <w:rFonts w:ascii="Book Antiqua" w:hAnsi="Book Antiqua"/>
          <w:color w:val="000000" w:themeColor="text1"/>
          <w:sz w:val="24"/>
          <w:szCs w:val="24"/>
        </w:rPr>
        <w:t>TCA19</w:t>
      </w:r>
      <w:r w:rsidRPr="00B43A8C">
        <w:rPr>
          <w:rFonts w:ascii="Book Antiqua" w:hAnsi="Book Antiqua"/>
          <w:color w:val="000000" w:themeColor="text1"/>
          <w:sz w:val="24"/>
          <w:szCs w:val="24"/>
        </w:rPr>
        <w:t xml:space="preserve"> genes using the median of the risk score as the threshold. </w:t>
      </w:r>
    </w:p>
    <w:p w14:paraId="6C74D8E7" w14:textId="77777777" w:rsidR="00DB03D6" w:rsidRPr="00B43A8C" w:rsidRDefault="00DB03D6" w:rsidP="00B43A8C">
      <w:pPr>
        <w:wordWrap/>
        <w:adjustRightInd w:val="0"/>
        <w:snapToGrid w:val="0"/>
        <w:spacing w:line="360" w:lineRule="auto"/>
        <w:rPr>
          <w:rFonts w:ascii="Book Antiqua" w:hAnsi="Book Antiqua"/>
          <w:color w:val="000000" w:themeColor="text1"/>
          <w:sz w:val="24"/>
          <w:szCs w:val="24"/>
        </w:rPr>
      </w:pPr>
    </w:p>
    <w:p w14:paraId="59B1FF7E" w14:textId="4790C5B2" w:rsidR="00DB03D6" w:rsidRPr="00B43A8C" w:rsidRDefault="00DB03D6" w:rsidP="00EF65CB">
      <w:pPr>
        <w:wordWrap/>
        <w:adjustRightInd w:val="0"/>
        <w:snapToGrid w:val="0"/>
        <w:spacing w:line="360" w:lineRule="auto"/>
        <w:outlineLvl w:val="0"/>
        <w:rPr>
          <w:rFonts w:ascii="Book Antiqua" w:hAnsi="Book Antiqua"/>
          <w:b/>
          <w:i/>
          <w:color w:val="000000" w:themeColor="text1"/>
          <w:sz w:val="24"/>
          <w:szCs w:val="24"/>
        </w:rPr>
      </w:pPr>
      <w:r w:rsidRPr="00B43A8C">
        <w:rPr>
          <w:rFonts w:ascii="Book Antiqua" w:hAnsi="Book Antiqua"/>
          <w:b/>
          <w:i/>
          <w:color w:val="000000" w:themeColor="text1"/>
          <w:sz w:val="24"/>
          <w:szCs w:val="24"/>
        </w:rPr>
        <w:t>Immunohistochemistry</w:t>
      </w:r>
      <w:r w:rsidR="00802499">
        <w:rPr>
          <w:rFonts w:ascii="Book Antiqua" w:hAnsi="Book Antiqua"/>
          <w:b/>
          <w:i/>
          <w:color w:val="000000" w:themeColor="text1"/>
          <w:sz w:val="24"/>
          <w:szCs w:val="24"/>
        </w:rPr>
        <w:t xml:space="preserve"> and</w:t>
      </w:r>
      <w:r w:rsidRPr="00B43A8C">
        <w:rPr>
          <w:rFonts w:ascii="Book Antiqua" w:hAnsi="Book Antiqua"/>
          <w:b/>
          <w:i/>
          <w:color w:val="000000" w:themeColor="text1"/>
          <w:sz w:val="24"/>
          <w:szCs w:val="24"/>
        </w:rPr>
        <w:t xml:space="preserve"> western blotting</w:t>
      </w:r>
    </w:p>
    <w:p w14:paraId="1CA35C11" w14:textId="18845B93" w:rsidR="00DB03D6" w:rsidRPr="00B43A8C" w:rsidRDefault="00DB03D6" w:rsidP="00802499">
      <w:pPr>
        <w:wordWrap/>
        <w:adjustRightInd w:val="0"/>
        <w:snapToGrid w:val="0"/>
        <w:spacing w:line="360" w:lineRule="auto"/>
        <w:rPr>
          <w:rFonts w:ascii="Book Antiqua" w:hAnsi="Book Antiqua"/>
          <w:b/>
          <w:i/>
          <w:color w:val="000000" w:themeColor="text1"/>
          <w:sz w:val="24"/>
          <w:szCs w:val="24"/>
        </w:rPr>
      </w:pPr>
      <w:r w:rsidRPr="00B43A8C">
        <w:rPr>
          <w:rFonts w:ascii="Book Antiqua" w:hAnsi="Book Antiqua"/>
          <w:color w:val="000000" w:themeColor="text1"/>
          <w:sz w:val="24"/>
          <w:szCs w:val="24"/>
        </w:rPr>
        <w:lastRenderedPageBreak/>
        <w:t xml:space="preserve">Normal </w:t>
      </w:r>
      <w:r w:rsidR="00451ECC" w:rsidRPr="00B43A8C">
        <w:rPr>
          <w:rFonts w:ascii="Book Antiqua" w:hAnsi="Book Antiqua"/>
          <w:color w:val="000000" w:themeColor="text1"/>
          <w:sz w:val="24"/>
          <w:szCs w:val="24"/>
        </w:rPr>
        <w:t>tissue</w:t>
      </w:r>
      <w:r w:rsidRPr="00B43A8C">
        <w:rPr>
          <w:rFonts w:ascii="Book Antiqua" w:hAnsi="Book Antiqua"/>
          <w:color w:val="000000" w:themeColor="text1"/>
          <w:sz w:val="24"/>
          <w:szCs w:val="24"/>
        </w:rPr>
        <w:t xml:space="preserve">, and primary and metastatic tumor tissues of 10 patients with metastatic CRC (separate from the initial study cohort of 60 patients), were used for </w:t>
      </w:r>
      <w:r w:rsidR="00802499">
        <w:rPr>
          <w:rFonts w:ascii="Book Antiqua" w:hAnsi="Book Antiqua"/>
          <w:color w:val="000000" w:themeColor="text1"/>
          <w:sz w:val="24"/>
          <w:szCs w:val="24"/>
        </w:rPr>
        <w:t>i</w:t>
      </w:r>
      <w:r w:rsidR="00802499" w:rsidRPr="00802499">
        <w:rPr>
          <w:rFonts w:ascii="Book Antiqua" w:hAnsi="Book Antiqua"/>
          <w:color w:val="000000" w:themeColor="text1"/>
          <w:sz w:val="24"/>
          <w:szCs w:val="24"/>
        </w:rPr>
        <w:t>mmunohistochemistry (IHC)</w:t>
      </w:r>
      <w:r w:rsidRPr="00B43A8C">
        <w:rPr>
          <w:rFonts w:ascii="Book Antiqua" w:hAnsi="Book Antiqua"/>
          <w:color w:val="000000" w:themeColor="text1"/>
          <w:sz w:val="24"/>
          <w:szCs w:val="24"/>
        </w:rPr>
        <w:t xml:space="preserve"> studies of </w:t>
      </w:r>
      <w:r w:rsidR="00ED5B1E" w:rsidRPr="00B43A8C">
        <w:rPr>
          <w:rFonts w:ascii="Book Antiqua" w:hAnsi="Book Antiqua"/>
          <w:color w:val="000000" w:themeColor="text1"/>
          <w:sz w:val="24"/>
          <w:szCs w:val="24"/>
        </w:rPr>
        <w:t xml:space="preserve">the </w:t>
      </w:r>
      <w:r w:rsidRPr="00B43A8C">
        <w:rPr>
          <w:rFonts w:ascii="Book Antiqua" w:hAnsi="Book Antiqua"/>
          <w:color w:val="000000" w:themeColor="text1"/>
          <w:sz w:val="24"/>
          <w:szCs w:val="24"/>
        </w:rPr>
        <w:t xml:space="preserve">expression of </w:t>
      </w:r>
      <w:r w:rsidR="00802499">
        <w:rPr>
          <w:rFonts w:ascii="Book Antiqua" w:hAnsi="Book Antiqua"/>
          <w:color w:val="000000" w:themeColor="text1"/>
          <w:sz w:val="24"/>
          <w:szCs w:val="24"/>
        </w:rPr>
        <w:t>s</w:t>
      </w:r>
      <w:r w:rsidR="00802499" w:rsidRPr="00EF65CB">
        <w:rPr>
          <w:rFonts w:ascii="Book Antiqua" w:hAnsi="Book Antiqua"/>
          <w:color w:val="000000" w:themeColor="text1"/>
          <w:sz w:val="24"/>
          <w:szCs w:val="24"/>
        </w:rPr>
        <w:t>ignaling lymphocytic activation molecule family, member 7</w:t>
      </w:r>
      <w:r w:rsidRPr="00B43A8C">
        <w:rPr>
          <w:rFonts w:ascii="Book Antiqua" w:hAnsi="Book Antiqua"/>
          <w:color w:val="000000" w:themeColor="text1"/>
          <w:sz w:val="24"/>
          <w:szCs w:val="24"/>
        </w:rPr>
        <w:t xml:space="preserve"> (SLAMF7), T</w:t>
      </w:r>
      <w:r w:rsidR="00802499">
        <w:rPr>
          <w:rFonts w:ascii="Book Antiqua" w:hAnsi="Book Antiqua"/>
          <w:color w:val="000000" w:themeColor="text1"/>
          <w:sz w:val="24"/>
          <w:szCs w:val="24"/>
        </w:rPr>
        <w:t>REM1</w:t>
      </w:r>
      <w:r w:rsidRPr="00B43A8C">
        <w:rPr>
          <w:rFonts w:ascii="Book Antiqua" w:hAnsi="Book Antiqua"/>
          <w:color w:val="000000" w:themeColor="text1"/>
          <w:sz w:val="24"/>
          <w:szCs w:val="24"/>
        </w:rPr>
        <w:t>, CD73 and CD68. Formalin fixed, paraffin-embedded tissue sections were immunohistochemically stained for protein expression</w:t>
      </w:r>
      <w:r w:rsidR="00CF59C0" w:rsidRPr="00B43A8C">
        <w:rPr>
          <w:rFonts w:ascii="Book Antiqua" w:hAnsi="Book Antiqua"/>
          <w:color w:val="000000" w:themeColor="text1"/>
          <w:sz w:val="24"/>
          <w:szCs w:val="24"/>
        </w:rPr>
        <w:t xml:space="preserve"> of SLAMF7, TREM1, CD68, and CD73</w:t>
      </w:r>
      <w:r w:rsidRPr="00B43A8C">
        <w:rPr>
          <w:rFonts w:ascii="Book Antiqua" w:hAnsi="Book Antiqua"/>
          <w:color w:val="000000" w:themeColor="text1"/>
          <w:sz w:val="24"/>
          <w:szCs w:val="24"/>
        </w:rPr>
        <w:t xml:space="preserve"> with a </w:t>
      </w:r>
      <w:proofErr w:type="spellStart"/>
      <w:r w:rsidRPr="00B43A8C">
        <w:rPr>
          <w:rFonts w:ascii="Book Antiqua" w:hAnsi="Book Antiqua"/>
          <w:color w:val="000000" w:themeColor="text1"/>
          <w:sz w:val="24"/>
          <w:szCs w:val="24"/>
        </w:rPr>
        <w:t>BenchMark</w:t>
      </w:r>
      <w:proofErr w:type="spellEnd"/>
      <w:r w:rsidRPr="00B43A8C">
        <w:rPr>
          <w:rFonts w:ascii="Book Antiqua" w:hAnsi="Book Antiqua"/>
          <w:color w:val="000000" w:themeColor="text1"/>
          <w:sz w:val="24"/>
          <w:szCs w:val="24"/>
        </w:rPr>
        <w:t xml:space="preserve"> XT automatic immunostaining device (Ventana </w:t>
      </w:r>
      <w:r w:rsidR="00802499">
        <w:rPr>
          <w:rFonts w:ascii="Book Antiqua" w:hAnsi="Book Antiqua"/>
          <w:color w:val="000000" w:themeColor="text1"/>
          <w:sz w:val="24"/>
          <w:szCs w:val="24"/>
        </w:rPr>
        <w:t>Medical Systems, Tucson, AZ, United States</w:t>
      </w:r>
      <w:r w:rsidRPr="00B43A8C">
        <w:rPr>
          <w:rFonts w:ascii="Book Antiqua" w:hAnsi="Book Antiqua"/>
          <w:color w:val="000000" w:themeColor="text1"/>
          <w:sz w:val="24"/>
          <w:szCs w:val="24"/>
        </w:rPr>
        <w:t xml:space="preserve">) with an </w:t>
      </w:r>
      <w:proofErr w:type="spellStart"/>
      <w:r w:rsidRPr="00B43A8C">
        <w:rPr>
          <w:rFonts w:ascii="Book Antiqua" w:hAnsi="Book Antiqua"/>
          <w:color w:val="000000" w:themeColor="text1"/>
          <w:sz w:val="24"/>
          <w:szCs w:val="24"/>
        </w:rPr>
        <w:t>OptiView</w:t>
      </w:r>
      <w:proofErr w:type="spellEnd"/>
      <w:r w:rsidRPr="00B43A8C">
        <w:rPr>
          <w:rFonts w:ascii="Book Antiqua" w:hAnsi="Book Antiqua"/>
          <w:color w:val="000000" w:themeColor="text1"/>
          <w:sz w:val="24"/>
          <w:szCs w:val="24"/>
        </w:rPr>
        <w:t xml:space="preserve"> DAB IHC Detection Kit (Ventana Medical Systems) according to the manufacturer's instructions.</w:t>
      </w:r>
    </w:p>
    <w:p w14:paraId="420FC31B" w14:textId="00B1FFBA" w:rsidR="00DB03D6" w:rsidRPr="00B43A8C" w:rsidRDefault="00802499" w:rsidP="00802499">
      <w:pPr>
        <w:wordWrap/>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DB03D6" w:rsidRPr="00B43A8C">
        <w:rPr>
          <w:rFonts w:ascii="Book Antiqua" w:hAnsi="Book Antiqua"/>
          <w:color w:val="000000" w:themeColor="text1"/>
          <w:sz w:val="24"/>
          <w:szCs w:val="24"/>
        </w:rPr>
        <w:t xml:space="preserve">Proteins were extracted from cultured cells using lysis buffer (Cells Signaling Technology, Danvers, MA, </w:t>
      </w:r>
      <w:r>
        <w:rPr>
          <w:rFonts w:ascii="Book Antiqua" w:hAnsi="Book Antiqua"/>
          <w:color w:val="000000" w:themeColor="text1"/>
          <w:sz w:val="24"/>
          <w:szCs w:val="24"/>
        </w:rPr>
        <w:t>United States</w:t>
      </w:r>
      <w:r w:rsidR="00DB03D6" w:rsidRPr="00B43A8C">
        <w:rPr>
          <w:rFonts w:ascii="Book Antiqua" w:hAnsi="Book Antiqua"/>
          <w:color w:val="000000" w:themeColor="text1"/>
          <w:sz w:val="24"/>
          <w:szCs w:val="24"/>
        </w:rPr>
        <w:t xml:space="preserve">). Equal amounts of proteins were separated by </w:t>
      </w:r>
      <w:r w:rsidRPr="00802499">
        <w:rPr>
          <w:rFonts w:ascii="Book Antiqua" w:hAnsi="Book Antiqua"/>
          <w:color w:val="000000" w:themeColor="text1"/>
          <w:sz w:val="24"/>
          <w:szCs w:val="24"/>
        </w:rPr>
        <w:t>sodium dodecyl sulfate polyacrylamide gel electrophoresis</w:t>
      </w:r>
      <w:r w:rsidR="00DB03D6" w:rsidRPr="00B43A8C">
        <w:rPr>
          <w:rFonts w:ascii="Book Antiqua" w:hAnsi="Book Antiqua"/>
          <w:color w:val="000000" w:themeColor="text1"/>
          <w:sz w:val="24"/>
          <w:szCs w:val="24"/>
        </w:rPr>
        <w:t xml:space="preserve"> and transferred to polyvinylidene difluoride membranes (</w:t>
      </w:r>
      <w:proofErr w:type="spellStart"/>
      <w:r w:rsidR="00DB03D6" w:rsidRPr="00B43A8C">
        <w:rPr>
          <w:rFonts w:ascii="Book Antiqua" w:hAnsi="Book Antiqua"/>
          <w:color w:val="000000" w:themeColor="text1"/>
          <w:sz w:val="24"/>
          <w:szCs w:val="24"/>
        </w:rPr>
        <w:t>Milipore</w:t>
      </w:r>
      <w:proofErr w:type="spellEnd"/>
      <w:r w:rsidR="00DB03D6" w:rsidRPr="00B43A8C">
        <w:rPr>
          <w:rFonts w:ascii="Book Antiqua" w:hAnsi="Book Antiqua"/>
          <w:color w:val="000000" w:themeColor="text1"/>
          <w:sz w:val="24"/>
          <w:szCs w:val="24"/>
        </w:rPr>
        <w:t xml:space="preserve">, Billerica, MA, </w:t>
      </w:r>
      <w:r>
        <w:rPr>
          <w:rFonts w:ascii="Book Antiqua" w:hAnsi="Book Antiqua"/>
          <w:color w:val="000000" w:themeColor="text1"/>
          <w:sz w:val="24"/>
          <w:szCs w:val="24"/>
        </w:rPr>
        <w:t>United States</w:t>
      </w:r>
      <w:r w:rsidR="00DB03D6" w:rsidRPr="00B43A8C">
        <w:rPr>
          <w:rFonts w:ascii="Book Antiqua" w:hAnsi="Book Antiqua"/>
          <w:color w:val="000000" w:themeColor="text1"/>
          <w:sz w:val="24"/>
          <w:szCs w:val="24"/>
        </w:rPr>
        <w:t>). The membranes were blocked with 5% nonfat milk diluted in Tris-buffer saline containing of Tween-20 (TBST) for 1h at room temperature before the addition of the appropriate primary antibody. The membranes were then washed with TBST and incubated with the appropriate HRP-conj</w:t>
      </w:r>
      <w:r>
        <w:rPr>
          <w:rFonts w:ascii="Book Antiqua" w:hAnsi="Book Antiqua"/>
          <w:color w:val="000000" w:themeColor="text1"/>
          <w:sz w:val="24"/>
          <w:szCs w:val="24"/>
        </w:rPr>
        <w:t>ugated secondary antibody (1:10000; Abcam, Cambridge, United Kingdom</w:t>
      </w:r>
      <w:r w:rsidR="00DB03D6" w:rsidRPr="00B43A8C">
        <w:rPr>
          <w:rFonts w:ascii="Book Antiqua" w:hAnsi="Book Antiqua"/>
          <w:color w:val="000000" w:themeColor="text1"/>
          <w:sz w:val="24"/>
          <w:szCs w:val="24"/>
        </w:rPr>
        <w:t xml:space="preserve">) for 1h at room temperature. Protein-antibody complexes were visualized using a chemiluminescence reagent (New England Nuclear, Boston, MA, </w:t>
      </w:r>
      <w:r>
        <w:rPr>
          <w:rFonts w:ascii="Book Antiqua" w:hAnsi="Book Antiqua"/>
          <w:color w:val="000000" w:themeColor="text1"/>
          <w:sz w:val="24"/>
          <w:szCs w:val="24"/>
        </w:rPr>
        <w:t>United States</w:t>
      </w:r>
      <w:r w:rsidR="00DB03D6" w:rsidRPr="00B43A8C">
        <w:rPr>
          <w:rFonts w:ascii="Book Antiqua" w:hAnsi="Book Antiqua"/>
          <w:color w:val="000000" w:themeColor="text1"/>
          <w:sz w:val="24"/>
          <w:szCs w:val="24"/>
        </w:rPr>
        <w:t>). Antibodies used in IHC and western blotting were listed in Supplementary Table 3.</w:t>
      </w:r>
    </w:p>
    <w:p w14:paraId="71BCAEDC" w14:textId="77777777" w:rsidR="00DB03D6" w:rsidRPr="00B43A8C" w:rsidRDefault="00DB03D6" w:rsidP="00802499">
      <w:pPr>
        <w:wordWrap/>
        <w:adjustRightInd w:val="0"/>
        <w:snapToGrid w:val="0"/>
        <w:spacing w:line="360" w:lineRule="auto"/>
        <w:rPr>
          <w:rFonts w:ascii="Book Antiqua" w:hAnsi="Book Antiqua"/>
          <w:color w:val="000000" w:themeColor="text1"/>
          <w:sz w:val="24"/>
          <w:szCs w:val="24"/>
        </w:rPr>
      </w:pPr>
    </w:p>
    <w:p w14:paraId="6E8D15C5" w14:textId="77777777" w:rsidR="00DB03D6" w:rsidRPr="00B43A8C" w:rsidRDefault="00DB03D6" w:rsidP="00EF65CB">
      <w:pPr>
        <w:wordWrap/>
        <w:adjustRightInd w:val="0"/>
        <w:snapToGrid w:val="0"/>
        <w:spacing w:line="360" w:lineRule="auto"/>
        <w:outlineLvl w:val="0"/>
        <w:rPr>
          <w:rFonts w:ascii="Book Antiqua" w:hAnsi="Book Antiqua"/>
          <w:b/>
          <w:i/>
          <w:color w:val="000000" w:themeColor="text1"/>
          <w:sz w:val="24"/>
          <w:szCs w:val="24"/>
        </w:rPr>
      </w:pPr>
      <w:r w:rsidRPr="00B43A8C">
        <w:rPr>
          <w:rFonts w:ascii="Book Antiqua" w:hAnsi="Book Antiqua"/>
          <w:b/>
          <w:i/>
          <w:color w:val="000000" w:themeColor="text1"/>
          <w:sz w:val="24"/>
          <w:szCs w:val="24"/>
        </w:rPr>
        <w:t>CRC cell lines, cloning and THP-1 cells</w:t>
      </w:r>
    </w:p>
    <w:p w14:paraId="35891D7B" w14:textId="45763EA7" w:rsidR="00DB03D6" w:rsidRPr="00B43A8C" w:rsidRDefault="00DB03D6" w:rsidP="00802499">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color w:val="000000" w:themeColor="text1"/>
          <w:sz w:val="24"/>
          <w:szCs w:val="24"/>
        </w:rPr>
        <w:t xml:space="preserve">The 10 CRC cell lines (DLD-1, HCT116, HCT15, HT29, </w:t>
      </w:r>
      <w:proofErr w:type="spellStart"/>
      <w:r w:rsidRPr="00B43A8C">
        <w:rPr>
          <w:rFonts w:ascii="Book Antiqua" w:hAnsi="Book Antiqua"/>
          <w:color w:val="000000" w:themeColor="text1"/>
          <w:sz w:val="24"/>
          <w:szCs w:val="24"/>
        </w:rPr>
        <w:t>LoVo</w:t>
      </w:r>
      <w:proofErr w:type="spellEnd"/>
      <w:r w:rsidRPr="00B43A8C">
        <w:rPr>
          <w:rFonts w:ascii="Book Antiqua" w:hAnsi="Book Antiqua"/>
          <w:color w:val="000000" w:themeColor="text1"/>
          <w:sz w:val="24"/>
          <w:szCs w:val="24"/>
        </w:rPr>
        <w:t xml:space="preserve">, LS174T, RKO, SW480, SW620 and WIDR) and two normal colonic cell lines (CCD-18Co and CCD841) were purchased from the American Type Tissue Culture Collection (ATCC, Manassas, VA, </w:t>
      </w:r>
      <w:r w:rsidR="00802499">
        <w:rPr>
          <w:rFonts w:ascii="Book Antiqua" w:hAnsi="Book Antiqua"/>
          <w:color w:val="000000" w:themeColor="text1"/>
          <w:sz w:val="24"/>
          <w:szCs w:val="24"/>
        </w:rPr>
        <w:t>United States</w:t>
      </w:r>
      <w:r w:rsidRPr="00B43A8C">
        <w:rPr>
          <w:rFonts w:ascii="Book Antiqua" w:hAnsi="Book Antiqua"/>
          <w:color w:val="000000" w:themeColor="text1"/>
          <w:sz w:val="24"/>
          <w:szCs w:val="24"/>
        </w:rPr>
        <w:t xml:space="preserve">) and maintained in RPMI-1640 medium supplemented with 10% fetal bovine serum (FBS). CRC cell lines (DLD-1, RKO, HCT116 and HT29) with minimal protein expression for SLAMF7 and TREM1 were selected for gene transfection (Supplementary Figure </w:t>
      </w:r>
      <w:r w:rsidR="00CF59C0" w:rsidRPr="00B43A8C">
        <w:rPr>
          <w:rFonts w:ascii="Book Antiqua" w:hAnsi="Book Antiqua"/>
          <w:color w:val="000000" w:themeColor="text1"/>
          <w:sz w:val="24"/>
          <w:szCs w:val="24"/>
        </w:rPr>
        <w:t>2</w:t>
      </w:r>
      <w:r w:rsidRPr="00B43A8C">
        <w:rPr>
          <w:rFonts w:ascii="Book Antiqua" w:hAnsi="Book Antiqua"/>
          <w:color w:val="000000" w:themeColor="text1"/>
          <w:sz w:val="24"/>
          <w:szCs w:val="24"/>
        </w:rPr>
        <w:t xml:space="preserve">). SLAMF7 and TREM1 cDNA tagged with the peptide </w:t>
      </w:r>
      <w:r w:rsidRPr="00B43A8C">
        <w:rPr>
          <w:rFonts w:ascii="Book Antiqua" w:hAnsi="Book Antiqua"/>
          <w:color w:val="000000" w:themeColor="text1"/>
          <w:sz w:val="24"/>
          <w:szCs w:val="24"/>
        </w:rPr>
        <w:lastRenderedPageBreak/>
        <w:t xml:space="preserve">epitope </w:t>
      </w:r>
      <w:proofErr w:type="spellStart"/>
      <w:r w:rsidRPr="00B43A8C">
        <w:rPr>
          <w:rFonts w:ascii="Book Antiqua" w:hAnsi="Book Antiqua"/>
          <w:color w:val="000000" w:themeColor="text1"/>
          <w:sz w:val="24"/>
          <w:szCs w:val="24"/>
        </w:rPr>
        <w:t>Myc</w:t>
      </w:r>
      <w:proofErr w:type="spellEnd"/>
      <w:r w:rsidRPr="00B43A8C">
        <w:rPr>
          <w:rFonts w:ascii="Book Antiqua" w:hAnsi="Book Antiqua"/>
          <w:color w:val="000000" w:themeColor="text1"/>
          <w:sz w:val="24"/>
          <w:szCs w:val="24"/>
        </w:rPr>
        <w:t xml:space="preserve">-DDK were purchased from </w:t>
      </w:r>
      <w:proofErr w:type="spellStart"/>
      <w:r w:rsidRPr="00B43A8C">
        <w:rPr>
          <w:rFonts w:ascii="Book Antiqua" w:hAnsi="Book Antiqua"/>
          <w:color w:val="000000" w:themeColor="text1"/>
          <w:sz w:val="24"/>
          <w:szCs w:val="24"/>
        </w:rPr>
        <w:t>OriGene</w:t>
      </w:r>
      <w:proofErr w:type="spellEnd"/>
      <w:r w:rsidRPr="00B43A8C">
        <w:rPr>
          <w:rFonts w:ascii="Book Antiqua" w:hAnsi="Book Antiqua"/>
          <w:color w:val="000000" w:themeColor="text1"/>
          <w:sz w:val="24"/>
          <w:szCs w:val="24"/>
        </w:rPr>
        <w:t xml:space="preserve"> (Rockville, MD, </w:t>
      </w:r>
      <w:r w:rsidR="00802499">
        <w:rPr>
          <w:rFonts w:ascii="Book Antiqua" w:hAnsi="Book Antiqua"/>
          <w:color w:val="000000" w:themeColor="text1"/>
          <w:sz w:val="24"/>
          <w:szCs w:val="24"/>
        </w:rPr>
        <w:t>United States</w:t>
      </w:r>
      <w:r w:rsidRPr="00B43A8C">
        <w:rPr>
          <w:rFonts w:ascii="Book Antiqua" w:hAnsi="Book Antiqua"/>
          <w:color w:val="000000" w:themeColor="text1"/>
          <w:sz w:val="24"/>
          <w:szCs w:val="24"/>
        </w:rPr>
        <w:t xml:space="preserve">). Transient transfection was performed to establish each cell mixture using Lipofectamine 2000 (Invitrogen). Stable clones were selected by culturing with aminoglycoside antibiotic G418 for 10 d, and at least two different clones were </w:t>
      </w:r>
      <w:r w:rsidR="00CF59C0" w:rsidRPr="00B43A8C">
        <w:rPr>
          <w:rFonts w:ascii="Book Antiqua" w:hAnsi="Book Antiqua"/>
          <w:color w:val="000000" w:themeColor="text1"/>
          <w:sz w:val="24"/>
          <w:szCs w:val="24"/>
        </w:rPr>
        <w:t>generated</w:t>
      </w:r>
      <w:r w:rsidRPr="00B43A8C">
        <w:rPr>
          <w:rFonts w:ascii="Book Antiqua" w:hAnsi="Book Antiqua"/>
          <w:color w:val="000000" w:themeColor="text1"/>
          <w:sz w:val="24"/>
          <w:szCs w:val="24"/>
        </w:rPr>
        <w:t xml:space="preserve"> for each cell line. Human monocytic THP-1 cells were purchased from </w:t>
      </w:r>
      <w:bookmarkStart w:id="45" w:name="OLE_LINK42"/>
      <w:bookmarkStart w:id="46" w:name="OLE_LINK46"/>
      <w:r w:rsidRPr="00B43A8C">
        <w:rPr>
          <w:rFonts w:ascii="Book Antiqua" w:hAnsi="Book Antiqua"/>
          <w:color w:val="000000" w:themeColor="text1"/>
          <w:sz w:val="24"/>
          <w:szCs w:val="24"/>
        </w:rPr>
        <w:t>ATCC</w:t>
      </w:r>
      <w:bookmarkEnd w:id="45"/>
      <w:bookmarkEnd w:id="46"/>
      <w:r w:rsidRPr="00B43A8C">
        <w:rPr>
          <w:rFonts w:ascii="Book Antiqua" w:hAnsi="Book Antiqua"/>
          <w:color w:val="000000" w:themeColor="text1"/>
          <w:sz w:val="24"/>
          <w:szCs w:val="24"/>
        </w:rPr>
        <w:t xml:space="preserve"> and maintained in RPMI-1640 medium supplemented with 10% FBS. M2-polarized THP-1 cells were</w:t>
      </w:r>
      <w:r w:rsidR="00802499">
        <w:rPr>
          <w:rFonts w:ascii="Book Antiqua" w:hAnsi="Book Antiqua"/>
          <w:color w:val="000000" w:themeColor="text1"/>
          <w:sz w:val="24"/>
          <w:szCs w:val="24"/>
        </w:rPr>
        <w:t xml:space="preserve"> generated by treatment 50 ng/mL</w:t>
      </w:r>
      <w:r w:rsidRPr="00B43A8C">
        <w:rPr>
          <w:rFonts w:ascii="Book Antiqua" w:hAnsi="Book Antiqua"/>
          <w:color w:val="000000" w:themeColor="text1"/>
          <w:sz w:val="24"/>
          <w:szCs w:val="24"/>
        </w:rPr>
        <w:t xml:space="preserve"> phorbol myristate acetate (PMA, Sigma-Aldrich, St. Louis, MO, </w:t>
      </w:r>
      <w:r w:rsidR="00802499">
        <w:rPr>
          <w:rFonts w:ascii="Book Antiqua" w:hAnsi="Book Antiqua"/>
          <w:color w:val="000000" w:themeColor="text1"/>
          <w:sz w:val="24"/>
          <w:szCs w:val="24"/>
        </w:rPr>
        <w:t>United States</w:t>
      </w:r>
      <w:r w:rsidRPr="00B43A8C">
        <w:rPr>
          <w:rFonts w:ascii="Book Antiqua" w:hAnsi="Book Antiqua"/>
          <w:color w:val="000000" w:themeColor="text1"/>
          <w:sz w:val="24"/>
          <w:szCs w:val="24"/>
        </w:rPr>
        <w:t>) for 24 h foll</w:t>
      </w:r>
      <w:r w:rsidR="00802499">
        <w:rPr>
          <w:rFonts w:ascii="Book Antiqua" w:hAnsi="Book Antiqua"/>
          <w:color w:val="000000" w:themeColor="text1"/>
          <w:sz w:val="24"/>
          <w:szCs w:val="24"/>
        </w:rPr>
        <w:t>owed by incubation with 25 ng/mL</w:t>
      </w:r>
      <w:r w:rsidRPr="00B43A8C">
        <w:rPr>
          <w:rFonts w:ascii="Book Antiqua" w:hAnsi="Book Antiqua"/>
          <w:color w:val="000000" w:themeColor="text1"/>
          <w:sz w:val="24"/>
          <w:szCs w:val="24"/>
        </w:rPr>
        <w:t xml:space="preserve"> </w:t>
      </w:r>
      <w:r w:rsidR="00802499">
        <w:rPr>
          <w:rFonts w:ascii="Book Antiqua" w:hAnsi="Book Antiqua"/>
          <w:color w:val="000000" w:themeColor="text1"/>
          <w:sz w:val="24"/>
          <w:szCs w:val="24"/>
        </w:rPr>
        <w:t>interleukin (</w:t>
      </w:r>
      <w:r w:rsidRPr="00B43A8C">
        <w:rPr>
          <w:rFonts w:ascii="Book Antiqua" w:hAnsi="Book Antiqua"/>
          <w:color w:val="000000" w:themeColor="text1"/>
          <w:sz w:val="24"/>
          <w:szCs w:val="24"/>
        </w:rPr>
        <w:t>IL</w:t>
      </w:r>
      <w:r w:rsidR="00802499">
        <w:rPr>
          <w:rFonts w:ascii="Book Antiqua" w:hAnsi="Book Antiqua"/>
          <w:color w:val="000000" w:themeColor="text1"/>
          <w:sz w:val="24"/>
          <w:szCs w:val="24"/>
        </w:rPr>
        <w:t>)-4 and 25 ng/mL</w:t>
      </w:r>
      <w:r w:rsidRPr="00B43A8C">
        <w:rPr>
          <w:rFonts w:ascii="Book Antiqua" w:hAnsi="Book Antiqua"/>
          <w:color w:val="000000" w:themeColor="text1"/>
          <w:sz w:val="24"/>
          <w:szCs w:val="24"/>
        </w:rPr>
        <w:t xml:space="preserve"> IL-13 for 18</w:t>
      </w:r>
      <w:r w:rsidR="00802499">
        <w:rPr>
          <w:rFonts w:ascii="Book Antiqua" w:hAnsi="Book Antiqua"/>
          <w:color w:val="000000" w:themeColor="text1"/>
          <w:sz w:val="24"/>
          <w:szCs w:val="24"/>
        </w:rPr>
        <w:t xml:space="preserve"> </w:t>
      </w:r>
      <w:r w:rsidRPr="00B43A8C">
        <w:rPr>
          <w:rFonts w:ascii="Book Antiqua" w:hAnsi="Book Antiqua"/>
          <w:color w:val="000000" w:themeColor="text1"/>
          <w:sz w:val="24"/>
          <w:szCs w:val="24"/>
        </w:rPr>
        <w:t>h. For lipopolysaccharide (LPS)-mediated THP-1 activation, cells were plated at a concentration of 1</w:t>
      </w:r>
      <w:r w:rsidR="00802499">
        <w:rPr>
          <w:rFonts w:ascii="Book Antiqua" w:hAnsi="Book Antiqua"/>
          <w:color w:val="000000" w:themeColor="text1"/>
          <w:sz w:val="24"/>
          <w:szCs w:val="24"/>
        </w:rPr>
        <w:t xml:space="preserve"> </w:t>
      </w:r>
      <w:r w:rsidR="00802499" w:rsidRPr="00802499">
        <w:rPr>
          <w:rFonts w:ascii="Book Antiqua" w:eastAsia="MS Mincho" w:hAnsi="Book Antiqua" w:cs="MS Mincho"/>
          <w:color w:val="000000" w:themeColor="text1"/>
          <w:sz w:val="24"/>
          <w:szCs w:val="24"/>
        </w:rPr>
        <w:t>×</w:t>
      </w:r>
      <w:r w:rsidR="00802499">
        <w:rPr>
          <w:rFonts w:ascii="Book Antiqua" w:eastAsia="MS Mincho" w:hAnsi="Book Antiqua" w:cs="MS Mincho"/>
          <w:color w:val="000000" w:themeColor="text1"/>
          <w:sz w:val="24"/>
          <w:szCs w:val="24"/>
        </w:rPr>
        <w:t xml:space="preserve"> </w:t>
      </w:r>
      <w:r w:rsidRPr="00B43A8C">
        <w:rPr>
          <w:rFonts w:ascii="Book Antiqua" w:hAnsi="Book Antiqua"/>
          <w:color w:val="000000" w:themeColor="text1"/>
          <w:sz w:val="24"/>
          <w:szCs w:val="24"/>
        </w:rPr>
        <w:t>10</w:t>
      </w:r>
      <w:r w:rsidRPr="00B43A8C">
        <w:rPr>
          <w:rFonts w:ascii="Book Antiqua" w:hAnsi="Book Antiqua"/>
          <w:color w:val="000000" w:themeColor="text1"/>
          <w:sz w:val="24"/>
          <w:szCs w:val="24"/>
          <w:vertAlign w:val="superscript"/>
        </w:rPr>
        <w:t>4</w:t>
      </w:r>
      <w:r w:rsidRPr="00B43A8C">
        <w:rPr>
          <w:rFonts w:ascii="Book Antiqua" w:hAnsi="Book Antiqua"/>
          <w:color w:val="000000" w:themeColor="text1"/>
          <w:sz w:val="24"/>
          <w:szCs w:val="24"/>
        </w:rPr>
        <w:t xml:space="preserve"> cells/</w:t>
      </w:r>
      <w:r w:rsidR="00802499">
        <w:rPr>
          <w:rFonts w:ascii="Book Antiqua" w:hAnsi="Book Antiqua"/>
          <w:color w:val="000000" w:themeColor="text1"/>
          <w:sz w:val="24"/>
          <w:szCs w:val="24"/>
        </w:rPr>
        <w:t xml:space="preserve"> well in the presence of 1 </w:t>
      </w:r>
      <w:r w:rsidR="00802499">
        <w:rPr>
          <w:rFonts w:ascii="Book Antiqua" w:hAnsi="Book Antiqua"/>
          <w:color w:val="000000" w:themeColor="text1"/>
          <w:sz w:val="24"/>
          <w:szCs w:val="24"/>
          <w:lang w:val="el-GR"/>
        </w:rPr>
        <w:t>μ</w:t>
      </w:r>
      <w:r w:rsidR="00802499">
        <w:rPr>
          <w:rFonts w:ascii="Book Antiqua" w:hAnsi="Book Antiqua"/>
          <w:color w:val="000000" w:themeColor="text1"/>
          <w:sz w:val="24"/>
          <w:szCs w:val="24"/>
        </w:rPr>
        <w:t>g/mL</w:t>
      </w:r>
      <w:r w:rsidRPr="00B43A8C">
        <w:rPr>
          <w:rFonts w:ascii="Book Antiqua" w:hAnsi="Book Antiqua"/>
          <w:color w:val="000000" w:themeColor="text1"/>
          <w:sz w:val="24"/>
          <w:szCs w:val="24"/>
        </w:rPr>
        <w:t xml:space="preserve"> LPS for 18</w:t>
      </w:r>
      <w:r w:rsidR="00802499">
        <w:rPr>
          <w:rFonts w:ascii="Book Antiqua" w:hAnsi="Book Antiqua"/>
          <w:color w:val="000000" w:themeColor="text1"/>
          <w:sz w:val="24"/>
          <w:szCs w:val="24"/>
        </w:rPr>
        <w:t xml:space="preserve"> </w:t>
      </w:r>
      <w:r w:rsidRPr="00B43A8C">
        <w:rPr>
          <w:rFonts w:ascii="Book Antiqua" w:hAnsi="Book Antiqua"/>
          <w:color w:val="000000" w:themeColor="text1"/>
          <w:sz w:val="24"/>
          <w:szCs w:val="24"/>
        </w:rPr>
        <w:t xml:space="preserve">h. </w:t>
      </w:r>
    </w:p>
    <w:p w14:paraId="683CB559" w14:textId="77777777" w:rsidR="00DB03D6" w:rsidRPr="00B43A8C" w:rsidRDefault="00DB03D6" w:rsidP="00B43A8C">
      <w:pPr>
        <w:wordWrap/>
        <w:adjustRightInd w:val="0"/>
        <w:snapToGrid w:val="0"/>
        <w:spacing w:line="360" w:lineRule="auto"/>
        <w:ind w:firstLineChars="200" w:firstLine="480"/>
        <w:rPr>
          <w:rFonts w:ascii="Book Antiqua" w:hAnsi="Book Antiqua"/>
          <w:color w:val="000000" w:themeColor="text1"/>
          <w:sz w:val="24"/>
          <w:szCs w:val="24"/>
        </w:rPr>
      </w:pPr>
    </w:p>
    <w:p w14:paraId="7C0603FA" w14:textId="77777777" w:rsidR="00DB03D6" w:rsidRPr="00B43A8C" w:rsidRDefault="00DB03D6" w:rsidP="00EF65CB">
      <w:pPr>
        <w:wordWrap/>
        <w:adjustRightInd w:val="0"/>
        <w:snapToGrid w:val="0"/>
        <w:spacing w:line="360" w:lineRule="auto"/>
        <w:outlineLvl w:val="0"/>
        <w:rPr>
          <w:rFonts w:ascii="Book Antiqua" w:hAnsi="Book Antiqua"/>
          <w:b/>
          <w:i/>
          <w:color w:val="000000" w:themeColor="text1"/>
          <w:sz w:val="24"/>
          <w:szCs w:val="24"/>
        </w:rPr>
      </w:pPr>
      <w:r w:rsidRPr="00B43A8C">
        <w:rPr>
          <w:rFonts w:ascii="Book Antiqua" w:hAnsi="Book Antiqua"/>
          <w:b/>
          <w:i/>
          <w:color w:val="000000" w:themeColor="text1"/>
          <w:sz w:val="24"/>
          <w:szCs w:val="24"/>
        </w:rPr>
        <w:t>Co-culturing of THP-1 cells and CRC cells</w:t>
      </w:r>
    </w:p>
    <w:p w14:paraId="0DD37633" w14:textId="5819C387" w:rsidR="00DB03D6" w:rsidRPr="00B43A8C" w:rsidRDefault="00DB03D6" w:rsidP="00802499">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color w:val="000000" w:themeColor="text1"/>
          <w:sz w:val="24"/>
          <w:szCs w:val="24"/>
        </w:rPr>
        <w:t xml:space="preserve">DLD-1, RKO, HCT116 and HT29 cells were co-cultured with THP-1 cells using </w:t>
      </w:r>
      <w:proofErr w:type="spellStart"/>
      <w:r w:rsidRPr="00B43A8C">
        <w:rPr>
          <w:rFonts w:ascii="Book Antiqua" w:hAnsi="Book Antiqua"/>
          <w:color w:val="000000" w:themeColor="text1"/>
          <w:sz w:val="24"/>
          <w:szCs w:val="24"/>
        </w:rPr>
        <w:t>Transwell</w:t>
      </w:r>
      <w:proofErr w:type="spellEnd"/>
      <w:r w:rsidRPr="00B43A8C">
        <w:rPr>
          <w:rFonts w:ascii="Book Antiqua" w:hAnsi="Book Antiqua"/>
          <w:color w:val="000000" w:themeColor="text1"/>
          <w:sz w:val="24"/>
          <w:szCs w:val="24"/>
        </w:rPr>
        <w:t xml:space="preserve"> inserts (Becton Dickinson, Franklin Lakes, NJ, </w:t>
      </w:r>
      <w:r w:rsidR="00802499">
        <w:rPr>
          <w:rFonts w:ascii="Book Antiqua" w:hAnsi="Book Antiqua"/>
          <w:color w:val="000000" w:themeColor="text1"/>
          <w:sz w:val="24"/>
          <w:szCs w:val="24"/>
        </w:rPr>
        <w:t>United States</w:t>
      </w:r>
      <w:r w:rsidRPr="00B43A8C">
        <w:rPr>
          <w:rFonts w:ascii="Book Antiqua" w:hAnsi="Book Antiqua"/>
          <w:color w:val="000000" w:themeColor="text1"/>
          <w:sz w:val="24"/>
          <w:szCs w:val="24"/>
        </w:rPr>
        <w:t xml:space="preserve">) with a 0.4 </w:t>
      </w:r>
      <w:proofErr w:type="spellStart"/>
      <w:r w:rsidR="00802499">
        <w:rPr>
          <w:rFonts w:ascii="Book Antiqua" w:hAnsi="Book Antiqua"/>
          <w:color w:val="000000" w:themeColor="text1"/>
          <w:sz w:val="24"/>
          <w:szCs w:val="24"/>
        </w:rPr>
        <w:t>μ</w:t>
      </w:r>
      <w:r w:rsidRPr="00B43A8C">
        <w:rPr>
          <w:rFonts w:ascii="Book Antiqua" w:hAnsi="Book Antiqua"/>
          <w:color w:val="000000" w:themeColor="text1"/>
          <w:sz w:val="24"/>
          <w:szCs w:val="24"/>
        </w:rPr>
        <w:t>m</w:t>
      </w:r>
      <w:proofErr w:type="spellEnd"/>
      <w:r w:rsidRPr="00B43A8C">
        <w:rPr>
          <w:rFonts w:ascii="Book Antiqua" w:hAnsi="Book Antiqua"/>
          <w:color w:val="000000" w:themeColor="text1"/>
          <w:sz w:val="24"/>
          <w:szCs w:val="24"/>
        </w:rPr>
        <w:t xml:space="preserve"> porous membrane to create separate upper and lower chambers</w:t>
      </w:r>
      <w:r w:rsidR="00C63483" w:rsidRPr="00B43A8C">
        <w:rPr>
          <w:rFonts w:ascii="Book Antiqua" w:hAnsi="Book Antiqua"/>
          <w:color w:val="000000" w:themeColor="text1"/>
          <w:sz w:val="24"/>
          <w:szCs w:val="24"/>
        </w:rPr>
        <w:t>.</w:t>
      </w:r>
      <w:r w:rsidR="00841E31" w:rsidRPr="00B43A8C">
        <w:rPr>
          <w:rFonts w:ascii="Book Antiqua" w:hAnsi="Book Antiqua"/>
          <w:color w:val="000000" w:themeColor="text1"/>
          <w:sz w:val="24"/>
          <w:szCs w:val="24"/>
        </w:rPr>
        <w:t xml:space="preserve"> </w:t>
      </w:r>
      <w:r w:rsidRPr="00B43A8C">
        <w:rPr>
          <w:rFonts w:ascii="Book Antiqua" w:hAnsi="Book Antiqua"/>
          <w:color w:val="000000" w:themeColor="text1"/>
          <w:sz w:val="24"/>
          <w:szCs w:val="24"/>
        </w:rPr>
        <w:t>CRC cells were cultured in the lower chamber at 1</w:t>
      </w:r>
      <w:r w:rsidR="00802499">
        <w:rPr>
          <w:rFonts w:ascii="Book Antiqua" w:hAnsi="Book Antiqua"/>
          <w:color w:val="000000" w:themeColor="text1"/>
          <w:sz w:val="24"/>
          <w:szCs w:val="24"/>
        </w:rPr>
        <w:t xml:space="preserve"> </w:t>
      </w:r>
      <w:r w:rsidR="00802499" w:rsidRPr="00802499">
        <w:rPr>
          <w:rFonts w:ascii="Book Antiqua" w:eastAsia="MS Mincho" w:hAnsi="Book Antiqua" w:cs="MS Mincho"/>
          <w:color w:val="000000" w:themeColor="text1"/>
          <w:sz w:val="24"/>
          <w:szCs w:val="24"/>
        </w:rPr>
        <w:t>×</w:t>
      </w:r>
      <w:r w:rsidR="00802499">
        <w:rPr>
          <w:rFonts w:ascii="Book Antiqua" w:eastAsia="MS Mincho" w:hAnsi="Book Antiqua" w:cs="MS Mincho"/>
          <w:color w:val="000000" w:themeColor="text1"/>
          <w:sz w:val="24"/>
          <w:szCs w:val="24"/>
        </w:rPr>
        <w:t xml:space="preserve"> </w:t>
      </w:r>
      <w:r w:rsidRPr="00B43A8C">
        <w:rPr>
          <w:rFonts w:ascii="Book Antiqua" w:hAnsi="Book Antiqua"/>
          <w:color w:val="000000" w:themeColor="text1"/>
          <w:sz w:val="24"/>
          <w:szCs w:val="24"/>
        </w:rPr>
        <w:t>10</w:t>
      </w:r>
      <w:r w:rsidRPr="00B43A8C">
        <w:rPr>
          <w:rFonts w:ascii="Book Antiqua" w:hAnsi="Book Antiqua"/>
          <w:color w:val="000000" w:themeColor="text1"/>
          <w:sz w:val="24"/>
          <w:szCs w:val="24"/>
          <w:vertAlign w:val="superscript"/>
        </w:rPr>
        <w:t>4</w:t>
      </w:r>
      <w:r w:rsidR="00802499">
        <w:rPr>
          <w:rFonts w:ascii="Book Antiqua" w:hAnsi="Book Antiqua"/>
          <w:color w:val="000000" w:themeColor="text1"/>
          <w:sz w:val="24"/>
          <w:szCs w:val="24"/>
        </w:rPr>
        <w:t xml:space="preserve"> cells/mL</w:t>
      </w:r>
      <w:r w:rsidRPr="00B43A8C">
        <w:rPr>
          <w:rFonts w:ascii="Book Antiqua" w:hAnsi="Book Antiqua"/>
          <w:color w:val="000000" w:themeColor="text1"/>
          <w:sz w:val="24"/>
          <w:szCs w:val="24"/>
        </w:rPr>
        <w:t xml:space="preserve">, and THP-1 cells were cultured in the upper chamber. CRC cells and THP-1 cells were collected 5 d after co-culture (Supplementary Figure </w:t>
      </w:r>
      <w:r w:rsidR="00C63483" w:rsidRPr="00B43A8C">
        <w:rPr>
          <w:rFonts w:ascii="Book Antiqua" w:hAnsi="Book Antiqua"/>
          <w:color w:val="000000" w:themeColor="text1"/>
          <w:sz w:val="24"/>
          <w:szCs w:val="24"/>
        </w:rPr>
        <w:t>3</w:t>
      </w:r>
      <w:r w:rsidRPr="00B43A8C">
        <w:rPr>
          <w:rFonts w:ascii="Book Antiqua" w:hAnsi="Book Antiqua"/>
          <w:color w:val="000000" w:themeColor="text1"/>
          <w:sz w:val="24"/>
          <w:szCs w:val="24"/>
        </w:rPr>
        <w:t>).</w:t>
      </w:r>
    </w:p>
    <w:p w14:paraId="046A370E" w14:textId="77777777" w:rsidR="00DB03D6" w:rsidRPr="00B43A8C" w:rsidRDefault="00DB03D6" w:rsidP="00B43A8C">
      <w:pPr>
        <w:wordWrap/>
        <w:adjustRightInd w:val="0"/>
        <w:snapToGrid w:val="0"/>
        <w:spacing w:line="360" w:lineRule="auto"/>
        <w:ind w:firstLineChars="200" w:firstLine="480"/>
        <w:rPr>
          <w:rFonts w:ascii="Book Antiqua" w:hAnsi="Book Antiqua"/>
          <w:color w:val="000000" w:themeColor="text1"/>
          <w:sz w:val="24"/>
          <w:szCs w:val="24"/>
        </w:rPr>
      </w:pPr>
    </w:p>
    <w:p w14:paraId="79CED439" w14:textId="1EB8CBE6" w:rsidR="00DB03D6" w:rsidRPr="00B43A8C" w:rsidRDefault="00DB03D6" w:rsidP="00EF65CB">
      <w:pPr>
        <w:wordWrap/>
        <w:adjustRightInd w:val="0"/>
        <w:snapToGrid w:val="0"/>
        <w:spacing w:line="360" w:lineRule="auto"/>
        <w:outlineLvl w:val="0"/>
        <w:rPr>
          <w:rFonts w:ascii="Book Antiqua" w:hAnsi="Book Antiqua"/>
          <w:b/>
          <w:i/>
          <w:color w:val="000000" w:themeColor="text1"/>
          <w:sz w:val="24"/>
          <w:szCs w:val="24"/>
        </w:rPr>
      </w:pPr>
      <w:r w:rsidRPr="00B43A8C">
        <w:rPr>
          <w:rFonts w:ascii="Book Antiqua" w:hAnsi="Book Antiqua"/>
          <w:b/>
          <w:i/>
          <w:color w:val="000000" w:themeColor="text1"/>
          <w:sz w:val="24"/>
          <w:szCs w:val="24"/>
        </w:rPr>
        <w:t>Immunofluorescence staining</w:t>
      </w:r>
    </w:p>
    <w:p w14:paraId="0EB07B22" w14:textId="7F41A715" w:rsidR="00DB03D6" w:rsidRPr="00B43A8C" w:rsidRDefault="00DB03D6" w:rsidP="00802499">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color w:val="000000" w:themeColor="text1"/>
          <w:sz w:val="24"/>
          <w:szCs w:val="24"/>
        </w:rPr>
        <w:t xml:space="preserve">Adherent CRC cells collected after 5 d of co-culture were seeded on 96-well plates coated with collagen type I (Greiner Bio-One #655956, </w:t>
      </w:r>
      <w:proofErr w:type="spellStart"/>
      <w:r w:rsidRPr="00B43A8C">
        <w:rPr>
          <w:rFonts w:ascii="Book Antiqua" w:hAnsi="Book Antiqua"/>
          <w:color w:val="000000" w:themeColor="text1"/>
          <w:sz w:val="24"/>
          <w:szCs w:val="24"/>
        </w:rPr>
        <w:t>Frickenhansen</w:t>
      </w:r>
      <w:proofErr w:type="spellEnd"/>
      <w:r w:rsidRPr="00B43A8C">
        <w:rPr>
          <w:rFonts w:ascii="Book Antiqua" w:hAnsi="Book Antiqua"/>
          <w:color w:val="000000" w:themeColor="text1"/>
          <w:sz w:val="24"/>
          <w:szCs w:val="24"/>
        </w:rPr>
        <w:t>, Germany). Cel</w:t>
      </w:r>
      <w:r w:rsidR="00802499">
        <w:rPr>
          <w:rFonts w:ascii="Book Antiqua" w:hAnsi="Book Antiqua"/>
          <w:color w:val="000000" w:themeColor="text1"/>
          <w:sz w:val="24"/>
          <w:szCs w:val="24"/>
        </w:rPr>
        <w:t>ls were fixed for 30 min with 4</w:t>
      </w:r>
      <w:r w:rsidRPr="00B43A8C">
        <w:rPr>
          <w:rFonts w:ascii="Book Antiqua" w:hAnsi="Book Antiqua"/>
          <w:color w:val="000000" w:themeColor="text1"/>
          <w:sz w:val="24"/>
          <w:szCs w:val="24"/>
        </w:rPr>
        <w:t xml:space="preserve">% paraformaldehyde in ice-cold </w:t>
      </w:r>
      <w:r w:rsidR="00802499" w:rsidRPr="00B43A8C">
        <w:rPr>
          <w:rFonts w:ascii="Book Antiqua" w:hAnsi="Book Antiqua"/>
          <w:color w:val="000000" w:themeColor="text1"/>
          <w:sz w:val="24"/>
          <w:szCs w:val="24"/>
        </w:rPr>
        <w:t>phosphate-buffered saline (PBS)</w:t>
      </w:r>
      <w:r w:rsidR="00802499">
        <w:rPr>
          <w:rFonts w:ascii="Book Antiqua" w:hAnsi="Book Antiqua"/>
          <w:color w:val="000000" w:themeColor="text1"/>
          <w:sz w:val="24"/>
          <w:szCs w:val="24"/>
        </w:rPr>
        <w:t>, quenched for 5 min with 50 mmol/L</w:t>
      </w:r>
      <w:r w:rsidRPr="00B43A8C">
        <w:rPr>
          <w:rFonts w:ascii="Book Antiqua" w:hAnsi="Book Antiqua"/>
          <w:color w:val="000000" w:themeColor="text1"/>
          <w:sz w:val="24"/>
          <w:szCs w:val="24"/>
        </w:rPr>
        <w:t xml:space="preserve"> NH</w:t>
      </w:r>
      <w:r w:rsidRPr="00B43A8C">
        <w:rPr>
          <w:rFonts w:ascii="Book Antiqua" w:hAnsi="Book Antiqua"/>
          <w:color w:val="000000" w:themeColor="text1"/>
          <w:sz w:val="24"/>
          <w:szCs w:val="24"/>
          <w:vertAlign w:val="subscript"/>
        </w:rPr>
        <w:t>4</w:t>
      </w:r>
      <w:r w:rsidRPr="00B43A8C">
        <w:rPr>
          <w:rFonts w:ascii="Book Antiqua" w:hAnsi="Book Antiqua"/>
          <w:color w:val="000000" w:themeColor="text1"/>
          <w:sz w:val="24"/>
          <w:szCs w:val="24"/>
        </w:rPr>
        <w:t>Cl, and incubated overnight at 4</w:t>
      </w:r>
      <w:r w:rsidR="00802499">
        <w:rPr>
          <w:rFonts w:ascii="Book Antiqua" w:hAnsi="Book Antiqua"/>
          <w:color w:val="000000" w:themeColor="text1"/>
          <w:sz w:val="24"/>
          <w:szCs w:val="24"/>
        </w:rPr>
        <w:t xml:space="preserve"> </w:t>
      </w:r>
      <w:r w:rsidR="00802499">
        <w:rPr>
          <w:rFonts w:ascii="MS Mincho" w:eastAsia="MS Mincho" w:hAnsi="MS Mincho" w:cs="MS Mincho"/>
          <w:color w:val="000000" w:themeColor="text1"/>
          <w:sz w:val="24"/>
          <w:szCs w:val="24"/>
        </w:rPr>
        <w:t>℃</w:t>
      </w:r>
      <w:r w:rsidRPr="00B43A8C">
        <w:rPr>
          <w:rFonts w:ascii="Book Antiqua" w:hAnsi="Book Antiqua"/>
          <w:color w:val="000000" w:themeColor="text1"/>
          <w:sz w:val="24"/>
          <w:szCs w:val="24"/>
        </w:rPr>
        <w:t xml:space="preserve"> with primary an</w:t>
      </w:r>
      <w:r w:rsidR="00802499">
        <w:rPr>
          <w:rFonts w:ascii="Book Antiqua" w:hAnsi="Book Antiqua"/>
          <w:color w:val="000000" w:themeColor="text1"/>
          <w:sz w:val="24"/>
          <w:szCs w:val="24"/>
        </w:rPr>
        <w:t>tibody diluted 1:100 in 5</w:t>
      </w:r>
      <w:r w:rsidRPr="00B43A8C">
        <w:rPr>
          <w:rFonts w:ascii="Book Antiqua" w:hAnsi="Book Antiqua"/>
          <w:color w:val="000000" w:themeColor="text1"/>
          <w:sz w:val="24"/>
          <w:szCs w:val="24"/>
        </w:rPr>
        <w:t xml:space="preserve">% normal goat serum (NGS) in </w:t>
      </w:r>
      <w:r w:rsidR="00802499">
        <w:rPr>
          <w:rFonts w:ascii="Book Antiqua" w:hAnsi="Book Antiqua"/>
          <w:color w:val="000000" w:themeColor="text1"/>
          <w:sz w:val="24"/>
          <w:szCs w:val="24"/>
        </w:rPr>
        <w:t>PBS</w:t>
      </w:r>
      <w:r w:rsidRPr="00B43A8C">
        <w:rPr>
          <w:rFonts w:ascii="Book Antiqua" w:hAnsi="Book Antiqua"/>
          <w:color w:val="000000" w:themeColor="text1"/>
          <w:sz w:val="24"/>
          <w:szCs w:val="24"/>
        </w:rPr>
        <w:t xml:space="preserve">. Cells were washed three times with PBS and incubated for 1 h with secondary antibody at 1:500 dilution. Primary and secondary antibodies used in </w:t>
      </w:r>
      <w:r w:rsidR="00802499">
        <w:rPr>
          <w:rFonts w:ascii="Book Antiqua" w:hAnsi="Book Antiqua"/>
          <w:color w:val="000000" w:themeColor="text1"/>
          <w:sz w:val="24"/>
          <w:szCs w:val="24"/>
        </w:rPr>
        <w:t>i</w:t>
      </w:r>
      <w:r w:rsidR="00802499" w:rsidRPr="00802499">
        <w:rPr>
          <w:rFonts w:ascii="Book Antiqua" w:hAnsi="Book Antiqua"/>
          <w:color w:val="000000" w:themeColor="text1"/>
          <w:sz w:val="24"/>
          <w:szCs w:val="24"/>
        </w:rPr>
        <w:t>mmunofluorescence staining (IFS)</w:t>
      </w:r>
      <w:r w:rsidRPr="00B43A8C">
        <w:rPr>
          <w:rFonts w:ascii="Book Antiqua" w:hAnsi="Book Antiqua"/>
          <w:color w:val="000000" w:themeColor="text1"/>
          <w:sz w:val="24"/>
          <w:szCs w:val="24"/>
        </w:rPr>
        <w:t xml:space="preserve"> were listed in Supp</w:t>
      </w:r>
      <w:r w:rsidR="00802499">
        <w:rPr>
          <w:rFonts w:ascii="Book Antiqua" w:hAnsi="Book Antiqua"/>
          <w:color w:val="000000" w:themeColor="text1"/>
          <w:sz w:val="24"/>
          <w:szCs w:val="24"/>
        </w:rPr>
        <w:t>lementary T</w:t>
      </w:r>
      <w:r w:rsidRPr="00B43A8C">
        <w:rPr>
          <w:rFonts w:ascii="Book Antiqua" w:hAnsi="Book Antiqua"/>
          <w:color w:val="000000" w:themeColor="text1"/>
          <w:sz w:val="24"/>
          <w:szCs w:val="24"/>
        </w:rPr>
        <w:t xml:space="preserve">able 3. Cells were then washed three times with PBS, followed by nuclear counterstaining with 2 </w:t>
      </w:r>
      <w:proofErr w:type="spellStart"/>
      <w:r w:rsidR="00802499">
        <w:rPr>
          <w:rFonts w:ascii="Book Antiqua" w:hAnsi="Book Antiqua"/>
          <w:color w:val="000000" w:themeColor="text1"/>
          <w:sz w:val="24"/>
          <w:szCs w:val="24"/>
        </w:rPr>
        <w:lastRenderedPageBreak/>
        <w:t>μg</w:t>
      </w:r>
      <w:proofErr w:type="spellEnd"/>
      <w:r w:rsidR="00802499">
        <w:rPr>
          <w:rFonts w:ascii="Book Antiqua" w:hAnsi="Book Antiqua"/>
          <w:color w:val="000000" w:themeColor="text1"/>
          <w:sz w:val="24"/>
          <w:szCs w:val="24"/>
        </w:rPr>
        <w:t>/mL</w:t>
      </w:r>
      <w:r w:rsidRPr="00B43A8C">
        <w:rPr>
          <w:rFonts w:ascii="Book Antiqua" w:hAnsi="Book Antiqua"/>
          <w:color w:val="000000" w:themeColor="text1"/>
          <w:sz w:val="24"/>
          <w:szCs w:val="24"/>
        </w:rPr>
        <w:t xml:space="preserve"> DAPI for 1 min. </w:t>
      </w:r>
    </w:p>
    <w:p w14:paraId="23707489" w14:textId="77777777" w:rsidR="00DB03D6" w:rsidRPr="00B43A8C" w:rsidRDefault="00DB03D6" w:rsidP="00B43A8C">
      <w:pPr>
        <w:wordWrap/>
        <w:adjustRightInd w:val="0"/>
        <w:snapToGrid w:val="0"/>
        <w:spacing w:line="360" w:lineRule="auto"/>
        <w:ind w:firstLineChars="200" w:firstLine="480"/>
        <w:rPr>
          <w:rFonts w:ascii="Book Antiqua" w:hAnsi="Book Antiqua"/>
          <w:color w:val="000000" w:themeColor="text1"/>
          <w:sz w:val="24"/>
          <w:szCs w:val="24"/>
        </w:rPr>
      </w:pPr>
    </w:p>
    <w:p w14:paraId="2C33738D" w14:textId="77777777" w:rsidR="00DB03D6" w:rsidRPr="00B43A8C" w:rsidRDefault="00DB03D6" w:rsidP="00EF65CB">
      <w:pPr>
        <w:wordWrap/>
        <w:adjustRightInd w:val="0"/>
        <w:snapToGrid w:val="0"/>
        <w:spacing w:line="360" w:lineRule="auto"/>
        <w:outlineLvl w:val="0"/>
        <w:rPr>
          <w:rFonts w:ascii="Book Antiqua" w:hAnsi="Book Antiqua"/>
          <w:b/>
          <w:i/>
          <w:color w:val="000000" w:themeColor="text1"/>
          <w:sz w:val="24"/>
          <w:szCs w:val="24"/>
        </w:rPr>
      </w:pPr>
      <w:r w:rsidRPr="00B43A8C">
        <w:rPr>
          <w:rFonts w:ascii="Book Antiqua" w:hAnsi="Book Antiqua"/>
          <w:b/>
          <w:i/>
          <w:color w:val="000000" w:themeColor="text1"/>
          <w:sz w:val="24"/>
          <w:szCs w:val="24"/>
        </w:rPr>
        <w:t>High-throughput imaging</w:t>
      </w:r>
    </w:p>
    <w:p w14:paraId="4CE4C283" w14:textId="1136C54F" w:rsidR="00DB03D6" w:rsidRPr="00B43A8C" w:rsidRDefault="00DB03D6" w:rsidP="00802499">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color w:val="000000" w:themeColor="text1"/>
          <w:sz w:val="24"/>
          <w:szCs w:val="24"/>
        </w:rPr>
        <w:t xml:space="preserve">Stained 96-well plates were imaged with a high-content wide-field fluorescence imaging system coupled to Harmony software version 3.5 (Operetta: PerkinElmer, </w:t>
      </w:r>
      <w:r w:rsidR="00802499">
        <w:rPr>
          <w:rFonts w:ascii="Book Antiqua" w:hAnsi="Book Antiqua"/>
          <w:color w:val="000000" w:themeColor="text1"/>
          <w:sz w:val="24"/>
          <w:szCs w:val="24"/>
        </w:rPr>
        <w:t>Waltham, MA, United States</w:t>
      </w:r>
      <w:r w:rsidRPr="00B43A8C">
        <w:rPr>
          <w:rFonts w:ascii="Book Antiqua" w:hAnsi="Book Antiqua"/>
          <w:color w:val="000000" w:themeColor="text1"/>
          <w:sz w:val="24"/>
          <w:szCs w:val="24"/>
        </w:rPr>
        <w:t>). Wells were imaged with a ×</w:t>
      </w:r>
      <w:r w:rsidR="00802499">
        <w:rPr>
          <w:rFonts w:ascii="Book Antiqua" w:hAnsi="Book Antiqua"/>
          <w:color w:val="000000" w:themeColor="text1"/>
          <w:sz w:val="24"/>
          <w:szCs w:val="24"/>
        </w:rPr>
        <w:t xml:space="preserve"> </w:t>
      </w:r>
      <w:r w:rsidRPr="00B43A8C">
        <w:rPr>
          <w:rFonts w:ascii="Book Antiqua" w:hAnsi="Book Antiqua"/>
          <w:color w:val="000000" w:themeColor="text1"/>
          <w:sz w:val="24"/>
          <w:szCs w:val="24"/>
        </w:rPr>
        <w:t>40 objective lens in a single focal plane across each plate. Twelve fields of views (each 510</w:t>
      </w:r>
      <w:r w:rsidR="00802499">
        <w:rPr>
          <w:rFonts w:ascii="Book Antiqua" w:hAnsi="Book Antiqua"/>
          <w:color w:val="000000" w:themeColor="text1"/>
          <w:sz w:val="24"/>
          <w:szCs w:val="24"/>
        </w:rPr>
        <w:t xml:space="preserve"> </w:t>
      </w:r>
      <w:proofErr w:type="spellStart"/>
      <w:r w:rsidR="00802499">
        <w:rPr>
          <w:rFonts w:ascii="Book Antiqua" w:hAnsi="Book Antiqua"/>
          <w:color w:val="000000" w:themeColor="text1"/>
          <w:sz w:val="24"/>
          <w:szCs w:val="24"/>
        </w:rPr>
        <w:t>μ</w:t>
      </w:r>
      <w:r w:rsidR="00802499" w:rsidRPr="00B43A8C">
        <w:rPr>
          <w:rFonts w:ascii="Book Antiqua" w:hAnsi="Book Antiqua"/>
          <w:color w:val="000000" w:themeColor="text1"/>
          <w:sz w:val="24"/>
          <w:szCs w:val="24"/>
        </w:rPr>
        <w:t>m</w:t>
      </w:r>
      <w:proofErr w:type="spellEnd"/>
      <w:r w:rsidR="00802499" w:rsidRPr="00B43A8C">
        <w:rPr>
          <w:rFonts w:ascii="Book Antiqua" w:hAnsi="Book Antiqua"/>
          <w:color w:val="000000" w:themeColor="text1"/>
          <w:sz w:val="24"/>
          <w:szCs w:val="24"/>
        </w:rPr>
        <w:t xml:space="preserve"> </w:t>
      </w:r>
      <w:r w:rsidRPr="00B43A8C">
        <w:rPr>
          <w:rFonts w:ascii="Book Antiqua" w:hAnsi="Book Antiqua"/>
          <w:color w:val="000000" w:themeColor="text1"/>
          <w:sz w:val="24"/>
          <w:szCs w:val="24"/>
        </w:rPr>
        <w:t>×</w:t>
      </w:r>
      <w:r w:rsidR="00802499">
        <w:rPr>
          <w:rFonts w:ascii="Book Antiqua" w:hAnsi="Book Antiqua"/>
          <w:color w:val="000000" w:themeColor="text1"/>
          <w:sz w:val="24"/>
          <w:szCs w:val="24"/>
        </w:rPr>
        <w:t xml:space="preserve"> </w:t>
      </w:r>
      <w:r w:rsidRPr="00B43A8C">
        <w:rPr>
          <w:rFonts w:ascii="Book Antiqua" w:hAnsi="Book Antiqua"/>
          <w:color w:val="000000" w:themeColor="text1"/>
          <w:sz w:val="24"/>
          <w:szCs w:val="24"/>
        </w:rPr>
        <w:t xml:space="preserve">675 </w:t>
      </w:r>
      <w:bookmarkStart w:id="47" w:name="OLE_LINK47"/>
      <w:bookmarkStart w:id="48" w:name="OLE_LINK48"/>
      <w:proofErr w:type="spellStart"/>
      <w:r w:rsidR="00802499">
        <w:rPr>
          <w:rFonts w:ascii="Book Antiqua" w:hAnsi="Book Antiqua"/>
          <w:color w:val="000000" w:themeColor="text1"/>
          <w:sz w:val="24"/>
          <w:szCs w:val="24"/>
        </w:rPr>
        <w:t>μ</w:t>
      </w:r>
      <w:r w:rsidRPr="00B43A8C">
        <w:rPr>
          <w:rFonts w:ascii="Book Antiqua" w:hAnsi="Book Antiqua"/>
          <w:color w:val="000000" w:themeColor="text1"/>
          <w:sz w:val="24"/>
          <w:szCs w:val="24"/>
        </w:rPr>
        <w:t>m</w:t>
      </w:r>
      <w:bookmarkEnd w:id="47"/>
      <w:bookmarkEnd w:id="48"/>
      <w:proofErr w:type="spellEnd"/>
      <w:r w:rsidRPr="00B43A8C">
        <w:rPr>
          <w:rFonts w:ascii="Book Antiqua" w:hAnsi="Book Antiqua"/>
          <w:color w:val="000000" w:themeColor="text1"/>
          <w:sz w:val="24"/>
          <w:szCs w:val="24"/>
        </w:rPr>
        <w:t>) were imaged per well, with an identical pattern of fields used in every well.</w:t>
      </w:r>
    </w:p>
    <w:p w14:paraId="7F06F0B4" w14:textId="77777777" w:rsidR="00DB03D6" w:rsidRPr="00B43A8C" w:rsidRDefault="00DB03D6" w:rsidP="00B43A8C">
      <w:pPr>
        <w:wordWrap/>
        <w:adjustRightInd w:val="0"/>
        <w:snapToGrid w:val="0"/>
        <w:spacing w:line="360" w:lineRule="auto"/>
        <w:ind w:firstLineChars="200" w:firstLine="480"/>
        <w:rPr>
          <w:rFonts w:ascii="Book Antiqua" w:hAnsi="Book Antiqua"/>
          <w:color w:val="000000" w:themeColor="text1"/>
          <w:sz w:val="24"/>
          <w:szCs w:val="24"/>
        </w:rPr>
      </w:pPr>
    </w:p>
    <w:p w14:paraId="484D36C8" w14:textId="77777777" w:rsidR="00DB03D6" w:rsidRPr="00B43A8C" w:rsidRDefault="00DB03D6" w:rsidP="00EF65CB">
      <w:pPr>
        <w:wordWrap/>
        <w:adjustRightInd w:val="0"/>
        <w:snapToGrid w:val="0"/>
        <w:spacing w:line="360" w:lineRule="auto"/>
        <w:outlineLvl w:val="0"/>
        <w:rPr>
          <w:rFonts w:ascii="Book Antiqua" w:hAnsi="Book Antiqua"/>
          <w:b/>
          <w:i/>
          <w:color w:val="000000" w:themeColor="text1"/>
          <w:sz w:val="24"/>
          <w:szCs w:val="24"/>
        </w:rPr>
      </w:pPr>
      <w:r w:rsidRPr="00B43A8C">
        <w:rPr>
          <w:rFonts w:ascii="Book Antiqua" w:hAnsi="Book Antiqua"/>
          <w:b/>
          <w:i/>
          <w:color w:val="000000" w:themeColor="text1"/>
          <w:sz w:val="24"/>
          <w:szCs w:val="24"/>
        </w:rPr>
        <w:t xml:space="preserve">Statistical </w:t>
      </w:r>
      <w:r w:rsidRPr="00B43A8C">
        <w:rPr>
          <w:rFonts w:ascii="Book Antiqua" w:eastAsiaTheme="minorEastAsia" w:hAnsi="Book Antiqua"/>
          <w:b/>
          <w:i/>
          <w:color w:val="000000" w:themeColor="text1"/>
          <w:sz w:val="24"/>
          <w:szCs w:val="24"/>
        </w:rPr>
        <w:t>a</w:t>
      </w:r>
      <w:r w:rsidRPr="00B43A8C">
        <w:rPr>
          <w:rFonts w:ascii="Book Antiqua" w:hAnsi="Book Antiqua"/>
          <w:b/>
          <w:i/>
          <w:color w:val="000000" w:themeColor="text1"/>
          <w:sz w:val="24"/>
          <w:szCs w:val="24"/>
        </w:rPr>
        <w:t>nalysis</w:t>
      </w:r>
    </w:p>
    <w:p w14:paraId="553B6734" w14:textId="3926A6E4" w:rsidR="00DB03D6" w:rsidRPr="00B43A8C" w:rsidRDefault="00DB03D6" w:rsidP="00802499">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color w:val="000000" w:themeColor="text1"/>
          <w:sz w:val="24"/>
          <w:szCs w:val="24"/>
        </w:rPr>
        <w:t xml:space="preserve">Differential expression of individual </w:t>
      </w:r>
      <w:r w:rsidR="00802499">
        <w:rPr>
          <w:rFonts w:ascii="Book Antiqua" w:hAnsi="Book Antiqua"/>
          <w:color w:val="000000" w:themeColor="text1"/>
          <w:sz w:val="24"/>
          <w:szCs w:val="24"/>
        </w:rPr>
        <w:t>TCA19</w:t>
      </w:r>
      <w:r w:rsidRPr="00B43A8C">
        <w:rPr>
          <w:rFonts w:ascii="Book Antiqua" w:hAnsi="Book Antiqua"/>
          <w:color w:val="000000" w:themeColor="text1"/>
          <w:sz w:val="24"/>
          <w:szCs w:val="24"/>
        </w:rPr>
        <w:t xml:space="preserve"> genes was compared with levels of </w:t>
      </w:r>
      <w:proofErr w:type="spellStart"/>
      <w:r w:rsidRPr="00B43A8C">
        <w:rPr>
          <w:rFonts w:ascii="Book Antiqua" w:hAnsi="Book Antiqua"/>
          <w:color w:val="000000" w:themeColor="text1"/>
          <w:sz w:val="24"/>
          <w:szCs w:val="24"/>
        </w:rPr>
        <w:t>clinico</w:t>
      </w:r>
      <w:proofErr w:type="spellEnd"/>
      <w:r w:rsidRPr="00B43A8C">
        <w:rPr>
          <w:rFonts w:ascii="Book Antiqua" w:hAnsi="Book Antiqua"/>
          <w:color w:val="000000" w:themeColor="text1"/>
          <w:sz w:val="24"/>
          <w:szCs w:val="24"/>
        </w:rPr>
        <w:t xml:space="preserve">-pathological variables by the </w:t>
      </w:r>
      <w:r w:rsidRPr="00802499">
        <w:rPr>
          <w:rFonts w:ascii="Book Antiqua" w:hAnsi="Book Antiqua"/>
          <w:i/>
          <w:color w:val="000000" w:themeColor="text1"/>
          <w:sz w:val="24"/>
          <w:szCs w:val="24"/>
        </w:rPr>
        <w:t>χ</w:t>
      </w:r>
      <w:r w:rsidRPr="00B43A8C">
        <w:rPr>
          <w:rFonts w:ascii="Book Antiqua" w:hAnsi="Book Antiqua"/>
          <w:color w:val="000000" w:themeColor="text1"/>
          <w:sz w:val="24"/>
          <w:szCs w:val="24"/>
        </w:rPr>
        <w:t xml:space="preserve">-square test, and the unpaired Student’s </w:t>
      </w:r>
      <w:r w:rsidRPr="00B43A8C">
        <w:rPr>
          <w:rFonts w:ascii="Book Antiqua" w:hAnsi="Book Antiqua"/>
          <w:i/>
          <w:color w:val="000000" w:themeColor="text1"/>
          <w:sz w:val="24"/>
          <w:szCs w:val="24"/>
        </w:rPr>
        <w:t>t</w:t>
      </w:r>
      <w:r w:rsidRPr="00B43A8C">
        <w:rPr>
          <w:rFonts w:ascii="Book Antiqua" w:hAnsi="Book Antiqua"/>
          <w:color w:val="000000" w:themeColor="text1"/>
          <w:sz w:val="24"/>
          <w:szCs w:val="24"/>
        </w:rPr>
        <w:t xml:space="preserve">-test or Mann-Whitney </w:t>
      </w:r>
      <w:r w:rsidRPr="00B43A8C">
        <w:rPr>
          <w:rFonts w:ascii="Book Antiqua" w:hAnsi="Book Antiqua"/>
          <w:i/>
          <w:color w:val="000000" w:themeColor="text1"/>
          <w:sz w:val="24"/>
          <w:szCs w:val="24"/>
        </w:rPr>
        <w:t>U</w:t>
      </w:r>
      <w:r w:rsidRPr="00B43A8C">
        <w:rPr>
          <w:rFonts w:ascii="Book Antiqua" w:hAnsi="Book Antiqua"/>
          <w:color w:val="000000" w:themeColor="text1"/>
          <w:sz w:val="24"/>
          <w:szCs w:val="24"/>
        </w:rPr>
        <w:t xml:space="preserve">-test, as appropriate. The Kaplan-Meier method was used to calculate the survival outcomes, and the difference in survival between two groups was assessed using log-rank tests. The prognostic association between the signature and potential risk factors was assessed using multivariate Cox proportional hazard regression models. Statistical significance </w:t>
      </w:r>
      <w:r w:rsidR="00554D3A" w:rsidRPr="00B43A8C">
        <w:rPr>
          <w:rFonts w:ascii="Book Antiqua" w:hAnsi="Book Antiqua"/>
          <w:color w:val="000000" w:themeColor="text1"/>
          <w:sz w:val="24"/>
          <w:szCs w:val="24"/>
        </w:rPr>
        <w:t>was expressed</w:t>
      </w:r>
      <w:r w:rsidRPr="00B43A8C">
        <w:rPr>
          <w:rFonts w:ascii="Book Antiqua" w:hAnsi="Book Antiqua"/>
          <w:color w:val="000000" w:themeColor="text1"/>
          <w:sz w:val="24"/>
          <w:szCs w:val="24"/>
        </w:rPr>
        <w:t xml:space="preserve"> as </w:t>
      </w:r>
      <w:r w:rsidR="00802499" w:rsidRPr="00B43A8C">
        <w:rPr>
          <w:rFonts w:ascii="Book Antiqua" w:hAnsi="Book Antiqua"/>
          <w:i/>
          <w:color w:val="000000" w:themeColor="text1"/>
          <w:sz w:val="24"/>
          <w:szCs w:val="24"/>
        </w:rPr>
        <w:t>P</w:t>
      </w:r>
      <w:r w:rsidRPr="00B43A8C">
        <w:rPr>
          <w:rFonts w:ascii="Book Antiqua" w:hAnsi="Book Antiqua"/>
          <w:color w:val="000000" w:themeColor="text1"/>
          <w:sz w:val="24"/>
          <w:szCs w:val="24"/>
        </w:rPr>
        <w:t xml:space="preserve"> &lt; 0.05, and the analyses were performed using SPSS software version 21 (</w:t>
      </w:r>
      <w:r w:rsidR="00802499">
        <w:rPr>
          <w:rFonts w:ascii="Book Antiqua" w:hAnsi="Book Antiqua"/>
          <w:color w:val="000000" w:themeColor="text1"/>
          <w:sz w:val="24"/>
          <w:szCs w:val="24"/>
        </w:rPr>
        <w:t>IBM Corporation, Armonk, NY, United States</w:t>
      </w:r>
      <w:r w:rsidRPr="00B43A8C">
        <w:rPr>
          <w:rFonts w:ascii="Book Antiqua" w:hAnsi="Book Antiqua"/>
          <w:color w:val="000000" w:themeColor="text1"/>
          <w:sz w:val="24"/>
          <w:szCs w:val="24"/>
        </w:rPr>
        <w:t>).</w:t>
      </w:r>
    </w:p>
    <w:p w14:paraId="62F319D8" w14:textId="77777777" w:rsidR="00DB03D6" w:rsidRPr="00B43A8C" w:rsidRDefault="00DB03D6" w:rsidP="00B43A8C">
      <w:pPr>
        <w:wordWrap/>
        <w:adjustRightInd w:val="0"/>
        <w:snapToGrid w:val="0"/>
        <w:spacing w:line="360" w:lineRule="auto"/>
        <w:ind w:firstLineChars="200" w:firstLine="480"/>
        <w:rPr>
          <w:rFonts w:ascii="Book Antiqua" w:hAnsi="Book Antiqua"/>
          <w:color w:val="000000" w:themeColor="text1"/>
          <w:sz w:val="24"/>
          <w:szCs w:val="24"/>
        </w:rPr>
      </w:pPr>
    </w:p>
    <w:p w14:paraId="23335926" w14:textId="17E0B989" w:rsidR="00DB03D6" w:rsidRPr="00B43A8C" w:rsidRDefault="00554D3A" w:rsidP="00EF65CB">
      <w:pPr>
        <w:wordWrap/>
        <w:adjustRightInd w:val="0"/>
        <w:snapToGrid w:val="0"/>
        <w:spacing w:line="360" w:lineRule="auto"/>
        <w:outlineLvl w:val="0"/>
        <w:rPr>
          <w:rFonts w:ascii="Book Antiqua" w:hAnsi="Book Antiqua"/>
          <w:b/>
          <w:color w:val="000000" w:themeColor="text1"/>
          <w:sz w:val="24"/>
          <w:szCs w:val="24"/>
        </w:rPr>
      </w:pPr>
      <w:r w:rsidRPr="00B43A8C">
        <w:rPr>
          <w:rFonts w:ascii="Book Antiqua" w:hAnsi="Book Antiqua"/>
          <w:b/>
          <w:color w:val="000000" w:themeColor="text1"/>
          <w:sz w:val="24"/>
          <w:szCs w:val="24"/>
        </w:rPr>
        <w:t>RESULTS</w:t>
      </w:r>
    </w:p>
    <w:p w14:paraId="03EFCCF1" w14:textId="77777777" w:rsidR="00DB03D6" w:rsidRPr="00B43A8C" w:rsidRDefault="00DB03D6" w:rsidP="00EF65CB">
      <w:pPr>
        <w:wordWrap/>
        <w:adjustRightInd w:val="0"/>
        <w:snapToGrid w:val="0"/>
        <w:spacing w:line="360" w:lineRule="auto"/>
        <w:outlineLvl w:val="0"/>
        <w:rPr>
          <w:rFonts w:ascii="Book Antiqua" w:eastAsiaTheme="minorEastAsia" w:hAnsi="Book Antiqua"/>
          <w:b/>
          <w:i/>
          <w:color w:val="000000" w:themeColor="text1"/>
          <w:sz w:val="24"/>
          <w:szCs w:val="24"/>
        </w:rPr>
      </w:pPr>
      <w:r w:rsidRPr="00B43A8C">
        <w:rPr>
          <w:rFonts w:ascii="Book Antiqua" w:hAnsi="Book Antiqua"/>
          <w:b/>
          <w:i/>
          <w:color w:val="000000" w:themeColor="text1"/>
          <w:sz w:val="24"/>
          <w:szCs w:val="24"/>
        </w:rPr>
        <w:t>Characteristics</w:t>
      </w:r>
      <w:r w:rsidRPr="00B43A8C">
        <w:rPr>
          <w:rFonts w:ascii="Book Antiqua" w:eastAsiaTheme="minorEastAsia" w:hAnsi="Book Antiqua"/>
          <w:b/>
          <w:i/>
          <w:color w:val="000000" w:themeColor="text1"/>
          <w:sz w:val="24"/>
          <w:szCs w:val="24"/>
        </w:rPr>
        <w:t xml:space="preserve"> of the patients</w:t>
      </w:r>
    </w:p>
    <w:p w14:paraId="2195EDA1" w14:textId="70A00F52" w:rsidR="00DB03D6" w:rsidRPr="00B43A8C" w:rsidRDefault="00DB03D6" w:rsidP="00B43A8C">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color w:val="000000" w:themeColor="text1"/>
          <w:sz w:val="24"/>
          <w:szCs w:val="24"/>
        </w:rPr>
        <w:t>Of the study cohort, 33 were male and 27 were female, with a median age of 61 years (interquartile range 52</w:t>
      </w:r>
      <w:r w:rsidR="00802499">
        <w:rPr>
          <w:rFonts w:ascii="Book Antiqua" w:hAnsi="Book Antiqua"/>
          <w:color w:val="000000" w:themeColor="text1"/>
          <w:sz w:val="24"/>
          <w:szCs w:val="24"/>
        </w:rPr>
        <w:t>-</w:t>
      </w:r>
      <w:r w:rsidRPr="00B43A8C">
        <w:rPr>
          <w:rFonts w:ascii="Book Antiqua" w:hAnsi="Book Antiqua"/>
          <w:color w:val="000000" w:themeColor="text1"/>
          <w:sz w:val="24"/>
          <w:szCs w:val="24"/>
        </w:rPr>
        <w:t>69 years). The cancer was located in the right colon (cecum</w:t>
      </w:r>
      <w:r w:rsidR="00802499">
        <w:rPr>
          <w:rFonts w:ascii="Book Antiqua" w:hAnsi="Book Antiqua"/>
          <w:color w:val="000000" w:themeColor="text1"/>
          <w:sz w:val="24"/>
          <w:szCs w:val="24"/>
        </w:rPr>
        <w:t>-</w:t>
      </w:r>
      <w:r w:rsidRPr="00B43A8C">
        <w:rPr>
          <w:rFonts w:ascii="Book Antiqua" w:hAnsi="Book Antiqua"/>
          <w:color w:val="000000" w:themeColor="text1"/>
          <w:sz w:val="24"/>
          <w:szCs w:val="24"/>
        </w:rPr>
        <w:t>splenic flexure of transverse colon) in 16 patients, the left colon (splenic flexure of transverse colon</w:t>
      </w:r>
      <w:r w:rsidR="00802499">
        <w:rPr>
          <w:rFonts w:ascii="Book Antiqua" w:hAnsi="Book Antiqua"/>
          <w:color w:val="000000" w:themeColor="text1"/>
          <w:sz w:val="24"/>
          <w:szCs w:val="24"/>
        </w:rPr>
        <w:t>-</w:t>
      </w:r>
      <w:r w:rsidRPr="00B43A8C">
        <w:rPr>
          <w:rFonts w:ascii="Book Antiqua" w:hAnsi="Book Antiqua"/>
          <w:color w:val="000000" w:themeColor="text1"/>
          <w:sz w:val="24"/>
          <w:szCs w:val="24"/>
        </w:rPr>
        <w:t xml:space="preserve">distal sigmoid colon) in 28 patients, and in the rectum in 16 patients. Curative surgery (R0 resection) was performed in 14 patients. All patients received chemotherapy after the surgery consisting of single-agent treatment with </w:t>
      </w:r>
      <w:bookmarkStart w:id="49" w:name="OLE_LINK49"/>
      <w:r w:rsidRPr="00B43A8C">
        <w:rPr>
          <w:rFonts w:ascii="Book Antiqua" w:hAnsi="Book Antiqua"/>
          <w:color w:val="000000" w:themeColor="text1"/>
          <w:sz w:val="24"/>
          <w:szCs w:val="24"/>
        </w:rPr>
        <w:t>5-fluorouracil</w:t>
      </w:r>
      <w:bookmarkEnd w:id="49"/>
      <w:r w:rsidRPr="00B43A8C">
        <w:rPr>
          <w:rFonts w:ascii="Book Antiqua" w:hAnsi="Book Antiqua"/>
          <w:color w:val="000000" w:themeColor="text1"/>
          <w:sz w:val="24"/>
          <w:szCs w:val="24"/>
        </w:rPr>
        <w:t xml:space="preserve"> (5-FU) or capecitabine (</w:t>
      </w:r>
      <w:r w:rsidRPr="00B43A8C">
        <w:rPr>
          <w:rFonts w:ascii="Book Antiqua" w:hAnsi="Book Antiqua"/>
          <w:i/>
          <w:color w:val="000000" w:themeColor="text1"/>
          <w:sz w:val="24"/>
          <w:szCs w:val="24"/>
        </w:rPr>
        <w:t>n</w:t>
      </w:r>
      <w:r w:rsidRPr="00B43A8C">
        <w:rPr>
          <w:rFonts w:ascii="Book Antiqua" w:hAnsi="Book Antiqua"/>
          <w:color w:val="000000" w:themeColor="text1"/>
          <w:sz w:val="24"/>
          <w:szCs w:val="24"/>
        </w:rPr>
        <w:t xml:space="preserve"> = 9), a combination of 5-FU and oxaliplatin (</w:t>
      </w:r>
      <w:r w:rsidRPr="00B43A8C">
        <w:rPr>
          <w:rFonts w:ascii="Book Antiqua" w:hAnsi="Book Antiqua"/>
          <w:i/>
          <w:color w:val="000000" w:themeColor="text1"/>
          <w:sz w:val="24"/>
          <w:szCs w:val="24"/>
        </w:rPr>
        <w:t>n</w:t>
      </w:r>
      <w:r w:rsidRPr="00B43A8C">
        <w:rPr>
          <w:rFonts w:ascii="Book Antiqua" w:hAnsi="Book Antiqua"/>
          <w:color w:val="000000" w:themeColor="text1"/>
          <w:sz w:val="24"/>
          <w:szCs w:val="24"/>
        </w:rPr>
        <w:t xml:space="preserve"> = 22), 5-FU and irinotecan (</w:t>
      </w:r>
      <w:r w:rsidRPr="00B43A8C">
        <w:rPr>
          <w:rFonts w:ascii="Book Antiqua" w:hAnsi="Book Antiqua"/>
          <w:i/>
          <w:color w:val="000000" w:themeColor="text1"/>
          <w:sz w:val="24"/>
          <w:szCs w:val="24"/>
        </w:rPr>
        <w:t>n</w:t>
      </w:r>
      <w:r w:rsidR="00802499">
        <w:rPr>
          <w:rFonts w:ascii="Book Antiqua" w:hAnsi="Book Antiqua"/>
          <w:color w:val="000000" w:themeColor="text1"/>
          <w:sz w:val="24"/>
          <w:szCs w:val="24"/>
        </w:rPr>
        <w:t xml:space="preserve"> = 13), or </w:t>
      </w:r>
      <w:r w:rsidRPr="00B43A8C">
        <w:rPr>
          <w:rFonts w:ascii="Book Antiqua" w:hAnsi="Book Antiqua"/>
          <w:color w:val="000000" w:themeColor="text1"/>
          <w:sz w:val="24"/>
          <w:szCs w:val="24"/>
        </w:rPr>
        <w:t>targeted agents (</w:t>
      </w:r>
      <w:r w:rsidRPr="00B43A8C">
        <w:rPr>
          <w:rFonts w:ascii="Book Antiqua" w:hAnsi="Book Antiqua"/>
          <w:i/>
          <w:color w:val="000000" w:themeColor="text1"/>
          <w:sz w:val="24"/>
          <w:szCs w:val="24"/>
        </w:rPr>
        <w:t>n</w:t>
      </w:r>
      <w:r w:rsidRPr="00B43A8C">
        <w:rPr>
          <w:rFonts w:ascii="Book Antiqua" w:hAnsi="Book Antiqua"/>
          <w:color w:val="000000" w:themeColor="text1"/>
          <w:sz w:val="24"/>
          <w:szCs w:val="24"/>
        </w:rPr>
        <w:t xml:space="preserve"> = 16), whether the choice of all </w:t>
      </w:r>
      <w:r w:rsidRPr="00B43A8C">
        <w:rPr>
          <w:rFonts w:ascii="Book Antiqua" w:hAnsi="Book Antiqua"/>
          <w:color w:val="000000" w:themeColor="text1"/>
          <w:sz w:val="24"/>
          <w:szCs w:val="24"/>
        </w:rPr>
        <w:lastRenderedPageBreak/>
        <w:t xml:space="preserve">chemotherapy was according to the oncologist’s opinion. Nine patients received postoperative concurrent chemoradiotherapy (50.4 </w:t>
      </w:r>
      <w:proofErr w:type="spellStart"/>
      <w:r w:rsidRPr="00B43A8C">
        <w:rPr>
          <w:rFonts w:ascii="Book Antiqua" w:hAnsi="Book Antiqua"/>
          <w:color w:val="000000" w:themeColor="text1"/>
          <w:sz w:val="24"/>
          <w:szCs w:val="24"/>
        </w:rPr>
        <w:t>Gy</w:t>
      </w:r>
      <w:proofErr w:type="spellEnd"/>
      <w:r w:rsidRPr="00B43A8C">
        <w:rPr>
          <w:rFonts w:ascii="Book Antiqua" w:hAnsi="Book Antiqua"/>
          <w:color w:val="000000" w:themeColor="text1"/>
          <w:sz w:val="24"/>
          <w:szCs w:val="24"/>
        </w:rPr>
        <w:t xml:space="preserve"> in 28 fractions with concurrent 5-FU). The median follow-up period was 16 </w:t>
      </w:r>
      <w:proofErr w:type="spellStart"/>
      <w:r w:rsidRPr="00B43A8C">
        <w:rPr>
          <w:rFonts w:ascii="Book Antiqua" w:hAnsi="Book Antiqua"/>
          <w:color w:val="000000" w:themeColor="text1"/>
          <w:sz w:val="24"/>
          <w:szCs w:val="24"/>
        </w:rPr>
        <w:t>mo</w:t>
      </w:r>
      <w:proofErr w:type="spellEnd"/>
      <w:r w:rsidRPr="00B43A8C">
        <w:rPr>
          <w:rFonts w:ascii="Book Antiqua" w:hAnsi="Book Antiqua"/>
          <w:color w:val="000000" w:themeColor="text1"/>
          <w:sz w:val="24"/>
          <w:szCs w:val="24"/>
        </w:rPr>
        <w:t xml:space="preserve"> with an interquartile range (IQR) of 9</w:t>
      </w:r>
      <w:r w:rsidR="00802499">
        <w:rPr>
          <w:rFonts w:ascii="Book Antiqua" w:hAnsi="Book Antiqua"/>
          <w:color w:val="000000" w:themeColor="text1"/>
          <w:sz w:val="24"/>
          <w:szCs w:val="24"/>
        </w:rPr>
        <w:t>-</w:t>
      </w:r>
      <w:r w:rsidRPr="00B43A8C">
        <w:rPr>
          <w:rFonts w:ascii="Book Antiqua" w:hAnsi="Book Antiqua"/>
          <w:color w:val="000000" w:themeColor="text1"/>
          <w:sz w:val="24"/>
          <w:szCs w:val="24"/>
        </w:rPr>
        <w:t xml:space="preserve">24 </w:t>
      </w:r>
      <w:proofErr w:type="spellStart"/>
      <w:r w:rsidRPr="00B43A8C">
        <w:rPr>
          <w:rFonts w:ascii="Book Antiqua" w:hAnsi="Book Antiqua"/>
          <w:color w:val="000000" w:themeColor="text1"/>
          <w:sz w:val="24"/>
          <w:szCs w:val="24"/>
        </w:rPr>
        <w:t>mo</w:t>
      </w:r>
      <w:proofErr w:type="spellEnd"/>
      <w:r w:rsidRPr="00B43A8C">
        <w:rPr>
          <w:rFonts w:ascii="Book Antiqua" w:hAnsi="Book Antiqua"/>
          <w:color w:val="000000" w:themeColor="text1"/>
          <w:sz w:val="24"/>
          <w:szCs w:val="24"/>
        </w:rPr>
        <w:t xml:space="preserve"> (Supplementary Table 4).</w:t>
      </w:r>
    </w:p>
    <w:p w14:paraId="0FC9F62F" w14:textId="77777777" w:rsidR="00DB03D6" w:rsidRPr="00B43A8C" w:rsidRDefault="00DB03D6" w:rsidP="00B43A8C">
      <w:pPr>
        <w:wordWrap/>
        <w:adjustRightInd w:val="0"/>
        <w:snapToGrid w:val="0"/>
        <w:spacing w:line="360" w:lineRule="auto"/>
        <w:rPr>
          <w:rFonts w:ascii="Book Antiqua" w:hAnsi="Book Antiqua"/>
          <w:color w:val="000000" w:themeColor="text1"/>
          <w:sz w:val="24"/>
          <w:szCs w:val="24"/>
        </w:rPr>
      </w:pPr>
    </w:p>
    <w:p w14:paraId="51F6217F" w14:textId="1CD6A555" w:rsidR="00DB03D6" w:rsidRPr="00B43A8C" w:rsidRDefault="00DB03D6" w:rsidP="00B43A8C">
      <w:pPr>
        <w:wordWrap/>
        <w:adjustRightInd w:val="0"/>
        <w:snapToGrid w:val="0"/>
        <w:spacing w:line="360" w:lineRule="auto"/>
        <w:rPr>
          <w:rFonts w:ascii="Book Antiqua" w:eastAsiaTheme="minorEastAsia" w:hAnsi="Book Antiqua"/>
          <w:b/>
          <w:i/>
          <w:color w:val="000000" w:themeColor="text1"/>
          <w:sz w:val="24"/>
          <w:szCs w:val="24"/>
        </w:rPr>
      </w:pPr>
      <w:r w:rsidRPr="00B43A8C">
        <w:rPr>
          <w:rFonts w:ascii="Book Antiqua" w:hAnsi="Book Antiqua"/>
          <w:b/>
          <w:i/>
          <w:color w:val="000000" w:themeColor="text1"/>
          <w:sz w:val="24"/>
          <w:szCs w:val="24"/>
        </w:rPr>
        <w:t>Association of progression-free survival with TCA19 scores and chemotherapy regimens</w:t>
      </w:r>
    </w:p>
    <w:p w14:paraId="6A6FD65B" w14:textId="525AE805" w:rsidR="00DB03D6" w:rsidRPr="00B43A8C" w:rsidRDefault="00DB03D6" w:rsidP="00802499">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color w:val="000000" w:themeColor="text1"/>
          <w:sz w:val="24"/>
          <w:szCs w:val="24"/>
        </w:rPr>
        <w:t xml:space="preserve">The study cohort was dichotomized on the basis of </w:t>
      </w:r>
      <w:r w:rsidR="00802499">
        <w:rPr>
          <w:rFonts w:ascii="Book Antiqua" w:hAnsi="Book Antiqua"/>
          <w:color w:val="000000" w:themeColor="text1"/>
          <w:sz w:val="24"/>
          <w:szCs w:val="24"/>
        </w:rPr>
        <w:t>TCA19</w:t>
      </w:r>
      <w:r w:rsidRPr="00B43A8C">
        <w:rPr>
          <w:rFonts w:ascii="Book Antiqua" w:hAnsi="Book Antiqua"/>
          <w:color w:val="000000" w:themeColor="text1"/>
          <w:sz w:val="24"/>
          <w:szCs w:val="24"/>
        </w:rPr>
        <w:t xml:space="preserve"> risk scores. </w:t>
      </w:r>
      <w:r w:rsidR="00802499">
        <w:rPr>
          <w:rFonts w:ascii="Book Antiqua" w:hAnsi="Book Antiqua"/>
          <w:color w:val="000000" w:themeColor="text1"/>
          <w:sz w:val="24"/>
          <w:szCs w:val="24"/>
        </w:rPr>
        <w:t>P</w:t>
      </w:r>
      <w:r w:rsidR="00802499" w:rsidRPr="00802499">
        <w:rPr>
          <w:rFonts w:ascii="Book Antiqua" w:hAnsi="Book Antiqua"/>
          <w:color w:val="000000" w:themeColor="text1"/>
          <w:sz w:val="24"/>
          <w:szCs w:val="24"/>
        </w:rPr>
        <w:t>rogression-free survival (PFS)</w:t>
      </w:r>
      <w:r w:rsidRPr="00B43A8C">
        <w:rPr>
          <w:rFonts w:ascii="Book Antiqua" w:hAnsi="Book Antiqua"/>
          <w:color w:val="000000" w:themeColor="text1"/>
          <w:sz w:val="24"/>
          <w:szCs w:val="24"/>
        </w:rPr>
        <w:t xml:space="preserve"> was not significantly different in the high (8 </w:t>
      </w:r>
      <w:proofErr w:type="spellStart"/>
      <w:r w:rsidRPr="00B43A8C">
        <w:rPr>
          <w:rFonts w:ascii="Book Antiqua" w:hAnsi="Book Antiqua"/>
          <w:color w:val="000000" w:themeColor="text1"/>
          <w:sz w:val="24"/>
          <w:szCs w:val="24"/>
        </w:rPr>
        <w:t>mo</w:t>
      </w:r>
      <w:proofErr w:type="spellEnd"/>
      <w:r w:rsidRPr="00B43A8C">
        <w:rPr>
          <w:rFonts w:ascii="Book Antiqua" w:hAnsi="Book Antiqua"/>
          <w:color w:val="000000" w:themeColor="text1"/>
          <w:sz w:val="24"/>
          <w:szCs w:val="24"/>
        </w:rPr>
        <w:t>, IQR 6</w:t>
      </w:r>
      <w:r w:rsidR="00802499">
        <w:rPr>
          <w:rFonts w:ascii="Book Antiqua" w:hAnsi="Book Antiqua"/>
          <w:color w:val="000000" w:themeColor="text1"/>
          <w:sz w:val="24"/>
          <w:szCs w:val="24"/>
        </w:rPr>
        <w:t>-</w:t>
      </w:r>
      <w:r w:rsidRPr="00B43A8C">
        <w:rPr>
          <w:rFonts w:ascii="Book Antiqua" w:hAnsi="Book Antiqua"/>
          <w:color w:val="000000" w:themeColor="text1"/>
          <w:sz w:val="24"/>
          <w:szCs w:val="24"/>
        </w:rPr>
        <w:t xml:space="preserve">10 </w:t>
      </w:r>
      <w:proofErr w:type="spellStart"/>
      <w:r w:rsidRPr="00B43A8C">
        <w:rPr>
          <w:rFonts w:ascii="Book Antiqua" w:hAnsi="Book Antiqua"/>
          <w:color w:val="000000" w:themeColor="text1"/>
          <w:sz w:val="24"/>
          <w:szCs w:val="24"/>
        </w:rPr>
        <w:t>mo</w:t>
      </w:r>
      <w:proofErr w:type="spellEnd"/>
      <w:r w:rsidRPr="00B43A8C">
        <w:rPr>
          <w:rFonts w:ascii="Book Antiqua" w:hAnsi="Book Antiqua"/>
          <w:color w:val="000000" w:themeColor="text1"/>
          <w:sz w:val="24"/>
          <w:szCs w:val="24"/>
        </w:rPr>
        <w:t>) and low (9 months, IQR 8</w:t>
      </w:r>
      <w:r w:rsidR="00802499">
        <w:rPr>
          <w:rFonts w:ascii="Book Antiqua" w:hAnsi="Book Antiqua"/>
          <w:color w:val="000000" w:themeColor="text1"/>
          <w:sz w:val="24"/>
          <w:szCs w:val="24"/>
        </w:rPr>
        <w:t>-</w:t>
      </w:r>
      <w:r w:rsidRPr="00B43A8C">
        <w:rPr>
          <w:rFonts w:ascii="Book Antiqua" w:hAnsi="Book Antiqua"/>
          <w:color w:val="000000" w:themeColor="text1"/>
          <w:sz w:val="24"/>
          <w:szCs w:val="24"/>
        </w:rPr>
        <w:t xml:space="preserve">10 </w:t>
      </w:r>
      <w:proofErr w:type="spellStart"/>
      <w:r w:rsidRPr="00B43A8C">
        <w:rPr>
          <w:rFonts w:ascii="Book Antiqua" w:hAnsi="Book Antiqua"/>
          <w:color w:val="000000" w:themeColor="text1"/>
          <w:sz w:val="24"/>
          <w:szCs w:val="24"/>
        </w:rPr>
        <w:t>mo</w:t>
      </w:r>
      <w:proofErr w:type="spellEnd"/>
      <w:r w:rsidRPr="00B43A8C">
        <w:rPr>
          <w:rFonts w:ascii="Book Antiqua" w:hAnsi="Book Antiqua"/>
          <w:color w:val="000000" w:themeColor="text1"/>
          <w:sz w:val="24"/>
          <w:szCs w:val="24"/>
        </w:rPr>
        <w:t>) TCA19-score groups (</w:t>
      </w:r>
      <w:r w:rsidR="00802499" w:rsidRPr="00B43A8C">
        <w:rPr>
          <w:rFonts w:ascii="Book Antiqua" w:hAnsi="Book Antiqua"/>
          <w:i/>
          <w:color w:val="000000" w:themeColor="text1"/>
          <w:sz w:val="24"/>
          <w:szCs w:val="24"/>
        </w:rPr>
        <w:t>P</w:t>
      </w:r>
      <w:r w:rsidRPr="00B43A8C">
        <w:rPr>
          <w:rFonts w:ascii="Book Antiqua" w:hAnsi="Book Antiqua"/>
          <w:color w:val="000000" w:themeColor="text1"/>
          <w:sz w:val="24"/>
          <w:szCs w:val="24"/>
        </w:rPr>
        <w:t xml:space="preserve"> = 0.42). Among 30 patients with high TCA19 scores, the PFS rates were significantly different (</w:t>
      </w:r>
      <w:r w:rsidR="00802499" w:rsidRPr="00B43A8C">
        <w:rPr>
          <w:rFonts w:ascii="Book Antiqua" w:hAnsi="Book Antiqua"/>
          <w:i/>
          <w:color w:val="000000" w:themeColor="text1"/>
          <w:sz w:val="24"/>
          <w:szCs w:val="24"/>
        </w:rPr>
        <w:t>P</w:t>
      </w:r>
      <w:r w:rsidRPr="00B43A8C">
        <w:rPr>
          <w:rFonts w:ascii="Book Antiqua" w:hAnsi="Book Antiqua"/>
          <w:color w:val="000000" w:themeColor="text1"/>
          <w:sz w:val="24"/>
          <w:szCs w:val="24"/>
        </w:rPr>
        <w:t xml:space="preserve"> = 0.041) between four patients who received 5-FU regimen and eight patients who received the targeted regimens (bevacizumab or cetuximab). PFS rates among patients with low TCA19 scores did not differ significantly according to the chemotherapy regimens (</w:t>
      </w:r>
      <w:r w:rsidR="00802499" w:rsidRPr="00B43A8C">
        <w:rPr>
          <w:rFonts w:ascii="Book Antiqua" w:hAnsi="Book Antiqua"/>
          <w:i/>
          <w:color w:val="000000" w:themeColor="text1"/>
          <w:sz w:val="24"/>
          <w:szCs w:val="24"/>
        </w:rPr>
        <w:t>P</w:t>
      </w:r>
      <w:r w:rsidRPr="00B43A8C">
        <w:rPr>
          <w:rFonts w:ascii="Book Antiqua" w:hAnsi="Book Antiqua"/>
          <w:color w:val="000000" w:themeColor="text1"/>
          <w:sz w:val="24"/>
          <w:szCs w:val="24"/>
        </w:rPr>
        <w:t xml:space="preserve"> = 0.61) (Figure 1).</w:t>
      </w:r>
    </w:p>
    <w:p w14:paraId="5F7F5D5D" w14:textId="77777777" w:rsidR="00DB03D6" w:rsidRPr="00B43A8C" w:rsidRDefault="00DB03D6" w:rsidP="00B43A8C">
      <w:pPr>
        <w:wordWrap/>
        <w:adjustRightInd w:val="0"/>
        <w:snapToGrid w:val="0"/>
        <w:spacing w:line="360" w:lineRule="auto"/>
        <w:rPr>
          <w:rFonts w:ascii="Book Antiqua" w:hAnsi="Book Antiqua"/>
          <w:color w:val="000000" w:themeColor="text1"/>
          <w:sz w:val="24"/>
          <w:szCs w:val="24"/>
        </w:rPr>
      </w:pPr>
    </w:p>
    <w:p w14:paraId="342D9FBD" w14:textId="77777777" w:rsidR="00DB03D6" w:rsidRPr="00B43A8C" w:rsidRDefault="00DB03D6" w:rsidP="00B43A8C">
      <w:pPr>
        <w:wordWrap/>
        <w:adjustRightInd w:val="0"/>
        <w:snapToGrid w:val="0"/>
        <w:spacing w:line="360" w:lineRule="auto"/>
        <w:rPr>
          <w:rFonts w:ascii="Book Antiqua" w:eastAsiaTheme="minorEastAsia" w:hAnsi="Book Antiqua"/>
          <w:b/>
          <w:i/>
          <w:color w:val="000000" w:themeColor="text1"/>
          <w:sz w:val="24"/>
          <w:szCs w:val="24"/>
        </w:rPr>
      </w:pPr>
      <w:r w:rsidRPr="00B43A8C">
        <w:rPr>
          <w:rFonts w:ascii="Book Antiqua" w:hAnsi="Book Antiqua"/>
          <w:b/>
          <w:i/>
          <w:color w:val="000000" w:themeColor="text1"/>
          <w:sz w:val="24"/>
          <w:szCs w:val="24"/>
        </w:rPr>
        <w:t>Expression of individual TCA19 genes is associated with clinicopathological variables and PFS</w:t>
      </w:r>
    </w:p>
    <w:p w14:paraId="5555DF2A" w14:textId="79FDD26F" w:rsidR="00DB03D6" w:rsidRPr="00B43A8C" w:rsidRDefault="00DB03D6" w:rsidP="00802499">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color w:val="000000" w:themeColor="text1"/>
          <w:sz w:val="24"/>
          <w:szCs w:val="24"/>
        </w:rPr>
        <w:t>For each clinicopathological variable, the proportion of patients in each different condition with qPCR log</w:t>
      </w:r>
      <w:r w:rsidRPr="00B43A8C">
        <w:rPr>
          <w:rFonts w:ascii="Book Antiqua" w:hAnsi="Book Antiqua"/>
          <w:color w:val="000000" w:themeColor="text1"/>
          <w:sz w:val="24"/>
          <w:szCs w:val="24"/>
          <w:vertAlign w:val="subscript"/>
        </w:rPr>
        <w:t>2</w:t>
      </w:r>
      <w:r w:rsidRPr="00B43A8C">
        <w:rPr>
          <w:rFonts w:ascii="Book Antiqua" w:hAnsi="Book Antiqua"/>
          <w:color w:val="000000" w:themeColor="text1"/>
          <w:sz w:val="24"/>
          <w:szCs w:val="24"/>
        </w:rPr>
        <w:t>2</w:t>
      </w:r>
      <w:r w:rsidRPr="00B43A8C">
        <w:rPr>
          <w:rFonts w:ascii="Book Antiqua" w:hAnsi="Book Antiqua"/>
          <w:color w:val="000000" w:themeColor="text1"/>
          <w:sz w:val="24"/>
          <w:szCs w:val="24"/>
          <w:vertAlign w:val="superscript"/>
        </w:rPr>
        <w:t>−ΔΔCt</w:t>
      </w:r>
      <w:r w:rsidRPr="00B43A8C">
        <w:rPr>
          <w:rFonts w:ascii="Book Antiqua" w:hAnsi="Book Antiqua"/>
          <w:color w:val="000000" w:themeColor="text1"/>
          <w:sz w:val="24"/>
          <w:szCs w:val="24"/>
        </w:rPr>
        <w:t xml:space="preserve"> values greater than one</w:t>
      </w:r>
      <w:r w:rsidR="00802499">
        <w:rPr>
          <w:rFonts w:ascii="Book Antiqua" w:hAnsi="Book Antiqua"/>
          <w:color w:val="000000" w:themeColor="text1"/>
          <w:sz w:val="24"/>
          <w:szCs w:val="24"/>
        </w:rPr>
        <w:t xml:space="preserve"> (indicating a greater than one-</w:t>
      </w:r>
      <w:r w:rsidRPr="00B43A8C">
        <w:rPr>
          <w:rFonts w:ascii="Book Antiqua" w:hAnsi="Book Antiqua"/>
          <w:color w:val="000000" w:themeColor="text1"/>
          <w:sz w:val="24"/>
          <w:szCs w:val="24"/>
        </w:rPr>
        <w:t xml:space="preserve">fold increase in gene expression in the tumor relative to normal tissue) were compared (Table 1). For </w:t>
      </w:r>
      <w:proofErr w:type="spellStart"/>
      <w:r w:rsidRPr="00B43A8C">
        <w:rPr>
          <w:rFonts w:ascii="Book Antiqua" w:hAnsi="Book Antiqua"/>
          <w:color w:val="000000" w:themeColor="text1"/>
          <w:sz w:val="24"/>
          <w:szCs w:val="24"/>
        </w:rPr>
        <w:t>lymphovascular</w:t>
      </w:r>
      <w:proofErr w:type="spellEnd"/>
      <w:r w:rsidRPr="00B43A8C">
        <w:rPr>
          <w:rFonts w:ascii="Book Antiqua" w:hAnsi="Book Antiqua"/>
          <w:color w:val="000000" w:themeColor="text1"/>
          <w:sz w:val="24"/>
          <w:szCs w:val="24"/>
        </w:rPr>
        <w:t xml:space="preserve"> invasion (LVI), the proportions of patients with relative expression (log</w:t>
      </w:r>
      <w:r w:rsidRPr="00B43A8C">
        <w:rPr>
          <w:rFonts w:ascii="Book Antiqua" w:hAnsi="Book Antiqua"/>
          <w:color w:val="000000" w:themeColor="text1"/>
          <w:sz w:val="24"/>
          <w:szCs w:val="24"/>
          <w:vertAlign w:val="subscript"/>
        </w:rPr>
        <w:t>2</w:t>
      </w:r>
      <w:r w:rsidRPr="00B43A8C">
        <w:rPr>
          <w:rFonts w:ascii="Book Antiqua" w:hAnsi="Book Antiqua"/>
          <w:color w:val="000000" w:themeColor="text1"/>
          <w:sz w:val="24"/>
          <w:szCs w:val="24"/>
        </w:rPr>
        <w:t>2</w:t>
      </w:r>
      <w:r w:rsidRPr="00B43A8C">
        <w:rPr>
          <w:rFonts w:ascii="Book Antiqua" w:hAnsi="Book Antiqua"/>
          <w:color w:val="000000" w:themeColor="text1"/>
          <w:sz w:val="24"/>
          <w:szCs w:val="24"/>
          <w:vertAlign w:val="superscript"/>
        </w:rPr>
        <w:t>−ΔΔCt</w:t>
      </w:r>
      <w:r w:rsidRPr="00B43A8C">
        <w:rPr>
          <w:rFonts w:ascii="Book Antiqua" w:hAnsi="Book Antiqua"/>
          <w:color w:val="000000" w:themeColor="text1"/>
          <w:sz w:val="24"/>
          <w:szCs w:val="24"/>
        </w:rPr>
        <w:t xml:space="preserve"> greater than one) were significantly higher in the presence of invasion than in its absence for PHLDA1, E2F7, and DTL, and SLAMF7 (</w:t>
      </w:r>
      <w:r w:rsidR="00802499" w:rsidRPr="00B43A8C">
        <w:rPr>
          <w:rFonts w:ascii="Book Antiqua" w:hAnsi="Book Antiqua"/>
          <w:i/>
          <w:color w:val="000000" w:themeColor="text1"/>
          <w:sz w:val="24"/>
          <w:szCs w:val="24"/>
        </w:rPr>
        <w:t>P</w:t>
      </w:r>
      <w:r w:rsidRPr="00B43A8C">
        <w:rPr>
          <w:rFonts w:ascii="Book Antiqua" w:hAnsi="Book Antiqua"/>
          <w:color w:val="000000" w:themeColor="text1"/>
          <w:sz w:val="24"/>
          <w:szCs w:val="24"/>
        </w:rPr>
        <w:t xml:space="preserve"> = 0.02, 0.05, 0.03, 0.04, respectively). Similarly, for perineural invasion, the proportion of patients with relative expression was significantly higher in the presence of invasion than in its absence for RGS16 (</w:t>
      </w:r>
      <w:r w:rsidR="00802499" w:rsidRPr="00B43A8C">
        <w:rPr>
          <w:rFonts w:ascii="Book Antiqua" w:hAnsi="Book Antiqua"/>
          <w:i/>
          <w:color w:val="000000" w:themeColor="text1"/>
          <w:sz w:val="24"/>
          <w:szCs w:val="24"/>
        </w:rPr>
        <w:t>P</w:t>
      </w:r>
      <w:r w:rsidRPr="00B43A8C">
        <w:rPr>
          <w:rFonts w:ascii="Book Antiqua" w:hAnsi="Book Antiqua"/>
          <w:color w:val="000000" w:themeColor="text1"/>
          <w:sz w:val="24"/>
          <w:szCs w:val="24"/>
        </w:rPr>
        <w:t xml:space="preserve"> = 0.02). A lower proportion of patients had CXCL1 log</w:t>
      </w:r>
      <w:r w:rsidRPr="00B43A8C">
        <w:rPr>
          <w:rFonts w:ascii="Book Antiqua" w:hAnsi="Book Antiqua"/>
          <w:color w:val="000000" w:themeColor="text1"/>
          <w:sz w:val="24"/>
          <w:szCs w:val="24"/>
          <w:vertAlign w:val="subscript"/>
        </w:rPr>
        <w:t>2</w:t>
      </w:r>
      <w:r w:rsidRPr="00B43A8C">
        <w:rPr>
          <w:rFonts w:ascii="Book Antiqua" w:hAnsi="Book Antiqua"/>
          <w:color w:val="000000" w:themeColor="text1"/>
          <w:sz w:val="24"/>
          <w:szCs w:val="24"/>
        </w:rPr>
        <w:t>2</w:t>
      </w:r>
      <w:r w:rsidRPr="00B43A8C">
        <w:rPr>
          <w:rFonts w:ascii="Book Antiqua" w:hAnsi="Book Antiqua"/>
          <w:color w:val="000000" w:themeColor="text1"/>
          <w:sz w:val="24"/>
          <w:szCs w:val="24"/>
          <w:vertAlign w:val="superscript"/>
        </w:rPr>
        <w:t>−ΔΔCt</w:t>
      </w:r>
      <w:r w:rsidRPr="00B43A8C">
        <w:rPr>
          <w:rFonts w:ascii="Book Antiqua" w:hAnsi="Book Antiqua"/>
          <w:color w:val="000000" w:themeColor="text1"/>
          <w:sz w:val="24"/>
          <w:szCs w:val="24"/>
        </w:rPr>
        <w:t xml:space="preserve"> values greater than one in the presence of synchronous hepatic metastasis than its absence (</w:t>
      </w:r>
      <w:r w:rsidR="00802499" w:rsidRPr="00B43A8C">
        <w:rPr>
          <w:rFonts w:ascii="Book Antiqua" w:hAnsi="Book Antiqua"/>
          <w:i/>
          <w:color w:val="000000" w:themeColor="text1"/>
          <w:sz w:val="24"/>
          <w:szCs w:val="24"/>
        </w:rPr>
        <w:t>P</w:t>
      </w:r>
      <w:r w:rsidRPr="00B43A8C">
        <w:rPr>
          <w:rFonts w:ascii="Book Antiqua" w:hAnsi="Book Antiqua"/>
          <w:color w:val="000000" w:themeColor="text1"/>
          <w:sz w:val="24"/>
          <w:szCs w:val="24"/>
        </w:rPr>
        <w:t xml:space="preserve"> = 0.03). The proportion of patients with log</w:t>
      </w:r>
      <w:r w:rsidRPr="00B43A8C">
        <w:rPr>
          <w:rFonts w:ascii="Book Antiqua" w:hAnsi="Book Antiqua"/>
          <w:color w:val="000000" w:themeColor="text1"/>
          <w:sz w:val="24"/>
          <w:szCs w:val="24"/>
          <w:vertAlign w:val="subscript"/>
        </w:rPr>
        <w:t>2</w:t>
      </w:r>
      <w:r w:rsidRPr="00B43A8C">
        <w:rPr>
          <w:rFonts w:ascii="Book Antiqua" w:hAnsi="Book Antiqua"/>
          <w:color w:val="000000" w:themeColor="text1"/>
          <w:sz w:val="24"/>
          <w:szCs w:val="24"/>
        </w:rPr>
        <w:t>2</w:t>
      </w:r>
      <w:r w:rsidRPr="00B43A8C">
        <w:rPr>
          <w:rFonts w:ascii="Book Antiqua" w:hAnsi="Book Antiqua"/>
          <w:color w:val="000000" w:themeColor="text1"/>
          <w:sz w:val="24"/>
          <w:szCs w:val="24"/>
          <w:vertAlign w:val="superscript"/>
        </w:rPr>
        <w:t>−ΔΔCt</w:t>
      </w:r>
      <w:r w:rsidRPr="00B43A8C">
        <w:rPr>
          <w:rFonts w:ascii="Book Antiqua" w:hAnsi="Book Antiqua"/>
          <w:color w:val="000000" w:themeColor="text1"/>
          <w:sz w:val="24"/>
          <w:szCs w:val="24"/>
        </w:rPr>
        <w:t xml:space="preserve"> values greater than one was significantly higher in the </w:t>
      </w:r>
      <w:r w:rsidRPr="00B43A8C">
        <w:rPr>
          <w:rFonts w:ascii="Book Antiqua" w:hAnsi="Book Antiqua"/>
          <w:color w:val="000000" w:themeColor="text1"/>
          <w:sz w:val="24"/>
          <w:szCs w:val="24"/>
        </w:rPr>
        <w:lastRenderedPageBreak/>
        <w:t>presence than in the absence of involvement of circumferential resection margin (CRM) for SLAMF7, CKS2 and TREM1 (</w:t>
      </w:r>
      <w:r w:rsidR="00477FE4" w:rsidRPr="00B43A8C">
        <w:rPr>
          <w:rFonts w:ascii="Book Antiqua" w:hAnsi="Book Antiqua"/>
          <w:i/>
          <w:color w:val="000000" w:themeColor="text1"/>
          <w:sz w:val="24"/>
          <w:szCs w:val="24"/>
        </w:rPr>
        <w:t>P</w:t>
      </w:r>
      <w:r w:rsidRPr="00B43A8C">
        <w:rPr>
          <w:rFonts w:ascii="Book Antiqua" w:hAnsi="Book Antiqua"/>
          <w:color w:val="000000" w:themeColor="text1"/>
          <w:sz w:val="24"/>
          <w:szCs w:val="24"/>
        </w:rPr>
        <w:t xml:space="preserve"> = 0.02, 0.05, 0.04, respectively). These associations, as well as associations with the presence of comorbidity, family history, tumor location and the pattern of carcinoembryonic antigen, are shown in Table 1.</w:t>
      </w:r>
    </w:p>
    <w:p w14:paraId="5A5F2F5D" w14:textId="2CBEB1CE" w:rsidR="00DB03D6" w:rsidRPr="00B43A8C" w:rsidRDefault="00477FE4" w:rsidP="00477FE4">
      <w:pPr>
        <w:wordWrap/>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DB03D6" w:rsidRPr="00B43A8C">
        <w:rPr>
          <w:rFonts w:ascii="Book Antiqua" w:hAnsi="Book Antiqua"/>
          <w:color w:val="000000" w:themeColor="text1"/>
          <w:sz w:val="24"/>
          <w:szCs w:val="24"/>
        </w:rPr>
        <w:t>PFS was positively associated with relatively higher expression in tumor of SLAMF7,</w:t>
      </w:r>
      <w:r>
        <w:rPr>
          <w:rFonts w:ascii="Book Antiqua" w:hAnsi="Book Antiqua"/>
          <w:color w:val="000000" w:themeColor="text1"/>
          <w:sz w:val="24"/>
          <w:szCs w:val="24"/>
        </w:rPr>
        <w:t xml:space="preserve"> CXCL1, and CXCL</w:t>
      </w:r>
      <w:r w:rsidR="00DB03D6" w:rsidRPr="00B43A8C">
        <w:rPr>
          <w:rFonts w:ascii="Book Antiqua" w:hAnsi="Book Antiqua"/>
          <w:color w:val="000000" w:themeColor="text1"/>
          <w:sz w:val="24"/>
          <w:szCs w:val="24"/>
        </w:rPr>
        <w:t xml:space="preserve">3 and negatively associated with relatively higher expression of TREM1 (Supplementary Figure </w:t>
      </w:r>
      <w:r w:rsidR="00182E90" w:rsidRPr="00B43A8C">
        <w:rPr>
          <w:rFonts w:ascii="Book Antiqua" w:hAnsi="Book Antiqua"/>
          <w:color w:val="000000" w:themeColor="text1"/>
          <w:sz w:val="24"/>
          <w:szCs w:val="24"/>
        </w:rPr>
        <w:t>4</w:t>
      </w:r>
      <w:r w:rsidR="00DB03D6" w:rsidRPr="00B43A8C">
        <w:rPr>
          <w:rFonts w:ascii="Book Antiqua" w:hAnsi="Book Antiqua"/>
          <w:color w:val="000000" w:themeColor="text1"/>
          <w:sz w:val="24"/>
          <w:szCs w:val="24"/>
        </w:rPr>
        <w:t xml:space="preserve">). Additionally, a multivariate Cox </w:t>
      </w:r>
      <w:proofErr w:type="spellStart"/>
      <w:r w:rsidR="00DB03D6" w:rsidRPr="00B43A8C">
        <w:rPr>
          <w:rFonts w:ascii="Book Antiqua" w:hAnsi="Book Antiqua"/>
          <w:color w:val="000000" w:themeColor="text1"/>
          <w:sz w:val="24"/>
          <w:szCs w:val="24"/>
        </w:rPr>
        <w:t>pro</w:t>
      </w:r>
      <w:r w:rsidR="00E01799" w:rsidRPr="00B43A8C">
        <w:rPr>
          <w:rFonts w:ascii="Book Antiqua" w:hAnsi="Book Antiqua"/>
          <w:color w:val="000000" w:themeColor="text1"/>
          <w:sz w:val="24"/>
          <w:szCs w:val="24"/>
        </w:rPr>
        <w:t>port</w:t>
      </w:r>
      <w:r w:rsidR="00DB03D6" w:rsidRPr="00B43A8C">
        <w:rPr>
          <w:rFonts w:ascii="Book Antiqua" w:hAnsi="Book Antiqua"/>
          <w:color w:val="000000" w:themeColor="text1"/>
          <w:sz w:val="24"/>
          <w:szCs w:val="24"/>
        </w:rPr>
        <w:t>onal</w:t>
      </w:r>
      <w:proofErr w:type="spellEnd"/>
      <w:r w:rsidR="00DB03D6" w:rsidRPr="00B43A8C">
        <w:rPr>
          <w:rFonts w:ascii="Book Antiqua" w:hAnsi="Book Antiqua"/>
          <w:color w:val="000000" w:themeColor="text1"/>
          <w:sz w:val="24"/>
          <w:szCs w:val="24"/>
        </w:rPr>
        <w:t xml:space="preserve"> hazard regression model was used to analyze the associations of PFS with expression of individual </w:t>
      </w:r>
      <w:r w:rsidR="00802499">
        <w:rPr>
          <w:rFonts w:ascii="Book Antiqua" w:hAnsi="Book Antiqua"/>
          <w:color w:val="000000" w:themeColor="text1"/>
          <w:sz w:val="24"/>
          <w:szCs w:val="24"/>
        </w:rPr>
        <w:t>TCA19</w:t>
      </w:r>
      <w:r w:rsidR="00DB03D6" w:rsidRPr="00B43A8C">
        <w:rPr>
          <w:rFonts w:ascii="Book Antiqua" w:hAnsi="Book Antiqua"/>
          <w:color w:val="000000" w:themeColor="text1"/>
          <w:sz w:val="24"/>
          <w:szCs w:val="24"/>
        </w:rPr>
        <w:t xml:space="preserve"> genes and with clinicopathological variables. This analysis showed that LVI, CRM involvement, and expression of SLAMF7, CKS2 and TREM1 were significantly associated with PFS (Table 2).</w:t>
      </w:r>
    </w:p>
    <w:p w14:paraId="10A8EC36" w14:textId="77777777" w:rsidR="00DB03D6" w:rsidRPr="00B43A8C" w:rsidRDefault="00DB03D6" w:rsidP="00B43A8C">
      <w:pPr>
        <w:wordWrap/>
        <w:adjustRightInd w:val="0"/>
        <w:snapToGrid w:val="0"/>
        <w:spacing w:line="360" w:lineRule="auto"/>
        <w:ind w:firstLineChars="200" w:firstLine="480"/>
        <w:rPr>
          <w:rFonts w:ascii="Book Antiqua" w:hAnsi="Book Antiqua"/>
          <w:color w:val="000000" w:themeColor="text1"/>
          <w:sz w:val="24"/>
          <w:szCs w:val="24"/>
        </w:rPr>
      </w:pPr>
    </w:p>
    <w:p w14:paraId="3B7A9CE6" w14:textId="77777777" w:rsidR="00DB03D6" w:rsidRPr="00B43A8C" w:rsidRDefault="00DB03D6" w:rsidP="00EF65CB">
      <w:pPr>
        <w:wordWrap/>
        <w:adjustRightInd w:val="0"/>
        <w:snapToGrid w:val="0"/>
        <w:spacing w:line="360" w:lineRule="auto"/>
        <w:outlineLvl w:val="0"/>
        <w:rPr>
          <w:rFonts w:ascii="Book Antiqua" w:eastAsiaTheme="minorEastAsia" w:hAnsi="Book Antiqua"/>
          <w:b/>
          <w:i/>
          <w:color w:val="000000" w:themeColor="text1"/>
          <w:sz w:val="24"/>
          <w:szCs w:val="24"/>
        </w:rPr>
      </w:pPr>
      <w:r w:rsidRPr="00B43A8C">
        <w:rPr>
          <w:rFonts w:ascii="Book Antiqua" w:hAnsi="Book Antiqua"/>
          <w:b/>
          <w:i/>
          <w:color w:val="000000" w:themeColor="text1"/>
          <w:sz w:val="24"/>
          <w:szCs w:val="24"/>
        </w:rPr>
        <w:t>SLAMF7 and TREM1were differentially expressed in the 60 CRC patients with CRC</w:t>
      </w:r>
    </w:p>
    <w:p w14:paraId="69E1EFC1" w14:textId="77777777" w:rsidR="00DB03D6" w:rsidRPr="00B43A8C" w:rsidRDefault="00DB03D6" w:rsidP="00477FE4">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color w:val="000000" w:themeColor="text1"/>
          <w:sz w:val="24"/>
          <w:szCs w:val="24"/>
        </w:rPr>
        <w:t>The association of expression of SLAMF7 and TREM1 with clinicopathological variables and PFS, as well as their immune-related gene functions, suggested that they were possible candidate genes. The relative mRNA expression of the SLAMF7 and TREM1 genes was assessed in the 60 CRC patients of the primary study group. In 53 patients, SLAMF7 expression was lower in tumor tissue than in normal tissue, giving a mean 2</w:t>
      </w:r>
      <w:r w:rsidRPr="00B43A8C">
        <w:rPr>
          <w:rFonts w:ascii="Book Antiqua" w:hAnsi="Book Antiqua"/>
          <w:color w:val="000000" w:themeColor="text1"/>
          <w:sz w:val="24"/>
          <w:szCs w:val="24"/>
          <w:vertAlign w:val="superscript"/>
        </w:rPr>
        <w:t>−ΔΔCt</w:t>
      </w:r>
      <w:r w:rsidRPr="00B43A8C">
        <w:rPr>
          <w:rFonts w:ascii="Book Antiqua" w:hAnsi="Book Antiqua"/>
          <w:color w:val="000000" w:themeColor="text1"/>
          <w:sz w:val="24"/>
          <w:szCs w:val="24"/>
        </w:rPr>
        <w:t xml:space="preserve"> value of 0.2, compared with a mean 2</w:t>
      </w:r>
      <w:r w:rsidRPr="00B43A8C">
        <w:rPr>
          <w:rFonts w:ascii="Book Antiqua" w:hAnsi="Book Antiqua"/>
          <w:color w:val="000000" w:themeColor="text1"/>
          <w:sz w:val="24"/>
          <w:szCs w:val="24"/>
          <w:vertAlign w:val="superscript"/>
        </w:rPr>
        <w:t>−ΔΔCt</w:t>
      </w:r>
      <w:r w:rsidRPr="00B43A8C">
        <w:rPr>
          <w:rFonts w:ascii="Book Antiqua" w:hAnsi="Book Antiqua"/>
          <w:color w:val="000000" w:themeColor="text1"/>
          <w:sz w:val="24"/>
          <w:szCs w:val="24"/>
        </w:rPr>
        <w:t xml:space="preserve"> value of 1.17 in 7 patients. In 22 patients, TREM1 expression was higher in tumor tissue than in normal tissue, giving a mean 2</w:t>
      </w:r>
      <w:r w:rsidRPr="00B43A8C">
        <w:rPr>
          <w:rFonts w:ascii="Book Antiqua" w:hAnsi="Book Antiqua"/>
          <w:color w:val="000000" w:themeColor="text1"/>
          <w:sz w:val="24"/>
          <w:szCs w:val="24"/>
          <w:vertAlign w:val="superscript"/>
        </w:rPr>
        <w:t>−ΔΔCt</w:t>
      </w:r>
      <w:r w:rsidRPr="00B43A8C">
        <w:rPr>
          <w:rFonts w:ascii="Book Antiqua" w:hAnsi="Book Antiqua"/>
          <w:color w:val="000000" w:themeColor="text1"/>
          <w:sz w:val="24"/>
          <w:szCs w:val="24"/>
        </w:rPr>
        <w:t xml:space="preserve"> value of 37.95, compared with a mean 2</w:t>
      </w:r>
      <w:r w:rsidRPr="00B43A8C">
        <w:rPr>
          <w:rFonts w:ascii="Book Antiqua" w:hAnsi="Book Antiqua"/>
          <w:color w:val="000000" w:themeColor="text1"/>
          <w:sz w:val="24"/>
          <w:szCs w:val="24"/>
          <w:vertAlign w:val="superscript"/>
        </w:rPr>
        <w:t>−ΔΔCt</w:t>
      </w:r>
      <w:r w:rsidRPr="00B43A8C">
        <w:rPr>
          <w:rFonts w:ascii="Book Antiqua" w:hAnsi="Book Antiqua"/>
          <w:color w:val="000000" w:themeColor="text1"/>
          <w:sz w:val="24"/>
          <w:szCs w:val="24"/>
        </w:rPr>
        <w:t xml:space="preserve"> value of 14.14 in 38 patients. </w:t>
      </w:r>
    </w:p>
    <w:p w14:paraId="1BB7B4E7" w14:textId="77777777" w:rsidR="00DB03D6" w:rsidRPr="00B43A8C" w:rsidRDefault="00DB03D6" w:rsidP="00B43A8C">
      <w:pPr>
        <w:wordWrap/>
        <w:adjustRightInd w:val="0"/>
        <w:snapToGrid w:val="0"/>
        <w:spacing w:line="360" w:lineRule="auto"/>
        <w:ind w:firstLineChars="200" w:firstLine="480"/>
        <w:rPr>
          <w:rFonts w:ascii="Book Antiqua" w:hAnsi="Book Antiqua"/>
          <w:color w:val="000000" w:themeColor="text1"/>
          <w:sz w:val="24"/>
          <w:szCs w:val="24"/>
        </w:rPr>
      </w:pPr>
    </w:p>
    <w:p w14:paraId="71A3CA12" w14:textId="77777777" w:rsidR="00DB03D6" w:rsidRPr="00B43A8C" w:rsidRDefault="00DB03D6" w:rsidP="00EF65CB">
      <w:pPr>
        <w:wordWrap/>
        <w:adjustRightInd w:val="0"/>
        <w:snapToGrid w:val="0"/>
        <w:spacing w:line="360" w:lineRule="auto"/>
        <w:outlineLvl w:val="0"/>
        <w:rPr>
          <w:rFonts w:ascii="Book Antiqua" w:eastAsiaTheme="minorEastAsia" w:hAnsi="Book Antiqua"/>
          <w:b/>
          <w:i/>
          <w:color w:val="000000" w:themeColor="text1"/>
          <w:sz w:val="24"/>
          <w:szCs w:val="24"/>
        </w:rPr>
      </w:pPr>
      <w:r w:rsidRPr="00B43A8C">
        <w:rPr>
          <w:rFonts w:ascii="Book Antiqua" w:hAnsi="Book Antiqua"/>
          <w:b/>
          <w:i/>
          <w:color w:val="000000" w:themeColor="text1"/>
          <w:sz w:val="24"/>
          <w:szCs w:val="24"/>
        </w:rPr>
        <w:t>Expression of SLAMF7 and TREM1 in CRC was validated in a further 10 patients</w:t>
      </w:r>
    </w:p>
    <w:p w14:paraId="0EF29564" w14:textId="70685366" w:rsidR="00182E90" w:rsidRPr="00B43A8C" w:rsidRDefault="00DB03D6" w:rsidP="00477FE4">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color w:val="000000" w:themeColor="text1"/>
          <w:sz w:val="24"/>
          <w:szCs w:val="24"/>
        </w:rPr>
        <w:t xml:space="preserve">Additional validation for the pattern of mRNA expression of SLAMF7 and TREM1 was obtained through RT-qPCR, western blotting and IHC of normal and tumor tissue samples of 10 additional patients with stage IV CRC. The results showed similar pattern to those with the initial 60-patient cohort, with lower expression of SLAMF7 and higher expression of TREM1 mRNA and protein in tumor tissue than normal tissue (Supplementary Figure </w:t>
      </w:r>
      <w:r w:rsidR="00182E90" w:rsidRPr="00B43A8C">
        <w:rPr>
          <w:rFonts w:ascii="Book Antiqua" w:hAnsi="Book Antiqua"/>
          <w:color w:val="000000" w:themeColor="text1"/>
          <w:sz w:val="24"/>
          <w:szCs w:val="24"/>
        </w:rPr>
        <w:t>5</w:t>
      </w:r>
      <w:r w:rsidRPr="00B43A8C">
        <w:rPr>
          <w:rFonts w:ascii="Book Antiqua" w:hAnsi="Book Antiqua"/>
          <w:color w:val="000000" w:themeColor="text1"/>
          <w:sz w:val="24"/>
          <w:szCs w:val="24"/>
        </w:rPr>
        <w:t>).</w:t>
      </w:r>
      <w:r w:rsidR="00182E90" w:rsidRPr="00B43A8C">
        <w:rPr>
          <w:rFonts w:ascii="Book Antiqua" w:hAnsi="Book Antiqua"/>
          <w:color w:val="000000" w:themeColor="text1"/>
          <w:sz w:val="24"/>
          <w:szCs w:val="24"/>
        </w:rPr>
        <w:t xml:space="preserve"> In additional analysis of 27 patients </w:t>
      </w:r>
      <w:r w:rsidR="00182E90" w:rsidRPr="00B43A8C">
        <w:rPr>
          <w:rFonts w:ascii="Book Antiqua" w:hAnsi="Book Antiqua"/>
          <w:color w:val="000000" w:themeColor="text1"/>
          <w:sz w:val="24"/>
          <w:szCs w:val="24"/>
        </w:rPr>
        <w:lastRenderedPageBreak/>
        <w:t>(separate from the 60 study cohort and the 10 validation set), SLAMF7 expression in 7 patients was lower in tumor tissue than in normal tissue (mean 2</w:t>
      </w:r>
      <w:r w:rsidR="00182E90" w:rsidRPr="00B43A8C">
        <w:rPr>
          <w:rFonts w:ascii="Book Antiqua" w:hAnsi="Book Antiqua"/>
          <w:color w:val="000000" w:themeColor="text1"/>
          <w:sz w:val="24"/>
          <w:szCs w:val="24"/>
          <w:vertAlign w:val="superscript"/>
        </w:rPr>
        <w:t>−ΔΔCt</w:t>
      </w:r>
      <w:r w:rsidR="00182E90" w:rsidRPr="00B43A8C">
        <w:rPr>
          <w:rFonts w:ascii="Book Antiqua" w:hAnsi="Book Antiqua"/>
          <w:color w:val="000000" w:themeColor="text1"/>
          <w:sz w:val="24"/>
          <w:szCs w:val="24"/>
        </w:rPr>
        <w:t xml:space="preserve"> value: 20.21) and TREM1 expression in 18 was higher in tumor tissue than in normal tissue (mean 2</w:t>
      </w:r>
      <w:r w:rsidR="00182E90" w:rsidRPr="00B43A8C">
        <w:rPr>
          <w:rFonts w:ascii="Book Antiqua" w:hAnsi="Book Antiqua"/>
          <w:color w:val="000000" w:themeColor="text1"/>
          <w:sz w:val="24"/>
          <w:szCs w:val="24"/>
          <w:vertAlign w:val="superscript"/>
        </w:rPr>
        <w:t>−ΔΔCt</w:t>
      </w:r>
      <w:r w:rsidR="00477FE4">
        <w:rPr>
          <w:rFonts w:ascii="Book Antiqua" w:hAnsi="Book Antiqua"/>
          <w:color w:val="000000" w:themeColor="text1"/>
          <w:sz w:val="24"/>
          <w:szCs w:val="24"/>
        </w:rPr>
        <w:t xml:space="preserve"> value: 37.21) (Supplementary T</w:t>
      </w:r>
      <w:r w:rsidR="00182E90" w:rsidRPr="00B43A8C">
        <w:rPr>
          <w:rFonts w:ascii="Book Antiqua" w:hAnsi="Book Antiqua"/>
          <w:color w:val="000000" w:themeColor="text1"/>
          <w:sz w:val="24"/>
          <w:szCs w:val="24"/>
        </w:rPr>
        <w:t xml:space="preserve">able </w:t>
      </w:r>
      <w:r w:rsidR="00565745" w:rsidRPr="00B43A8C">
        <w:rPr>
          <w:rFonts w:ascii="Book Antiqua" w:hAnsi="Book Antiqua"/>
          <w:color w:val="000000" w:themeColor="text1"/>
          <w:sz w:val="24"/>
          <w:szCs w:val="24"/>
        </w:rPr>
        <w:t>5</w:t>
      </w:r>
      <w:r w:rsidR="00182E90" w:rsidRPr="00B43A8C">
        <w:rPr>
          <w:rFonts w:ascii="Book Antiqua" w:hAnsi="Book Antiqua"/>
          <w:color w:val="000000" w:themeColor="text1"/>
          <w:sz w:val="24"/>
          <w:szCs w:val="24"/>
        </w:rPr>
        <w:t xml:space="preserve">). </w:t>
      </w:r>
    </w:p>
    <w:p w14:paraId="1F8EB426" w14:textId="6D5451FC" w:rsidR="00DB03D6" w:rsidRPr="00B43A8C" w:rsidRDefault="00477FE4" w:rsidP="00477FE4">
      <w:pPr>
        <w:wordWrap/>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DB03D6" w:rsidRPr="00B43A8C">
        <w:rPr>
          <w:rFonts w:ascii="Book Antiqua" w:hAnsi="Book Antiqua"/>
          <w:color w:val="000000" w:themeColor="text1"/>
          <w:sz w:val="24"/>
          <w:szCs w:val="24"/>
        </w:rPr>
        <w:t xml:space="preserve">The results of western blotting were consistent with those of the mRNA expression study, with lower expression of SLAF7 and higher expression of TREM1 in primary or metastatic tumor tissues than in normal colonic tissue (Supplementary Figure </w:t>
      </w:r>
      <w:r w:rsidR="00125ABC" w:rsidRPr="00B43A8C">
        <w:rPr>
          <w:rFonts w:ascii="Book Antiqua" w:hAnsi="Book Antiqua"/>
          <w:color w:val="000000" w:themeColor="text1"/>
          <w:sz w:val="24"/>
          <w:szCs w:val="24"/>
        </w:rPr>
        <w:t>6</w:t>
      </w:r>
      <w:r w:rsidR="00DB03D6" w:rsidRPr="00B43A8C">
        <w:rPr>
          <w:rFonts w:ascii="Book Antiqua" w:hAnsi="Book Antiqua"/>
          <w:color w:val="000000" w:themeColor="text1"/>
          <w:sz w:val="24"/>
          <w:szCs w:val="24"/>
        </w:rPr>
        <w:t xml:space="preserve">). However, in IHC, both SLAMF7 and TREM1 were expressed at significantly higher levels in primary or metastatic tumor tissues than in normal colonic tissue (Supplementary Table </w:t>
      </w:r>
      <w:r w:rsidR="00565745" w:rsidRPr="00B43A8C">
        <w:rPr>
          <w:rFonts w:ascii="Book Antiqua" w:hAnsi="Book Antiqua"/>
          <w:color w:val="000000" w:themeColor="text1"/>
          <w:sz w:val="24"/>
          <w:szCs w:val="24"/>
        </w:rPr>
        <w:t>6</w:t>
      </w:r>
      <w:r w:rsidR="00DB03D6" w:rsidRPr="00B43A8C">
        <w:rPr>
          <w:rFonts w:ascii="Book Antiqua" w:hAnsi="Book Antiqua"/>
          <w:color w:val="000000" w:themeColor="text1"/>
          <w:sz w:val="24"/>
          <w:szCs w:val="24"/>
        </w:rPr>
        <w:t xml:space="preserve">). </w:t>
      </w:r>
    </w:p>
    <w:p w14:paraId="40A1E647" w14:textId="77777777" w:rsidR="00DB03D6" w:rsidRPr="00B43A8C" w:rsidRDefault="00DB03D6" w:rsidP="00B43A8C">
      <w:pPr>
        <w:wordWrap/>
        <w:adjustRightInd w:val="0"/>
        <w:snapToGrid w:val="0"/>
        <w:spacing w:line="360" w:lineRule="auto"/>
        <w:ind w:firstLineChars="200" w:firstLine="480"/>
        <w:rPr>
          <w:rFonts w:ascii="Book Antiqua" w:hAnsi="Book Antiqua"/>
          <w:color w:val="000000" w:themeColor="text1"/>
          <w:sz w:val="24"/>
          <w:szCs w:val="24"/>
        </w:rPr>
      </w:pPr>
    </w:p>
    <w:p w14:paraId="1E0C0EC8" w14:textId="77777777" w:rsidR="00DB03D6" w:rsidRPr="00B43A8C" w:rsidRDefault="00DB03D6" w:rsidP="00EF65CB">
      <w:pPr>
        <w:wordWrap/>
        <w:adjustRightInd w:val="0"/>
        <w:snapToGrid w:val="0"/>
        <w:spacing w:line="360" w:lineRule="auto"/>
        <w:outlineLvl w:val="0"/>
        <w:rPr>
          <w:rFonts w:ascii="Book Antiqua" w:hAnsi="Book Antiqua"/>
          <w:b/>
          <w:color w:val="000000" w:themeColor="text1"/>
          <w:sz w:val="24"/>
          <w:szCs w:val="24"/>
        </w:rPr>
      </w:pPr>
      <w:r w:rsidRPr="00B43A8C">
        <w:rPr>
          <w:rFonts w:ascii="Book Antiqua" w:hAnsi="Book Antiqua"/>
          <w:b/>
          <w:i/>
          <w:color w:val="000000" w:themeColor="text1"/>
          <w:sz w:val="24"/>
          <w:szCs w:val="24"/>
        </w:rPr>
        <w:t>Results from high-throughput imaging</w:t>
      </w:r>
    </w:p>
    <w:p w14:paraId="4F9FD217" w14:textId="05F9D038" w:rsidR="00DB03D6" w:rsidRPr="00B43A8C" w:rsidRDefault="00DB03D6" w:rsidP="00477FE4">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color w:val="000000" w:themeColor="text1"/>
          <w:sz w:val="24"/>
          <w:szCs w:val="24"/>
        </w:rPr>
        <w:t xml:space="preserve">SLAMF7 and TREM1 have functions in immune responses, so their relationships with CD68 and CD73 were assessed by high-throughput imaging. Baseline IHC for these proteins was performed with tissues from the validation cohort of 10 patients with stage IV CRC, and showed TREM1 staining in plasma membrane, extracellular regions and intracellular regions, and SLAMF7 staining in plasma membranes and integral components of membranes (Supplementary Figure </w:t>
      </w:r>
      <w:r w:rsidR="00125ABC" w:rsidRPr="00B43A8C">
        <w:rPr>
          <w:rFonts w:ascii="Book Antiqua" w:hAnsi="Book Antiqua"/>
          <w:color w:val="000000" w:themeColor="text1"/>
          <w:sz w:val="24"/>
          <w:szCs w:val="24"/>
        </w:rPr>
        <w:t>7</w:t>
      </w:r>
      <w:r w:rsidRPr="00B43A8C">
        <w:rPr>
          <w:rFonts w:ascii="Book Antiqua" w:hAnsi="Book Antiqua"/>
          <w:color w:val="000000" w:themeColor="text1"/>
          <w:sz w:val="24"/>
          <w:szCs w:val="24"/>
        </w:rPr>
        <w:t xml:space="preserve">). CD68 was expressed in stroma (especially membranes), and CD73 was expressed in tumor stroma (Supplementary Figure </w:t>
      </w:r>
      <w:r w:rsidR="00125ABC" w:rsidRPr="00B43A8C">
        <w:rPr>
          <w:rFonts w:ascii="Book Antiqua" w:hAnsi="Book Antiqua"/>
          <w:color w:val="000000" w:themeColor="text1"/>
          <w:sz w:val="24"/>
          <w:szCs w:val="24"/>
        </w:rPr>
        <w:t>8</w:t>
      </w:r>
      <w:r w:rsidRPr="00B43A8C">
        <w:rPr>
          <w:rFonts w:ascii="Book Antiqua" w:hAnsi="Book Antiqua"/>
          <w:color w:val="000000" w:themeColor="text1"/>
          <w:sz w:val="24"/>
          <w:szCs w:val="24"/>
        </w:rPr>
        <w:t xml:space="preserve">). </w:t>
      </w:r>
    </w:p>
    <w:p w14:paraId="414BA87A" w14:textId="623FDF05" w:rsidR="00DB03D6" w:rsidRPr="00B43A8C" w:rsidRDefault="00477FE4" w:rsidP="00477FE4">
      <w:pPr>
        <w:wordWrap/>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DB03D6" w:rsidRPr="00B43A8C">
        <w:rPr>
          <w:rFonts w:ascii="Book Antiqua" w:hAnsi="Book Antiqua"/>
          <w:color w:val="000000" w:themeColor="text1"/>
          <w:sz w:val="24"/>
          <w:szCs w:val="24"/>
        </w:rPr>
        <w:t xml:space="preserve">CRC cells lines over-expressing SLAMF7 or TREM1 were co-cultured with THP-1 cells, and protein expression in the CRC cells before and after 5 d of co-culturing was compared by high-throughput immunofluorescence imaging. Specifically, expression of CD68 or CD73 was determined in regions expressing SLAMF7 or TREM1. At day 5, co-expression of both CD68 and CD73 with SLAMF7 was significantly lower than at day 0 (both </w:t>
      </w:r>
      <w:r w:rsidRPr="00B43A8C">
        <w:rPr>
          <w:rFonts w:ascii="Book Antiqua" w:hAnsi="Book Antiqua"/>
          <w:i/>
          <w:color w:val="000000" w:themeColor="text1"/>
          <w:sz w:val="24"/>
          <w:szCs w:val="24"/>
        </w:rPr>
        <w:t>P</w:t>
      </w:r>
      <w:r w:rsidR="00DB03D6" w:rsidRPr="00B43A8C">
        <w:rPr>
          <w:rFonts w:ascii="Book Antiqua" w:hAnsi="Book Antiqua"/>
          <w:color w:val="000000" w:themeColor="text1"/>
          <w:sz w:val="24"/>
          <w:szCs w:val="24"/>
        </w:rPr>
        <w:t xml:space="preserve"> = 0.029) (Figure</w:t>
      </w:r>
      <w:r>
        <w:rPr>
          <w:rFonts w:ascii="Book Antiqua" w:hAnsi="Book Antiqua"/>
          <w:color w:val="000000" w:themeColor="text1"/>
          <w:sz w:val="24"/>
          <w:szCs w:val="24"/>
        </w:rPr>
        <w:t xml:space="preserve">s 2 and </w:t>
      </w:r>
      <w:r w:rsidR="00DB03D6" w:rsidRPr="00B43A8C">
        <w:rPr>
          <w:rFonts w:ascii="Book Antiqua" w:hAnsi="Book Antiqua"/>
          <w:color w:val="000000" w:themeColor="text1"/>
          <w:sz w:val="24"/>
          <w:szCs w:val="24"/>
        </w:rPr>
        <w:t xml:space="preserve">3). Co-expression of CD68 or CD73 with TREM1 was not significantly different at day 5 from that at day 0 (Supplementary Figure </w:t>
      </w:r>
      <w:r w:rsidR="00125ABC" w:rsidRPr="00B43A8C">
        <w:rPr>
          <w:rFonts w:ascii="Book Antiqua" w:hAnsi="Book Antiqua"/>
          <w:color w:val="000000" w:themeColor="text1"/>
          <w:sz w:val="24"/>
          <w:szCs w:val="24"/>
        </w:rPr>
        <w:t>9</w:t>
      </w:r>
      <w:r w:rsidR="00DB03D6" w:rsidRPr="00B43A8C">
        <w:rPr>
          <w:rFonts w:ascii="Book Antiqua" w:hAnsi="Book Antiqua"/>
          <w:color w:val="000000" w:themeColor="text1"/>
          <w:sz w:val="24"/>
          <w:szCs w:val="24"/>
        </w:rPr>
        <w:t>).</w:t>
      </w:r>
    </w:p>
    <w:p w14:paraId="0E8B2E49" w14:textId="77777777" w:rsidR="00DB03D6" w:rsidRPr="00B43A8C" w:rsidRDefault="00DB03D6" w:rsidP="00B43A8C">
      <w:pPr>
        <w:wordWrap/>
        <w:adjustRightInd w:val="0"/>
        <w:snapToGrid w:val="0"/>
        <w:spacing w:line="360" w:lineRule="auto"/>
        <w:ind w:firstLineChars="200" w:firstLine="480"/>
        <w:rPr>
          <w:rFonts w:ascii="Book Antiqua" w:hAnsi="Book Antiqua"/>
          <w:color w:val="000000" w:themeColor="text1"/>
          <w:sz w:val="24"/>
          <w:szCs w:val="24"/>
        </w:rPr>
      </w:pPr>
    </w:p>
    <w:p w14:paraId="0C7B5175" w14:textId="07BB4765" w:rsidR="00DB03D6" w:rsidRPr="00B43A8C" w:rsidRDefault="00032288" w:rsidP="00EF65CB">
      <w:pPr>
        <w:wordWrap/>
        <w:adjustRightInd w:val="0"/>
        <w:snapToGrid w:val="0"/>
        <w:spacing w:line="360" w:lineRule="auto"/>
        <w:outlineLvl w:val="0"/>
        <w:rPr>
          <w:rFonts w:ascii="Book Antiqua" w:hAnsi="Book Antiqua"/>
          <w:b/>
          <w:color w:val="000000" w:themeColor="text1"/>
          <w:sz w:val="24"/>
          <w:szCs w:val="24"/>
        </w:rPr>
      </w:pPr>
      <w:r w:rsidRPr="00B43A8C">
        <w:rPr>
          <w:rFonts w:ascii="Book Antiqua" w:hAnsi="Book Antiqua"/>
          <w:b/>
          <w:color w:val="000000" w:themeColor="text1"/>
          <w:sz w:val="24"/>
          <w:szCs w:val="24"/>
        </w:rPr>
        <w:t>DISCUSSION</w:t>
      </w:r>
    </w:p>
    <w:p w14:paraId="71F0AC0D" w14:textId="02694950" w:rsidR="00DB03D6" w:rsidRPr="00B43A8C" w:rsidRDefault="00DB03D6" w:rsidP="00B43A8C">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color w:val="000000" w:themeColor="text1"/>
          <w:sz w:val="24"/>
          <w:szCs w:val="24"/>
        </w:rPr>
        <w:lastRenderedPageBreak/>
        <w:t xml:space="preserve">Our results indicated that TCA19 might be useful for prediction of sensitivity of patients with stage IV CRC to targeted chemotherapy, as demonstrated previously for stage III </w:t>
      </w:r>
      <w:proofErr w:type="gramStart"/>
      <w:r w:rsidRPr="00B43A8C">
        <w:rPr>
          <w:rFonts w:ascii="Book Antiqua" w:hAnsi="Book Antiqua"/>
          <w:color w:val="000000" w:themeColor="text1"/>
          <w:sz w:val="24"/>
          <w:szCs w:val="24"/>
        </w:rPr>
        <w:t>CRC</w:t>
      </w:r>
      <w:r w:rsidR="00477FE4" w:rsidRPr="00B43A8C">
        <w:rPr>
          <w:rFonts w:ascii="Book Antiqua" w:hAnsi="Book Antiqua"/>
          <w:color w:val="000000" w:themeColor="text1"/>
          <w:sz w:val="24"/>
          <w:szCs w:val="24"/>
          <w:vertAlign w:val="superscript"/>
        </w:rPr>
        <w:t>[</w:t>
      </w:r>
      <w:proofErr w:type="gramEnd"/>
      <w:r w:rsidR="00477FE4" w:rsidRPr="00B43A8C">
        <w:rPr>
          <w:rFonts w:ascii="Book Antiqua" w:hAnsi="Book Antiqua"/>
          <w:color w:val="000000" w:themeColor="text1"/>
          <w:sz w:val="24"/>
          <w:szCs w:val="24"/>
          <w:vertAlign w:val="superscript"/>
        </w:rPr>
        <w:t>8]</w:t>
      </w:r>
      <w:r w:rsidRPr="00B43A8C">
        <w:rPr>
          <w:rFonts w:ascii="Book Antiqua" w:hAnsi="Book Antiqua"/>
          <w:color w:val="000000" w:themeColor="text1"/>
          <w:sz w:val="24"/>
          <w:szCs w:val="24"/>
        </w:rPr>
        <w:t xml:space="preserve">. </w:t>
      </w:r>
      <w:r w:rsidR="00565745" w:rsidRPr="00B43A8C">
        <w:rPr>
          <w:rFonts w:ascii="Book Antiqua" w:hAnsi="Book Antiqua"/>
          <w:color w:val="000000" w:themeColor="text1"/>
          <w:sz w:val="24"/>
          <w:szCs w:val="24"/>
        </w:rPr>
        <w:t>Specifically</w:t>
      </w:r>
      <w:r w:rsidRPr="00B43A8C">
        <w:rPr>
          <w:rFonts w:ascii="Book Antiqua" w:hAnsi="Book Antiqua"/>
          <w:color w:val="000000" w:themeColor="text1"/>
          <w:sz w:val="24"/>
          <w:szCs w:val="24"/>
        </w:rPr>
        <w:t>, a high score with the TCA19 classifier suggests that a patient is a possible responder to a targeted regimen. In our cohort of 60 patients with stage IV CRC, a high TCA19 score was associated with a 4-mo survival benefit for targeted regimens compared with the 5-FU regimen. Few efficient biomarkers have been discovered for prediction of responses to targeted regimens (existing marker include t</w:t>
      </w:r>
      <w:r w:rsidR="00A1284B">
        <w:rPr>
          <w:rFonts w:ascii="Book Antiqua" w:hAnsi="Book Antiqua"/>
          <w:color w:val="000000" w:themeColor="text1"/>
          <w:sz w:val="24"/>
          <w:szCs w:val="24"/>
        </w:rPr>
        <w:t xml:space="preserve">he products of </w:t>
      </w:r>
      <w:r w:rsidR="00A1284B" w:rsidRPr="00A1284B">
        <w:rPr>
          <w:rFonts w:ascii="Book Antiqua" w:hAnsi="Book Antiqua"/>
          <w:i/>
          <w:color w:val="000000" w:themeColor="text1"/>
          <w:sz w:val="24"/>
          <w:szCs w:val="24"/>
        </w:rPr>
        <w:t>KRAS</w:t>
      </w:r>
      <w:r w:rsidR="00A1284B">
        <w:rPr>
          <w:rFonts w:ascii="Book Antiqua" w:hAnsi="Book Antiqua"/>
          <w:color w:val="000000" w:themeColor="text1"/>
          <w:sz w:val="24"/>
          <w:szCs w:val="24"/>
        </w:rPr>
        <w:t xml:space="preserve">, </w:t>
      </w:r>
      <w:r w:rsidR="00A1284B" w:rsidRPr="00A1284B">
        <w:rPr>
          <w:rFonts w:ascii="Book Antiqua" w:hAnsi="Book Antiqua"/>
          <w:i/>
          <w:color w:val="000000" w:themeColor="text1"/>
          <w:sz w:val="24"/>
          <w:szCs w:val="24"/>
        </w:rPr>
        <w:t>NRAS</w:t>
      </w:r>
      <w:r w:rsidR="00A1284B">
        <w:rPr>
          <w:rFonts w:ascii="Book Antiqua" w:hAnsi="Book Antiqua"/>
          <w:color w:val="000000" w:themeColor="text1"/>
          <w:sz w:val="24"/>
          <w:szCs w:val="24"/>
        </w:rPr>
        <w:t xml:space="preserve">, </w:t>
      </w:r>
      <w:r w:rsidR="00A1284B" w:rsidRPr="00A1284B">
        <w:rPr>
          <w:rFonts w:ascii="Book Antiqua" w:hAnsi="Book Antiqua"/>
          <w:i/>
          <w:color w:val="000000" w:themeColor="text1"/>
          <w:sz w:val="24"/>
          <w:szCs w:val="24"/>
        </w:rPr>
        <w:t>BRAF</w:t>
      </w:r>
      <w:r w:rsidRPr="00B43A8C">
        <w:rPr>
          <w:rFonts w:ascii="Book Antiqua" w:hAnsi="Book Antiqua"/>
          <w:color w:val="000000" w:themeColor="text1"/>
          <w:sz w:val="24"/>
          <w:szCs w:val="24"/>
        </w:rPr>
        <w:t xml:space="preserve"> and </w:t>
      </w:r>
      <w:r w:rsidRPr="00A1284B">
        <w:rPr>
          <w:rFonts w:ascii="Book Antiqua" w:hAnsi="Book Antiqua"/>
          <w:i/>
          <w:color w:val="000000" w:themeColor="text1"/>
          <w:sz w:val="24"/>
          <w:szCs w:val="24"/>
        </w:rPr>
        <w:t>PIK3CA</w:t>
      </w:r>
      <w:r w:rsidRPr="00B43A8C">
        <w:rPr>
          <w:rFonts w:ascii="Book Antiqua" w:hAnsi="Book Antiqua"/>
          <w:color w:val="000000" w:themeColor="text1"/>
          <w:sz w:val="24"/>
          <w:szCs w:val="24"/>
        </w:rPr>
        <w:t xml:space="preserve"> genes), although attempts to identify such markers have used laboratory and clinical </w:t>
      </w:r>
      <w:proofErr w:type="gramStart"/>
      <w:r w:rsidRPr="00B43A8C">
        <w:rPr>
          <w:rFonts w:ascii="Book Antiqua" w:hAnsi="Book Antiqua"/>
          <w:color w:val="000000" w:themeColor="text1"/>
          <w:sz w:val="24"/>
          <w:szCs w:val="24"/>
        </w:rPr>
        <w:t>approaches</w:t>
      </w:r>
      <w:r w:rsidR="00A1284B" w:rsidRPr="00B43A8C">
        <w:rPr>
          <w:rFonts w:ascii="Book Antiqua" w:hAnsi="Book Antiqua"/>
          <w:color w:val="000000" w:themeColor="text1"/>
          <w:sz w:val="24"/>
          <w:szCs w:val="24"/>
          <w:vertAlign w:val="superscript"/>
        </w:rPr>
        <w:t>[</w:t>
      </w:r>
      <w:proofErr w:type="gramEnd"/>
      <w:r w:rsidR="00A1284B" w:rsidRPr="00B43A8C">
        <w:rPr>
          <w:rFonts w:ascii="Book Antiqua" w:hAnsi="Book Antiqua"/>
          <w:color w:val="000000" w:themeColor="text1"/>
          <w:sz w:val="24"/>
          <w:szCs w:val="24"/>
          <w:vertAlign w:val="superscript"/>
        </w:rPr>
        <w:t>11,21-24]</w:t>
      </w:r>
      <w:r w:rsidRPr="00B43A8C">
        <w:rPr>
          <w:rFonts w:ascii="Book Antiqua" w:hAnsi="Book Antiqua"/>
          <w:color w:val="000000" w:themeColor="text1"/>
          <w:sz w:val="24"/>
          <w:szCs w:val="24"/>
        </w:rPr>
        <w:t>. A high TCA19 score might now be considered as a biomarker of the response to targeted chemotherapy in metastatic CRC.</w:t>
      </w:r>
    </w:p>
    <w:p w14:paraId="3905518E" w14:textId="1C2E407B" w:rsidR="00DB03D6" w:rsidRPr="00B43A8C" w:rsidRDefault="00A1284B" w:rsidP="00A1284B">
      <w:pPr>
        <w:wordWrap/>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DB03D6" w:rsidRPr="00B43A8C">
        <w:rPr>
          <w:rFonts w:ascii="Book Antiqua" w:hAnsi="Book Antiqua"/>
          <w:color w:val="000000" w:themeColor="text1"/>
          <w:sz w:val="24"/>
          <w:szCs w:val="24"/>
        </w:rPr>
        <w:t xml:space="preserve">In terms of survival outcomes, our results with multivariate analysis showed that expression levels of SLAM7, TREM1, and CKS2 were independent risk factors of PFS. Expression of these genes was also significantly related to lympho-vascular invasion, perineural invasion, and involvement of circumferential resection margin. In our validation cohort of 10 additional patients, mRNA and protein levels were significantly different from primary tumor and metastatic tumor tissues, compared with normal tissues in SLAMF7 and TREM1. These results might suggest that expression of SLAMF7 and TREM1 was related to progression and metastasis of CRC. A previous report showed that inflammation was a critical component of tumor </w:t>
      </w:r>
      <w:proofErr w:type="gramStart"/>
      <w:r w:rsidR="00DB03D6" w:rsidRPr="00B43A8C">
        <w:rPr>
          <w:rFonts w:ascii="Book Antiqua" w:hAnsi="Book Antiqua"/>
          <w:color w:val="000000" w:themeColor="text1"/>
          <w:sz w:val="24"/>
          <w:szCs w:val="24"/>
        </w:rPr>
        <w:t>progression</w:t>
      </w:r>
      <w:r w:rsidR="001231A4" w:rsidRPr="00B43A8C">
        <w:rPr>
          <w:rFonts w:ascii="Book Antiqua" w:hAnsi="Book Antiqua"/>
          <w:color w:val="000000" w:themeColor="text1"/>
          <w:sz w:val="24"/>
          <w:szCs w:val="24"/>
          <w:vertAlign w:val="superscript"/>
        </w:rPr>
        <w:t>[</w:t>
      </w:r>
      <w:proofErr w:type="gramEnd"/>
      <w:r w:rsidR="00DB03D6" w:rsidRPr="00B43A8C">
        <w:rPr>
          <w:rFonts w:ascii="Book Antiqua" w:hAnsi="Book Antiqua"/>
          <w:color w:val="000000" w:themeColor="text1"/>
          <w:sz w:val="24"/>
          <w:szCs w:val="24"/>
          <w:vertAlign w:val="superscript"/>
        </w:rPr>
        <w:t>25</w:t>
      </w:r>
      <w:r w:rsidR="001231A4" w:rsidRPr="00B43A8C">
        <w:rPr>
          <w:rFonts w:ascii="Book Antiqua" w:hAnsi="Book Antiqua"/>
          <w:color w:val="000000" w:themeColor="text1"/>
          <w:sz w:val="24"/>
          <w:szCs w:val="24"/>
          <w:vertAlign w:val="superscript"/>
        </w:rPr>
        <w:t>]</w:t>
      </w:r>
      <w:r w:rsidR="00DB03D6" w:rsidRPr="00B43A8C">
        <w:rPr>
          <w:rFonts w:ascii="Book Antiqua" w:hAnsi="Book Antiqua"/>
          <w:color w:val="000000" w:themeColor="text1"/>
          <w:sz w:val="24"/>
          <w:szCs w:val="24"/>
        </w:rPr>
        <w:t xml:space="preserve"> and in this specific view, both SLAMF7 and TREM1 might be associated with the link between inflammation and cancer.</w:t>
      </w:r>
    </w:p>
    <w:p w14:paraId="1C167E8B" w14:textId="582BD3B2" w:rsidR="00DB03D6" w:rsidRPr="00B43A8C" w:rsidRDefault="00A1284B" w:rsidP="00A1284B">
      <w:pPr>
        <w:wordWrap/>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DB03D6" w:rsidRPr="00B43A8C">
        <w:rPr>
          <w:rFonts w:ascii="Book Antiqua" w:hAnsi="Book Antiqua"/>
          <w:color w:val="000000" w:themeColor="text1"/>
          <w:sz w:val="24"/>
          <w:szCs w:val="24"/>
        </w:rPr>
        <w:t xml:space="preserve">SLAM-family receptors are expressed on hematopoietic cells, and SLAMF7 has an inhibitory role in human monocytes to control pro-inflammatory immune </w:t>
      </w:r>
      <w:proofErr w:type="gramStart"/>
      <w:r w:rsidR="00DB03D6" w:rsidRPr="00B43A8C">
        <w:rPr>
          <w:rFonts w:ascii="Book Antiqua" w:hAnsi="Book Antiqua"/>
          <w:color w:val="000000" w:themeColor="text1"/>
          <w:sz w:val="24"/>
          <w:szCs w:val="24"/>
        </w:rPr>
        <w:t>responses</w:t>
      </w:r>
      <w:r w:rsidRPr="00B43A8C">
        <w:rPr>
          <w:rFonts w:ascii="Book Antiqua" w:hAnsi="Book Antiqua"/>
          <w:color w:val="000000" w:themeColor="text1"/>
          <w:sz w:val="24"/>
          <w:szCs w:val="24"/>
          <w:vertAlign w:val="superscript"/>
        </w:rPr>
        <w:t>[</w:t>
      </w:r>
      <w:proofErr w:type="gramEnd"/>
      <w:r w:rsidRPr="00B43A8C">
        <w:rPr>
          <w:rFonts w:ascii="Book Antiqua" w:hAnsi="Book Antiqua"/>
          <w:color w:val="000000" w:themeColor="text1"/>
          <w:sz w:val="24"/>
          <w:szCs w:val="24"/>
          <w:vertAlign w:val="superscript"/>
        </w:rPr>
        <w:t>26,27]</w:t>
      </w:r>
      <w:r w:rsidR="00DB03D6" w:rsidRPr="00B43A8C">
        <w:rPr>
          <w:rFonts w:ascii="Book Antiqua" w:hAnsi="Book Antiqua"/>
          <w:color w:val="000000" w:themeColor="text1"/>
          <w:sz w:val="24"/>
          <w:szCs w:val="24"/>
        </w:rPr>
        <w:t xml:space="preserve">. A relationship between SLAMF7 and multiple myeloma has previously been </w:t>
      </w:r>
      <w:proofErr w:type="gramStart"/>
      <w:r w:rsidR="00DB03D6" w:rsidRPr="00B43A8C">
        <w:rPr>
          <w:rFonts w:ascii="Book Antiqua" w:hAnsi="Book Antiqua"/>
          <w:color w:val="000000" w:themeColor="text1"/>
          <w:sz w:val="24"/>
          <w:szCs w:val="24"/>
        </w:rPr>
        <w:t>demonstrated</w:t>
      </w:r>
      <w:r w:rsidRPr="00B43A8C">
        <w:rPr>
          <w:rFonts w:ascii="Book Antiqua" w:hAnsi="Book Antiqua"/>
          <w:color w:val="000000" w:themeColor="text1"/>
          <w:sz w:val="24"/>
          <w:szCs w:val="24"/>
          <w:vertAlign w:val="superscript"/>
        </w:rPr>
        <w:t>[</w:t>
      </w:r>
      <w:proofErr w:type="gramEnd"/>
      <w:r w:rsidRPr="00B43A8C">
        <w:rPr>
          <w:rFonts w:ascii="Book Antiqua" w:hAnsi="Book Antiqua"/>
          <w:color w:val="000000" w:themeColor="text1"/>
          <w:sz w:val="24"/>
          <w:szCs w:val="24"/>
          <w:vertAlign w:val="superscript"/>
        </w:rPr>
        <w:t>28,29]</w:t>
      </w:r>
      <w:r w:rsidR="00DB03D6" w:rsidRPr="00B43A8C">
        <w:rPr>
          <w:rFonts w:ascii="Book Antiqua" w:hAnsi="Book Antiqua"/>
          <w:color w:val="000000" w:themeColor="text1"/>
          <w:sz w:val="24"/>
          <w:szCs w:val="24"/>
        </w:rPr>
        <w:t xml:space="preserve">, but no report have been published describing correlation between SLAMF7 and CRC. Here, we determined that SLAMF7 was under-expressed in CRC tissue compared with normal tissue, and that SLAMF7 might have an inhibitory role in expression of CD68 and CD73. Immune responses in lymphocytes and mast cells are associated with pathological responses to </w:t>
      </w:r>
      <w:r w:rsidR="00DB03D6" w:rsidRPr="00B43A8C">
        <w:rPr>
          <w:rFonts w:ascii="Book Antiqua" w:hAnsi="Book Antiqua"/>
          <w:color w:val="000000" w:themeColor="text1"/>
          <w:sz w:val="24"/>
          <w:szCs w:val="24"/>
        </w:rPr>
        <w:lastRenderedPageBreak/>
        <w:t xml:space="preserve">chemotherapy, and with PFS in metastatic </w:t>
      </w:r>
      <w:proofErr w:type="gramStart"/>
      <w:r w:rsidR="00DB03D6" w:rsidRPr="00B43A8C">
        <w:rPr>
          <w:rFonts w:ascii="Book Antiqua" w:hAnsi="Book Antiqua"/>
          <w:color w:val="000000" w:themeColor="text1"/>
          <w:sz w:val="24"/>
          <w:szCs w:val="24"/>
        </w:rPr>
        <w:t>CRC</w:t>
      </w:r>
      <w:r w:rsidRPr="00B43A8C">
        <w:rPr>
          <w:rFonts w:ascii="Book Antiqua" w:hAnsi="Book Antiqua"/>
          <w:color w:val="000000" w:themeColor="text1"/>
          <w:sz w:val="24"/>
          <w:szCs w:val="24"/>
          <w:vertAlign w:val="superscript"/>
        </w:rPr>
        <w:t>[</w:t>
      </w:r>
      <w:proofErr w:type="gramEnd"/>
      <w:r w:rsidRPr="00B43A8C">
        <w:rPr>
          <w:rFonts w:ascii="Book Antiqua" w:hAnsi="Book Antiqua"/>
          <w:color w:val="000000" w:themeColor="text1"/>
          <w:sz w:val="24"/>
          <w:szCs w:val="24"/>
          <w:vertAlign w:val="superscript"/>
        </w:rPr>
        <w:t>30]</w:t>
      </w:r>
      <w:r w:rsidR="00DB03D6" w:rsidRPr="00B43A8C">
        <w:rPr>
          <w:rFonts w:ascii="Book Antiqua" w:hAnsi="Book Antiqua"/>
          <w:color w:val="000000" w:themeColor="text1"/>
          <w:sz w:val="24"/>
          <w:szCs w:val="24"/>
        </w:rPr>
        <w:t xml:space="preserve">. Although further studies including mechanistic study to investigate the relationships between immune-check point and SLAMF7 or between MHC class and SLAMF7 or clinical studies to be use </w:t>
      </w:r>
      <w:proofErr w:type="spellStart"/>
      <w:r w:rsidR="00DB03D6" w:rsidRPr="00B43A8C">
        <w:rPr>
          <w:rFonts w:ascii="Book Antiqua" w:hAnsi="Book Antiqua"/>
          <w:color w:val="000000" w:themeColor="text1"/>
          <w:sz w:val="24"/>
          <w:szCs w:val="24"/>
        </w:rPr>
        <w:t>elotuzumab</w:t>
      </w:r>
      <w:proofErr w:type="spellEnd"/>
      <w:r w:rsidR="00DB03D6" w:rsidRPr="00B43A8C">
        <w:rPr>
          <w:rFonts w:ascii="Book Antiqua" w:hAnsi="Book Antiqua"/>
          <w:color w:val="000000" w:themeColor="text1"/>
          <w:sz w:val="24"/>
          <w:szCs w:val="24"/>
        </w:rPr>
        <w:t xml:space="preserve"> (SLAMF7-directed immunostimulatory antibody)</w:t>
      </w:r>
      <w:r w:rsidR="001231A4" w:rsidRPr="00B43A8C">
        <w:rPr>
          <w:rFonts w:ascii="Book Antiqua" w:hAnsi="Book Antiqua"/>
          <w:color w:val="000000" w:themeColor="text1"/>
          <w:sz w:val="24"/>
          <w:szCs w:val="24"/>
          <w:vertAlign w:val="superscript"/>
        </w:rPr>
        <w:t>[</w:t>
      </w:r>
      <w:r w:rsidR="00DB03D6" w:rsidRPr="00B43A8C">
        <w:rPr>
          <w:rFonts w:ascii="Book Antiqua" w:hAnsi="Book Antiqua"/>
          <w:color w:val="000000" w:themeColor="text1"/>
          <w:sz w:val="24"/>
          <w:szCs w:val="24"/>
          <w:vertAlign w:val="superscript"/>
        </w:rPr>
        <w:t>29</w:t>
      </w:r>
      <w:r w:rsidR="001231A4" w:rsidRPr="00B43A8C">
        <w:rPr>
          <w:rFonts w:ascii="Book Antiqua" w:hAnsi="Book Antiqua"/>
          <w:color w:val="000000" w:themeColor="text1"/>
          <w:sz w:val="24"/>
          <w:szCs w:val="24"/>
          <w:vertAlign w:val="superscript"/>
        </w:rPr>
        <w:t>]</w:t>
      </w:r>
      <w:r w:rsidR="00DB03D6" w:rsidRPr="00B43A8C">
        <w:rPr>
          <w:rFonts w:ascii="Book Antiqua" w:hAnsi="Book Antiqua"/>
          <w:color w:val="000000" w:themeColor="text1"/>
          <w:sz w:val="24"/>
          <w:szCs w:val="24"/>
        </w:rPr>
        <w:t xml:space="preserve"> in CRC are required, SLAMF7 might have potential as an immunotherapeutic target or as a marker for metastatic CRC.</w:t>
      </w:r>
    </w:p>
    <w:p w14:paraId="260158B0" w14:textId="5AB62B95" w:rsidR="00DB03D6" w:rsidRPr="00B43A8C" w:rsidRDefault="00A1284B" w:rsidP="00A1284B">
      <w:pPr>
        <w:wordWrap/>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DB03D6" w:rsidRPr="00B43A8C">
        <w:rPr>
          <w:rFonts w:ascii="Book Antiqua" w:hAnsi="Book Antiqua"/>
          <w:color w:val="000000" w:themeColor="text1"/>
          <w:sz w:val="24"/>
          <w:szCs w:val="24"/>
        </w:rPr>
        <w:t xml:space="preserve">TREM1 enhances degranulation and secretion of pro-inflammatory mediators, and is a potent amplifier of pro-inflammatory innate immune </w:t>
      </w:r>
      <w:proofErr w:type="gramStart"/>
      <w:r w:rsidR="00DB03D6" w:rsidRPr="00B43A8C">
        <w:rPr>
          <w:rFonts w:ascii="Book Antiqua" w:hAnsi="Book Antiqua"/>
          <w:color w:val="000000" w:themeColor="text1"/>
          <w:sz w:val="24"/>
          <w:szCs w:val="24"/>
        </w:rPr>
        <w:t>responses</w:t>
      </w:r>
      <w:r w:rsidRPr="00B43A8C">
        <w:rPr>
          <w:rFonts w:ascii="Book Antiqua" w:hAnsi="Book Antiqua"/>
          <w:color w:val="000000" w:themeColor="text1"/>
          <w:sz w:val="24"/>
          <w:szCs w:val="24"/>
          <w:vertAlign w:val="superscript"/>
        </w:rPr>
        <w:t>[</w:t>
      </w:r>
      <w:proofErr w:type="gramEnd"/>
      <w:r w:rsidRPr="00B43A8C">
        <w:rPr>
          <w:rFonts w:ascii="Book Antiqua" w:hAnsi="Book Antiqua"/>
          <w:color w:val="000000" w:themeColor="text1"/>
          <w:sz w:val="24"/>
          <w:szCs w:val="24"/>
          <w:vertAlign w:val="superscript"/>
        </w:rPr>
        <w:t>31]</w:t>
      </w:r>
      <w:r w:rsidR="00DB03D6" w:rsidRPr="00B43A8C">
        <w:rPr>
          <w:rFonts w:ascii="Book Antiqua" w:hAnsi="Book Antiqua"/>
          <w:color w:val="000000" w:themeColor="text1"/>
          <w:sz w:val="24"/>
          <w:szCs w:val="24"/>
        </w:rPr>
        <w:t xml:space="preserve">. Here, we showed that TREM1 had, overall, higher level of expression in tumor tissue than in normal tissue in RT-qPCR and IHC stain, and TREM1 gave a tendency of enhanced expression of CD68 and CD73. In results derived from experimental colitis and tissue from inflammatory bowel disease, TREM1 inhibition was shown to attenuate inflammation and tumor growth with the </w:t>
      </w:r>
      <w:proofErr w:type="gramStart"/>
      <w:r w:rsidR="00DB03D6" w:rsidRPr="00B43A8C">
        <w:rPr>
          <w:rFonts w:ascii="Book Antiqua" w:hAnsi="Book Antiqua"/>
          <w:color w:val="000000" w:themeColor="text1"/>
          <w:sz w:val="24"/>
          <w:szCs w:val="24"/>
        </w:rPr>
        <w:t>colon</w:t>
      </w:r>
      <w:r w:rsidRPr="00B43A8C">
        <w:rPr>
          <w:rFonts w:ascii="Book Antiqua" w:hAnsi="Book Antiqua"/>
          <w:color w:val="000000" w:themeColor="text1"/>
          <w:sz w:val="24"/>
          <w:szCs w:val="24"/>
          <w:vertAlign w:val="superscript"/>
        </w:rPr>
        <w:t>[</w:t>
      </w:r>
      <w:proofErr w:type="gramEnd"/>
      <w:r w:rsidRPr="00B43A8C">
        <w:rPr>
          <w:rFonts w:ascii="Book Antiqua" w:hAnsi="Book Antiqua"/>
          <w:color w:val="000000" w:themeColor="text1"/>
          <w:sz w:val="24"/>
          <w:szCs w:val="24"/>
          <w:vertAlign w:val="superscript"/>
        </w:rPr>
        <w:t>32]</w:t>
      </w:r>
      <w:r w:rsidR="00DB03D6" w:rsidRPr="00B43A8C">
        <w:rPr>
          <w:rFonts w:ascii="Book Antiqua" w:hAnsi="Book Antiqua"/>
          <w:color w:val="000000" w:themeColor="text1"/>
          <w:sz w:val="24"/>
          <w:szCs w:val="24"/>
        </w:rPr>
        <w:t xml:space="preserve">. High TREM1 expression in tumors is associated with an abundance of neutrophils and high expression of several innate pro-inflammatory genes that might be associated with tumorigenesis in </w:t>
      </w:r>
      <w:proofErr w:type="gramStart"/>
      <w:r w:rsidR="00DB03D6" w:rsidRPr="00B43A8C">
        <w:rPr>
          <w:rFonts w:ascii="Book Antiqua" w:hAnsi="Book Antiqua"/>
          <w:color w:val="000000" w:themeColor="text1"/>
          <w:sz w:val="24"/>
          <w:szCs w:val="24"/>
        </w:rPr>
        <w:t>CRC</w:t>
      </w:r>
      <w:r w:rsidRPr="00B43A8C">
        <w:rPr>
          <w:rFonts w:ascii="Book Antiqua" w:hAnsi="Book Antiqua"/>
          <w:color w:val="000000" w:themeColor="text1"/>
          <w:sz w:val="24"/>
          <w:szCs w:val="24"/>
          <w:vertAlign w:val="superscript"/>
        </w:rPr>
        <w:t>[</w:t>
      </w:r>
      <w:proofErr w:type="gramEnd"/>
      <w:r w:rsidRPr="00B43A8C">
        <w:rPr>
          <w:rFonts w:ascii="Book Antiqua" w:hAnsi="Book Antiqua"/>
          <w:color w:val="000000" w:themeColor="text1"/>
          <w:sz w:val="24"/>
          <w:szCs w:val="24"/>
          <w:vertAlign w:val="superscript"/>
        </w:rPr>
        <w:t>33]</w:t>
      </w:r>
      <w:r w:rsidR="00DB03D6" w:rsidRPr="00B43A8C">
        <w:rPr>
          <w:rFonts w:ascii="Book Antiqua" w:hAnsi="Book Antiqua"/>
          <w:color w:val="000000" w:themeColor="text1"/>
          <w:sz w:val="24"/>
          <w:szCs w:val="24"/>
        </w:rPr>
        <w:t xml:space="preserve">. Our results did not demonstrate a significant difference between day 0 and day 5 in terms of expression of CD68 and CD73 in TREM1-expressing CRC cells, possibly because expression of TREM1 was generally absent in the macrophages of normal colon mucosa, whereas TREM1-expressing macrophages showed significant up-regulation in the diseased colon </w:t>
      </w:r>
      <w:proofErr w:type="gramStart"/>
      <w:r w:rsidR="00DB03D6" w:rsidRPr="00B43A8C">
        <w:rPr>
          <w:rFonts w:ascii="Book Antiqua" w:hAnsi="Book Antiqua"/>
          <w:color w:val="000000" w:themeColor="text1"/>
          <w:sz w:val="24"/>
          <w:szCs w:val="24"/>
        </w:rPr>
        <w:t>tissue</w:t>
      </w:r>
      <w:r w:rsidRPr="00B43A8C">
        <w:rPr>
          <w:rFonts w:ascii="Book Antiqua" w:hAnsi="Book Antiqua"/>
          <w:color w:val="000000" w:themeColor="text1"/>
          <w:sz w:val="24"/>
          <w:szCs w:val="24"/>
          <w:vertAlign w:val="superscript"/>
        </w:rPr>
        <w:t>[</w:t>
      </w:r>
      <w:proofErr w:type="gramEnd"/>
      <w:r w:rsidRPr="00B43A8C">
        <w:rPr>
          <w:rFonts w:ascii="Book Antiqua" w:hAnsi="Book Antiqua"/>
          <w:color w:val="000000" w:themeColor="text1"/>
          <w:sz w:val="24"/>
          <w:szCs w:val="24"/>
          <w:vertAlign w:val="superscript"/>
        </w:rPr>
        <w:t>34]</w:t>
      </w:r>
      <w:r w:rsidR="00DB03D6" w:rsidRPr="00B43A8C">
        <w:rPr>
          <w:rFonts w:ascii="Book Antiqua" w:hAnsi="Book Antiqua"/>
          <w:color w:val="000000" w:themeColor="text1"/>
          <w:sz w:val="24"/>
          <w:szCs w:val="24"/>
        </w:rPr>
        <w:t>.</w:t>
      </w:r>
    </w:p>
    <w:p w14:paraId="1CB428A3" w14:textId="66FEACAB" w:rsidR="00DB03D6" w:rsidRPr="00B43A8C" w:rsidRDefault="00A1284B" w:rsidP="00A1284B">
      <w:pPr>
        <w:wordWrap/>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DB03D6" w:rsidRPr="00B43A8C">
        <w:rPr>
          <w:rFonts w:ascii="Book Antiqua" w:hAnsi="Book Antiqua"/>
          <w:color w:val="000000" w:themeColor="text1"/>
          <w:sz w:val="24"/>
          <w:szCs w:val="24"/>
        </w:rPr>
        <w:t>To improve the survival rate in metastatic CRC, immunotherapy has been proposed as a treatment option in CRC with microsatellite instability</w:t>
      </w:r>
      <w:r w:rsidRPr="00B43A8C">
        <w:rPr>
          <w:rFonts w:ascii="Book Antiqua" w:hAnsi="Book Antiqua"/>
          <w:color w:val="000000" w:themeColor="text1"/>
          <w:sz w:val="24"/>
          <w:szCs w:val="24"/>
          <w:vertAlign w:val="superscript"/>
        </w:rPr>
        <w:t>[35]</w:t>
      </w:r>
      <w:r w:rsidR="00DB03D6" w:rsidRPr="00B43A8C">
        <w:rPr>
          <w:rFonts w:ascii="Book Antiqua" w:hAnsi="Book Antiqua"/>
          <w:color w:val="000000" w:themeColor="text1"/>
          <w:sz w:val="24"/>
          <w:szCs w:val="24"/>
        </w:rPr>
        <w:t>, which is associated with immune responses, including up-regulation of immune checkpoint inhibitory molecules such as PD-1, PD-L1 and CTLA4</w:t>
      </w:r>
      <w:r w:rsidRPr="00B43A8C">
        <w:rPr>
          <w:rFonts w:ascii="Book Antiqua" w:hAnsi="Book Antiqua"/>
          <w:color w:val="000000" w:themeColor="text1"/>
          <w:sz w:val="24"/>
          <w:szCs w:val="24"/>
          <w:vertAlign w:val="superscript"/>
        </w:rPr>
        <w:t>[36,37]</w:t>
      </w:r>
      <w:r w:rsidR="00DB03D6" w:rsidRPr="00B43A8C">
        <w:rPr>
          <w:rFonts w:ascii="Book Antiqua" w:hAnsi="Book Antiqua"/>
          <w:color w:val="000000" w:themeColor="text1"/>
          <w:sz w:val="24"/>
          <w:szCs w:val="24"/>
        </w:rPr>
        <w:t xml:space="preserve">. Patients with CRC with microsatellite instability have more mutations and are more responsive to immunotherapy with PD-L1/PD-1 blockade than patients with microsatellite-stable </w:t>
      </w:r>
      <w:proofErr w:type="gramStart"/>
      <w:r w:rsidR="00DB03D6" w:rsidRPr="00B43A8C">
        <w:rPr>
          <w:rFonts w:ascii="Book Antiqua" w:hAnsi="Book Antiqua"/>
          <w:color w:val="000000" w:themeColor="text1"/>
          <w:sz w:val="24"/>
          <w:szCs w:val="24"/>
        </w:rPr>
        <w:t>CRC</w:t>
      </w:r>
      <w:r w:rsidRPr="00B43A8C">
        <w:rPr>
          <w:rFonts w:ascii="Book Antiqua" w:hAnsi="Book Antiqua"/>
          <w:color w:val="000000" w:themeColor="text1"/>
          <w:sz w:val="24"/>
          <w:szCs w:val="24"/>
          <w:vertAlign w:val="superscript"/>
        </w:rPr>
        <w:t>[</w:t>
      </w:r>
      <w:proofErr w:type="gramEnd"/>
      <w:r w:rsidRPr="00B43A8C">
        <w:rPr>
          <w:rFonts w:ascii="Book Antiqua" w:hAnsi="Book Antiqua"/>
          <w:color w:val="000000" w:themeColor="text1"/>
          <w:sz w:val="24"/>
          <w:szCs w:val="24"/>
          <w:vertAlign w:val="superscript"/>
        </w:rPr>
        <w:t>13,35]</w:t>
      </w:r>
      <w:r w:rsidR="00DB03D6" w:rsidRPr="00B43A8C">
        <w:rPr>
          <w:rFonts w:ascii="Book Antiqua" w:hAnsi="Book Antiqua"/>
          <w:color w:val="000000" w:themeColor="text1"/>
          <w:sz w:val="24"/>
          <w:szCs w:val="24"/>
        </w:rPr>
        <w:t>. As the number of the patients with CRC with microsatellite instability is limited and therapeutic targeting of microsatellite-stable CRC is difficult, additional immune checkpoints and immunomodulatory molecules still need to be investigated to provide adequate therapeutic coverage for all patients with CRC.</w:t>
      </w:r>
    </w:p>
    <w:p w14:paraId="4687C0BE" w14:textId="53331115" w:rsidR="00DB03D6" w:rsidRPr="00B43A8C" w:rsidRDefault="00A1284B" w:rsidP="00A1284B">
      <w:pPr>
        <w:wordWrap/>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lastRenderedPageBreak/>
        <w:t xml:space="preserve">  </w:t>
      </w:r>
      <w:r w:rsidR="00DB03D6" w:rsidRPr="00B43A8C">
        <w:rPr>
          <w:rFonts w:ascii="Book Antiqua" w:hAnsi="Book Antiqua"/>
          <w:color w:val="000000" w:themeColor="text1"/>
          <w:sz w:val="24"/>
          <w:szCs w:val="24"/>
        </w:rPr>
        <w:t xml:space="preserve">Our study had some limitations, including the small number of patients </w:t>
      </w:r>
      <w:r w:rsidR="00565745" w:rsidRPr="00B43A8C">
        <w:rPr>
          <w:rFonts w:ascii="Book Antiqua" w:hAnsi="Book Antiqua"/>
          <w:color w:val="000000" w:themeColor="text1"/>
          <w:sz w:val="24"/>
          <w:szCs w:val="24"/>
        </w:rPr>
        <w:t>with the</w:t>
      </w:r>
      <w:r w:rsidR="00DB03D6" w:rsidRPr="00B43A8C">
        <w:rPr>
          <w:rFonts w:ascii="Book Antiqua" w:hAnsi="Book Antiqua"/>
          <w:color w:val="000000" w:themeColor="text1"/>
          <w:sz w:val="24"/>
          <w:szCs w:val="24"/>
        </w:rPr>
        <w:t xml:space="preserve"> limited use of targeted regimens </w:t>
      </w:r>
      <w:r w:rsidR="00565745" w:rsidRPr="00B43A8C">
        <w:rPr>
          <w:rFonts w:ascii="Book Antiqua" w:hAnsi="Book Antiqua"/>
          <w:color w:val="000000" w:themeColor="text1"/>
          <w:sz w:val="24"/>
          <w:szCs w:val="24"/>
        </w:rPr>
        <w:t xml:space="preserve">to assess a clinical implication of the TCA19 risk score and </w:t>
      </w:r>
      <w:r w:rsidR="00A12E3E" w:rsidRPr="00B43A8C">
        <w:rPr>
          <w:rFonts w:ascii="Book Antiqua" w:hAnsi="Book Antiqua"/>
          <w:color w:val="000000" w:themeColor="text1"/>
          <w:sz w:val="24"/>
          <w:szCs w:val="24"/>
        </w:rPr>
        <w:t>to validate</w:t>
      </w:r>
      <w:r w:rsidR="00565745" w:rsidRPr="00B43A8C">
        <w:rPr>
          <w:rFonts w:ascii="Book Antiqua" w:hAnsi="Book Antiqua"/>
          <w:color w:val="000000" w:themeColor="text1"/>
          <w:sz w:val="24"/>
          <w:szCs w:val="24"/>
        </w:rPr>
        <w:t xml:space="preserve"> SLAMF7 and TREM1</w:t>
      </w:r>
      <w:r w:rsidR="00A12E3E" w:rsidRPr="00B43A8C">
        <w:rPr>
          <w:rFonts w:ascii="Book Antiqua" w:hAnsi="Book Antiqua"/>
          <w:color w:val="000000" w:themeColor="text1"/>
          <w:sz w:val="24"/>
          <w:szCs w:val="24"/>
        </w:rPr>
        <w:t xml:space="preserve"> as suitable candidate</w:t>
      </w:r>
      <w:r w:rsidR="00DB03D6" w:rsidRPr="00B43A8C">
        <w:rPr>
          <w:rFonts w:ascii="Book Antiqua" w:hAnsi="Book Antiqua"/>
          <w:color w:val="000000" w:themeColor="text1"/>
          <w:sz w:val="24"/>
          <w:szCs w:val="24"/>
        </w:rPr>
        <w:t>. Also, our investigation was limited to assessment of relationship between SLAMF7/TREM1 and CD68/CD73. Further evaluation of other pro-inflammatory mediators with a large study cohort is required and ongoing, to identify any relationship between the expression of SLAMF7/TREM1 and immune-system regulation, and to find possible roles for the targeting of SLAMF7 and TREM1 in new treatment regimens for CRC.</w:t>
      </w:r>
    </w:p>
    <w:p w14:paraId="2B316026" w14:textId="088A0572" w:rsidR="00DB03D6" w:rsidRPr="00B43A8C" w:rsidRDefault="00A1284B" w:rsidP="00B43A8C">
      <w:pPr>
        <w:wordWrap/>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In conclusion, </w:t>
      </w:r>
      <w:r w:rsidR="00802499">
        <w:rPr>
          <w:rFonts w:ascii="Book Antiqua" w:hAnsi="Book Antiqua"/>
          <w:color w:val="000000" w:themeColor="text1"/>
          <w:sz w:val="24"/>
          <w:szCs w:val="24"/>
        </w:rPr>
        <w:t>TCA19</w:t>
      </w:r>
      <w:r w:rsidR="00DB03D6" w:rsidRPr="00B43A8C">
        <w:rPr>
          <w:rFonts w:ascii="Book Antiqua" w:hAnsi="Book Antiqua"/>
          <w:color w:val="000000" w:themeColor="text1"/>
          <w:sz w:val="24"/>
          <w:szCs w:val="24"/>
        </w:rPr>
        <w:t xml:space="preserve"> may provide prognostic information in patients with metastatic CRC, helping to identify those who will respond to targeted chemotherapy. Expression of SLAMF7 is down-regulated (whereas TREM1 is up-regulated) in primary or metastatic CRC tumors compared with normal colon tissue. SLAMF7 might have an inhibitory role in the immune response in CRC, whereas TREM1, if anything, has a tendency to enhance the immune response. Further mechanistic and functional studies with large cohorts are now required to confirm these relationships.</w:t>
      </w:r>
    </w:p>
    <w:p w14:paraId="20424BBA" w14:textId="77777777" w:rsidR="00DB03D6" w:rsidRPr="00B43A8C" w:rsidRDefault="00DB03D6" w:rsidP="00B43A8C">
      <w:pPr>
        <w:wordWrap/>
        <w:adjustRightInd w:val="0"/>
        <w:snapToGrid w:val="0"/>
        <w:spacing w:line="360" w:lineRule="auto"/>
        <w:ind w:firstLineChars="200" w:firstLine="480"/>
        <w:rPr>
          <w:rFonts w:ascii="Book Antiqua" w:hAnsi="Book Antiqua"/>
          <w:color w:val="000000" w:themeColor="text1"/>
          <w:sz w:val="24"/>
          <w:szCs w:val="24"/>
        </w:rPr>
      </w:pPr>
    </w:p>
    <w:p w14:paraId="2A5FE1B5" w14:textId="510861E0" w:rsidR="00DB03D6" w:rsidRPr="005A7EC7" w:rsidRDefault="00032288" w:rsidP="00EF65CB">
      <w:pPr>
        <w:wordWrap/>
        <w:adjustRightInd w:val="0"/>
        <w:snapToGrid w:val="0"/>
        <w:spacing w:line="360" w:lineRule="auto"/>
        <w:outlineLvl w:val="0"/>
        <w:rPr>
          <w:rFonts w:ascii="Book Antiqua" w:hAnsi="Book Antiqua"/>
          <w:b/>
          <w:color w:val="000000" w:themeColor="text1"/>
          <w:kern w:val="0"/>
          <w:sz w:val="24"/>
          <w:szCs w:val="24"/>
        </w:rPr>
      </w:pPr>
      <w:r w:rsidRPr="005A7EC7">
        <w:rPr>
          <w:rFonts w:ascii="Book Antiqua" w:hAnsi="Book Antiqua"/>
          <w:b/>
          <w:color w:val="000000" w:themeColor="text1"/>
          <w:kern w:val="0"/>
          <w:sz w:val="24"/>
          <w:szCs w:val="24"/>
        </w:rPr>
        <w:t>ARTICLE HIGHLIGHTS</w:t>
      </w:r>
    </w:p>
    <w:p w14:paraId="499F9E79" w14:textId="18BFD3E1" w:rsidR="00032288" w:rsidRPr="00B43A8C" w:rsidRDefault="00032288" w:rsidP="00EF65CB">
      <w:pPr>
        <w:wordWrap/>
        <w:adjustRightInd w:val="0"/>
        <w:snapToGrid w:val="0"/>
        <w:spacing w:line="360" w:lineRule="auto"/>
        <w:outlineLvl w:val="0"/>
        <w:rPr>
          <w:rFonts w:ascii="Book Antiqua" w:hAnsi="Book Antiqua"/>
          <w:b/>
          <w:i/>
          <w:color w:val="000000" w:themeColor="text1"/>
          <w:kern w:val="0"/>
          <w:sz w:val="24"/>
          <w:szCs w:val="24"/>
        </w:rPr>
      </w:pPr>
      <w:r w:rsidRPr="00B43A8C">
        <w:rPr>
          <w:rFonts w:ascii="Book Antiqua" w:hAnsi="Book Antiqua"/>
          <w:b/>
          <w:i/>
          <w:color w:val="000000" w:themeColor="text1"/>
          <w:kern w:val="0"/>
          <w:sz w:val="24"/>
          <w:szCs w:val="24"/>
        </w:rPr>
        <w:t>Research background</w:t>
      </w:r>
    </w:p>
    <w:p w14:paraId="12301E0E" w14:textId="3BAC6B93" w:rsidR="00FD604E" w:rsidRPr="00B43A8C" w:rsidRDefault="00FD604E" w:rsidP="00B43A8C">
      <w:pPr>
        <w:wordWrap/>
        <w:adjustRightInd w:val="0"/>
        <w:snapToGrid w:val="0"/>
        <w:spacing w:line="360" w:lineRule="auto"/>
        <w:rPr>
          <w:rFonts w:ascii="Book Antiqua" w:hAnsi="Book Antiqua"/>
          <w:color w:val="000000" w:themeColor="text1"/>
          <w:kern w:val="0"/>
          <w:sz w:val="24"/>
          <w:szCs w:val="24"/>
        </w:rPr>
      </w:pPr>
      <w:r w:rsidRPr="00B43A8C">
        <w:rPr>
          <w:rFonts w:ascii="Book Antiqua" w:hAnsi="Book Antiqua"/>
          <w:color w:val="000000" w:themeColor="text1"/>
          <w:kern w:val="0"/>
          <w:sz w:val="24"/>
          <w:szCs w:val="24"/>
        </w:rPr>
        <w:t>Our team previously developed</w:t>
      </w:r>
      <w:r w:rsidR="00E64530" w:rsidRPr="00B43A8C">
        <w:rPr>
          <w:rFonts w:ascii="Book Antiqua" w:hAnsi="Book Antiqua"/>
          <w:color w:val="000000" w:themeColor="text1"/>
          <w:kern w:val="0"/>
          <w:sz w:val="24"/>
          <w:szCs w:val="24"/>
        </w:rPr>
        <w:t xml:space="preserve"> a risk score system based a 19 gene-based scoring system (TCA19), worked as a prognostic factor in stage II-III colorectal cancer (CRC). Stage IV CRC is still challenging in the treatment including target-regimen and immunotherapy. </w:t>
      </w:r>
    </w:p>
    <w:p w14:paraId="2DD949FB" w14:textId="77777777" w:rsidR="006A36C5" w:rsidRPr="00B43A8C" w:rsidRDefault="006A36C5" w:rsidP="00B43A8C">
      <w:pPr>
        <w:wordWrap/>
        <w:adjustRightInd w:val="0"/>
        <w:snapToGrid w:val="0"/>
        <w:spacing w:line="360" w:lineRule="auto"/>
        <w:rPr>
          <w:rFonts w:ascii="Book Antiqua" w:hAnsi="Book Antiqua"/>
          <w:color w:val="000000" w:themeColor="text1"/>
          <w:kern w:val="0"/>
          <w:sz w:val="24"/>
          <w:szCs w:val="24"/>
        </w:rPr>
      </w:pPr>
    </w:p>
    <w:p w14:paraId="4C12C495" w14:textId="4C6DDE06" w:rsidR="0068024D" w:rsidRPr="00B43A8C" w:rsidRDefault="0068024D" w:rsidP="00EF65CB">
      <w:pPr>
        <w:wordWrap/>
        <w:adjustRightInd w:val="0"/>
        <w:snapToGrid w:val="0"/>
        <w:spacing w:line="360" w:lineRule="auto"/>
        <w:outlineLvl w:val="0"/>
        <w:rPr>
          <w:rFonts w:ascii="Book Antiqua" w:hAnsi="Book Antiqua"/>
          <w:b/>
          <w:i/>
          <w:color w:val="000000" w:themeColor="text1"/>
          <w:kern w:val="0"/>
          <w:sz w:val="24"/>
          <w:szCs w:val="24"/>
        </w:rPr>
      </w:pPr>
      <w:r w:rsidRPr="00B43A8C">
        <w:rPr>
          <w:rFonts w:ascii="Book Antiqua" w:hAnsi="Book Antiqua"/>
          <w:b/>
          <w:i/>
          <w:color w:val="000000" w:themeColor="text1"/>
          <w:kern w:val="0"/>
          <w:sz w:val="24"/>
          <w:szCs w:val="24"/>
        </w:rPr>
        <w:t>Research motivation</w:t>
      </w:r>
    </w:p>
    <w:p w14:paraId="05B36F4E" w14:textId="77777777" w:rsidR="006A36C5" w:rsidRPr="00B43A8C" w:rsidRDefault="006A36C5" w:rsidP="00B43A8C">
      <w:pPr>
        <w:wordWrap/>
        <w:adjustRightInd w:val="0"/>
        <w:snapToGrid w:val="0"/>
        <w:spacing w:line="360" w:lineRule="auto"/>
        <w:rPr>
          <w:rFonts w:ascii="Book Antiqua" w:hAnsi="Book Antiqua"/>
          <w:color w:val="000000" w:themeColor="text1"/>
          <w:kern w:val="0"/>
          <w:sz w:val="24"/>
          <w:szCs w:val="24"/>
        </w:rPr>
      </w:pPr>
      <w:r w:rsidRPr="00B43A8C">
        <w:rPr>
          <w:rFonts w:ascii="Book Antiqua" w:hAnsi="Book Antiqua"/>
          <w:color w:val="000000" w:themeColor="text1"/>
          <w:kern w:val="0"/>
          <w:sz w:val="24"/>
          <w:szCs w:val="24"/>
        </w:rPr>
        <w:t>It is needed to identify whether the TCA19 scores predict survival outcomes in patients with stage IV CRC undergoing different chemotherapy regimens including target-regimen and 19 genes are related to immuno-oncology.</w:t>
      </w:r>
    </w:p>
    <w:p w14:paraId="2DEB76A7" w14:textId="77777777" w:rsidR="006A36C5" w:rsidRPr="00B43A8C" w:rsidRDefault="006A36C5" w:rsidP="00B43A8C">
      <w:pPr>
        <w:wordWrap/>
        <w:adjustRightInd w:val="0"/>
        <w:snapToGrid w:val="0"/>
        <w:spacing w:line="360" w:lineRule="auto"/>
        <w:rPr>
          <w:rFonts w:ascii="Book Antiqua" w:hAnsi="Book Antiqua"/>
          <w:b/>
          <w:i/>
          <w:color w:val="000000" w:themeColor="text1"/>
          <w:kern w:val="0"/>
          <w:sz w:val="24"/>
          <w:szCs w:val="24"/>
        </w:rPr>
      </w:pPr>
    </w:p>
    <w:p w14:paraId="198E0CB6" w14:textId="49A35F35" w:rsidR="0068024D" w:rsidRPr="00B43A8C" w:rsidRDefault="0068024D" w:rsidP="00EF65CB">
      <w:pPr>
        <w:wordWrap/>
        <w:adjustRightInd w:val="0"/>
        <w:snapToGrid w:val="0"/>
        <w:spacing w:line="360" w:lineRule="auto"/>
        <w:outlineLvl w:val="0"/>
        <w:rPr>
          <w:rFonts w:ascii="Book Antiqua" w:hAnsi="Book Antiqua"/>
          <w:b/>
          <w:i/>
          <w:color w:val="000000" w:themeColor="text1"/>
          <w:kern w:val="0"/>
          <w:sz w:val="24"/>
          <w:szCs w:val="24"/>
        </w:rPr>
      </w:pPr>
      <w:r w:rsidRPr="00B43A8C">
        <w:rPr>
          <w:rFonts w:ascii="Book Antiqua" w:hAnsi="Book Antiqua"/>
          <w:b/>
          <w:i/>
          <w:color w:val="000000" w:themeColor="text1"/>
          <w:kern w:val="0"/>
          <w:sz w:val="24"/>
          <w:szCs w:val="24"/>
        </w:rPr>
        <w:t>Research objectives</w:t>
      </w:r>
    </w:p>
    <w:p w14:paraId="1B883FA2" w14:textId="3C80A04E" w:rsidR="006A36C5" w:rsidRDefault="006A36C5" w:rsidP="00B43A8C">
      <w:pPr>
        <w:wordWrap/>
        <w:adjustRightInd w:val="0"/>
        <w:snapToGrid w:val="0"/>
        <w:spacing w:line="360" w:lineRule="auto"/>
        <w:rPr>
          <w:rFonts w:ascii="Book Antiqua" w:hAnsi="Book Antiqua"/>
          <w:color w:val="000000" w:themeColor="text1"/>
          <w:kern w:val="0"/>
          <w:sz w:val="24"/>
          <w:szCs w:val="24"/>
        </w:rPr>
      </w:pPr>
      <w:r w:rsidRPr="00B43A8C">
        <w:rPr>
          <w:rFonts w:ascii="Book Antiqua" w:hAnsi="Book Antiqua"/>
          <w:color w:val="000000" w:themeColor="text1"/>
          <w:kern w:val="0"/>
          <w:sz w:val="24"/>
          <w:szCs w:val="24"/>
        </w:rPr>
        <w:lastRenderedPageBreak/>
        <w:t>The current study aims to determine whether the TCA19 system can be used as a prognostic indicator for stage IV CRC and to identify possible target or marker genes associated with immune functions from 19 genes.</w:t>
      </w:r>
    </w:p>
    <w:p w14:paraId="31FFA2CF" w14:textId="77777777" w:rsidR="00A1284B" w:rsidRPr="00B43A8C" w:rsidRDefault="00A1284B" w:rsidP="00B43A8C">
      <w:pPr>
        <w:wordWrap/>
        <w:adjustRightInd w:val="0"/>
        <w:snapToGrid w:val="0"/>
        <w:spacing w:line="360" w:lineRule="auto"/>
        <w:rPr>
          <w:rFonts w:ascii="Book Antiqua" w:hAnsi="Book Antiqua"/>
          <w:color w:val="000000" w:themeColor="text1"/>
          <w:kern w:val="0"/>
          <w:sz w:val="24"/>
          <w:szCs w:val="24"/>
        </w:rPr>
      </w:pPr>
    </w:p>
    <w:p w14:paraId="6730B5D2" w14:textId="4FD7EE4F" w:rsidR="0068024D" w:rsidRPr="00B43A8C" w:rsidRDefault="0068024D" w:rsidP="00EF65CB">
      <w:pPr>
        <w:wordWrap/>
        <w:adjustRightInd w:val="0"/>
        <w:snapToGrid w:val="0"/>
        <w:spacing w:line="360" w:lineRule="auto"/>
        <w:outlineLvl w:val="0"/>
        <w:rPr>
          <w:rFonts w:ascii="Book Antiqua" w:hAnsi="Book Antiqua"/>
          <w:b/>
          <w:i/>
          <w:color w:val="000000" w:themeColor="text1"/>
          <w:kern w:val="0"/>
          <w:sz w:val="24"/>
          <w:szCs w:val="24"/>
        </w:rPr>
      </w:pPr>
      <w:r w:rsidRPr="00B43A8C">
        <w:rPr>
          <w:rFonts w:ascii="Book Antiqua" w:hAnsi="Book Antiqua"/>
          <w:b/>
          <w:i/>
          <w:color w:val="000000" w:themeColor="text1"/>
          <w:kern w:val="0"/>
          <w:sz w:val="24"/>
          <w:szCs w:val="24"/>
        </w:rPr>
        <w:t>Research methods</w:t>
      </w:r>
    </w:p>
    <w:p w14:paraId="29DE1FF2" w14:textId="5A773ED8" w:rsidR="006A36C5" w:rsidRPr="00B43A8C" w:rsidRDefault="006A36C5" w:rsidP="00B43A8C">
      <w:pPr>
        <w:wordWrap/>
        <w:adjustRightInd w:val="0"/>
        <w:snapToGrid w:val="0"/>
        <w:spacing w:line="360" w:lineRule="auto"/>
        <w:rPr>
          <w:rFonts w:ascii="Book Antiqua" w:hAnsi="Book Antiqua"/>
          <w:color w:val="000000" w:themeColor="text1"/>
          <w:kern w:val="0"/>
          <w:sz w:val="24"/>
          <w:szCs w:val="24"/>
        </w:rPr>
      </w:pPr>
      <w:r w:rsidRPr="00B43A8C">
        <w:rPr>
          <w:rFonts w:ascii="Book Antiqua" w:hAnsi="Book Antiqua"/>
          <w:color w:val="000000" w:themeColor="text1"/>
          <w:kern w:val="0"/>
          <w:sz w:val="24"/>
          <w:szCs w:val="24"/>
        </w:rPr>
        <w:t xml:space="preserve">A retrospective review of the medical records of 60 patients with stage IV CRC was conducted, assessing </w:t>
      </w:r>
      <w:proofErr w:type="spellStart"/>
      <w:r w:rsidRPr="00B43A8C">
        <w:rPr>
          <w:rFonts w:ascii="Book Antiqua" w:hAnsi="Book Antiqua"/>
          <w:color w:val="000000" w:themeColor="text1"/>
          <w:kern w:val="0"/>
          <w:sz w:val="24"/>
          <w:szCs w:val="24"/>
        </w:rPr>
        <w:t>clinico</w:t>
      </w:r>
      <w:proofErr w:type="spellEnd"/>
      <w:r w:rsidRPr="00B43A8C">
        <w:rPr>
          <w:rFonts w:ascii="Book Antiqua" w:hAnsi="Book Antiqua"/>
          <w:color w:val="000000" w:themeColor="text1"/>
          <w:kern w:val="0"/>
          <w:sz w:val="24"/>
          <w:szCs w:val="24"/>
        </w:rPr>
        <w:t xml:space="preserve">-pathologic variables, and progression-free survival (PFS). </w:t>
      </w:r>
      <w:r w:rsidR="00802499">
        <w:rPr>
          <w:rFonts w:ascii="Book Antiqua" w:hAnsi="Book Antiqua"/>
          <w:color w:val="000000" w:themeColor="text1"/>
          <w:kern w:val="0"/>
          <w:sz w:val="24"/>
          <w:szCs w:val="24"/>
        </w:rPr>
        <w:t>TCA19</w:t>
      </w:r>
      <w:r w:rsidRPr="00B43A8C">
        <w:rPr>
          <w:rFonts w:ascii="Book Antiqua" w:hAnsi="Book Antiqua"/>
          <w:color w:val="000000" w:themeColor="text1"/>
          <w:kern w:val="0"/>
          <w:sz w:val="24"/>
          <w:szCs w:val="24"/>
        </w:rPr>
        <w:t xml:space="preserve"> gene expressions were determined by real-time quantitative polymerase chain reaction (RT-qPCR) in matched normal, primary tumor, and metastatic tumor tissues taken from the 60 study cohort. After selection of genes, related to immuno-oncology, expression of potential target or marker genes were examined by RT-qPCR, immunohistochemistry, western blot, and immunofluorescence staining using tissues from 10 validate set and </w:t>
      </w:r>
      <w:r w:rsidR="00333DAC" w:rsidRPr="00B43A8C">
        <w:rPr>
          <w:rFonts w:ascii="Book Antiqua" w:hAnsi="Book Antiqua"/>
          <w:color w:val="000000" w:themeColor="text1"/>
          <w:kern w:val="0"/>
          <w:sz w:val="24"/>
          <w:szCs w:val="24"/>
        </w:rPr>
        <w:t xml:space="preserve">in CRC cell lines co-cultured with monocytes </w:t>
      </w:r>
      <w:r w:rsidR="00333DAC" w:rsidRPr="00B43A8C">
        <w:rPr>
          <w:rFonts w:ascii="Book Antiqua" w:hAnsi="Book Antiqua"/>
          <w:i/>
          <w:color w:val="000000" w:themeColor="text1"/>
          <w:kern w:val="0"/>
          <w:sz w:val="24"/>
          <w:szCs w:val="24"/>
        </w:rPr>
        <w:t>in vitro</w:t>
      </w:r>
      <w:r w:rsidR="00333DAC" w:rsidRPr="00B43A8C">
        <w:rPr>
          <w:rFonts w:ascii="Book Antiqua" w:hAnsi="Book Antiqua"/>
          <w:color w:val="000000" w:themeColor="text1"/>
          <w:kern w:val="0"/>
          <w:sz w:val="24"/>
          <w:szCs w:val="24"/>
        </w:rPr>
        <w:t>.</w:t>
      </w:r>
    </w:p>
    <w:p w14:paraId="30E9D036" w14:textId="77777777" w:rsidR="006A36C5" w:rsidRPr="00B43A8C" w:rsidRDefault="006A36C5" w:rsidP="00B43A8C">
      <w:pPr>
        <w:wordWrap/>
        <w:adjustRightInd w:val="0"/>
        <w:snapToGrid w:val="0"/>
        <w:spacing w:line="360" w:lineRule="auto"/>
        <w:rPr>
          <w:rFonts w:ascii="Book Antiqua" w:hAnsi="Book Antiqua"/>
          <w:b/>
          <w:i/>
          <w:color w:val="000000" w:themeColor="text1"/>
          <w:kern w:val="0"/>
          <w:sz w:val="24"/>
          <w:szCs w:val="24"/>
        </w:rPr>
      </w:pPr>
    </w:p>
    <w:p w14:paraId="1429B920" w14:textId="747D1E6C" w:rsidR="0068024D" w:rsidRPr="00B43A8C" w:rsidRDefault="0068024D" w:rsidP="00EF65CB">
      <w:pPr>
        <w:wordWrap/>
        <w:adjustRightInd w:val="0"/>
        <w:snapToGrid w:val="0"/>
        <w:spacing w:line="360" w:lineRule="auto"/>
        <w:outlineLvl w:val="0"/>
        <w:rPr>
          <w:rFonts w:ascii="Book Antiqua" w:hAnsi="Book Antiqua"/>
          <w:b/>
          <w:i/>
          <w:color w:val="000000" w:themeColor="text1"/>
          <w:kern w:val="0"/>
          <w:sz w:val="24"/>
          <w:szCs w:val="24"/>
        </w:rPr>
      </w:pPr>
      <w:r w:rsidRPr="00B43A8C">
        <w:rPr>
          <w:rFonts w:ascii="Book Antiqua" w:hAnsi="Book Antiqua"/>
          <w:b/>
          <w:i/>
          <w:color w:val="000000" w:themeColor="text1"/>
          <w:kern w:val="0"/>
          <w:sz w:val="24"/>
          <w:szCs w:val="24"/>
        </w:rPr>
        <w:t>Research results</w:t>
      </w:r>
    </w:p>
    <w:p w14:paraId="7F050001" w14:textId="0EB2BDCF" w:rsidR="00333DAC" w:rsidRPr="00B43A8C" w:rsidRDefault="00333DAC" w:rsidP="00B43A8C">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color w:val="000000" w:themeColor="text1"/>
          <w:kern w:val="0"/>
          <w:sz w:val="24"/>
          <w:szCs w:val="24"/>
        </w:rPr>
        <w:t xml:space="preserve">In the patients with higher </w:t>
      </w:r>
      <w:r w:rsidR="00802499">
        <w:rPr>
          <w:rFonts w:ascii="Book Antiqua" w:hAnsi="Book Antiqua"/>
          <w:color w:val="000000" w:themeColor="text1"/>
          <w:kern w:val="0"/>
          <w:sz w:val="24"/>
          <w:szCs w:val="24"/>
        </w:rPr>
        <w:t>TCA19</w:t>
      </w:r>
      <w:r w:rsidRPr="00B43A8C">
        <w:rPr>
          <w:rFonts w:ascii="Book Antiqua" w:hAnsi="Book Antiqua"/>
          <w:color w:val="000000" w:themeColor="text1"/>
          <w:kern w:val="0"/>
          <w:sz w:val="24"/>
          <w:szCs w:val="24"/>
        </w:rPr>
        <w:t xml:space="preserve"> score, the PFS rates of the patients with target-regimen were significantly higher than the patients with </w:t>
      </w:r>
      <w:r w:rsidR="00A1284B" w:rsidRPr="00B43A8C">
        <w:rPr>
          <w:rFonts w:ascii="Book Antiqua" w:hAnsi="Book Antiqua"/>
          <w:color w:val="000000" w:themeColor="text1"/>
          <w:sz w:val="24"/>
          <w:szCs w:val="24"/>
        </w:rPr>
        <w:t>5-fluorouracil</w:t>
      </w:r>
      <w:r w:rsidRPr="00B43A8C">
        <w:rPr>
          <w:rFonts w:ascii="Book Antiqua" w:hAnsi="Book Antiqua"/>
          <w:color w:val="000000" w:themeColor="text1"/>
          <w:kern w:val="0"/>
          <w:sz w:val="24"/>
          <w:szCs w:val="24"/>
        </w:rPr>
        <w:t xml:space="preserve">-based regimen. In multivariable analysis, expression of </w:t>
      </w:r>
      <w:r w:rsidR="00A1284B">
        <w:rPr>
          <w:rFonts w:ascii="Book Antiqua" w:eastAsiaTheme="minorEastAsia" w:hAnsi="Book Antiqua"/>
          <w:color w:val="000000" w:themeColor="text1"/>
          <w:kern w:val="0"/>
          <w:sz w:val="24"/>
          <w:szCs w:val="24"/>
        </w:rPr>
        <w:t>s</w:t>
      </w:r>
      <w:r w:rsidR="00A1284B" w:rsidRPr="00EF65CB">
        <w:rPr>
          <w:rFonts w:ascii="Book Antiqua" w:eastAsiaTheme="minorEastAsia" w:hAnsi="Book Antiqua"/>
          <w:color w:val="000000" w:themeColor="text1"/>
          <w:kern w:val="0"/>
          <w:sz w:val="24"/>
          <w:szCs w:val="24"/>
        </w:rPr>
        <w:t>ignaling lymphocytic activation molecule family, member 7</w:t>
      </w:r>
      <w:r w:rsidR="00A1284B">
        <w:rPr>
          <w:rFonts w:ascii="Book Antiqua" w:eastAsiaTheme="minorEastAsia" w:hAnsi="Book Antiqua"/>
          <w:color w:val="000000" w:themeColor="text1"/>
          <w:kern w:val="0"/>
          <w:sz w:val="24"/>
          <w:szCs w:val="24"/>
        </w:rPr>
        <w:t xml:space="preserve"> (</w:t>
      </w:r>
      <w:r w:rsidR="00A1284B" w:rsidRPr="00B43A8C">
        <w:rPr>
          <w:rFonts w:ascii="Book Antiqua" w:eastAsiaTheme="minorEastAsia" w:hAnsi="Book Antiqua"/>
          <w:color w:val="000000" w:themeColor="text1"/>
          <w:sz w:val="24"/>
          <w:szCs w:val="24"/>
        </w:rPr>
        <w:t>SLAMF7</w:t>
      </w:r>
      <w:r w:rsidR="00A1284B">
        <w:rPr>
          <w:rFonts w:ascii="Book Antiqua" w:eastAsiaTheme="minorEastAsia" w:hAnsi="Book Antiqua"/>
          <w:color w:val="000000" w:themeColor="text1"/>
          <w:sz w:val="24"/>
          <w:szCs w:val="24"/>
        </w:rPr>
        <w:t>)</w:t>
      </w:r>
      <w:r w:rsidRPr="00B43A8C">
        <w:rPr>
          <w:rFonts w:ascii="Book Antiqua" w:hAnsi="Book Antiqua"/>
          <w:color w:val="000000" w:themeColor="text1"/>
          <w:kern w:val="0"/>
          <w:sz w:val="24"/>
          <w:szCs w:val="24"/>
        </w:rPr>
        <w:t xml:space="preserve"> and </w:t>
      </w:r>
      <w:r w:rsidRPr="00B43A8C">
        <w:rPr>
          <w:rFonts w:ascii="Book Antiqua" w:hAnsi="Book Antiqua"/>
          <w:color w:val="000000" w:themeColor="text1"/>
          <w:sz w:val="24"/>
          <w:szCs w:val="24"/>
        </w:rPr>
        <w:t>triggering receptor expressed on myeloid cells 1 (TREM1) was associated with PFS. From the results of the 10 validate set, down-regulation of SLAMF7 and up-regulation of TREM1 were observed in primary tumor and metastatic tumor tissues compared with normal tissue. In CRC cells expressing SLAMF7 that co-cultured with a monocytic cell line, levels of C</w:t>
      </w:r>
      <w:r w:rsidR="00A1284B">
        <w:rPr>
          <w:rFonts w:ascii="Book Antiqua" w:hAnsi="Book Antiqua"/>
          <w:color w:val="000000" w:themeColor="text1"/>
          <w:sz w:val="24"/>
          <w:szCs w:val="24"/>
        </w:rPr>
        <w:t>D68 and CD</w:t>
      </w:r>
      <w:r w:rsidRPr="00B43A8C">
        <w:rPr>
          <w:rFonts w:ascii="Book Antiqua" w:hAnsi="Book Antiqua"/>
          <w:color w:val="000000" w:themeColor="text1"/>
          <w:sz w:val="24"/>
          <w:szCs w:val="24"/>
        </w:rPr>
        <w:t>73 in IFS imaging were significantly lower at day</w:t>
      </w:r>
      <w:r w:rsidR="001D6376" w:rsidRPr="00B43A8C">
        <w:rPr>
          <w:rFonts w:ascii="Book Antiqua" w:hAnsi="Book Antiqua"/>
          <w:color w:val="000000" w:themeColor="text1"/>
          <w:sz w:val="24"/>
          <w:szCs w:val="24"/>
        </w:rPr>
        <w:t xml:space="preserve"> 5 of co-culture than at day 0. This result suggest</w:t>
      </w:r>
      <w:r w:rsidR="00A1284B">
        <w:rPr>
          <w:rFonts w:ascii="Book Antiqua" w:hAnsi="Book Antiqua"/>
          <w:color w:val="000000" w:themeColor="text1"/>
          <w:sz w:val="24"/>
          <w:szCs w:val="24"/>
        </w:rPr>
        <w:t>s</w:t>
      </w:r>
      <w:r w:rsidR="001D6376" w:rsidRPr="00B43A8C">
        <w:rPr>
          <w:rFonts w:ascii="Book Antiqua" w:hAnsi="Book Antiqua"/>
          <w:color w:val="000000" w:themeColor="text1"/>
          <w:sz w:val="24"/>
          <w:szCs w:val="24"/>
        </w:rPr>
        <w:t xml:space="preserve"> that SLAMF7 may have an inhibitory role in the immune response.</w:t>
      </w:r>
    </w:p>
    <w:p w14:paraId="50C6117D" w14:textId="77777777" w:rsidR="001D6376" w:rsidRPr="00B43A8C" w:rsidRDefault="001D6376" w:rsidP="00B43A8C">
      <w:pPr>
        <w:wordWrap/>
        <w:adjustRightInd w:val="0"/>
        <w:snapToGrid w:val="0"/>
        <w:spacing w:line="360" w:lineRule="auto"/>
        <w:rPr>
          <w:rFonts w:ascii="Book Antiqua" w:hAnsi="Book Antiqua"/>
          <w:color w:val="000000" w:themeColor="text1"/>
          <w:kern w:val="0"/>
          <w:sz w:val="24"/>
          <w:szCs w:val="24"/>
        </w:rPr>
      </w:pPr>
    </w:p>
    <w:p w14:paraId="2D2A56F4" w14:textId="1495479D" w:rsidR="0068024D" w:rsidRPr="00B43A8C" w:rsidRDefault="0068024D" w:rsidP="00EF65CB">
      <w:pPr>
        <w:wordWrap/>
        <w:adjustRightInd w:val="0"/>
        <w:snapToGrid w:val="0"/>
        <w:spacing w:line="360" w:lineRule="auto"/>
        <w:outlineLvl w:val="0"/>
        <w:rPr>
          <w:rFonts w:ascii="Book Antiqua" w:hAnsi="Book Antiqua"/>
          <w:b/>
          <w:i/>
          <w:color w:val="000000" w:themeColor="text1"/>
          <w:kern w:val="0"/>
          <w:sz w:val="24"/>
          <w:szCs w:val="24"/>
        </w:rPr>
      </w:pPr>
      <w:r w:rsidRPr="00B43A8C">
        <w:rPr>
          <w:rFonts w:ascii="Book Antiqua" w:hAnsi="Book Antiqua"/>
          <w:b/>
          <w:i/>
          <w:color w:val="000000" w:themeColor="text1"/>
          <w:kern w:val="0"/>
          <w:sz w:val="24"/>
          <w:szCs w:val="24"/>
        </w:rPr>
        <w:t>Research conclusions</w:t>
      </w:r>
    </w:p>
    <w:p w14:paraId="3DE90B22" w14:textId="6ADBE411" w:rsidR="001D6376" w:rsidRPr="00B43A8C" w:rsidRDefault="001D6376" w:rsidP="00B43A8C">
      <w:pPr>
        <w:wordWrap/>
        <w:adjustRightInd w:val="0"/>
        <w:snapToGrid w:val="0"/>
        <w:spacing w:line="360" w:lineRule="auto"/>
        <w:rPr>
          <w:rFonts w:ascii="Book Antiqua" w:hAnsi="Book Antiqua"/>
          <w:color w:val="000000" w:themeColor="text1"/>
          <w:kern w:val="0"/>
          <w:sz w:val="24"/>
          <w:szCs w:val="24"/>
        </w:rPr>
      </w:pPr>
      <w:r w:rsidRPr="00B43A8C">
        <w:rPr>
          <w:rFonts w:ascii="Book Antiqua" w:hAnsi="Book Antiqua"/>
          <w:color w:val="000000" w:themeColor="text1"/>
          <w:kern w:val="0"/>
          <w:sz w:val="24"/>
          <w:szCs w:val="24"/>
        </w:rPr>
        <w:t xml:space="preserve">TCA19 system may be used as a prognostic indicator for stage IV CRC in terms of </w:t>
      </w:r>
      <w:r w:rsidRPr="00B43A8C">
        <w:rPr>
          <w:rFonts w:ascii="Book Antiqua" w:hAnsi="Book Antiqua"/>
          <w:color w:val="000000" w:themeColor="text1"/>
          <w:kern w:val="0"/>
          <w:sz w:val="24"/>
          <w:szCs w:val="24"/>
        </w:rPr>
        <w:lastRenderedPageBreak/>
        <w:t>use of target-regimen. SLAMF7 and TREM1 may be related to tumorigenesis and progression according to down-regulation of SLAMF7 and up-regulation of TREM1 in tumor tissue.</w:t>
      </w:r>
    </w:p>
    <w:p w14:paraId="10C94568" w14:textId="77777777" w:rsidR="001D6376" w:rsidRPr="00B43A8C" w:rsidRDefault="001D6376" w:rsidP="00B43A8C">
      <w:pPr>
        <w:wordWrap/>
        <w:adjustRightInd w:val="0"/>
        <w:snapToGrid w:val="0"/>
        <w:spacing w:line="360" w:lineRule="auto"/>
        <w:rPr>
          <w:rFonts w:ascii="Book Antiqua" w:hAnsi="Book Antiqua"/>
          <w:color w:val="000000" w:themeColor="text1"/>
          <w:kern w:val="0"/>
          <w:sz w:val="24"/>
          <w:szCs w:val="24"/>
        </w:rPr>
      </w:pPr>
    </w:p>
    <w:p w14:paraId="3E32D7F2" w14:textId="19911003" w:rsidR="0068024D" w:rsidRPr="00B43A8C" w:rsidRDefault="0068024D" w:rsidP="00EF65CB">
      <w:pPr>
        <w:wordWrap/>
        <w:adjustRightInd w:val="0"/>
        <w:snapToGrid w:val="0"/>
        <w:spacing w:line="360" w:lineRule="auto"/>
        <w:outlineLvl w:val="0"/>
        <w:rPr>
          <w:rFonts w:ascii="Book Antiqua" w:hAnsi="Book Antiqua"/>
          <w:b/>
          <w:i/>
          <w:color w:val="000000" w:themeColor="text1"/>
          <w:kern w:val="0"/>
          <w:sz w:val="24"/>
          <w:szCs w:val="24"/>
        </w:rPr>
      </w:pPr>
      <w:r w:rsidRPr="00B43A8C">
        <w:rPr>
          <w:rFonts w:ascii="Book Antiqua" w:hAnsi="Book Antiqua"/>
          <w:b/>
          <w:i/>
          <w:color w:val="000000" w:themeColor="text1"/>
          <w:kern w:val="0"/>
          <w:sz w:val="24"/>
          <w:szCs w:val="24"/>
        </w:rPr>
        <w:t>Research perspectives</w:t>
      </w:r>
    </w:p>
    <w:p w14:paraId="400A4EB1" w14:textId="7BE9B7D9" w:rsidR="0068024D" w:rsidRPr="00B43A8C" w:rsidRDefault="001D6376" w:rsidP="00B43A8C">
      <w:pPr>
        <w:wordWrap/>
        <w:adjustRightInd w:val="0"/>
        <w:snapToGrid w:val="0"/>
        <w:spacing w:line="360" w:lineRule="auto"/>
        <w:rPr>
          <w:rFonts w:ascii="Book Antiqua" w:hAnsi="Book Antiqua"/>
          <w:color w:val="000000" w:themeColor="text1"/>
          <w:kern w:val="0"/>
          <w:sz w:val="24"/>
          <w:szCs w:val="24"/>
        </w:rPr>
      </w:pPr>
      <w:r w:rsidRPr="00B43A8C">
        <w:rPr>
          <w:rFonts w:ascii="Book Antiqua" w:hAnsi="Book Antiqua"/>
          <w:color w:val="000000" w:themeColor="text1"/>
          <w:kern w:val="0"/>
          <w:sz w:val="24"/>
          <w:szCs w:val="24"/>
        </w:rPr>
        <w:t>The current study found an inhibitory role of the SLAMF7 in the immune response. Recently, it is known that the patients with microsatellite-high CRC may respond the immune therapy. In this concept, the direction of the future research is the role of SLAMF7 in the patients with stage IV CRC in terms of the immune therapy.</w:t>
      </w:r>
    </w:p>
    <w:p w14:paraId="3AB540C8" w14:textId="77777777" w:rsidR="00A1284B" w:rsidRDefault="00A1284B">
      <w:pPr>
        <w:widowControl/>
        <w:wordWrap/>
        <w:autoSpaceDE/>
        <w:autoSpaceDN/>
        <w:spacing w:after="160" w:line="259" w:lineRule="auto"/>
        <w:rPr>
          <w:rFonts w:ascii="Book Antiqua" w:eastAsia="Arial Unicode MS" w:hAnsi="Book Antiqua"/>
          <w:b/>
          <w:color w:val="000000" w:themeColor="text1"/>
          <w:sz w:val="24"/>
          <w:szCs w:val="24"/>
        </w:rPr>
      </w:pPr>
      <w:r>
        <w:rPr>
          <w:rFonts w:ascii="Book Antiqua" w:eastAsia="Arial Unicode MS" w:hAnsi="Book Antiqua"/>
          <w:b/>
          <w:color w:val="000000" w:themeColor="text1"/>
          <w:sz w:val="24"/>
          <w:szCs w:val="24"/>
        </w:rPr>
        <w:br w:type="page"/>
      </w:r>
    </w:p>
    <w:p w14:paraId="59316A0D" w14:textId="4EBF361B" w:rsidR="00DB03D6" w:rsidRPr="00B43A8C" w:rsidRDefault="00720032" w:rsidP="00EF65CB">
      <w:pPr>
        <w:wordWrap/>
        <w:adjustRightInd w:val="0"/>
        <w:snapToGrid w:val="0"/>
        <w:spacing w:line="360" w:lineRule="auto"/>
        <w:outlineLvl w:val="0"/>
        <w:rPr>
          <w:rFonts w:ascii="Book Antiqua" w:hAnsi="Book Antiqua"/>
          <w:b/>
          <w:color w:val="000000" w:themeColor="text1"/>
          <w:sz w:val="24"/>
          <w:szCs w:val="24"/>
        </w:rPr>
      </w:pPr>
      <w:r w:rsidRPr="00B43A8C">
        <w:rPr>
          <w:rFonts w:ascii="Book Antiqua" w:hAnsi="Book Antiqua"/>
          <w:b/>
          <w:color w:val="000000" w:themeColor="text1"/>
          <w:sz w:val="24"/>
          <w:szCs w:val="24"/>
        </w:rPr>
        <w:lastRenderedPageBreak/>
        <w:t>REFERENCES</w:t>
      </w:r>
    </w:p>
    <w:p w14:paraId="4C4DE6A8"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1 </w:t>
      </w:r>
      <w:r w:rsidRPr="00B72A97">
        <w:rPr>
          <w:rFonts w:ascii="Book Antiqua" w:hAnsi="Book Antiqua"/>
          <w:b/>
          <w:bCs/>
          <w:color w:val="000000" w:themeColor="text1"/>
          <w:sz w:val="24"/>
          <w:szCs w:val="24"/>
        </w:rPr>
        <w:t>Jung KW</w:t>
      </w:r>
      <w:r w:rsidRPr="00B72A97">
        <w:rPr>
          <w:rFonts w:ascii="Book Antiqua" w:hAnsi="Book Antiqua"/>
          <w:color w:val="000000" w:themeColor="text1"/>
          <w:sz w:val="24"/>
          <w:szCs w:val="24"/>
        </w:rPr>
        <w:t>, Won YJ, Oh CM, Kong HJ, Lee DH, Lee KH. Prediction of Cancer Incidence and Mortality in Korea, 2017. </w:t>
      </w:r>
      <w:r w:rsidRPr="00B72A97">
        <w:rPr>
          <w:rFonts w:ascii="Book Antiqua" w:hAnsi="Book Antiqua"/>
          <w:i/>
          <w:iCs/>
          <w:color w:val="000000" w:themeColor="text1"/>
          <w:sz w:val="24"/>
          <w:szCs w:val="24"/>
        </w:rPr>
        <w:t>Cancer Res Treat</w:t>
      </w:r>
      <w:r w:rsidRPr="00B72A97">
        <w:rPr>
          <w:rFonts w:ascii="Book Antiqua" w:hAnsi="Book Antiqua"/>
          <w:color w:val="000000" w:themeColor="text1"/>
          <w:sz w:val="24"/>
          <w:szCs w:val="24"/>
        </w:rPr>
        <w:t> 2017; </w:t>
      </w:r>
      <w:r w:rsidRPr="00B72A97">
        <w:rPr>
          <w:rFonts w:ascii="Book Antiqua" w:hAnsi="Book Antiqua"/>
          <w:b/>
          <w:bCs/>
          <w:color w:val="000000" w:themeColor="text1"/>
          <w:sz w:val="24"/>
          <w:szCs w:val="24"/>
        </w:rPr>
        <w:t>49</w:t>
      </w:r>
      <w:r w:rsidRPr="00B72A97">
        <w:rPr>
          <w:rFonts w:ascii="Book Antiqua" w:hAnsi="Book Antiqua"/>
          <w:color w:val="000000" w:themeColor="text1"/>
          <w:sz w:val="24"/>
          <w:szCs w:val="24"/>
        </w:rPr>
        <w:t>: 306-312 [PMID: 28301926 DOI: 10.4143/crt.2017.130]</w:t>
      </w:r>
    </w:p>
    <w:p w14:paraId="63969BFD"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2 </w:t>
      </w:r>
      <w:r w:rsidRPr="00B72A97">
        <w:rPr>
          <w:rFonts w:ascii="Book Antiqua" w:hAnsi="Book Antiqua"/>
          <w:b/>
          <w:bCs/>
          <w:color w:val="000000" w:themeColor="text1"/>
          <w:sz w:val="24"/>
          <w:szCs w:val="24"/>
        </w:rPr>
        <w:t>Chang KH</w:t>
      </w:r>
      <w:r w:rsidRPr="00B72A97">
        <w:rPr>
          <w:rFonts w:ascii="Book Antiqua" w:hAnsi="Book Antiqua"/>
          <w:color w:val="000000" w:themeColor="text1"/>
          <w:sz w:val="24"/>
          <w:szCs w:val="24"/>
        </w:rPr>
        <w:t>, Smith MJ, McAnena OJ, Aprjanto AS, Dowdall JF. Increased use of multidisciplinary treatment modalities adds little to the outcome of rectal cancer treated by optimal total mesorectal excision. </w:t>
      </w:r>
      <w:r w:rsidRPr="00B72A97">
        <w:rPr>
          <w:rFonts w:ascii="Book Antiqua" w:hAnsi="Book Antiqua"/>
          <w:i/>
          <w:iCs/>
          <w:color w:val="000000" w:themeColor="text1"/>
          <w:sz w:val="24"/>
          <w:szCs w:val="24"/>
        </w:rPr>
        <w:t>Int J Colorectal Dis</w:t>
      </w:r>
      <w:r w:rsidRPr="00B72A97">
        <w:rPr>
          <w:rFonts w:ascii="Book Antiqua" w:hAnsi="Book Antiqua"/>
          <w:color w:val="000000" w:themeColor="text1"/>
          <w:sz w:val="24"/>
          <w:szCs w:val="24"/>
        </w:rPr>
        <w:t> 2012; </w:t>
      </w:r>
      <w:r w:rsidRPr="00B72A97">
        <w:rPr>
          <w:rFonts w:ascii="Book Antiqua" w:hAnsi="Book Antiqua"/>
          <w:b/>
          <w:bCs/>
          <w:color w:val="000000" w:themeColor="text1"/>
          <w:sz w:val="24"/>
          <w:szCs w:val="24"/>
        </w:rPr>
        <w:t>27</w:t>
      </w:r>
      <w:r w:rsidRPr="00B72A97">
        <w:rPr>
          <w:rFonts w:ascii="Book Antiqua" w:hAnsi="Book Antiqua"/>
          <w:color w:val="000000" w:themeColor="text1"/>
          <w:sz w:val="24"/>
          <w:szCs w:val="24"/>
        </w:rPr>
        <w:t>: 1275-1283 [PMID: 22395659 DOI: 10.1007/s00384-012-1440-8]</w:t>
      </w:r>
    </w:p>
    <w:p w14:paraId="23EB1466"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3 </w:t>
      </w:r>
      <w:r w:rsidRPr="00B72A97">
        <w:rPr>
          <w:rFonts w:ascii="Book Antiqua" w:hAnsi="Book Antiqua"/>
          <w:b/>
          <w:bCs/>
          <w:color w:val="000000" w:themeColor="text1"/>
          <w:sz w:val="24"/>
          <w:szCs w:val="24"/>
        </w:rPr>
        <w:t>Gennari L</w:t>
      </w:r>
      <w:r w:rsidRPr="00B72A97">
        <w:rPr>
          <w:rFonts w:ascii="Book Antiqua" w:hAnsi="Book Antiqua"/>
          <w:color w:val="000000" w:themeColor="text1"/>
          <w:sz w:val="24"/>
          <w:szCs w:val="24"/>
        </w:rPr>
        <w:t>, Russo A, Rossetti C. Colorectal cancer: what has changed in diagnosis and treatment over the last 50 years? </w:t>
      </w:r>
      <w:r w:rsidRPr="00B72A97">
        <w:rPr>
          <w:rFonts w:ascii="Book Antiqua" w:hAnsi="Book Antiqua"/>
          <w:i/>
          <w:iCs/>
          <w:color w:val="000000" w:themeColor="text1"/>
          <w:sz w:val="24"/>
          <w:szCs w:val="24"/>
        </w:rPr>
        <w:t>Tumori</w:t>
      </w:r>
      <w:r w:rsidRPr="00B72A97">
        <w:rPr>
          <w:rFonts w:ascii="Book Antiqua" w:hAnsi="Book Antiqua"/>
          <w:color w:val="000000" w:themeColor="text1"/>
          <w:sz w:val="24"/>
          <w:szCs w:val="24"/>
        </w:rPr>
        <w:t> 2007; </w:t>
      </w:r>
      <w:r w:rsidRPr="00B72A97">
        <w:rPr>
          <w:rFonts w:ascii="Book Antiqua" w:hAnsi="Book Antiqua"/>
          <w:b/>
          <w:bCs/>
          <w:color w:val="000000" w:themeColor="text1"/>
          <w:sz w:val="24"/>
          <w:szCs w:val="24"/>
        </w:rPr>
        <w:t>93</w:t>
      </w:r>
      <w:r w:rsidRPr="00B72A97">
        <w:rPr>
          <w:rFonts w:ascii="Book Antiqua" w:hAnsi="Book Antiqua"/>
          <w:color w:val="000000" w:themeColor="text1"/>
          <w:sz w:val="24"/>
          <w:szCs w:val="24"/>
        </w:rPr>
        <w:t>: 235-241 [PMID: 17679456]</w:t>
      </w:r>
    </w:p>
    <w:p w14:paraId="0C7A5E95"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4 </w:t>
      </w:r>
      <w:r w:rsidRPr="00B72A97">
        <w:rPr>
          <w:rFonts w:ascii="Book Antiqua" w:hAnsi="Book Antiqua"/>
          <w:b/>
          <w:bCs/>
          <w:color w:val="000000" w:themeColor="text1"/>
          <w:sz w:val="24"/>
          <w:szCs w:val="24"/>
        </w:rPr>
        <w:t>Allemani C</w:t>
      </w:r>
      <w:r w:rsidRPr="00B72A97">
        <w:rPr>
          <w:rFonts w:ascii="Book Antiqua" w:hAnsi="Book Antiqua"/>
          <w:color w:val="000000" w:themeColor="text1"/>
          <w:sz w:val="24"/>
          <w:szCs w:val="24"/>
        </w:rPr>
        <w:t>, Weir HK, Carreira H, Harewood R, Spika D, Wang XS, Bannon F, Ahn JV, Johnson CJ, Bonaventure A, Marcos-Gragera R, Stiller C, Azevedo e Silva G, Chen WQ, Ogunbiyi OJ, Rachet B, Soeberg MJ, You H, Matsuda T, Bielska-Lasota M, Storm H, Tucker TC, Coleman MP; CONCORD Working Group. Global surveillance of cancer survival 1995-2009: analysis of individual data for 25,676,887 patients from 279 population-based registries in 67 countries (CONCORD-2). </w:t>
      </w:r>
      <w:r w:rsidRPr="00B72A97">
        <w:rPr>
          <w:rFonts w:ascii="Book Antiqua" w:hAnsi="Book Antiqua"/>
          <w:i/>
          <w:iCs/>
          <w:color w:val="000000" w:themeColor="text1"/>
          <w:sz w:val="24"/>
          <w:szCs w:val="24"/>
        </w:rPr>
        <w:t>Lancet</w:t>
      </w:r>
      <w:r w:rsidRPr="00B72A97">
        <w:rPr>
          <w:rFonts w:ascii="Book Antiqua" w:hAnsi="Book Antiqua"/>
          <w:color w:val="000000" w:themeColor="text1"/>
          <w:sz w:val="24"/>
          <w:szCs w:val="24"/>
        </w:rPr>
        <w:t> 2015; </w:t>
      </w:r>
      <w:r w:rsidRPr="00B72A97">
        <w:rPr>
          <w:rFonts w:ascii="Book Antiqua" w:hAnsi="Book Antiqua"/>
          <w:b/>
          <w:bCs/>
          <w:color w:val="000000" w:themeColor="text1"/>
          <w:sz w:val="24"/>
          <w:szCs w:val="24"/>
        </w:rPr>
        <w:t>385</w:t>
      </w:r>
      <w:r w:rsidRPr="00B72A97">
        <w:rPr>
          <w:rFonts w:ascii="Book Antiqua" w:hAnsi="Book Antiqua"/>
          <w:color w:val="000000" w:themeColor="text1"/>
          <w:sz w:val="24"/>
          <w:szCs w:val="24"/>
        </w:rPr>
        <w:t>: 977-1010 [PMID: 25467588 DOI: 10.1016/S0140-6736(14)62038-9]</w:t>
      </w:r>
    </w:p>
    <w:p w14:paraId="4D8B1F38"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5 </w:t>
      </w:r>
      <w:r w:rsidRPr="00B72A97">
        <w:rPr>
          <w:rFonts w:ascii="Book Antiqua" w:hAnsi="Book Antiqua"/>
          <w:b/>
          <w:bCs/>
          <w:color w:val="000000" w:themeColor="text1"/>
          <w:sz w:val="24"/>
          <w:szCs w:val="24"/>
        </w:rPr>
        <w:t>Amin MB</w:t>
      </w:r>
      <w:r w:rsidRPr="00B72A97">
        <w:rPr>
          <w:rFonts w:ascii="Book Antiqua" w:hAnsi="Book Antiqua"/>
          <w:color w:val="000000" w:themeColor="text1"/>
          <w:sz w:val="24"/>
          <w:szCs w:val="24"/>
        </w:rPr>
        <w:t>, Greene FL, Edge SB, Compton CC, Gershenwald JE, Brookland RK, Meyer L, Gress DM, Byrd DR, Winchester DP. The Eighth Edition AJCC Cancer Staging Manual: Continuing to build a bridge from a population-based to a more "personalized" approach to cancer staging. </w:t>
      </w:r>
      <w:r w:rsidRPr="00B72A97">
        <w:rPr>
          <w:rFonts w:ascii="Book Antiqua" w:hAnsi="Book Antiqua"/>
          <w:i/>
          <w:iCs/>
          <w:color w:val="000000" w:themeColor="text1"/>
          <w:sz w:val="24"/>
          <w:szCs w:val="24"/>
        </w:rPr>
        <w:t>CA Cancer J Clin</w:t>
      </w:r>
      <w:r w:rsidRPr="00B72A97">
        <w:rPr>
          <w:rFonts w:ascii="Book Antiqua" w:hAnsi="Book Antiqua"/>
          <w:color w:val="000000" w:themeColor="text1"/>
          <w:sz w:val="24"/>
          <w:szCs w:val="24"/>
        </w:rPr>
        <w:t> 2017; </w:t>
      </w:r>
      <w:r w:rsidRPr="00B72A97">
        <w:rPr>
          <w:rFonts w:ascii="Book Antiqua" w:hAnsi="Book Antiqua"/>
          <w:b/>
          <w:bCs/>
          <w:color w:val="000000" w:themeColor="text1"/>
          <w:sz w:val="24"/>
          <w:szCs w:val="24"/>
        </w:rPr>
        <w:t>67</w:t>
      </w:r>
      <w:r w:rsidRPr="00B72A97">
        <w:rPr>
          <w:rFonts w:ascii="Book Antiqua" w:hAnsi="Book Antiqua"/>
          <w:color w:val="000000" w:themeColor="text1"/>
          <w:sz w:val="24"/>
          <w:szCs w:val="24"/>
        </w:rPr>
        <w:t>: 93-99 [PMID: 28094848 DOI: 10.3322/caac.21388]</w:t>
      </w:r>
    </w:p>
    <w:p w14:paraId="6D397DCF"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6 </w:t>
      </w:r>
      <w:r w:rsidRPr="00B72A97">
        <w:rPr>
          <w:rFonts w:ascii="Book Antiqua" w:hAnsi="Book Antiqua"/>
          <w:b/>
          <w:bCs/>
          <w:color w:val="000000" w:themeColor="text1"/>
          <w:sz w:val="24"/>
          <w:szCs w:val="24"/>
        </w:rPr>
        <w:t>Sung SY</w:t>
      </w:r>
      <w:r w:rsidRPr="00B72A97">
        <w:rPr>
          <w:rFonts w:ascii="Book Antiqua" w:hAnsi="Book Antiqua"/>
          <w:color w:val="000000" w:themeColor="text1"/>
          <w:sz w:val="24"/>
          <w:szCs w:val="24"/>
        </w:rPr>
        <w:t>, Jang HS, Kim SH, Jeong JU, Jeong S, Song JH, Chung MJ, Cho HM, Kim HJ, Kim JG, Lee IK, Lee JH. Oncologic Outcome and Morbidity in the Elderly Rectal Cancer Patients After Preoperative Chemoradiotherapy and Total Mesorectal Excision: A Multi-institutional and Case-matched Control Study. </w:t>
      </w:r>
      <w:r w:rsidRPr="00B72A97">
        <w:rPr>
          <w:rFonts w:ascii="Book Antiqua" w:hAnsi="Book Antiqua"/>
          <w:i/>
          <w:iCs/>
          <w:color w:val="000000" w:themeColor="text1"/>
          <w:sz w:val="24"/>
          <w:szCs w:val="24"/>
        </w:rPr>
        <w:t>Ann Surg</w:t>
      </w:r>
      <w:r w:rsidRPr="00B72A97">
        <w:rPr>
          <w:rFonts w:ascii="Book Antiqua" w:hAnsi="Book Antiqua"/>
          <w:color w:val="000000" w:themeColor="text1"/>
          <w:sz w:val="24"/>
          <w:szCs w:val="24"/>
        </w:rPr>
        <w:t> 2019; </w:t>
      </w:r>
      <w:r w:rsidRPr="00B72A97">
        <w:rPr>
          <w:rFonts w:ascii="Book Antiqua" w:hAnsi="Book Antiqua"/>
          <w:b/>
          <w:bCs/>
          <w:color w:val="000000" w:themeColor="text1"/>
          <w:sz w:val="24"/>
          <w:szCs w:val="24"/>
        </w:rPr>
        <w:t>269</w:t>
      </w:r>
      <w:r w:rsidRPr="00B72A97">
        <w:rPr>
          <w:rFonts w:ascii="Book Antiqua" w:hAnsi="Book Antiqua"/>
          <w:color w:val="000000" w:themeColor="text1"/>
          <w:sz w:val="24"/>
          <w:szCs w:val="24"/>
        </w:rPr>
        <w:t>: 108-113 [PMID: 28742692 DOI: 10.1097/SLA.0000000000002443]</w:t>
      </w:r>
    </w:p>
    <w:p w14:paraId="519C5F91"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7 </w:t>
      </w:r>
      <w:r w:rsidRPr="00B72A97">
        <w:rPr>
          <w:rFonts w:ascii="Book Antiqua" w:hAnsi="Book Antiqua"/>
          <w:b/>
          <w:bCs/>
          <w:color w:val="000000" w:themeColor="text1"/>
          <w:sz w:val="24"/>
          <w:szCs w:val="24"/>
        </w:rPr>
        <w:t>Benson AB 3</w:t>
      </w:r>
      <w:r w:rsidRPr="00B72A97">
        <w:rPr>
          <w:rFonts w:ascii="Book Antiqua" w:hAnsi="Book Antiqua"/>
          <w:b/>
          <w:bCs/>
          <w:color w:val="000000" w:themeColor="text1"/>
          <w:sz w:val="24"/>
          <w:szCs w:val="24"/>
          <w:vertAlign w:val="superscript"/>
        </w:rPr>
        <w:t>rd</w:t>
      </w:r>
      <w:r w:rsidRPr="00B72A97">
        <w:rPr>
          <w:rFonts w:ascii="Book Antiqua" w:hAnsi="Book Antiqua"/>
          <w:color w:val="000000" w:themeColor="text1"/>
          <w:sz w:val="24"/>
          <w:szCs w:val="24"/>
        </w:rPr>
        <w:t xml:space="preserve">, Venook AP, Cederquist L, Chan E, Chen YJ, Cooper HS, Deming D, Engstrom PF, Enzinger PC, Fichera A, Grem JL, Grothey A, Hochster HS, Hoffe S, Hunt S, Kamel A, Kirilcuk N, Krishnamurthi S, Messersmith WA, Mulcahy MF, </w:t>
      </w:r>
      <w:r w:rsidRPr="00B72A97">
        <w:rPr>
          <w:rFonts w:ascii="Book Antiqua" w:hAnsi="Book Antiqua"/>
          <w:color w:val="000000" w:themeColor="text1"/>
          <w:sz w:val="24"/>
          <w:szCs w:val="24"/>
        </w:rPr>
        <w:lastRenderedPageBreak/>
        <w:t>Murphy JD, Nurkin S, Saltz L, Sharma S, Shibata D, Skibber JM, Sofocleous CT, Stoffel EM, Stotsky-Himelfarb E, Willett CG, Wu CS, Gregory KM, Freedman-Cass D. Colon Cancer, Version 1.2017, NCCN Clinical Practice Guidelines in Oncology. </w:t>
      </w:r>
      <w:r w:rsidRPr="00B72A97">
        <w:rPr>
          <w:rFonts w:ascii="Book Antiqua" w:hAnsi="Book Antiqua"/>
          <w:i/>
          <w:iCs/>
          <w:color w:val="000000" w:themeColor="text1"/>
          <w:sz w:val="24"/>
          <w:szCs w:val="24"/>
        </w:rPr>
        <w:t>J Natl Compr Canc Netw</w:t>
      </w:r>
      <w:r w:rsidRPr="00B72A97">
        <w:rPr>
          <w:rFonts w:ascii="Book Antiqua" w:hAnsi="Book Antiqua"/>
          <w:color w:val="000000" w:themeColor="text1"/>
          <w:sz w:val="24"/>
          <w:szCs w:val="24"/>
        </w:rPr>
        <w:t> 2017; </w:t>
      </w:r>
      <w:r w:rsidRPr="00B72A97">
        <w:rPr>
          <w:rFonts w:ascii="Book Antiqua" w:hAnsi="Book Antiqua"/>
          <w:b/>
          <w:bCs/>
          <w:color w:val="000000" w:themeColor="text1"/>
          <w:sz w:val="24"/>
          <w:szCs w:val="24"/>
        </w:rPr>
        <w:t>15</w:t>
      </w:r>
      <w:r w:rsidRPr="00B72A97">
        <w:rPr>
          <w:rFonts w:ascii="Book Antiqua" w:hAnsi="Book Antiqua"/>
          <w:color w:val="000000" w:themeColor="text1"/>
          <w:sz w:val="24"/>
          <w:szCs w:val="24"/>
        </w:rPr>
        <w:t>: 370-398 [PMID: 28275037]</w:t>
      </w:r>
    </w:p>
    <w:p w14:paraId="770B10C5"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8 </w:t>
      </w:r>
      <w:r w:rsidRPr="00B72A97">
        <w:rPr>
          <w:rFonts w:ascii="Book Antiqua" w:hAnsi="Book Antiqua"/>
          <w:b/>
          <w:bCs/>
          <w:color w:val="000000" w:themeColor="text1"/>
          <w:sz w:val="24"/>
          <w:szCs w:val="24"/>
        </w:rPr>
        <w:t>Kim SK</w:t>
      </w:r>
      <w:r w:rsidRPr="00B72A97">
        <w:rPr>
          <w:rFonts w:ascii="Book Antiqua" w:hAnsi="Book Antiqua"/>
          <w:color w:val="000000" w:themeColor="text1"/>
          <w:sz w:val="24"/>
          <w:szCs w:val="24"/>
        </w:rPr>
        <w:t>, Kim SY, Kim JH, Roh SA, Cho DH, Kim YS, Kim JC. A nineteen gene-based risk score classifier predicts prognosis of colorectal cancer patients. </w:t>
      </w:r>
      <w:r w:rsidRPr="00B72A97">
        <w:rPr>
          <w:rFonts w:ascii="Book Antiqua" w:hAnsi="Book Antiqua"/>
          <w:i/>
          <w:iCs/>
          <w:color w:val="000000" w:themeColor="text1"/>
          <w:sz w:val="24"/>
          <w:szCs w:val="24"/>
        </w:rPr>
        <w:t>Mol Oncol</w:t>
      </w:r>
      <w:r w:rsidRPr="00B72A97">
        <w:rPr>
          <w:rFonts w:ascii="Book Antiqua" w:hAnsi="Book Antiqua"/>
          <w:color w:val="000000" w:themeColor="text1"/>
          <w:sz w:val="24"/>
          <w:szCs w:val="24"/>
        </w:rPr>
        <w:t> 2014; </w:t>
      </w:r>
      <w:r w:rsidRPr="00B72A97">
        <w:rPr>
          <w:rFonts w:ascii="Book Antiqua" w:hAnsi="Book Antiqua"/>
          <w:b/>
          <w:bCs/>
          <w:color w:val="000000" w:themeColor="text1"/>
          <w:sz w:val="24"/>
          <w:szCs w:val="24"/>
        </w:rPr>
        <w:t>8</w:t>
      </w:r>
      <w:r w:rsidRPr="00B72A97">
        <w:rPr>
          <w:rFonts w:ascii="Book Antiqua" w:hAnsi="Book Antiqua"/>
          <w:color w:val="000000" w:themeColor="text1"/>
          <w:sz w:val="24"/>
          <w:szCs w:val="24"/>
        </w:rPr>
        <w:t>: 1653-1666 [PMID: 25049118 DOI: 10.1016/j.molonc.2014.06.016]</w:t>
      </w:r>
    </w:p>
    <w:p w14:paraId="7E8F4043"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9 </w:t>
      </w:r>
      <w:r w:rsidRPr="00B72A97">
        <w:rPr>
          <w:rFonts w:ascii="Book Antiqua" w:hAnsi="Book Antiqua"/>
          <w:b/>
          <w:bCs/>
          <w:color w:val="000000" w:themeColor="text1"/>
          <w:sz w:val="24"/>
          <w:szCs w:val="24"/>
        </w:rPr>
        <w:t>Provenzale D</w:t>
      </w:r>
      <w:r w:rsidRPr="00B72A97">
        <w:rPr>
          <w:rFonts w:ascii="Book Antiqua" w:hAnsi="Book Antiqua"/>
          <w:color w:val="000000" w:themeColor="text1"/>
          <w:sz w:val="24"/>
          <w:szCs w:val="24"/>
        </w:rPr>
        <w:t>, Gupta S, Ahnen DJ, Bray T, Cannon JA, Cooper G, David DS, Early DS, Erwin D, Ford JM, Giardiello FM, Grady W, Halverson AL, Hamilton SR, Hampel H, Ismail MK, Klapman JB, Larson DW, Lazenby AJ, Lynch PM, Mayer RJ, Ness RM, Regenbogen SE, Samadder NJ, Shike M, Steinbach G, Weinberg D, Dwyer M, Darlow S. Genetic/Familial High-Risk Assessment: Colorectal Version 1.2016, NCCN Clinical Practice Guidelines in Oncology. </w:t>
      </w:r>
      <w:r w:rsidRPr="00B72A97">
        <w:rPr>
          <w:rFonts w:ascii="Book Antiqua" w:hAnsi="Book Antiqua"/>
          <w:i/>
          <w:iCs/>
          <w:color w:val="000000" w:themeColor="text1"/>
          <w:sz w:val="24"/>
          <w:szCs w:val="24"/>
        </w:rPr>
        <w:t>J Natl Compr Canc Netw</w:t>
      </w:r>
      <w:r w:rsidRPr="00B72A97">
        <w:rPr>
          <w:rFonts w:ascii="Book Antiqua" w:hAnsi="Book Antiqua"/>
          <w:color w:val="000000" w:themeColor="text1"/>
          <w:sz w:val="24"/>
          <w:szCs w:val="24"/>
        </w:rPr>
        <w:t> 2016; </w:t>
      </w:r>
      <w:r w:rsidRPr="00B72A97">
        <w:rPr>
          <w:rFonts w:ascii="Book Antiqua" w:hAnsi="Book Antiqua"/>
          <w:b/>
          <w:bCs/>
          <w:color w:val="000000" w:themeColor="text1"/>
          <w:sz w:val="24"/>
          <w:szCs w:val="24"/>
        </w:rPr>
        <w:t>14</w:t>
      </w:r>
      <w:r w:rsidRPr="00B72A97">
        <w:rPr>
          <w:rFonts w:ascii="Book Antiqua" w:hAnsi="Book Antiqua"/>
          <w:color w:val="000000" w:themeColor="text1"/>
          <w:sz w:val="24"/>
          <w:szCs w:val="24"/>
        </w:rPr>
        <w:t>: 1010-1030 [PMID: 27496117]</w:t>
      </w:r>
    </w:p>
    <w:p w14:paraId="58A13D5B"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10 </w:t>
      </w:r>
      <w:r w:rsidRPr="00B72A97">
        <w:rPr>
          <w:rFonts w:ascii="Book Antiqua" w:hAnsi="Book Antiqua"/>
          <w:b/>
          <w:bCs/>
          <w:color w:val="000000" w:themeColor="text1"/>
          <w:sz w:val="24"/>
          <w:szCs w:val="24"/>
        </w:rPr>
        <w:t>Garcia EP</w:t>
      </w:r>
      <w:r w:rsidRPr="00B72A97">
        <w:rPr>
          <w:rFonts w:ascii="Book Antiqua" w:hAnsi="Book Antiqua"/>
          <w:color w:val="000000" w:themeColor="text1"/>
          <w:sz w:val="24"/>
          <w:szCs w:val="24"/>
        </w:rPr>
        <w:t>, Minkovsky A, Jia Y, Ducar MD, Shivdasani P, Gong X, Ligon AH, Sholl LM, Kuo FC, MacConaill LE, Lindeman NI, Dong F. Validation of OncoPanel: A Targeted Next-Generation Sequencing Assay for the Detection of Somatic Variants in Cancer. </w:t>
      </w:r>
      <w:r w:rsidRPr="00B72A97">
        <w:rPr>
          <w:rFonts w:ascii="Book Antiqua" w:hAnsi="Book Antiqua"/>
          <w:i/>
          <w:iCs/>
          <w:color w:val="000000" w:themeColor="text1"/>
          <w:sz w:val="24"/>
          <w:szCs w:val="24"/>
        </w:rPr>
        <w:t>Arch Pathol Lab Med</w:t>
      </w:r>
      <w:r w:rsidRPr="00B72A97">
        <w:rPr>
          <w:rFonts w:ascii="Book Antiqua" w:hAnsi="Book Antiqua"/>
          <w:color w:val="000000" w:themeColor="text1"/>
          <w:sz w:val="24"/>
          <w:szCs w:val="24"/>
        </w:rPr>
        <w:t> 2017; </w:t>
      </w:r>
      <w:r w:rsidRPr="00B72A97">
        <w:rPr>
          <w:rFonts w:ascii="Book Antiqua" w:hAnsi="Book Antiqua"/>
          <w:b/>
          <w:bCs/>
          <w:color w:val="000000" w:themeColor="text1"/>
          <w:sz w:val="24"/>
          <w:szCs w:val="24"/>
        </w:rPr>
        <w:t>141</w:t>
      </w:r>
      <w:r w:rsidRPr="00B72A97">
        <w:rPr>
          <w:rFonts w:ascii="Book Antiqua" w:hAnsi="Book Antiqua"/>
          <w:color w:val="000000" w:themeColor="text1"/>
          <w:sz w:val="24"/>
          <w:szCs w:val="24"/>
        </w:rPr>
        <w:t>: 751-758 [PMID: 28557599 DOI: 10.5858/arpa.2016-0527-OA]</w:t>
      </w:r>
    </w:p>
    <w:p w14:paraId="3CBB9F01"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11 </w:t>
      </w:r>
      <w:r w:rsidRPr="00B72A97">
        <w:rPr>
          <w:rFonts w:ascii="Book Antiqua" w:hAnsi="Book Antiqua"/>
          <w:b/>
          <w:bCs/>
          <w:color w:val="000000" w:themeColor="text1"/>
          <w:sz w:val="24"/>
          <w:szCs w:val="24"/>
        </w:rPr>
        <w:t>De Roock W</w:t>
      </w:r>
      <w:r w:rsidRPr="00B72A97">
        <w:rPr>
          <w:rFonts w:ascii="Book Antiqua" w:hAnsi="Book Antiqua"/>
          <w:color w:val="000000" w:themeColor="text1"/>
          <w:sz w:val="24"/>
          <w:szCs w:val="24"/>
        </w:rPr>
        <w:t>, Claes B, Bernasconi D, De Schutter J, Biesmans B, Fountzilas G, Kalogeras KT, Kotoula V, Papamichael D, Laurent-Puig P, Penault-Llorca F, Rougier P, Vincenzi B, Santini D, Tonini G, Cappuzzo F, Frattini M, Molinari F, Saletti P, De Dosso S, Martini M, Bardelli A, Siena S, Sartore-Bianchi A, Tabernero J, Macarulla T, Di Fiore F, Gangloff AO, Ciardiello F, Pfeiffer P, Qvortrup C, Hansen TP, Van Cutsem E, Piessevaux H, Lambrechts D, Delorenzi M, Tejpar S. Effects of KRAS, BRAF, NRAS, and PIK3CA mutations on the efficacy of cetuximab plus chemotherapy in chemotherapy-refractory metastatic colorectal cancer: a retrospective consortium analysis. </w:t>
      </w:r>
      <w:r w:rsidRPr="00B72A97">
        <w:rPr>
          <w:rFonts w:ascii="Book Antiqua" w:hAnsi="Book Antiqua"/>
          <w:i/>
          <w:iCs/>
          <w:color w:val="000000" w:themeColor="text1"/>
          <w:sz w:val="24"/>
          <w:szCs w:val="24"/>
        </w:rPr>
        <w:t>Lancet Oncol</w:t>
      </w:r>
      <w:r w:rsidRPr="00B72A97">
        <w:rPr>
          <w:rFonts w:ascii="Book Antiqua" w:hAnsi="Book Antiqua"/>
          <w:color w:val="000000" w:themeColor="text1"/>
          <w:sz w:val="24"/>
          <w:szCs w:val="24"/>
        </w:rPr>
        <w:t> 2010; </w:t>
      </w:r>
      <w:r w:rsidRPr="00B72A97">
        <w:rPr>
          <w:rFonts w:ascii="Book Antiqua" w:hAnsi="Book Antiqua"/>
          <w:b/>
          <w:bCs/>
          <w:color w:val="000000" w:themeColor="text1"/>
          <w:sz w:val="24"/>
          <w:szCs w:val="24"/>
        </w:rPr>
        <w:t>11</w:t>
      </w:r>
      <w:r w:rsidRPr="00B72A97">
        <w:rPr>
          <w:rFonts w:ascii="Book Antiqua" w:hAnsi="Book Antiqua"/>
          <w:color w:val="000000" w:themeColor="text1"/>
          <w:sz w:val="24"/>
          <w:szCs w:val="24"/>
        </w:rPr>
        <w:t>: 753-762 [PMID: 20619739 DOI: 10.1016/S1470-2045(10)70130-3]</w:t>
      </w:r>
    </w:p>
    <w:p w14:paraId="04CFC621"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12 </w:t>
      </w:r>
      <w:r w:rsidRPr="00B72A97">
        <w:rPr>
          <w:rFonts w:ascii="Book Antiqua" w:hAnsi="Book Antiqua"/>
          <w:b/>
          <w:bCs/>
          <w:color w:val="000000" w:themeColor="text1"/>
          <w:sz w:val="24"/>
          <w:szCs w:val="24"/>
        </w:rPr>
        <w:t>Espenschied CR</w:t>
      </w:r>
      <w:r w:rsidRPr="00B72A97">
        <w:rPr>
          <w:rFonts w:ascii="Book Antiqua" w:hAnsi="Book Antiqua"/>
          <w:color w:val="000000" w:themeColor="text1"/>
          <w:sz w:val="24"/>
          <w:szCs w:val="24"/>
        </w:rPr>
        <w:t xml:space="preserve">, LaDuca H, Li S, McFarland R, Gau CL, Hampel H. Multigene </w:t>
      </w:r>
      <w:r w:rsidRPr="00B72A97">
        <w:rPr>
          <w:rFonts w:ascii="Book Antiqua" w:hAnsi="Book Antiqua"/>
          <w:color w:val="000000" w:themeColor="text1"/>
          <w:sz w:val="24"/>
          <w:szCs w:val="24"/>
        </w:rPr>
        <w:lastRenderedPageBreak/>
        <w:t>Panel Testing Provides a New Perspective on Lynch Syndrome. </w:t>
      </w:r>
      <w:r w:rsidRPr="00B72A97">
        <w:rPr>
          <w:rFonts w:ascii="Book Antiqua" w:hAnsi="Book Antiqua"/>
          <w:i/>
          <w:iCs/>
          <w:color w:val="000000" w:themeColor="text1"/>
          <w:sz w:val="24"/>
          <w:szCs w:val="24"/>
        </w:rPr>
        <w:t>J Clin Oncol</w:t>
      </w:r>
      <w:r w:rsidRPr="00B72A97">
        <w:rPr>
          <w:rFonts w:ascii="Book Antiqua" w:hAnsi="Book Antiqua"/>
          <w:color w:val="000000" w:themeColor="text1"/>
          <w:sz w:val="24"/>
          <w:szCs w:val="24"/>
        </w:rPr>
        <w:t> 2017; </w:t>
      </w:r>
      <w:r w:rsidRPr="00B72A97">
        <w:rPr>
          <w:rFonts w:ascii="Book Antiqua" w:hAnsi="Book Antiqua"/>
          <w:b/>
          <w:bCs/>
          <w:color w:val="000000" w:themeColor="text1"/>
          <w:sz w:val="24"/>
          <w:szCs w:val="24"/>
        </w:rPr>
        <w:t>35</w:t>
      </w:r>
      <w:r w:rsidRPr="00B72A97">
        <w:rPr>
          <w:rFonts w:ascii="Book Antiqua" w:hAnsi="Book Antiqua"/>
          <w:color w:val="000000" w:themeColor="text1"/>
          <w:sz w:val="24"/>
          <w:szCs w:val="24"/>
        </w:rPr>
        <w:t>: 2568-2575 [PMID: 28514183 DOI: 10.1200/JCO.2016.71.9260]</w:t>
      </w:r>
    </w:p>
    <w:p w14:paraId="31F08E85"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13 </w:t>
      </w:r>
      <w:r w:rsidRPr="00B72A97">
        <w:rPr>
          <w:rFonts w:ascii="Book Antiqua" w:hAnsi="Book Antiqua"/>
          <w:b/>
          <w:bCs/>
          <w:color w:val="000000" w:themeColor="text1"/>
          <w:sz w:val="24"/>
          <w:szCs w:val="24"/>
        </w:rPr>
        <w:t>Le DT</w:t>
      </w:r>
      <w:r w:rsidRPr="00B72A97">
        <w:rPr>
          <w:rFonts w:ascii="Book Antiqua" w:hAnsi="Book Antiqua"/>
          <w:color w:val="000000" w:themeColor="text1"/>
          <w:sz w:val="24"/>
          <w:szCs w:val="24"/>
        </w:rPr>
        <w:t>, Uram JN, Wang H, Bartlett BR, Kemberling H, Eyring AD, Skora AD, Luber BS, Azad NS, Laheru D, Biedrzycki B, Donehower RC, Zaheer A, Fisher GA, Crocenzi TS, Lee JJ, Duffy SM, Goldberg RM, de la Chapelle A, Koshiji M, Bhaijee F, Huebner T, Hruban RH, Wood LD, Cuka N, Pardoll DM, Papadopoulos N, Kinzler KW, Zhou S, Cornish TC, Taube JM, Anders RA, Eshleman JR, Vogelstein B, Diaz LA Jr. PD-1 Blockade in Tumors with Mismatch-Repair Deficiency. </w:t>
      </w:r>
      <w:r w:rsidRPr="00B72A97">
        <w:rPr>
          <w:rFonts w:ascii="Book Antiqua" w:hAnsi="Book Antiqua"/>
          <w:i/>
          <w:iCs/>
          <w:color w:val="000000" w:themeColor="text1"/>
          <w:sz w:val="24"/>
          <w:szCs w:val="24"/>
        </w:rPr>
        <w:t>N Engl J Med</w:t>
      </w:r>
      <w:r w:rsidRPr="00B72A97">
        <w:rPr>
          <w:rFonts w:ascii="Book Antiqua" w:hAnsi="Book Antiqua"/>
          <w:color w:val="000000" w:themeColor="text1"/>
          <w:sz w:val="24"/>
          <w:szCs w:val="24"/>
        </w:rPr>
        <w:t> 2015; </w:t>
      </w:r>
      <w:r w:rsidRPr="00B72A97">
        <w:rPr>
          <w:rFonts w:ascii="Book Antiqua" w:hAnsi="Book Antiqua"/>
          <w:b/>
          <w:bCs/>
          <w:color w:val="000000" w:themeColor="text1"/>
          <w:sz w:val="24"/>
          <w:szCs w:val="24"/>
        </w:rPr>
        <w:t>372</w:t>
      </w:r>
      <w:r w:rsidRPr="00B72A97">
        <w:rPr>
          <w:rFonts w:ascii="Book Antiqua" w:hAnsi="Book Antiqua"/>
          <w:color w:val="000000" w:themeColor="text1"/>
          <w:sz w:val="24"/>
          <w:szCs w:val="24"/>
        </w:rPr>
        <w:t>: 2509-2520 [PMID: 26028255 DOI: 10.1056/NEJMoa1500596]</w:t>
      </w:r>
    </w:p>
    <w:p w14:paraId="7498566F"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14 </w:t>
      </w:r>
      <w:r w:rsidRPr="00B72A97">
        <w:rPr>
          <w:rFonts w:ascii="Book Antiqua" w:hAnsi="Book Antiqua"/>
          <w:b/>
          <w:bCs/>
          <w:color w:val="000000" w:themeColor="text1"/>
          <w:sz w:val="24"/>
          <w:szCs w:val="24"/>
        </w:rPr>
        <w:t>Fujiyoshi K</w:t>
      </w:r>
      <w:r w:rsidRPr="00B72A97">
        <w:rPr>
          <w:rFonts w:ascii="Book Antiqua" w:hAnsi="Book Antiqua"/>
          <w:color w:val="000000" w:themeColor="text1"/>
          <w:sz w:val="24"/>
          <w:szCs w:val="24"/>
        </w:rPr>
        <w:t>, Yamamoto G, Takenoya T, Takahashi A, Arai Y, Yamada M, Kakuta M, Yamaguchi K, Akagi Y, Nishimura Y, Sakamoto H, Akagi K. Metastatic Pattern of Stage IV Colorectal Cancer with High-Frequency Microsatellite Instability as a Prognostic Factor. </w:t>
      </w:r>
      <w:r w:rsidRPr="00B72A97">
        <w:rPr>
          <w:rFonts w:ascii="Book Antiqua" w:hAnsi="Book Antiqua"/>
          <w:i/>
          <w:iCs/>
          <w:color w:val="000000" w:themeColor="text1"/>
          <w:sz w:val="24"/>
          <w:szCs w:val="24"/>
        </w:rPr>
        <w:t>Anticancer Res</w:t>
      </w:r>
      <w:r w:rsidRPr="00B72A97">
        <w:rPr>
          <w:rFonts w:ascii="Book Antiqua" w:hAnsi="Book Antiqua"/>
          <w:color w:val="000000" w:themeColor="text1"/>
          <w:sz w:val="24"/>
          <w:szCs w:val="24"/>
        </w:rPr>
        <w:t> 2017; </w:t>
      </w:r>
      <w:r w:rsidRPr="00B72A97">
        <w:rPr>
          <w:rFonts w:ascii="Book Antiqua" w:hAnsi="Book Antiqua"/>
          <w:b/>
          <w:bCs/>
          <w:color w:val="000000" w:themeColor="text1"/>
          <w:sz w:val="24"/>
          <w:szCs w:val="24"/>
        </w:rPr>
        <w:t>37</w:t>
      </w:r>
      <w:r w:rsidRPr="00B72A97">
        <w:rPr>
          <w:rFonts w:ascii="Book Antiqua" w:hAnsi="Book Antiqua"/>
          <w:color w:val="000000" w:themeColor="text1"/>
          <w:sz w:val="24"/>
          <w:szCs w:val="24"/>
        </w:rPr>
        <w:t>: 239-247 [PMID: 28011498]</w:t>
      </w:r>
    </w:p>
    <w:p w14:paraId="1338E387"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15 </w:t>
      </w:r>
      <w:r w:rsidRPr="00B72A97">
        <w:rPr>
          <w:rFonts w:ascii="Book Antiqua" w:hAnsi="Book Antiqua"/>
          <w:b/>
          <w:bCs/>
          <w:color w:val="000000" w:themeColor="text1"/>
          <w:sz w:val="24"/>
          <w:szCs w:val="24"/>
        </w:rPr>
        <w:t>Pancione M</w:t>
      </w:r>
      <w:r w:rsidRPr="00B72A97">
        <w:rPr>
          <w:rFonts w:ascii="Book Antiqua" w:hAnsi="Book Antiqua"/>
          <w:color w:val="000000" w:themeColor="text1"/>
          <w:sz w:val="24"/>
          <w:szCs w:val="24"/>
        </w:rPr>
        <w:t>, Giordano G, Remo A, Febbraro A, Sabatino L, Manfrin E, Ceccarelli M, Colantuoni V. Immune escape mechanisms in colorectal cancer pathogenesis and liver metastasis. </w:t>
      </w:r>
      <w:r w:rsidRPr="00B72A97">
        <w:rPr>
          <w:rFonts w:ascii="Book Antiqua" w:hAnsi="Book Antiqua"/>
          <w:i/>
          <w:iCs/>
          <w:color w:val="000000" w:themeColor="text1"/>
          <w:sz w:val="24"/>
          <w:szCs w:val="24"/>
        </w:rPr>
        <w:t>J Immunol Res</w:t>
      </w:r>
      <w:r w:rsidRPr="00B72A97">
        <w:rPr>
          <w:rFonts w:ascii="Book Antiqua" w:hAnsi="Book Antiqua"/>
          <w:color w:val="000000" w:themeColor="text1"/>
          <w:sz w:val="24"/>
          <w:szCs w:val="24"/>
        </w:rPr>
        <w:t> 2014; </w:t>
      </w:r>
      <w:r w:rsidRPr="00B72A97">
        <w:rPr>
          <w:rFonts w:ascii="Book Antiqua" w:hAnsi="Book Antiqua"/>
          <w:b/>
          <w:bCs/>
          <w:color w:val="000000" w:themeColor="text1"/>
          <w:sz w:val="24"/>
          <w:szCs w:val="24"/>
        </w:rPr>
        <w:t>2014</w:t>
      </w:r>
      <w:r w:rsidRPr="00B72A97">
        <w:rPr>
          <w:rFonts w:ascii="Book Antiqua" w:hAnsi="Book Antiqua"/>
          <w:color w:val="000000" w:themeColor="text1"/>
          <w:sz w:val="24"/>
          <w:szCs w:val="24"/>
        </w:rPr>
        <w:t>: 686879 [PMID: 24741617 DOI: 10.1155/2014/686879]</w:t>
      </w:r>
    </w:p>
    <w:p w14:paraId="087D679F"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16 </w:t>
      </w:r>
      <w:r w:rsidRPr="00B72A97">
        <w:rPr>
          <w:rFonts w:ascii="Book Antiqua" w:hAnsi="Book Antiqua"/>
          <w:b/>
          <w:bCs/>
          <w:color w:val="000000" w:themeColor="text1"/>
          <w:sz w:val="24"/>
          <w:szCs w:val="24"/>
        </w:rPr>
        <w:t>Zhou Q</w:t>
      </w:r>
      <w:r w:rsidRPr="00B72A97">
        <w:rPr>
          <w:rFonts w:ascii="Book Antiqua" w:hAnsi="Book Antiqua"/>
          <w:color w:val="000000" w:themeColor="text1"/>
          <w:sz w:val="24"/>
          <w:szCs w:val="24"/>
        </w:rPr>
        <w:t>, Peng RQ, Wu XJ, Xia Q, Hou JH, Ding Y, Zhou QM, Zhang X, Pang ZZ, Wan DS, Zeng YX, Zhang XS. The density of macrophages in the invasive front is inversely correlated to liver metastasis in colon cancer. </w:t>
      </w:r>
      <w:r w:rsidRPr="00B72A97">
        <w:rPr>
          <w:rFonts w:ascii="Book Antiqua" w:hAnsi="Book Antiqua"/>
          <w:i/>
          <w:iCs/>
          <w:color w:val="000000" w:themeColor="text1"/>
          <w:sz w:val="24"/>
          <w:szCs w:val="24"/>
        </w:rPr>
        <w:t>J Transl Med</w:t>
      </w:r>
      <w:r w:rsidRPr="00B72A97">
        <w:rPr>
          <w:rFonts w:ascii="Book Antiqua" w:hAnsi="Book Antiqua"/>
          <w:color w:val="000000" w:themeColor="text1"/>
          <w:sz w:val="24"/>
          <w:szCs w:val="24"/>
        </w:rPr>
        <w:t> 2010; </w:t>
      </w:r>
      <w:r w:rsidRPr="00B72A97">
        <w:rPr>
          <w:rFonts w:ascii="Book Antiqua" w:hAnsi="Book Antiqua"/>
          <w:b/>
          <w:bCs/>
          <w:color w:val="000000" w:themeColor="text1"/>
          <w:sz w:val="24"/>
          <w:szCs w:val="24"/>
        </w:rPr>
        <w:t>8</w:t>
      </w:r>
      <w:r w:rsidRPr="00B72A97">
        <w:rPr>
          <w:rFonts w:ascii="Book Antiqua" w:hAnsi="Book Antiqua"/>
          <w:color w:val="000000" w:themeColor="text1"/>
          <w:sz w:val="24"/>
          <w:szCs w:val="24"/>
        </w:rPr>
        <w:t>: 13 [PMID: 20141634 DOI: 10.1186/1479-5876-8-13]</w:t>
      </w:r>
    </w:p>
    <w:p w14:paraId="4DFCED5E"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17 </w:t>
      </w:r>
      <w:r w:rsidRPr="00B72A97">
        <w:rPr>
          <w:rFonts w:ascii="Book Antiqua" w:hAnsi="Book Antiqua"/>
          <w:b/>
          <w:bCs/>
          <w:color w:val="000000" w:themeColor="text1"/>
          <w:sz w:val="24"/>
          <w:szCs w:val="24"/>
        </w:rPr>
        <w:t>Wu XR</w:t>
      </w:r>
      <w:r w:rsidRPr="00B72A97">
        <w:rPr>
          <w:rFonts w:ascii="Book Antiqua" w:hAnsi="Book Antiqua"/>
          <w:color w:val="000000" w:themeColor="text1"/>
          <w:sz w:val="24"/>
          <w:szCs w:val="24"/>
        </w:rPr>
        <w:t>, He XS, Chen YF, Yuan RX, Zeng Y, Lian L, Zou YF, Lan N, Wu XJ, Lan P. High expression of CD73 as a poor prognostic biomarker in human colorectal cancer. </w:t>
      </w:r>
      <w:r w:rsidRPr="00B72A97">
        <w:rPr>
          <w:rFonts w:ascii="Book Antiqua" w:hAnsi="Book Antiqua"/>
          <w:i/>
          <w:iCs/>
          <w:color w:val="000000" w:themeColor="text1"/>
          <w:sz w:val="24"/>
          <w:szCs w:val="24"/>
        </w:rPr>
        <w:t>J Surg Oncol</w:t>
      </w:r>
      <w:r w:rsidRPr="00B72A97">
        <w:rPr>
          <w:rFonts w:ascii="Book Antiqua" w:hAnsi="Book Antiqua"/>
          <w:color w:val="000000" w:themeColor="text1"/>
          <w:sz w:val="24"/>
          <w:szCs w:val="24"/>
        </w:rPr>
        <w:t> 2012; </w:t>
      </w:r>
      <w:r w:rsidRPr="00B72A97">
        <w:rPr>
          <w:rFonts w:ascii="Book Antiqua" w:hAnsi="Book Antiqua"/>
          <w:b/>
          <w:bCs/>
          <w:color w:val="000000" w:themeColor="text1"/>
          <w:sz w:val="24"/>
          <w:szCs w:val="24"/>
        </w:rPr>
        <w:t>106</w:t>
      </w:r>
      <w:r w:rsidRPr="00B72A97">
        <w:rPr>
          <w:rFonts w:ascii="Book Antiqua" w:hAnsi="Book Antiqua"/>
          <w:color w:val="000000" w:themeColor="text1"/>
          <w:sz w:val="24"/>
          <w:szCs w:val="24"/>
        </w:rPr>
        <w:t>: 130-137 [PMID: 22287455 DOI: 10.1002/jso.23056]</w:t>
      </w:r>
    </w:p>
    <w:p w14:paraId="7B2B083C"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18 </w:t>
      </w:r>
      <w:r w:rsidRPr="00B72A97">
        <w:rPr>
          <w:rFonts w:ascii="Book Antiqua" w:hAnsi="Book Antiqua"/>
          <w:b/>
          <w:bCs/>
          <w:color w:val="000000" w:themeColor="text1"/>
          <w:sz w:val="24"/>
          <w:szCs w:val="24"/>
        </w:rPr>
        <w:t>Kim Y</w:t>
      </w:r>
      <w:r w:rsidRPr="00B72A97">
        <w:rPr>
          <w:rFonts w:ascii="Book Antiqua" w:hAnsi="Book Antiqua"/>
          <w:color w:val="000000" w:themeColor="text1"/>
          <w:sz w:val="24"/>
          <w:szCs w:val="24"/>
        </w:rPr>
        <w:t>, Roh S, Park JY, Kim Y, Cho DH, Kim JC. Differential expression of the LOX family genes in human colorectal adenocarcinomas. </w:t>
      </w:r>
      <w:r w:rsidRPr="00B72A97">
        <w:rPr>
          <w:rFonts w:ascii="Book Antiqua" w:hAnsi="Book Antiqua"/>
          <w:i/>
          <w:iCs/>
          <w:color w:val="000000" w:themeColor="text1"/>
          <w:sz w:val="24"/>
          <w:szCs w:val="24"/>
        </w:rPr>
        <w:t>Oncol Rep</w:t>
      </w:r>
      <w:r w:rsidRPr="00B72A97">
        <w:rPr>
          <w:rFonts w:ascii="Book Antiqua" w:hAnsi="Book Antiqua"/>
          <w:color w:val="000000" w:themeColor="text1"/>
          <w:sz w:val="24"/>
          <w:szCs w:val="24"/>
        </w:rPr>
        <w:t> 2009; </w:t>
      </w:r>
      <w:r w:rsidRPr="00B72A97">
        <w:rPr>
          <w:rFonts w:ascii="Book Antiqua" w:hAnsi="Book Antiqua"/>
          <w:b/>
          <w:bCs/>
          <w:color w:val="000000" w:themeColor="text1"/>
          <w:sz w:val="24"/>
          <w:szCs w:val="24"/>
        </w:rPr>
        <w:t>22</w:t>
      </w:r>
      <w:r w:rsidRPr="00B72A97">
        <w:rPr>
          <w:rFonts w:ascii="Book Antiqua" w:hAnsi="Book Antiqua"/>
          <w:color w:val="000000" w:themeColor="text1"/>
          <w:sz w:val="24"/>
          <w:szCs w:val="24"/>
        </w:rPr>
        <w:t>: 799-804 [PMID: 19724858]</w:t>
      </w:r>
    </w:p>
    <w:p w14:paraId="3CE7E4E0"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19 </w:t>
      </w:r>
      <w:r w:rsidRPr="00B72A97">
        <w:rPr>
          <w:rFonts w:ascii="Book Antiqua" w:hAnsi="Book Antiqua"/>
          <w:b/>
          <w:bCs/>
          <w:color w:val="000000" w:themeColor="text1"/>
          <w:sz w:val="24"/>
          <w:szCs w:val="24"/>
        </w:rPr>
        <w:t>Kim YS</w:t>
      </w:r>
      <w:r w:rsidRPr="00B72A97">
        <w:rPr>
          <w:rFonts w:ascii="Book Antiqua" w:hAnsi="Book Antiqua"/>
          <w:color w:val="000000" w:themeColor="text1"/>
          <w:sz w:val="24"/>
          <w:szCs w:val="24"/>
        </w:rPr>
        <w:t>, Kim SH, Kang JG, Ko JH. Expression level and glycan dynamics determine the net effects of TIMP-1 on cancer progression. </w:t>
      </w:r>
      <w:r w:rsidRPr="00B72A97">
        <w:rPr>
          <w:rFonts w:ascii="Book Antiqua" w:hAnsi="Book Antiqua"/>
          <w:i/>
          <w:iCs/>
          <w:color w:val="000000" w:themeColor="text1"/>
          <w:sz w:val="24"/>
          <w:szCs w:val="24"/>
        </w:rPr>
        <w:t>BMB Rep</w:t>
      </w:r>
      <w:r w:rsidRPr="00B72A97">
        <w:rPr>
          <w:rFonts w:ascii="Book Antiqua" w:hAnsi="Book Antiqua"/>
          <w:color w:val="000000" w:themeColor="text1"/>
          <w:sz w:val="24"/>
          <w:szCs w:val="24"/>
        </w:rPr>
        <w:t> 2012; </w:t>
      </w:r>
      <w:r w:rsidRPr="00B72A97">
        <w:rPr>
          <w:rFonts w:ascii="Book Antiqua" w:hAnsi="Book Antiqua"/>
          <w:b/>
          <w:bCs/>
          <w:color w:val="000000" w:themeColor="text1"/>
          <w:sz w:val="24"/>
          <w:szCs w:val="24"/>
        </w:rPr>
        <w:t>45</w:t>
      </w:r>
      <w:r w:rsidRPr="00B72A97">
        <w:rPr>
          <w:rFonts w:ascii="Book Antiqua" w:hAnsi="Book Antiqua"/>
          <w:color w:val="000000" w:themeColor="text1"/>
          <w:sz w:val="24"/>
          <w:szCs w:val="24"/>
        </w:rPr>
        <w:t>: 623-628 [PMID: 23187000]</w:t>
      </w:r>
    </w:p>
    <w:p w14:paraId="2744419D"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lastRenderedPageBreak/>
        <w:t>20 </w:t>
      </w:r>
      <w:r w:rsidRPr="00B72A97">
        <w:rPr>
          <w:rFonts w:ascii="Book Antiqua" w:hAnsi="Book Antiqua"/>
          <w:b/>
          <w:bCs/>
          <w:color w:val="000000" w:themeColor="text1"/>
          <w:sz w:val="24"/>
          <w:szCs w:val="24"/>
        </w:rPr>
        <w:t>Paik S</w:t>
      </w:r>
      <w:r w:rsidRPr="00B72A97">
        <w:rPr>
          <w:rFonts w:ascii="Book Antiqua" w:hAnsi="Book Antiqua"/>
          <w:color w:val="000000" w:themeColor="text1"/>
          <w:sz w:val="24"/>
          <w:szCs w:val="24"/>
        </w:rPr>
        <w:t>, Shak S, Tang G, Kim C, Baker J, Cronin M, Baehner FL, Walker MG, Watson D, Park T, Hiller W, Fisher ER, Wickerham DL, Bryant J, Wolmark N. A multigene assay to predict recurrence of tamoxifen-treated, node-negative breast cancer. </w:t>
      </w:r>
      <w:r w:rsidRPr="00B72A97">
        <w:rPr>
          <w:rFonts w:ascii="Book Antiqua" w:hAnsi="Book Antiqua"/>
          <w:i/>
          <w:iCs/>
          <w:color w:val="000000" w:themeColor="text1"/>
          <w:sz w:val="24"/>
          <w:szCs w:val="24"/>
        </w:rPr>
        <w:t>N Engl J Med</w:t>
      </w:r>
      <w:r w:rsidRPr="00B72A97">
        <w:rPr>
          <w:rFonts w:ascii="Book Antiqua" w:hAnsi="Book Antiqua"/>
          <w:color w:val="000000" w:themeColor="text1"/>
          <w:sz w:val="24"/>
          <w:szCs w:val="24"/>
        </w:rPr>
        <w:t> 2004; </w:t>
      </w:r>
      <w:r w:rsidRPr="00B72A97">
        <w:rPr>
          <w:rFonts w:ascii="Book Antiqua" w:hAnsi="Book Antiqua"/>
          <w:b/>
          <w:bCs/>
          <w:color w:val="000000" w:themeColor="text1"/>
          <w:sz w:val="24"/>
          <w:szCs w:val="24"/>
        </w:rPr>
        <w:t>351</w:t>
      </w:r>
      <w:r w:rsidRPr="00B72A97">
        <w:rPr>
          <w:rFonts w:ascii="Book Antiqua" w:hAnsi="Book Antiqua"/>
          <w:color w:val="000000" w:themeColor="text1"/>
          <w:sz w:val="24"/>
          <w:szCs w:val="24"/>
        </w:rPr>
        <w:t>: 2817-2826 [PMID: 15591335 DOI: 10.1056/NEJMoa041588]</w:t>
      </w:r>
    </w:p>
    <w:p w14:paraId="0095EE85"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21 </w:t>
      </w:r>
      <w:r w:rsidRPr="00B72A97">
        <w:rPr>
          <w:rFonts w:ascii="Book Antiqua" w:hAnsi="Book Antiqua"/>
          <w:b/>
          <w:bCs/>
          <w:color w:val="000000" w:themeColor="text1"/>
          <w:sz w:val="24"/>
          <w:szCs w:val="24"/>
        </w:rPr>
        <w:t>Khambata-Ford S</w:t>
      </w:r>
      <w:r w:rsidRPr="00B72A97">
        <w:rPr>
          <w:rFonts w:ascii="Book Antiqua" w:hAnsi="Book Antiqua"/>
          <w:color w:val="000000" w:themeColor="text1"/>
          <w:sz w:val="24"/>
          <w:szCs w:val="24"/>
        </w:rPr>
        <w:t>, Garrett CR, Meropol NJ, Basik M, Harbison CT, Wu S, Wong TW, Huang X, Takimoto CH, Godwin AK, Tan BR, Krishnamurthi SS, Burris HA 3rd, Poplin EA, Hidalgo M, Baselga J, Clark EA, Mauro DJ. Expression of epiregulin and amphiregulin and K-ras mutation status predict disease control in metastatic colorectal cancer patients treated with cetuximab. </w:t>
      </w:r>
      <w:r w:rsidRPr="00B72A97">
        <w:rPr>
          <w:rFonts w:ascii="Book Antiqua" w:hAnsi="Book Antiqua"/>
          <w:i/>
          <w:iCs/>
          <w:color w:val="000000" w:themeColor="text1"/>
          <w:sz w:val="24"/>
          <w:szCs w:val="24"/>
        </w:rPr>
        <w:t>J Clin Oncol</w:t>
      </w:r>
      <w:r w:rsidRPr="00B72A97">
        <w:rPr>
          <w:rFonts w:ascii="Book Antiqua" w:hAnsi="Book Antiqua"/>
          <w:color w:val="000000" w:themeColor="text1"/>
          <w:sz w:val="24"/>
          <w:szCs w:val="24"/>
        </w:rPr>
        <w:t> 2007; </w:t>
      </w:r>
      <w:r w:rsidRPr="00B72A97">
        <w:rPr>
          <w:rFonts w:ascii="Book Antiqua" w:hAnsi="Book Antiqua"/>
          <w:b/>
          <w:bCs/>
          <w:color w:val="000000" w:themeColor="text1"/>
          <w:sz w:val="24"/>
          <w:szCs w:val="24"/>
        </w:rPr>
        <w:t>25</w:t>
      </w:r>
      <w:r w:rsidRPr="00B72A97">
        <w:rPr>
          <w:rFonts w:ascii="Book Antiqua" w:hAnsi="Book Antiqua"/>
          <w:color w:val="000000" w:themeColor="text1"/>
          <w:sz w:val="24"/>
          <w:szCs w:val="24"/>
        </w:rPr>
        <w:t>: 3230-3237 [PMID: 17664471 DOI: 10.1200/JCO.2006.10.5437]</w:t>
      </w:r>
    </w:p>
    <w:p w14:paraId="12EC0690"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22 </w:t>
      </w:r>
      <w:r w:rsidRPr="00B72A97">
        <w:rPr>
          <w:rFonts w:ascii="Book Antiqua" w:hAnsi="Book Antiqua"/>
          <w:b/>
          <w:bCs/>
          <w:color w:val="000000" w:themeColor="text1"/>
          <w:sz w:val="24"/>
          <w:szCs w:val="24"/>
        </w:rPr>
        <w:t>Normanno N</w:t>
      </w:r>
      <w:r w:rsidRPr="00B72A97">
        <w:rPr>
          <w:rFonts w:ascii="Book Antiqua" w:hAnsi="Book Antiqua"/>
          <w:color w:val="000000" w:themeColor="text1"/>
          <w:sz w:val="24"/>
          <w:szCs w:val="24"/>
        </w:rPr>
        <w:t>, Tejpar S, Morgillo F, De Luca A, Van Cutsem E, Ciardiello F. Implications for KRAS status and EGFR-targeted therapies in metastatic CRC. </w:t>
      </w:r>
      <w:r w:rsidRPr="00B72A97">
        <w:rPr>
          <w:rFonts w:ascii="Book Antiqua" w:hAnsi="Book Antiqua"/>
          <w:i/>
          <w:iCs/>
          <w:color w:val="000000" w:themeColor="text1"/>
          <w:sz w:val="24"/>
          <w:szCs w:val="24"/>
        </w:rPr>
        <w:t>Nat Rev Clin Oncol</w:t>
      </w:r>
      <w:r w:rsidRPr="00B72A97">
        <w:rPr>
          <w:rFonts w:ascii="Book Antiqua" w:hAnsi="Book Antiqua"/>
          <w:color w:val="000000" w:themeColor="text1"/>
          <w:sz w:val="24"/>
          <w:szCs w:val="24"/>
        </w:rPr>
        <w:t>2009; </w:t>
      </w:r>
      <w:r w:rsidRPr="00B72A97">
        <w:rPr>
          <w:rFonts w:ascii="Book Antiqua" w:hAnsi="Book Antiqua"/>
          <w:b/>
          <w:bCs/>
          <w:color w:val="000000" w:themeColor="text1"/>
          <w:sz w:val="24"/>
          <w:szCs w:val="24"/>
        </w:rPr>
        <w:t>6</w:t>
      </w:r>
      <w:r w:rsidRPr="00B72A97">
        <w:rPr>
          <w:rFonts w:ascii="Book Antiqua" w:hAnsi="Book Antiqua"/>
          <w:color w:val="000000" w:themeColor="text1"/>
          <w:sz w:val="24"/>
          <w:szCs w:val="24"/>
        </w:rPr>
        <w:t>: 519-527 [PMID: 19636327 DOI: 10.1038/nrclinonc.2009.111]</w:t>
      </w:r>
    </w:p>
    <w:p w14:paraId="03C4762B"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23 </w:t>
      </w:r>
      <w:r w:rsidRPr="00B72A97">
        <w:rPr>
          <w:rFonts w:ascii="Book Antiqua" w:hAnsi="Book Antiqua"/>
          <w:b/>
          <w:bCs/>
          <w:color w:val="000000" w:themeColor="text1"/>
          <w:sz w:val="24"/>
          <w:szCs w:val="24"/>
        </w:rPr>
        <w:t>To KK</w:t>
      </w:r>
      <w:r w:rsidRPr="00B72A97">
        <w:rPr>
          <w:rFonts w:ascii="Book Antiqua" w:hAnsi="Book Antiqua"/>
          <w:color w:val="000000" w:themeColor="text1"/>
          <w:sz w:val="24"/>
          <w:szCs w:val="24"/>
        </w:rPr>
        <w:t>, Tong CW, Wu M, Cho WC. MicroRNAs in the prognosis and therapy of colorectal cancer: From bench to bedside. </w:t>
      </w:r>
      <w:r w:rsidRPr="00B72A97">
        <w:rPr>
          <w:rFonts w:ascii="Book Antiqua" w:hAnsi="Book Antiqua"/>
          <w:i/>
          <w:iCs/>
          <w:color w:val="000000" w:themeColor="text1"/>
          <w:sz w:val="24"/>
          <w:szCs w:val="24"/>
        </w:rPr>
        <w:t>World J Gastroenterol</w:t>
      </w:r>
      <w:r w:rsidRPr="00B72A97">
        <w:rPr>
          <w:rFonts w:ascii="Book Antiqua" w:hAnsi="Book Antiqua"/>
          <w:color w:val="000000" w:themeColor="text1"/>
          <w:sz w:val="24"/>
          <w:szCs w:val="24"/>
        </w:rPr>
        <w:t> 2018; </w:t>
      </w:r>
      <w:r w:rsidRPr="00B72A97">
        <w:rPr>
          <w:rFonts w:ascii="Book Antiqua" w:hAnsi="Book Antiqua"/>
          <w:b/>
          <w:bCs/>
          <w:color w:val="000000" w:themeColor="text1"/>
          <w:sz w:val="24"/>
          <w:szCs w:val="24"/>
        </w:rPr>
        <w:t>24</w:t>
      </w:r>
      <w:r w:rsidRPr="00B72A97">
        <w:rPr>
          <w:rFonts w:ascii="Book Antiqua" w:hAnsi="Book Antiqua"/>
          <w:color w:val="000000" w:themeColor="text1"/>
          <w:sz w:val="24"/>
          <w:szCs w:val="24"/>
        </w:rPr>
        <w:t>: 2949-2973 [PMID: 30038463 DOI: 10.3748/wjg.v24.i27.2949]</w:t>
      </w:r>
    </w:p>
    <w:p w14:paraId="22F602E9"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24 </w:t>
      </w:r>
      <w:r w:rsidRPr="00B72A97">
        <w:rPr>
          <w:rFonts w:ascii="Book Antiqua" w:hAnsi="Book Antiqua"/>
          <w:b/>
          <w:bCs/>
          <w:color w:val="000000" w:themeColor="text1"/>
          <w:sz w:val="24"/>
          <w:szCs w:val="24"/>
        </w:rPr>
        <w:t>Berger MD</w:t>
      </w:r>
      <w:r w:rsidRPr="00B72A97">
        <w:rPr>
          <w:rFonts w:ascii="Book Antiqua" w:hAnsi="Book Antiqua"/>
          <w:color w:val="000000" w:themeColor="text1"/>
          <w:sz w:val="24"/>
          <w:szCs w:val="24"/>
        </w:rPr>
        <w:t>, Stintzing S, Heinemann V, Yang D, Cao S, Sunakawa Y, Ning Y, Matsusaka S, Okazaki S, Miyamoto Y, Suenaga M, Schirripa M, Soni S, Zhang W, Falcone A, Loupakis F, Lenz HJ. Impact of genetic variations in the MAPK signaling pathway on outcome in metastatic colorectal cancer patients treated with first-line FOLFIRI and bevacizumab: data from FIRE-3 and TRIBE trials. </w:t>
      </w:r>
      <w:r w:rsidRPr="00B72A97">
        <w:rPr>
          <w:rFonts w:ascii="Book Antiqua" w:hAnsi="Book Antiqua"/>
          <w:i/>
          <w:iCs/>
          <w:color w:val="000000" w:themeColor="text1"/>
          <w:sz w:val="24"/>
          <w:szCs w:val="24"/>
        </w:rPr>
        <w:t>Ann Oncol</w:t>
      </w:r>
      <w:r w:rsidRPr="00B72A97">
        <w:rPr>
          <w:rFonts w:ascii="Book Antiqua" w:hAnsi="Book Antiqua"/>
          <w:color w:val="000000" w:themeColor="text1"/>
          <w:sz w:val="24"/>
          <w:szCs w:val="24"/>
        </w:rPr>
        <w:t> 2017; </w:t>
      </w:r>
      <w:r w:rsidRPr="00B72A97">
        <w:rPr>
          <w:rFonts w:ascii="Book Antiqua" w:hAnsi="Book Antiqua"/>
          <w:b/>
          <w:bCs/>
          <w:color w:val="000000" w:themeColor="text1"/>
          <w:sz w:val="24"/>
          <w:szCs w:val="24"/>
        </w:rPr>
        <w:t>28</w:t>
      </w:r>
      <w:r w:rsidRPr="00B72A97">
        <w:rPr>
          <w:rFonts w:ascii="Book Antiqua" w:hAnsi="Book Antiqua"/>
          <w:color w:val="000000" w:themeColor="text1"/>
          <w:sz w:val="24"/>
          <w:szCs w:val="24"/>
        </w:rPr>
        <w:t>: 2780-2785 [PMID: 29045529 DOI: 10.1093/annonc/mdx412]</w:t>
      </w:r>
    </w:p>
    <w:p w14:paraId="52DA7814"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25 </w:t>
      </w:r>
      <w:r w:rsidRPr="00B72A97">
        <w:rPr>
          <w:rFonts w:ascii="Book Antiqua" w:hAnsi="Book Antiqua"/>
          <w:b/>
          <w:bCs/>
          <w:color w:val="000000" w:themeColor="text1"/>
          <w:sz w:val="24"/>
          <w:szCs w:val="24"/>
        </w:rPr>
        <w:t>Coussens LM</w:t>
      </w:r>
      <w:r w:rsidRPr="00B72A97">
        <w:rPr>
          <w:rFonts w:ascii="Book Antiqua" w:hAnsi="Book Antiqua"/>
          <w:color w:val="000000" w:themeColor="text1"/>
          <w:sz w:val="24"/>
          <w:szCs w:val="24"/>
        </w:rPr>
        <w:t>, Werb Z. Inflammation and cancer. </w:t>
      </w:r>
      <w:r w:rsidRPr="00B72A97">
        <w:rPr>
          <w:rFonts w:ascii="Book Antiqua" w:hAnsi="Book Antiqua"/>
          <w:i/>
          <w:iCs/>
          <w:color w:val="000000" w:themeColor="text1"/>
          <w:sz w:val="24"/>
          <w:szCs w:val="24"/>
        </w:rPr>
        <w:t>Nature</w:t>
      </w:r>
      <w:r w:rsidRPr="00B72A97">
        <w:rPr>
          <w:rFonts w:ascii="Book Antiqua" w:hAnsi="Book Antiqua"/>
          <w:color w:val="000000" w:themeColor="text1"/>
          <w:sz w:val="24"/>
          <w:szCs w:val="24"/>
        </w:rPr>
        <w:t> 2002; </w:t>
      </w:r>
      <w:r w:rsidRPr="00B72A97">
        <w:rPr>
          <w:rFonts w:ascii="Book Antiqua" w:hAnsi="Book Antiqua"/>
          <w:b/>
          <w:bCs/>
          <w:color w:val="000000" w:themeColor="text1"/>
          <w:sz w:val="24"/>
          <w:szCs w:val="24"/>
        </w:rPr>
        <w:t>420</w:t>
      </w:r>
      <w:r w:rsidRPr="00B72A97">
        <w:rPr>
          <w:rFonts w:ascii="Book Antiqua" w:hAnsi="Book Antiqua"/>
          <w:color w:val="000000" w:themeColor="text1"/>
          <w:sz w:val="24"/>
          <w:szCs w:val="24"/>
        </w:rPr>
        <w:t>: 860-867 [PMID: 12490959 DOI: 10.1038/nature01322]</w:t>
      </w:r>
    </w:p>
    <w:p w14:paraId="223D67C7"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26 </w:t>
      </w:r>
      <w:r w:rsidRPr="00B72A97">
        <w:rPr>
          <w:rFonts w:ascii="Book Antiqua" w:hAnsi="Book Antiqua"/>
          <w:b/>
          <w:bCs/>
          <w:color w:val="000000" w:themeColor="text1"/>
          <w:sz w:val="24"/>
          <w:szCs w:val="24"/>
        </w:rPr>
        <w:t>Veillette A</w:t>
      </w:r>
      <w:r w:rsidRPr="00B72A97">
        <w:rPr>
          <w:rFonts w:ascii="Book Antiqua" w:hAnsi="Book Antiqua"/>
          <w:color w:val="000000" w:themeColor="text1"/>
          <w:sz w:val="24"/>
          <w:szCs w:val="24"/>
        </w:rPr>
        <w:t>. Immune regulation by SLAM family receptors and SAP-related adaptors. </w:t>
      </w:r>
      <w:r w:rsidRPr="00B72A97">
        <w:rPr>
          <w:rFonts w:ascii="Book Antiqua" w:hAnsi="Book Antiqua"/>
          <w:i/>
          <w:iCs/>
          <w:color w:val="000000" w:themeColor="text1"/>
          <w:sz w:val="24"/>
          <w:szCs w:val="24"/>
        </w:rPr>
        <w:t>Nat Rev Immunol</w:t>
      </w:r>
      <w:r w:rsidRPr="00B72A97">
        <w:rPr>
          <w:rFonts w:ascii="Book Antiqua" w:hAnsi="Book Antiqua"/>
          <w:color w:val="000000" w:themeColor="text1"/>
          <w:sz w:val="24"/>
          <w:szCs w:val="24"/>
        </w:rPr>
        <w:t> 2006; </w:t>
      </w:r>
      <w:r w:rsidRPr="00B72A97">
        <w:rPr>
          <w:rFonts w:ascii="Book Antiqua" w:hAnsi="Book Antiqua"/>
          <w:b/>
          <w:bCs/>
          <w:color w:val="000000" w:themeColor="text1"/>
          <w:sz w:val="24"/>
          <w:szCs w:val="24"/>
        </w:rPr>
        <w:t>6</w:t>
      </w:r>
      <w:r w:rsidRPr="00B72A97">
        <w:rPr>
          <w:rFonts w:ascii="Book Antiqua" w:hAnsi="Book Antiqua"/>
          <w:color w:val="000000" w:themeColor="text1"/>
          <w:sz w:val="24"/>
          <w:szCs w:val="24"/>
        </w:rPr>
        <w:t>: 56-66 [PMID: 16493427 DOI: 10.1038/nri1761]</w:t>
      </w:r>
    </w:p>
    <w:p w14:paraId="28C30A9F"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27 </w:t>
      </w:r>
      <w:r w:rsidRPr="00B72A97">
        <w:rPr>
          <w:rFonts w:ascii="Book Antiqua" w:hAnsi="Book Antiqua"/>
          <w:b/>
          <w:bCs/>
          <w:color w:val="000000" w:themeColor="text1"/>
          <w:sz w:val="24"/>
          <w:szCs w:val="24"/>
        </w:rPr>
        <w:t>Cannons JL</w:t>
      </w:r>
      <w:r w:rsidRPr="00B72A97">
        <w:rPr>
          <w:rFonts w:ascii="Book Antiqua" w:hAnsi="Book Antiqua"/>
          <w:color w:val="000000" w:themeColor="text1"/>
          <w:sz w:val="24"/>
          <w:szCs w:val="24"/>
        </w:rPr>
        <w:t>, Tangye SG, Schwartzberg PL. SLAM family receptors and SAP adaptors in immunity. </w:t>
      </w:r>
      <w:r w:rsidRPr="00B72A97">
        <w:rPr>
          <w:rFonts w:ascii="Book Antiqua" w:hAnsi="Book Antiqua"/>
          <w:i/>
          <w:iCs/>
          <w:color w:val="000000" w:themeColor="text1"/>
          <w:sz w:val="24"/>
          <w:szCs w:val="24"/>
        </w:rPr>
        <w:t>Annu Rev Immunol</w:t>
      </w:r>
      <w:r w:rsidRPr="00B72A97">
        <w:rPr>
          <w:rFonts w:ascii="Book Antiqua" w:hAnsi="Book Antiqua"/>
          <w:color w:val="000000" w:themeColor="text1"/>
          <w:sz w:val="24"/>
          <w:szCs w:val="24"/>
        </w:rPr>
        <w:t> 2011; </w:t>
      </w:r>
      <w:r w:rsidRPr="00B72A97">
        <w:rPr>
          <w:rFonts w:ascii="Book Antiqua" w:hAnsi="Book Antiqua"/>
          <w:b/>
          <w:bCs/>
          <w:color w:val="000000" w:themeColor="text1"/>
          <w:sz w:val="24"/>
          <w:szCs w:val="24"/>
        </w:rPr>
        <w:t>29</w:t>
      </w:r>
      <w:r w:rsidRPr="00B72A97">
        <w:rPr>
          <w:rFonts w:ascii="Book Antiqua" w:hAnsi="Book Antiqua"/>
          <w:color w:val="000000" w:themeColor="text1"/>
          <w:sz w:val="24"/>
          <w:szCs w:val="24"/>
        </w:rPr>
        <w:t>: 665-705 [PMID: 21219180 DOI: 10.1146/annurev-immunol-030409-101302]</w:t>
      </w:r>
    </w:p>
    <w:p w14:paraId="5D7B3A9F"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lastRenderedPageBreak/>
        <w:t>28 </w:t>
      </w:r>
      <w:r w:rsidRPr="00B72A97">
        <w:rPr>
          <w:rFonts w:ascii="Book Antiqua" w:hAnsi="Book Antiqua"/>
          <w:b/>
          <w:bCs/>
          <w:color w:val="000000" w:themeColor="text1"/>
          <w:sz w:val="24"/>
          <w:szCs w:val="24"/>
        </w:rPr>
        <w:t>Tai YT</w:t>
      </w:r>
      <w:r w:rsidRPr="00B72A97">
        <w:rPr>
          <w:rFonts w:ascii="Book Antiqua" w:hAnsi="Book Antiqua"/>
          <w:color w:val="000000" w:themeColor="text1"/>
          <w:sz w:val="24"/>
          <w:szCs w:val="24"/>
        </w:rPr>
        <w:t>, Dillon M, Song W, Leiba M, Li XF, Burger P, Lee AI, Podar K, Hideshima T, Rice AG, van Abbema A, Jesaitis L, Caras I, Law D, Weller E, Xie W, Richardson P, Munshi NC, Mathiot C, Avet-Loiseau H, Afar DE, Anderson KC. Anti-CS1 humanized monoclonal antibody HuLuc63 inhibits myeloma cell adhesion and induces antibody-dependent cellular cytotoxicity in the bone marrow milieu. </w:t>
      </w:r>
      <w:r w:rsidRPr="00B72A97">
        <w:rPr>
          <w:rFonts w:ascii="Book Antiqua" w:hAnsi="Book Antiqua"/>
          <w:i/>
          <w:iCs/>
          <w:color w:val="000000" w:themeColor="text1"/>
          <w:sz w:val="24"/>
          <w:szCs w:val="24"/>
        </w:rPr>
        <w:t>Blood</w:t>
      </w:r>
      <w:r w:rsidRPr="00B72A97">
        <w:rPr>
          <w:rFonts w:ascii="Book Antiqua" w:hAnsi="Book Antiqua"/>
          <w:color w:val="000000" w:themeColor="text1"/>
          <w:sz w:val="24"/>
          <w:szCs w:val="24"/>
        </w:rPr>
        <w:t> 2008; </w:t>
      </w:r>
      <w:r w:rsidRPr="00B72A97">
        <w:rPr>
          <w:rFonts w:ascii="Book Antiqua" w:hAnsi="Book Antiqua"/>
          <w:b/>
          <w:bCs/>
          <w:color w:val="000000" w:themeColor="text1"/>
          <w:sz w:val="24"/>
          <w:szCs w:val="24"/>
        </w:rPr>
        <w:t>112</w:t>
      </w:r>
      <w:r w:rsidRPr="00B72A97">
        <w:rPr>
          <w:rFonts w:ascii="Book Antiqua" w:hAnsi="Book Antiqua"/>
          <w:color w:val="000000" w:themeColor="text1"/>
          <w:sz w:val="24"/>
          <w:szCs w:val="24"/>
        </w:rPr>
        <w:t>: 1329-1337 [PMID: 17906076 DOI: 10.1182/blood-2007-08-107292]</w:t>
      </w:r>
    </w:p>
    <w:p w14:paraId="5B84BCD4"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29 </w:t>
      </w:r>
      <w:r w:rsidRPr="00B72A97">
        <w:rPr>
          <w:rFonts w:ascii="Book Antiqua" w:hAnsi="Book Antiqua"/>
          <w:b/>
          <w:bCs/>
          <w:color w:val="000000" w:themeColor="text1"/>
          <w:sz w:val="24"/>
          <w:szCs w:val="24"/>
        </w:rPr>
        <w:t>Lonial S</w:t>
      </w:r>
      <w:r w:rsidRPr="00B72A97">
        <w:rPr>
          <w:rFonts w:ascii="Book Antiqua" w:hAnsi="Book Antiqua"/>
          <w:color w:val="000000" w:themeColor="text1"/>
          <w:sz w:val="24"/>
          <w:szCs w:val="24"/>
        </w:rPr>
        <w:t>, Kaufman J, Laubach J, Richardson P. Elotuzumab: a novel anti-CS1 monoclonal antibody for the treatment of multiple myeloma. </w:t>
      </w:r>
      <w:r w:rsidRPr="00B72A97">
        <w:rPr>
          <w:rFonts w:ascii="Book Antiqua" w:hAnsi="Book Antiqua"/>
          <w:i/>
          <w:iCs/>
          <w:color w:val="000000" w:themeColor="text1"/>
          <w:sz w:val="24"/>
          <w:szCs w:val="24"/>
        </w:rPr>
        <w:t>Expert Opin Biol Ther</w:t>
      </w:r>
      <w:r w:rsidRPr="00B72A97">
        <w:rPr>
          <w:rFonts w:ascii="Book Antiqua" w:hAnsi="Book Antiqua"/>
          <w:color w:val="000000" w:themeColor="text1"/>
          <w:sz w:val="24"/>
          <w:szCs w:val="24"/>
        </w:rPr>
        <w:t> 2013; </w:t>
      </w:r>
      <w:r w:rsidRPr="00B72A97">
        <w:rPr>
          <w:rFonts w:ascii="Book Antiqua" w:hAnsi="Book Antiqua"/>
          <w:b/>
          <w:bCs/>
          <w:color w:val="000000" w:themeColor="text1"/>
          <w:sz w:val="24"/>
          <w:szCs w:val="24"/>
        </w:rPr>
        <w:t>13</w:t>
      </w:r>
      <w:r w:rsidRPr="00B72A97">
        <w:rPr>
          <w:rFonts w:ascii="Book Antiqua" w:hAnsi="Book Antiqua"/>
          <w:color w:val="000000" w:themeColor="text1"/>
          <w:sz w:val="24"/>
          <w:szCs w:val="24"/>
        </w:rPr>
        <w:t>: 1731-1740 [PMID: 24151843 DOI: 10.1517/14712598.2013.847919]</w:t>
      </w:r>
    </w:p>
    <w:p w14:paraId="0E4CED68" w14:textId="28809DFC"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30 </w:t>
      </w:r>
      <w:r w:rsidRPr="00B72A97">
        <w:rPr>
          <w:rFonts w:ascii="Book Antiqua" w:hAnsi="Book Antiqua"/>
          <w:b/>
          <w:bCs/>
          <w:color w:val="000000" w:themeColor="text1"/>
          <w:sz w:val="24"/>
          <w:szCs w:val="24"/>
        </w:rPr>
        <w:t>Tanis E</w:t>
      </w:r>
      <w:r w:rsidRPr="00B72A97">
        <w:rPr>
          <w:rFonts w:ascii="Book Antiqua" w:hAnsi="Book Antiqua"/>
          <w:color w:val="000000" w:themeColor="text1"/>
          <w:sz w:val="24"/>
          <w:szCs w:val="24"/>
        </w:rPr>
        <w:t>, Julié C, Emile JF, Mauer M, Nordlinger B, Aust D, Roth A, Lutz MP, Gruenberger T, Wrba F, Sorbye H, Bechstein W, Schlag P, Fisseler A, Ruers T. Prognostic impact of immune response in resectable colorectal liver metastases treated by surgery alone or surgery with perioperative FOLFOX in the randomised EORTC study 40983. </w:t>
      </w:r>
      <w:r w:rsidRPr="00B72A97">
        <w:rPr>
          <w:rFonts w:ascii="Book Antiqua" w:hAnsi="Book Antiqua"/>
          <w:i/>
          <w:iCs/>
          <w:color w:val="000000" w:themeColor="text1"/>
          <w:sz w:val="24"/>
          <w:szCs w:val="24"/>
        </w:rPr>
        <w:t>Eur J Cancer</w:t>
      </w:r>
      <w:r>
        <w:rPr>
          <w:rFonts w:ascii="Book Antiqua" w:hAnsi="Book Antiqua"/>
          <w:i/>
          <w:iCs/>
          <w:color w:val="000000" w:themeColor="text1"/>
          <w:sz w:val="24"/>
          <w:szCs w:val="24"/>
        </w:rPr>
        <w:t xml:space="preserve"> </w:t>
      </w:r>
      <w:r w:rsidRPr="00B72A97">
        <w:rPr>
          <w:rFonts w:ascii="Book Antiqua" w:hAnsi="Book Antiqua"/>
          <w:color w:val="000000" w:themeColor="text1"/>
          <w:sz w:val="24"/>
          <w:szCs w:val="24"/>
        </w:rPr>
        <w:t>2015; </w:t>
      </w:r>
      <w:r w:rsidRPr="00B72A97">
        <w:rPr>
          <w:rFonts w:ascii="Book Antiqua" w:hAnsi="Book Antiqua"/>
          <w:b/>
          <w:bCs/>
          <w:color w:val="000000" w:themeColor="text1"/>
          <w:sz w:val="24"/>
          <w:szCs w:val="24"/>
        </w:rPr>
        <w:t>51</w:t>
      </w:r>
      <w:r w:rsidRPr="00B72A97">
        <w:rPr>
          <w:rFonts w:ascii="Book Antiqua" w:hAnsi="Book Antiqua"/>
          <w:color w:val="000000" w:themeColor="text1"/>
          <w:sz w:val="24"/>
          <w:szCs w:val="24"/>
        </w:rPr>
        <w:t>: 2708-2717 [PMID: 26342674 DOI: 10.1016/j.ejca.2015.08.014]</w:t>
      </w:r>
    </w:p>
    <w:p w14:paraId="383C60D6"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31 </w:t>
      </w:r>
      <w:r w:rsidRPr="00B72A97">
        <w:rPr>
          <w:rFonts w:ascii="Book Antiqua" w:hAnsi="Book Antiqua"/>
          <w:b/>
          <w:bCs/>
          <w:color w:val="000000" w:themeColor="text1"/>
          <w:sz w:val="24"/>
          <w:szCs w:val="24"/>
        </w:rPr>
        <w:t>Tessarz AS</w:t>
      </w:r>
      <w:r w:rsidRPr="00B72A97">
        <w:rPr>
          <w:rFonts w:ascii="Book Antiqua" w:hAnsi="Book Antiqua"/>
          <w:color w:val="000000" w:themeColor="text1"/>
          <w:sz w:val="24"/>
          <w:szCs w:val="24"/>
        </w:rPr>
        <w:t>, Cerwenka A. The TREM-1/DAP12 pathway. </w:t>
      </w:r>
      <w:r w:rsidRPr="00B72A97">
        <w:rPr>
          <w:rFonts w:ascii="Book Antiqua" w:hAnsi="Book Antiqua"/>
          <w:i/>
          <w:iCs/>
          <w:color w:val="000000" w:themeColor="text1"/>
          <w:sz w:val="24"/>
          <w:szCs w:val="24"/>
        </w:rPr>
        <w:t>Immunol Lett</w:t>
      </w:r>
      <w:r w:rsidRPr="00B72A97">
        <w:rPr>
          <w:rFonts w:ascii="Book Antiqua" w:hAnsi="Book Antiqua"/>
          <w:color w:val="000000" w:themeColor="text1"/>
          <w:sz w:val="24"/>
          <w:szCs w:val="24"/>
        </w:rPr>
        <w:t> 2008; </w:t>
      </w:r>
      <w:r w:rsidRPr="00B72A97">
        <w:rPr>
          <w:rFonts w:ascii="Book Antiqua" w:hAnsi="Book Antiqua"/>
          <w:b/>
          <w:bCs/>
          <w:color w:val="000000" w:themeColor="text1"/>
          <w:sz w:val="24"/>
          <w:szCs w:val="24"/>
        </w:rPr>
        <w:t>116</w:t>
      </w:r>
      <w:r w:rsidRPr="00B72A97">
        <w:rPr>
          <w:rFonts w:ascii="Book Antiqua" w:hAnsi="Book Antiqua"/>
          <w:color w:val="000000" w:themeColor="text1"/>
          <w:sz w:val="24"/>
          <w:szCs w:val="24"/>
        </w:rPr>
        <w:t>: 111-116 [PMID: 18192027 DOI: 10.1016/j.imlet.2007.11.021]</w:t>
      </w:r>
    </w:p>
    <w:p w14:paraId="7F5BB21A"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32 </w:t>
      </w:r>
      <w:r w:rsidRPr="00B72A97">
        <w:rPr>
          <w:rFonts w:ascii="Book Antiqua" w:hAnsi="Book Antiqua"/>
          <w:b/>
          <w:bCs/>
          <w:color w:val="000000" w:themeColor="text1"/>
          <w:sz w:val="24"/>
          <w:szCs w:val="24"/>
        </w:rPr>
        <w:t>Zhou J</w:t>
      </w:r>
      <w:r w:rsidRPr="00B72A97">
        <w:rPr>
          <w:rFonts w:ascii="Book Antiqua" w:hAnsi="Book Antiqua"/>
          <w:color w:val="000000" w:themeColor="text1"/>
          <w:sz w:val="24"/>
          <w:szCs w:val="24"/>
        </w:rPr>
        <w:t>, Chai F, Lu G, Hang G, Chen C, Chen X, Shi J. TREM-1 inhibition attenuates inflammation and tumor within the colon. </w:t>
      </w:r>
      <w:r w:rsidRPr="00B72A97">
        <w:rPr>
          <w:rFonts w:ascii="Book Antiqua" w:hAnsi="Book Antiqua"/>
          <w:i/>
          <w:iCs/>
          <w:color w:val="000000" w:themeColor="text1"/>
          <w:sz w:val="24"/>
          <w:szCs w:val="24"/>
        </w:rPr>
        <w:t>Int Immunopharmacol</w:t>
      </w:r>
      <w:r w:rsidRPr="00B72A97">
        <w:rPr>
          <w:rFonts w:ascii="Book Antiqua" w:hAnsi="Book Antiqua"/>
          <w:color w:val="000000" w:themeColor="text1"/>
          <w:sz w:val="24"/>
          <w:szCs w:val="24"/>
        </w:rPr>
        <w:t> 2013; </w:t>
      </w:r>
      <w:r w:rsidRPr="00B72A97">
        <w:rPr>
          <w:rFonts w:ascii="Book Antiqua" w:hAnsi="Book Antiqua"/>
          <w:b/>
          <w:bCs/>
          <w:color w:val="000000" w:themeColor="text1"/>
          <w:sz w:val="24"/>
          <w:szCs w:val="24"/>
        </w:rPr>
        <w:t>17</w:t>
      </w:r>
      <w:r w:rsidRPr="00B72A97">
        <w:rPr>
          <w:rFonts w:ascii="Book Antiqua" w:hAnsi="Book Antiqua"/>
          <w:color w:val="000000" w:themeColor="text1"/>
          <w:sz w:val="24"/>
          <w:szCs w:val="24"/>
        </w:rPr>
        <w:t>: 155-161 [PMID: 23810411 DOI: 10.1016/j.intimp.2013.06.009]</w:t>
      </w:r>
    </w:p>
    <w:p w14:paraId="7BCC90C5"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33 </w:t>
      </w:r>
      <w:r w:rsidRPr="00B72A97">
        <w:rPr>
          <w:rFonts w:ascii="Book Antiqua" w:hAnsi="Book Antiqua"/>
          <w:b/>
          <w:bCs/>
          <w:color w:val="000000" w:themeColor="text1"/>
          <w:sz w:val="24"/>
          <w:szCs w:val="24"/>
        </w:rPr>
        <w:t>Saurer L</w:t>
      </w:r>
      <w:r w:rsidRPr="00B72A97">
        <w:rPr>
          <w:rFonts w:ascii="Book Antiqua" w:hAnsi="Book Antiqua"/>
          <w:color w:val="000000" w:themeColor="text1"/>
          <w:sz w:val="24"/>
          <w:szCs w:val="24"/>
        </w:rPr>
        <w:t>, Zysset D, Rihs S, Mager L, Gusberti M, Simillion C, Lugli A, Zlobec I, Krebs P, Mueller C. TREM-1 promotes intestinal tumorigenesis. </w:t>
      </w:r>
      <w:r w:rsidRPr="00B72A97">
        <w:rPr>
          <w:rFonts w:ascii="Book Antiqua" w:hAnsi="Book Antiqua"/>
          <w:i/>
          <w:iCs/>
          <w:color w:val="000000" w:themeColor="text1"/>
          <w:sz w:val="24"/>
          <w:szCs w:val="24"/>
        </w:rPr>
        <w:t>Sci Rep</w:t>
      </w:r>
      <w:r w:rsidRPr="00B72A97">
        <w:rPr>
          <w:rFonts w:ascii="Book Antiqua" w:hAnsi="Book Antiqua"/>
          <w:color w:val="000000" w:themeColor="text1"/>
          <w:sz w:val="24"/>
          <w:szCs w:val="24"/>
        </w:rPr>
        <w:t> 2017; </w:t>
      </w:r>
      <w:r w:rsidRPr="00B72A97">
        <w:rPr>
          <w:rFonts w:ascii="Book Antiqua" w:hAnsi="Book Antiqua"/>
          <w:b/>
          <w:bCs/>
          <w:color w:val="000000" w:themeColor="text1"/>
          <w:sz w:val="24"/>
          <w:szCs w:val="24"/>
        </w:rPr>
        <w:t>7</w:t>
      </w:r>
      <w:r w:rsidRPr="00B72A97">
        <w:rPr>
          <w:rFonts w:ascii="Book Antiqua" w:hAnsi="Book Antiqua"/>
          <w:color w:val="000000" w:themeColor="text1"/>
          <w:sz w:val="24"/>
          <w:szCs w:val="24"/>
        </w:rPr>
        <w:t>: 14870 [PMID: 29093489 DOI: 10.1038/s41598-017-14516-4]</w:t>
      </w:r>
    </w:p>
    <w:p w14:paraId="71DAC32F"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34 </w:t>
      </w:r>
      <w:r w:rsidRPr="00B72A97">
        <w:rPr>
          <w:rFonts w:ascii="Book Antiqua" w:hAnsi="Book Antiqua"/>
          <w:b/>
          <w:bCs/>
          <w:color w:val="000000" w:themeColor="text1"/>
          <w:sz w:val="24"/>
          <w:szCs w:val="24"/>
        </w:rPr>
        <w:t>Schenk M</w:t>
      </w:r>
      <w:r w:rsidRPr="00B72A97">
        <w:rPr>
          <w:rFonts w:ascii="Book Antiqua" w:hAnsi="Book Antiqua"/>
          <w:color w:val="000000" w:themeColor="text1"/>
          <w:sz w:val="24"/>
          <w:szCs w:val="24"/>
        </w:rPr>
        <w:t>, Bouchon A, Seibold F, Mueller C. TREM-1--expressing intestinal macrophages crucially amplify chronic inflammation in experimental colitis and inflammatory bowel diseases. </w:t>
      </w:r>
      <w:r w:rsidRPr="00B72A97">
        <w:rPr>
          <w:rFonts w:ascii="Book Antiqua" w:hAnsi="Book Antiqua"/>
          <w:i/>
          <w:iCs/>
          <w:color w:val="000000" w:themeColor="text1"/>
          <w:sz w:val="24"/>
          <w:szCs w:val="24"/>
        </w:rPr>
        <w:t>J Clin Invest</w:t>
      </w:r>
      <w:r w:rsidRPr="00B72A97">
        <w:rPr>
          <w:rFonts w:ascii="Book Antiqua" w:hAnsi="Book Antiqua"/>
          <w:color w:val="000000" w:themeColor="text1"/>
          <w:sz w:val="24"/>
          <w:szCs w:val="24"/>
        </w:rPr>
        <w:t> 2007; </w:t>
      </w:r>
      <w:r w:rsidRPr="00B72A97">
        <w:rPr>
          <w:rFonts w:ascii="Book Antiqua" w:hAnsi="Book Antiqua"/>
          <w:b/>
          <w:bCs/>
          <w:color w:val="000000" w:themeColor="text1"/>
          <w:sz w:val="24"/>
          <w:szCs w:val="24"/>
        </w:rPr>
        <w:t>117</w:t>
      </w:r>
      <w:r w:rsidRPr="00B72A97">
        <w:rPr>
          <w:rFonts w:ascii="Book Antiqua" w:hAnsi="Book Antiqua"/>
          <w:color w:val="000000" w:themeColor="text1"/>
          <w:sz w:val="24"/>
          <w:szCs w:val="24"/>
        </w:rPr>
        <w:t>: 3097-3106 [PMID: 17853946 DOI: 10.1172/JCI30602]</w:t>
      </w:r>
    </w:p>
    <w:p w14:paraId="707ED862"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35 </w:t>
      </w:r>
      <w:r w:rsidRPr="00B72A97">
        <w:rPr>
          <w:rFonts w:ascii="Book Antiqua" w:hAnsi="Book Antiqua"/>
          <w:b/>
          <w:bCs/>
          <w:color w:val="000000" w:themeColor="text1"/>
          <w:sz w:val="24"/>
          <w:szCs w:val="24"/>
        </w:rPr>
        <w:t>Boland PM</w:t>
      </w:r>
      <w:r w:rsidRPr="00B72A97">
        <w:rPr>
          <w:rFonts w:ascii="Book Antiqua" w:hAnsi="Book Antiqua"/>
          <w:color w:val="000000" w:themeColor="text1"/>
          <w:sz w:val="24"/>
          <w:szCs w:val="24"/>
        </w:rPr>
        <w:t>, Ma WW. Immunotherapy for Colorectal Cancer. </w:t>
      </w:r>
      <w:r w:rsidRPr="00B72A97">
        <w:rPr>
          <w:rFonts w:ascii="Book Antiqua" w:hAnsi="Book Antiqua"/>
          <w:i/>
          <w:iCs/>
          <w:color w:val="000000" w:themeColor="text1"/>
          <w:sz w:val="24"/>
          <w:szCs w:val="24"/>
        </w:rPr>
        <w:t xml:space="preserve">Cancers </w:t>
      </w:r>
      <w:r w:rsidRPr="00B72A97">
        <w:rPr>
          <w:rFonts w:ascii="Book Antiqua" w:hAnsi="Book Antiqua"/>
          <w:iCs/>
          <w:color w:val="000000" w:themeColor="text1"/>
          <w:sz w:val="24"/>
          <w:szCs w:val="24"/>
        </w:rPr>
        <w:t>(Basel)</w:t>
      </w:r>
      <w:r w:rsidRPr="00B72A97">
        <w:rPr>
          <w:rFonts w:ascii="Book Antiqua" w:hAnsi="Book Antiqua"/>
          <w:color w:val="000000" w:themeColor="text1"/>
          <w:sz w:val="24"/>
          <w:szCs w:val="24"/>
        </w:rPr>
        <w:t> 2017; </w:t>
      </w:r>
      <w:r w:rsidRPr="00B72A97">
        <w:rPr>
          <w:rFonts w:ascii="Book Antiqua" w:hAnsi="Book Antiqua"/>
          <w:b/>
          <w:bCs/>
          <w:color w:val="000000" w:themeColor="text1"/>
          <w:sz w:val="24"/>
          <w:szCs w:val="24"/>
        </w:rPr>
        <w:t>9</w:t>
      </w:r>
      <w:r w:rsidRPr="00B72A97">
        <w:rPr>
          <w:rFonts w:ascii="Book Antiqua" w:hAnsi="Book Antiqua"/>
          <w:color w:val="000000" w:themeColor="text1"/>
          <w:sz w:val="24"/>
          <w:szCs w:val="24"/>
        </w:rPr>
        <w:t>: [PMID: 28492495 DOI: 10.3390/cancers9050050]</w:t>
      </w:r>
    </w:p>
    <w:p w14:paraId="4D40209C" w14:textId="77777777" w:rsidR="00B72A97" w:rsidRPr="00B72A97"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lastRenderedPageBreak/>
        <w:t>36 </w:t>
      </w:r>
      <w:r w:rsidRPr="00B72A97">
        <w:rPr>
          <w:rFonts w:ascii="Book Antiqua" w:hAnsi="Book Antiqua"/>
          <w:b/>
          <w:bCs/>
          <w:color w:val="000000" w:themeColor="text1"/>
          <w:sz w:val="24"/>
          <w:szCs w:val="24"/>
        </w:rPr>
        <w:t>Watanabe T</w:t>
      </w:r>
      <w:r w:rsidRPr="00B72A97">
        <w:rPr>
          <w:rFonts w:ascii="Book Antiqua" w:hAnsi="Book Antiqua"/>
          <w:color w:val="000000" w:themeColor="text1"/>
          <w:sz w:val="24"/>
          <w:szCs w:val="24"/>
        </w:rPr>
        <w:t>, Wu TT, Catalano PJ, Ueki T, Satriano R, Haller DG, Benson AB 3rd, Hamilton SR. Molecular predictors of survival after adjuvant chemotherapy for colon cancer. </w:t>
      </w:r>
      <w:r w:rsidRPr="00B72A97">
        <w:rPr>
          <w:rFonts w:ascii="Book Antiqua" w:hAnsi="Book Antiqua"/>
          <w:i/>
          <w:iCs/>
          <w:color w:val="000000" w:themeColor="text1"/>
          <w:sz w:val="24"/>
          <w:szCs w:val="24"/>
        </w:rPr>
        <w:t>N Engl J Med</w:t>
      </w:r>
      <w:r w:rsidRPr="00B72A97">
        <w:rPr>
          <w:rFonts w:ascii="Book Antiqua" w:hAnsi="Book Antiqua"/>
          <w:color w:val="000000" w:themeColor="text1"/>
          <w:sz w:val="24"/>
          <w:szCs w:val="24"/>
        </w:rPr>
        <w:t> 2001; </w:t>
      </w:r>
      <w:r w:rsidRPr="00B72A97">
        <w:rPr>
          <w:rFonts w:ascii="Book Antiqua" w:hAnsi="Book Antiqua"/>
          <w:b/>
          <w:bCs/>
          <w:color w:val="000000" w:themeColor="text1"/>
          <w:sz w:val="24"/>
          <w:szCs w:val="24"/>
        </w:rPr>
        <w:t>344</w:t>
      </w:r>
      <w:r w:rsidRPr="00B72A97">
        <w:rPr>
          <w:rFonts w:ascii="Book Antiqua" w:hAnsi="Book Antiqua"/>
          <w:color w:val="000000" w:themeColor="text1"/>
          <w:sz w:val="24"/>
          <w:szCs w:val="24"/>
        </w:rPr>
        <w:t>: 1196-1206 [PMID: 11309634 DOI: 10.1056/NEJM200104193441603]</w:t>
      </w:r>
    </w:p>
    <w:p w14:paraId="302FE800" w14:textId="77777777" w:rsidR="00B72A97" w:rsidRPr="00B72A97" w:rsidRDefault="00B72A97" w:rsidP="00B72A97">
      <w:pPr>
        <w:pStyle w:val="EndNoteBibliography"/>
        <w:wordWrap/>
        <w:adjustRightInd w:val="0"/>
        <w:snapToGrid w:val="0"/>
        <w:spacing w:line="360" w:lineRule="auto"/>
        <w:rPr>
          <w:rFonts w:ascii="Book Antiqua" w:hAnsi="Book Antiqua"/>
          <w:color w:val="000000" w:themeColor="text1"/>
          <w:sz w:val="24"/>
          <w:szCs w:val="24"/>
        </w:rPr>
      </w:pPr>
      <w:r w:rsidRPr="00B72A97">
        <w:rPr>
          <w:rFonts w:ascii="Book Antiqua" w:hAnsi="Book Antiqua"/>
          <w:color w:val="000000" w:themeColor="text1"/>
          <w:sz w:val="24"/>
          <w:szCs w:val="24"/>
        </w:rPr>
        <w:t>37 </w:t>
      </w:r>
      <w:r w:rsidRPr="00B72A97">
        <w:rPr>
          <w:rFonts w:ascii="Book Antiqua" w:hAnsi="Book Antiqua"/>
          <w:b/>
          <w:bCs/>
          <w:color w:val="000000" w:themeColor="text1"/>
          <w:sz w:val="24"/>
          <w:szCs w:val="24"/>
        </w:rPr>
        <w:t>Llosa NJ</w:t>
      </w:r>
      <w:r w:rsidRPr="00B72A97">
        <w:rPr>
          <w:rFonts w:ascii="Book Antiqua" w:hAnsi="Book Antiqua"/>
          <w:color w:val="000000" w:themeColor="text1"/>
          <w:sz w:val="24"/>
          <w:szCs w:val="24"/>
        </w:rPr>
        <w:t>, Cruise M, Tam A, Wicks EC, Hechenbleikner EM, Taube JM, Blosser RL, Fan H, Wang H, Luber BS, Zhang M, Papadopoulos N, Kinzler KW, Vogelstein B, Sears CL, Anders RA, Pardoll DM, Housseau F. The vigorous immune microenvironment of microsatellite instable colon cancer is balanced by multiple counter-inhibitory checkpoints. </w:t>
      </w:r>
      <w:r w:rsidRPr="00B72A97">
        <w:rPr>
          <w:rFonts w:ascii="Book Antiqua" w:hAnsi="Book Antiqua"/>
          <w:i/>
          <w:iCs/>
          <w:color w:val="000000" w:themeColor="text1"/>
          <w:sz w:val="24"/>
          <w:szCs w:val="24"/>
        </w:rPr>
        <w:t>Cancer Discov</w:t>
      </w:r>
      <w:r w:rsidRPr="00B72A97">
        <w:rPr>
          <w:rFonts w:ascii="Book Antiqua" w:hAnsi="Book Antiqua"/>
          <w:color w:val="000000" w:themeColor="text1"/>
          <w:sz w:val="24"/>
          <w:szCs w:val="24"/>
        </w:rPr>
        <w:t> 2015; </w:t>
      </w:r>
      <w:r w:rsidRPr="00B72A97">
        <w:rPr>
          <w:rFonts w:ascii="Book Antiqua" w:hAnsi="Book Antiqua"/>
          <w:b/>
          <w:bCs/>
          <w:color w:val="000000" w:themeColor="text1"/>
          <w:sz w:val="24"/>
          <w:szCs w:val="24"/>
        </w:rPr>
        <w:t>5</w:t>
      </w:r>
      <w:r w:rsidRPr="00B72A97">
        <w:rPr>
          <w:rFonts w:ascii="Book Antiqua" w:hAnsi="Book Antiqua"/>
          <w:color w:val="000000" w:themeColor="text1"/>
          <w:sz w:val="24"/>
          <w:szCs w:val="24"/>
        </w:rPr>
        <w:t>: 43-51 [PMID: 25358689 DOI: 10.1158/2159-8290.CD-14-0863]</w:t>
      </w:r>
    </w:p>
    <w:p w14:paraId="08B01990" w14:textId="59B21CD5" w:rsidR="00B72A97" w:rsidRPr="00B72A97" w:rsidRDefault="00B72A97" w:rsidP="00B72A97">
      <w:pPr>
        <w:adjustRightInd w:val="0"/>
        <w:snapToGrid w:val="0"/>
        <w:spacing w:line="360" w:lineRule="auto"/>
        <w:jc w:val="right"/>
        <w:rPr>
          <w:rFonts w:ascii="Book Antiqua" w:hAnsi="Book Antiqua"/>
          <w:b/>
          <w:bCs/>
          <w:sz w:val="24"/>
          <w:szCs w:val="24"/>
        </w:rPr>
      </w:pPr>
      <w:bookmarkStart w:id="50" w:name="OLE_LINK148"/>
      <w:bookmarkStart w:id="51" w:name="OLE_LINK320"/>
      <w:bookmarkStart w:id="52" w:name="OLE_LINK387"/>
      <w:bookmarkStart w:id="53" w:name="OLE_LINK254"/>
      <w:bookmarkStart w:id="54" w:name="OLE_LINK149"/>
      <w:bookmarkStart w:id="55" w:name="OLE_LINK225"/>
      <w:bookmarkStart w:id="56" w:name="OLE_LINK207"/>
      <w:bookmarkStart w:id="57" w:name="OLE_LINK226"/>
      <w:bookmarkStart w:id="58" w:name="OLE_LINK212"/>
      <w:bookmarkStart w:id="59" w:name="OLE_LINK250"/>
      <w:bookmarkStart w:id="60" w:name="OLE_LINK281"/>
      <w:bookmarkStart w:id="61" w:name="OLE_LINK282"/>
      <w:bookmarkStart w:id="62" w:name="OLE_LINK313"/>
      <w:bookmarkStart w:id="63" w:name="OLE_LINK304"/>
      <w:bookmarkStart w:id="64" w:name="OLE_LINK321"/>
      <w:bookmarkStart w:id="65" w:name="OLE_LINK385"/>
      <w:bookmarkStart w:id="66" w:name="OLE_LINK400"/>
      <w:bookmarkStart w:id="67" w:name="OLE_LINK346"/>
      <w:bookmarkStart w:id="68" w:name="OLE_LINK371"/>
      <w:bookmarkStart w:id="69" w:name="OLE_LINK334"/>
      <w:bookmarkStart w:id="70" w:name="OLE_LINK1830"/>
      <w:bookmarkStart w:id="71" w:name="OLE_LINK457"/>
      <w:bookmarkStart w:id="72" w:name="OLE_LINK288"/>
      <w:bookmarkStart w:id="73" w:name="OLE_LINK384"/>
      <w:bookmarkStart w:id="74" w:name="OLE_LINK379"/>
      <w:bookmarkStart w:id="75" w:name="OLE_LINK303"/>
      <w:bookmarkStart w:id="76" w:name="OLE_LINK450"/>
      <w:bookmarkStart w:id="77" w:name="OLE_LINK489"/>
      <w:bookmarkStart w:id="78" w:name="OLE_LINK535"/>
      <w:bookmarkStart w:id="79" w:name="OLE_LINK648"/>
      <w:bookmarkStart w:id="80" w:name="OLE_LINK686"/>
      <w:bookmarkStart w:id="81" w:name="OLE_LINK471"/>
      <w:bookmarkStart w:id="82" w:name="OLE_LINK462"/>
      <w:bookmarkStart w:id="83" w:name="OLE_LINK519"/>
      <w:bookmarkStart w:id="84" w:name="OLE_LINK575"/>
      <w:bookmarkStart w:id="85" w:name="OLE_LINK491"/>
      <w:bookmarkStart w:id="86" w:name="OLE_LINK532"/>
      <w:bookmarkStart w:id="87" w:name="OLE_LINK572"/>
      <w:bookmarkStart w:id="88" w:name="OLE_LINK574"/>
      <w:bookmarkStart w:id="89" w:name="OLE_LINK480"/>
      <w:bookmarkStart w:id="90" w:name="OLE_LINK567"/>
      <w:bookmarkStart w:id="91" w:name="OLE_LINK2700"/>
      <w:bookmarkStart w:id="92" w:name="OLE_LINK581"/>
      <w:bookmarkStart w:id="93" w:name="OLE_LINK639"/>
      <w:bookmarkStart w:id="94" w:name="OLE_LINK688"/>
      <w:bookmarkStart w:id="95" w:name="OLE_LINK722"/>
      <w:bookmarkStart w:id="96" w:name="OLE_LINK542"/>
      <w:bookmarkStart w:id="97" w:name="OLE_LINK589"/>
      <w:bookmarkStart w:id="98" w:name="OLE_LINK582"/>
      <w:bookmarkStart w:id="99" w:name="OLE_LINK640"/>
      <w:bookmarkStart w:id="100" w:name="OLE_LINK714"/>
      <w:bookmarkStart w:id="101" w:name="OLE_LINK593"/>
      <w:bookmarkStart w:id="102" w:name="OLE_LINK716"/>
      <w:bookmarkStart w:id="103" w:name="OLE_LINK770"/>
      <w:bookmarkStart w:id="104" w:name="OLE_LINK801"/>
      <w:bookmarkStart w:id="105" w:name="OLE_LINK660"/>
      <w:bookmarkStart w:id="106" w:name="OLE_LINK781"/>
      <w:bookmarkStart w:id="107" w:name="OLE_LINK833"/>
      <w:bookmarkStart w:id="108" w:name="OLE_LINK642"/>
      <w:bookmarkStart w:id="109" w:name="OLE_LINK700"/>
      <w:bookmarkStart w:id="110" w:name="OLE_LINK792"/>
      <w:bookmarkStart w:id="111" w:name="OLE_LINK2882"/>
      <w:bookmarkStart w:id="112" w:name="OLE_LINK836"/>
      <w:bookmarkStart w:id="113" w:name="OLE_LINK889"/>
      <w:bookmarkStart w:id="114" w:name="OLE_LINK782"/>
      <w:bookmarkStart w:id="115" w:name="OLE_LINK826"/>
      <w:bookmarkStart w:id="116" w:name="OLE_LINK865"/>
      <w:bookmarkStart w:id="117" w:name="OLE_LINK856"/>
      <w:bookmarkStart w:id="118" w:name="OLE_LINK908"/>
      <w:bookmarkStart w:id="119" w:name="OLE_LINK980"/>
      <w:bookmarkStart w:id="120" w:name="OLE_LINK1018"/>
      <w:bookmarkStart w:id="121" w:name="OLE_LINK1049"/>
      <w:bookmarkStart w:id="122" w:name="OLE_LINK1076"/>
      <w:bookmarkStart w:id="123" w:name="OLE_LINK1106"/>
      <w:bookmarkStart w:id="124" w:name="OLE_LINK891"/>
      <w:bookmarkStart w:id="125" w:name="OLE_LINK943"/>
      <w:bookmarkStart w:id="126" w:name="OLE_LINK981"/>
      <w:bookmarkStart w:id="127" w:name="OLE_LINK1030"/>
      <w:bookmarkStart w:id="128" w:name="OLE_LINK847"/>
      <w:bookmarkStart w:id="129" w:name="OLE_LINK909"/>
      <w:bookmarkStart w:id="130" w:name="OLE_LINK906"/>
      <w:bookmarkStart w:id="131" w:name="OLE_LINK992"/>
      <w:bookmarkStart w:id="132" w:name="OLE_LINK993"/>
      <w:bookmarkStart w:id="133" w:name="OLE_LINK1052"/>
      <w:bookmarkStart w:id="134" w:name="OLE_LINK946"/>
      <w:bookmarkStart w:id="135" w:name="OLE_LINK911"/>
      <w:bookmarkStart w:id="136" w:name="OLE_LINK930"/>
      <w:bookmarkStart w:id="137" w:name="OLE_LINK1059"/>
      <w:bookmarkStart w:id="138" w:name="OLE_LINK1174"/>
      <w:bookmarkStart w:id="139" w:name="OLE_LINK1137"/>
      <w:bookmarkStart w:id="140" w:name="OLE_LINK1167"/>
      <w:bookmarkStart w:id="141" w:name="OLE_LINK1200"/>
      <w:bookmarkStart w:id="142" w:name="OLE_LINK1241"/>
      <w:bookmarkStart w:id="143" w:name="OLE_LINK1288"/>
      <w:bookmarkStart w:id="144" w:name="OLE_LINK1056"/>
      <w:bookmarkStart w:id="145" w:name="OLE_LINK1158"/>
      <w:bookmarkStart w:id="146" w:name="OLE_LINK1175"/>
      <w:bookmarkStart w:id="147" w:name="OLE_LINK1074"/>
      <w:bookmarkStart w:id="148" w:name="OLE_LINK1169"/>
      <w:bookmarkStart w:id="149" w:name="OLE_LINK386"/>
      <w:bookmarkStart w:id="150" w:name="OLE_LINK33"/>
      <w:bookmarkStart w:id="151" w:name="OLE_LINK34"/>
      <w:r w:rsidRPr="00B72A97">
        <w:rPr>
          <w:rFonts w:ascii="Book Antiqua" w:hAnsi="Book Antiqua"/>
          <w:b/>
          <w:bCs/>
          <w:sz w:val="24"/>
          <w:szCs w:val="24"/>
        </w:rPr>
        <w:t>P-Reviewer:</w:t>
      </w:r>
      <w:r w:rsidRPr="00B72A97">
        <w:rPr>
          <w:rFonts w:ascii="Book Antiqua" w:hAnsi="Book Antiqua" w:hint="eastAsia"/>
          <w:b/>
          <w:bCs/>
          <w:sz w:val="24"/>
          <w:szCs w:val="24"/>
        </w:rPr>
        <w:t xml:space="preserve"> </w:t>
      </w:r>
      <w:r>
        <w:rPr>
          <w:rFonts w:ascii="Book Antiqua" w:hAnsi="Book Antiqua"/>
          <w:bCs/>
          <w:sz w:val="24"/>
          <w:szCs w:val="24"/>
        </w:rPr>
        <w:t>Li Y, Maffei F, Wang D</w:t>
      </w:r>
      <w:r w:rsidR="00CB7273">
        <w:rPr>
          <w:rFonts w:ascii="Book Antiqua" w:hAnsi="Book Antiqua"/>
          <w:bCs/>
          <w:sz w:val="24"/>
          <w:szCs w:val="24"/>
        </w:rPr>
        <w:t>R</w:t>
      </w:r>
    </w:p>
    <w:p w14:paraId="66D16D7F" w14:textId="77777777" w:rsidR="00B72A97" w:rsidRPr="00B72A97" w:rsidRDefault="00B72A97" w:rsidP="00B72A97">
      <w:pPr>
        <w:wordWrap/>
        <w:adjustRightInd w:val="0"/>
        <w:snapToGrid w:val="0"/>
        <w:spacing w:line="360" w:lineRule="auto"/>
        <w:jc w:val="right"/>
        <w:rPr>
          <w:rFonts w:ascii="Book Antiqua" w:hAnsi="Book Antiqua"/>
          <w:sz w:val="24"/>
          <w:szCs w:val="24"/>
        </w:rPr>
      </w:pPr>
      <w:r w:rsidRPr="00B72A97">
        <w:rPr>
          <w:rFonts w:ascii="Book Antiqua" w:hAnsi="Book Antiqua"/>
          <w:b/>
          <w:bCs/>
          <w:sz w:val="24"/>
          <w:szCs w:val="24"/>
        </w:rPr>
        <w:t>S-Editor:</w:t>
      </w:r>
      <w:r w:rsidRPr="00B72A97">
        <w:rPr>
          <w:rFonts w:ascii="Book Antiqua" w:hAnsi="Book Antiqua" w:hint="eastAsia"/>
          <w:sz w:val="24"/>
          <w:szCs w:val="24"/>
        </w:rPr>
        <w:t xml:space="preserve"> </w:t>
      </w:r>
      <w:r w:rsidRPr="00B72A97">
        <w:rPr>
          <w:rFonts w:ascii="Book Antiqua" w:hAnsi="Book Antiqua"/>
          <w:sz w:val="24"/>
          <w:szCs w:val="24"/>
        </w:rPr>
        <w:t>Ma</w:t>
      </w:r>
      <w:r w:rsidRPr="00B72A97">
        <w:rPr>
          <w:rFonts w:ascii="Book Antiqua" w:hAnsi="Book Antiqua" w:hint="eastAsia"/>
          <w:sz w:val="24"/>
          <w:szCs w:val="24"/>
        </w:rPr>
        <w:t xml:space="preserve"> </w:t>
      </w:r>
      <w:r w:rsidRPr="00B72A97">
        <w:rPr>
          <w:rFonts w:ascii="Book Antiqua" w:hAnsi="Book Antiqua"/>
          <w:sz w:val="24"/>
          <w:szCs w:val="24"/>
        </w:rPr>
        <w:t>RY</w:t>
      </w:r>
      <w:r w:rsidRPr="00B72A97">
        <w:rPr>
          <w:rFonts w:ascii="Book Antiqua" w:hAnsi="Book Antiqua" w:hint="eastAsia"/>
          <w:sz w:val="24"/>
          <w:szCs w:val="24"/>
        </w:rPr>
        <w:t xml:space="preserve"> </w:t>
      </w:r>
      <w:r w:rsidRPr="00B72A97">
        <w:rPr>
          <w:rFonts w:ascii="Book Antiqua" w:hAnsi="Book Antiqua"/>
          <w:b/>
          <w:bCs/>
          <w:sz w:val="24"/>
          <w:szCs w:val="24"/>
        </w:rPr>
        <w:t>L-Editor:</w:t>
      </w:r>
      <w:r w:rsidRPr="00B72A97">
        <w:rPr>
          <w:rFonts w:ascii="Book Antiqua" w:hAnsi="Book Antiqua"/>
          <w:sz w:val="24"/>
          <w:szCs w:val="24"/>
        </w:rPr>
        <w:t xml:space="preserve"> </w:t>
      </w:r>
      <w:r w:rsidRPr="00B72A97">
        <w:rPr>
          <w:rFonts w:ascii="Book Antiqua" w:hAnsi="Book Antiqua"/>
          <w:b/>
          <w:bCs/>
          <w:sz w:val="24"/>
          <w:szCs w:val="24"/>
        </w:rPr>
        <w:t>E-Editor:</w:t>
      </w:r>
    </w:p>
    <w:p w14:paraId="0B628638" w14:textId="77777777" w:rsidR="00B72A97" w:rsidRPr="00B72A97" w:rsidRDefault="00B72A97" w:rsidP="00B72A97">
      <w:pPr>
        <w:shd w:val="clear" w:color="auto" w:fill="FFFFFF"/>
        <w:wordWrap/>
        <w:adjustRightInd w:val="0"/>
        <w:snapToGrid w:val="0"/>
        <w:spacing w:line="360" w:lineRule="auto"/>
        <w:rPr>
          <w:rFonts w:ascii="Book Antiqua" w:hAnsi="Book Antiqua" w:cs="Helvetica"/>
          <w:b/>
          <w:sz w:val="24"/>
          <w:szCs w:val="24"/>
        </w:rPr>
      </w:pPr>
      <w:bookmarkStart w:id="152" w:name="OLE_LINK880"/>
      <w:bookmarkStart w:id="153" w:name="OLE_LINK881"/>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B72A97">
        <w:rPr>
          <w:rFonts w:ascii="Book Antiqua" w:hAnsi="Book Antiqua" w:cs="Helvetica"/>
          <w:b/>
          <w:sz w:val="24"/>
          <w:szCs w:val="24"/>
        </w:rPr>
        <w:t xml:space="preserve">Specialty type: </w:t>
      </w:r>
      <w:r w:rsidRPr="00B72A97">
        <w:rPr>
          <w:rFonts w:ascii="Book Antiqua" w:hAnsi="Book Antiqua" w:cs="Helvetica"/>
          <w:sz w:val="24"/>
          <w:szCs w:val="24"/>
        </w:rPr>
        <w:t>Gastroenterology and</w:t>
      </w:r>
      <w:r w:rsidRPr="00B72A97">
        <w:rPr>
          <w:rFonts w:ascii="Book Antiqua" w:hAnsi="Book Antiqua" w:cs="Helvetica" w:hint="eastAsia"/>
          <w:sz w:val="24"/>
          <w:szCs w:val="24"/>
        </w:rPr>
        <w:t xml:space="preserve"> </w:t>
      </w:r>
      <w:r w:rsidRPr="00B72A97">
        <w:rPr>
          <w:rFonts w:ascii="Book Antiqua" w:hAnsi="Book Antiqua" w:cs="Helvetica"/>
          <w:sz w:val="24"/>
          <w:szCs w:val="24"/>
        </w:rPr>
        <w:t>hepatology</w:t>
      </w:r>
    </w:p>
    <w:p w14:paraId="5DC3C717" w14:textId="16EFD11E" w:rsidR="00B72A97" w:rsidRPr="00B72A97" w:rsidRDefault="00B72A97" w:rsidP="00B72A97">
      <w:pPr>
        <w:shd w:val="clear" w:color="auto" w:fill="FFFFFF"/>
        <w:wordWrap/>
        <w:adjustRightInd w:val="0"/>
        <w:snapToGrid w:val="0"/>
        <w:spacing w:line="360" w:lineRule="auto"/>
        <w:rPr>
          <w:rFonts w:ascii="Book Antiqua" w:hAnsi="Book Antiqua" w:cs="Helvetica"/>
          <w:b/>
          <w:sz w:val="24"/>
          <w:szCs w:val="24"/>
        </w:rPr>
      </w:pPr>
      <w:r w:rsidRPr="00B72A97">
        <w:rPr>
          <w:rFonts w:ascii="Book Antiqua" w:hAnsi="Book Antiqua" w:cs="Helvetica"/>
          <w:b/>
          <w:sz w:val="24"/>
          <w:szCs w:val="24"/>
        </w:rPr>
        <w:t xml:space="preserve">Country of origin: </w:t>
      </w:r>
      <w:r>
        <w:rPr>
          <w:rFonts w:ascii="Book Antiqua" w:hAnsi="Book Antiqua" w:cs="Helvetica"/>
          <w:sz w:val="24"/>
          <w:szCs w:val="24"/>
        </w:rPr>
        <w:t>South Korea</w:t>
      </w:r>
    </w:p>
    <w:p w14:paraId="3AB9B8C3" w14:textId="77777777" w:rsidR="00B72A97" w:rsidRPr="00B72A97" w:rsidRDefault="00B72A97" w:rsidP="00B72A97">
      <w:pPr>
        <w:shd w:val="clear" w:color="auto" w:fill="FFFFFF"/>
        <w:wordWrap/>
        <w:adjustRightInd w:val="0"/>
        <w:snapToGrid w:val="0"/>
        <w:spacing w:line="360" w:lineRule="auto"/>
        <w:rPr>
          <w:rFonts w:ascii="Book Antiqua" w:hAnsi="Book Antiqua" w:cs="Helvetica"/>
          <w:b/>
          <w:sz w:val="24"/>
          <w:szCs w:val="24"/>
        </w:rPr>
      </w:pPr>
      <w:r w:rsidRPr="00B72A97">
        <w:rPr>
          <w:rFonts w:ascii="Book Antiqua" w:hAnsi="Book Antiqua" w:cs="Helvetica"/>
          <w:b/>
          <w:sz w:val="24"/>
          <w:szCs w:val="24"/>
        </w:rPr>
        <w:t>Peer-review report classification</w:t>
      </w:r>
    </w:p>
    <w:p w14:paraId="01F1F0E7" w14:textId="77777777" w:rsidR="00B72A97" w:rsidRPr="00B72A97" w:rsidRDefault="00B72A97" w:rsidP="00B72A97">
      <w:pPr>
        <w:shd w:val="clear" w:color="auto" w:fill="FFFFFF"/>
        <w:wordWrap/>
        <w:adjustRightInd w:val="0"/>
        <w:snapToGrid w:val="0"/>
        <w:spacing w:line="360" w:lineRule="auto"/>
        <w:rPr>
          <w:rFonts w:ascii="Book Antiqua" w:hAnsi="Book Antiqua" w:cs="Helvetica"/>
          <w:sz w:val="24"/>
          <w:szCs w:val="24"/>
        </w:rPr>
      </w:pPr>
      <w:r w:rsidRPr="00B72A97">
        <w:rPr>
          <w:rFonts w:ascii="Book Antiqua" w:hAnsi="Book Antiqua" w:cs="Helvetica"/>
          <w:sz w:val="24"/>
          <w:szCs w:val="24"/>
        </w:rPr>
        <w:t xml:space="preserve">Grade A (Excellent): </w:t>
      </w:r>
      <w:r w:rsidRPr="00B72A97">
        <w:rPr>
          <w:rFonts w:ascii="Book Antiqua" w:hAnsi="Book Antiqua" w:cs="Helvetica" w:hint="eastAsia"/>
          <w:sz w:val="24"/>
          <w:szCs w:val="24"/>
        </w:rPr>
        <w:t>0</w:t>
      </w:r>
    </w:p>
    <w:p w14:paraId="39B37C26" w14:textId="77777777" w:rsidR="00B72A97" w:rsidRPr="00B72A97" w:rsidRDefault="00B72A97" w:rsidP="00B72A97">
      <w:pPr>
        <w:shd w:val="clear" w:color="auto" w:fill="FFFFFF"/>
        <w:wordWrap/>
        <w:adjustRightInd w:val="0"/>
        <w:snapToGrid w:val="0"/>
        <w:spacing w:line="360" w:lineRule="auto"/>
        <w:rPr>
          <w:rFonts w:ascii="Book Antiqua" w:hAnsi="Book Antiqua" w:cs="Helvetica"/>
          <w:sz w:val="24"/>
          <w:szCs w:val="24"/>
        </w:rPr>
      </w:pPr>
      <w:r w:rsidRPr="00B72A97">
        <w:rPr>
          <w:rFonts w:ascii="Book Antiqua" w:hAnsi="Book Antiqua" w:cs="Helvetica"/>
          <w:sz w:val="24"/>
          <w:szCs w:val="24"/>
        </w:rPr>
        <w:t xml:space="preserve">Grade B (Very good): </w:t>
      </w:r>
      <w:r w:rsidRPr="00B72A97">
        <w:rPr>
          <w:rFonts w:ascii="Book Antiqua" w:hAnsi="Book Antiqua" w:cs="Helvetica" w:hint="eastAsia"/>
          <w:sz w:val="24"/>
          <w:szCs w:val="24"/>
        </w:rPr>
        <w:t>B</w:t>
      </w:r>
    </w:p>
    <w:p w14:paraId="35AE9A6B" w14:textId="77777777" w:rsidR="00B72A97" w:rsidRPr="00B72A97" w:rsidRDefault="00B72A97" w:rsidP="00B72A97">
      <w:pPr>
        <w:shd w:val="clear" w:color="auto" w:fill="FFFFFF"/>
        <w:wordWrap/>
        <w:adjustRightInd w:val="0"/>
        <w:snapToGrid w:val="0"/>
        <w:spacing w:line="360" w:lineRule="auto"/>
        <w:rPr>
          <w:rFonts w:ascii="Book Antiqua" w:hAnsi="Book Antiqua" w:cs="Helvetica"/>
          <w:sz w:val="24"/>
          <w:szCs w:val="24"/>
        </w:rPr>
      </w:pPr>
      <w:r w:rsidRPr="00B72A97">
        <w:rPr>
          <w:rFonts w:ascii="Book Antiqua" w:hAnsi="Book Antiqua" w:cs="Helvetica"/>
          <w:sz w:val="24"/>
          <w:szCs w:val="24"/>
        </w:rPr>
        <w:t xml:space="preserve">Grade C (Good): </w:t>
      </w:r>
      <w:r w:rsidRPr="00B72A97">
        <w:rPr>
          <w:rFonts w:ascii="Book Antiqua" w:hAnsi="Book Antiqua" w:cs="Helvetica" w:hint="eastAsia"/>
          <w:sz w:val="24"/>
          <w:szCs w:val="24"/>
        </w:rPr>
        <w:t>C, C</w:t>
      </w:r>
    </w:p>
    <w:p w14:paraId="0666D8D6" w14:textId="77777777" w:rsidR="00B72A97" w:rsidRPr="00B72A97" w:rsidRDefault="00B72A97" w:rsidP="00B72A97">
      <w:pPr>
        <w:shd w:val="clear" w:color="auto" w:fill="FFFFFF"/>
        <w:wordWrap/>
        <w:adjustRightInd w:val="0"/>
        <w:snapToGrid w:val="0"/>
        <w:spacing w:line="360" w:lineRule="auto"/>
        <w:rPr>
          <w:rFonts w:ascii="Book Antiqua" w:hAnsi="Book Antiqua" w:cs="Helvetica"/>
          <w:sz w:val="24"/>
          <w:szCs w:val="24"/>
        </w:rPr>
      </w:pPr>
      <w:r w:rsidRPr="00B72A97">
        <w:rPr>
          <w:rFonts w:ascii="Book Antiqua" w:hAnsi="Book Antiqua" w:cs="Helvetica"/>
          <w:sz w:val="24"/>
          <w:szCs w:val="24"/>
        </w:rPr>
        <w:t xml:space="preserve">Grade D (Fair): </w:t>
      </w:r>
      <w:r w:rsidRPr="00B72A97">
        <w:rPr>
          <w:rFonts w:ascii="Book Antiqua" w:hAnsi="Book Antiqua" w:cs="Helvetica" w:hint="eastAsia"/>
          <w:sz w:val="24"/>
          <w:szCs w:val="24"/>
        </w:rPr>
        <w:t>0</w:t>
      </w:r>
    </w:p>
    <w:p w14:paraId="329934AD" w14:textId="77777777" w:rsidR="00B72A97" w:rsidRPr="00B72A97" w:rsidRDefault="00B72A97" w:rsidP="00B72A97">
      <w:pPr>
        <w:wordWrap/>
        <w:adjustRightInd w:val="0"/>
        <w:snapToGrid w:val="0"/>
        <w:spacing w:line="360" w:lineRule="auto"/>
        <w:rPr>
          <w:rFonts w:ascii="Book Antiqua" w:hAnsi="Book Antiqua"/>
          <w:b/>
          <w:iCs/>
          <w:sz w:val="24"/>
          <w:szCs w:val="24"/>
        </w:rPr>
      </w:pPr>
      <w:r w:rsidRPr="00B72A97">
        <w:rPr>
          <w:rFonts w:ascii="Book Antiqua" w:hAnsi="Book Antiqua" w:cs="Helvetica"/>
          <w:sz w:val="24"/>
          <w:szCs w:val="24"/>
        </w:rPr>
        <w:t xml:space="preserve">Grade E (Poor): </w:t>
      </w:r>
      <w:r w:rsidRPr="00B72A97">
        <w:rPr>
          <w:rFonts w:ascii="Book Antiqua" w:hAnsi="Book Antiqua" w:cs="Helvetica" w:hint="eastAsia"/>
          <w:sz w:val="24"/>
          <w:szCs w:val="24"/>
        </w:rPr>
        <w:t>0</w:t>
      </w:r>
      <w:bookmarkEnd w:id="149"/>
      <w:bookmarkEnd w:id="152"/>
      <w:bookmarkEnd w:id="153"/>
    </w:p>
    <w:bookmarkEnd w:id="150"/>
    <w:bookmarkEnd w:id="151"/>
    <w:p w14:paraId="76731B12" w14:textId="77777777" w:rsidR="00DB03D6" w:rsidRPr="00B43A8C" w:rsidRDefault="00DB03D6" w:rsidP="00B43A8C">
      <w:pPr>
        <w:wordWrap/>
        <w:adjustRightInd w:val="0"/>
        <w:snapToGrid w:val="0"/>
        <w:spacing w:line="360" w:lineRule="auto"/>
        <w:rPr>
          <w:rFonts w:ascii="Book Antiqua" w:hAnsi="Book Antiqua"/>
          <w:color w:val="000000" w:themeColor="text1"/>
          <w:sz w:val="24"/>
          <w:szCs w:val="24"/>
        </w:rPr>
      </w:pPr>
    </w:p>
    <w:p w14:paraId="38E2686B" w14:textId="5B12F10A" w:rsidR="004F56D8" w:rsidRPr="00B43A8C" w:rsidRDefault="004F56D8" w:rsidP="00B43A8C">
      <w:pPr>
        <w:widowControl/>
        <w:wordWrap/>
        <w:autoSpaceDE/>
        <w:autoSpaceDN/>
        <w:adjustRightInd w:val="0"/>
        <w:snapToGrid w:val="0"/>
        <w:spacing w:line="360" w:lineRule="auto"/>
        <w:rPr>
          <w:rFonts w:ascii="Book Antiqua" w:hAnsi="Book Antiqua"/>
          <w:color w:val="000000" w:themeColor="text1"/>
          <w:sz w:val="24"/>
          <w:szCs w:val="24"/>
        </w:rPr>
      </w:pPr>
      <w:r w:rsidRPr="00B43A8C">
        <w:rPr>
          <w:rFonts w:ascii="Book Antiqua" w:hAnsi="Book Antiqua"/>
          <w:color w:val="000000" w:themeColor="text1"/>
          <w:sz w:val="24"/>
          <w:szCs w:val="24"/>
        </w:rPr>
        <w:br w:type="page"/>
      </w:r>
    </w:p>
    <w:p w14:paraId="2C803510" w14:textId="72CDBD52" w:rsidR="00A1284B" w:rsidRPr="00B72A97" w:rsidRDefault="00B232AC" w:rsidP="00A1284B">
      <w:pPr>
        <w:wordWrap/>
        <w:adjustRightInd w:val="0"/>
        <w:snapToGrid w:val="0"/>
        <w:spacing w:line="360" w:lineRule="auto"/>
        <w:rPr>
          <w:rFonts w:ascii="Book Antiqua" w:eastAsia="Arial Unicode MS" w:hAnsi="Book Antiqua"/>
          <w:color w:val="000000" w:themeColor="text1"/>
          <w:sz w:val="24"/>
          <w:szCs w:val="24"/>
        </w:rPr>
      </w:pPr>
      <w:r>
        <w:rPr>
          <w:rFonts w:ascii="Book Antiqua" w:eastAsia="Arial Unicode MS" w:hAnsi="Book Antiqua"/>
          <w:noProof/>
          <w:color w:val="000000" w:themeColor="text1"/>
          <w:sz w:val="24"/>
          <w:szCs w:val="24"/>
          <w:lang w:eastAsia="zh-CN"/>
        </w:rPr>
        <w:lastRenderedPageBreak/>
        <w:drawing>
          <wp:inline distT="0" distB="0" distL="0" distR="0" wp14:anchorId="120B8A46" wp14:editId="7E2F2C91">
            <wp:extent cx="5727700" cy="3390900"/>
            <wp:effectExtent l="0" t="0" r="12700" b="12700"/>
            <wp:docPr id="2" name="图片 2" descr="../../Library/Containers/com.tencent.qq/Data/Library/Application%20Support/QQ/Users/2466846217/QQ/Temp.db/B292CAFC-4295-4734-9634-B42750AC4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qq/Data/Library/Application%20Support/QQ/Users/2466846217/QQ/Temp.db/B292CAFC-4295-4734-9634-B42750AC40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390900"/>
                    </a:xfrm>
                    <a:prstGeom prst="rect">
                      <a:avLst/>
                    </a:prstGeom>
                    <a:noFill/>
                    <a:ln>
                      <a:noFill/>
                    </a:ln>
                  </pic:spPr>
                </pic:pic>
              </a:graphicData>
            </a:graphic>
          </wp:inline>
        </w:drawing>
      </w:r>
    </w:p>
    <w:p w14:paraId="018177F3" w14:textId="58D3FD80" w:rsidR="00B72A97" w:rsidRPr="00B232AC" w:rsidRDefault="00B72A97" w:rsidP="00B72A97">
      <w:pPr>
        <w:wordWrap/>
        <w:adjustRightInd w:val="0"/>
        <w:snapToGrid w:val="0"/>
        <w:spacing w:line="360" w:lineRule="auto"/>
        <w:rPr>
          <w:rFonts w:ascii="Book Antiqua" w:eastAsia="Arial Unicode MS" w:hAnsi="Book Antiqua"/>
          <w:color w:val="000000" w:themeColor="text1"/>
          <w:sz w:val="24"/>
          <w:szCs w:val="24"/>
        </w:rPr>
      </w:pPr>
      <w:r w:rsidRPr="00B43A8C">
        <w:rPr>
          <w:rFonts w:ascii="Book Antiqua" w:eastAsia="Arial Unicode MS" w:hAnsi="Book Antiqua"/>
          <w:b/>
          <w:color w:val="000000" w:themeColor="text1"/>
          <w:sz w:val="24"/>
          <w:szCs w:val="24"/>
        </w:rPr>
        <w:t>Figure 1</w:t>
      </w:r>
      <w:r w:rsidRPr="00B43A8C">
        <w:rPr>
          <w:rFonts w:ascii="Book Antiqua" w:eastAsia="Arial Unicode MS" w:hAnsi="Book Antiqua"/>
          <w:color w:val="000000" w:themeColor="text1"/>
          <w:sz w:val="24"/>
          <w:szCs w:val="24"/>
        </w:rPr>
        <w:t xml:space="preserve"> </w:t>
      </w:r>
      <w:r w:rsidRPr="00B232AC">
        <w:rPr>
          <w:rFonts w:ascii="Book Antiqua" w:eastAsia="Arial Unicode MS" w:hAnsi="Book Antiqua"/>
          <w:b/>
          <w:color w:val="000000" w:themeColor="text1"/>
          <w:sz w:val="24"/>
          <w:szCs w:val="24"/>
        </w:rPr>
        <w:t xml:space="preserve">Progression-free survival in 60 patients with colorectal cancer, classified according to </w:t>
      </w:r>
      <w:r w:rsidR="00B232AC" w:rsidRPr="00B232AC">
        <w:rPr>
          <w:rFonts w:ascii="Book Antiqua" w:eastAsia="Arial Unicode MS" w:hAnsi="Book Antiqua"/>
          <w:b/>
          <w:color w:val="000000" w:themeColor="text1"/>
          <w:sz w:val="24"/>
          <w:szCs w:val="24"/>
        </w:rPr>
        <w:t>the 19-gene based risk</w:t>
      </w:r>
      <w:r w:rsidRPr="00B232AC">
        <w:rPr>
          <w:rFonts w:ascii="Book Antiqua" w:eastAsia="Arial Unicode MS" w:hAnsi="Book Antiqua"/>
          <w:b/>
          <w:color w:val="000000" w:themeColor="text1"/>
          <w:sz w:val="24"/>
          <w:szCs w:val="24"/>
        </w:rPr>
        <w:t xml:space="preserve"> score and chemotherapy regimens.</w:t>
      </w:r>
      <w:r w:rsidRPr="00B43A8C">
        <w:rPr>
          <w:rFonts w:ascii="Book Antiqua" w:eastAsia="Arial Unicode MS" w:hAnsi="Book Antiqua"/>
          <w:color w:val="000000" w:themeColor="text1"/>
          <w:sz w:val="24"/>
          <w:szCs w:val="24"/>
        </w:rPr>
        <w:t xml:space="preserve"> </w:t>
      </w:r>
      <w:r w:rsidR="00B232AC" w:rsidRPr="00B232AC">
        <w:rPr>
          <w:rFonts w:ascii="Book Antiqua" w:eastAsia="Arial Unicode MS" w:hAnsi="Book Antiqua"/>
          <w:color w:val="000000" w:themeColor="text1"/>
          <w:sz w:val="24"/>
          <w:szCs w:val="24"/>
        </w:rPr>
        <w:t xml:space="preserve">A: </w:t>
      </w:r>
      <w:r w:rsidR="00AD4EF3">
        <w:rPr>
          <w:rFonts w:ascii="Book Antiqua" w:eastAsia="Arial Unicode MS" w:hAnsi="Book Antiqua"/>
          <w:color w:val="000000" w:themeColor="text1"/>
          <w:sz w:val="24"/>
          <w:szCs w:val="24"/>
        </w:rPr>
        <w:t>P</w:t>
      </w:r>
      <w:r w:rsidRPr="00B232AC">
        <w:rPr>
          <w:rFonts w:ascii="Book Antiqua" w:eastAsia="Arial Unicode MS" w:hAnsi="Book Antiqua"/>
          <w:color w:val="000000" w:themeColor="text1"/>
          <w:sz w:val="24"/>
          <w:szCs w:val="24"/>
        </w:rPr>
        <w:t xml:space="preserve">rogression-free (PFS) survival graph in the patients with higher </w:t>
      </w:r>
      <w:r w:rsidR="00B232AC" w:rsidRPr="00B232AC">
        <w:rPr>
          <w:rFonts w:ascii="Book Antiqua" w:eastAsia="Arial Unicode MS" w:hAnsi="Book Antiqua"/>
          <w:color w:val="000000" w:themeColor="text1"/>
          <w:sz w:val="24"/>
          <w:szCs w:val="24"/>
        </w:rPr>
        <w:t>19-gene based risk (TCA19)</w:t>
      </w:r>
      <w:r w:rsidRPr="00B232AC">
        <w:rPr>
          <w:rFonts w:ascii="Book Antiqua" w:eastAsia="Arial Unicode MS" w:hAnsi="Book Antiqua"/>
          <w:color w:val="000000" w:themeColor="text1"/>
          <w:sz w:val="24"/>
          <w:szCs w:val="24"/>
        </w:rPr>
        <w:t xml:space="preserve"> score. </w:t>
      </w:r>
      <w:r w:rsidR="00B232AC">
        <w:rPr>
          <w:rFonts w:ascii="Book Antiqua" w:eastAsia="Arial Unicode MS" w:hAnsi="Book Antiqua"/>
          <w:color w:val="000000" w:themeColor="text1"/>
          <w:sz w:val="24"/>
          <w:szCs w:val="24"/>
        </w:rPr>
        <w:t>B:</w:t>
      </w:r>
      <w:r w:rsidRPr="00B232AC">
        <w:rPr>
          <w:rFonts w:ascii="Book Antiqua" w:eastAsia="Arial Unicode MS" w:hAnsi="Book Antiqua"/>
          <w:color w:val="000000" w:themeColor="text1"/>
          <w:sz w:val="24"/>
          <w:szCs w:val="24"/>
        </w:rPr>
        <w:t xml:space="preserve"> PFS survival graph in the patie</w:t>
      </w:r>
      <w:r w:rsidR="00B232AC">
        <w:rPr>
          <w:rFonts w:ascii="Book Antiqua" w:eastAsia="Arial Unicode MS" w:hAnsi="Book Antiqua"/>
          <w:color w:val="000000" w:themeColor="text1"/>
          <w:sz w:val="24"/>
          <w:szCs w:val="24"/>
        </w:rPr>
        <w:t>nts with lower TCA19 score. PFS: Progression-free survival; 5-FU: F</w:t>
      </w:r>
      <w:r w:rsidRPr="00B232AC">
        <w:rPr>
          <w:rFonts w:ascii="Book Antiqua" w:eastAsia="Arial Unicode MS" w:hAnsi="Book Antiqua"/>
          <w:color w:val="000000" w:themeColor="text1"/>
          <w:sz w:val="24"/>
          <w:szCs w:val="24"/>
        </w:rPr>
        <w:t>lu</w:t>
      </w:r>
      <w:r w:rsidR="00B232AC">
        <w:rPr>
          <w:rFonts w:ascii="Book Antiqua" w:eastAsia="Arial Unicode MS" w:hAnsi="Book Antiqua"/>
          <w:color w:val="000000" w:themeColor="text1"/>
          <w:sz w:val="24"/>
          <w:szCs w:val="24"/>
        </w:rPr>
        <w:t>orouracil-based regimen; FOLFOX: C</w:t>
      </w:r>
      <w:r w:rsidRPr="00B232AC">
        <w:rPr>
          <w:rFonts w:ascii="Book Antiqua" w:eastAsia="Arial Unicode MS" w:hAnsi="Book Antiqua"/>
          <w:color w:val="000000" w:themeColor="text1"/>
          <w:sz w:val="24"/>
          <w:szCs w:val="24"/>
        </w:rPr>
        <w:t>ombined regimen of fluorouracil, leuco</w:t>
      </w:r>
      <w:r w:rsidR="00B232AC">
        <w:rPr>
          <w:rFonts w:ascii="Book Antiqua" w:eastAsia="Arial Unicode MS" w:hAnsi="Book Antiqua"/>
          <w:color w:val="000000" w:themeColor="text1"/>
          <w:sz w:val="24"/>
          <w:szCs w:val="24"/>
        </w:rPr>
        <w:t>vorin, and oxaliplatin; FOLFIRI: C</w:t>
      </w:r>
      <w:r w:rsidRPr="00B232AC">
        <w:rPr>
          <w:rFonts w:ascii="Book Antiqua" w:eastAsia="Arial Unicode MS" w:hAnsi="Book Antiqua"/>
          <w:color w:val="000000" w:themeColor="text1"/>
          <w:sz w:val="24"/>
          <w:szCs w:val="24"/>
        </w:rPr>
        <w:t>ombined regimen of fluorouracil, leucovorin, and ir</w:t>
      </w:r>
      <w:r w:rsidR="00B232AC">
        <w:rPr>
          <w:rFonts w:ascii="Book Antiqua" w:eastAsia="Arial Unicode MS" w:hAnsi="Book Antiqua"/>
          <w:color w:val="000000" w:themeColor="text1"/>
          <w:sz w:val="24"/>
          <w:szCs w:val="24"/>
        </w:rPr>
        <w:t xml:space="preserve">inotecan; </w:t>
      </w:r>
      <w:proofErr w:type="spellStart"/>
      <w:r w:rsidR="00B232AC">
        <w:rPr>
          <w:rFonts w:ascii="Book Antiqua" w:eastAsia="Arial Unicode MS" w:hAnsi="Book Antiqua"/>
          <w:color w:val="000000" w:themeColor="text1"/>
          <w:sz w:val="24"/>
          <w:szCs w:val="24"/>
        </w:rPr>
        <w:t>Beva</w:t>
      </w:r>
      <w:proofErr w:type="spellEnd"/>
      <w:r w:rsidR="00B232AC">
        <w:rPr>
          <w:rFonts w:ascii="Book Antiqua" w:eastAsia="Arial Unicode MS" w:hAnsi="Book Antiqua"/>
          <w:color w:val="000000" w:themeColor="text1"/>
          <w:sz w:val="24"/>
          <w:szCs w:val="24"/>
        </w:rPr>
        <w:t>/</w:t>
      </w:r>
      <w:proofErr w:type="spellStart"/>
      <w:r w:rsidR="00B232AC">
        <w:rPr>
          <w:rFonts w:ascii="Book Antiqua" w:eastAsia="Arial Unicode MS" w:hAnsi="Book Antiqua"/>
          <w:color w:val="000000" w:themeColor="text1"/>
          <w:sz w:val="24"/>
          <w:szCs w:val="24"/>
        </w:rPr>
        <w:t>Cetux</w:t>
      </w:r>
      <w:proofErr w:type="spellEnd"/>
      <w:r w:rsidR="00B232AC">
        <w:rPr>
          <w:rFonts w:ascii="Book Antiqua" w:eastAsia="Arial Unicode MS" w:hAnsi="Book Antiqua"/>
          <w:color w:val="000000" w:themeColor="text1"/>
          <w:sz w:val="24"/>
          <w:szCs w:val="24"/>
        </w:rPr>
        <w:t>: T</w:t>
      </w:r>
      <w:r w:rsidRPr="00B232AC">
        <w:rPr>
          <w:rFonts w:ascii="Book Antiqua" w:eastAsia="Arial Unicode MS" w:hAnsi="Book Antiqua"/>
          <w:color w:val="000000" w:themeColor="text1"/>
          <w:sz w:val="24"/>
          <w:szCs w:val="24"/>
        </w:rPr>
        <w:t>arget-regimen including bevacizumab and cetuximab.</w:t>
      </w:r>
    </w:p>
    <w:p w14:paraId="4D8078EF" w14:textId="1F68AFEE" w:rsidR="00B232AC" w:rsidRDefault="00B232AC">
      <w:pPr>
        <w:widowControl/>
        <w:wordWrap/>
        <w:autoSpaceDE/>
        <w:autoSpaceDN/>
        <w:spacing w:after="160" w:line="259" w:lineRule="auto"/>
        <w:rPr>
          <w:rFonts w:ascii="Book Antiqua" w:eastAsia="Arial Unicode MS" w:hAnsi="Book Antiqua"/>
          <w:i/>
          <w:color w:val="000000" w:themeColor="text1"/>
          <w:sz w:val="24"/>
          <w:szCs w:val="24"/>
        </w:rPr>
      </w:pPr>
      <w:r>
        <w:rPr>
          <w:rFonts w:ascii="Book Antiqua" w:eastAsia="Arial Unicode MS" w:hAnsi="Book Antiqua"/>
          <w:i/>
          <w:color w:val="000000" w:themeColor="text1"/>
          <w:sz w:val="24"/>
          <w:szCs w:val="24"/>
        </w:rPr>
        <w:br w:type="page"/>
      </w:r>
    </w:p>
    <w:p w14:paraId="0E320FF6" w14:textId="6050C834" w:rsidR="00A1284B" w:rsidRPr="00B43A8C" w:rsidRDefault="00AD4EF3" w:rsidP="00A1284B">
      <w:pPr>
        <w:wordWrap/>
        <w:adjustRightInd w:val="0"/>
        <w:snapToGrid w:val="0"/>
        <w:spacing w:line="360" w:lineRule="auto"/>
        <w:rPr>
          <w:rFonts w:ascii="Book Antiqua" w:eastAsia="Arial Unicode MS" w:hAnsi="Book Antiqua"/>
          <w:i/>
          <w:color w:val="000000" w:themeColor="text1"/>
          <w:sz w:val="24"/>
          <w:szCs w:val="24"/>
        </w:rPr>
      </w:pPr>
      <w:bookmarkStart w:id="154" w:name="_GoBack"/>
      <w:r>
        <w:rPr>
          <w:rFonts w:ascii="Book Antiqua" w:eastAsia="Arial Unicode MS" w:hAnsi="Book Antiqua"/>
          <w:i/>
          <w:noProof/>
          <w:color w:val="000000" w:themeColor="text1"/>
          <w:sz w:val="24"/>
          <w:szCs w:val="24"/>
          <w:lang w:eastAsia="zh-CN"/>
        </w:rPr>
        <w:lastRenderedPageBreak/>
        <w:drawing>
          <wp:inline distT="0" distB="0" distL="0" distR="0" wp14:anchorId="7762B029" wp14:editId="2075BFEE">
            <wp:extent cx="5727700" cy="3416300"/>
            <wp:effectExtent l="0" t="0" r="12700" b="12700"/>
            <wp:docPr id="3" name="图片 3" descr="../../Library/Containers/com.tencent.qq/Data/Library/Application%20Support/QQ/Users/2466846217/QQ/Temp.db/9ABC44B2-9F4F-4EC9-B192-F69EF5648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tencent.qq/Data/Library/Application%20Support/QQ/Users/2466846217/QQ/Temp.db/9ABC44B2-9F4F-4EC9-B192-F69EF564850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416300"/>
                    </a:xfrm>
                    <a:prstGeom prst="rect">
                      <a:avLst/>
                    </a:prstGeom>
                    <a:noFill/>
                    <a:ln>
                      <a:noFill/>
                    </a:ln>
                  </pic:spPr>
                </pic:pic>
              </a:graphicData>
            </a:graphic>
          </wp:inline>
        </w:drawing>
      </w:r>
      <w:bookmarkEnd w:id="154"/>
    </w:p>
    <w:p w14:paraId="54AC45A9" w14:textId="06AF217C" w:rsidR="00A1284B" w:rsidRPr="00B43A8C" w:rsidRDefault="00A1284B" w:rsidP="00A1284B">
      <w:pPr>
        <w:wordWrap/>
        <w:adjustRightInd w:val="0"/>
        <w:snapToGrid w:val="0"/>
        <w:spacing w:line="360" w:lineRule="auto"/>
        <w:rPr>
          <w:rFonts w:ascii="Book Antiqua" w:eastAsia="Arial Unicode MS" w:hAnsi="Book Antiqua"/>
          <w:color w:val="000000" w:themeColor="text1"/>
          <w:sz w:val="24"/>
          <w:szCs w:val="24"/>
        </w:rPr>
      </w:pPr>
      <w:r w:rsidRPr="00B43A8C">
        <w:rPr>
          <w:rFonts w:ascii="Book Antiqua" w:eastAsia="Arial Unicode MS" w:hAnsi="Book Antiqua"/>
          <w:b/>
          <w:color w:val="000000" w:themeColor="text1"/>
          <w:sz w:val="24"/>
          <w:szCs w:val="24"/>
        </w:rPr>
        <w:t>Figure 2</w:t>
      </w:r>
      <w:r w:rsidRPr="00B43A8C">
        <w:rPr>
          <w:rFonts w:ascii="Book Antiqua" w:eastAsia="Arial Unicode MS" w:hAnsi="Book Antiqua"/>
          <w:color w:val="000000" w:themeColor="text1"/>
          <w:sz w:val="24"/>
          <w:szCs w:val="24"/>
        </w:rPr>
        <w:t xml:space="preserve"> </w:t>
      </w:r>
      <w:r w:rsidRPr="00AD4EF3">
        <w:rPr>
          <w:rFonts w:ascii="Book Antiqua" w:eastAsia="Arial Unicode MS" w:hAnsi="Book Antiqua"/>
          <w:b/>
          <w:color w:val="000000" w:themeColor="text1"/>
          <w:sz w:val="24"/>
          <w:szCs w:val="24"/>
        </w:rPr>
        <w:t xml:space="preserve">Expression of CD68 in a </w:t>
      </w:r>
      <w:r w:rsidR="00AD4EF3" w:rsidRPr="00AD4EF3">
        <w:rPr>
          <w:rFonts w:ascii="Book Antiqua" w:eastAsiaTheme="minorEastAsia" w:hAnsi="Book Antiqua"/>
          <w:b/>
          <w:color w:val="000000" w:themeColor="text1"/>
          <w:kern w:val="0"/>
          <w:sz w:val="24"/>
          <w:szCs w:val="24"/>
        </w:rPr>
        <w:t>signaling lymphocytic activation molecule family, member 7</w:t>
      </w:r>
      <w:r w:rsidRPr="00AD4EF3">
        <w:rPr>
          <w:rFonts w:ascii="Book Antiqua" w:eastAsia="Arial Unicode MS" w:hAnsi="Book Antiqua"/>
          <w:b/>
          <w:color w:val="000000" w:themeColor="text1"/>
          <w:sz w:val="24"/>
          <w:szCs w:val="24"/>
        </w:rPr>
        <w:t>-expression colorectal cancer cell line.</w:t>
      </w:r>
      <w:r w:rsidRPr="00B43A8C">
        <w:rPr>
          <w:rFonts w:ascii="Book Antiqua" w:eastAsia="Arial Unicode MS" w:hAnsi="Book Antiqua"/>
          <w:color w:val="000000" w:themeColor="text1"/>
          <w:sz w:val="24"/>
          <w:szCs w:val="24"/>
        </w:rPr>
        <w:t xml:space="preserve"> High-through imaging and results of CD68(+)/</w:t>
      </w:r>
      <w:r w:rsidR="00AD4EF3" w:rsidRPr="00AD4EF3">
        <w:rPr>
          <w:rFonts w:ascii="Book Antiqua" w:eastAsia="Arial Unicode MS" w:hAnsi="Book Antiqua"/>
          <w:color w:val="000000" w:themeColor="text1"/>
          <w:sz w:val="24"/>
          <w:szCs w:val="24"/>
        </w:rPr>
        <w:t>signaling lymphocytic activation molecule family, member 7</w:t>
      </w:r>
      <w:r w:rsidR="00AD4EF3">
        <w:rPr>
          <w:rFonts w:ascii="Book Antiqua" w:eastAsia="Arial Unicode MS" w:hAnsi="Book Antiqua"/>
          <w:color w:val="000000" w:themeColor="text1"/>
          <w:sz w:val="24"/>
          <w:szCs w:val="24"/>
        </w:rPr>
        <w:t xml:space="preserve"> (</w:t>
      </w:r>
      <w:r w:rsidRPr="00B43A8C">
        <w:rPr>
          <w:rFonts w:ascii="Book Antiqua" w:eastAsia="Arial Unicode MS" w:hAnsi="Book Antiqua"/>
          <w:color w:val="000000" w:themeColor="text1"/>
          <w:sz w:val="24"/>
          <w:szCs w:val="24"/>
        </w:rPr>
        <w:t>SLAMF</w:t>
      </w:r>
      <w:proofErr w:type="gramStart"/>
      <w:r w:rsidRPr="00B43A8C">
        <w:rPr>
          <w:rFonts w:ascii="Book Antiqua" w:eastAsia="Arial Unicode MS" w:hAnsi="Book Antiqua"/>
          <w:color w:val="000000" w:themeColor="text1"/>
          <w:sz w:val="24"/>
          <w:szCs w:val="24"/>
        </w:rPr>
        <w:t>7</w:t>
      </w:r>
      <w:r w:rsidR="00AD4EF3">
        <w:rPr>
          <w:rFonts w:ascii="Book Antiqua" w:eastAsia="Arial Unicode MS" w:hAnsi="Book Antiqua"/>
          <w:color w:val="000000" w:themeColor="text1"/>
          <w:sz w:val="24"/>
          <w:szCs w:val="24"/>
        </w:rPr>
        <w:t>)</w:t>
      </w:r>
      <w:r w:rsidRPr="00B43A8C">
        <w:rPr>
          <w:rFonts w:ascii="Book Antiqua" w:eastAsia="Arial Unicode MS" w:hAnsi="Book Antiqua"/>
          <w:color w:val="000000" w:themeColor="text1"/>
          <w:sz w:val="24"/>
          <w:szCs w:val="24"/>
        </w:rPr>
        <w:t>(</w:t>
      </w:r>
      <w:proofErr w:type="gramEnd"/>
      <w:r w:rsidRPr="00B43A8C">
        <w:rPr>
          <w:rFonts w:ascii="Book Antiqua" w:eastAsia="Arial Unicode MS" w:hAnsi="Book Antiqua"/>
          <w:color w:val="000000" w:themeColor="text1"/>
          <w:sz w:val="24"/>
          <w:szCs w:val="24"/>
        </w:rPr>
        <w:t>+) at day 0 and day 5 of co-culture with THP-1 monocyte</w:t>
      </w:r>
      <w:r w:rsidR="00AD4EF3">
        <w:rPr>
          <w:rFonts w:ascii="Book Antiqua" w:eastAsia="Arial Unicode MS" w:hAnsi="Book Antiqua"/>
          <w:color w:val="000000" w:themeColor="text1"/>
          <w:sz w:val="24"/>
          <w:szCs w:val="24"/>
        </w:rPr>
        <w:t xml:space="preserve">s, THP-1 M2 macrophages, and </w:t>
      </w:r>
      <w:r w:rsidR="00AD4EF3" w:rsidRPr="00B43A8C">
        <w:rPr>
          <w:rFonts w:ascii="Book Antiqua" w:hAnsi="Book Antiqua"/>
          <w:color w:val="000000" w:themeColor="text1"/>
          <w:sz w:val="24"/>
          <w:szCs w:val="24"/>
        </w:rPr>
        <w:t>lipopolysaccharide</w:t>
      </w:r>
      <w:r w:rsidRPr="00B43A8C">
        <w:rPr>
          <w:rFonts w:ascii="Book Antiqua" w:eastAsia="Arial Unicode MS" w:hAnsi="Book Antiqua"/>
          <w:color w:val="000000" w:themeColor="text1"/>
          <w:sz w:val="24"/>
          <w:szCs w:val="24"/>
        </w:rPr>
        <w:t xml:space="preserve"> activated THP-1. On day 5, expression of CD68 was significantly lower than day 0 in the SL</w:t>
      </w:r>
      <w:r w:rsidR="00AD4EF3">
        <w:rPr>
          <w:rFonts w:ascii="Book Antiqua" w:eastAsia="Arial Unicode MS" w:hAnsi="Book Antiqua"/>
          <w:color w:val="000000" w:themeColor="text1"/>
          <w:sz w:val="24"/>
          <w:szCs w:val="24"/>
        </w:rPr>
        <w:t>A</w:t>
      </w:r>
      <w:r w:rsidRPr="00B43A8C">
        <w:rPr>
          <w:rFonts w:ascii="Book Antiqua" w:eastAsia="Arial Unicode MS" w:hAnsi="Book Antiqua"/>
          <w:color w:val="000000" w:themeColor="text1"/>
          <w:sz w:val="24"/>
          <w:szCs w:val="24"/>
        </w:rPr>
        <w:t>MF7-expressing region.</w:t>
      </w:r>
      <w:r w:rsidR="00AD4EF3">
        <w:rPr>
          <w:rFonts w:ascii="Book Antiqua" w:eastAsia="Arial Unicode MS" w:hAnsi="Book Antiqua"/>
          <w:color w:val="000000" w:themeColor="text1"/>
          <w:sz w:val="24"/>
          <w:szCs w:val="24"/>
        </w:rPr>
        <w:t xml:space="preserve"> SLAMF7: S</w:t>
      </w:r>
      <w:r w:rsidR="00AD4EF3" w:rsidRPr="00AD4EF3">
        <w:rPr>
          <w:rFonts w:ascii="Book Antiqua" w:eastAsia="Arial Unicode MS" w:hAnsi="Book Antiqua"/>
          <w:color w:val="000000" w:themeColor="text1"/>
          <w:sz w:val="24"/>
          <w:szCs w:val="24"/>
        </w:rPr>
        <w:t>ignaling lymphocytic activation molecule family, member 7</w:t>
      </w:r>
      <w:r w:rsidR="00792AF6">
        <w:rPr>
          <w:rFonts w:ascii="Book Antiqua" w:eastAsia="Arial Unicode MS" w:hAnsi="Book Antiqua"/>
          <w:color w:val="000000" w:themeColor="text1"/>
          <w:sz w:val="24"/>
          <w:szCs w:val="24"/>
        </w:rPr>
        <w:t xml:space="preserve">; LPS: </w:t>
      </w:r>
      <w:r w:rsidR="00792AF6">
        <w:rPr>
          <w:rFonts w:ascii="Book Antiqua" w:hAnsi="Book Antiqua"/>
          <w:color w:val="000000" w:themeColor="text1"/>
          <w:sz w:val="24"/>
          <w:szCs w:val="24"/>
        </w:rPr>
        <w:t>L</w:t>
      </w:r>
      <w:r w:rsidR="00792AF6" w:rsidRPr="00B43A8C">
        <w:rPr>
          <w:rFonts w:ascii="Book Antiqua" w:hAnsi="Book Antiqua"/>
          <w:color w:val="000000" w:themeColor="text1"/>
          <w:sz w:val="24"/>
          <w:szCs w:val="24"/>
        </w:rPr>
        <w:t>ipopolysaccharide</w:t>
      </w:r>
      <w:r w:rsidR="00792AF6">
        <w:rPr>
          <w:rFonts w:ascii="Book Antiqua" w:hAnsi="Book Antiqua"/>
          <w:color w:val="000000" w:themeColor="text1"/>
          <w:sz w:val="24"/>
          <w:szCs w:val="24"/>
        </w:rPr>
        <w:t>; CRC: Colorectal cancer</w:t>
      </w:r>
      <w:r w:rsidR="001A1F75">
        <w:rPr>
          <w:rFonts w:ascii="Book Antiqua" w:hAnsi="Book Antiqua"/>
          <w:color w:val="000000" w:themeColor="text1"/>
          <w:sz w:val="24"/>
          <w:szCs w:val="24"/>
        </w:rPr>
        <w:t>.</w:t>
      </w:r>
    </w:p>
    <w:p w14:paraId="6FF94041" w14:textId="06B5A921" w:rsidR="00AD4EF3" w:rsidRDefault="00AD4EF3">
      <w:pPr>
        <w:widowControl/>
        <w:wordWrap/>
        <w:autoSpaceDE/>
        <w:autoSpaceDN/>
        <w:spacing w:after="160" w:line="259" w:lineRule="auto"/>
        <w:rPr>
          <w:rFonts w:ascii="Book Antiqua" w:eastAsia="Arial Unicode MS" w:hAnsi="Book Antiqua"/>
          <w:color w:val="000000" w:themeColor="text1"/>
          <w:sz w:val="24"/>
          <w:szCs w:val="24"/>
        </w:rPr>
      </w:pPr>
      <w:r>
        <w:rPr>
          <w:rFonts w:ascii="Book Antiqua" w:eastAsia="Arial Unicode MS" w:hAnsi="Book Antiqua"/>
          <w:color w:val="000000" w:themeColor="text1"/>
          <w:sz w:val="24"/>
          <w:szCs w:val="24"/>
        </w:rPr>
        <w:br w:type="page"/>
      </w:r>
    </w:p>
    <w:p w14:paraId="02260958" w14:textId="47A2643A" w:rsidR="00A1284B" w:rsidRPr="00B43A8C" w:rsidRDefault="00AD4EF3" w:rsidP="00A1284B">
      <w:pPr>
        <w:wordWrap/>
        <w:adjustRightInd w:val="0"/>
        <w:snapToGrid w:val="0"/>
        <w:spacing w:line="360" w:lineRule="auto"/>
        <w:rPr>
          <w:rFonts w:ascii="Book Antiqua" w:eastAsia="Arial Unicode MS" w:hAnsi="Book Antiqua"/>
          <w:color w:val="000000" w:themeColor="text1"/>
          <w:sz w:val="24"/>
          <w:szCs w:val="24"/>
        </w:rPr>
      </w:pPr>
      <w:r>
        <w:rPr>
          <w:rFonts w:ascii="Book Antiqua" w:eastAsia="Arial Unicode MS" w:hAnsi="Book Antiqua"/>
          <w:noProof/>
          <w:color w:val="000000" w:themeColor="text1"/>
          <w:sz w:val="24"/>
          <w:szCs w:val="24"/>
          <w:lang w:eastAsia="zh-CN"/>
        </w:rPr>
        <w:lastRenderedPageBreak/>
        <w:drawing>
          <wp:inline distT="0" distB="0" distL="0" distR="0" wp14:anchorId="5266B811" wp14:editId="10EF4E7A">
            <wp:extent cx="5727700" cy="3670300"/>
            <wp:effectExtent l="0" t="0" r="12700" b="12700"/>
            <wp:docPr id="4" name="图片 4" descr="../../Library/Containers/com.tencent.qq/Data/Library/Application%20Support/QQ/Users/2466846217/QQ/Temp.db/578F4807-20B9-4447-875A-B6F1ADD57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Containers/com.tencent.qq/Data/Library/Application%20Support/QQ/Users/2466846217/QQ/Temp.db/578F4807-20B9-4447-875A-B6F1ADD5713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670300"/>
                    </a:xfrm>
                    <a:prstGeom prst="rect">
                      <a:avLst/>
                    </a:prstGeom>
                    <a:noFill/>
                    <a:ln>
                      <a:noFill/>
                    </a:ln>
                  </pic:spPr>
                </pic:pic>
              </a:graphicData>
            </a:graphic>
          </wp:inline>
        </w:drawing>
      </w:r>
    </w:p>
    <w:p w14:paraId="4822F1FA" w14:textId="4A4B3CBB" w:rsidR="00A1284B" w:rsidRPr="00B43A8C" w:rsidRDefault="00A1284B" w:rsidP="00A1284B">
      <w:pPr>
        <w:wordWrap/>
        <w:adjustRightInd w:val="0"/>
        <w:snapToGrid w:val="0"/>
        <w:spacing w:line="360" w:lineRule="auto"/>
        <w:rPr>
          <w:rFonts w:ascii="Book Antiqua" w:eastAsia="Arial Unicode MS" w:hAnsi="Book Antiqua"/>
          <w:color w:val="000000" w:themeColor="text1"/>
          <w:sz w:val="24"/>
          <w:szCs w:val="24"/>
        </w:rPr>
      </w:pPr>
      <w:r w:rsidRPr="00B43A8C">
        <w:rPr>
          <w:rFonts w:ascii="Book Antiqua" w:eastAsia="Arial Unicode MS" w:hAnsi="Book Antiqua"/>
          <w:b/>
          <w:color w:val="000000" w:themeColor="text1"/>
          <w:sz w:val="24"/>
          <w:szCs w:val="24"/>
        </w:rPr>
        <w:t>Figure 3</w:t>
      </w:r>
      <w:r w:rsidR="00AD4EF3">
        <w:rPr>
          <w:rFonts w:ascii="Book Antiqua" w:eastAsia="Arial Unicode MS" w:hAnsi="Book Antiqua"/>
          <w:b/>
          <w:color w:val="000000" w:themeColor="text1"/>
          <w:sz w:val="24"/>
          <w:szCs w:val="24"/>
        </w:rPr>
        <w:t xml:space="preserve"> </w:t>
      </w:r>
      <w:r w:rsidRPr="00AD4EF3">
        <w:rPr>
          <w:rFonts w:ascii="Book Antiqua" w:eastAsia="Arial Unicode MS" w:hAnsi="Book Antiqua"/>
          <w:b/>
          <w:color w:val="000000" w:themeColor="text1"/>
          <w:sz w:val="24"/>
          <w:szCs w:val="24"/>
        </w:rPr>
        <w:t xml:space="preserve">Expression of CD73 in a </w:t>
      </w:r>
      <w:r w:rsidR="00AD4EF3" w:rsidRPr="00AD4EF3">
        <w:rPr>
          <w:rFonts w:ascii="Book Antiqua" w:eastAsiaTheme="minorEastAsia" w:hAnsi="Book Antiqua"/>
          <w:b/>
          <w:color w:val="000000" w:themeColor="text1"/>
          <w:kern w:val="0"/>
          <w:sz w:val="24"/>
          <w:szCs w:val="24"/>
        </w:rPr>
        <w:t>signaling lymphocytic activation molecule family, member 7</w:t>
      </w:r>
      <w:r w:rsidRPr="00AD4EF3">
        <w:rPr>
          <w:rFonts w:ascii="Book Antiqua" w:eastAsia="Arial Unicode MS" w:hAnsi="Book Antiqua"/>
          <w:b/>
          <w:color w:val="000000" w:themeColor="text1"/>
          <w:sz w:val="24"/>
          <w:szCs w:val="24"/>
        </w:rPr>
        <w:t>-expression colorectal cancer cell line.</w:t>
      </w:r>
      <w:r w:rsidRPr="00B43A8C">
        <w:rPr>
          <w:rFonts w:ascii="Book Antiqua" w:eastAsia="Arial Unicode MS" w:hAnsi="Book Antiqua"/>
          <w:color w:val="000000" w:themeColor="text1"/>
          <w:sz w:val="24"/>
          <w:szCs w:val="24"/>
        </w:rPr>
        <w:t xml:space="preserve"> High-through imaging and results of CD73(+)/</w:t>
      </w:r>
      <w:r w:rsidR="00AD4EF3" w:rsidRPr="00AD4EF3">
        <w:rPr>
          <w:rFonts w:ascii="Book Antiqua" w:eastAsia="Arial Unicode MS" w:hAnsi="Book Antiqua"/>
          <w:color w:val="000000" w:themeColor="text1"/>
          <w:sz w:val="24"/>
          <w:szCs w:val="24"/>
        </w:rPr>
        <w:t>signaling lymphocytic activation molecule family, member 7</w:t>
      </w:r>
      <w:r w:rsidR="00AD4EF3">
        <w:rPr>
          <w:rFonts w:ascii="Book Antiqua" w:eastAsia="Arial Unicode MS" w:hAnsi="Book Antiqua"/>
          <w:color w:val="000000" w:themeColor="text1"/>
          <w:sz w:val="24"/>
          <w:szCs w:val="24"/>
        </w:rPr>
        <w:t xml:space="preserve"> (</w:t>
      </w:r>
      <w:r w:rsidR="00AD4EF3" w:rsidRPr="00B43A8C">
        <w:rPr>
          <w:rFonts w:ascii="Book Antiqua" w:eastAsia="Arial Unicode MS" w:hAnsi="Book Antiqua"/>
          <w:color w:val="000000" w:themeColor="text1"/>
          <w:sz w:val="24"/>
          <w:szCs w:val="24"/>
        </w:rPr>
        <w:t>SLAMF</w:t>
      </w:r>
      <w:proofErr w:type="gramStart"/>
      <w:r w:rsidR="00AD4EF3" w:rsidRPr="00B43A8C">
        <w:rPr>
          <w:rFonts w:ascii="Book Antiqua" w:eastAsia="Arial Unicode MS" w:hAnsi="Book Antiqua"/>
          <w:color w:val="000000" w:themeColor="text1"/>
          <w:sz w:val="24"/>
          <w:szCs w:val="24"/>
        </w:rPr>
        <w:t>7</w:t>
      </w:r>
      <w:r w:rsidR="00AD4EF3">
        <w:rPr>
          <w:rFonts w:ascii="Book Antiqua" w:eastAsia="Arial Unicode MS" w:hAnsi="Book Antiqua"/>
          <w:color w:val="000000" w:themeColor="text1"/>
          <w:sz w:val="24"/>
          <w:szCs w:val="24"/>
        </w:rPr>
        <w:t>)</w:t>
      </w:r>
      <w:r w:rsidRPr="00B43A8C">
        <w:rPr>
          <w:rFonts w:ascii="Book Antiqua" w:eastAsia="Arial Unicode MS" w:hAnsi="Book Antiqua"/>
          <w:color w:val="000000" w:themeColor="text1"/>
          <w:sz w:val="24"/>
          <w:szCs w:val="24"/>
        </w:rPr>
        <w:t>(</w:t>
      </w:r>
      <w:proofErr w:type="gramEnd"/>
      <w:r w:rsidRPr="00B43A8C">
        <w:rPr>
          <w:rFonts w:ascii="Book Antiqua" w:eastAsia="Arial Unicode MS" w:hAnsi="Book Antiqua"/>
          <w:color w:val="000000" w:themeColor="text1"/>
          <w:sz w:val="24"/>
          <w:szCs w:val="24"/>
        </w:rPr>
        <w:t>+) at day 0 and day 5 of co-culture with THP-1 monocyte</w:t>
      </w:r>
      <w:r w:rsidR="00AD4EF3">
        <w:rPr>
          <w:rFonts w:ascii="Book Antiqua" w:eastAsia="Arial Unicode MS" w:hAnsi="Book Antiqua"/>
          <w:color w:val="000000" w:themeColor="text1"/>
          <w:sz w:val="24"/>
          <w:szCs w:val="24"/>
        </w:rPr>
        <w:t xml:space="preserve">s, THP-1 M2 macrophages, and </w:t>
      </w:r>
      <w:r w:rsidR="00AD4EF3" w:rsidRPr="00B43A8C">
        <w:rPr>
          <w:rFonts w:ascii="Book Antiqua" w:hAnsi="Book Antiqua"/>
          <w:color w:val="000000" w:themeColor="text1"/>
          <w:sz w:val="24"/>
          <w:szCs w:val="24"/>
        </w:rPr>
        <w:t>lipopolysaccharide</w:t>
      </w:r>
      <w:r w:rsidRPr="00B43A8C">
        <w:rPr>
          <w:rFonts w:ascii="Book Antiqua" w:eastAsia="Arial Unicode MS" w:hAnsi="Book Antiqua"/>
          <w:color w:val="000000" w:themeColor="text1"/>
          <w:sz w:val="24"/>
          <w:szCs w:val="24"/>
        </w:rPr>
        <w:t xml:space="preserve"> activated THP-1. On day 5, expression of CD73 was significantly lower than day 0 in the SL</w:t>
      </w:r>
      <w:r w:rsidR="00AD4EF3">
        <w:rPr>
          <w:rFonts w:ascii="Book Antiqua" w:eastAsia="Arial Unicode MS" w:hAnsi="Book Antiqua"/>
          <w:color w:val="000000" w:themeColor="text1"/>
          <w:sz w:val="24"/>
          <w:szCs w:val="24"/>
        </w:rPr>
        <w:t>A</w:t>
      </w:r>
      <w:r w:rsidRPr="00B43A8C">
        <w:rPr>
          <w:rFonts w:ascii="Book Antiqua" w:eastAsia="Arial Unicode MS" w:hAnsi="Book Antiqua"/>
          <w:color w:val="000000" w:themeColor="text1"/>
          <w:sz w:val="24"/>
          <w:szCs w:val="24"/>
        </w:rPr>
        <w:t>MF7-expressing region.</w:t>
      </w:r>
      <w:r w:rsidR="00AD4EF3">
        <w:rPr>
          <w:rFonts w:ascii="Book Antiqua" w:eastAsia="Arial Unicode MS" w:hAnsi="Book Antiqua"/>
          <w:color w:val="000000" w:themeColor="text1"/>
          <w:sz w:val="24"/>
          <w:szCs w:val="24"/>
        </w:rPr>
        <w:t xml:space="preserve"> SLAMF7: S</w:t>
      </w:r>
      <w:r w:rsidR="00AD4EF3" w:rsidRPr="00AD4EF3">
        <w:rPr>
          <w:rFonts w:ascii="Book Antiqua" w:eastAsia="Arial Unicode MS" w:hAnsi="Book Antiqua"/>
          <w:color w:val="000000" w:themeColor="text1"/>
          <w:sz w:val="24"/>
          <w:szCs w:val="24"/>
        </w:rPr>
        <w:t>ignaling lymphocytic activation molecule family, member 7</w:t>
      </w:r>
      <w:r w:rsidR="001A1F75">
        <w:rPr>
          <w:rFonts w:ascii="Book Antiqua" w:eastAsia="Arial Unicode MS" w:hAnsi="Book Antiqua"/>
          <w:color w:val="000000" w:themeColor="text1"/>
          <w:sz w:val="24"/>
          <w:szCs w:val="24"/>
        </w:rPr>
        <w:t xml:space="preserve">; LPS: </w:t>
      </w:r>
      <w:r w:rsidR="001A1F75">
        <w:rPr>
          <w:rFonts w:ascii="Book Antiqua" w:hAnsi="Book Antiqua"/>
          <w:color w:val="000000" w:themeColor="text1"/>
          <w:sz w:val="24"/>
          <w:szCs w:val="24"/>
        </w:rPr>
        <w:t>L</w:t>
      </w:r>
      <w:r w:rsidR="001A1F75" w:rsidRPr="00B43A8C">
        <w:rPr>
          <w:rFonts w:ascii="Book Antiqua" w:hAnsi="Book Antiqua"/>
          <w:color w:val="000000" w:themeColor="text1"/>
          <w:sz w:val="24"/>
          <w:szCs w:val="24"/>
        </w:rPr>
        <w:t>ipopolysaccharide</w:t>
      </w:r>
      <w:r w:rsidR="001A1F75">
        <w:rPr>
          <w:rFonts w:ascii="Book Antiqua" w:hAnsi="Book Antiqua"/>
          <w:color w:val="000000" w:themeColor="text1"/>
          <w:sz w:val="24"/>
          <w:szCs w:val="24"/>
        </w:rPr>
        <w:t>; CRC: Colorectal cancer.</w:t>
      </w:r>
    </w:p>
    <w:p w14:paraId="7FA9E11A" w14:textId="08412AD9" w:rsidR="00A1284B" w:rsidRPr="00B43A8C" w:rsidRDefault="00A1284B" w:rsidP="00A1284B">
      <w:pPr>
        <w:wordWrap/>
        <w:adjustRightInd w:val="0"/>
        <w:snapToGrid w:val="0"/>
        <w:spacing w:line="360" w:lineRule="auto"/>
        <w:rPr>
          <w:rFonts w:ascii="Book Antiqua" w:hAnsi="Book Antiqua"/>
          <w:color w:val="000000" w:themeColor="text1"/>
          <w:sz w:val="24"/>
          <w:szCs w:val="24"/>
        </w:rPr>
      </w:pPr>
    </w:p>
    <w:p w14:paraId="332DA81E" w14:textId="77777777" w:rsidR="00A1284B" w:rsidRPr="00B43A8C" w:rsidRDefault="00A1284B" w:rsidP="00A1284B">
      <w:pPr>
        <w:widowControl/>
        <w:wordWrap/>
        <w:autoSpaceDE/>
        <w:autoSpaceDN/>
        <w:adjustRightInd w:val="0"/>
        <w:snapToGrid w:val="0"/>
        <w:spacing w:line="360" w:lineRule="auto"/>
        <w:rPr>
          <w:rFonts w:ascii="Book Antiqua" w:hAnsi="Book Antiqua"/>
          <w:color w:val="000000" w:themeColor="text1"/>
          <w:sz w:val="24"/>
          <w:szCs w:val="24"/>
        </w:rPr>
        <w:sectPr w:rsidR="00A1284B" w:rsidRPr="00B43A8C">
          <w:footerReference w:type="default" r:id="rId10"/>
          <w:pgSz w:w="11906" w:h="16838"/>
          <w:pgMar w:top="1701" w:right="1440" w:bottom="1440" w:left="1440" w:header="851" w:footer="992" w:gutter="0"/>
          <w:cols w:space="425"/>
          <w:docGrid w:linePitch="360"/>
        </w:sectPr>
      </w:pPr>
      <w:r w:rsidRPr="00B43A8C">
        <w:rPr>
          <w:rFonts w:ascii="Book Antiqua" w:hAnsi="Book Antiqua"/>
          <w:color w:val="000000" w:themeColor="text1"/>
          <w:sz w:val="24"/>
          <w:szCs w:val="24"/>
        </w:rPr>
        <w:br w:type="page"/>
      </w:r>
    </w:p>
    <w:p w14:paraId="3FAC013B" w14:textId="43D66B74" w:rsidR="00A1284B" w:rsidRPr="00B43A8C" w:rsidRDefault="00A1284B" w:rsidP="00A1284B">
      <w:pPr>
        <w:wordWrap/>
        <w:adjustRightInd w:val="0"/>
        <w:snapToGrid w:val="0"/>
        <w:spacing w:line="360" w:lineRule="auto"/>
        <w:rPr>
          <w:rFonts w:ascii="Book Antiqua" w:eastAsia="Arial Unicode MS" w:hAnsi="Book Antiqua"/>
          <w:color w:val="000000" w:themeColor="text1"/>
          <w:sz w:val="24"/>
          <w:szCs w:val="24"/>
        </w:rPr>
      </w:pPr>
      <w:r w:rsidRPr="00B43A8C">
        <w:rPr>
          <w:rFonts w:ascii="Book Antiqua" w:eastAsia="Arial Unicode MS" w:hAnsi="Book Antiqua"/>
          <w:b/>
          <w:color w:val="000000" w:themeColor="text1"/>
          <w:sz w:val="24"/>
          <w:szCs w:val="24"/>
        </w:rPr>
        <w:lastRenderedPageBreak/>
        <w:t>Table 1</w:t>
      </w:r>
      <w:r w:rsidR="001A1F75">
        <w:rPr>
          <w:rFonts w:ascii="Book Antiqua" w:eastAsia="Arial Unicode MS" w:hAnsi="Book Antiqua"/>
          <w:b/>
          <w:color w:val="000000" w:themeColor="text1"/>
          <w:sz w:val="24"/>
          <w:szCs w:val="24"/>
        </w:rPr>
        <w:t xml:space="preserve"> </w:t>
      </w:r>
      <w:r w:rsidRPr="001A1F75">
        <w:rPr>
          <w:rFonts w:ascii="Book Antiqua" w:eastAsia="Arial Unicode MS" w:hAnsi="Book Antiqua"/>
          <w:b/>
          <w:color w:val="000000" w:themeColor="text1"/>
          <w:sz w:val="24"/>
          <w:szCs w:val="24"/>
        </w:rPr>
        <w:t xml:space="preserve">Association between differential regulation of </w:t>
      </w:r>
      <w:r w:rsidR="001A1F75" w:rsidRPr="001A1F75">
        <w:rPr>
          <w:rFonts w:ascii="Book Antiqua" w:eastAsiaTheme="minorEastAsia" w:hAnsi="Book Antiqua"/>
          <w:b/>
          <w:color w:val="000000" w:themeColor="text1"/>
          <w:sz w:val="24"/>
          <w:szCs w:val="24"/>
        </w:rPr>
        <w:t>19-gene-based risk classifier</w:t>
      </w:r>
      <w:r w:rsidRPr="001A1F75">
        <w:rPr>
          <w:rFonts w:ascii="Book Antiqua" w:eastAsia="Arial Unicode MS" w:hAnsi="Book Antiqua"/>
          <w:b/>
          <w:color w:val="000000" w:themeColor="text1"/>
          <w:sz w:val="24"/>
          <w:szCs w:val="24"/>
        </w:rPr>
        <w:t xml:space="preserve"> genes and clinicopathological factors in 60 patients with stage IV colorectal cancer</w:t>
      </w:r>
    </w:p>
    <w:tbl>
      <w:tblPr>
        <w:tblW w:w="5000" w:type="pct"/>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1060"/>
        <w:gridCol w:w="646"/>
        <w:gridCol w:w="601"/>
        <w:gridCol w:w="601"/>
        <w:gridCol w:w="645"/>
        <w:gridCol w:w="601"/>
        <w:gridCol w:w="645"/>
        <w:gridCol w:w="689"/>
        <w:gridCol w:w="601"/>
        <w:gridCol w:w="601"/>
        <w:gridCol w:w="645"/>
        <w:gridCol w:w="645"/>
        <w:gridCol w:w="601"/>
        <w:gridCol w:w="645"/>
        <w:gridCol w:w="601"/>
        <w:gridCol w:w="601"/>
        <w:gridCol w:w="601"/>
        <w:gridCol w:w="689"/>
        <w:gridCol w:w="689"/>
        <w:gridCol w:w="601"/>
        <w:gridCol w:w="689"/>
      </w:tblGrid>
      <w:tr w:rsidR="00A1284B" w:rsidRPr="00B43A8C" w14:paraId="769758A2" w14:textId="77777777" w:rsidTr="00617F1C">
        <w:trPr>
          <w:trHeight w:val="493"/>
        </w:trPr>
        <w:tc>
          <w:tcPr>
            <w:tcW w:w="388" w:type="pct"/>
            <w:tcBorders>
              <w:bottom w:val="nil"/>
            </w:tcBorders>
            <w:shd w:val="clear" w:color="auto" w:fill="auto"/>
            <w:noWrap/>
            <w:vAlign w:val="center"/>
            <w:hideMark/>
          </w:tcPr>
          <w:p w14:paraId="44B7F7CB" w14:textId="77777777" w:rsidR="00A1284B" w:rsidRPr="00B43A8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 xml:space="preserve">　</w:t>
            </w:r>
          </w:p>
        </w:tc>
        <w:tc>
          <w:tcPr>
            <w:tcW w:w="4612" w:type="pct"/>
            <w:gridSpan w:val="20"/>
            <w:tcBorders>
              <w:bottom w:val="nil"/>
            </w:tcBorders>
            <w:shd w:val="clear" w:color="auto" w:fill="auto"/>
            <w:noWrap/>
            <w:vAlign w:val="center"/>
            <w:hideMark/>
          </w:tcPr>
          <w:p w14:paraId="60AA0BE6" w14:textId="6E29A610"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color w:val="000000" w:themeColor="text1"/>
                <w:kern w:val="0"/>
                <w:sz w:val="24"/>
                <w:szCs w:val="24"/>
              </w:rPr>
            </w:pPr>
            <w:r w:rsidRPr="00CC6209">
              <w:rPr>
                <w:rFonts w:ascii="Book Antiqua" w:eastAsia="Arial Unicode MS" w:hAnsi="Book Antiqua" w:cs="Arial Unicode MS"/>
                <w:b/>
                <w:color w:val="000000" w:themeColor="text1"/>
                <w:kern w:val="0"/>
                <w:sz w:val="24"/>
                <w:szCs w:val="24"/>
              </w:rPr>
              <w:t>Percentage of tumors with a log</w:t>
            </w:r>
            <w:r w:rsidRPr="00CC6209">
              <w:rPr>
                <w:rFonts w:ascii="Book Antiqua" w:eastAsia="Arial Unicode MS" w:hAnsi="Book Antiqua" w:cs="Arial Unicode MS"/>
                <w:b/>
                <w:color w:val="000000" w:themeColor="text1"/>
                <w:kern w:val="0"/>
                <w:sz w:val="24"/>
                <w:szCs w:val="24"/>
                <w:vertAlign w:val="subscript"/>
              </w:rPr>
              <w:t>2</w:t>
            </w:r>
            <w:r w:rsidRPr="00CC6209">
              <w:rPr>
                <w:rFonts w:ascii="Book Antiqua" w:eastAsia="Arial Unicode MS" w:hAnsi="Book Antiqua" w:cs="Arial Unicode MS"/>
                <w:b/>
                <w:color w:val="000000" w:themeColor="text1"/>
                <w:kern w:val="0"/>
                <w:sz w:val="24"/>
                <w:szCs w:val="24"/>
              </w:rPr>
              <w:t>2</w:t>
            </w:r>
            <w:r w:rsidRPr="00CC6209">
              <w:rPr>
                <w:rFonts w:ascii="Book Antiqua" w:eastAsia="Arial Unicode MS" w:hAnsi="Book Antiqua" w:cs="Arial Unicode MS"/>
                <w:b/>
                <w:color w:val="000000" w:themeColor="text1"/>
                <w:kern w:val="0"/>
                <w:sz w:val="24"/>
                <w:szCs w:val="24"/>
                <w:vertAlign w:val="superscript"/>
              </w:rPr>
              <w:t>-ΔΔ</w:t>
            </w:r>
            <w:r w:rsidRPr="00CC6209">
              <w:rPr>
                <w:rFonts w:ascii="Book Antiqua" w:eastAsia="Arial Unicode MS" w:hAnsi="Book Antiqua" w:cs="Arial Unicode MS"/>
                <w:b/>
                <w:color w:val="000000" w:themeColor="text1"/>
                <w:kern w:val="0"/>
                <w:sz w:val="24"/>
                <w:szCs w:val="24"/>
              </w:rPr>
              <w:t>CT value &gt; 1 compared with matched normal tissue (</w:t>
            </w:r>
            <w:r w:rsidR="00CC6209" w:rsidRPr="00CC6209">
              <w:rPr>
                <w:rFonts w:ascii="Book Antiqua" w:eastAsia="Arial Unicode MS" w:hAnsi="Book Antiqua" w:cs="Arial Unicode MS"/>
                <w:b/>
                <w:i/>
                <w:iCs/>
                <w:color w:val="000000" w:themeColor="text1"/>
                <w:kern w:val="0"/>
                <w:sz w:val="24"/>
                <w:szCs w:val="24"/>
              </w:rPr>
              <w:t>P</w:t>
            </w:r>
            <w:r w:rsidR="00CC6209" w:rsidRPr="00CC6209">
              <w:rPr>
                <w:rFonts w:ascii="Book Antiqua" w:eastAsia="Arial Unicode MS" w:hAnsi="Book Antiqua" w:cs="Arial Unicode MS"/>
                <w:b/>
                <w:color w:val="000000" w:themeColor="text1"/>
                <w:kern w:val="0"/>
                <w:sz w:val="24"/>
                <w:szCs w:val="24"/>
              </w:rPr>
              <w:t xml:space="preserve"> </w:t>
            </w:r>
            <w:r w:rsidRPr="00CC6209">
              <w:rPr>
                <w:rFonts w:ascii="Book Antiqua" w:eastAsia="Arial Unicode MS" w:hAnsi="Book Antiqua" w:cs="Arial Unicode MS"/>
                <w:b/>
                <w:color w:val="000000" w:themeColor="text1"/>
                <w:kern w:val="0"/>
                <w:sz w:val="24"/>
                <w:szCs w:val="24"/>
              </w:rPr>
              <w:t>value)</w:t>
            </w:r>
          </w:p>
        </w:tc>
      </w:tr>
      <w:tr w:rsidR="001A1F75" w:rsidRPr="00B43A8C" w14:paraId="11DA2B50" w14:textId="77777777" w:rsidTr="00617F1C">
        <w:trPr>
          <w:trHeight w:val="240"/>
        </w:trPr>
        <w:tc>
          <w:tcPr>
            <w:tcW w:w="388" w:type="pct"/>
            <w:tcBorders>
              <w:top w:val="nil"/>
              <w:bottom w:val="nil"/>
            </w:tcBorders>
            <w:shd w:val="clear" w:color="auto" w:fill="auto"/>
            <w:noWrap/>
            <w:vAlign w:val="center"/>
            <w:hideMark/>
          </w:tcPr>
          <w:p w14:paraId="27303624" w14:textId="77777777" w:rsidR="00A1284B" w:rsidRPr="00CC6209" w:rsidRDefault="00A1284B" w:rsidP="00792AF6">
            <w:pPr>
              <w:widowControl/>
              <w:wordWrap/>
              <w:autoSpaceDE/>
              <w:autoSpaceDN/>
              <w:adjustRightInd w:val="0"/>
              <w:snapToGrid w:val="0"/>
              <w:spacing w:line="360" w:lineRule="auto"/>
              <w:rPr>
                <w:rFonts w:ascii="Book Antiqua" w:eastAsia="Arial Unicode MS" w:hAnsi="Book Antiqua" w:cs="Arial Unicode MS"/>
                <w:b/>
                <w:color w:val="000000" w:themeColor="text1"/>
                <w:kern w:val="0"/>
                <w:sz w:val="24"/>
                <w:szCs w:val="24"/>
              </w:rPr>
            </w:pPr>
            <w:r w:rsidRPr="00CC6209">
              <w:rPr>
                <w:rFonts w:ascii="Book Antiqua" w:eastAsia="Arial Unicode MS" w:hAnsi="Book Antiqua" w:cs="Arial Unicode MS"/>
                <w:b/>
                <w:color w:val="000000" w:themeColor="text1"/>
                <w:kern w:val="0"/>
                <w:sz w:val="24"/>
                <w:szCs w:val="24"/>
              </w:rPr>
              <w:t>Variables</w:t>
            </w:r>
          </w:p>
        </w:tc>
        <w:tc>
          <w:tcPr>
            <w:tcW w:w="260" w:type="pct"/>
            <w:vMerge w:val="restart"/>
            <w:tcBorders>
              <w:top w:val="nil"/>
              <w:bottom w:val="nil"/>
            </w:tcBorders>
            <w:shd w:val="clear" w:color="auto" w:fill="auto"/>
            <w:noWrap/>
            <w:vAlign w:val="center"/>
            <w:hideMark/>
          </w:tcPr>
          <w:p w14:paraId="7F99BD25" w14:textId="1431CDD2" w:rsidR="00A1284B" w:rsidRPr="00617F1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617F1C">
              <w:rPr>
                <w:rFonts w:ascii="Book Antiqua" w:eastAsia="Arial Unicode MS" w:hAnsi="Book Antiqua" w:cs="Arial Unicode MS"/>
                <w:b/>
                <w:i/>
                <w:color w:val="000000" w:themeColor="text1"/>
                <w:kern w:val="0"/>
                <w:sz w:val="24"/>
                <w:szCs w:val="24"/>
              </w:rPr>
              <w:t>GADD45B</w:t>
            </w:r>
            <w:r w:rsidR="00CC6209" w:rsidRPr="00617F1C">
              <w:rPr>
                <w:rFonts w:ascii="Book Antiqua" w:eastAsia="Arial Unicode MS" w:hAnsi="Book Antiqua" w:cs="Arial Unicode MS"/>
                <w:b/>
                <w:color w:val="000000" w:themeColor="text1"/>
                <w:kern w:val="0"/>
                <w:sz w:val="24"/>
                <w:szCs w:val="24"/>
                <w:vertAlign w:val="superscript"/>
              </w:rPr>
              <w:t>1</w:t>
            </w:r>
          </w:p>
        </w:tc>
        <w:tc>
          <w:tcPr>
            <w:tcW w:w="196" w:type="pct"/>
            <w:vMerge w:val="restart"/>
            <w:tcBorders>
              <w:top w:val="nil"/>
              <w:bottom w:val="nil"/>
            </w:tcBorders>
            <w:shd w:val="clear" w:color="auto" w:fill="auto"/>
            <w:noWrap/>
            <w:vAlign w:val="center"/>
            <w:hideMark/>
          </w:tcPr>
          <w:p w14:paraId="47FA2BE1" w14:textId="77777777" w:rsidR="00A1284B" w:rsidRPr="00617F1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617F1C">
              <w:rPr>
                <w:rFonts w:ascii="Book Antiqua" w:eastAsia="Arial Unicode MS" w:hAnsi="Book Antiqua" w:cs="Arial Unicode MS"/>
                <w:b/>
                <w:i/>
                <w:color w:val="000000" w:themeColor="text1"/>
                <w:kern w:val="0"/>
                <w:sz w:val="24"/>
                <w:szCs w:val="24"/>
              </w:rPr>
              <w:t>S1PR3</w:t>
            </w:r>
          </w:p>
        </w:tc>
        <w:tc>
          <w:tcPr>
            <w:tcW w:w="219" w:type="pct"/>
            <w:vMerge w:val="restart"/>
            <w:tcBorders>
              <w:top w:val="nil"/>
              <w:bottom w:val="nil"/>
            </w:tcBorders>
            <w:shd w:val="clear" w:color="auto" w:fill="auto"/>
            <w:noWrap/>
            <w:vAlign w:val="center"/>
            <w:hideMark/>
          </w:tcPr>
          <w:p w14:paraId="63721EE4" w14:textId="77777777" w:rsidR="00A1284B" w:rsidRPr="00617F1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617F1C">
              <w:rPr>
                <w:rFonts w:ascii="Book Antiqua" w:eastAsia="Arial Unicode MS" w:hAnsi="Book Antiqua" w:cs="Arial Unicode MS"/>
                <w:b/>
                <w:i/>
                <w:color w:val="000000" w:themeColor="text1"/>
                <w:kern w:val="0"/>
                <w:sz w:val="24"/>
                <w:szCs w:val="24"/>
              </w:rPr>
              <w:t>CDKN2B</w:t>
            </w:r>
          </w:p>
        </w:tc>
        <w:tc>
          <w:tcPr>
            <w:tcW w:w="235" w:type="pct"/>
            <w:vMerge w:val="restart"/>
            <w:tcBorders>
              <w:top w:val="nil"/>
              <w:bottom w:val="nil"/>
            </w:tcBorders>
            <w:shd w:val="clear" w:color="auto" w:fill="auto"/>
            <w:noWrap/>
            <w:vAlign w:val="center"/>
            <w:hideMark/>
          </w:tcPr>
          <w:p w14:paraId="2C180DF6" w14:textId="77777777" w:rsidR="00A1284B" w:rsidRPr="00617F1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617F1C">
              <w:rPr>
                <w:rFonts w:ascii="Book Antiqua" w:eastAsia="Arial Unicode MS" w:hAnsi="Book Antiqua" w:cs="Arial Unicode MS"/>
                <w:b/>
                <w:i/>
                <w:color w:val="000000" w:themeColor="text1"/>
                <w:kern w:val="0"/>
                <w:sz w:val="24"/>
                <w:szCs w:val="24"/>
              </w:rPr>
              <w:t>EGR2</w:t>
            </w:r>
          </w:p>
        </w:tc>
        <w:tc>
          <w:tcPr>
            <w:tcW w:w="219" w:type="pct"/>
            <w:vMerge w:val="restart"/>
            <w:tcBorders>
              <w:top w:val="nil"/>
              <w:bottom w:val="nil"/>
            </w:tcBorders>
            <w:shd w:val="clear" w:color="auto" w:fill="auto"/>
            <w:noWrap/>
            <w:vAlign w:val="center"/>
            <w:hideMark/>
          </w:tcPr>
          <w:p w14:paraId="31DC56E2" w14:textId="77777777" w:rsidR="00A1284B" w:rsidRPr="00617F1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617F1C">
              <w:rPr>
                <w:rFonts w:ascii="Book Antiqua" w:eastAsia="Arial Unicode MS" w:hAnsi="Book Antiqua" w:cs="Arial Unicode MS"/>
                <w:b/>
                <w:i/>
                <w:color w:val="000000" w:themeColor="text1"/>
                <w:kern w:val="0"/>
                <w:sz w:val="24"/>
                <w:szCs w:val="24"/>
              </w:rPr>
              <w:t>CTGF</w:t>
            </w:r>
          </w:p>
        </w:tc>
        <w:tc>
          <w:tcPr>
            <w:tcW w:w="235" w:type="pct"/>
            <w:vMerge w:val="restart"/>
            <w:tcBorders>
              <w:top w:val="nil"/>
              <w:bottom w:val="nil"/>
            </w:tcBorders>
            <w:shd w:val="clear" w:color="auto" w:fill="auto"/>
            <w:noWrap/>
            <w:vAlign w:val="center"/>
            <w:hideMark/>
          </w:tcPr>
          <w:p w14:paraId="6CFDDEA3" w14:textId="77777777" w:rsidR="00A1284B" w:rsidRPr="00617F1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617F1C">
              <w:rPr>
                <w:rFonts w:ascii="Book Antiqua" w:eastAsia="Arial Unicode MS" w:hAnsi="Book Antiqua" w:cs="Arial Unicode MS"/>
                <w:b/>
                <w:i/>
                <w:color w:val="000000" w:themeColor="text1"/>
                <w:kern w:val="0"/>
                <w:sz w:val="24"/>
                <w:szCs w:val="24"/>
              </w:rPr>
              <w:t>SERPINE1</w:t>
            </w:r>
          </w:p>
        </w:tc>
        <w:tc>
          <w:tcPr>
            <w:tcW w:w="252" w:type="pct"/>
            <w:vMerge w:val="restart"/>
            <w:tcBorders>
              <w:top w:val="nil"/>
              <w:bottom w:val="nil"/>
            </w:tcBorders>
            <w:shd w:val="clear" w:color="auto" w:fill="auto"/>
            <w:noWrap/>
            <w:vAlign w:val="center"/>
            <w:hideMark/>
          </w:tcPr>
          <w:p w14:paraId="6252F871" w14:textId="77777777" w:rsidR="00A1284B" w:rsidRPr="00617F1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617F1C">
              <w:rPr>
                <w:rFonts w:ascii="Book Antiqua" w:eastAsia="Arial Unicode MS" w:hAnsi="Book Antiqua" w:cs="Arial Unicode MS"/>
                <w:b/>
                <w:i/>
                <w:color w:val="000000" w:themeColor="text1"/>
                <w:kern w:val="0"/>
                <w:sz w:val="24"/>
                <w:szCs w:val="24"/>
              </w:rPr>
              <w:t>RGS16</w:t>
            </w:r>
          </w:p>
        </w:tc>
        <w:tc>
          <w:tcPr>
            <w:tcW w:w="219" w:type="pct"/>
            <w:vMerge w:val="restart"/>
            <w:tcBorders>
              <w:top w:val="nil"/>
              <w:bottom w:val="nil"/>
            </w:tcBorders>
            <w:shd w:val="clear" w:color="auto" w:fill="auto"/>
            <w:noWrap/>
            <w:vAlign w:val="center"/>
            <w:hideMark/>
          </w:tcPr>
          <w:p w14:paraId="2411F02D" w14:textId="77777777" w:rsidR="00A1284B" w:rsidRPr="00617F1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617F1C">
              <w:rPr>
                <w:rFonts w:ascii="Book Antiqua" w:eastAsia="Arial Unicode MS" w:hAnsi="Book Antiqua" w:cs="Arial Unicode MS"/>
                <w:b/>
                <w:i/>
                <w:color w:val="000000" w:themeColor="text1"/>
                <w:kern w:val="0"/>
                <w:sz w:val="24"/>
                <w:szCs w:val="24"/>
              </w:rPr>
              <w:t>RHOU</w:t>
            </w:r>
          </w:p>
        </w:tc>
        <w:tc>
          <w:tcPr>
            <w:tcW w:w="219" w:type="pct"/>
            <w:vMerge w:val="restart"/>
            <w:tcBorders>
              <w:top w:val="nil"/>
              <w:bottom w:val="nil"/>
            </w:tcBorders>
            <w:shd w:val="clear" w:color="auto" w:fill="auto"/>
            <w:noWrap/>
            <w:vAlign w:val="center"/>
            <w:hideMark/>
          </w:tcPr>
          <w:p w14:paraId="5F37C21E" w14:textId="77777777" w:rsidR="00A1284B" w:rsidRPr="00617F1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617F1C">
              <w:rPr>
                <w:rFonts w:ascii="Book Antiqua" w:eastAsia="Arial Unicode MS" w:hAnsi="Book Antiqua" w:cs="Arial Unicode MS"/>
                <w:b/>
                <w:i/>
                <w:color w:val="000000" w:themeColor="text1"/>
                <w:kern w:val="0"/>
                <w:sz w:val="24"/>
                <w:szCs w:val="24"/>
              </w:rPr>
              <w:t>TIMP1</w:t>
            </w:r>
          </w:p>
        </w:tc>
        <w:tc>
          <w:tcPr>
            <w:tcW w:w="235" w:type="pct"/>
            <w:vMerge w:val="restart"/>
            <w:tcBorders>
              <w:top w:val="nil"/>
              <w:bottom w:val="nil"/>
            </w:tcBorders>
            <w:shd w:val="clear" w:color="auto" w:fill="auto"/>
            <w:noWrap/>
            <w:vAlign w:val="center"/>
            <w:hideMark/>
          </w:tcPr>
          <w:p w14:paraId="791ED595" w14:textId="77777777" w:rsidR="00A1284B" w:rsidRPr="00617F1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617F1C">
              <w:rPr>
                <w:rFonts w:ascii="Book Antiqua" w:eastAsia="Arial Unicode MS" w:hAnsi="Book Antiqua" w:cs="Arial Unicode MS"/>
                <w:b/>
                <w:i/>
                <w:color w:val="000000" w:themeColor="text1"/>
                <w:kern w:val="0"/>
                <w:sz w:val="24"/>
                <w:szCs w:val="24"/>
              </w:rPr>
              <w:t>PHLDA1</w:t>
            </w:r>
          </w:p>
        </w:tc>
        <w:tc>
          <w:tcPr>
            <w:tcW w:w="235" w:type="pct"/>
            <w:vMerge w:val="restart"/>
            <w:tcBorders>
              <w:top w:val="nil"/>
              <w:bottom w:val="nil"/>
            </w:tcBorders>
            <w:shd w:val="clear" w:color="auto" w:fill="auto"/>
            <w:noWrap/>
            <w:vAlign w:val="center"/>
            <w:hideMark/>
          </w:tcPr>
          <w:p w14:paraId="2EF4A96B" w14:textId="77777777" w:rsidR="00A1284B" w:rsidRPr="00617F1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617F1C">
              <w:rPr>
                <w:rFonts w:ascii="Book Antiqua" w:eastAsia="Arial Unicode MS" w:hAnsi="Book Antiqua" w:cs="Arial Unicode MS"/>
                <w:b/>
                <w:i/>
                <w:color w:val="000000" w:themeColor="text1"/>
                <w:kern w:val="0"/>
                <w:sz w:val="24"/>
                <w:szCs w:val="24"/>
              </w:rPr>
              <w:t>IL36RN</w:t>
            </w:r>
          </w:p>
        </w:tc>
        <w:tc>
          <w:tcPr>
            <w:tcW w:w="219" w:type="pct"/>
            <w:vMerge w:val="restart"/>
            <w:tcBorders>
              <w:top w:val="nil"/>
              <w:bottom w:val="nil"/>
            </w:tcBorders>
            <w:shd w:val="clear" w:color="auto" w:fill="auto"/>
            <w:noWrap/>
            <w:vAlign w:val="center"/>
            <w:hideMark/>
          </w:tcPr>
          <w:p w14:paraId="7B14441C" w14:textId="77777777" w:rsidR="00A1284B" w:rsidRPr="00617F1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617F1C">
              <w:rPr>
                <w:rFonts w:ascii="Book Antiqua" w:eastAsia="Arial Unicode MS" w:hAnsi="Book Antiqua" w:cs="Arial Unicode MS"/>
                <w:b/>
                <w:i/>
                <w:color w:val="000000" w:themeColor="text1"/>
                <w:kern w:val="0"/>
                <w:sz w:val="24"/>
                <w:szCs w:val="24"/>
              </w:rPr>
              <w:t>SLAMF7</w:t>
            </w:r>
          </w:p>
        </w:tc>
        <w:tc>
          <w:tcPr>
            <w:tcW w:w="235" w:type="pct"/>
            <w:vMerge w:val="restart"/>
            <w:tcBorders>
              <w:top w:val="nil"/>
              <w:bottom w:val="nil"/>
            </w:tcBorders>
            <w:shd w:val="clear" w:color="auto" w:fill="auto"/>
            <w:noWrap/>
            <w:vAlign w:val="center"/>
            <w:hideMark/>
          </w:tcPr>
          <w:p w14:paraId="5385E8FF" w14:textId="77777777" w:rsidR="00A1284B" w:rsidRPr="00617F1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617F1C">
              <w:rPr>
                <w:rFonts w:ascii="Book Antiqua" w:eastAsia="Arial Unicode MS" w:hAnsi="Book Antiqua" w:cs="Arial Unicode MS"/>
                <w:b/>
                <w:i/>
                <w:color w:val="000000" w:themeColor="text1"/>
                <w:kern w:val="0"/>
                <w:sz w:val="24"/>
                <w:szCs w:val="24"/>
              </w:rPr>
              <w:t>E2F7</w:t>
            </w:r>
          </w:p>
        </w:tc>
        <w:tc>
          <w:tcPr>
            <w:tcW w:w="219" w:type="pct"/>
            <w:vMerge w:val="restart"/>
            <w:tcBorders>
              <w:top w:val="nil"/>
              <w:bottom w:val="nil"/>
            </w:tcBorders>
            <w:shd w:val="clear" w:color="auto" w:fill="auto"/>
            <w:noWrap/>
            <w:vAlign w:val="center"/>
            <w:hideMark/>
          </w:tcPr>
          <w:p w14:paraId="53485E2B" w14:textId="77777777" w:rsidR="00A1284B" w:rsidRPr="00617F1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617F1C">
              <w:rPr>
                <w:rFonts w:ascii="Book Antiqua" w:eastAsia="Arial Unicode MS" w:hAnsi="Book Antiqua" w:cs="Arial Unicode MS"/>
                <w:b/>
                <w:i/>
                <w:color w:val="000000" w:themeColor="text1"/>
                <w:kern w:val="0"/>
                <w:sz w:val="24"/>
                <w:szCs w:val="24"/>
              </w:rPr>
              <w:t>DTL</w:t>
            </w:r>
          </w:p>
        </w:tc>
        <w:tc>
          <w:tcPr>
            <w:tcW w:w="219" w:type="pct"/>
            <w:vMerge w:val="restart"/>
            <w:tcBorders>
              <w:top w:val="nil"/>
              <w:bottom w:val="nil"/>
            </w:tcBorders>
            <w:shd w:val="clear" w:color="auto" w:fill="auto"/>
            <w:noWrap/>
            <w:vAlign w:val="center"/>
            <w:hideMark/>
          </w:tcPr>
          <w:p w14:paraId="1A51882A" w14:textId="77777777" w:rsidR="00A1284B" w:rsidRPr="00617F1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617F1C">
              <w:rPr>
                <w:rFonts w:ascii="Book Antiqua" w:eastAsia="Arial Unicode MS" w:hAnsi="Book Antiqua" w:cs="Arial Unicode MS"/>
                <w:b/>
                <w:i/>
                <w:color w:val="000000" w:themeColor="text1"/>
                <w:kern w:val="0"/>
                <w:sz w:val="24"/>
                <w:szCs w:val="24"/>
              </w:rPr>
              <w:t>CFB</w:t>
            </w:r>
          </w:p>
        </w:tc>
        <w:tc>
          <w:tcPr>
            <w:tcW w:w="219" w:type="pct"/>
            <w:vMerge w:val="restart"/>
            <w:tcBorders>
              <w:top w:val="nil"/>
              <w:bottom w:val="nil"/>
            </w:tcBorders>
            <w:shd w:val="clear" w:color="auto" w:fill="auto"/>
            <w:noWrap/>
            <w:vAlign w:val="center"/>
            <w:hideMark/>
          </w:tcPr>
          <w:p w14:paraId="44E1865A" w14:textId="77777777" w:rsidR="00A1284B" w:rsidRPr="00617F1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617F1C">
              <w:rPr>
                <w:rFonts w:ascii="Book Antiqua" w:eastAsia="Arial Unicode MS" w:hAnsi="Book Antiqua" w:cs="Arial Unicode MS"/>
                <w:b/>
                <w:i/>
                <w:color w:val="000000" w:themeColor="text1"/>
                <w:kern w:val="0"/>
                <w:sz w:val="24"/>
                <w:szCs w:val="24"/>
              </w:rPr>
              <w:t>CDK1</w:t>
            </w:r>
          </w:p>
        </w:tc>
        <w:tc>
          <w:tcPr>
            <w:tcW w:w="252" w:type="pct"/>
            <w:vMerge w:val="restart"/>
            <w:tcBorders>
              <w:top w:val="nil"/>
              <w:bottom w:val="nil"/>
            </w:tcBorders>
            <w:shd w:val="clear" w:color="auto" w:fill="auto"/>
            <w:noWrap/>
            <w:vAlign w:val="center"/>
            <w:hideMark/>
          </w:tcPr>
          <w:p w14:paraId="1AEC1565" w14:textId="77777777" w:rsidR="00A1284B" w:rsidRPr="00617F1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617F1C">
              <w:rPr>
                <w:rFonts w:ascii="Book Antiqua" w:eastAsia="Arial Unicode MS" w:hAnsi="Book Antiqua" w:cs="Arial Unicode MS"/>
                <w:b/>
                <w:i/>
                <w:color w:val="000000" w:themeColor="text1"/>
                <w:kern w:val="0"/>
                <w:sz w:val="24"/>
                <w:szCs w:val="24"/>
              </w:rPr>
              <w:t>CXCL1</w:t>
            </w:r>
          </w:p>
        </w:tc>
        <w:tc>
          <w:tcPr>
            <w:tcW w:w="252" w:type="pct"/>
            <w:vMerge w:val="restart"/>
            <w:tcBorders>
              <w:top w:val="nil"/>
              <w:bottom w:val="nil"/>
            </w:tcBorders>
            <w:shd w:val="clear" w:color="auto" w:fill="auto"/>
            <w:noWrap/>
            <w:vAlign w:val="center"/>
            <w:hideMark/>
          </w:tcPr>
          <w:p w14:paraId="6DFD9057" w14:textId="77777777" w:rsidR="00A1284B" w:rsidRPr="00617F1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617F1C">
              <w:rPr>
                <w:rFonts w:ascii="Book Antiqua" w:eastAsia="Arial Unicode MS" w:hAnsi="Book Antiqua" w:cs="Arial Unicode MS"/>
                <w:b/>
                <w:i/>
                <w:color w:val="000000" w:themeColor="text1"/>
                <w:kern w:val="0"/>
                <w:sz w:val="24"/>
                <w:szCs w:val="24"/>
              </w:rPr>
              <w:t>CXCL3</w:t>
            </w:r>
          </w:p>
        </w:tc>
        <w:tc>
          <w:tcPr>
            <w:tcW w:w="219" w:type="pct"/>
            <w:vMerge w:val="restart"/>
            <w:tcBorders>
              <w:top w:val="nil"/>
              <w:bottom w:val="nil"/>
            </w:tcBorders>
            <w:shd w:val="clear" w:color="auto" w:fill="auto"/>
            <w:noWrap/>
            <w:vAlign w:val="center"/>
            <w:hideMark/>
          </w:tcPr>
          <w:p w14:paraId="339752D7" w14:textId="77777777" w:rsidR="00A1284B" w:rsidRPr="00617F1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617F1C">
              <w:rPr>
                <w:rFonts w:ascii="Book Antiqua" w:eastAsia="Arial Unicode MS" w:hAnsi="Book Antiqua" w:cs="Arial Unicode MS"/>
                <w:b/>
                <w:i/>
                <w:color w:val="000000" w:themeColor="text1"/>
                <w:kern w:val="0"/>
                <w:sz w:val="24"/>
                <w:szCs w:val="24"/>
              </w:rPr>
              <w:t>CKS2</w:t>
            </w:r>
          </w:p>
        </w:tc>
        <w:tc>
          <w:tcPr>
            <w:tcW w:w="252" w:type="pct"/>
            <w:vMerge w:val="restart"/>
            <w:tcBorders>
              <w:top w:val="nil"/>
              <w:bottom w:val="nil"/>
            </w:tcBorders>
            <w:shd w:val="clear" w:color="auto" w:fill="auto"/>
            <w:noWrap/>
            <w:vAlign w:val="center"/>
            <w:hideMark/>
          </w:tcPr>
          <w:p w14:paraId="4F51D80C" w14:textId="77777777" w:rsidR="00A1284B" w:rsidRPr="00617F1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617F1C">
              <w:rPr>
                <w:rFonts w:ascii="Book Antiqua" w:eastAsia="Arial Unicode MS" w:hAnsi="Book Antiqua" w:cs="Arial Unicode MS"/>
                <w:b/>
                <w:i/>
                <w:color w:val="000000" w:themeColor="text1"/>
                <w:kern w:val="0"/>
                <w:sz w:val="24"/>
                <w:szCs w:val="24"/>
              </w:rPr>
              <w:t>TREM1</w:t>
            </w:r>
          </w:p>
        </w:tc>
      </w:tr>
      <w:tr w:rsidR="00617F1C" w:rsidRPr="00B43A8C" w14:paraId="1AB04942" w14:textId="77777777" w:rsidTr="00617F1C">
        <w:trPr>
          <w:trHeight w:val="240"/>
        </w:trPr>
        <w:tc>
          <w:tcPr>
            <w:tcW w:w="388" w:type="pct"/>
            <w:tcBorders>
              <w:top w:val="nil"/>
              <w:bottom w:val="single" w:sz="4" w:space="0" w:color="auto"/>
            </w:tcBorders>
            <w:shd w:val="clear" w:color="auto" w:fill="auto"/>
            <w:noWrap/>
            <w:vAlign w:val="center"/>
            <w:hideMark/>
          </w:tcPr>
          <w:p w14:paraId="79BC6590" w14:textId="77777777" w:rsidR="00A1284B" w:rsidRPr="00CC6209" w:rsidRDefault="00A1284B" w:rsidP="00CC6209">
            <w:pPr>
              <w:widowControl/>
              <w:wordWrap/>
              <w:autoSpaceDE/>
              <w:autoSpaceDN/>
              <w:adjustRightInd w:val="0"/>
              <w:snapToGrid w:val="0"/>
              <w:spacing w:line="360" w:lineRule="auto"/>
              <w:rPr>
                <w:rFonts w:ascii="Book Antiqua" w:eastAsia="Arial Unicode MS" w:hAnsi="Book Antiqua" w:cs="Arial Unicode MS"/>
                <w:b/>
                <w:color w:val="000000" w:themeColor="text1"/>
                <w:kern w:val="0"/>
                <w:sz w:val="24"/>
                <w:szCs w:val="24"/>
              </w:rPr>
            </w:pPr>
            <w:r w:rsidRPr="00CC6209">
              <w:rPr>
                <w:rFonts w:ascii="Book Antiqua" w:eastAsia="Arial Unicode MS" w:hAnsi="Book Antiqua" w:cs="Arial Unicode MS"/>
                <w:b/>
                <w:color w:val="000000" w:themeColor="text1"/>
                <w:kern w:val="0"/>
                <w:sz w:val="24"/>
                <w:szCs w:val="24"/>
              </w:rPr>
              <w:t>(No. of patients)</w:t>
            </w:r>
          </w:p>
        </w:tc>
        <w:tc>
          <w:tcPr>
            <w:tcW w:w="260" w:type="pct"/>
            <w:vMerge/>
            <w:tcBorders>
              <w:top w:val="nil"/>
              <w:bottom w:val="single" w:sz="4" w:space="0" w:color="auto"/>
            </w:tcBorders>
            <w:shd w:val="clear" w:color="auto" w:fill="auto"/>
            <w:vAlign w:val="center"/>
            <w:hideMark/>
          </w:tcPr>
          <w:p w14:paraId="4B914CC8" w14:textId="77777777" w:rsidR="00A1284B" w:rsidRPr="00B43A8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196" w:type="pct"/>
            <w:vMerge/>
            <w:tcBorders>
              <w:top w:val="nil"/>
              <w:bottom w:val="single" w:sz="4" w:space="0" w:color="auto"/>
            </w:tcBorders>
            <w:shd w:val="clear" w:color="auto" w:fill="auto"/>
            <w:vAlign w:val="center"/>
            <w:hideMark/>
          </w:tcPr>
          <w:p w14:paraId="203B7E15" w14:textId="77777777" w:rsidR="00A1284B" w:rsidRPr="00B43A8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19" w:type="pct"/>
            <w:vMerge/>
            <w:tcBorders>
              <w:top w:val="nil"/>
              <w:bottom w:val="single" w:sz="4" w:space="0" w:color="auto"/>
            </w:tcBorders>
            <w:shd w:val="clear" w:color="auto" w:fill="auto"/>
            <w:vAlign w:val="center"/>
            <w:hideMark/>
          </w:tcPr>
          <w:p w14:paraId="2560B4E9" w14:textId="77777777" w:rsidR="00A1284B" w:rsidRPr="00B43A8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35" w:type="pct"/>
            <w:vMerge/>
            <w:tcBorders>
              <w:top w:val="nil"/>
              <w:bottom w:val="single" w:sz="4" w:space="0" w:color="auto"/>
            </w:tcBorders>
            <w:shd w:val="clear" w:color="auto" w:fill="auto"/>
            <w:vAlign w:val="center"/>
            <w:hideMark/>
          </w:tcPr>
          <w:p w14:paraId="0A091ADA" w14:textId="77777777" w:rsidR="00A1284B" w:rsidRPr="00B43A8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19" w:type="pct"/>
            <w:vMerge/>
            <w:tcBorders>
              <w:top w:val="nil"/>
              <w:bottom w:val="single" w:sz="4" w:space="0" w:color="auto"/>
            </w:tcBorders>
            <w:shd w:val="clear" w:color="auto" w:fill="auto"/>
            <w:vAlign w:val="center"/>
            <w:hideMark/>
          </w:tcPr>
          <w:p w14:paraId="1A57C642" w14:textId="77777777" w:rsidR="00A1284B" w:rsidRPr="00B43A8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35" w:type="pct"/>
            <w:vMerge/>
            <w:tcBorders>
              <w:top w:val="nil"/>
              <w:bottom w:val="single" w:sz="4" w:space="0" w:color="auto"/>
            </w:tcBorders>
            <w:shd w:val="clear" w:color="auto" w:fill="auto"/>
            <w:vAlign w:val="center"/>
            <w:hideMark/>
          </w:tcPr>
          <w:p w14:paraId="345D9A22" w14:textId="77777777" w:rsidR="00A1284B" w:rsidRPr="00B43A8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52" w:type="pct"/>
            <w:vMerge/>
            <w:tcBorders>
              <w:top w:val="nil"/>
              <w:bottom w:val="single" w:sz="4" w:space="0" w:color="auto"/>
            </w:tcBorders>
            <w:shd w:val="clear" w:color="auto" w:fill="auto"/>
            <w:vAlign w:val="center"/>
            <w:hideMark/>
          </w:tcPr>
          <w:p w14:paraId="05EEE11F" w14:textId="77777777" w:rsidR="00A1284B" w:rsidRPr="00B43A8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19" w:type="pct"/>
            <w:vMerge/>
            <w:tcBorders>
              <w:top w:val="nil"/>
              <w:bottom w:val="single" w:sz="4" w:space="0" w:color="auto"/>
            </w:tcBorders>
            <w:shd w:val="clear" w:color="auto" w:fill="auto"/>
            <w:vAlign w:val="center"/>
            <w:hideMark/>
          </w:tcPr>
          <w:p w14:paraId="383F22C7" w14:textId="77777777" w:rsidR="00A1284B" w:rsidRPr="00B43A8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19" w:type="pct"/>
            <w:vMerge/>
            <w:tcBorders>
              <w:top w:val="nil"/>
              <w:bottom w:val="single" w:sz="4" w:space="0" w:color="auto"/>
            </w:tcBorders>
            <w:shd w:val="clear" w:color="auto" w:fill="auto"/>
            <w:vAlign w:val="center"/>
            <w:hideMark/>
          </w:tcPr>
          <w:p w14:paraId="6925EED4" w14:textId="77777777" w:rsidR="00A1284B" w:rsidRPr="00B43A8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35" w:type="pct"/>
            <w:vMerge/>
            <w:tcBorders>
              <w:top w:val="nil"/>
              <w:bottom w:val="single" w:sz="4" w:space="0" w:color="auto"/>
            </w:tcBorders>
            <w:shd w:val="clear" w:color="auto" w:fill="auto"/>
            <w:vAlign w:val="center"/>
            <w:hideMark/>
          </w:tcPr>
          <w:p w14:paraId="6F48203E" w14:textId="77777777" w:rsidR="00A1284B" w:rsidRPr="00B43A8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35" w:type="pct"/>
            <w:vMerge/>
            <w:tcBorders>
              <w:top w:val="nil"/>
              <w:bottom w:val="single" w:sz="4" w:space="0" w:color="auto"/>
            </w:tcBorders>
            <w:shd w:val="clear" w:color="auto" w:fill="auto"/>
            <w:vAlign w:val="center"/>
            <w:hideMark/>
          </w:tcPr>
          <w:p w14:paraId="3D09D393" w14:textId="77777777" w:rsidR="00A1284B" w:rsidRPr="00B43A8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19" w:type="pct"/>
            <w:vMerge/>
            <w:tcBorders>
              <w:top w:val="nil"/>
              <w:bottom w:val="single" w:sz="4" w:space="0" w:color="auto"/>
            </w:tcBorders>
            <w:shd w:val="clear" w:color="auto" w:fill="auto"/>
            <w:vAlign w:val="center"/>
            <w:hideMark/>
          </w:tcPr>
          <w:p w14:paraId="3D067B5B" w14:textId="77777777" w:rsidR="00A1284B" w:rsidRPr="00B43A8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35" w:type="pct"/>
            <w:vMerge/>
            <w:tcBorders>
              <w:top w:val="nil"/>
              <w:bottom w:val="single" w:sz="4" w:space="0" w:color="auto"/>
            </w:tcBorders>
            <w:shd w:val="clear" w:color="auto" w:fill="auto"/>
            <w:vAlign w:val="center"/>
            <w:hideMark/>
          </w:tcPr>
          <w:p w14:paraId="3CB71A71" w14:textId="77777777" w:rsidR="00A1284B" w:rsidRPr="00B43A8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19" w:type="pct"/>
            <w:vMerge/>
            <w:tcBorders>
              <w:top w:val="nil"/>
              <w:bottom w:val="single" w:sz="4" w:space="0" w:color="auto"/>
            </w:tcBorders>
            <w:shd w:val="clear" w:color="auto" w:fill="auto"/>
            <w:vAlign w:val="center"/>
            <w:hideMark/>
          </w:tcPr>
          <w:p w14:paraId="577E265C" w14:textId="77777777" w:rsidR="00A1284B" w:rsidRPr="00B43A8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19" w:type="pct"/>
            <w:vMerge/>
            <w:tcBorders>
              <w:top w:val="nil"/>
              <w:bottom w:val="single" w:sz="4" w:space="0" w:color="auto"/>
            </w:tcBorders>
            <w:shd w:val="clear" w:color="auto" w:fill="auto"/>
            <w:vAlign w:val="center"/>
            <w:hideMark/>
          </w:tcPr>
          <w:p w14:paraId="1D9271F0" w14:textId="77777777" w:rsidR="00A1284B" w:rsidRPr="00B43A8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19" w:type="pct"/>
            <w:vMerge/>
            <w:tcBorders>
              <w:top w:val="nil"/>
              <w:bottom w:val="single" w:sz="4" w:space="0" w:color="auto"/>
            </w:tcBorders>
            <w:shd w:val="clear" w:color="auto" w:fill="auto"/>
            <w:vAlign w:val="center"/>
            <w:hideMark/>
          </w:tcPr>
          <w:p w14:paraId="1629C7DA" w14:textId="77777777" w:rsidR="00A1284B" w:rsidRPr="00B43A8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52" w:type="pct"/>
            <w:vMerge/>
            <w:tcBorders>
              <w:top w:val="nil"/>
              <w:bottom w:val="single" w:sz="4" w:space="0" w:color="auto"/>
            </w:tcBorders>
            <w:shd w:val="clear" w:color="auto" w:fill="auto"/>
            <w:vAlign w:val="center"/>
            <w:hideMark/>
          </w:tcPr>
          <w:p w14:paraId="5BE4AA7E" w14:textId="77777777" w:rsidR="00A1284B" w:rsidRPr="00B43A8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52" w:type="pct"/>
            <w:vMerge/>
            <w:tcBorders>
              <w:top w:val="nil"/>
              <w:bottom w:val="single" w:sz="4" w:space="0" w:color="auto"/>
            </w:tcBorders>
            <w:shd w:val="clear" w:color="auto" w:fill="auto"/>
            <w:vAlign w:val="center"/>
            <w:hideMark/>
          </w:tcPr>
          <w:p w14:paraId="6E6D9BBB" w14:textId="77777777" w:rsidR="00A1284B" w:rsidRPr="00B43A8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19" w:type="pct"/>
            <w:vMerge/>
            <w:tcBorders>
              <w:top w:val="nil"/>
              <w:bottom w:val="single" w:sz="4" w:space="0" w:color="auto"/>
            </w:tcBorders>
            <w:shd w:val="clear" w:color="auto" w:fill="auto"/>
            <w:vAlign w:val="center"/>
            <w:hideMark/>
          </w:tcPr>
          <w:p w14:paraId="7DFC4DB7" w14:textId="77777777" w:rsidR="00A1284B" w:rsidRPr="00B43A8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52" w:type="pct"/>
            <w:vMerge/>
            <w:tcBorders>
              <w:top w:val="nil"/>
              <w:bottom w:val="single" w:sz="4" w:space="0" w:color="auto"/>
            </w:tcBorders>
            <w:shd w:val="clear" w:color="auto" w:fill="auto"/>
            <w:vAlign w:val="center"/>
            <w:hideMark/>
          </w:tcPr>
          <w:p w14:paraId="533E5E30" w14:textId="77777777" w:rsidR="00A1284B" w:rsidRPr="00B43A8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r>
      <w:tr w:rsidR="00617F1C" w:rsidRPr="00B43A8C" w14:paraId="4708C1D0" w14:textId="77777777" w:rsidTr="00617F1C">
        <w:trPr>
          <w:trHeight w:val="240"/>
        </w:trPr>
        <w:tc>
          <w:tcPr>
            <w:tcW w:w="388" w:type="pct"/>
            <w:tcBorders>
              <w:top w:val="single" w:sz="4" w:space="0" w:color="auto"/>
            </w:tcBorders>
            <w:shd w:val="clear" w:color="auto" w:fill="auto"/>
            <w:noWrap/>
            <w:vAlign w:val="center"/>
            <w:hideMark/>
          </w:tcPr>
          <w:p w14:paraId="77F71914" w14:textId="77777777" w:rsidR="00A1284B" w:rsidRPr="00B43A8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Mean ± SEM of 2</w:t>
            </w:r>
            <w:r w:rsidRPr="00B43A8C">
              <w:rPr>
                <w:rFonts w:ascii="Book Antiqua" w:eastAsia="Arial Unicode MS" w:hAnsi="Book Antiqua" w:cs="Arial Unicode MS"/>
                <w:color w:val="000000" w:themeColor="text1"/>
                <w:kern w:val="0"/>
                <w:sz w:val="24"/>
                <w:szCs w:val="24"/>
                <w:vertAlign w:val="superscript"/>
              </w:rPr>
              <w:t>ΔΔ</w:t>
            </w:r>
            <w:r w:rsidRPr="00B43A8C">
              <w:rPr>
                <w:rFonts w:ascii="Book Antiqua" w:eastAsia="Arial Unicode MS" w:hAnsi="Book Antiqua" w:cs="Arial Unicode MS"/>
                <w:color w:val="000000" w:themeColor="text1"/>
                <w:kern w:val="0"/>
                <w:sz w:val="24"/>
                <w:szCs w:val="24"/>
              </w:rPr>
              <w:t>CT</w:t>
            </w:r>
          </w:p>
        </w:tc>
        <w:tc>
          <w:tcPr>
            <w:tcW w:w="260" w:type="pct"/>
            <w:tcBorders>
              <w:top w:val="single" w:sz="4" w:space="0" w:color="auto"/>
            </w:tcBorders>
            <w:shd w:val="clear" w:color="auto" w:fill="auto"/>
            <w:noWrap/>
            <w:vAlign w:val="center"/>
            <w:hideMark/>
          </w:tcPr>
          <w:p w14:paraId="5D8A05A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0.78 ± 0.74</w:t>
            </w:r>
          </w:p>
        </w:tc>
        <w:tc>
          <w:tcPr>
            <w:tcW w:w="196" w:type="pct"/>
            <w:tcBorders>
              <w:top w:val="single" w:sz="4" w:space="0" w:color="auto"/>
            </w:tcBorders>
            <w:shd w:val="clear" w:color="auto" w:fill="auto"/>
            <w:noWrap/>
            <w:vAlign w:val="center"/>
            <w:hideMark/>
          </w:tcPr>
          <w:p w14:paraId="1306EAF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1.45 ± 4.23</w:t>
            </w:r>
          </w:p>
        </w:tc>
        <w:tc>
          <w:tcPr>
            <w:tcW w:w="219" w:type="pct"/>
            <w:tcBorders>
              <w:top w:val="single" w:sz="4" w:space="0" w:color="auto"/>
            </w:tcBorders>
            <w:shd w:val="clear" w:color="auto" w:fill="auto"/>
            <w:noWrap/>
            <w:vAlign w:val="center"/>
            <w:hideMark/>
          </w:tcPr>
          <w:p w14:paraId="0B70309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1.64 ± 6.03</w:t>
            </w:r>
          </w:p>
        </w:tc>
        <w:tc>
          <w:tcPr>
            <w:tcW w:w="235" w:type="pct"/>
            <w:tcBorders>
              <w:top w:val="single" w:sz="4" w:space="0" w:color="auto"/>
            </w:tcBorders>
            <w:shd w:val="clear" w:color="auto" w:fill="auto"/>
            <w:noWrap/>
            <w:vAlign w:val="center"/>
            <w:hideMark/>
          </w:tcPr>
          <w:p w14:paraId="6A05C3AF"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3.24 ± 10.88</w:t>
            </w:r>
          </w:p>
        </w:tc>
        <w:tc>
          <w:tcPr>
            <w:tcW w:w="219" w:type="pct"/>
            <w:tcBorders>
              <w:top w:val="single" w:sz="4" w:space="0" w:color="auto"/>
            </w:tcBorders>
            <w:shd w:val="clear" w:color="auto" w:fill="auto"/>
            <w:noWrap/>
            <w:vAlign w:val="center"/>
            <w:hideMark/>
          </w:tcPr>
          <w:p w14:paraId="7A3109C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1.23 ± 1.66</w:t>
            </w:r>
          </w:p>
        </w:tc>
        <w:tc>
          <w:tcPr>
            <w:tcW w:w="235" w:type="pct"/>
            <w:tcBorders>
              <w:top w:val="single" w:sz="4" w:space="0" w:color="auto"/>
            </w:tcBorders>
            <w:shd w:val="clear" w:color="auto" w:fill="auto"/>
            <w:noWrap/>
            <w:vAlign w:val="center"/>
            <w:hideMark/>
          </w:tcPr>
          <w:p w14:paraId="46521FF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8.19 ± 22.49</w:t>
            </w:r>
          </w:p>
        </w:tc>
        <w:tc>
          <w:tcPr>
            <w:tcW w:w="252" w:type="pct"/>
            <w:tcBorders>
              <w:top w:val="single" w:sz="4" w:space="0" w:color="auto"/>
            </w:tcBorders>
            <w:shd w:val="clear" w:color="auto" w:fill="auto"/>
            <w:noWrap/>
            <w:vAlign w:val="center"/>
            <w:hideMark/>
          </w:tcPr>
          <w:p w14:paraId="57A22C5D"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10.39 ± 35.49</w:t>
            </w:r>
          </w:p>
        </w:tc>
        <w:tc>
          <w:tcPr>
            <w:tcW w:w="219" w:type="pct"/>
            <w:tcBorders>
              <w:top w:val="single" w:sz="4" w:space="0" w:color="auto"/>
            </w:tcBorders>
            <w:shd w:val="clear" w:color="auto" w:fill="auto"/>
            <w:noWrap/>
            <w:vAlign w:val="center"/>
            <w:hideMark/>
          </w:tcPr>
          <w:p w14:paraId="038CC48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1.01 ± 1.59</w:t>
            </w:r>
          </w:p>
        </w:tc>
        <w:tc>
          <w:tcPr>
            <w:tcW w:w="219" w:type="pct"/>
            <w:tcBorders>
              <w:top w:val="single" w:sz="4" w:space="0" w:color="auto"/>
            </w:tcBorders>
            <w:shd w:val="clear" w:color="auto" w:fill="auto"/>
            <w:noWrap/>
            <w:vAlign w:val="center"/>
            <w:hideMark/>
          </w:tcPr>
          <w:p w14:paraId="4A5B3EBD"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2.90 ± 2.79</w:t>
            </w:r>
          </w:p>
        </w:tc>
        <w:tc>
          <w:tcPr>
            <w:tcW w:w="235" w:type="pct"/>
            <w:tcBorders>
              <w:top w:val="single" w:sz="4" w:space="0" w:color="auto"/>
            </w:tcBorders>
            <w:shd w:val="clear" w:color="auto" w:fill="auto"/>
            <w:noWrap/>
            <w:vAlign w:val="center"/>
            <w:hideMark/>
          </w:tcPr>
          <w:p w14:paraId="2982A32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5.49 ± 14.95</w:t>
            </w:r>
          </w:p>
        </w:tc>
        <w:tc>
          <w:tcPr>
            <w:tcW w:w="235" w:type="pct"/>
            <w:tcBorders>
              <w:top w:val="single" w:sz="4" w:space="0" w:color="auto"/>
            </w:tcBorders>
            <w:shd w:val="clear" w:color="auto" w:fill="auto"/>
            <w:noWrap/>
            <w:vAlign w:val="center"/>
            <w:hideMark/>
          </w:tcPr>
          <w:p w14:paraId="13B964B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4.40 ± 15.22</w:t>
            </w:r>
          </w:p>
        </w:tc>
        <w:tc>
          <w:tcPr>
            <w:tcW w:w="219" w:type="pct"/>
            <w:tcBorders>
              <w:top w:val="single" w:sz="4" w:space="0" w:color="auto"/>
            </w:tcBorders>
            <w:shd w:val="clear" w:color="auto" w:fill="auto"/>
            <w:noWrap/>
            <w:vAlign w:val="center"/>
            <w:hideMark/>
          </w:tcPr>
          <w:p w14:paraId="4A5867C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1.17 ± 5.10</w:t>
            </w:r>
          </w:p>
        </w:tc>
        <w:tc>
          <w:tcPr>
            <w:tcW w:w="235" w:type="pct"/>
            <w:tcBorders>
              <w:top w:val="single" w:sz="4" w:space="0" w:color="auto"/>
            </w:tcBorders>
            <w:shd w:val="clear" w:color="auto" w:fill="auto"/>
            <w:noWrap/>
            <w:vAlign w:val="center"/>
            <w:hideMark/>
          </w:tcPr>
          <w:p w14:paraId="3C927E8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9.84 ± 34.23</w:t>
            </w:r>
          </w:p>
        </w:tc>
        <w:tc>
          <w:tcPr>
            <w:tcW w:w="219" w:type="pct"/>
            <w:tcBorders>
              <w:top w:val="single" w:sz="4" w:space="0" w:color="auto"/>
            </w:tcBorders>
            <w:shd w:val="clear" w:color="auto" w:fill="auto"/>
            <w:noWrap/>
            <w:vAlign w:val="center"/>
            <w:hideMark/>
          </w:tcPr>
          <w:p w14:paraId="5B0D128D"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2.46 ± 4.68</w:t>
            </w:r>
          </w:p>
        </w:tc>
        <w:tc>
          <w:tcPr>
            <w:tcW w:w="219" w:type="pct"/>
            <w:tcBorders>
              <w:top w:val="single" w:sz="4" w:space="0" w:color="auto"/>
            </w:tcBorders>
            <w:shd w:val="clear" w:color="auto" w:fill="auto"/>
            <w:noWrap/>
            <w:vAlign w:val="center"/>
            <w:hideMark/>
          </w:tcPr>
          <w:p w14:paraId="1F8DA1B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3.29 ± 5.62</w:t>
            </w:r>
          </w:p>
        </w:tc>
        <w:tc>
          <w:tcPr>
            <w:tcW w:w="219" w:type="pct"/>
            <w:tcBorders>
              <w:top w:val="single" w:sz="4" w:space="0" w:color="auto"/>
            </w:tcBorders>
            <w:shd w:val="clear" w:color="auto" w:fill="auto"/>
            <w:noWrap/>
            <w:vAlign w:val="center"/>
            <w:hideMark/>
          </w:tcPr>
          <w:p w14:paraId="1780971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2.94 ± 6.51</w:t>
            </w:r>
          </w:p>
        </w:tc>
        <w:tc>
          <w:tcPr>
            <w:tcW w:w="252" w:type="pct"/>
            <w:tcBorders>
              <w:top w:val="single" w:sz="4" w:space="0" w:color="auto"/>
            </w:tcBorders>
            <w:shd w:val="clear" w:color="auto" w:fill="auto"/>
            <w:noWrap/>
            <w:vAlign w:val="center"/>
            <w:hideMark/>
          </w:tcPr>
          <w:p w14:paraId="3B30D8A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22.76 ± 75.79</w:t>
            </w:r>
          </w:p>
        </w:tc>
        <w:tc>
          <w:tcPr>
            <w:tcW w:w="252" w:type="pct"/>
            <w:tcBorders>
              <w:top w:val="single" w:sz="4" w:space="0" w:color="auto"/>
            </w:tcBorders>
            <w:shd w:val="clear" w:color="auto" w:fill="auto"/>
            <w:noWrap/>
            <w:vAlign w:val="center"/>
            <w:hideMark/>
          </w:tcPr>
          <w:p w14:paraId="5BF5025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30.55 ± 76.03</w:t>
            </w:r>
          </w:p>
        </w:tc>
        <w:tc>
          <w:tcPr>
            <w:tcW w:w="219" w:type="pct"/>
            <w:tcBorders>
              <w:top w:val="single" w:sz="4" w:space="0" w:color="auto"/>
            </w:tcBorders>
            <w:shd w:val="clear" w:color="auto" w:fill="auto"/>
            <w:noWrap/>
            <w:vAlign w:val="center"/>
            <w:hideMark/>
          </w:tcPr>
          <w:p w14:paraId="6168BFB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2.65 ± 4.14</w:t>
            </w:r>
          </w:p>
        </w:tc>
        <w:tc>
          <w:tcPr>
            <w:tcW w:w="252" w:type="pct"/>
            <w:tcBorders>
              <w:top w:val="single" w:sz="4" w:space="0" w:color="auto"/>
            </w:tcBorders>
            <w:shd w:val="clear" w:color="auto" w:fill="auto"/>
            <w:noWrap/>
            <w:vAlign w:val="center"/>
            <w:hideMark/>
          </w:tcPr>
          <w:p w14:paraId="0A8FBB1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14.14 ± 71.65</w:t>
            </w:r>
          </w:p>
        </w:tc>
      </w:tr>
      <w:tr w:rsidR="00617F1C" w:rsidRPr="00B43A8C" w14:paraId="57466FE6" w14:textId="77777777" w:rsidTr="00617F1C">
        <w:trPr>
          <w:trHeight w:val="240"/>
        </w:trPr>
        <w:tc>
          <w:tcPr>
            <w:tcW w:w="388" w:type="pct"/>
            <w:shd w:val="clear" w:color="auto" w:fill="auto"/>
            <w:noWrap/>
            <w:vAlign w:val="center"/>
            <w:hideMark/>
          </w:tcPr>
          <w:p w14:paraId="36001058" w14:textId="39C46F47" w:rsidR="00A1284B" w:rsidRPr="00B43A8C" w:rsidRDefault="00CC6209"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Pr>
                <w:rFonts w:ascii="Book Antiqua" w:eastAsia="Arial Unicode MS" w:hAnsi="Book Antiqua" w:cs="Arial Unicode MS"/>
                <w:color w:val="000000" w:themeColor="text1"/>
                <w:kern w:val="0"/>
                <w:sz w:val="24"/>
                <w:szCs w:val="24"/>
              </w:rPr>
              <w:t>Sex</w:t>
            </w:r>
          </w:p>
        </w:tc>
        <w:tc>
          <w:tcPr>
            <w:tcW w:w="260" w:type="pct"/>
            <w:shd w:val="clear" w:color="auto" w:fill="auto"/>
            <w:noWrap/>
            <w:vAlign w:val="center"/>
            <w:hideMark/>
          </w:tcPr>
          <w:p w14:paraId="3B7FDA42"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25.9/24.2</w:t>
            </w:r>
          </w:p>
        </w:tc>
        <w:tc>
          <w:tcPr>
            <w:tcW w:w="196" w:type="pct"/>
            <w:shd w:val="clear" w:color="auto" w:fill="auto"/>
            <w:noWrap/>
            <w:vAlign w:val="center"/>
            <w:hideMark/>
          </w:tcPr>
          <w:p w14:paraId="32E4EB1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25.9/27.3</w:t>
            </w:r>
          </w:p>
        </w:tc>
        <w:tc>
          <w:tcPr>
            <w:tcW w:w="219" w:type="pct"/>
            <w:shd w:val="clear" w:color="auto" w:fill="auto"/>
            <w:noWrap/>
            <w:vAlign w:val="center"/>
            <w:hideMark/>
          </w:tcPr>
          <w:p w14:paraId="131BDEC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22.2/15.2</w:t>
            </w:r>
          </w:p>
        </w:tc>
        <w:tc>
          <w:tcPr>
            <w:tcW w:w="235" w:type="pct"/>
            <w:shd w:val="clear" w:color="auto" w:fill="auto"/>
            <w:noWrap/>
            <w:vAlign w:val="center"/>
            <w:hideMark/>
          </w:tcPr>
          <w:p w14:paraId="2F3D15D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33.3/39.4</w:t>
            </w:r>
          </w:p>
        </w:tc>
        <w:tc>
          <w:tcPr>
            <w:tcW w:w="219" w:type="pct"/>
            <w:shd w:val="clear" w:color="auto" w:fill="auto"/>
            <w:noWrap/>
            <w:vAlign w:val="center"/>
            <w:hideMark/>
          </w:tcPr>
          <w:p w14:paraId="557C75E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37.0/36.4</w:t>
            </w:r>
          </w:p>
        </w:tc>
        <w:tc>
          <w:tcPr>
            <w:tcW w:w="235" w:type="pct"/>
            <w:shd w:val="clear" w:color="auto" w:fill="auto"/>
            <w:noWrap/>
            <w:vAlign w:val="center"/>
            <w:hideMark/>
          </w:tcPr>
          <w:p w14:paraId="22C42F1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74.1/81.8</w:t>
            </w:r>
          </w:p>
        </w:tc>
        <w:tc>
          <w:tcPr>
            <w:tcW w:w="252" w:type="pct"/>
            <w:shd w:val="clear" w:color="auto" w:fill="auto"/>
            <w:noWrap/>
            <w:vAlign w:val="center"/>
            <w:hideMark/>
          </w:tcPr>
          <w:p w14:paraId="5B4EFE6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81.5/69.7</w:t>
            </w:r>
          </w:p>
        </w:tc>
        <w:tc>
          <w:tcPr>
            <w:tcW w:w="219" w:type="pct"/>
            <w:shd w:val="clear" w:color="auto" w:fill="auto"/>
            <w:noWrap/>
            <w:vAlign w:val="center"/>
            <w:hideMark/>
          </w:tcPr>
          <w:p w14:paraId="0081F9E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33.3/24.2</w:t>
            </w:r>
          </w:p>
        </w:tc>
        <w:tc>
          <w:tcPr>
            <w:tcW w:w="219" w:type="pct"/>
            <w:shd w:val="clear" w:color="auto" w:fill="auto"/>
            <w:noWrap/>
            <w:vAlign w:val="center"/>
            <w:hideMark/>
          </w:tcPr>
          <w:p w14:paraId="155DCA6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74.1/75.8</w:t>
            </w:r>
          </w:p>
        </w:tc>
        <w:tc>
          <w:tcPr>
            <w:tcW w:w="235" w:type="pct"/>
            <w:shd w:val="clear" w:color="auto" w:fill="auto"/>
            <w:noWrap/>
            <w:vAlign w:val="center"/>
            <w:hideMark/>
          </w:tcPr>
          <w:p w14:paraId="4A2A619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63.0/66.7</w:t>
            </w:r>
          </w:p>
        </w:tc>
        <w:tc>
          <w:tcPr>
            <w:tcW w:w="235" w:type="pct"/>
            <w:shd w:val="clear" w:color="auto" w:fill="auto"/>
            <w:noWrap/>
            <w:vAlign w:val="center"/>
            <w:hideMark/>
          </w:tcPr>
          <w:p w14:paraId="56EF3F4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33.3/42.4</w:t>
            </w:r>
          </w:p>
        </w:tc>
        <w:tc>
          <w:tcPr>
            <w:tcW w:w="219" w:type="pct"/>
            <w:shd w:val="clear" w:color="auto" w:fill="auto"/>
            <w:noWrap/>
            <w:vAlign w:val="center"/>
            <w:hideMark/>
          </w:tcPr>
          <w:p w14:paraId="335B5F5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3.7/18.2</w:t>
            </w:r>
          </w:p>
        </w:tc>
        <w:tc>
          <w:tcPr>
            <w:tcW w:w="235" w:type="pct"/>
            <w:shd w:val="clear" w:color="auto" w:fill="auto"/>
            <w:noWrap/>
            <w:vAlign w:val="center"/>
            <w:hideMark/>
          </w:tcPr>
          <w:p w14:paraId="53661AB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85.2/84.8</w:t>
            </w:r>
          </w:p>
        </w:tc>
        <w:tc>
          <w:tcPr>
            <w:tcW w:w="219" w:type="pct"/>
            <w:shd w:val="clear" w:color="auto" w:fill="auto"/>
            <w:noWrap/>
            <w:vAlign w:val="center"/>
            <w:hideMark/>
          </w:tcPr>
          <w:p w14:paraId="0F1BFDE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44.4/60.6</w:t>
            </w:r>
          </w:p>
        </w:tc>
        <w:tc>
          <w:tcPr>
            <w:tcW w:w="219" w:type="pct"/>
            <w:shd w:val="clear" w:color="auto" w:fill="auto"/>
            <w:noWrap/>
            <w:vAlign w:val="center"/>
            <w:hideMark/>
          </w:tcPr>
          <w:p w14:paraId="3FE95B5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70.4/69.7</w:t>
            </w:r>
          </w:p>
        </w:tc>
        <w:tc>
          <w:tcPr>
            <w:tcW w:w="219" w:type="pct"/>
            <w:shd w:val="clear" w:color="auto" w:fill="auto"/>
            <w:noWrap/>
            <w:vAlign w:val="center"/>
            <w:hideMark/>
          </w:tcPr>
          <w:p w14:paraId="766113A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51.9/60.6</w:t>
            </w:r>
          </w:p>
        </w:tc>
        <w:tc>
          <w:tcPr>
            <w:tcW w:w="252" w:type="pct"/>
            <w:shd w:val="clear" w:color="auto" w:fill="auto"/>
            <w:noWrap/>
            <w:vAlign w:val="center"/>
            <w:hideMark/>
          </w:tcPr>
          <w:p w14:paraId="053CF19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92.6/78.8</w:t>
            </w:r>
          </w:p>
        </w:tc>
        <w:tc>
          <w:tcPr>
            <w:tcW w:w="252" w:type="pct"/>
            <w:shd w:val="clear" w:color="auto" w:fill="auto"/>
            <w:noWrap/>
            <w:vAlign w:val="center"/>
            <w:hideMark/>
          </w:tcPr>
          <w:p w14:paraId="0E0C558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96.3/84.8</w:t>
            </w:r>
          </w:p>
        </w:tc>
        <w:tc>
          <w:tcPr>
            <w:tcW w:w="219" w:type="pct"/>
            <w:shd w:val="clear" w:color="auto" w:fill="auto"/>
            <w:noWrap/>
            <w:vAlign w:val="center"/>
            <w:hideMark/>
          </w:tcPr>
          <w:p w14:paraId="0A397CE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55.6/75.8</w:t>
            </w:r>
          </w:p>
        </w:tc>
        <w:tc>
          <w:tcPr>
            <w:tcW w:w="252" w:type="pct"/>
            <w:shd w:val="clear" w:color="auto" w:fill="auto"/>
            <w:noWrap/>
            <w:vAlign w:val="center"/>
            <w:hideMark/>
          </w:tcPr>
          <w:p w14:paraId="5A7861A2"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29.6/42.4</w:t>
            </w:r>
          </w:p>
        </w:tc>
      </w:tr>
      <w:tr w:rsidR="00617F1C" w:rsidRPr="00B43A8C" w14:paraId="20D4F8BC" w14:textId="77777777" w:rsidTr="00617F1C">
        <w:trPr>
          <w:trHeight w:val="240"/>
        </w:trPr>
        <w:tc>
          <w:tcPr>
            <w:tcW w:w="388" w:type="pct"/>
            <w:shd w:val="clear" w:color="auto" w:fill="auto"/>
            <w:noWrap/>
            <w:vAlign w:val="center"/>
            <w:hideMark/>
          </w:tcPr>
          <w:p w14:paraId="443FA18C" w14:textId="59006EB7" w:rsidR="00A1284B" w:rsidRPr="00B43A8C" w:rsidRDefault="00CC6209" w:rsidP="00CC6209">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Pr>
                <w:rFonts w:ascii="Book Antiqua" w:eastAsia="Arial Unicode MS" w:hAnsi="Book Antiqua" w:cs="Arial Unicode MS"/>
                <w:color w:val="000000" w:themeColor="text1"/>
                <w:kern w:val="0"/>
                <w:sz w:val="24"/>
                <w:szCs w:val="24"/>
              </w:rPr>
              <w:t>F</w:t>
            </w:r>
            <w:r w:rsidR="00A1284B" w:rsidRPr="00B43A8C">
              <w:rPr>
                <w:rFonts w:ascii="Book Antiqua" w:eastAsia="Arial Unicode MS" w:hAnsi="Book Antiqua" w:cs="Arial Unicode MS"/>
                <w:color w:val="000000" w:themeColor="text1"/>
                <w:kern w:val="0"/>
                <w:sz w:val="24"/>
                <w:szCs w:val="24"/>
              </w:rPr>
              <w:t>emale/ male (27/33)</w:t>
            </w:r>
          </w:p>
        </w:tc>
        <w:tc>
          <w:tcPr>
            <w:tcW w:w="260" w:type="pct"/>
            <w:shd w:val="clear" w:color="auto" w:fill="auto"/>
            <w:noWrap/>
            <w:vAlign w:val="center"/>
            <w:hideMark/>
          </w:tcPr>
          <w:p w14:paraId="58254D4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0.56</w:t>
            </w:r>
          </w:p>
        </w:tc>
        <w:tc>
          <w:tcPr>
            <w:tcW w:w="196" w:type="pct"/>
            <w:shd w:val="clear" w:color="auto" w:fill="auto"/>
            <w:noWrap/>
            <w:vAlign w:val="center"/>
            <w:hideMark/>
          </w:tcPr>
          <w:p w14:paraId="2A12795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0.57</w:t>
            </w:r>
          </w:p>
        </w:tc>
        <w:tc>
          <w:tcPr>
            <w:tcW w:w="219" w:type="pct"/>
            <w:shd w:val="clear" w:color="auto" w:fill="auto"/>
            <w:noWrap/>
            <w:vAlign w:val="center"/>
            <w:hideMark/>
          </w:tcPr>
          <w:p w14:paraId="21C571DF"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0.35</w:t>
            </w:r>
          </w:p>
        </w:tc>
        <w:tc>
          <w:tcPr>
            <w:tcW w:w="235" w:type="pct"/>
            <w:shd w:val="clear" w:color="auto" w:fill="auto"/>
            <w:noWrap/>
            <w:vAlign w:val="center"/>
            <w:hideMark/>
          </w:tcPr>
          <w:p w14:paraId="2EAE3022"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0.42</w:t>
            </w:r>
          </w:p>
        </w:tc>
        <w:tc>
          <w:tcPr>
            <w:tcW w:w="219" w:type="pct"/>
            <w:shd w:val="clear" w:color="auto" w:fill="auto"/>
            <w:noWrap/>
            <w:vAlign w:val="center"/>
            <w:hideMark/>
          </w:tcPr>
          <w:p w14:paraId="6B79641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0.58</w:t>
            </w:r>
          </w:p>
        </w:tc>
        <w:tc>
          <w:tcPr>
            <w:tcW w:w="235" w:type="pct"/>
            <w:shd w:val="clear" w:color="auto" w:fill="auto"/>
            <w:noWrap/>
            <w:vAlign w:val="center"/>
            <w:hideMark/>
          </w:tcPr>
          <w:p w14:paraId="2B00A03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0.34</w:t>
            </w:r>
          </w:p>
        </w:tc>
        <w:tc>
          <w:tcPr>
            <w:tcW w:w="252" w:type="pct"/>
            <w:shd w:val="clear" w:color="auto" w:fill="auto"/>
            <w:noWrap/>
            <w:vAlign w:val="center"/>
            <w:hideMark/>
          </w:tcPr>
          <w:p w14:paraId="521029B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0.23</w:t>
            </w:r>
          </w:p>
        </w:tc>
        <w:tc>
          <w:tcPr>
            <w:tcW w:w="219" w:type="pct"/>
            <w:shd w:val="clear" w:color="auto" w:fill="auto"/>
            <w:noWrap/>
            <w:vAlign w:val="center"/>
            <w:hideMark/>
          </w:tcPr>
          <w:p w14:paraId="511C237F"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0.31</w:t>
            </w:r>
          </w:p>
        </w:tc>
        <w:tc>
          <w:tcPr>
            <w:tcW w:w="219" w:type="pct"/>
            <w:shd w:val="clear" w:color="auto" w:fill="auto"/>
            <w:noWrap/>
            <w:vAlign w:val="center"/>
            <w:hideMark/>
          </w:tcPr>
          <w:p w14:paraId="3F8AA1D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0.56</w:t>
            </w:r>
          </w:p>
        </w:tc>
        <w:tc>
          <w:tcPr>
            <w:tcW w:w="235" w:type="pct"/>
            <w:shd w:val="clear" w:color="auto" w:fill="auto"/>
            <w:noWrap/>
            <w:vAlign w:val="center"/>
            <w:hideMark/>
          </w:tcPr>
          <w:p w14:paraId="446EB13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0.49</w:t>
            </w:r>
          </w:p>
        </w:tc>
        <w:tc>
          <w:tcPr>
            <w:tcW w:w="235" w:type="pct"/>
            <w:shd w:val="clear" w:color="auto" w:fill="auto"/>
            <w:noWrap/>
            <w:vAlign w:val="center"/>
            <w:hideMark/>
          </w:tcPr>
          <w:p w14:paraId="65920A42"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0.33</w:t>
            </w:r>
          </w:p>
        </w:tc>
        <w:tc>
          <w:tcPr>
            <w:tcW w:w="219" w:type="pct"/>
            <w:shd w:val="clear" w:color="auto" w:fill="auto"/>
            <w:noWrap/>
            <w:vAlign w:val="center"/>
            <w:hideMark/>
          </w:tcPr>
          <w:p w14:paraId="2EA0806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0.89</w:t>
            </w:r>
          </w:p>
        </w:tc>
        <w:tc>
          <w:tcPr>
            <w:tcW w:w="235" w:type="pct"/>
            <w:shd w:val="clear" w:color="auto" w:fill="auto"/>
            <w:noWrap/>
            <w:vAlign w:val="center"/>
            <w:hideMark/>
          </w:tcPr>
          <w:p w14:paraId="5E6B0E5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0.63</w:t>
            </w:r>
          </w:p>
        </w:tc>
        <w:tc>
          <w:tcPr>
            <w:tcW w:w="219" w:type="pct"/>
            <w:shd w:val="clear" w:color="auto" w:fill="auto"/>
            <w:noWrap/>
            <w:vAlign w:val="center"/>
            <w:hideMark/>
          </w:tcPr>
          <w:p w14:paraId="4C12036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0.16</w:t>
            </w:r>
          </w:p>
        </w:tc>
        <w:tc>
          <w:tcPr>
            <w:tcW w:w="219" w:type="pct"/>
            <w:shd w:val="clear" w:color="auto" w:fill="auto"/>
            <w:noWrap/>
            <w:vAlign w:val="center"/>
            <w:hideMark/>
          </w:tcPr>
          <w:p w14:paraId="6A19AAE2"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0.59</w:t>
            </w:r>
          </w:p>
        </w:tc>
        <w:tc>
          <w:tcPr>
            <w:tcW w:w="219" w:type="pct"/>
            <w:shd w:val="clear" w:color="auto" w:fill="auto"/>
            <w:noWrap/>
            <w:vAlign w:val="center"/>
            <w:hideMark/>
          </w:tcPr>
          <w:p w14:paraId="75BD94D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0.34</w:t>
            </w:r>
          </w:p>
        </w:tc>
        <w:tc>
          <w:tcPr>
            <w:tcW w:w="252" w:type="pct"/>
            <w:shd w:val="clear" w:color="auto" w:fill="auto"/>
            <w:noWrap/>
            <w:vAlign w:val="center"/>
            <w:hideMark/>
          </w:tcPr>
          <w:p w14:paraId="0503D5C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0.13</w:t>
            </w:r>
          </w:p>
        </w:tc>
        <w:tc>
          <w:tcPr>
            <w:tcW w:w="252" w:type="pct"/>
            <w:shd w:val="clear" w:color="auto" w:fill="auto"/>
            <w:noWrap/>
            <w:vAlign w:val="center"/>
            <w:hideMark/>
          </w:tcPr>
          <w:p w14:paraId="7F2DB6E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0.15</w:t>
            </w:r>
          </w:p>
        </w:tc>
        <w:tc>
          <w:tcPr>
            <w:tcW w:w="219" w:type="pct"/>
            <w:shd w:val="clear" w:color="auto" w:fill="auto"/>
            <w:noWrap/>
            <w:vAlign w:val="center"/>
            <w:hideMark/>
          </w:tcPr>
          <w:p w14:paraId="17CF3DF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0.08</w:t>
            </w:r>
          </w:p>
        </w:tc>
        <w:tc>
          <w:tcPr>
            <w:tcW w:w="252" w:type="pct"/>
            <w:shd w:val="clear" w:color="auto" w:fill="auto"/>
            <w:noWrap/>
            <w:vAlign w:val="center"/>
            <w:hideMark/>
          </w:tcPr>
          <w:p w14:paraId="048942D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0.23</w:t>
            </w:r>
          </w:p>
        </w:tc>
      </w:tr>
      <w:tr w:rsidR="00617F1C" w:rsidRPr="00B43A8C" w14:paraId="3CB3AB3B" w14:textId="77777777" w:rsidTr="00617F1C">
        <w:trPr>
          <w:trHeight w:val="240"/>
        </w:trPr>
        <w:tc>
          <w:tcPr>
            <w:tcW w:w="388" w:type="pct"/>
            <w:shd w:val="clear" w:color="auto" w:fill="auto"/>
            <w:noWrap/>
            <w:vAlign w:val="center"/>
            <w:hideMark/>
          </w:tcPr>
          <w:p w14:paraId="25570F9A" w14:textId="20D71A96" w:rsidR="00A1284B" w:rsidRPr="00B43A8C" w:rsidRDefault="00CC6209"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Pr>
                <w:rFonts w:ascii="Book Antiqua" w:eastAsia="Arial Unicode MS" w:hAnsi="Book Antiqua" w:cs="Arial Unicode MS"/>
                <w:color w:val="000000" w:themeColor="text1"/>
                <w:kern w:val="0"/>
                <w:sz w:val="24"/>
                <w:szCs w:val="24"/>
              </w:rPr>
              <w:t>Age</w:t>
            </w:r>
          </w:p>
        </w:tc>
        <w:tc>
          <w:tcPr>
            <w:tcW w:w="260" w:type="pct"/>
            <w:shd w:val="clear" w:color="auto" w:fill="auto"/>
            <w:noWrap/>
            <w:vAlign w:val="center"/>
            <w:hideMark/>
          </w:tcPr>
          <w:p w14:paraId="17FE4F7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23.2</w:t>
            </w:r>
            <w:r w:rsidRPr="00CC6209">
              <w:rPr>
                <w:rFonts w:ascii="Book Antiqua" w:eastAsia="Arial Unicode MS" w:hAnsi="Book Antiqua" w:cs="Arial Unicode MS"/>
                <w:color w:val="000000" w:themeColor="text1"/>
                <w:kern w:val="0"/>
                <w:sz w:val="24"/>
                <w:szCs w:val="24"/>
              </w:rPr>
              <w:lastRenderedPageBreak/>
              <w:t>/50.0</w:t>
            </w:r>
          </w:p>
        </w:tc>
        <w:tc>
          <w:tcPr>
            <w:tcW w:w="196" w:type="pct"/>
            <w:shd w:val="clear" w:color="auto" w:fill="auto"/>
            <w:noWrap/>
            <w:vAlign w:val="center"/>
            <w:hideMark/>
          </w:tcPr>
          <w:p w14:paraId="123BCE92"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26.</w:t>
            </w:r>
            <w:r w:rsidRPr="00CC6209">
              <w:rPr>
                <w:rFonts w:ascii="Book Antiqua" w:eastAsia="Arial Unicode MS" w:hAnsi="Book Antiqua" w:cs="Arial Unicode MS"/>
                <w:color w:val="000000" w:themeColor="text1"/>
                <w:kern w:val="0"/>
                <w:sz w:val="24"/>
                <w:szCs w:val="24"/>
              </w:rPr>
              <w:lastRenderedPageBreak/>
              <w:t>8/25.0</w:t>
            </w:r>
          </w:p>
        </w:tc>
        <w:tc>
          <w:tcPr>
            <w:tcW w:w="219" w:type="pct"/>
            <w:shd w:val="clear" w:color="auto" w:fill="auto"/>
            <w:noWrap/>
            <w:vAlign w:val="center"/>
            <w:hideMark/>
          </w:tcPr>
          <w:p w14:paraId="1B7062F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17.</w:t>
            </w:r>
            <w:r w:rsidRPr="00CC6209">
              <w:rPr>
                <w:rFonts w:ascii="Book Antiqua" w:eastAsia="Arial Unicode MS" w:hAnsi="Book Antiqua" w:cs="Arial Unicode MS"/>
                <w:color w:val="000000" w:themeColor="text1"/>
                <w:kern w:val="0"/>
                <w:sz w:val="24"/>
                <w:szCs w:val="24"/>
              </w:rPr>
              <w:lastRenderedPageBreak/>
              <w:t>9/25.0</w:t>
            </w:r>
          </w:p>
        </w:tc>
        <w:tc>
          <w:tcPr>
            <w:tcW w:w="235" w:type="pct"/>
            <w:shd w:val="clear" w:color="auto" w:fill="auto"/>
            <w:noWrap/>
            <w:vAlign w:val="center"/>
            <w:hideMark/>
          </w:tcPr>
          <w:p w14:paraId="4190C8B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37.5</w:t>
            </w:r>
            <w:r w:rsidRPr="00CC6209">
              <w:rPr>
                <w:rFonts w:ascii="Book Antiqua" w:eastAsia="Arial Unicode MS" w:hAnsi="Book Antiqua" w:cs="Arial Unicode MS"/>
                <w:color w:val="000000" w:themeColor="text1"/>
                <w:kern w:val="0"/>
                <w:sz w:val="24"/>
                <w:szCs w:val="24"/>
              </w:rPr>
              <w:lastRenderedPageBreak/>
              <w:t>/25.0</w:t>
            </w:r>
          </w:p>
        </w:tc>
        <w:tc>
          <w:tcPr>
            <w:tcW w:w="219" w:type="pct"/>
            <w:shd w:val="clear" w:color="auto" w:fill="auto"/>
            <w:noWrap/>
            <w:vAlign w:val="center"/>
            <w:hideMark/>
          </w:tcPr>
          <w:p w14:paraId="6A6FDB8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35.</w:t>
            </w:r>
            <w:r w:rsidRPr="00CC6209">
              <w:rPr>
                <w:rFonts w:ascii="Book Antiqua" w:eastAsia="Arial Unicode MS" w:hAnsi="Book Antiqua" w:cs="Arial Unicode MS"/>
                <w:color w:val="000000" w:themeColor="text1"/>
                <w:kern w:val="0"/>
                <w:sz w:val="24"/>
                <w:szCs w:val="24"/>
              </w:rPr>
              <w:lastRenderedPageBreak/>
              <w:t>7/50.0</w:t>
            </w:r>
          </w:p>
        </w:tc>
        <w:tc>
          <w:tcPr>
            <w:tcW w:w="235" w:type="pct"/>
            <w:shd w:val="clear" w:color="auto" w:fill="auto"/>
            <w:noWrap/>
            <w:vAlign w:val="center"/>
            <w:hideMark/>
          </w:tcPr>
          <w:p w14:paraId="6046CBB2"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76.8</w:t>
            </w:r>
            <w:r w:rsidRPr="00CC6209">
              <w:rPr>
                <w:rFonts w:ascii="Book Antiqua" w:eastAsia="Arial Unicode MS" w:hAnsi="Book Antiqua" w:cs="Arial Unicode MS"/>
                <w:color w:val="000000" w:themeColor="text1"/>
                <w:kern w:val="0"/>
                <w:sz w:val="24"/>
                <w:szCs w:val="24"/>
              </w:rPr>
              <w:lastRenderedPageBreak/>
              <w:t>/100</w:t>
            </w:r>
          </w:p>
        </w:tc>
        <w:tc>
          <w:tcPr>
            <w:tcW w:w="252" w:type="pct"/>
            <w:shd w:val="clear" w:color="auto" w:fill="auto"/>
            <w:noWrap/>
            <w:vAlign w:val="center"/>
            <w:hideMark/>
          </w:tcPr>
          <w:p w14:paraId="1701683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75.0</w:t>
            </w:r>
            <w:r w:rsidRPr="00CC6209">
              <w:rPr>
                <w:rFonts w:ascii="Book Antiqua" w:eastAsia="Arial Unicode MS" w:hAnsi="Book Antiqua" w:cs="Arial Unicode MS"/>
                <w:color w:val="000000" w:themeColor="text1"/>
                <w:kern w:val="0"/>
                <w:sz w:val="24"/>
                <w:szCs w:val="24"/>
              </w:rPr>
              <w:lastRenderedPageBreak/>
              <w:t>/75.0</w:t>
            </w:r>
          </w:p>
        </w:tc>
        <w:tc>
          <w:tcPr>
            <w:tcW w:w="219" w:type="pct"/>
            <w:shd w:val="clear" w:color="auto" w:fill="auto"/>
            <w:noWrap/>
            <w:vAlign w:val="center"/>
            <w:hideMark/>
          </w:tcPr>
          <w:p w14:paraId="2C071BA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28.</w:t>
            </w:r>
            <w:r w:rsidRPr="00CC6209">
              <w:rPr>
                <w:rFonts w:ascii="Book Antiqua" w:eastAsia="Arial Unicode MS" w:hAnsi="Book Antiqua" w:cs="Arial Unicode MS"/>
                <w:color w:val="000000" w:themeColor="text1"/>
                <w:kern w:val="0"/>
                <w:sz w:val="24"/>
                <w:szCs w:val="24"/>
              </w:rPr>
              <w:lastRenderedPageBreak/>
              <w:t>6/25.0</w:t>
            </w:r>
          </w:p>
        </w:tc>
        <w:tc>
          <w:tcPr>
            <w:tcW w:w="219" w:type="pct"/>
            <w:shd w:val="clear" w:color="auto" w:fill="auto"/>
            <w:noWrap/>
            <w:vAlign w:val="center"/>
            <w:hideMark/>
          </w:tcPr>
          <w:p w14:paraId="27BCDF8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73.</w:t>
            </w:r>
            <w:r w:rsidRPr="00CC6209">
              <w:rPr>
                <w:rFonts w:ascii="Book Antiqua" w:eastAsia="Arial Unicode MS" w:hAnsi="Book Antiqua" w:cs="Arial Unicode MS"/>
                <w:color w:val="000000" w:themeColor="text1"/>
                <w:kern w:val="0"/>
                <w:sz w:val="24"/>
                <w:szCs w:val="24"/>
              </w:rPr>
              <w:lastRenderedPageBreak/>
              <w:t>2/100</w:t>
            </w:r>
          </w:p>
        </w:tc>
        <w:tc>
          <w:tcPr>
            <w:tcW w:w="235" w:type="pct"/>
            <w:shd w:val="clear" w:color="auto" w:fill="auto"/>
            <w:noWrap/>
            <w:vAlign w:val="center"/>
            <w:hideMark/>
          </w:tcPr>
          <w:p w14:paraId="13D86D0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64.3</w:t>
            </w:r>
            <w:r w:rsidRPr="00CC6209">
              <w:rPr>
                <w:rFonts w:ascii="Book Antiqua" w:eastAsia="Arial Unicode MS" w:hAnsi="Book Antiqua" w:cs="Arial Unicode MS"/>
                <w:color w:val="000000" w:themeColor="text1"/>
                <w:kern w:val="0"/>
                <w:sz w:val="24"/>
                <w:szCs w:val="24"/>
              </w:rPr>
              <w:lastRenderedPageBreak/>
              <w:t>/75.0</w:t>
            </w:r>
          </w:p>
        </w:tc>
        <w:tc>
          <w:tcPr>
            <w:tcW w:w="235" w:type="pct"/>
            <w:shd w:val="clear" w:color="auto" w:fill="auto"/>
            <w:noWrap/>
            <w:vAlign w:val="center"/>
            <w:hideMark/>
          </w:tcPr>
          <w:p w14:paraId="70DA77D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39.3</w:t>
            </w:r>
            <w:r w:rsidRPr="00CC6209">
              <w:rPr>
                <w:rFonts w:ascii="Book Antiqua" w:eastAsia="Arial Unicode MS" w:hAnsi="Book Antiqua" w:cs="Arial Unicode MS"/>
                <w:color w:val="000000" w:themeColor="text1"/>
                <w:kern w:val="0"/>
                <w:sz w:val="24"/>
                <w:szCs w:val="24"/>
              </w:rPr>
              <w:lastRenderedPageBreak/>
              <w:t>/25.0</w:t>
            </w:r>
          </w:p>
        </w:tc>
        <w:tc>
          <w:tcPr>
            <w:tcW w:w="219" w:type="pct"/>
            <w:shd w:val="clear" w:color="auto" w:fill="auto"/>
            <w:noWrap/>
            <w:vAlign w:val="center"/>
            <w:hideMark/>
          </w:tcPr>
          <w:p w14:paraId="08350B1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10.</w:t>
            </w:r>
            <w:r w:rsidRPr="00CC6209">
              <w:rPr>
                <w:rFonts w:ascii="Book Antiqua" w:eastAsia="Arial Unicode MS" w:hAnsi="Book Antiqua" w:cs="Arial Unicode MS"/>
                <w:color w:val="000000" w:themeColor="text1"/>
                <w:kern w:val="0"/>
                <w:sz w:val="24"/>
                <w:szCs w:val="24"/>
              </w:rPr>
              <w:lastRenderedPageBreak/>
              <w:t>7/25.0</w:t>
            </w:r>
          </w:p>
        </w:tc>
        <w:tc>
          <w:tcPr>
            <w:tcW w:w="235" w:type="pct"/>
            <w:shd w:val="clear" w:color="auto" w:fill="auto"/>
            <w:noWrap/>
            <w:vAlign w:val="center"/>
            <w:hideMark/>
          </w:tcPr>
          <w:p w14:paraId="75F8296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83.9</w:t>
            </w:r>
            <w:r w:rsidRPr="00CC6209">
              <w:rPr>
                <w:rFonts w:ascii="Book Antiqua" w:eastAsia="Arial Unicode MS" w:hAnsi="Book Antiqua" w:cs="Arial Unicode MS"/>
                <w:color w:val="000000" w:themeColor="text1"/>
                <w:kern w:val="0"/>
                <w:sz w:val="24"/>
                <w:szCs w:val="24"/>
              </w:rPr>
              <w:lastRenderedPageBreak/>
              <w:t>/100</w:t>
            </w:r>
          </w:p>
        </w:tc>
        <w:tc>
          <w:tcPr>
            <w:tcW w:w="219" w:type="pct"/>
            <w:shd w:val="clear" w:color="auto" w:fill="auto"/>
            <w:noWrap/>
            <w:vAlign w:val="center"/>
            <w:hideMark/>
          </w:tcPr>
          <w:p w14:paraId="4C5A4F4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55.</w:t>
            </w:r>
            <w:r w:rsidRPr="00CC6209">
              <w:rPr>
                <w:rFonts w:ascii="Book Antiqua" w:eastAsia="Arial Unicode MS" w:hAnsi="Book Antiqua" w:cs="Arial Unicode MS"/>
                <w:color w:val="000000" w:themeColor="text1"/>
                <w:kern w:val="0"/>
                <w:sz w:val="24"/>
                <w:szCs w:val="24"/>
              </w:rPr>
              <w:lastRenderedPageBreak/>
              <w:t>4/25.0</w:t>
            </w:r>
          </w:p>
        </w:tc>
        <w:tc>
          <w:tcPr>
            <w:tcW w:w="219" w:type="pct"/>
            <w:shd w:val="clear" w:color="auto" w:fill="auto"/>
            <w:noWrap/>
            <w:vAlign w:val="center"/>
            <w:hideMark/>
          </w:tcPr>
          <w:p w14:paraId="3F9F58D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71.</w:t>
            </w:r>
            <w:r w:rsidRPr="00CC6209">
              <w:rPr>
                <w:rFonts w:ascii="Book Antiqua" w:eastAsia="Arial Unicode MS" w:hAnsi="Book Antiqua" w:cs="Arial Unicode MS"/>
                <w:color w:val="000000" w:themeColor="text1"/>
                <w:kern w:val="0"/>
                <w:sz w:val="24"/>
                <w:szCs w:val="24"/>
              </w:rPr>
              <w:lastRenderedPageBreak/>
              <w:t>4/50.0</w:t>
            </w:r>
          </w:p>
        </w:tc>
        <w:tc>
          <w:tcPr>
            <w:tcW w:w="219" w:type="pct"/>
            <w:shd w:val="clear" w:color="auto" w:fill="auto"/>
            <w:noWrap/>
            <w:vAlign w:val="center"/>
            <w:hideMark/>
          </w:tcPr>
          <w:p w14:paraId="5F1FFCF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58.</w:t>
            </w:r>
            <w:r w:rsidRPr="00CC6209">
              <w:rPr>
                <w:rFonts w:ascii="Book Antiqua" w:eastAsia="Arial Unicode MS" w:hAnsi="Book Antiqua" w:cs="Arial Unicode MS"/>
                <w:color w:val="000000" w:themeColor="text1"/>
                <w:kern w:val="0"/>
                <w:sz w:val="24"/>
                <w:szCs w:val="24"/>
              </w:rPr>
              <w:lastRenderedPageBreak/>
              <w:t>9/25.0</w:t>
            </w:r>
          </w:p>
        </w:tc>
        <w:tc>
          <w:tcPr>
            <w:tcW w:w="252" w:type="pct"/>
            <w:shd w:val="clear" w:color="auto" w:fill="auto"/>
            <w:noWrap/>
            <w:vAlign w:val="center"/>
            <w:hideMark/>
          </w:tcPr>
          <w:p w14:paraId="693910F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83.9</w:t>
            </w:r>
            <w:r w:rsidRPr="00CC6209">
              <w:rPr>
                <w:rFonts w:ascii="Book Antiqua" w:eastAsia="Arial Unicode MS" w:hAnsi="Book Antiqua" w:cs="Arial Unicode MS"/>
                <w:color w:val="000000" w:themeColor="text1"/>
                <w:kern w:val="0"/>
                <w:sz w:val="24"/>
                <w:szCs w:val="24"/>
              </w:rPr>
              <w:lastRenderedPageBreak/>
              <w:t>/100</w:t>
            </w:r>
          </w:p>
        </w:tc>
        <w:tc>
          <w:tcPr>
            <w:tcW w:w="252" w:type="pct"/>
            <w:shd w:val="clear" w:color="auto" w:fill="auto"/>
            <w:noWrap/>
            <w:vAlign w:val="center"/>
            <w:hideMark/>
          </w:tcPr>
          <w:p w14:paraId="4D4C76C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89.3</w:t>
            </w:r>
            <w:r w:rsidRPr="00CC6209">
              <w:rPr>
                <w:rFonts w:ascii="Book Antiqua" w:eastAsia="Arial Unicode MS" w:hAnsi="Book Antiqua" w:cs="Arial Unicode MS"/>
                <w:color w:val="000000" w:themeColor="text1"/>
                <w:kern w:val="0"/>
                <w:sz w:val="24"/>
                <w:szCs w:val="24"/>
              </w:rPr>
              <w:lastRenderedPageBreak/>
              <w:t>/100</w:t>
            </w:r>
          </w:p>
        </w:tc>
        <w:tc>
          <w:tcPr>
            <w:tcW w:w="219" w:type="pct"/>
            <w:shd w:val="clear" w:color="auto" w:fill="auto"/>
            <w:noWrap/>
            <w:vAlign w:val="center"/>
            <w:hideMark/>
          </w:tcPr>
          <w:p w14:paraId="09764A4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66.</w:t>
            </w:r>
            <w:r w:rsidRPr="00CC6209">
              <w:rPr>
                <w:rFonts w:ascii="Book Antiqua" w:eastAsia="Arial Unicode MS" w:hAnsi="Book Antiqua" w:cs="Arial Unicode MS"/>
                <w:color w:val="000000" w:themeColor="text1"/>
                <w:kern w:val="0"/>
                <w:sz w:val="24"/>
                <w:szCs w:val="24"/>
              </w:rPr>
              <w:lastRenderedPageBreak/>
              <w:t>1/75.0</w:t>
            </w:r>
          </w:p>
        </w:tc>
        <w:tc>
          <w:tcPr>
            <w:tcW w:w="252" w:type="pct"/>
            <w:shd w:val="clear" w:color="auto" w:fill="auto"/>
            <w:noWrap/>
            <w:vAlign w:val="center"/>
            <w:hideMark/>
          </w:tcPr>
          <w:p w14:paraId="1A0B406F"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35.7</w:t>
            </w:r>
            <w:r w:rsidRPr="00CC6209">
              <w:rPr>
                <w:rFonts w:ascii="Book Antiqua" w:eastAsia="Arial Unicode MS" w:hAnsi="Book Antiqua" w:cs="Arial Unicode MS"/>
                <w:color w:val="000000" w:themeColor="text1"/>
                <w:kern w:val="0"/>
                <w:sz w:val="24"/>
                <w:szCs w:val="24"/>
              </w:rPr>
              <w:lastRenderedPageBreak/>
              <w:t>/50.0</w:t>
            </w:r>
          </w:p>
        </w:tc>
      </w:tr>
      <w:tr w:rsidR="00617F1C" w:rsidRPr="00B43A8C" w14:paraId="3486A538" w14:textId="77777777" w:rsidTr="00617F1C">
        <w:trPr>
          <w:trHeight w:val="240"/>
        </w:trPr>
        <w:tc>
          <w:tcPr>
            <w:tcW w:w="388" w:type="pct"/>
            <w:shd w:val="clear" w:color="auto" w:fill="auto"/>
            <w:noWrap/>
            <w:vAlign w:val="center"/>
            <w:hideMark/>
          </w:tcPr>
          <w:p w14:paraId="53BCC628" w14:textId="769AFDA4" w:rsidR="00A1284B" w:rsidRPr="00B43A8C" w:rsidRDefault="00A1284B" w:rsidP="00792AF6">
            <w:pPr>
              <w:widowControl/>
              <w:wordWrap/>
              <w:autoSpaceDE/>
              <w:autoSpaceDN/>
              <w:adjustRightInd w:val="0"/>
              <w:snapToGrid w:val="0"/>
              <w:spacing w:line="360" w:lineRule="auto"/>
              <w:ind w:firstLineChars="100" w:firstLine="240"/>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lastRenderedPageBreak/>
              <w:t>≤</w:t>
            </w:r>
            <w:r w:rsidR="00CC6209">
              <w:rPr>
                <w:rFonts w:ascii="Book Antiqua" w:eastAsia="Arial Unicode MS" w:hAnsi="Book Antiqua" w:cs="Arial Unicode MS"/>
                <w:color w:val="000000" w:themeColor="text1"/>
                <w:kern w:val="0"/>
                <w:sz w:val="24"/>
                <w:szCs w:val="24"/>
              </w:rPr>
              <w:t xml:space="preserve"> </w:t>
            </w:r>
            <w:r w:rsidRPr="00B43A8C">
              <w:rPr>
                <w:rFonts w:ascii="Book Antiqua" w:eastAsia="Arial Unicode MS" w:hAnsi="Book Antiqua" w:cs="Arial Unicode MS"/>
                <w:color w:val="000000" w:themeColor="text1"/>
                <w:kern w:val="0"/>
                <w:sz w:val="24"/>
                <w:szCs w:val="24"/>
              </w:rPr>
              <w:t xml:space="preserve">75 </w:t>
            </w:r>
            <w:r w:rsidRPr="00B43A8C">
              <w:rPr>
                <w:rFonts w:ascii="Book Antiqua" w:eastAsia="Arial Unicode MS" w:hAnsi="Book Antiqua" w:cs="Arial Unicode MS"/>
                <w:i/>
                <w:iCs/>
                <w:color w:val="000000" w:themeColor="text1"/>
                <w:kern w:val="0"/>
                <w:sz w:val="24"/>
                <w:szCs w:val="24"/>
              </w:rPr>
              <w:t>vs</w:t>
            </w:r>
            <w:r w:rsidRPr="00B43A8C">
              <w:rPr>
                <w:rFonts w:ascii="Book Antiqua" w:eastAsia="Arial Unicode MS" w:hAnsi="Book Antiqua" w:cs="Arial Unicode MS"/>
                <w:color w:val="000000" w:themeColor="text1"/>
                <w:kern w:val="0"/>
                <w:sz w:val="24"/>
                <w:szCs w:val="24"/>
              </w:rPr>
              <w:t xml:space="preserve"> &gt;</w:t>
            </w:r>
            <w:r w:rsidR="00CC6209">
              <w:rPr>
                <w:rFonts w:ascii="Book Antiqua" w:eastAsia="Arial Unicode MS" w:hAnsi="Book Antiqua" w:cs="Arial Unicode MS"/>
                <w:color w:val="000000" w:themeColor="text1"/>
                <w:kern w:val="0"/>
                <w:sz w:val="24"/>
                <w:szCs w:val="24"/>
              </w:rPr>
              <w:t xml:space="preserve"> </w:t>
            </w:r>
            <w:r w:rsidRPr="00B43A8C">
              <w:rPr>
                <w:rFonts w:ascii="Book Antiqua" w:eastAsia="Arial Unicode MS" w:hAnsi="Book Antiqua" w:cs="Arial Unicode MS"/>
                <w:color w:val="000000" w:themeColor="text1"/>
                <w:kern w:val="0"/>
                <w:sz w:val="24"/>
                <w:szCs w:val="24"/>
              </w:rPr>
              <w:t>75 (56/4)</w:t>
            </w:r>
          </w:p>
        </w:tc>
        <w:tc>
          <w:tcPr>
            <w:tcW w:w="260" w:type="pct"/>
            <w:shd w:val="clear" w:color="auto" w:fill="auto"/>
            <w:noWrap/>
            <w:vAlign w:val="center"/>
            <w:hideMark/>
          </w:tcPr>
          <w:p w14:paraId="0C0AD09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0.26</w:t>
            </w:r>
          </w:p>
        </w:tc>
        <w:tc>
          <w:tcPr>
            <w:tcW w:w="196" w:type="pct"/>
            <w:shd w:val="clear" w:color="auto" w:fill="auto"/>
            <w:noWrap/>
            <w:vAlign w:val="center"/>
            <w:hideMark/>
          </w:tcPr>
          <w:p w14:paraId="15EFEA9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0.71</w:t>
            </w:r>
          </w:p>
        </w:tc>
        <w:tc>
          <w:tcPr>
            <w:tcW w:w="219" w:type="pct"/>
            <w:shd w:val="clear" w:color="auto" w:fill="auto"/>
            <w:noWrap/>
            <w:vAlign w:val="center"/>
            <w:hideMark/>
          </w:tcPr>
          <w:p w14:paraId="3007B19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0.57</w:t>
            </w:r>
          </w:p>
        </w:tc>
        <w:tc>
          <w:tcPr>
            <w:tcW w:w="235" w:type="pct"/>
            <w:shd w:val="clear" w:color="auto" w:fill="auto"/>
            <w:noWrap/>
            <w:vAlign w:val="center"/>
            <w:hideMark/>
          </w:tcPr>
          <w:p w14:paraId="3234EF0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0.53</w:t>
            </w:r>
          </w:p>
        </w:tc>
        <w:tc>
          <w:tcPr>
            <w:tcW w:w="219" w:type="pct"/>
            <w:shd w:val="clear" w:color="auto" w:fill="auto"/>
            <w:noWrap/>
            <w:vAlign w:val="center"/>
            <w:hideMark/>
          </w:tcPr>
          <w:p w14:paraId="33C2E57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0.47</w:t>
            </w:r>
          </w:p>
        </w:tc>
        <w:tc>
          <w:tcPr>
            <w:tcW w:w="235" w:type="pct"/>
            <w:shd w:val="clear" w:color="auto" w:fill="auto"/>
            <w:noWrap/>
            <w:vAlign w:val="center"/>
            <w:hideMark/>
          </w:tcPr>
          <w:p w14:paraId="56E8EA3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0.37</w:t>
            </w:r>
          </w:p>
        </w:tc>
        <w:tc>
          <w:tcPr>
            <w:tcW w:w="252" w:type="pct"/>
            <w:shd w:val="clear" w:color="auto" w:fill="auto"/>
            <w:noWrap/>
            <w:vAlign w:val="center"/>
            <w:hideMark/>
          </w:tcPr>
          <w:p w14:paraId="406EAC8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0.69</w:t>
            </w:r>
          </w:p>
        </w:tc>
        <w:tc>
          <w:tcPr>
            <w:tcW w:w="219" w:type="pct"/>
            <w:shd w:val="clear" w:color="auto" w:fill="auto"/>
            <w:noWrap/>
            <w:vAlign w:val="center"/>
            <w:hideMark/>
          </w:tcPr>
          <w:p w14:paraId="70DDA1BD"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0.68</w:t>
            </w:r>
          </w:p>
        </w:tc>
        <w:tc>
          <w:tcPr>
            <w:tcW w:w="219" w:type="pct"/>
            <w:shd w:val="clear" w:color="auto" w:fill="auto"/>
            <w:noWrap/>
            <w:vAlign w:val="center"/>
            <w:hideMark/>
          </w:tcPr>
          <w:p w14:paraId="0192C2A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0.31</w:t>
            </w:r>
          </w:p>
        </w:tc>
        <w:tc>
          <w:tcPr>
            <w:tcW w:w="235" w:type="pct"/>
            <w:shd w:val="clear" w:color="auto" w:fill="auto"/>
            <w:noWrap/>
            <w:vAlign w:val="center"/>
            <w:hideMark/>
          </w:tcPr>
          <w:p w14:paraId="764339C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0.56</w:t>
            </w:r>
          </w:p>
        </w:tc>
        <w:tc>
          <w:tcPr>
            <w:tcW w:w="235" w:type="pct"/>
            <w:shd w:val="clear" w:color="auto" w:fill="auto"/>
            <w:noWrap/>
            <w:vAlign w:val="center"/>
            <w:hideMark/>
          </w:tcPr>
          <w:p w14:paraId="0C0CFD8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w:t>
            </w:r>
          </w:p>
        </w:tc>
        <w:tc>
          <w:tcPr>
            <w:tcW w:w="219" w:type="pct"/>
            <w:shd w:val="clear" w:color="auto" w:fill="auto"/>
            <w:noWrap/>
            <w:vAlign w:val="center"/>
            <w:hideMark/>
          </w:tcPr>
          <w:p w14:paraId="696644A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w:t>
            </w:r>
          </w:p>
        </w:tc>
        <w:tc>
          <w:tcPr>
            <w:tcW w:w="235" w:type="pct"/>
            <w:shd w:val="clear" w:color="auto" w:fill="auto"/>
            <w:noWrap/>
            <w:vAlign w:val="center"/>
            <w:hideMark/>
          </w:tcPr>
          <w:p w14:paraId="1364D87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0.51</w:t>
            </w:r>
          </w:p>
        </w:tc>
        <w:tc>
          <w:tcPr>
            <w:tcW w:w="219" w:type="pct"/>
            <w:shd w:val="clear" w:color="auto" w:fill="auto"/>
            <w:noWrap/>
            <w:vAlign w:val="center"/>
            <w:hideMark/>
          </w:tcPr>
          <w:p w14:paraId="1ED13B9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0.26</w:t>
            </w:r>
          </w:p>
        </w:tc>
        <w:tc>
          <w:tcPr>
            <w:tcW w:w="219" w:type="pct"/>
            <w:shd w:val="clear" w:color="auto" w:fill="auto"/>
            <w:noWrap/>
            <w:vAlign w:val="center"/>
            <w:hideMark/>
          </w:tcPr>
          <w:p w14:paraId="5BE84BC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0.35</w:t>
            </w:r>
          </w:p>
        </w:tc>
        <w:tc>
          <w:tcPr>
            <w:tcW w:w="219" w:type="pct"/>
            <w:shd w:val="clear" w:color="auto" w:fill="auto"/>
            <w:noWrap/>
            <w:vAlign w:val="center"/>
            <w:hideMark/>
          </w:tcPr>
          <w:p w14:paraId="79AFDA0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0.21</w:t>
            </w:r>
          </w:p>
        </w:tc>
        <w:tc>
          <w:tcPr>
            <w:tcW w:w="252" w:type="pct"/>
            <w:shd w:val="clear" w:color="auto" w:fill="auto"/>
            <w:noWrap/>
            <w:vAlign w:val="center"/>
            <w:hideMark/>
          </w:tcPr>
          <w:p w14:paraId="6A4CE682"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0.51</w:t>
            </w:r>
          </w:p>
        </w:tc>
        <w:tc>
          <w:tcPr>
            <w:tcW w:w="252" w:type="pct"/>
            <w:shd w:val="clear" w:color="auto" w:fill="auto"/>
            <w:noWrap/>
            <w:vAlign w:val="center"/>
            <w:hideMark/>
          </w:tcPr>
          <w:p w14:paraId="2333F5A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0.65</w:t>
            </w:r>
          </w:p>
        </w:tc>
        <w:tc>
          <w:tcPr>
            <w:tcW w:w="219" w:type="pct"/>
            <w:shd w:val="clear" w:color="auto" w:fill="auto"/>
            <w:noWrap/>
            <w:vAlign w:val="center"/>
            <w:hideMark/>
          </w:tcPr>
          <w:p w14:paraId="1B63B4C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0.59</w:t>
            </w:r>
          </w:p>
        </w:tc>
        <w:tc>
          <w:tcPr>
            <w:tcW w:w="252" w:type="pct"/>
            <w:shd w:val="clear" w:color="auto" w:fill="auto"/>
            <w:noWrap/>
            <w:vAlign w:val="center"/>
            <w:hideMark/>
          </w:tcPr>
          <w:p w14:paraId="5B1AF71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0.47</w:t>
            </w:r>
          </w:p>
        </w:tc>
      </w:tr>
      <w:tr w:rsidR="00617F1C" w:rsidRPr="00B43A8C" w14:paraId="28EA5946" w14:textId="77777777" w:rsidTr="00617F1C">
        <w:trPr>
          <w:trHeight w:val="240"/>
        </w:trPr>
        <w:tc>
          <w:tcPr>
            <w:tcW w:w="388" w:type="pct"/>
            <w:shd w:val="clear" w:color="auto" w:fill="auto"/>
            <w:noWrap/>
            <w:vAlign w:val="center"/>
            <w:hideMark/>
          </w:tcPr>
          <w:p w14:paraId="2C7D2A17" w14:textId="2E382DB2" w:rsidR="00A1284B" w:rsidRPr="00B43A8C" w:rsidRDefault="00CC6209"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Pr>
                <w:rFonts w:ascii="Book Antiqua" w:eastAsia="Arial Unicode MS" w:hAnsi="Book Antiqua" w:cs="Arial Unicode MS"/>
                <w:color w:val="000000" w:themeColor="text1"/>
                <w:kern w:val="0"/>
                <w:sz w:val="24"/>
                <w:szCs w:val="24"/>
              </w:rPr>
              <w:t>Comorbidity</w:t>
            </w:r>
          </w:p>
        </w:tc>
        <w:tc>
          <w:tcPr>
            <w:tcW w:w="260" w:type="pct"/>
            <w:shd w:val="clear" w:color="auto" w:fill="auto"/>
            <w:noWrap/>
            <w:vAlign w:val="center"/>
            <w:hideMark/>
          </w:tcPr>
          <w:p w14:paraId="58C4788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20.0/32.0</w:t>
            </w:r>
          </w:p>
        </w:tc>
        <w:tc>
          <w:tcPr>
            <w:tcW w:w="196" w:type="pct"/>
            <w:shd w:val="clear" w:color="auto" w:fill="auto"/>
            <w:noWrap/>
            <w:vAlign w:val="center"/>
            <w:hideMark/>
          </w:tcPr>
          <w:p w14:paraId="04512B3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31.4/20.0</w:t>
            </w:r>
          </w:p>
        </w:tc>
        <w:tc>
          <w:tcPr>
            <w:tcW w:w="219" w:type="pct"/>
            <w:shd w:val="clear" w:color="auto" w:fill="auto"/>
            <w:noWrap/>
            <w:vAlign w:val="center"/>
            <w:hideMark/>
          </w:tcPr>
          <w:p w14:paraId="38F391B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20.0/16.0</w:t>
            </w:r>
          </w:p>
        </w:tc>
        <w:tc>
          <w:tcPr>
            <w:tcW w:w="235" w:type="pct"/>
            <w:shd w:val="clear" w:color="auto" w:fill="auto"/>
            <w:noWrap/>
            <w:vAlign w:val="center"/>
            <w:hideMark/>
          </w:tcPr>
          <w:p w14:paraId="732A87F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42.9/28.0</w:t>
            </w:r>
          </w:p>
        </w:tc>
        <w:tc>
          <w:tcPr>
            <w:tcW w:w="219" w:type="pct"/>
            <w:shd w:val="clear" w:color="auto" w:fill="auto"/>
            <w:noWrap/>
            <w:vAlign w:val="center"/>
            <w:hideMark/>
          </w:tcPr>
          <w:p w14:paraId="41AF61E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37.1/36.0</w:t>
            </w:r>
          </w:p>
        </w:tc>
        <w:tc>
          <w:tcPr>
            <w:tcW w:w="235" w:type="pct"/>
            <w:shd w:val="clear" w:color="auto" w:fill="auto"/>
            <w:noWrap/>
            <w:vAlign w:val="center"/>
            <w:hideMark/>
          </w:tcPr>
          <w:p w14:paraId="004AC97D"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74.3/84.0</w:t>
            </w:r>
          </w:p>
        </w:tc>
        <w:tc>
          <w:tcPr>
            <w:tcW w:w="252" w:type="pct"/>
            <w:shd w:val="clear" w:color="auto" w:fill="auto"/>
            <w:noWrap/>
            <w:vAlign w:val="center"/>
            <w:hideMark/>
          </w:tcPr>
          <w:p w14:paraId="50205E3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80.0/.68.0</w:t>
            </w:r>
          </w:p>
        </w:tc>
        <w:tc>
          <w:tcPr>
            <w:tcW w:w="219" w:type="pct"/>
            <w:shd w:val="clear" w:color="auto" w:fill="auto"/>
            <w:noWrap/>
            <w:vAlign w:val="center"/>
            <w:hideMark/>
          </w:tcPr>
          <w:p w14:paraId="04CBE28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34.3/20.0</w:t>
            </w:r>
          </w:p>
        </w:tc>
        <w:tc>
          <w:tcPr>
            <w:tcW w:w="219" w:type="pct"/>
            <w:shd w:val="clear" w:color="auto" w:fill="auto"/>
            <w:noWrap/>
            <w:vAlign w:val="center"/>
            <w:hideMark/>
          </w:tcPr>
          <w:p w14:paraId="1CBDA51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68.6/84.0</w:t>
            </w:r>
          </w:p>
        </w:tc>
        <w:tc>
          <w:tcPr>
            <w:tcW w:w="235" w:type="pct"/>
            <w:shd w:val="clear" w:color="auto" w:fill="auto"/>
            <w:noWrap/>
            <w:vAlign w:val="center"/>
            <w:hideMark/>
          </w:tcPr>
          <w:p w14:paraId="3273339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62.9/68.0</w:t>
            </w:r>
          </w:p>
        </w:tc>
        <w:tc>
          <w:tcPr>
            <w:tcW w:w="235" w:type="pct"/>
            <w:shd w:val="clear" w:color="auto" w:fill="auto"/>
            <w:noWrap/>
            <w:vAlign w:val="center"/>
            <w:hideMark/>
          </w:tcPr>
          <w:p w14:paraId="088F896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45.7/28.0</w:t>
            </w:r>
          </w:p>
        </w:tc>
        <w:tc>
          <w:tcPr>
            <w:tcW w:w="219" w:type="pct"/>
            <w:shd w:val="clear" w:color="auto" w:fill="auto"/>
            <w:noWrap/>
            <w:vAlign w:val="center"/>
            <w:hideMark/>
          </w:tcPr>
          <w:p w14:paraId="0596912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8.6/16.0</w:t>
            </w:r>
          </w:p>
        </w:tc>
        <w:tc>
          <w:tcPr>
            <w:tcW w:w="235" w:type="pct"/>
            <w:shd w:val="clear" w:color="auto" w:fill="auto"/>
            <w:noWrap/>
            <w:vAlign w:val="center"/>
            <w:hideMark/>
          </w:tcPr>
          <w:p w14:paraId="7C4A639F"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80.0/92.0</w:t>
            </w:r>
          </w:p>
        </w:tc>
        <w:tc>
          <w:tcPr>
            <w:tcW w:w="219" w:type="pct"/>
            <w:shd w:val="clear" w:color="auto" w:fill="auto"/>
            <w:noWrap/>
            <w:vAlign w:val="center"/>
            <w:hideMark/>
          </w:tcPr>
          <w:p w14:paraId="4CDCB34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60.0/44.0</w:t>
            </w:r>
          </w:p>
        </w:tc>
        <w:tc>
          <w:tcPr>
            <w:tcW w:w="219" w:type="pct"/>
            <w:shd w:val="clear" w:color="auto" w:fill="auto"/>
            <w:noWrap/>
            <w:vAlign w:val="center"/>
            <w:hideMark/>
          </w:tcPr>
          <w:p w14:paraId="49D6E05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71.4/68.0</w:t>
            </w:r>
          </w:p>
        </w:tc>
        <w:tc>
          <w:tcPr>
            <w:tcW w:w="219" w:type="pct"/>
            <w:shd w:val="clear" w:color="auto" w:fill="auto"/>
            <w:noWrap/>
            <w:vAlign w:val="center"/>
            <w:hideMark/>
          </w:tcPr>
          <w:p w14:paraId="53696E3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CC6209">
              <w:rPr>
                <w:rFonts w:ascii="Book Antiqua" w:eastAsia="Arial Unicode MS" w:hAnsi="Book Antiqua" w:cs="Arial Unicode MS"/>
                <w:bCs/>
                <w:iCs/>
                <w:color w:val="000000" w:themeColor="text1"/>
                <w:kern w:val="0"/>
                <w:sz w:val="24"/>
                <w:szCs w:val="24"/>
              </w:rPr>
              <w:t>68.6/40.0</w:t>
            </w:r>
          </w:p>
        </w:tc>
        <w:tc>
          <w:tcPr>
            <w:tcW w:w="252" w:type="pct"/>
            <w:shd w:val="clear" w:color="auto" w:fill="auto"/>
            <w:noWrap/>
            <w:vAlign w:val="center"/>
            <w:hideMark/>
          </w:tcPr>
          <w:p w14:paraId="0EB6943F"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82.9/88.0</w:t>
            </w:r>
          </w:p>
        </w:tc>
        <w:tc>
          <w:tcPr>
            <w:tcW w:w="252" w:type="pct"/>
            <w:shd w:val="clear" w:color="auto" w:fill="auto"/>
            <w:noWrap/>
            <w:vAlign w:val="center"/>
            <w:hideMark/>
          </w:tcPr>
          <w:p w14:paraId="0D61DAF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88.6/92.0</w:t>
            </w:r>
          </w:p>
        </w:tc>
        <w:tc>
          <w:tcPr>
            <w:tcW w:w="219" w:type="pct"/>
            <w:shd w:val="clear" w:color="auto" w:fill="auto"/>
            <w:noWrap/>
            <w:vAlign w:val="center"/>
            <w:hideMark/>
          </w:tcPr>
          <w:p w14:paraId="7E19809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68.6/64.0</w:t>
            </w:r>
          </w:p>
        </w:tc>
        <w:tc>
          <w:tcPr>
            <w:tcW w:w="252" w:type="pct"/>
            <w:shd w:val="clear" w:color="auto" w:fill="auto"/>
            <w:noWrap/>
            <w:vAlign w:val="center"/>
            <w:hideMark/>
          </w:tcPr>
          <w:p w14:paraId="33679C7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37.1/36.0</w:t>
            </w:r>
          </w:p>
        </w:tc>
      </w:tr>
      <w:tr w:rsidR="00617F1C" w:rsidRPr="00B43A8C" w14:paraId="23CC5A36" w14:textId="77777777" w:rsidTr="00617F1C">
        <w:trPr>
          <w:trHeight w:val="240"/>
        </w:trPr>
        <w:tc>
          <w:tcPr>
            <w:tcW w:w="388" w:type="pct"/>
            <w:shd w:val="clear" w:color="auto" w:fill="auto"/>
            <w:noWrap/>
            <w:vAlign w:val="center"/>
            <w:hideMark/>
          </w:tcPr>
          <w:p w14:paraId="416F9651" w14:textId="77777777" w:rsidR="00A1284B" w:rsidRPr="00B43A8C" w:rsidRDefault="00A1284B" w:rsidP="00792AF6">
            <w:pPr>
              <w:widowControl/>
              <w:wordWrap/>
              <w:autoSpaceDE/>
              <w:autoSpaceDN/>
              <w:adjustRightInd w:val="0"/>
              <w:snapToGrid w:val="0"/>
              <w:spacing w:line="360" w:lineRule="auto"/>
              <w:ind w:firstLineChars="100" w:firstLine="240"/>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No/Yes (35/25)</w:t>
            </w:r>
          </w:p>
        </w:tc>
        <w:tc>
          <w:tcPr>
            <w:tcW w:w="260" w:type="pct"/>
            <w:shd w:val="clear" w:color="auto" w:fill="auto"/>
            <w:noWrap/>
            <w:vAlign w:val="center"/>
            <w:hideMark/>
          </w:tcPr>
          <w:p w14:paraId="70E66AA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0.22</w:t>
            </w:r>
          </w:p>
        </w:tc>
        <w:tc>
          <w:tcPr>
            <w:tcW w:w="196" w:type="pct"/>
            <w:shd w:val="clear" w:color="auto" w:fill="auto"/>
            <w:noWrap/>
            <w:vAlign w:val="center"/>
            <w:hideMark/>
          </w:tcPr>
          <w:p w14:paraId="52958E1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0.25</w:t>
            </w:r>
          </w:p>
        </w:tc>
        <w:tc>
          <w:tcPr>
            <w:tcW w:w="219" w:type="pct"/>
            <w:shd w:val="clear" w:color="auto" w:fill="auto"/>
            <w:noWrap/>
            <w:vAlign w:val="center"/>
            <w:hideMark/>
          </w:tcPr>
          <w:p w14:paraId="4E78B58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0.48</w:t>
            </w:r>
          </w:p>
        </w:tc>
        <w:tc>
          <w:tcPr>
            <w:tcW w:w="235" w:type="pct"/>
            <w:shd w:val="clear" w:color="auto" w:fill="auto"/>
            <w:noWrap/>
            <w:vAlign w:val="center"/>
            <w:hideMark/>
          </w:tcPr>
          <w:p w14:paraId="07D936E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0.18</w:t>
            </w:r>
          </w:p>
        </w:tc>
        <w:tc>
          <w:tcPr>
            <w:tcW w:w="219" w:type="pct"/>
            <w:shd w:val="clear" w:color="auto" w:fill="auto"/>
            <w:noWrap/>
            <w:vAlign w:val="center"/>
            <w:hideMark/>
          </w:tcPr>
          <w:p w14:paraId="331C894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0.57</w:t>
            </w:r>
          </w:p>
        </w:tc>
        <w:tc>
          <w:tcPr>
            <w:tcW w:w="235" w:type="pct"/>
            <w:shd w:val="clear" w:color="auto" w:fill="auto"/>
            <w:noWrap/>
            <w:vAlign w:val="center"/>
            <w:hideMark/>
          </w:tcPr>
          <w:p w14:paraId="68CBFDB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0.28</w:t>
            </w:r>
          </w:p>
        </w:tc>
        <w:tc>
          <w:tcPr>
            <w:tcW w:w="252" w:type="pct"/>
            <w:shd w:val="clear" w:color="auto" w:fill="auto"/>
            <w:noWrap/>
            <w:vAlign w:val="center"/>
            <w:hideMark/>
          </w:tcPr>
          <w:p w14:paraId="74D1AF9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0.22</w:t>
            </w:r>
          </w:p>
        </w:tc>
        <w:tc>
          <w:tcPr>
            <w:tcW w:w="219" w:type="pct"/>
            <w:shd w:val="clear" w:color="auto" w:fill="auto"/>
            <w:noWrap/>
            <w:vAlign w:val="center"/>
            <w:hideMark/>
          </w:tcPr>
          <w:p w14:paraId="2B4A510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0.18</w:t>
            </w:r>
          </w:p>
        </w:tc>
        <w:tc>
          <w:tcPr>
            <w:tcW w:w="219" w:type="pct"/>
            <w:shd w:val="clear" w:color="auto" w:fill="auto"/>
            <w:noWrap/>
            <w:vAlign w:val="center"/>
            <w:hideMark/>
          </w:tcPr>
          <w:p w14:paraId="5D14633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0.14</w:t>
            </w:r>
          </w:p>
        </w:tc>
        <w:tc>
          <w:tcPr>
            <w:tcW w:w="235" w:type="pct"/>
            <w:shd w:val="clear" w:color="auto" w:fill="auto"/>
            <w:noWrap/>
            <w:vAlign w:val="center"/>
            <w:hideMark/>
          </w:tcPr>
          <w:p w14:paraId="722F531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0.45</w:t>
            </w:r>
          </w:p>
        </w:tc>
        <w:tc>
          <w:tcPr>
            <w:tcW w:w="235" w:type="pct"/>
            <w:shd w:val="clear" w:color="auto" w:fill="auto"/>
            <w:noWrap/>
            <w:vAlign w:val="center"/>
            <w:hideMark/>
          </w:tcPr>
          <w:p w14:paraId="1C930A2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0.13</w:t>
            </w:r>
          </w:p>
        </w:tc>
        <w:tc>
          <w:tcPr>
            <w:tcW w:w="219" w:type="pct"/>
            <w:shd w:val="clear" w:color="auto" w:fill="auto"/>
            <w:noWrap/>
            <w:vAlign w:val="center"/>
            <w:hideMark/>
          </w:tcPr>
          <w:p w14:paraId="4FF90C3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0.31</w:t>
            </w:r>
          </w:p>
        </w:tc>
        <w:tc>
          <w:tcPr>
            <w:tcW w:w="235" w:type="pct"/>
            <w:shd w:val="clear" w:color="auto" w:fill="auto"/>
            <w:noWrap/>
            <w:vAlign w:val="center"/>
            <w:hideMark/>
          </w:tcPr>
          <w:p w14:paraId="2056DE4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0.18</w:t>
            </w:r>
          </w:p>
        </w:tc>
        <w:tc>
          <w:tcPr>
            <w:tcW w:w="219" w:type="pct"/>
            <w:shd w:val="clear" w:color="auto" w:fill="auto"/>
            <w:noWrap/>
            <w:vAlign w:val="center"/>
            <w:hideMark/>
          </w:tcPr>
          <w:p w14:paraId="3F9AB93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0.17</w:t>
            </w:r>
          </w:p>
        </w:tc>
        <w:tc>
          <w:tcPr>
            <w:tcW w:w="219" w:type="pct"/>
            <w:shd w:val="clear" w:color="auto" w:fill="auto"/>
            <w:noWrap/>
            <w:vAlign w:val="center"/>
            <w:hideMark/>
          </w:tcPr>
          <w:p w14:paraId="2DBF4D6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w:t>
            </w:r>
          </w:p>
        </w:tc>
        <w:tc>
          <w:tcPr>
            <w:tcW w:w="219" w:type="pct"/>
            <w:shd w:val="clear" w:color="auto" w:fill="auto"/>
            <w:noWrap/>
            <w:vAlign w:val="center"/>
            <w:hideMark/>
          </w:tcPr>
          <w:p w14:paraId="1F08BED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0.03</w:t>
            </w:r>
          </w:p>
        </w:tc>
        <w:tc>
          <w:tcPr>
            <w:tcW w:w="252" w:type="pct"/>
            <w:shd w:val="clear" w:color="auto" w:fill="auto"/>
            <w:noWrap/>
            <w:vAlign w:val="center"/>
            <w:hideMark/>
          </w:tcPr>
          <w:p w14:paraId="2D8DD27D"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0.43</w:t>
            </w:r>
          </w:p>
        </w:tc>
        <w:tc>
          <w:tcPr>
            <w:tcW w:w="252" w:type="pct"/>
            <w:shd w:val="clear" w:color="auto" w:fill="auto"/>
            <w:noWrap/>
            <w:vAlign w:val="center"/>
            <w:hideMark/>
          </w:tcPr>
          <w:p w14:paraId="34D0C87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0.51</w:t>
            </w:r>
          </w:p>
        </w:tc>
        <w:tc>
          <w:tcPr>
            <w:tcW w:w="219" w:type="pct"/>
            <w:shd w:val="clear" w:color="auto" w:fill="auto"/>
            <w:noWrap/>
            <w:vAlign w:val="center"/>
            <w:hideMark/>
          </w:tcPr>
          <w:p w14:paraId="48A7933D"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0.46</w:t>
            </w:r>
          </w:p>
        </w:tc>
        <w:tc>
          <w:tcPr>
            <w:tcW w:w="252" w:type="pct"/>
            <w:shd w:val="clear" w:color="auto" w:fill="auto"/>
            <w:noWrap/>
            <w:vAlign w:val="center"/>
            <w:hideMark/>
          </w:tcPr>
          <w:p w14:paraId="5FC8575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0.57</w:t>
            </w:r>
          </w:p>
        </w:tc>
      </w:tr>
      <w:tr w:rsidR="00617F1C" w:rsidRPr="00B43A8C" w14:paraId="47DEAB72" w14:textId="77777777" w:rsidTr="00617F1C">
        <w:trPr>
          <w:trHeight w:val="240"/>
        </w:trPr>
        <w:tc>
          <w:tcPr>
            <w:tcW w:w="388" w:type="pct"/>
            <w:shd w:val="clear" w:color="auto" w:fill="auto"/>
            <w:noWrap/>
            <w:vAlign w:val="center"/>
            <w:hideMark/>
          </w:tcPr>
          <w:p w14:paraId="71AD91C5" w14:textId="2BA035F4" w:rsidR="00A1284B" w:rsidRPr="00B43A8C" w:rsidRDefault="00CC6209"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Pr>
                <w:rFonts w:ascii="Book Antiqua" w:eastAsia="Arial Unicode MS" w:hAnsi="Book Antiqua" w:cs="Arial Unicode MS"/>
                <w:color w:val="000000" w:themeColor="text1"/>
                <w:kern w:val="0"/>
                <w:sz w:val="24"/>
                <w:szCs w:val="24"/>
              </w:rPr>
              <w:t>Family history</w:t>
            </w:r>
          </w:p>
        </w:tc>
        <w:tc>
          <w:tcPr>
            <w:tcW w:w="260" w:type="pct"/>
            <w:shd w:val="clear" w:color="auto" w:fill="auto"/>
            <w:noWrap/>
            <w:vAlign w:val="center"/>
            <w:hideMark/>
          </w:tcPr>
          <w:p w14:paraId="2ABE2FB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24.0/30.0</w:t>
            </w:r>
          </w:p>
        </w:tc>
        <w:tc>
          <w:tcPr>
            <w:tcW w:w="196" w:type="pct"/>
            <w:shd w:val="clear" w:color="auto" w:fill="auto"/>
            <w:noWrap/>
            <w:vAlign w:val="center"/>
            <w:hideMark/>
          </w:tcPr>
          <w:p w14:paraId="5D38A6B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28.0/20.0</w:t>
            </w:r>
          </w:p>
        </w:tc>
        <w:tc>
          <w:tcPr>
            <w:tcW w:w="219" w:type="pct"/>
            <w:shd w:val="clear" w:color="auto" w:fill="auto"/>
            <w:noWrap/>
            <w:vAlign w:val="center"/>
            <w:hideMark/>
          </w:tcPr>
          <w:p w14:paraId="615FA4C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18.0/20.0</w:t>
            </w:r>
          </w:p>
        </w:tc>
        <w:tc>
          <w:tcPr>
            <w:tcW w:w="235" w:type="pct"/>
            <w:shd w:val="clear" w:color="auto" w:fill="auto"/>
            <w:noWrap/>
            <w:vAlign w:val="center"/>
            <w:hideMark/>
          </w:tcPr>
          <w:p w14:paraId="2D411CE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38.0/30.0</w:t>
            </w:r>
          </w:p>
        </w:tc>
        <w:tc>
          <w:tcPr>
            <w:tcW w:w="219" w:type="pct"/>
            <w:shd w:val="clear" w:color="auto" w:fill="auto"/>
            <w:noWrap/>
            <w:vAlign w:val="center"/>
            <w:hideMark/>
          </w:tcPr>
          <w:p w14:paraId="35FF26CF"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36.0/40.0</w:t>
            </w:r>
          </w:p>
        </w:tc>
        <w:tc>
          <w:tcPr>
            <w:tcW w:w="235" w:type="pct"/>
            <w:shd w:val="clear" w:color="auto" w:fill="auto"/>
            <w:noWrap/>
            <w:vAlign w:val="center"/>
            <w:hideMark/>
          </w:tcPr>
          <w:p w14:paraId="188098F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78.0/80.0</w:t>
            </w:r>
          </w:p>
        </w:tc>
        <w:tc>
          <w:tcPr>
            <w:tcW w:w="252" w:type="pct"/>
            <w:shd w:val="clear" w:color="auto" w:fill="auto"/>
            <w:noWrap/>
            <w:vAlign w:val="center"/>
            <w:hideMark/>
          </w:tcPr>
          <w:p w14:paraId="1878CCF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72.0/90.0</w:t>
            </w:r>
          </w:p>
        </w:tc>
        <w:tc>
          <w:tcPr>
            <w:tcW w:w="219" w:type="pct"/>
            <w:shd w:val="clear" w:color="auto" w:fill="auto"/>
            <w:noWrap/>
            <w:vAlign w:val="center"/>
            <w:hideMark/>
          </w:tcPr>
          <w:p w14:paraId="6D5BF10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28.0/30.0</w:t>
            </w:r>
          </w:p>
        </w:tc>
        <w:tc>
          <w:tcPr>
            <w:tcW w:w="219" w:type="pct"/>
            <w:shd w:val="clear" w:color="auto" w:fill="auto"/>
            <w:noWrap/>
            <w:vAlign w:val="center"/>
            <w:hideMark/>
          </w:tcPr>
          <w:p w14:paraId="7B3A767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74.0/80.0</w:t>
            </w:r>
          </w:p>
        </w:tc>
        <w:tc>
          <w:tcPr>
            <w:tcW w:w="235" w:type="pct"/>
            <w:shd w:val="clear" w:color="auto" w:fill="auto"/>
            <w:noWrap/>
            <w:vAlign w:val="center"/>
            <w:hideMark/>
          </w:tcPr>
          <w:p w14:paraId="0CDF22F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64.0/70.0</w:t>
            </w:r>
          </w:p>
        </w:tc>
        <w:tc>
          <w:tcPr>
            <w:tcW w:w="235" w:type="pct"/>
            <w:shd w:val="clear" w:color="auto" w:fill="auto"/>
            <w:noWrap/>
            <w:vAlign w:val="center"/>
            <w:hideMark/>
          </w:tcPr>
          <w:p w14:paraId="674D746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42.0/20.0</w:t>
            </w:r>
          </w:p>
        </w:tc>
        <w:tc>
          <w:tcPr>
            <w:tcW w:w="219" w:type="pct"/>
            <w:shd w:val="clear" w:color="auto" w:fill="auto"/>
            <w:noWrap/>
            <w:vAlign w:val="center"/>
            <w:hideMark/>
          </w:tcPr>
          <w:p w14:paraId="2177C4B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12.0/10.0</w:t>
            </w:r>
          </w:p>
        </w:tc>
        <w:tc>
          <w:tcPr>
            <w:tcW w:w="235" w:type="pct"/>
            <w:shd w:val="clear" w:color="auto" w:fill="auto"/>
            <w:noWrap/>
            <w:vAlign w:val="center"/>
            <w:hideMark/>
          </w:tcPr>
          <w:p w14:paraId="0AC1D7B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88.0/70.0</w:t>
            </w:r>
          </w:p>
        </w:tc>
        <w:tc>
          <w:tcPr>
            <w:tcW w:w="219" w:type="pct"/>
            <w:shd w:val="clear" w:color="auto" w:fill="auto"/>
            <w:noWrap/>
            <w:vAlign w:val="center"/>
            <w:hideMark/>
          </w:tcPr>
          <w:p w14:paraId="497DC61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56.0/40.0</w:t>
            </w:r>
          </w:p>
        </w:tc>
        <w:tc>
          <w:tcPr>
            <w:tcW w:w="219" w:type="pct"/>
            <w:shd w:val="clear" w:color="auto" w:fill="auto"/>
            <w:noWrap/>
            <w:vAlign w:val="center"/>
            <w:hideMark/>
          </w:tcPr>
          <w:p w14:paraId="79258A8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70.0/70.0</w:t>
            </w:r>
          </w:p>
        </w:tc>
        <w:tc>
          <w:tcPr>
            <w:tcW w:w="219" w:type="pct"/>
            <w:shd w:val="clear" w:color="auto" w:fill="auto"/>
            <w:noWrap/>
            <w:vAlign w:val="center"/>
            <w:hideMark/>
          </w:tcPr>
          <w:p w14:paraId="303FD73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60.0/40.0</w:t>
            </w:r>
          </w:p>
        </w:tc>
        <w:tc>
          <w:tcPr>
            <w:tcW w:w="252" w:type="pct"/>
            <w:shd w:val="clear" w:color="auto" w:fill="auto"/>
            <w:noWrap/>
            <w:vAlign w:val="center"/>
            <w:hideMark/>
          </w:tcPr>
          <w:p w14:paraId="1C2F931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88.0/70.0</w:t>
            </w:r>
          </w:p>
        </w:tc>
        <w:tc>
          <w:tcPr>
            <w:tcW w:w="252" w:type="pct"/>
            <w:shd w:val="clear" w:color="auto" w:fill="auto"/>
            <w:noWrap/>
            <w:vAlign w:val="center"/>
            <w:hideMark/>
          </w:tcPr>
          <w:p w14:paraId="682A07A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CC6209">
              <w:rPr>
                <w:rFonts w:ascii="Book Antiqua" w:eastAsia="Arial Unicode MS" w:hAnsi="Book Antiqua" w:cs="Arial Unicode MS"/>
                <w:bCs/>
                <w:iCs/>
                <w:color w:val="000000" w:themeColor="text1"/>
                <w:kern w:val="0"/>
                <w:sz w:val="24"/>
                <w:szCs w:val="24"/>
              </w:rPr>
              <w:t>94.0/70.0</w:t>
            </w:r>
          </w:p>
        </w:tc>
        <w:tc>
          <w:tcPr>
            <w:tcW w:w="219" w:type="pct"/>
            <w:shd w:val="clear" w:color="auto" w:fill="auto"/>
            <w:noWrap/>
            <w:vAlign w:val="center"/>
            <w:hideMark/>
          </w:tcPr>
          <w:p w14:paraId="2F759EDD"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72.0/40.0</w:t>
            </w:r>
          </w:p>
        </w:tc>
        <w:tc>
          <w:tcPr>
            <w:tcW w:w="252" w:type="pct"/>
            <w:shd w:val="clear" w:color="auto" w:fill="auto"/>
            <w:noWrap/>
            <w:vAlign w:val="center"/>
            <w:hideMark/>
          </w:tcPr>
          <w:p w14:paraId="4E5C596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36.0/40.0</w:t>
            </w:r>
          </w:p>
        </w:tc>
      </w:tr>
      <w:tr w:rsidR="00617F1C" w:rsidRPr="00B43A8C" w14:paraId="0315677F" w14:textId="77777777" w:rsidTr="00617F1C">
        <w:trPr>
          <w:trHeight w:val="240"/>
        </w:trPr>
        <w:tc>
          <w:tcPr>
            <w:tcW w:w="388" w:type="pct"/>
            <w:shd w:val="clear" w:color="auto" w:fill="auto"/>
            <w:noWrap/>
            <w:vAlign w:val="center"/>
            <w:hideMark/>
          </w:tcPr>
          <w:p w14:paraId="446404E3" w14:textId="77777777" w:rsidR="00A1284B" w:rsidRPr="00B43A8C" w:rsidRDefault="00A1284B" w:rsidP="00792AF6">
            <w:pPr>
              <w:widowControl/>
              <w:wordWrap/>
              <w:autoSpaceDE/>
              <w:autoSpaceDN/>
              <w:adjustRightInd w:val="0"/>
              <w:snapToGrid w:val="0"/>
              <w:spacing w:line="360" w:lineRule="auto"/>
              <w:ind w:firstLineChars="100" w:firstLine="240"/>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No/Yes (50/10)</w:t>
            </w:r>
          </w:p>
        </w:tc>
        <w:tc>
          <w:tcPr>
            <w:tcW w:w="260" w:type="pct"/>
            <w:shd w:val="clear" w:color="auto" w:fill="auto"/>
            <w:noWrap/>
            <w:vAlign w:val="center"/>
            <w:hideMark/>
          </w:tcPr>
          <w:p w14:paraId="4C1C557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0.48</w:t>
            </w:r>
          </w:p>
        </w:tc>
        <w:tc>
          <w:tcPr>
            <w:tcW w:w="196" w:type="pct"/>
            <w:shd w:val="clear" w:color="auto" w:fill="auto"/>
            <w:noWrap/>
            <w:vAlign w:val="center"/>
            <w:hideMark/>
          </w:tcPr>
          <w:p w14:paraId="7607069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0.46</w:t>
            </w:r>
          </w:p>
        </w:tc>
        <w:tc>
          <w:tcPr>
            <w:tcW w:w="219" w:type="pct"/>
            <w:shd w:val="clear" w:color="auto" w:fill="auto"/>
            <w:noWrap/>
            <w:vAlign w:val="center"/>
            <w:hideMark/>
          </w:tcPr>
          <w:p w14:paraId="0694218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0.59</w:t>
            </w:r>
          </w:p>
        </w:tc>
        <w:tc>
          <w:tcPr>
            <w:tcW w:w="235" w:type="pct"/>
            <w:shd w:val="clear" w:color="auto" w:fill="auto"/>
            <w:noWrap/>
            <w:vAlign w:val="center"/>
            <w:hideMark/>
          </w:tcPr>
          <w:p w14:paraId="7BD6EFB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0.46</w:t>
            </w:r>
          </w:p>
        </w:tc>
        <w:tc>
          <w:tcPr>
            <w:tcW w:w="219" w:type="pct"/>
            <w:shd w:val="clear" w:color="auto" w:fill="auto"/>
            <w:noWrap/>
            <w:vAlign w:val="center"/>
            <w:hideMark/>
          </w:tcPr>
          <w:p w14:paraId="7FB717B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0.54</w:t>
            </w:r>
          </w:p>
        </w:tc>
        <w:tc>
          <w:tcPr>
            <w:tcW w:w="235" w:type="pct"/>
            <w:shd w:val="clear" w:color="auto" w:fill="auto"/>
            <w:noWrap/>
            <w:vAlign w:val="center"/>
            <w:hideMark/>
          </w:tcPr>
          <w:p w14:paraId="2E16D35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0.63</w:t>
            </w:r>
          </w:p>
        </w:tc>
        <w:tc>
          <w:tcPr>
            <w:tcW w:w="252" w:type="pct"/>
            <w:shd w:val="clear" w:color="auto" w:fill="auto"/>
            <w:noWrap/>
            <w:vAlign w:val="center"/>
            <w:hideMark/>
          </w:tcPr>
          <w:p w14:paraId="3CB6085F"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0.22</w:t>
            </w:r>
          </w:p>
        </w:tc>
        <w:tc>
          <w:tcPr>
            <w:tcW w:w="219" w:type="pct"/>
            <w:shd w:val="clear" w:color="auto" w:fill="auto"/>
            <w:noWrap/>
            <w:vAlign w:val="center"/>
            <w:hideMark/>
          </w:tcPr>
          <w:p w14:paraId="2E6BE99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0.59</w:t>
            </w:r>
          </w:p>
        </w:tc>
        <w:tc>
          <w:tcPr>
            <w:tcW w:w="219" w:type="pct"/>
            <w:shd w:val="clear" w:color="auto" w:fill="auto"/>
            <w:noWrap/>
            <w:vAlign w:val="center"/>
            <w:hideMark/>
          </w:tcPr>
          <w:p w14:paraId="7CED583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0.52</w:t>
            </w:r>
          </w:p>
        </w:tc>
        <w:tc>
          <w:tcPr>
            <w:tcW w:w="235" w:type="pct"/>
            <w:shd w:val="clear" w:color="auto" w:fill="auto"/>
            <w:noWrap/>
            <w:vAlign w:val="center"/>
            <w:hideMark/>
          </w:tcPr>
          <w:p w14:paraId="385D1FD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0.51</w:t>
            </w:r>
          </w:p>
        </w:tc>
        <w:tc>
          <w:tcPr>
            <w:tcW w:w="235" w:type="pct"/>
            <w:shd w:val="clear" w:color="auto" w:fill="auto"/>
            <w:noWrap/>
            <w:vAlign w:val="center"/>
            <w:hideMark/>
          </w:tcPr>
          <w:p w14:paraId="679ABB3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0.17</w:t>
            </w:r>
          </w:p>
        </w:tc>
        <w:tc>
          <w:tcPr>
            <w:tcW w:w="219" w:type="pct"/>
            <w:shd w:val="clear" w:color="auto" w:fill="auto"/>
            <w:noWrap/>
            <w:vAlign w:val="center"/>
            <w:hideMark/>
          </w:tcPr>
          <w:p w14:paraId="360C22F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0.67</w:t>
            </w:r>
          </w:p>
        </w:tc>
        <w:tc>
          <w:tcPr>
            <w:tcW w:w="235" w:type="pct"/>
            <w:shd w:val="clear" w:color="auto" w:fill="auto"/>
            <w:noWrap/>
            <w:vAlign w:val="center"/>
            <w:hideMark/>
          </w:tcPr>
          <w:p w14:paraId="0AA6213F"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0.16</w:t>
            </w:r>
          </w:p>
        </w:tc>
        <w:tc>
          <w:tcPr>
            <w:tcW w:w="219" w:type="pct"/>
            <w:shd w:val="clear" w:color="auto" w:fill="auto"/>
            <w:noWrap/>
            <w:vAlign w:val="center"/>
            <w:hideMark/>
          </w:tcPr>
          <w:p w14:paraId="2256144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0.28</w:t>
            </w:r>
          </w:p>
        </w:tc>
        <w:tc>
          <w:tcPr>
            <w:tcW w:w="219" w:type="pct"/>
            <w:shd w:val="clear" w:color="auto" w:fill="auto"/>
            <w:noWrap/>
            <w:vAlign w:val="center"/>
            <w:hideMark/>
          </w:tcPr>
          <w:p w14:paraId="5B53B51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0.63</w:t>
            </w:r>
          </w:p>
        </w:tc>
        <w:tc>
          <w:tcPr>
            <w:tcW w:w="219" w:type="pct"/>
            <w:shd w:val="clear" w:color="auto" w:fill="auto"/>
            <w:noWrap/>
            <w:vAlign w:val="center"/>
            <w:hideMark/>
          </w:tcPr>
          <w:p w14:paraId="3557050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0.21</w:t>
            </w:r>
          </w:p>
        </w:tc>
        <w:tc>
          <w:tcPr>
            <w:tcW w:w="252" w:type="pct"/>
            <w:shd w:val="clear" w:color="auto" w:fill="auto"/>
            <w:noWrap/>
            <w:vAlign w:val="center"/>
            <w:hideMark/>
          </w:tcPr>
          <w:p w14:paraId="6668B6E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0.16</w:t>
            </w:r>
          </w:p>
        </w:tc>
        <w:tc>
          <w:tcPr>
            <w:tcW w:w="252" w:type="pct"/>
            <w:shd w:val="clear" w:color="auto" w:fill="auto"/>
            <w:noWrap/>
            <w:vAlign w:val="center"/>
            <w:hideMark/>
          </w:tcPr>
          <w:p w14:paraId="5A3EBD0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0.05</w:t>
            </w:r>
          </w:p>
        </w:tc>
        <w:tc>
          <w:tcPr>
            <w:tcW w:w="219" w:type="pct"/>
            <w:shd w:val="clear" w:color="auto" w:fill="auto"/>
            <w:noWrap/>
            <w:vAlign w:val="center"/>
            <w:hideMark/>
          </w:tcPr>
          <w:p w14:paraId="33E7677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0.06</w:t>
            </w:r>
          </w:p>
        </w:tc>
        <w:tc>
          <w:tcPr>
            <w:tcW w:w="252" w:type="pct"/>
            <w:shd w:val="clear" w:color="auto" w:fill="auto"/>
            <w:noWrap/>
            <w:vAlign w:val="center"/>
            <w:hideMark/>
          </w:tcPr>
          <w:p w14:paraId="4F797F4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0.54</w:t>
            </w:r>
          </w:p>
        </w:tc>
      </w:tr>
      <w:tr w:rsidR="00617F1C" w:rsidRPr="00B43A8C" w14:paraId="629B0D10" w14:textId="77777777" w:rsidTr="00617F1C">
        <w:trPr>
          <w:trHeight w:val="240"/>
        </w:trPr>
        <w:tc>
          <w:tcPr>
            <w:tcW w:w="388" w:type="pct"/>
            <w:shd w:val="clear" w:color="auto" w:fill="auto"/>
            <w:noWrap/>
            <w:vAlign w:val="center"/>
            <w:hideMark/>
          </w:tcPr>
          <w:p w14:paraId="6730214A" w14:textId="60B44DA7" w:rsidR="00A1284B" w:rsidRPr="00B43A8C" w:rsidRDefault="00CC6209"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Pr>
                <w:rFonts w:ascii="Book Antiqua" w:eastAsia="Arial Unicode MS" w:hAnsi="Book Antiqua" w:cs="Arial Unicode MS"/>
                <w:color w:val="000000" w:themeColor="text1"/>
                <w:kern w:val="0"/>
                <w:sz w:val="24"/>
                <w:szCs w:val="24"/>
              </w:rPr>
              <w:t xml:space="preserve">Synchronous </w:t>
            </w:r>
            <w:r>
              <w:rPr>
                <w:rFonts w:ascii="Book Antiqua" w:eastAsia="Arial Unicode MS" w:hAnsi="Book Antiqua" w:cs="Arial Unicode MS"/>
                <w:color w:val="000000" w:themeColor="text1"/>
                <w:kern w:val="0"/>
                <w:sz w:val="24"/>
                <w:szCs w:val="24"/>
              </w:rPr>
              <w:lastRenderedPageBreak/>
              <w:t>Lm</w:t>
            </w:r>
          </w:p>
        </w:tc>
        <w:tc>
          <w:tcPr>
            <w:tcW w:w="260" w:type="pct"/>
            <w:shd w:val="clear" w:color="auto" w:fill="auto"/>
            <w:noWrap/>
            <w:vAlign w:val="center"/>
            <w:hideMark/>
          </w:tcPr>
          <w:p w14:paraId="3C7A0FE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33.3/21.</w:t>
            </w:r>
            <w:r w:rsidRPr="00CC6209">
              <w:rPr>
                <w:rFonts w:ascii="Book Antiqua" w:eastAsia="Arial Unicode MS" w:hAnsi="Book Antiqua" w:cs="Arial Unicode MS"/>
                <w:color w:val="000000" w:themeColor="text1"/>
                <w:kern w:val="0"/>
                <w:sz w:val="24"/>
                <w:szCs w:val="24"/>
              </w:rPr>
              <w:lastRenderedPageBreak/>
              <w:t>4</w:t>
            </w:r>
          </w:p>
        </w:tc>
        <w:tc>
          <w:tcPr>
            <w:tcW w:w="196" w:type="pct"/>
            <w:shd w:val="clear" w:color="auto" w:fill="auto"/>
            <w:noWrap/>
            <w:vAlign w:val="center"/>
            <w:hideMark/>
          </w:tcPr>
          <w:p w14:paraId="31C07FE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33.3/2</w:t>
            </w:r>
            <w:r w:rsidRPr="00CC6209">
              <w:rPr>
                <w:rFonts w:ascii="Book Antiqua" w:eastAsia="Arial Unicode MS" w:hAnsi="Book Antiqua" w:cs="Arial Unicode MS"/>
                <w:color w:val="000000" w:themeColor="text1"/>
                <w:kern w:val="0"/>
                <w:sz w:val="24"/>
                <w:szCs w:val="24"/>
              </w:rPr>
              <w:lastRenderedPageBreak/>
              <w:t>3.8</w:t>
            </w:r>
          </w:p>
        </w:tc>
        <w:tc>
          <w:tcPr>
            <w:tcW w:w="219" w:type="pct"/>
            <w:shd w:val="clear" w:color="auto" w:fill="auto"/>
            <w:noWrap/>
            <w:vAlign w:val="center"/>
            <w:hideMark/>
          </w:tcPr>
          <w:p w14:paraId="40F7DE9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22.2/1</w:t>
            </w:r>
            <w:r w:rsidRPr="00CC6209">
              <w:rPr>
                <w:rFonts w:ascii="Book Antiqua" w:eastAsia="Arial Unicode MS" w:hAnsi="Book Antiqua" w:cs="Arial Unicode MS"/>
                <w:color w:val="000000" w:themeColor="text1"/>
                <w:kern w:val="0"/>
                <w:sz w:val="24"/>
                <w:szCs w:val="24"/>
              </w:rPr>
              <w:lastRenderedPageBreak/>
              <w:t>6.7</w:t>
            </w:r>
          </w:p>
        </w:tc>
        <w:tc>
          <w:tcPr>
            <w:tcW w:w="235" w:type="pct"/>
            <w:shd w:val="clear" w:color="auto" w:fill="auto"/>
            <w:noWrap/>
            <w:vAlign w:val="center"/>
            <w:hideMark/>
          </w:tcPr>
          <w:p w14:paraId="0022411D"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33.3/38.</w:t>
            </w:r>
            <w:r w:rsidRPr="00CC6209">
              <w:rPr>
                <w:rFonts w:ascii="Book Antiqua" w:eastAsia="Arial Unicode MS" w:hAnsi="Book Antiqua" w:cs="Arial Unicode MS"/>
                <w:color w:val="000000" w:themeColor="text1"/>
                <w:kern w:val="0"/>
                <w:sz w:val="24"/>
                <w:szCs w:val="24"/>
              </w:rPr>
              <w:lastRenderedPageBreak/>
              <w:t>1</w:t>
            </w:r>
          </w:p>
        </w:tc>
        <w:tc>
          <w:tcPr>
            <w:tcW w:w="219" w:type="pct"/>
            <w:shd w:val="clear" w:color="auto" w:fill="auto"/>
            <w:noWrap/>
            <w:vAlign w:val="center"/>
            <w:hideMark/>
          </w:tcPr>
          <w:p w14:paraId="3D28A03F"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33.3/3</w:t>
            </w:r>
            <w:r w:rsidRPr="00CC6209">
              <w:rPr>
                <w:rFonts w:ascii="Book Antiqua" w:eastAsia="Arial Unicode MS" w:hAnsi="Book Antiqua" w:cs="Arial Unicode MS"/>
                <w:color w:val="000000" w:themeColor="text1"/>
                <w:kern w:val="0"/>
                <w:sz w:val="24"/>
                <w:szCs w:val="24"/>
              </w:rPr>
              <w:lastRenderedPageBreak/>
              <w:t>8.1</w:t>
            </w:r>
          </w:p>
        </w:tc>
        <w:tc>
          <w:tcPr>
            <w:tcW w:w="235" w:type="pct"/>
            <w:shd w:val="clear" w:color="auto" w:fill="auto"/>
            <w:noWrap/>
            <w:vAlign w:val="center"/>
            <w:hideMark/>
          </w:tcPr>
          <w:p w14:paraId="5A9858E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72.2/81.</w:t>
            </w:r>
            <w:r w:rsidRPr="00CC6209">
              <w:rPr>
                <w:rFonts w:ascii="Book Antiqua" w:eastAsia="Arial Unicode MS" w:hAnsi="Book Antiqua" w:cs="Arial Unicode MS"/>
                <w:color w:val="000000" w:themeColor="text1"/>
                <w:kern w:val="0"/>
                <w:sz w:val="24"/>
                <w:szCs w:val="24"/>
              </w:rPr>
              <w:lastRenderedPageBreak/>
              <w:t>0</w:t>
            </w:r>
          </w:p>
        </w:tc>
        <w:tc>
          <w:tcPr>
            <w:tcW w:w="252" w:type="pct"/>
            <w:shd w:val="clear" w:color="auto" w:fill="auto"/>
            <w:noWrap/>
            <w:vAlign w:val="center"/>
            <w:hideMark/>
          </w:tcPr>
          <w:p w14:paraId="2197206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83.3/71.</w:t>
            </w:r>
            <w:r w:rsidRPr="00CC6209">
              <w:rPr>
                <w:rFonts w:ascii="Book Antiqua" w:eastAsia="Arial Unicode MS" w:hAnsi="Book Antiqua" w:cs="Arial Unicode MS"/>
                <w:color w:val="000000" w:themeColor="text1"/>
                <w:kern w:val="0"/>
                <w:sz w:val="24"/>
                <w:szCs w:val="24"/>
              </w:rPr>
              <w:lastRenderedPageBreak/>
              <w:t>4</w:t>
            </w:r>
          </w:p>
        </w:tc>
        <w:tc>
          <w:tcPr>
            <w:tcW w:w="219" w:type="pct"/>
            <w:shd w:val="clear" w:color="auto" w:fill="auto"/>
            <w:noWrap/>
            <w:vAlign w:val="center"/>
            <w:hideMark/>
          </w:tcPr>
          <w:p w14:paraId="3DC3201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44.4/2</w:t>
            </w:r>
            <w:r w:rsidRPr="00CC6209">
              <w:rPr>
                <w:rFonts w:ascii="Book Antiqua" w:eastAsia="Arial Unicode MS" w:hAnsi="Book Antiqua" w:cs="Arial Unicode MS"/>
                <w:color w:val="000000" w:themeColor="text1"/>
                <w:kern w:val="0"/>
                <w:sz w:val="24"/>
                <w:szCs w:val="24"/>
              </w:rPr>
              <w:lastRenderedPageBreak/>
              <w:t>1.4</w:t>
            </w:r>
          </w:p>
        </w:tc>
        <w:tc>
          <w:tcPr>
            <w:tcW w:w="219" w:type="pct"/>
            <w:shd w:val="clear" w:color="auto" w:fill="auto"/>
            <w:noWrap/>
            <w:vAlign w:val="center"/>
            <w:hideMark/>
          </w:tcPr>
          <w:p w14:paraId="01B37BF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77.8/7</w:t>
            </w:r>
            <w:r w:rsidRPr="00CC6209">
              <w:rPr>
                <w:rFonts w:ascii="Book Antiqua" w:eastAsia="Arial Unicode MS" w:hAnsi="Book Antiqua" w:cs="Arial Unicode MS"/>
                <w:color w:val="000000" w:themeColor="text1"/>
                <w:kern w:val="0"/>
                <w:sz w:val="24"/>
                <w:szCs w:val="24"/>
              </w:rPr>
              <w:lastRenderedPageBreak/>
              <w:t>3.8</w:t>
            </w:r>
          </w:p>
        </w:tc>
        <w:tc>
          <w:tcPr>
            <w:tcW w:w="235" w:type="pct"/>
            <w:shd w:val="clear" w:color="auto" w:fill="auto"/>
            <w:noWrap/>
            <w:vAlign w:val="center"/>
            <w:hideMark/>
          </w:tcPr>
          <w:p w14:paraId="5DA833A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66.7/64.</w:t>
            </w:r>
            <w:r w:rsidRPr="00CC6209">
              <w:rPr>
                <w:rFonts w:ascii="Book Antiqua" w:eastAsia="Arial Unicode MS" w:hAnsi="Book Antiqua" w:cs="Arial Unicode MS"/>
                <w:color w:val="000000" w:themeColor="text1"/>
                <w:kern w:val="0"/>
                <w:sz w:val="24"/>
                <w:szCs w:val="24"/>
              </w:rPr>
              <w:lastRenderedPageBreak/>
              <w:t>3</w:t>
            </w:r>
          </w:p>
        </w:tc>
        <w:tc>
          <w:tcPr>
            <w:tcW w:w="235" w:type="pct"/>
            <w:shd w:val="clear" w:color="auto" w:fill="auto"/>
            <w:noWrap/>
            <w:vAlign w:val="center"/>
            <w:hideMark/>
          </w:tcPr>
          <w:p w14:paraId="18D2AE52"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44.4/35.</w:t>
            </w:r>
            <w:r w:rsidRPr="00CC6209">
              <w:rPr>
                <w:rFonts w:ascii="Book Antiqua" w:eastAsia="Arial Unicode MS" w:hAnsi="Book Antiqua" w:cs="Arial Unicode MS"/>
                <w:color w:val="000000" w:themeColor="text1"/>
                <w:kern w:val="0"/>
                <w:sz w:val="24"/>
                <w:szCs w:val="24"/>
              </w:rPr>
              <w:lastRenderedPageBreak/>
              <w:t>7</w:t>
            </w:r>
          </w:p>
        </w:tc>
        <w:tc>
          <w:tcPr>
            <w:tcW w:w="219" w:type="pct"/>
            <w:shd w:val="clear" w:color="auto" w:fill="auto"/>
            <w:noWrap/>
            <w:vAlign w:val="center"/>
            <w:hideMark/>
          </w:tcPr>
          <w:p w14:paraId="657634B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22.2/7</w:t>
            </w:r>
            <w:r w:rsidRPr="00CC6209">
              <w:rPr>
                <w:rFonts w:ascii="Book Antiqua" w:eastAsia="Arial Unicode MS" w:hAnsi="Book Antiqua" w:cs="Arial Unicode MS"/>
                <w:color w:val="000000" w:themeColor="text1"/>
                <w:kern w:val="0"/>
                <w:sz w:val="24"/>
                <w:szCs w:val="24"/>
              </w:rPr>
              <w:lastRenderedPageBreak/>
              <w:t>.1</w:t>
            </w:r>
          </w:p>
        </w:tc>
        <w:tc>
          <w:tcPr>
            <w:tcW w:w="235" w:type="pct"/>
            <w:shd w:val="clear" w:color="auto" w:fill="auto"/>
            <w:noWrap/>
            <w:vAlign w:val="center"/>
            <w:hideMark/>
          </w:tcPr>
          <w:p w14:paraId="02D026E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72.2/90.</w:t>
            </w:r>
            <w:r w:rsidRPr="00CC6209">
              <w:rPr>
                <w:rFonts w:ascii="Book Antiqua" w:eastAsia="Arial Unicode MS" w:hAnsi="Book Antiqua" w:cs="Arial Unicode MS"/>
                <w:color w:val="000000" w:themeColor="text1"/>
                <w:kern w:val="0"/>
                <w:sz w:val="24"/>
                <w:szCs w:val="24"/>
              </w:rPr>
              <w:lastRenderedPageBreak/>
              <w:t>5</w:t>
            </w:r>
          </w:p>
        </w:tc>
        <w:tc>
          <w:tcPr>
            <w:tcW w:w="219" w:type="pct"/>
            <w:shd w:val="clear" w:color="auto" w:fill="auto"/>
            <w:noWrap/>
            <w:vAlign w:val="center"/>
            <w:hideMark/>
          </w:tcPr>
          <w:p w14:paraId="0671DD3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55.6/5</w:t>
            </w:r>
            <w:r w:rsidRPr="00CC6209">
              <w:rPr>
                <w:rFonts w:ascii="Book Antiqua" w:eastAsia="Arial Unicode MS" w:hAnsi="Book Antiqua" w:cs="Arial Unicode MS"/>
                <w:color w:val="000000" w:themeColor="text1"/>
                <w:kern w:val="0"/>
                <w:sz w:val="24"/>
                <w:szCs w:val="24"/>
              </w:rPr>
              <w:lastRenderedPageBreak/>
              <w:t>2.4</w:t>
            </w:r>
          </w:p>
        </w:tc>
        <w:tc>
          <w:tcPr>
            <w:tcW w:w="219" w:type="pct"/>
            <w:shd w:val="clear" w:color="auto" w:fill="auto"/>
            <w:noWrap/>
            <w:vAlign w:val="center"/>
            <w:hideMark/>
          </w:tcPr>
          <w:p w14:paraId="593F4FC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83.3/6</w:t>
            </w:r>
            <w:r w:rsidRPr="00CC6209">
              <w:rPr>
                <w:rFonts w:ascii="Book Antiqua" w:eastAsia="Arial Unicode MS" w:hAnsi="Book Antiqua" w:cs="Arial Unicode MS"/>
                <w:color w:val="000000" w:themeColor="text1"/>
                <w:kern w:val="0"/>
                <w:sz w:val="24"/>
                <w:szCs w:val="24"/>
              </w:rPr>
              <w:lastRenderedPageBreak/>
              <w:t>4.3</w:t>
            </w:r>
          </w:p>
        </w:tc>
        <w:tc>
          <w:tcPr>
            <w:tcW w:w="219" w:type="pct"/>
            <w:shd w:val="clear" w:color="auto" w:fill="auto"/>
            <w:noWrap/>
            <w:vAlign w:val="center"/>
            <w:hideMark/>
          </w:tcPr>
          <w:p w14:paraId="6CE4983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72.2/5</w:t>
            </w:r>
            <w:r w:rsidRPr="00CC6209">
              <w:rPr>
                <w:rFonts w:ascii="Book Antiqua" w:eastAsia="Arial Unicode MS" w:hAnsi="Book Antiqua" w:cs="Arial Unicode MS"/>
                <w:color w:val="000000" w:themeColor="text1"/>
                <w:kern w:val="0"/>
                <w:sz w:val="24"/>
                <w:szCs w:val="24"/>
              </w:rPr>
              <w:lastRenderedPageBreak/>
              <w:t>0.0</w:t>
            </w:r>
          </w:p>
        </w:tc>
        <w:tc>
          <w:tcPr>
            <w:tcW w:w="252" w:type="pct"/>
            <w:shd w:val="clear" w:color="auto" w:fill="auto"/>
            <w:noWrap/>
            <w:vAlign w:val="center"/>
            <w:hideMark/>
          </w:tcPr>
          <w:p w14:paraId="18B06E7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CC6209">
              <w:rPr>
                <w:rFonts w:ascii="Book Antiqua" w:eastAsia="Arial Unicode MS" w:hAnsi="Book Antiqua" w:cs="Arial Unicode MS"/>
                <w:bCs/>
                <w:iCs/>
                <w:color w:val="000000" w:themeColor="text1"/>
                <w:kern w:val="0"/>
                <w:sz w:val="24"/>
                <w:szCs w:val="24"/>
              </w:rPr>
              <w:lastRenderedPageBreak/>
              <w:t>100/78.</w:t>
            </w:r>
            <w:r w:rsidRPr="00CC6209">
              <w:rPr>
                <w:rFonts w:ascii="Book Antiqua" w:eastAsia="Arial Unicode MS" w:hAnsi="Book Antiqua" w:cs="Arial Unicode MS"/>
                <w:bCs/>
                <w:iCs/>
                <w:color w:val="000000" w:themeColor="text1"/>
                <w:kern w:val="0"/>
                <w:sz w:val="24"/>
                <w:szCs w:val="24"/>
              </w:rPr>
              <w:lastRenderedPageBreak/>
              <w:t>6</w:t>
            </w:r>
          </w:p>
        </w:tc>
        <w:tc>
          <w:tcPr>
            <w:tcW w:w="252" w:type="pct"/>
            <w:shd w:val="clear" w:color="auto" w:fill="auto"/>
            <w:noWrap/>
            <w:vAlign w:val="center"/>
            <w:hideMark/>
          </w:tcPr>
          <w:p w14:paraId="438AA81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100/85.</w:t>
            </w:r>
            <w:r w:rsidRPr="00CC6209">
              <w:rPr>
                <w:rFonts w:ascii="Book Antiqua" w:eastAsia="Arial Unicode MS" w:hAnsi="Book Antiqua" w:cs="Arial Unicode MS"/>
                <w:color w:val="000000" w:themeColor="text1"/>
                <w:kern w:val="0"/>
                <w:sz w:val="24"/>
                <w:szCs w:val="24"/>
              </w:rPr>
              <w:lastRenderedPageBreak/>
              <w:t>7</w:t>
            </w:r>
          </w:p>
        </w:tc>
        <w:tc>
          <w:tcPr>
            <w:tcW w:w="219" w:type="pct"/>
            <w:shd w:val="clear" w:color="auto" w:fill="auto"/>
            <w:noWrap/>
            <w:vAlign w:val="center"/>
            <w:hideMark/>
          </w:tcPr>
          <w:p w14:paraId="395E700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83.3/5</w:t>
            </w:r>
            <w:r w:rsidRPr="00CC6209">
              <w:rPr>
                <w:rFonts w:ascii="Book Antiqua" w:eastAsia="Arial Unicode MS" w:hAnsi="Book Antiqua" w:cs="Arial Unicode MS"/>
                <w:color w:val="000000" w:themeColor="text1"/>
                <w:kern w:val="0"/>
                <w:sz w:val="24"/>
                <w:szCs w:val="24"/>
              </w:rPr>
              <w:lastRenderedPageBreak/>
              <w:t>9.5</w:t>
            </w:r>
          </w:p>
        </w:tc>
        <w:tc>
          <w:tcPr>
            <w:tcW w:w="252" w:type="pct"/>
            <w:shd w:val="clear" w:color="auto" w:fill="auto"/>
            <w:noWrap/>
            <w:vAlign w:val="center"/>
            <w:hideMark/>
          </w:tcPr>
          <w:p w14:paraId="76FCFDA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lastRenderedPageBreak/>
              <w:t>38.9/35.</w:t>
            </w:r>
            <w:r w:rsidRPr="00CC6209">
              <w:rPr>
                <w:rFonts w:ascii="Book Antiqua" w:eastAsia="Arial Unicode MS" w:hAnsi="Book Antiqua" w:cs="Arial Unicode MS"/>
                <w:color w:val="000000" w:themeColor="text1"/>
                <w:kern w:val="0"/>
                <w:sz w:val="24"/>
                <w:szCs w:val="24"/>
              </w:rPr>
              <w:lastRenderedPageBreak/>
              <w:t>7</w:t>
            </w:r>
          </w:p>
        </w:tc>
      </w:tr>
      <w:tr w:rsidR="00617F1C" w:rsidRPr="00B43A8C" w14:paraId="7692EE58" w14:textId="77777777" w:rsidTr="00617F1C">
        <w:trPr>
          <w:trHeight w:val="240"/>
        </w:trPr>
        <w:tc>
          <w:tcPr>
            <w:tcW w:w="388" w:type="pct"/>
            <w:shd w:val="clear" w:color="auto" w:fill="auto"/>
            <w:noWrap/>
            <w:vAlign w:val="center"/>
            <w:hideMark/>
          </w:tcPr>
          <w:p w14:paraId="7150F726" w14:textId="77777777" w:rsidR="00A1284B" w:rsidRPr="00B43A8C" w:rsidRDefault="00A1284B" w:rsidP="00792AF6">
            <w:pPr>
              <w:widowControl/>
              <w:wordWrap/>
              <w:autoSpaceDE/>
              <w:autoSpaceDN/>
              <w:adjustRightInd w:val="0"/>
              <w:snapToGrid w:val="0"/>
              <w:spacing w:line="360" w:lineRule="auto"/>
              <w:ind w:firstLineChars="100" w:firstLine="240"/>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lastRenderedPageBreak/>
              <w:t>No/Yes (18/42)</w:t>
            </w:r>
          </w:p>
        </w:tc>
        <w:tc>
          <w:tcPr>
            <w:tcW w:w="260" w:type="pct"/>
            <w:shd w:val="clear" w:color="auto" w:fill="auto"/>
            <w:noWrap/>
            <w:vAlign w:val="center"/>
            <w:hideMark/>
          </w:tcPr>
          <w:p w14:paraId="4A2672ED"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0.25</w:t>
            </w:r>
          </w:p>
        </w:tc>
        <w:tc>
          <w:tcPr>
            <w:tcW w:w="196" w:type="pct"/>
            <w:shd w:val="clear" w:color="auto" w:fill="auto"/>
            <w:noWrap/>
            <w:vAlign w:val="center"/>
            <w:hideMark/>
          </w:tcPr>
          <w:p w14:paraId="4013CD5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0.32</w:t>
            </w:r>
          </w:p>
        </w:tc>
        <w:tc>
          <w:tcPr>
            <w:tcW w:w="219" w:type="pct"/>
            <w:shd w:val="clear" w:color="auto" w:fill="auto"/>
            <w:noWrap/>
            <w:vAlign w:val="center"/>
            <w:hideMark/>
          </w:tcPr>
          <w:p w14:paraId="52B90A8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0.43</w:t>
            </w:r>
          </w:p>
        </w:tc>
        <w:tc>
          <w:tcPr>
            <w:tcW w:w="235" w:type="pct"/>
            <w:shd w:val="clear" w:color="auto" w:fill="auto"/>
            <w:noWrap/>
            <w:vAlign w:val="center"/>
            <w:hideMark/>
          </w:tcPr>
          <w:p w14:paraId="1FD6807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0.48</w:t>
            </w:r>
          </w:p>
        </w:tc>
        <w:tc>
          <w:tcPr>
            <w:tcW w:w="219" w:type="pct"/>
            <w:shd w:val="clear" w:color="auto" w:fill="auto"/>
            <w:noWrap/>
            <w:vAlign w:val="center"/>
            <w:hideMark/>
          </w:tcPr>
          <w:p w14:paraId="030A31E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0.48</w:t>
            </w:r>
          </w:p>
        </w:tc>
        <w:tc>
          <w:tcPr>
            <w:tcW w:w="235" w:type="pct"/>
            <w:shd w:val="clear" w:color="auto" w:fill="auto"/>
            <w:noWrap/>
            <w:vAlign w:val="center"/>
            <w:hideMark/>
          </w:tcPr>
          <w:p w14:paraId="3928AC3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0.33</w:t>
            </w:r>
          </w:p>
        </w:tc>
        <w:tc>
          <w:tcPr>
            <w:tcW w:w="252" w:type="pct"/>
            <w:shd w:val="clear" w:color="auto" w:fill="auto"/>
            <w:noWrap/>
            <w:vAlign w:val="center"/>
            <w:hideMark/>
          </w:tcPr>
          <w:p w14:paraId="68631F7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0.26</w:t>
            </w:r>
          </w:p>
        </w:tc>
        <w:tc>
          <w:tcPr>
            <w:tcW w:w="219" w:type="pct"/>
            <w:shd w:val="clear" w:color="auto" w:fill="auto"/>
            <w:noWrap/>
            <w:vAlign w:val="center"/>
            <w:hideMark/>
          </w:tcPr>
          <w:p w14:paraId="3DBAB0CF"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0.07</w:t>
            </w:r>
          </w:p>
        </w:tc>
        <w:tc>
          <w:tcPr>
            <w:tcW w:w="219" w:type="pct"/>
            <w:shd w:val="clear" w:color="auto" w:fill="auto"/>
            <w:noWrap/>
            <w:vAlign w:val="center"/>
            <w:hideMark/>
          </w:tcPr>
          <w:p w14:paraId="3E1DBED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0.51</w:t>
            </w:r>
          </w:p>
        </w:tc>
        <w:tc>
          <w:tcPr>
            <w:tcW w:w="235" w:type="pct"/>
            <w:shd w:val="clear" w:color="auto" w:fill="auto"/>
            <w:noWrap/>
            <w:vAlign w:val="center"/>
            <w:hideMark/>
          </w:tcPr>
          <w:p w14:paraId="162FA03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0.55</w:t>
            </w:r>
          </w:p>
        </w:tc>
        <w:tc>
          <w:tcPr>
            <w:tcW w:w="235" w:type="pct"/>
            <w:shd w:val="clear" w:color="auto" w:fill="auto"/>
            <w:noWrap/>
            <w:vAlign w:val="center"/>
            <w:hideMark/>
          </w:tcPr>
          <w:p w14:paraId="3C23255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0.36</w:t>
            </w:r>
          </w:p>
        </w:tc>
        <w:tc>
          <w:tcPr>
            <w:tcW w:w="219" w:type="pct"/>
            <w:shd w:val="clear" w:color="auto" w:fill="auto"/>
            <w:noWrap/>
            <w:vAlign w:val="center"/>
            <w:hideMark/>
          </w:tcPr>
          <w:p w14:paraId="2B5C6B0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0.11</w:t>
            </w:r>
          </w:p>
        </w:tc>
        <w:tc>
          <w:tcPr>
            <w:tcW w:w="235" w:type="pct"/>
            <w:shd w:val="clear" w:color="auto" w:fill="auto"/>
            <w:noWrap/>
            <w:vAlign w:val="center"/>
            <w:hideMark/>
          </w:tcPr>
          <w:p w14:paraId="1381A42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0.08</w:t>
            </w:r>
          </w:p>
        </w:tc>
        <w:tc>
          <w:tcPr>
            <w:tcW w:w="219" w:type="pct"/>
            <w:shd w:val="clear" w:color="auto" w:fill="auto"/>
            <w:noWrap/>
            <w:vAlign w:val="center"/>
            <w:hideMark/>
          </w:tcPr>
          <w:p w14:paraId="6F83857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0.52</w:t>
            </w:r>
          </w:p>
        </w:tc>
        <w:tc>
          <w:tcPr>
            <w:tcW w:w="219" w:type="pct"/>
            <w:shd w:val="clear" w:color="auto" w:fill="auto"/>
            <w:noWrap/>
            <w:vAlign w:val="center"/>
            <w:hideMark/>
          </w:tcPr>
          <w:p w14:paraId="23A43EDD"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0.12</w:t>
            </w:r>
          </w:p>
        </w:tc>
        <w:tc>
          <w:tcPr>
            <w:tcW w:w="219" w:type="pct"/>
            <w:shd w:val="clear" w:color="auto" w:fill="auto"/>
            <w:noWrap/>
            <w:vAlign w:val="center"/>
            <w:hideMark/>
          </w:tcPr>
          <w:p w14:paraId="6F0C57E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0.09</w:t>
            </w:r>
          </w:p>
        </w:tc>
        <w:tc>
          <w:tcPr>
            <w:tcW w:w="252" w:type="pct"/>
            <w:shd w:val="clear" w:color="auto" w:fill="auto"/>
            <w:noWrap/>
            <w:vAlign w:val="center"/>
            <w:hideMark/>
          </w:tcPr>
          <w:p w14:paraId="4795654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0.03</w:t>
            </w:r>
          </w:p>
        </w:tc>
        <w:tc>
          <w:tcPr>
            <w:tcW w:w="252" w:type="pct"/>
            <w:shd w:val="clear" w:color="auto" w:fill="auto"/>
            <w:noWrap/>
            <w:vAlign w:val="center"/>
            <w:hideMark/>
          </w:tcPr>
          <w:p w14:paraId="495A3FC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w:t>
            </w:r>
          </w:p>
        </w:tc>
        <w:tc>
          <w:tcPr>
            <w:tcW w:w="219" w:type="pct"/>
            <w:shd w:val="clear" w:color="auto" w:fill="auto"/>
            <w:noWrap/>
            <w:vAlign w:val="center"/>
            <w:hideMark/>
          </w:tcPr>
          <w:p w14:paraId="264CEAD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0.06</w:t>
            </w:r>
          </w:p>
        </w:tc>
        <w:tc>
          <w:tcPr>
            <w:tcW w:w="252" w:type="pct"/>
            <w:shd w:val="clear" w:color="auto" w:fill="auto"/>
            <w:noWrap/>
            <w:vAlign w:val="center"/>
            <w:hideMark/>
          </w:tcPr>
          <w:p w14:paraId="6FD918A2"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0.52</w:t>
            </w:r>
          </w:p>
        </w:tc>
      </w:tr>
      <w:tr w:rsidR="00617F1C" w:rsidRPr="00B43A8C" w14:paraId="619625E7" w14:textId="77777777" w:rsidTr="00617F1C">
        <w:trPr>
          <w:trHeight w:val="240"/>
        </w:trPr>
        <w:tc>
          <w:tcPr>
            <w:tcW w:w="388" w:type="pct"/>
            <w:shd w:val="clear" w:color="auto" w:fill="auto"/>
            <w:noWrap/>
            <w:vAlign w:val="center"/>
            <w:hideMark/>
          </w:tcPr>
          <w:p w14:paraId="7DCE8A98" w14:textId="171B846A" w:rsidR="00A1284B" w:rsidRPr="00B43A8C" w:rsidRDefault="00CC6209"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Pr>
                <w:rFonts w:ascii="Book Antiqua" w:eastAsia="Arial Unicode MS" w:hAnsi="Book Antiqua" w:cs="Arial Unicode MS"/>
                <w:color w:val="000000" w:themeColor="text1"/>
                <w:kern w:val="0"/>
                <w:sz w:val="24"/>
                <w:szCs w:val="24"/>
              </w:rPr>
              <w:t>Synchronous Pm</w:t>
            </w:r>
          </w:p>
        </w:tc>
        <w:tc>
          <w:tcPr>
            <w:tcW w:w="260" w:type="pct"/>
            <w:shd w:val="clear" w:color="auto" w:fill="auto"/>
            <w:noWrap/>
            <w:vAlign w:val="center"/>
            <w:hideMark/>
          </w:tcPr>
          <w:p w14:paraId="77A7E752"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28.9/13.3</w:t>
            </w:r>
          </w:p>
        </w:tc>
        <w:tc>
          <w:tcPr>
            <w:tcW w:w="196" w:type="pct"/>
            <w:shd w:val="clear" w:color="auto" w:fill="auto"/>
            <w:noWrap/>
            <w:vAlign w:val="center"/>
            <w:hideMark/>
          </w:tcPr>
          <w:p w14:paraId="7F62299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26.7/26.7</w:t>
            </w:r>
          </w:p>
        </w:tc>
        <w:tc>
          <w:tcPr>
            <w:tcW w:w="219" w:type="pct"/>
            <w:shd w:val="clear" w:color="auto" w:fill="auto"/>
            <w:noWrap/>
            <w:vAlign w:val="center"/>
            <w:hideMark/>
          </w:tcPr>
          <w:p w14:paraId="73E2D9AD"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17.8/20.0</w:t>
            </w:r>
          </w:p>
        </w:tc>
        <w:tc>
          <w:tcPr>
            <w:tcW w:w="235" w:type="pct"/>
            <w:shd w:val="clear" w:color="auto" w:fill="auto"/>
            <w:noWrap/>
            <w:vAlign w:val="center"/>
            <w:hideMark/>
          </w:tcPr>
          <w:p w14:paraId="60C5AED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37.8/33.3</w:t>
            </w:r>
          </w:p>
        </w:tc>
        <w:tc>
          <w:tcPr>
            <w:tcW w:w="219" w:type="pct"/>
            <w:shd w:val="clear" w:color="auto" w:fill="auto"/>
            <w:noWrap/>
            <w:vAlign w:val="center"/>
            <w:hideMark/>
          </w:tcPr>
          <w:p w14:paraId="1AD25F9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35.6/40.0</w:t>
            </w:r>
          </w:p>
        </w:tc>
        <w:tc>
          <w:tcPr>
            <w:tcW w:w="235" w:type="pct"/>
            <w:shd w:val="clear" w:color="auto" w:fill="auto"/>
            <w:noWrap/>
            <w:vAlign w:val="center"/>
            <w:hideMark/>
          </w:tcPr>
          <w:p w14:paraId="13A97DF2"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77.8/80.0</w:t>
            </w:r>
          </w:p>
        </w:tc>
        <w:tc>
          <w:tcPr>
            <w:tcW w:w="252" w:type="pct"/>
            <w:shd w:val="clear" w:color="auto" w:fill="auto"/>
            <w:noWrap/>
            <w:vAlign w:val="center"/>
            <w:hideMark/>
          </w:tcPr>
          <w:p w14:paraId="685163D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77.8/66.7</w:t>
            </w:r>
          </w:p>
        </w:tc>
        <w:tc>
          <w:tcPr>
            <w:tcW w:w="219" w:type="pct"/>
            <w:shd w:val="clear" w:color="auto" w:fill="auto"/>
            <w:noWrap/>
            <w:vAlign w:val="center"/>
            <w:hideMark/>
          </w:tcPr>
          <w:p w14:paraId="156FE80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31.1/20.0</w:t>
            </w:r>
          </w:p>
        </w:tc>
        <w:tc>
          <w:tcPr>
            <w:tcW w:w="219" w:type="pct"/>
            <w:shd w:val="clear" w:color="auto" w:fill="auto"/>
            <w:noWrap/>
            <w:vAlign w:val="center"/>
            <w:hideMark/>
          </w:tcPr>
          <w:p w14:paraId="0126165D"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77.8/66.7</w:t>
            </w:r>
          </w:p>
        </w:tc>
        <w:tc>
          <w:tcPr>
            <w:tcW w:w="235" w:type="pct"/>
            <w:shd w:val="clear" w:color="auto" w:fill="auto"/>
            <w:noWrap/>
            <w:vAlign w:val="center"/>
            <w:hideMark/>
          </w:tcPr>
          <w:p w14:paraId="2D34A6E2"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66.7/60.0</w:t>
            </w:r>
          </w:p>
        </w:tc>
        <w:tc>
          <w:tcPr>
            <w:tcW w:w="235" w:type="pct"/>
            <w:shd w:val="clear" w:color="auto" w:fill="auto"/>
            <w:noWrap/>
            <w:vAlign w:val="center"/>
            <w:hideMark/>
          </w:tcPr>
          <w:p w14:paraId="57F2EF5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40.0/33.3</w:t>
            </w:r>
          </w:p>
        </w:tc>
        <w:tc>
          <w:tcPr>
            <w:tcW w:w="219" w:type="pct"/>
            <w:shd w:val="clear" w:color="auto" w:fill="auto"/>
            <w:noWrap/>
            <w:vAlign w:val="center"/>
            <w:hideMark/>
          </w:tcPr>
          <w:p w14:paraId="1DD3B2C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13.3/6.7</w:t>
            </w:r>
          </w:p>
        </w:tc>
        <w:tc>
          <w:tcPr>
            <w:tcW w:w="235" w:type="pct"/>
            <w:shd w:val="clear" w:color="auto" w:fill="auto"/>
            <w:noWrap/>
            <w:vAlign w:val="center"/>
            <w:hideMark/>
          </w:tcPr>
          <w:p w14:paraId="5D7E753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86.7/80.0</w:t>
            </w:r>
          </w:p>
        </w:tc>
        <w:tc>
          <w:tcPr>
            <w:tcW w:w="219" w:type="pct"/>
            <w:shd w:val="clear" w:color="auto" w:fill="auto"/>
            <w:noWrap/>
            <w:vAlign w:val="center"/>
            <w:hideMark/>
          </w:tcPr>
          <w:p w14:paraId="5764125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57.8/40.0</w:t>
            </w:r>
          </w:p>
        </w:tc>
        <w:tc>
          <w:tcPr>
            <w:tcW w:w="219" w:type="pct"/>
            <w:shd w:val="clear" w:color="auto" w:fill="auto"/>
            <w:noWrap/>
            <w:vAlign w:val="center"/>
            <w:hideMark/>
          </w:tcPr>
          <w:p w14:paraId="3520F032"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71.1/66.7</w:t>
            </w:r>
          </w:p>
        </w:tc>
        <w:tc>
          <w:tcPr>
            <w:tcW w:w="219" w:type="pct"/>
            <w:shd w:val="clear" w:color="auto" w:fill="auto"/>
            <w:noWrap/>
            <w:vAlign w:val="center"/>
            <w:hideMark/>
          </w:tcPr>
          <w:p w14:paraId="4BAB7E6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62.2/40.0</w:t>
            </w:r>
          </w:p>
        </w:tc>
        <w:tc>
          <w:tcPr>
            <w:tcW w:w="252" w:type="pct"/>
            <w:shd w:val="clear" w:color="auto" w:fill="auto"/>
            <w:noWrap/>
            <w:vAlign w:val="center"/>
            <w:hideMark/>
          </w:tcPr>
          <w:p w14:paraId="0D1D709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88.9/73.3</w:t>
            </w:r>
          </w:p>
        </w:tc>
        <w:tc>
          <w:tcPr>
            <w:tcW w:w="252" w:type="pct"/>
            <w:shd w:val="clear" w:color="auto" w:fill="auto"/>
            <w:noWrap/>
            <w:vAlign w:val="center"/>
            <w:hideMark/>
          </w:tcPr>
          <w:p w14:paraId="3D7520A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91.1/86.7</w:t>
            </w:r>
          </w:p>
        </w:tc>
        <w:tc>
          <w:tcPr>
            <w:tcW w:w="219" w:type="pct"/>
            <w:shd w:val="clear" w:color="auto" w:fill="auto"/>
            <w:noWrap/>
            <w:vAlign w:val="center"/>
            <w:hideMark/>
          </w:tcPr>
          <w:p w14:paraId="517291A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66.7/66.7</w:t>
            </w:r>
          </w:p>
        </w:tc>
        <w:tc>
          <w:tcPr>
            <w:tcW w:w="252" w:type="pct"/>
            <w:shd w:val="clear" w:color="auto" w:fill="auto"/>
            <w:noWrap/>
            <w:vAlign w:val="center"/>
            <w:hideMark/>
          </w:tcPr>
          <w:p w14:paraId="334B0F4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40.0/26.7</w:t>
            </w:r>
          </w:p>
        </w:tc>
      </w:tr>
      <w:tr w:rsidR="00617F1C" w:rsidRPr="00B43A8C" w14:paraId="5231A38C" w14:textId="77777777" w:rsidTr="00617F1C">
        <w:trPr>
          <w:trHeight w:val="240"/>
        </w:trPr>
        <w:tc>
          <w:tcPr>
            <w:tcW w:w="388" w:type="pct"/>
            <w:shd w:val="clear" w:color="auto" w:fill="auto"/>
            <w:noWrap/>
            <w:vAlign w:val="center"/>
            <w:hideMark/>
          </w:tcPr>
          <w:p w14:paraId="58390C92" w14:textId="77777777" w:rsidR="00A1284B" w:rsidRPr="00B43A8C" w:rsidRDefault="00A1284B" w:rsidP="00792AF6">
            <w:pPr>
              <w:widowControl/>
              <w:wordWrap/>
              <w:autoSpaceDE/>
              <w:autoSpaceDN/>
              <w:adjustRightInd w:val="0"/>
              <w:snapToGrid w:val="0"/>
              <w:spacing w:line="360" w:lineRule="auto"/>
              <w:ind w:firstLineChars="100" w:firstLine="240"/>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No/Yes (45/15)</w:t>
            </w:r>
          </w:p>
        </w:tc>
        <w:tc>
          <w:tcPr>
            <w:tcW w:w="260" w:type="pct"/>
            <w:shd w:val="clear" w:color="auto" w:fill="auto"/>
            <w:noWrap/>
            <w:vAlign w:val="center"/>
            <w:hideMark/>
          </w:tcPr>
          <w:p w14:paraId="1FA42E5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w:t>
            </w:r>
          </w:p>
        </w:tc>
        <w:tc>
          <w:tcPr>
            <w:tcW w:w="196" w:type="pct"/>
            <w:shd w:val="clear" w:color="auto" w:fill="auto"/>
            <w:noWrap/>
            <w:vAlign w:val="center"/>
            <w:hideMark/>
          </w:tcPr>
          <w:p w14:paraId="78923EE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0.64</w:t>
            </w:r>
          </w:p>
        </w:tc>
        <w:tc>
          <w:tcPr>
            <w:tcW w:w="219" w:type="pct"/>
            <w:shd w:val="clear" w:color="auto" w:fill="auto"/>
            <w:noWrap/>
            <w:vAlign w:val="center"/>
            <w:hideMark/>
          </w:tcPr>
          <w:p w14:paraId="1D85185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0.56</w:t>
            </w:r>
          </w:p>
        </w:tc>
        <w:tc>
          <w:tcPr>
            <w:tcW w:w="235" w:type="pct"/>
            <w:shd w:val="clear" w:color="auto" w:fill="auto"/>
            <w:noWrap/>
            <w:vAlign w:val="center"/>
            <w:hideMark/>
          </w:tcPr>
          <w:p w14:paraId="1602859D"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0.51</w:t>
            </w:r>
          </w:p>
        </w:tc>
        <w:tc>
          <w:tcPr>
            <w:tcW w:w="219" w:type="pct"/>
            <w:shd w:val="clear" w:color="auto" w:fill="auto"/>
            <w:noWrap/>
            <w:vAlign w:val="center"/>
            <w:hideMark/>
          </w:tcPr>
          <w:p w14:paraId="79CC959F"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0.49</w:t>
            </w:r>
          </w:p>
        </w:tc>
        <w:tc>
          <w:tcPr>
            <w:tcW w:w="235" w:type="pct"/>
            <w:shd w:val="clear" w:color="auto" w:fill="auto"/>
            <w:noWrap/>
            <w:vAlign w:val="center"/>
            <w:hideMark/>
          </w:tcPr>
          <w:p w14:paraId="389500C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0.58</w:t>
            </w:r>
          </w:p>
        </w:tc>
        <w:tc>
          <w:tcPr>
            <w:tcW w:w="252" w:type="pct"/>
            <w:shd w:val="clear" w:color="auto" w:fill="auto"/>
            <w:noWrap/>
            <w:vAlign w:val="center"/>
            <w:hideMark/>
          </w:tcPr>
          <w:p w14:paraId="474CA50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w:t>
            </w:r>
          </w:p>
        </w:tc>
        <w:tc>
          <w:tcPr>
            <w:tcW w:w="219" w:type="pct"/>
            <w:shd w:val="clear" w:color="auto" w:fill="auto"/>
            <w:noWrap/>
            <w:vAlign w:val="center"/>
            <w:hideMark/>
          </w:tcPr>
          <w:p w14:paraId="6264786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0.32</w:t>
            </w:r>
          </w:p>
        </w:tc>
        <w:tc>
          <w:tcPr>
            <w:tcW w:w="219" w:type="pct"/>
            <w:shd w:val="clear" w:color="auto" w:fill="auto"/>
            <w:noWrap/>
            <w:vAlign w:val="center"/>
            <w:hideMark/>
          </w:tcPr>
          <w:p w14:paraId="436BE65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w:t>
            </w:r>
          </w:p>
        </w:tc>
        <w:tc>
          <w:tcPr>
            <w:tcW w:w="235" w:type="pct"/>
            <w:shd w:val="clear" w:color="auto" w:fill="auto"/>
            <w:noWrap/>
            <w:vAlign w:val="center"/>
            <w:hideMark/>
          </w:tcPr>
          <w:p w14:paraId="1D70E9D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0.43</w:t>
            </w:r>
          </w:p>
        </w:tc>
        <w:tc>
          <w:tcPr>
            <w:tcW w:w="235" w:type="pct"/>
            <w:shd w:val="clear" w:color="auto" w:fill="auto"/>
            <w:noWrap/>
            <w:vAlign w:val="center"/>
            <w:hideMark/>
          </w:tcPr>
          <w:p w14:paraId="0FC8444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0.44</w:t>
            </w:r>
          </w:p>
        </w:tc>
        <w:tc>
          <w:tcPr>
            <w:tcW w:w="219" w:type="pct"/>
            <w:shd w:val="clear" w:color="auto" w:fill="auto"/>
            <w:noWrap/>
            <w:vAlign w:val="center"/>
            <w:hideMark/>
          </w:tcPr>
          <w:p w14:paraId="10EF7FA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0.43</w:t>
            </w:r>
          </w:p>
        </w:tc>
        <w:tc>
          <w:tcPr>
            <w:tcW w:w="235" w:type="pct"/>
            <w:shd w:val="clear" w:color="auto" w:fill="auto"/>
            <w:noWrap/>
            <w:vAlign w:val="center"/>
            <w:hideMark/>
          </w:tcPr>
          <w:p w14:paraId="4F01F8A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w:t>
            </w:r>
          </w:p>
        </w:tc>
        <w:tc>
          <w:tcPr>
            <w:tcW w:w="219" w:type="pct"/>
            <w:shd w:val="clear" w:color="auto" w:fill="auto"/>
            <w:noWrap/>
            <w:vAlign w:val="center"/>
            <w:hideMark/>
          </w:tcPr>
          <w:p w14:paraId="19ADBCBF"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0.18</w:t>
            </w:r>
          </w:p>
        </w:tc>
        <w:tc>
          <w:tcPr>
            <w:tcW w:w="219" w:type="pct"/>
            <w:shd w:val="clear" w:color="auto" w:fill="auto"/>
            <w:noWrap/>
            <w:vAlign w:val="center"/>
            <w:hideMark/>
          </w:tcPr>
          <w:p w14:paraId="392EB232"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0.49</w:t>
            </w:r>
          </w:p>
        </w:tc>
        <w:tc>
          <w:tcPr>
            <w:tcW w:w="219" w:type="pct"/>
            <w:shd w:val="clear" w:color="auto" w:fill="auto"/>
            <w:noWrap/>
            <w:vAlign w:val="center"/>
            <w:hideMark/>
          </w:tcPr>
          <w:p w14:paraId="4F76F49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0.11</w:t>
            </w:r>
          </w:p>
        </w:tc>
        <w:tc>
          <w:tcPr>
            <w:tcW w:w="252" w:type="pct"/>
            <w:shd w:val="clear" w:color="auto" w:fill="auto"/>
            <w:noWrap/>
            <w:vAlign w:val="center"/>
            <w:hideMark/>
          </w:tcPr>
          <w:p w14:paraId="2192293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0.15</w:t>
            </w:r>
          </w:p>
        </w:tc>
        <w:tc>
          <w:tcPr>
            <w:tcW w:w="252" w:type="pct"/>
            <w:shd w:val="clear" w:color="auto" w:fill="auto"/>
            <w:noWrap/>
            <w:vAlign w:val="center"/>
            <w:hideMark/>
          </w:tcPr>
          <w:p w14:paraId="7F42D23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0.47</w:t>
            </w:r>
          </w:p>
        </w:tc>
        <w:tc>
          <w:tcPr>
            <w:tcW w:w="219" w:type="pct"/>
            <w:shd w:val="clear" w:color="auto" w:fill="auto"/>
            <w:noWrap/>
            <w:vAlign w:val="center"/>
            <w:hideMark/>
          </w:tcPr>
          <w:p w14:paraId="4187F95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0.62</w:t>
            </w:r>
          </w:p>
        </w:tc>
        <w:tc>
          <w:tcPr>
            <w:tcW w:w="252" w:type="pct"/>
            <w:shd w:val="clear" w:color="auto" w:fill="auto"/>
            <w:noWrap/>
            <w:vAlign w:val="center"/>
            <w:hideMark/>
          </w:tcPr>
          <w:p w14:paraId="1874C18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0.27</w:t>
            </w:r>
          </w:p>
        </w:tc>
      </w:tr>
      <w:tr w:rsidR="00617F1C" w:rsidRPr="00B43A8C" w14:paraId="34E15926" w14:textId="77777777" w:rsidTr="00617F1C">
        <w:trPr>
          <w:trHeight w:val="240"/>
        </w:trPr>
        <w:tc>
          <w:tcPr>
            <w:tcW w:w="388" w:type="pct"/>
            <w:shd w:val="clear" w:color="auto" w:fill="auto"/>
            <w:noWrap/>
            <w:vAlign w:val="center"/>
            <w:hideMark/>
          </w:tcPr>
          <w:p w14:paraId="555C1896" w14:textId="269B8707" w:rsidR="00A1284B" w:rsidRPr="00B43A8C" w:rsidRDefault="00CC6209"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Pr>
                <w:rFonts w:ascii="Book Antiqua" w:eastAsia="Arial Unicode MS" w:hAnsi="Book Antiqua" w:cs="Arial Unicode MS"/>
                <w:color w:val="000000" w:themeColor="text1"/>
                <w:kern w:val="0"/>
                <w:sz w:val="24"/>
                <w:szCs w:val="24"/>
              </w:rPr>
              <w:t>AJCC stage</w:t>
            </w:r>
          </w:p>
        </w:tc>
        <w:tc>
          <w:tcPr>
            <w:tcW w:w="260" w:type="pct"/>
            <w:shd w:val="clear" w:color="auto" w:fill="auto"/>
            <w:noWrap/>
            <w:vAlign w:val="center"/>
            <w:hideMark/>
          </w:tcPr>
          <w:p w14:paraId="49280D7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0/25.9</w:t>
            </w:r>
          </w:p>
        </w:tc>
        <w:tc>
          <w:tcPr>
            <w:tcW w:w="196" w:type="pct"/>
            <w:shd w:val="clear" w:color="auto" w:fill="auto"/>
            <w:noWrap/>
            <w:vAlign w:val="center"/>
            <w:hideMark/>
          </w:tcPr>
          <w:p w14:paraId="2099089D"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0/27.6</w:t>
            </w:r>
          </w:p>
        </w:tc>
        <w:tc>
          <w:tcPr>
            <w:tcW w:w="219" w:type="pct"/>
            <w:shd w:val="clear" w:color="auto" w:fill="auto"/>
            <w:noWrap/>
            <w:vAlign w:val="center"/>
            <w:hideMark/>
          </w:tcPr>
          <w:p w14:paraId="29EC30F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0/11</w:t>
            </w:r>
          </w:p>
        </w:tc>
        <w:tc>
          <w:tcPr>
            <w:tcW w:w="235" w:type="pct"/>
            <w:shd w:val="clear" w:color="auto" w:fill="auto"/>
            <w:noWrap/>
            <w:vAlign w:val="center"/>
            <w:hideMark/>
          </w:tcPr>
          <w:p w14:paraId="651F944D"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0/37.9</w:t>
            </w:r>
          </w:p>
        </w:tc>
        <w:tc>
          <w:tcPr>
            <w:tcW w:w="219" w:type="pct"/>
            <w:shd w:val="clear" w:color="auto" w:fill="auto"/>
            <w:noWrap/>
            <w:vAlign w:val="center"/>
            <w:hideMark/>
          </w:tcPr>
          <w:p w14:paraId="078931A2"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50/36.2</w:t>
            </w:r>
          </w:p>
        </w:tc>
        <w:tc>
          <w:tcPr>
            <w:tcW w:w="235" w:type="pct"/>
            <w:shd w:val="clear" w:color="auto" w:fill="auto"/>
            <w:noWrap/>
            <w:vAlign w:val="center"/>
            <w:hideMark/>
          </w:tcPr>
          <w:p w14:paraId="3541B74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50/79.3</w:t>
            </w:r>
          </w:p>
        </w:tc>
        <w:tc>
          <w:tcPr>
            <w:tcW w:w="252" w:type="pct"/>
            <w:shd w:val="clear" w:color="auto" w:fill="auto"/>
            <w:noWrap/>
            <w:vAlign w:val="center"/>
            <w:hideMark/>
          </w:tcPr>
          <w:p w14:paraId="35218EDD"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100/74.1</w:t>
            </w:r>
          </w:p>
        </w:tc>
        <w:tc>
          <w:tcPr>
            <w:tcW w:w="219" w:type="pct"/>
            <w:shd w:val="clear" w:color="auto" w:fill="auto"/>
            <w:noWrap/>
            <w:vAlign w:val="center"/>
            <w:hideMark/>
          </w:tcPr>
          <w:p w14:paraId="63728D3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50/27.6</w:t>
            </w:r>
          </w:p>
        </w:tc>
        <w:tc>
          <w:tcPr>
            <w:tcW w:w="219" w:type="pct"/>
            <w:shd w:val="clear" w:color="auto" w:fill="auto"/>
            <w:noWrap/>
            <w:vAlign w:val="center"/>
            <w:hideMark/>
          </w:tcPr>
          <w:p w14:paraId="3CA0B4D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0/77.6</w:t>
            </w:r>
          </w:p>
        </w:tc>
        <w:tc>
          <w:tcPr>
            <w:tcW w:w="235" w:type="pct"/>
            <w:shd w:val="clear" w:color="auto" w:fill="auto"/>
            <w:noWrap/>
            <w:vAlign w:val="center"/>
            <w:hideMark/>
          </w:tcPr>
          <w:p w14:paraId="7C46CD4F"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50/65.5</w:t>
            </w:r>
          </w:p>
        </w:tc>
        <w:tc>
          <w:tcPr>
            <w:tcW w:w="235" w:type="pct"/>
            <w:shd w:val="clear" w:color="auto" w:fill="auto"/>
            <w:noWrap/>
            <w:vAlign w:val="center"/>
            <w:hideMark/>
          </w:tcPr>
          <w:p w14:paraId="433F3FC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50/37.9</w:t>
            </w:r>
          </w:p>
        </w:tc>
        <w:tc>
          <w:tcPr>
            <w:tcW w:w="219" w:type="pct"/>
            <w:shd w:val="clear" w:color="auto" w:fill="auto"/>
            <w:noWrap/>
            <w:vAlign w:val="center"/>
            <w:hideMark/>
          </w:tcPr>
          <w:p w14:paraId="6C7F1E6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0/12.1</w:t>
            </w:r>
          </w:p>
        </w:tc>
        <w:tc>
          <w:tcPr>
            <w:tcW w:w="235" w:type="pct"/>
            <w:shd w:val="clear" w:color="auto" w:fill="auto"/>
            <w:noWrap/>
            <w:vAlign w:val="center"/>
            <w:hideMark/>
          </w:tcPr>
          <w:p w14:paraId="63BDE5C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100/84.5</w:t>
            </w:r>
          </w:p>
        </w:tc>
        <w:tc>
          <w:tcPr>
            <w:tcW w:w="219" w:type="pct"/>
            <w:shd w:val="clear" w:color="auto" w:fill="auto"/>
            <w:noWrap/>
            <w:vAlign w:val="center"/>
            <w:hideMark/>
          </w:tcPr>
          <w:p w14:paraId="0723E7A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100/51.7</w:t>
            </w:r>
          </w:p>
        </w:tc>
        <w:tc>
          <w:tcPr>
            <w:tcW w:w="219" w:type="pct"/>
            <w:shd w:val="clear" w:color="auto" w:fill="auto"/>
            <w:noWrap/>
            <w:vAlign w:val="center"/>
            <w:hideMark/>
          </w:tcPr>
          <w:p w14:paraId="077B5AB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100/69.0</w:t>
            </w:r>
          </w:p>
        </w:tc>
        <w:tc>
          <w:tcPr>
            <w:tcW w:w="219" w:type="pct"/>
            <w:shd w:val="clear" w:color="auto" w:fill="auto"/>
            <w:noWrap/>
            <w:vAlign w:val="center"/>
            <w:hideMark/>
          </w:tcPr>
          <w:p w14:paraId="225334C2"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100/55.2</w:t>
            </w:r>
          </w:p>
        </w:tc>
        <w:tc>
          <w:tcPr>
            <w:tcW w:w="252" w:type="pct"/>
            <w:shd w:val="clear" w:color="auto" w:fill="auto"/>
            <w:noWrap/>
            <w:vAlign w:val="center"/>
            <w:hideMark/>
          </w:tcPr>
          <w:p w14:paraId="6D1BC50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100/84.5</w:t>
            </w:r>
          </w:p>
        </w:tc>
        <w:tc>
          <w:tcPr>
            <w:tcW w:w="252" w:type="pct"/>
            <w:shd w:val="clear" w:color="auto" w:fill="auto"/>
            <w:noWrap/>
            <w:vAlign w:val="center"/>
            <w:hideMark/>
          </w:tcPr>
          <w:p w14:paraId="5D6178A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100/89.7</w:t>
            </w:r>
          </w:p>
        </w:tc>
        <w:tc>
          <w:tcPr>
            <w:tcW w:w="219" w:type="pct"/>
            <w:shd w:val="clear" w:color="auto" w:fill="auto"/>
            <w:noWrap/>
            <w:vAlign w:val="center"/>
            <w:hideMark/>
          </w:tcPr>
          <w:p w14:paraId="7F5D740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100/65.5</w:t>
            </w:r>
          </w:p>
        </w:tc>
        <w:tc>
          <w:tcPr>
            <w:tcW w:w="252" w:type="pct"/>
            <w:shd w:val="clear" w:color="auto" w:fill="auto"/>
            <w:noWrap/>
            <w:vAlign w:val="center"/>
            <w:hideMark/>
          </w:tcPr>
          <w:p w14:paraId="3F3A266F"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0/37.9</w:t>
            </w:r>
          </w:p>
        </w:tc>
      </w:tr>
      <w:tr w:rsidR="00617F1C" w:rsidRPr="00B43A8C" w14:paraId="6BA4B603" w14:textId="77777777" w:rsidTr="00617F1C">
        <w:trPr>
          <w:trHeight w:val="240"/>
        </w:trPr>
        <w:tc>
          <w:tcPr>
            <w:tcW w:w="388" w:type="pct"/>
            <w:shd w:val="clear" w:color="auto" w:fill="auto"/>
            <w:noWrap/>
            <w:vAlign w:val="center"/>
            <w:hideMark/>
          </w:tcPr>
          <w:p w14:paraId="4425E511" w14:textId="77777777" w:rsidR="00A1284B" w:rsidRPr="00B43A8C" w:rsidRDefault="00A1284B" w:rsidP="00792AF6">
            <w:pPr>
              <w:widowControl/>
              <w:wordWrap/>
              <w:autoSpaceDE/>
              <w:autoSpaceDN/>
              <w:adjustRightInd w:val="0"/>
              <w:snapToGrid w:val="0"/>
              <w:spacing w:line="360" w:lineRule="auto"/>
              <w:ind w:firstLineChars="100" w:firstLine="240"/>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III/IV (2/58)</w:t>
            </w:r>
          </w:p>
        </w:tc>
        <w:tc>
          <w:tcPr>
            <w:tcW w:w="260" w:type="pct"/>
            <w:shd w:val="clear" w:color="auto" w:fill="auto"/>
            <w:noWrap/>
            <w:vAlign w:val="center"/>
            <w:hideMark/>
          </w:tcPr>
          <w:p w14:paraId="7CD183F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0.56</w:t>
            </w:r>
          </w:p>
        </w:tc>
        <w:tc>
          <w:tcPr>
            <w:tcW w:w="196" w:type="pct"/>
            <w:shd w:val="clear" w:color="auto" w:fill="auto"/>
            <w:noWrap/>
            <w:vAlign w:val="center"/>
            <w:hideMark/>
          </w:tcPr>
          <w:p w14:paraId="0CC126F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0.53</w:t>
            </w:r>
          </w:p>
        </w:tc>
        <w:tc>
          <w:tcPr>
            <w:tcW w:w="219" w:type="pct"/>
            <w:shd w:val="clear" w:color="auto" w:fill="auto"/>
            <w:noWrap/>
            <w:vAlign w:val="center"/>
            <w:hideMark/>
          </w:tcPr>
          <w:p w14:paraId="690102C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0.66</w:t>
            </w:r>
          </w:p>
        </w:tc>
        <w:tc>
          <w:tcPr>
            <w:tcW w:w="235" w:type="pct"/>
            <w:shd w:val="clear" w:color="auto" w:fill="auto"/>
            <w:noWrap/>
            <w:vAlign w:val="center"/>
            <w:hideMark/>
          </w:tcPr>
          <w:p w14:paraId="66D4BB2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w:t>
            </w:r>
          </w:p>
        </w:tc>
        <w:tc>
          <w:tcPr>
            <w:tcW w:w="219" w:type="pct"/>
            <w:shd w:val="clear" w:color="auto" w:fill="auto"/>
            <w:noWrap/>
            <w:vAlign w:val="center"/>
            <w:hideMark/>
          </w:tcPr>
          <w:p w14:paraId="0A1D853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0.6</w:t>
            </w:r>
          </w:p>
        </w:tc>
        <w:tc>
          <w:tcPr>
            <w:tcW w:w="235" w:type="pct"/>
            <w:shd w:val="clear" w:color="auto" w:fill="auto"/>
            <w:noWrap/>
            <w:vAlign w:val="center"/>
            <w:hideMark/>
          </w:tcPr>
          <w:p w14:paraId="298D517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0.39</w:t>
            </w:r>
          </w:p>
        </w:tc>
        <w:tc>
          <w:tcPr>
            <w:tcW w:w="252" w:type="pct"/>
            <w:shd w:val="clear" w:color="auto" w:fill="auto"/>
            <w:noWrap/>
            <w:vAlign w:val="center"/>
            <w:hideMark/>
          </w:tcPr>
          <w:p w14:paraId="2D7B606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0.56</w:t>
            </w:r>
          </w:p>
        </w:tc>
        <w:tc>
          <w:tcPr>
            <w:tcW w:w="219" w:type="pct"/>
            <w:shd w:val="clear" w:color="auto" w:fill="auto"/>
            <w:noWrap/>
            <w:vAlign w:val="center"/>
            <w:hideMark/>
          </w:tcPr>
          <w:p w14:paraId="712E3A4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0.49</w:t>
            </w:r>
          </w:p>
        </w:tc>
        <w:tc>
          <w:tcPr>
            <w:tcW w:w="219" w:type="pct"/>
            <w:shd w:val="clear" w:color="auto" w:fill="auto"/>
            <w:noWrap/>
            <w:vAlign w:val="center"/>
            <w:hideMark/>
          </w:tcPr>
          <w:p w14:paraId="157E1D4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0.06</w:t>
            </w:r>
          </w:p>
        </w:tc>
        <w:tc>
          <w:tcPr>
            <w:tcW w:w="235" w:type="pct"/>
            <w:shd w:val="clear" w:color="auto" w:fill="auto"/>
            <w:noWrap/>
            <w:vAlign w:val="center"/>
            <w:hideMark/>
          </w:tcPr>
          <w:p w14:paraId="223690F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0.58</w:t>
            </w:r>
          </w:p>
        </w:tc>
        <w:tc>
          <w:tcPr>
            <w:tcW w:w="235" w:type="pct"/>
            <w:shd w:val="clear" w:color="auto" w:fill="auto"/>
            <w:noWrap/>
            <w:vAlign w:val="center"/>
            <w:hideMark/>
          </w:tcPr>
          <w:p w14:paraId="226397C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0.62</w:t>
            </w:r>
          </w:p>
        </w:tc>
        <w:tc>
          <w:tcPr>
            <w:tcW w:w="219" w:type="pct"/>
            <w:shd w:val="clear" w:color="auto" w:fill="auto"/>
            <w:noWrap/>
            <w:vAlign w:val="center"/>
            <w:hideMark/>
          </w:tcPr>
          <w:p w14:paraId="61C2EE3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0.78</w:t>
            </w:r>
          </w:p>
        </w:tc>
        <w:tc>
          <w:tcPr>
            <w:tcW w:w="235" w:type="pct"/>
            <w:shd w:val="clear" w:color="auto" w:fill="auto"/>
            <w:noWrap/>
            <w:vAlign w:val="center"/>
            <w:hideMark/>
          </w:tcPr>
          <w:p w14:paraId="0E3A431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0.72</w:t>
            </w:r>
          </w:p>
        </w:tc>
        <w:tc>
          <w:tcPr>
            <w:tcW w:w="219" w:type="pct"/>
            <w:shd w:val="clear" w:color="auto" w:fill="auto"/>
            <w:noWrap/>
            <w:vAlign w:val="center"/>
            <w:hideMark/>
          </w:tcPr>
          <w:p w14:paraId="6C2BEA1F"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0.28</w:t>
            </w:r>
          </w:p>
        </w:tc>
        <w:tc>
          <w:tcPr>
            <w:tcW w:w="219" w:type="pct"/>
            <w:shd w:val="clear" w:color="auto" w:fill="auto"/>
            <w:noWrap/>
            <w:vAlign w:val="center"/>
            <w:hideMark/>
          </w:tcPr>
          <w:p w14:paraId="6BC1864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0.49</w:t>
            </w:r>
          </w:p>
        </w:tc>
        <w:tc>
          <w:tcPr>
            <w:tcW w:w="219" w:type="pct"/>
            <w:shd w:val="clear" w:color="auto" w:fill="auto"/>
            <w:noWrap/>
            <w:vAlign w:val="center"/>
            <w:hideMark/>
          </w:tcPr>
          <w:p w14:paraId="7A48EB3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0.32</w:t>
            </w:r>
          </w:p>
        </w:tc>
        <w:tc>
          <w:tcPr>
            <w:tcW w:w="252" w:type="pct"/>
            <w:shd w:val="clear" w:color="auto" w:fill="auto"/>
            <w:noWrap/>
            <w:vAlign w:val="center"/>
            <w:hideMark/>
          </w:tcPr>
          <w:p w14:paraId="5A73A6D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0.72</w:t>
            </w:r>
          </w:p>
        </w:tc>
        <w:tc>
          <w:tcPr>
            <w:tcW w:w="252" w:type="pct"/>
            <w:shd w:val="clear" w:color="auto" w:fill="auto"/>
            <w:noWrap/>
            <w:vAlign w:val="center"/>
            <w:hideMark/>
          </w:tcPr>
          <w:p w14:paraId="21D38F0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0.81</w:t>
            </w:r>
          </w:p>
        </w:tc>
        <w:tc>
          <w:tcPr>
            <w:tcW w:w="219" w:type="pct"/>
            <w:shd w:val="clear" w:color="auto" w:fill="auto"/>
            <w:noWrap/>
            <w:vAlign w:val="center"/>
            <w:hideMark/>
          </w:tcPr>
          <w:p w14:paraId="4C23812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0.44</w:t>
            </w:r>
          </w:p>
        </w:tc>
        <w:tc>
          <w:tcPr>
            <w:tcW w:w="252" w:type="pct"/>
            <w:shd w:val="clear" w:color="auto" w:fill="auto"/>
            <w:noWrap/>
            <w:vAlign w:val="center"/>
            <w:hideMark/>
          </w:tcPr>
          <w:p w14:paraId="091E54B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w:t>
            </w:r>
          </w:p>
        </w:tc>
      </w:tr>
      <w:tr w:rsidR="00617F1C" w:rsidRPr="00B43A8C" w14:paraId="34F940F1" w14:textId="77777777" w:rsidTr="00617F1C">
        <w:trPr>
          <w:trHeight w:val="240"/>
        </w:trPr>
        <w:tc>
          <w:tcPr>
            <w:tcW w:w="388" w:type="pct"/>
            <w:shd w:val="clear" w:color="auto" w:fill="auto"/>
            <w:noWrap/>
            <w:vAlign w:val="center"/>
            <w:hideMark/>
          </w:tcPr>
          <w:p w14:paraId="28E78083" w14:textId="58884394" w:rsidR="00A1284B" w:rsidRPr="00B43A8C" w:rsidRDefault="00CC6209"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Pr>
                <w:rFonts w:ascii="Book Antiqua" w:eastAsia="Arial Unicode MS" w:hAnsi="Book Antiqua" w:cs="Arial Unicode MS"/>
                <w:color w:val="000000" w:themeColor="text1"/>
                <w:kern w:val="0"/>
                <w:sz w:val="24"/>
                <w:szCs w:val="24"/>
              </w:rPr>
              <w:t>LVI</w:t>
            </w:r>
          </w:p>
        </w:tc>
        <w:tc>
          <w:tcPr>
            <w:tcW w:w="260" w:type="pct"/>
            <w:shd w:val="clear" w:color="auto" w:fill="auto"/>
            <w:noWrap/>
            <w:vAlign w:val="center"/>
            <w:hideMark/>
          </w:tcPr>
          <w:p w14:paraId="5439D8F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iCs/>
                <w:color w:val="000000" w:themeColor="text1"/>
                <w:kern w:val="0"/>
                <w:sz w:val="24"/>
                <w:szCs w:val="24"/>
              </w:rPr>
            </w:pPr>
            <w:r w:rsidRPr="00CC6209">
              <w:rPr>
                <w:rFonts w:ascii="Book Antiqua" w:eastAsia="Arial Unicode MS" w:hAnsi="Book Antiqua" w:cs="Arial Unicode MS"/>
                <w:iCs/>
                <w:color w:val="000000" w:themeColor="text1"/>
                <w:kern w:val="0"/>
                <w:sz w:val="24"/>
                <w:szCs w:val="24"/>
              </w:rPr>
              <w:t>10.0/32.5</w:t>
            </w:r>
          </w:p>
        </w:tc>
        <w:tc>
          <w:tcPr>
            <w:tcW w:w="196" w:type="pct"/>
            <w:shd w:val="clear" w:color="auto" w:fill="auto"/>
            <w:noWrap/>
            <w:vAlign w:val="center"/>
            <w:hideMark/>
          </w:tcPr>
          <w:p w14:paraId="4A45381F"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20.0/30.0</w:t>
            </w:r>
          </w:p>
        </w:tc>
        <w:tc>
          <w:tcPr>
            <w:tcW w:w="219" w:type="pct"/>
            <w:shd w:val="clear" w:color="auto" w:fill="auto"/>
            <w:noWrap/>
            <w:vAlign w:val="center"/>
            <w:hideMark/>
          </w:tcPr>
          <w:p w14:paraId="5C86E68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15.0/20.0</w:t>
            </w:r>
          </w:p>
        </w:tc>
        <w:tc>
          <w:tcPr>
            <w:tcW w:w="235" w:type="pct"/>
            <w:shd w:val="clear" w:color="auto" w:fill="auto"/>
            <w:noWrap/>
            <w:vAlign w:val="center"/>
            <w:hideMark/>
          </w:tcPr>
          <w:p w14:paraId="3E46F77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25.0/42.5</w:t>
            </w:r>
          </w:p>
        </w:tc>
        <w:tc>
          <w:tcPr>
            <w:tcW w:w="219" w:type="pct"/>
            <w:shd w:val="clear" w:color="auto" w:fill="auto"/>
            <w:noWrap/>
            <w:vAlign w:val="center"/>
            <w:hideMark/>
          </w:tcPr>
          <w:p w14:paraId="4390D7C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25.0/42.5</w:t>
            </w:r>
          </w:p>
        </w:tc>
        <w:tc>
          <w:tcPr>
            <w:tcW w:w="235" w:type="pct"/>
            <w:shd w:val="clear" w:color="auto" w:fill="auto"/>
            <w:noWrap/>
            <w:vAlign w:val="center"/>
            <w:hideMark/>
          </w:tcPr>
          <w:p w14:paraId="26B248E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65.0/85.0</w:t>
            </w:r>
          </w:p>
        </w:tc>
        <w:tc>
          <w:tcPr>
            <w:tcW w:w="252" w:type="pct"/>
            <w:shd w:val="clear" w:color="auto" w:fill="auto"/>
            <w:noWrap/>
            <w:vAlign w:val="center"/>
            <w:hideMark/>
          </w:tcPr>
          <w:p w14:paraId="20A2AEF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65.0/80.0</w:t>
            </w:r>
          </w:p>
        </w:tc>
        <w:tc>
          <w:tcPr>
            <w:tcW w:w="219" w:type="pct"/>
            <w:shd w:val="clear" w:color="auto" w:fill="auto"/>
            <w:noWrap/>
            <w:vAlign w:val="center"/>
            <w:hideMark/>
          </w:tcPr>
          <w:p w14:paraId="1C1E06C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30.0/27.5</w:t>
            </w:r>
          </w:p>
        </w:tc>
        <w:tc>
          <w:tcPr>
            <w:tcW w:w="219" w:type="pct"/>
            <w:shd w:val="clear" w:color="auto" w:fill="auto"/>
            <w:noWrap/>
            <w:vAlign w:val="center"/>
            <w:hideMark/>
          </w:tcPr>
          <w:p w14:paraId="46F7C99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75.0/75.0</w:t>
            </w:r>
          </w:p>
        </w:tc>
        <w:tc>
          <w:tcPr>
            <w:tcW w:w="235" w:type="pct"/>
            <w:shd w:val="clear" w:color="auto" w:fill="auto"/>
            <w:noWrap/>
            <w:vAlign w:val="center"/>
            <w:hideMark/>
          </w:tcPr>
          <w:p w14:paraId="2AFDFEB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CC6209">
              <w:rPr>
                <w:rFonts w:ascii="Book Antiqua" w:eastAsia="Arial Unicode MS" w:hAnsi="Book Antiqua" w:cs="Arial Unicode MS"/>
                <w:bCs/>
                <w:iCs/>
                <w:color w:val="000000" w:themeColor="text1"/>
                <w:kern w:val="0"/>
                <w:sz w:val="24"/>
                <w:szCs w:val="24"/>
              </w:rPr>
              <w:t>45.0/75.0</w:t>
            </w:r>
          </w:p>
        </w:tc>
        <w:tc>
          <w:tcPr>
            <w:tcW w:w="235" w:type="pct"/>
            <w:shd w:val="clear" w:color="auto" w:fill="auto"/>
            <w:noWrap/>
            <w:vAlign w:val="center"/>
            <w:hideMark/>
          </w:tcPr>
          <w:p w14:paraId="6D20E62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25.0/45.0</w:t>
            </w:r>
          </w:p>
        </w:tc>
        <w:tc>
          <w:tcPr>
            <w:tcW w:w="219" w:type="pct"/>
            <w:shd w:val="clear" w:color="auto" w:fill="auto"/>
            <w:noWrap/>
            <w:vAlign w:val="center"/>
            <w:hideMark/>
          </w:tcPr>
          <w:p w14:paraId="2229564F"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CC6209">
              <w:rPr>
                <w:rFonts w:ascii="Book Antiqua" w:eastAsia="Arial Unicode MS" w:hAnsi="Book Antiqua" w:cs="Arial Unicode MS"/>
                <w:bCs/>
                <w:iCs/>
                <w:color w:val="000000" w:themeColor="text1"/>
                <w:kern w:val="0"/>
                <w:sz w:val="24"/>
                <w:szCs w:val="24"/>
              </w:rPr>
              <w:t>0/17.5</w:t>
            </w:r>
          </w:p>
        </w:tc>
        <w:tc>
          <w:tcPr>
            <w:tcW w:w="235" w:type="pct"/>
            <w:shd w:val="clear" w:color="auto" w:fill="auto"/>
            <w:noWrap/>
            <w:vAlign w:val="center"/>
            <w:hideMark/>
          </w:tcPr>
          <w:p w14:paraId="26E0D1C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CC6209">
              <w:rPr>
                <w:rFonts w:ascii="Book Antiqua" w:eastAsia="Arial Unicode MS" w:hAnsi="Book Antiqua" w:cs="Arial Unicode MS"/>
                <w:bCs/>
                <w:iCs/>
                <w:color w:val="000000" w:themeColor="text1"/>
                <w:kern w:val="0"/>
                <w:sz w:val="24"/>
                <w:szCs w:val="24"/>
              </w:rPr>
              <w:t>70.0/92.5</w:t>
            </w:r>
          </w:p>
        </w:tc>
        <w:tc>
          <w:tcPr>
            <w:tcW w:w="219" w:type="pct"/>
            <w:shd w:val="clear" w:color="auto" w:fill="auto"/>
            <w:noWrap/>
            <w:vAlign w:val="center"/>
            <w:hideMark/>
          </w:tcPr>
          <w:p w14:paraId="19DC277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CC6209">
              <w:rPr>
                <w:rFonts w:ascii="Book Antiqua" w:eastAsia="Arial Unicode MS" w:hAnsi="Book Antiqua" w:cs="Arial Unicode MS"/>
                <w:bCs/>
                <w:iCs/>
                <w:color w:val="000000" w:themeColor="text1"/>
                <w:kern w:val="0"/>
                <w:sz w:val="24"/>
                <w:szCs w:val="24"/>
              </w:rPr>
              <w:t>35.0/62.5</w:t>
            </w:r>
          </w:p>
        </w:tc>
        <w:tc>
          <w:tcPr>
            <w:tcW w:w="219" w:type="pct"/>
            <w:shd w:val="clear" w:color="auto" w:fill="auto"/>
            <w:noWrap/>
            <w:vAlign w:val="center"/>
            <w:hideMark/>
          </w:tcPr>
          <w:p w14:paraId="2DE2E33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60.0/75.0</w:t>
            </w:r>
          </w:p>
        </w:tc>
        <w:tc>
          <w:tcPr>
            <w:tcW w:w="219" w:type="pct"/>
            <w:shd w:val="clear" w:color="auto" w:fill="auto"/>
            <w:noWrap/>
            <w:vAlign w:val="center"/>
            <w:hideMark/>
          </w:tcPr>
          <w:p w14:paraId="7433666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45.0/62.5</w:t>
            </w:r>
          </w:p>
        </w:tc>
        <w:tc>
          <w:tcPr>
            <w:tcW w:w="252" w:type="pct"/>
            <w:shd w:val="clear" w:color="auto" w:fill="auto"/>
            <w:noWrap/>
            <w:vAlign w:val="center"/>
            <w:hideMark/>
          </w:tcPr>
          <w:p w14:paraId="72ED85A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75.0/90.0</w:t>
            </w:r>
          </w:p>
        </w:tc>
        <w:tc>
          <w:tcPr>
            <w:tcW w:w="252" w:type="pct"/>
            <w:shd w:val="clear" w:color="auto" w:fill="auto"/>
            <w:noWrap/>
            <w:vAlign w:val="center"/>
            <w:hideMark/>
          </w:tcPr>
          <w:p w14:paraId="1D2DC6C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85.0/92.5</w:t>
            </w:r>
          </w:p>
        </w:tc>
        <w:tc>
          <w:tcPr>
            <w:tcW w:w="219" w:type="pct"/>
            <w:shd w:val="clear" w:color="auto" w:fill="auto"/>
            <w:noWrap/>
            <w:vAlign w:val="center"/>
            <w:hideMark/>
          </w:tcPr>
          <w:p w14:paraId="002F185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55.0/72.5</w:t>
            </w:r>
          </w:p>
        </w:tc>
        <w:tc>
          <w:tcPr>
            <w:tcW w:w="252" w:type="pct"/>
            <w:shd w:val="clear" w:color="auto" w:fill="auto"/>
            <w:noWrap/>
            <w:vAlign w:val="center"/>
            <w:hideMark/>
          </w:tcPr>
          <w:p w14:paraId="29C63C0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30.0/40.0</w:t>
            </w:r>
          </w:p>
        </w:tc>
      </w:tr>
      <w:tr w:rsidR="00617F1C" w:rsidRPr="00B43A8C" w14:paraId="0FA63F74" w14:textId="77777777" w:rsidTr="00617F1C">
        <w:trPr>
          <w:trHeight w:val="240"/>
        </w:trPr>
        <w:tc>
          <w:tcPr>
            <w:tcW w:w="388" w:type="pct"/>
            <w:shd w:val="clear" w:color="auto" w:fill="auto"/>
            <w:noWrap/>
            <w:vAlign w:val="center"/>
            <w:hideMark/>
          </w:tcPr>
          <w:p w14:paraId="593D3D75" w14:textId="77777777" w:rsidR="00A1284B" w:rsidRPr="00B43A8C" w:rsidRDefault="00A1284B" w:rsidP="00792AF6">
            <w:pPr>
              <w:widowControl/>
              <w:wordWrap/>
              <w:autoSpaceDE/>
              <w:autoSpaceDN/>
              <w:adjustRightInd w:val="0"/>
              <w:snapToGrid w:val="0"/>
              <w:spacing w:line="360" w:lineRule="auto"/>
              <w:ind w:firstLineChars="100" w:firstLine="240"/>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lastRenderedPageBreak/>
              <w:t>No/Yes (20/40)</w:t>
            </w:r>
          </w:p>
        </w:tc>
        <w:tc>
          <w:tcPr>
            <w:tcW w:w="260" w:type="pct"/>
            <w:shd w:val="clear" w:color="auto" w:fill="auto"/>
            <w:noWrap/>
            <w:vAlign w:val="center"/>
            <w:hideMark/>
          </w:tcPr>
          <w:p w14:paraId="1D6B9E8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0.05</w:t>
            </w:r>
          </w:p>
        </w:tc>
        <w:tc>
          <w:tcPr>
            <w:tcW w:w="196" w:type="pct"/>
            <w:shd w:val="clear" w:color="auto" w:fill="auto"/>
            <w:noWrap/>
            <w:vAlign w:val="center"/>
            <w:hideMark/>
          </w:tcPr>
          <w:p w14:paraId="44AD5F8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0.31</w:t>
            </w:r>
          </w:p>
        </w:tc>
        <w:tc>
          <w:tcPr>
            <w:tcW w:w="219" w:type="pct"/>
            <w:shd w:val="clear" w:color="auto" w:fill="auto"/>
            <w:noWrap/>
            <w:vAlign w:val="center"/>
            <w:hideMark/>
          </w:tcPr>
          <w:p w14:paraId="4A36D0F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0.47</w:t>
            </w:r>
          </w:p>
        </w:tc>
        <w:tc>
          <w:tcPr>
            <w:tcW w:w="235" w:type="pct"/>
            <w:shd w:val="clear" w:color="auto" w:fill="auto"/>
            <w:noWrap/>
            <w:vAlign w:val="center"/>
            <w:hideMark/>
          </w:tcPr>
          <w:p w14:paraId="33FBE83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0.15</w:t>
            </w:r>
          </w:p>
        </w:tc>
        <w:tc>
          <w:tcPr>
            <w:tcW w:w="219" w:type="pct"/>
            <w:shd w:val="clear" w:color="auto" w:fill="auto"/>
            <w:noWrap/>
            <w:vAlign w:val="center"/>
            <w:hideMark/>
          </w:tcPr>
          <w:p w14:paraId="6208D80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0.15</w:t>
            </w:r>
          </w:p>
        </w:tc>
        <w:tc>
          <w:tcPr>
            <w:tcW w:w="235" w:type="pct"/>
            <w:shd w:val="clear" w:color="auto" w:fill="auto"/>
            <w:noWrap/>
            <w:vAlign w:val="center"/>
            <w:hideMark/>
          </w:tcPr>
          <w:p w14:paraId="08537D8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0.08</w:t>
            </w:r>
          </w:p>
        </w:tc>
        <w:tc>
          <w:tcPr>
            <w:tcW w:w="252" w:type="pct"/>
            <w:shd w:val="clear" w:color="auto" w:fill="auto"/>
            <w:noWrap/>
            <w:vAlign w:val="center"/>
            <w:hideMark/>
          </w:tcPr>
          <w:p w14:paraId="06034B62"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0.17</w:t>
            </w:r>
          </w:p>
        </w:tc>
        <w:tc>
          <w:tcPr>
            <w:tcW w:w="219" w:type="pct"/>
            <w:shd w:val="clear" w:color="auto" w:fill="auto"/>
            <w:noWrap/>
            <w:vAlign w:val="center"/>
            <w:hideMark/>
          </w:tcPr>
          <w:p w14:paraId="476FAFF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0.53</w:t>
            </w:r>
          </w:p>
        </w:tc>
        <w:tc>
          <w:tcPr>
            <w:tcW w:w="219" w:type="pct"/>
            <w:shd w:val="clear" w:color="auto" w:fill="auto"/>
            <w:noWrap/>
            <w:vAlign w:val="center"/>
            <w:hideMark/>
          </w:tcPr>
          <w:p w14:paraId="22BD730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0.63</w:t>
            </w:r>
          </w:p>
        </w:tc>
        <w:tc>
          <w:tcPr>
            <w:tcW w:w="235" w:type="pct"/>
            <w:shd w:val="clear" w:color="auto" w:fill="auto"/>
            <w:noWrap/>
            <w:vAlign w:val="center"/>
            <w:hideMark/>
          </w:tcPr>
          <w:p w14:paraId="58F2185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0.02</w:t>
            </w:r>
          </w:p>
        </w:tc>
        <w:tc>
          <w:tcPr>
            <w:tcW w:w="235" w:type="pct"/>
            <w:shd w:val="clear" w:color="auto" w:fill="auto"/>
            <w:noWrap/>
            <w:vAlign w:val="center"/>
            <w:hideMark/>
          </w:tcPr>
          <w:p w14:paraId="5A9CFB8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0.11</w:t>
            </w:r>
          </w:p>
        </w:tc>
        <w:tc>
          <w:tcPr>
            <w:tcW w:w="219" w:type="pct"/>
            <w:shd w:val="clear" w:color="auto" w:fill="auto"/>
            <w:noWrap/>
            <w:vAlign w:val="center"/>
            <w:hideMark/>
          </w:tcPr>
          <w:p w14:paraId="5369504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0.05</w:t>
            </w:r>
          </w:p>
        </w:tc>
        <w:tc>
          <w:tcPr>
            <w:tcW w:w="235" w:type="pct"/>
            <w:shd w:val="clear" w:color="auto" w:fill="auto"/>
            <w:noWrap/>
            <w:vAlign w:val="center"/>
            <w:hideMark/>
          </w:tcPr>
          <w:p w14:paraId="0A3A0B3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0.03</w:t>
            </w:r>
          </w:p>
        </w:tc>
        <w:tc>
          <w:tcPr>
            <w:tcW w:w="219" w:type="pct"/>
            <w:shd w:val="clear" w:color="auto" w:fill="auto"/>
            <w:noWrap/>
            <w:vAlign w:val="center"/>
            <w:hideMark/>
          </w:tcPr>
          <w:p w14:paraId="6FCCF8C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0.04</w:t>
            </w:r>
          </w:p>
        </w:tc>
        <w:tc>
          <w:tcPr>
            <w:tcW w:w="219" w:type="pct"/>
            <w:shd w:val="clear" w:color="auto" w:fill="auto"/>
            <w:noWrap/>
            <w:vAlign w:val="center"/>
            <w:hideMark/>
          </w:tcPr>
          <w:p w14:paraId="25709BD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0.18</w:t>
            </w:r>
          </w:p>
        </w:tc>
        <w:tc>
          <w:tcPr>
            <w:tcW w:w="219" w:type="pct"/>
            <w:shd w:val="clear" w:color="auto" w:fill="auto"/>
            <w:noWrap/>
            <w:vAlign w:val="center"/>
            <w:hideMark/>
          </w:tcPr>
          <w:p w14:paraId="6C16A3A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0.16</w:t>
            </w:r>
          </w:p>
        </w:tc>
        <w:tc>
          <w:tcPr>
            <w:tcW w:w="252" w:type="pct"/>
            <w:shd w:val="clear" w:color="auto" w:fill="auto"/>
            <w:noWrap/>
            <w:vAlign w:val="center"/>
            <w:hideMark/>
          </w:tcPr>
          <w:p w14:paraId="3B91FC4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0.13</w:t>
            </w:r>
          </w:p>
        </w:tc>
        <w:tc>
          <w:tcPr>
            <w:tcW w:w="252" w:type="pct"/>
            <w:shd w:val="clear" w:color="auto" w:fill="auto"/>
            <w:noWrap/>
            <w:vAlign w:val="center"/>
            <w:hideMark/>
          </w:tcPr>
          <w:p w14:paraId="6A877D1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0.31</w:t>
            </w:r>
          </w:p>
        </w:tc>
        <w:tc>
          <w:tcPr>
            <w:tcW w:w="219" w:type="pct"/>
            <w:shd w:val="clear" w:color="auto" w:fill="auto"/>
            <w:noWrap/>
            <w:vAlign w:val="center"/>
            <w:hideMark/>
          </w:tcPr>
          <w:p w14:paraId="6AD5D02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0.14</w:t>
            </w:r>
          </w:p>
        </w:tc>
        <w:tc>
          <w:tcPr>
            <w:tcW w:w="252" w:type="pct"/>
            <w:shd w:val="clear" w:color="auto" w:fill="auto"/>
            <w:noWrap/>
            <w:vAlign w:val="center"/>
            <w:hideMark/>
          </w:tcPr>
          <w:p w14:paraId="279EBC3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0.32</w:t>
            </w:r>
          </w:p>
        </w:tc>
      </w:tr>
      <w:tr w:rsidR="00617F1C" w:rsidRPr="00B43A8C" w14:paraId="05641641" w14:textId="77777777" w:rsidTr="00617F1C">
        <w:trPr>
          <w:trHeight w:val="240"/>
        </w:trPr>
        <w:tc>
          <w:tcPr>
            <w:tcW w:w="388" w:type="pct"/>
            <w:shd w:val="clear" w:color="auto" w:fill="auto"/>
            <w:noWrap/>
            <w:vAlign w:val="center"/>
            <w:hideMark/>
          </w:tcPr>
          <w:p w14:paraId="77DCF996" w14:textId="4515DE10" w:rsidR="00A1284B" w:rsidRPr="00B43A8C" w:rsidRDefault="00CC6209"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Pr>
                <w:rFonts w:ascii="Book Antiqua" w:eastAsia="Arial Unicode MS" w:hAnsi="Book Antiqua" w:cs="Arial Unicode MS"/>
                <w:color w:val="000000" w:themeColor="text1"/>
                <w:kern w:val="0"/>
                <w:sz w:val="24"/>
                <w:szCs w:val="24"/>
              </w:rPr>
              <w:t>PNI</w:t>
            </w:r>
          </w:p>
        </w:tc>
        <w:tc>
          <w:tcPr>
            <w:tcW w:w="260" w:type="pct"/>
            <w:shd w:val="clear" w:color="auto" w:fill="auto"/>
            <w:noWrap/>
            <w:vAlign w:val="center"/>
            <w:hideMark/>
          </w:tcPr>
          <w:p w14:paraId="735FF56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CC6209">
              <w:rPr>
                <w:rFonts w:ascii="Book Antiqua" w:eastAsia="Arial Unicode MS" w:hAnsi="Book Antiqua" w:cs="Arial Unicode MS"/>
                <w:bCs/>
                <w:iCs/>
                <w:color w:val="000000" w:themeColor="text1"/>
                <w:kern w:val="0"/>
                <w:sz w:val="24"/>
                <w:szCs w:val="24"/>
              </w:rPr>
              <w:t>12.0/34.3</w:t>
            </w:r>
          </w:p>
        </w:tc>
        <w:tc>
          <w:tcPr>
            <w:tcW w:w="196" w:type="pct"/>
            <w:shd w:val="clear" w:color="auto" w:fill="auto"/>
            <w:noWrap/>
            <w:vAlign w:val="center"/>
            <w:hideMark/>
          </w:tcPr>
          <w:p w14:paraId="4355C79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32.0/22.9</w:t>
            </w:r>
          </w:p>
        </w:tc>
        <w:tc>
          <w:tcPr>
            <w:tcW w:w="219" w:type="pct"/>
            <w:shd w:val="clear" w:color="auto" w:fill="auto"/>
            <w:noWrap/>
            <w:vAlign w:val="center"/>
            <w:hideMark/>
          </w:tcPr>
          <w:p w14:paraId="4CD6794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16.0/20.0</w:t>
            </w:r>
          </w:p>
        </w:tc>
        <w:tc>
          <w:tcPr>
            <w:tcW w:w="235" w:type="pct"/>
            <w:shd w:val="clear" w:color="auto" w:fill="auto"/>
            <w:noWrap/>
            <w:vAlign w:val="center"/>
            <w:hideMark/>
          </w:tcPr>
          <w:p w14:paraId="5AF7133F"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40.0/34.3</w:t>
            </w:r>
          </w:p>
        </w:tc>
        <w:tc>
          <w:tcPr>
            <w:tcW w:w="219" w:type="pct"/>
            <w:shd w:val="clear" w:color="auto" w:fill="auto"/>
            <w:noWrap/>
            <w:vAlign w:val="center"/>
            <w:hideMark/>
          </w:tcPr>
          <w:p w14:paraId="53AA472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32.0/40.0</w:t>
            </w:r>
          </w:p>
        </w:tc>
        <w:tc>
          <w:tcPr>
            <w:tcW w:w="235" w:type="pct"/>
            <w:shd w:val="clear" w:color="auto" w:fill="auto"/>
            <w:noWrap/>
            <w:vAlign w:val="center"/>
            <w:hideMark/>
          </w:tcPr>
          <w:p w14:paraId="4678994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76.0/80.0</w:t>
            </w:r>
          </w:p>
        </w:tc>
        <w:tc>
          <w:tcPr>
            <w:tcW w:w="252" w:type="pct"/>
            <w:shd w:val="clear" w:color="auto" w:fill="auto"/>
            <w:noWrap/>
            <w:vAlign w:val="center"/>
            <w:hideMark/>
          </w:tcPr>
          <w:p w14:paraId="1B9C36A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CC6209">
              <w:rPr>
                <w:rFonts w:ascii="Book Antiqua" w:eastAsia="Arial Unicode MS" w:hAnsi="Book Antiqua" w:cs="Arial Unicode MS"/>
                <w:bCs/>
                <w:iCs/>
                <w:color w:val="000000" w:themeColor="text1"/>
                <w:kern w:val="0"/>
                <w:sz w:val="24"/>
                <w:szCs w:val="24"/>
              </w:rPr>
              <w:t>60.0/85.7</w:t>
            </w:r>
          </w:p>
        </w:tc>
        <w:tc>
          <w:tcPr>
            <w:tcW w:w="219" w:type="pct"/>
            <w:shd w:val="clear" w:color="auto" w:fill="auto"/>
            <w:noWrap/>
            <w:vAlign w:val="center"/>
            <w:hideMark/>
          </w:tcPr>
          <w:p w14:paraId="52E91E3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36.0/22.9</w:t>
            </w:r>
          </w:p>
        </w:tc>
        <w:tc>
          <w:tcPr>
            <w:tcW w:w="219" w:type="pct"/>
            <w:shd w:val="clear" w:color="auto" w:fill="auto"/>
            <w:noWrap/>
            <w:vAlign w:val="center"/>
            <w:hideMark/>
          </w:tcPr>
          <w:p w14:paraId="5439591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72.0/77.1</w:t>
            </w:r>
          </w:p>
        </w:tc>
        <w:tc>
          <w:tcPr>
            <w:tcW w:w="235" w:type="pct"/>
            <w:shd w:val="clear" w:color="auto" w:fill="auto"/>
            <w:noWrap/>
            <w:vAlign w:val="center"/>
            <w:hideMark/>
          </w:tcPr>
          <w:p w14:paraId="371B557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56.0/71.4</w:t>
            </w:r>
          </w:p>
        </w:tc>
        <w:tc>
          <w:tcPr>
            <w:tcW w:w="235" w:type="pct"/>
            <w:shd w:val="clear" w:color="auto" w:fill="auto"/>
            <w:noWrap/>
            <w:vAlign w:val="center"/>
            <w:hideMark/>
          </w:tcPr>
          <w:p w14:paraId="2EA9AF9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40.0/37.1</w:t>
            </w:r>
          </w:p>
        </w:tc>
        <w:tc>
          <w:tcPr>
            <w:tcW w:w="219" w:type="pct"/>
            <w:shd w:val="clear" w:color="auto" w:fill="auto"/>
            <w:noWrap/>
            <w:vAlign w:val="center"/>
            <w:hideMark/>
          </w:tcPr>
          <w:p w14:paraId="3EC1D7A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8.0/14.3</w:t>
            </w:r>
          </w:p>
        </w:tc>
        <w:tc>
          <w:tcPr>
            <w:tcW w:w="235" w:type="pct"/>
            <w:shd w:val="clear" w:color="auto" w:fill="auto"/>
            <w:noWrap/>
            <w:vAlign w:val="center"/>
            <w:hideMark/>
          </w:tcPr>
          <w:p w14:paraId="2D7BB49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76.0/91.4</w:t>
            </w:r>
          </w:p>
        </w:tc>
        <w:tc>
          <w:tcPr>
            <w:tcW w:w="219" w:type="pct"/>
            <w:shd w:val="clear" w:color="auto" w:fill="auto"/>
            <w:noWrap/>
            <w:vAlign w:val="center"/>
            <w:hideMark/>
          </w:tcPr>
          <w:p w14:paraId="7DCB7C7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52.0/54.3</w:t>
            </w:r>
          </w:p>
        </w:tc>
        <w:tc>
          <w:tcPr>
            <w:tcW w:w="219" w:type="pct"/>
            <w:shd w:val="clear" w:color="auto" w:fill="auto"/>
            <w:noWrap/>
            <w:vAlign w:val="center"/>
            <w:hideMark/>
          </w:tcPr>
          <w:p w14:paraId="0272ADE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68.0/71.4</w:t>
            </w:r>
          </w:p>
        </w:tc>
        <w:tc>
          <w:tcPr>
            <w:tcW w:w="219" w:type="pct"/>
            <w:shd w:val="clear" w:color="auto" w:fill="auto"/>
            <w:noWrap/>
            <w:vAlign w:val="center"/>
            <w:hideMark/>
          </w:tcPr>
          <w:p w14:paraId="04858A0D"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56.0/57.1</w:t>
            </w:r>
          </w:p>
        </w:tc>
        <w:tc>
          <w:tcPr>
            <w:tcW w:w="252" w:type="pct"/>
            <w:shd w:val="clear" w:color="auto" w:fill="auto"/>
            <w:noWrap/>
            <w:vAlign w:val="center"/>
            <w:hideMark/>
          </w:tcPr>
          <w:p w14:paraId="120DCB2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76.0/91.4</w:t>
            </w:r>
          </w:p>
        </w:tc>
        <w:tc>
          <w:tcPr>
            <w:tcW w:w="252" w:type="pct"/>
            <w:shd w:val="clear" w:color="auto" w:fill="auto"/>
            <w:noWrap/>
            <w:vAlign w:val="center"/>
            <w:hideMark/>
          </w:tcPr>
          <w:p w14:paraId="3636502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84.0/94.3</w:t>
            </w:r>
          </w:p>
        </w:tc>
        <w:tc>
          <w:tcPr>
            <w:tcW w:w="219" w:type="pct"/>
            <w:shd w:val="clear" w:color="auto" w:fill="auto"/>
            <w:noWrap/>
            <w:vAlign w:val="center"/>
            <w:hideMark/>
          </w:tcPr>
          <w:p w14:paraId="5CADA1F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64.0/68.6</w:t>
            </w:r>
          </w:p>
        </w:tc>
        <w:tc>
          <w:tcPr>
            <w:tcW w:w="252" w:type="pct"/>
            <w:shd w:val="clear" w:color="auto" w:fill="auto"/>
            <w:noWrap/>
            <w:vAlign w:val="center"/>
            <w:hideMark/>
          </w:tcPr>
          <w:p w14:paraId="0C2BBFA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24.0/45.7</w:t>
            </w:r>
          </w:p>
        </w:tc>
      </w:tr>
      <w:tr w:rsidR="00617F1C" w:rsidRPr="00B43A8C" w14:paraId="2D7F1C14" w14:textId="77777777" w:rsidTr="00617F1C">
        <w:trPr>
          <w:trHeight w:val="240"/>
        </w:trPr>
        <w:tc>
          <w:tcPr>
            <w:tcW w:w="388" w:type="pct"/>
            <w:shd w:val="clear" w:color="auto" w:fill="auto"/>
            <w:noWrap/>
            <w:vAlign w:val="center"/>
            <w:hideMark/>
          </w:tcPr>
          <w:p w14:paraId="6BB67202" w14:textId="77777777" w:rsidR="00A1284B" w:rsidRPr="00B43A8C" w:rsidRDefault="00A1284B" w:rsidP="00792AF6">
            <w:pPr>
              <w:widowControl/>
              <w:wordWrap/>
              <w:autoSpaceDE/>
              <w:autoSpaceDN/>
              <w:adjustRightInd w:val="0"/>
              <w:snapToGrid w:val="0"/>
              <w:spacing w:line="360" w:lineRule="auto"/>
              <w:ind w:firstLineChars="100" w:firstLine="240"/>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No/Yes (25/35)</w:t>
            </w:r>
          </w:p>
        </w:tc>
        <w:tc>
          <w:tcPr>
            <w:tcW w:w="260" w:type="pct"/>
            <w:shd w:val="clear" w:color="auto" w:fill="auto"/>
            <w:noWrap/>
            <w:vAlign w:val="center"/>
            <w:hideMark/>
          </w:tcPr>
          <w:p w14:paraId="5140B1F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0.04</w:t>
            </w:r>
          </w:p>
        </w:tc>
        <w:tc>
          <w:tcPr>
            <w:tcW w:w="196" w:type="pct"/>
            <w:shd w:val="clear" w:color="auto" w:fill="auto"/>
            <w:noWrap/>
            <w:vAlign w:val="center"/>
            <w:hideMark/>
          </w:tcPr>
          <w:p w14:paraId="39F8E2B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0.31</w:t>
            </w:r>
          </w:p>
        </w:tc>
        <w:tc>
          <w:tcPr>
            <w:tcW w:w="219" w:type="pct"/>
            <w:shd w:val="clear" w:color="auto" w:fill="auto"/>
            <w:noWrap/>
            <w:vAlign w:val="center"/>
            <w:hideMark/>
          </w:tcPr>
          <w:p w14:paraId="1C1F76D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0.48</w:t>
            </w:r>
          </w:p>
        </w:tc>
        <w:tc>
          <w:tcPr>
            <w:tcW w:w="235" w:type="pct"/>
            <w:shd w:val="clear" w:color="auto" w:fill="auto"/>
            <w:noWrap/>
            <w:vAlign w:val="center"/>
            <w:hideMark/>
          </w:tcPr>
          <w:p w14:paraId="7E1E7AC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0.43</w:t>
            </w:r>
          </w:p>
        </w:tc>
        <w:tc>
          <w:tcPr>
            <w:tcW w:w="219" w:type="pct"/>
            <w:shd w:val="clear" w:color="auto" w:fill="auto"/>
            <w:noWrap/>
            <w:vAlign w:val="center"/>
            <w:hideMark/>
          </w:tcPr>
          <w:p w14:paraId="725832D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0.36</w:t>
            </w:r>
          </w:p>
        </w:tc>
        <w:tc>
          <w:tcPr>
            <w:tcW w:w="235" w:type="pct"/>
            <w:shd w:val="clear" w:color="auto" w:fill="auto"/>
            <w:noWrap/>
            <w:vAlign w:val="center"/>
            <w:hideMark/>
          </w:tcPr>
          <w:p w14:paraId="3CA3AF0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0.47</w:t>
            </w:r>
          </w:p>
        </w:tc>
        <w:tc>
          <w:tcPr>
            <w:tcW w:w="252" w:type="pct"/>
            <w:shd w:val="clear" w:color="auto" w:fill="auto"/>
            <w:noWrap/>
            <w:vAlign w:val="center"/>
            <w:hideMark/>
          </w:tcPr>
          <w:p w14:paraId="6E7EBE0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0.02</w:t>
            </w:r>
          </w:p>
        </w:tc>
        <w:tc>
          <w:tcPr>
            <w:tcW w:w="219" w:type="pct"/>
            <w:shd w:val="clear" w:color="auto" w:fill="auto"/>
            <w:noWrap/>
            <w:vAlign w:val="center"/>
            <w:hideMark/>
          </w:tcPr>
          <w:p w14:paraId="0F4C7FD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w:t>
            </w:r>
          </w:p>
        </w:tc>
        <w:tc>
          <w:tcPr>
            <w:tcW w:w="219" w:type="pct"/>
            <w:shd w:val="clear" w:color="auto" w:fill="auto"/>
            <w:noWrap/>
            <w:vAlign w:val="center"/>
            <w:hideMark/>
          </w:tcPr>
          <w:p w14:paraId="04D018D2"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0.44</w:t>
            </w:r>
          </w:p>
        </w:tc>
        <w:tc>
          <w:tcPr>
            <w:tcW w:w="235" w:type="pct"/>
            <w:shd w:val="clear" w:color="auto" w:fill="auto"/>
            <w:noWrap/>
            <w:vAlign w:val="center"/>
            <w:hideMark/>
          </w:tcPr>
          <w:p w14:paraId="3E54E3FD"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0.17</w:t>
            </w:r>
          </w:p>
        </w:tc>
        <w:tc>
          <w:tcPr>
            <w:tcW w:w="235" w:type="pct"/>
            <w:shd w:val="clear" w:color="auto" w:fill="auto"/>
            <w:noWrap/>
            <w:vAlign w:val="center"/>
            <w:hideMark/>
          </w:tcPr>
          <w:p w14:paraId="59BB477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0.52</w:t>
            </w:r>
          </w:p>
        </w:tc>
        <w:tc>
          <w:tcPr>
            <w:tcW w:w="219" w:type="pct"/>
            <w:shd w:val="clear" w:color="auto" w:fill="auto"/>
            <w:noWrap/>
            <w:vAlign w:val="center"/>
            <w:hideMark/>
          </w:tcPr>
          <w:p w14:paraId="00B2537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0.37</w:t>
            </w:r>
          </w:p>
        </w:tc>
        <w:tc>
          <w:tcPr>
            <w:tcW w:w="235" w:type="pct"/>
            <w:shd w:val="clear" w:color="auto" w:fill="auto"/>
            <w:noWrap/>
            <w:vAlign w:val="center"/>
            <w:hideMark/>
          </w:tcPr>
          <w:p w14:paraId="5437BF0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w:t>
            </w:r>
          </w:p>
        </w:tc>
        <w:tc>
          <w:tcPr>
            <w:tcW w:w="219" w:type="pct"/>
            <w:shd w:val="clear" w:color="auto" w:fill="auto"/>
            <w:noWrap/>
            <w:vAlign w:val="center"/>
            <w:hideMark/>
          </w:tcPr>
          <w:p w14:paraId="79A8A3D2"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0.53</w:t>
            </w:r>
          </w:p>
        </w:tc>
        <w:tc>
          <w:tcPr>
            <w:tcW w:w="219" w:type="pct"/>
            <w:shd w:val="clear" w:color="auto" w:fill="auto"/>
            <w:noWrap/>
            <w:vAlign w:val="center"/>
            <w:hideMark/>
          </w:tcPr>
          <w:p w14:paraId="55A195A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w:t>
            </w:r>
          </w:p>
        </w:tc>
        <w:tc>
          <w:tcPr>
            <w:tcW w:w="219" w:type="pct"/>
            <w:shd w:val="clear" w:color="auto" w:fill="auto"/>
            <w:noWrap/>
            <w:vAlign w:val="center"/>
            <w:hideMark/>
          </w:tcPr>
          <w:p w14:paraId="32F6933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0.57</w:t>
            </w:r>
          </w:p>
        </w:tc>
        <w:tc>
          <w:tcPr>
            <w:tcW w:w="252" w:type="pct"/>
            <w:shd w:val="clear" w:color="auto" w:fill="auto"/>
            <w:noWrap/>
            <w:vAlign w:val="center"/>
            <w:hideMark/>
          </w:tcPr>
          <w:p w14:paraId="387A684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w:t>
            </w:r>
          </w:p>
        </w:tc>
        <w:tc>
          <w:tcPr>
            <w:tcW w:w="252" w:type="pct"/>
            <w:shd w:val="clear" w:color="auto" w:fill="auto"/>
            <w:noWrap/>
            <w:vAlign w:val="center"/>
            <w:hideMark/>
          </w:tcPr>
          <w:p w14:paraId="4AFED6E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0.19</w:t>
            </w:r>
          </w:p>
        </w:tc>
        <w:tc>
          <w:tcPr>
            <w:tcW w:w="219" w:type="pct"/>
            <w:shd w:val="clear" w:color="auto" w:fill="auto"/>
            <w:noWrap/>
            <w:vAlign w:val="center"/>
            <w:hideMark/>
          </w:tcPr>
          <w:p w14:paraId="2D86A8A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0.46</w:t>
            </w:r>
          </w:p>
        </w:tc>
        <w:tc>
          <w:tcPr>
            <w:tcW w:w="252" w:type="pct"/>
            <w:shd w:val="clear" w:color="auto" w:fill="auto"/>
            <w:noWrap/>
            <w:vAlign w:val="center"/>
            <w:hideMark/>
          </w:tcPr>
          <w:p w14:paraId="220178A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0.07</w:t>
            </w:r>
          </w:p>
        </w:tc>
      </w:tr>
      <w:tr w:rsidR="00617F1C" w:rsidRPr="00B43A8C" w14:paraId="60879292" w14:textId="77777777" w:rsidTr="00617F1C">
        <w:trPr>
          <w:trHeight w:val="240"/>
        </w:trPr>
        <w:tc>
          <w:tcPr>
            <w:tcW w:w="388" w:type="pct"/>
            <w:shd w:val="clear" w:color="auto" w:fill="auto"/>
            <w:noWrap/>
            <w:vAlign w:val="center"/>
            <w:hideMark/>
          </w:tcPr>
          <w:p w14:paraId="0064EA96" w14:textId="3AAA6BDB" w:rsidR="00A1284B" w:rsidRPr="00B43A8C" w:rsidRDefault="00CC6209"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Pr>
                <w:rFonts w:ascii="Book Antiqua" w:eastAsia="Arial Unicode MS" w:hAnsi="Book Antiqua" w:cs="Arial Unicode MS"/>
                <w:color w:val="000000" w:themeColor="text1"/>
                <w:kern w:val="0"/>
                <w:sz w:val="24"/>
                <w:szCs w:val="24"/>
              </w:rPr>
              <w:t>CRM involvement</w:t>
            </w:r>
          </w:p>
        </w:tc>
        <w:tc>
          <w:tcPr>
            <w:tcW w:w="260" w:type="pct"/>
            <w:shd w:val="clear" w:color="auto" w:fill="auto"/>
            <w:noWrap/>
            <w:vAlign w:val="center"/>
            <w:hideMark/>
          </w:tcPr>
          <w:p w14:paraId="3A881C4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22.4/36.4</w:t>
            </w:r>
          </w:p>
        </w:tc>
        <w:tc>
          <w:tcPr>
            <w:tcW w:w="196" w:type="pct"/>
            <w:shd w:val="clear" w:color="auto" w:fill="auto"/>
            <w:noWrap/>
            <w:vAlign w:val="center"/>
            <w:hideMark/>
          </w:tcPr>
          <w:p w14:paraId="12B110C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26.5/27.3</w:t>
            </w:r>
          </w:p>
        </w:tc>
        <w:tc>
          <w:tcPr>
            <w:tcW w:w="219" w:type="pct"/>
            <w:shd w:val="clear" w:color="auto" w:fill="auto"/>
            <w:noWrap/>
            <w:vAlign w:val="center"/>
            <w:hideMark/>
          </w:tcPr>
          <w:p w14:paraId="2DDD93B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18.4/18.2</w:t>
            </w:r>
          </w:p>
        </w:tc>
        <w:tc>
          <w:tcPr>
            <w:tcW w:w="235" w:type="pct"/>
            <w:shd w:val="clear" w:color="auto" w:fill="auto"/>
            <w:noWrap/>
            <w:vAlign w:val="center"/>
            <w:hideMark/>
          </w:tcPr>
          <w:p w14:paraId="28796D4A"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34.7/45.5</w:t>
            </w:r>
          </w:p>
        </w:tc>
        <w:tc>
          <w:tcPr>
            <w:tcW w:w="219" w:type="pct"/>
            <w:shd w:val="clear" w:color="auto" w:fill="auto"/>
            <w:noWrap/>
            <w:vAlign w:val="center"/>
            <w:hideMark/>
          </w:tcPr>
          <w:p w14:paraId="5562692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38.8/27.3</w:t>
            </w:r>
          </w:p>
        </w:tc>
        <w:tc>
          <w:tcPr>
            <w:tcW w:w="235" w:type="pct"/>
            <w:shd w:val="clear" w:color="auto" w:fill="auto"/>
            <w:noWrap/>
            <w:vAlign w:val="center"/>
            <w:hideMark/>
          </w:tcPr>
          <w:p w14:paraId="3B67E82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79.6/72.7</w:t>
            </w:r>
          </w:p>
        </w:tc>
        <w:tc>
          <w:tcPr>
            <w:tcW w:w="252" w:type="pct"/>
            <w:shd w:val="clear" w:color="auto" w:fill="auto"/>
            <w:noWrap/>
            <w:vAlign w:val="center"/>
            <w:hideMark/>
          </w:tcPr>
          <w:p w14:paraId="1C4155B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73.5/81.8</w:t>
            </w:r>
          </w:p>
        </w:tc>
        <w:tc>
          <w:tcPr>
            <w:tcW w:w="219" w:type="pct"/>
            <w:shd w:val="clear" w:color="auto" w:fill="auto"/>
            <w:noWrap/>
            <w:vAlign w:val="center"/>
            <w:hideMark/>
          </w:tcPr>
          <w:p w14:paraId="11812C0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30.6/18.2</w:t>
            </w:r>
          </w:p>
        </w:tc>
        <w:tc>
          <w:tcPr>
            <w:tcW w:w="219" w:type="pct"/>
            <w:shd w:val="clear" w:color="auto" w:fill="auto"/>
            <w:noWrap/>
            <w:vAlign w:val="center"/>
            <w:hideMark/>
          </w:tcPr>
          <w:p w14:paraId="2382383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73.5/81.8</w:t>
            </w:r>
          </w:p>
        </w:tc>
        <w:tc>
          <w:tcPr>
            <w:tcW w:w="235" w:type="pct"/>
            <w:shd w:val="clear" w:color="auto" w:fill="auto"/>
            <w:noWrap/>
            <w:vAlign w:val="center"/>
            <w:hideMark/>
          </w:tcPr>
          <w:p w14:paraId="55B3A0F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63.3/72.7</w:t>
            </w:r>
          </w:p>
        </w:tc>
        <w:tc>
          <w:tcPr>
            <w:tcW w:w="235" w:type="pct"/>
            <w:shd w:val="clear" w:color="auto" w:fill="auto"/>
            <w:noWrap/>
            <w:vAlign w:val="center"/>
            <w:hideMark/>
          </w:tcPr>
          <w:p w14:paraId="6733481F"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36.7/45.5</w:t>
            </w:r>
          </w:p>
        </w:tc>
        <w:tc>
          <w:tcPr>
            <w:tcW w:w="219" w:type="pct"/>
            <w:shd w:val="clear" w:color="auto" w:fill="auto"/>
            <w:noWrap/>
            <w:vAlign w:val="center"/>
            <w:hideMark/>
          </w:tcPr>
          <w:p w14:paraId="3562BB0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CC6209">
              <w:rPr>
                <w:rFonts w:ascii="Book Antiqua" w:eastAsia="Arial Unicode MS" w:hAnsi="Book Antiqua" w:cs="Arial Unicode MS"/>
                <w:bCs/>
                <w:iCs/>
                <w:color w:val="000000" w:themeColor="text1"/>
                <w:kern w:val="0"/>
                <w:sz w:val="24"/>
                <w:szCs w:val="24"/>
              </w:rPr>
              <w:t>6.1/36.4</w:t>
            </w:r>
          </w:p>
        </w:tc>
        <w:tc>
          <w:tcPr>
            <w:tcW w:w="235" w:type="pct"/>
            <w:shd w:val="clear" w:color="auto" w:fill="auto"/>
            <w:noWrap/>
            <w:vAlign w:val="center"/>
            <w:hideMark/>
          </w:tcPr>
          <w:p w14:paraId="27ADFFB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83.7/90.9</w:t>
            </w:r>
          </w:p>
        </w:tc>
        <w:tc>
          <w:tcPr>
            <w:tcW w:w="219" w:type="pct"/>
            <w:shd w:val="clear" w:color="auto" w:fill="auto"/>
            <w:noWrap/>
            <w:vAlign w:val="center"/>
            <w:hideMark/>
          </w:tcPr>
          <w:p w14:paraId="5937F93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51.0/63.6</w:t>
            </w:r>
          </w:p>
        </w:tc>
        <w:tc>
          <w:tcPr>
            <w:tcW w:w="219" w:type="pct"/>
            <w:shd w:val="clear" w:color="auto" w:fill="auto"/>
            <w:noWrap/>
            <w:vAlign w:val="center"/>
            <w:hideMark/>
          </w:tcPr>
          <w:p w14:paraId="5360250B"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69.4/72.7</w:t>
            </w:r>
          </w:p>
        </w:tc>
        <w:tc>
          <w:tcPr>
            <w:tcW w:w="219" w:type="pct"/>
            <w:shd w:val="clear" w:color="auto" w:fill="auto"/>
            <w:noWrap/>
            <w:vAlign w:val="center"/>
            <w:hideMark/>
          </w:tcPr>
          <w:p w14:paraId="2A79F914"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53.1/72.7</w:t>
            </w:r>
          </w:p>
        </w:tc>
        <w:tc>
          <w:tcPr>
            <w:tcW w:w="252" w:type="pct"/>
            <w:shd w:val="clear" w:color="auto" w:fill="auto"/>
            <w:noWrap/>
            <w:vAlign w:val="center"/>
            <w:hideMark/>
          </w:tcPr>
          <w:p w14:paraId="2455453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85.7/81.8</w:t>
            </w:r>
          </w:p>
        </w:tc>
        <w:tc>
          <w:tcPr>
            <w:tcW w:w="252" w:type="pct"/>
            <w:shd w:val="clear" w:color="auto" w:fill="auto"/>
            <w:noWrap/>
            <w:vAlign w:val="center"/>
            <w:hideMark/>
          </w:tcPr>
          <w:p w14:paraId="764C22D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89.8/90.9</w:t>
            </w:r>
          </w:p>
        </w:tc>
        <w:tc>
          <w:tcPr>
            <w:tcW w:w="219" w:type="pct"/>
            <w:shd w:val="clear" w:color="auto" w:fill="auto"/>
            <w:noWrap/>
            <w:vAlign w:val="center"/>
            <w:hideMark/>
          </w:tcPr>
          <w:p w14:paraId="61E2961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CC6209">
              <w:rPr>
                <w:rFonts w:ascii="Book Antiqua" w:eastAsia="Arial Unicode MS" w:hAnsi="Book Antiqua" w:cs="Arial Unicode MS"/>
                <w:bCs/>
                <w:iCs/>
                <w:color w:val="000000" w:themeColor="text1"/>
                <w:kern w:val="0"/>
                <w:sz w:val="24"/>
                <w:szCs w:val="24"/>
              </w:rPr>
              <w:t>61.2/90.9</w:t>
            </w:r>
          </w:p>
        </w:tc>
        <w:tc>
          <w:tcPr>
            <w:tcW w:w="252" w:type="pct"/>
            <w:shd w:val="clear" w:color="auto" w:fill="auto"/>
            <w:noWrap/>
            <w:vAlign w:val="center"/>
            <w:hideMark/>
          </w:tcPr>
          <w:p w14:paraId="4CA4922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CC6209">
              <w:rPr>
                <w:rFonts w:ascii="Book Antiqua" w:eastAsia="Arial Unicode MS" w:hAnsi="Book Antiqua" w:cs="Arial Unicode MS"/>
                <w:bCs/>
                <w:iCs/>
                <w:color w:val="000000" w:themeColor="text1"/>
                <w:kern w:val="0"/>
                <w:sz w:val="24"/>
                <w:szCs w:val="24"/>
              </w:rPr>
              <w:t>30.6/63.6</w:t>
            </w:r>
          </w:p>
        </w:tc>
      </w:tr>
      <w:tr w:rsidR="00617F1C" w:rsidRPr="00B43A8C" w14:paraId="69FFDC00" w14:textId="77777777" w:rsidTr="00617F1C">
        <w:trPr>
          <w:trHeight w:val="240"/>
        </w:trPr>
        <w:tc>
          <w:tcPr>
            <w:tcW w:w="388" w:type="pct"/>
            <w:shd w:val="clear" w:color="auto" w:fill="auto"/>
            <w:noWrap/>
            <w:vAlign w:val="center"/>
            <w:hideMark/>
          </w:tcPr>
          <w:p w14:paraId="4C0ED1EA" w14:textId="77777777" w:rsidR="00A1284B" w:rsidRPr="00B43A8C" w:rsidRDefault="00A1284B" w:rsidP="00792AF6">
            <w:pPr>
              <w:widowControl/>
              <w:wordWrap/>
              <w:autoSpaceDE/>
              <w:autoSpaceDN/>
              <w:adjustRightInd w:val="0"/>
              <w:snapToGrid w:val="0"/>
              <w:spacing w:line="360" w:lineRule="auto"/>
              <w:ind w:firstLineChars="100" w:firstLine="240"/>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No/Yes (49/11)</w:t>
            </w:r>
          </w:p>
        </w:tc>
        <w:tc>
          <w:tcPr>
            <w:tcW w:w="260" w:type="pct"/>
            <w:shd w:val="clear" w:color="auto" w:fill="auto"/>
            <w:noWrap/>
            <w:vAlign w:val="center"/>
            <w:hideMark/>
          </w:tcPr>
          <w:p w14:paraId="6F97E6E8"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0.27</w:t>
            </w:r>
          </w:p>
        </w:tc>
        <w:tc>
          <w:tcPr>
            <w:tcW w:w="196" w:type="pct"/>
            <w:shd w:val="clear" w:color="auto" w:fill="auto"/>
            <w:noWrap/>
            <w:vAlign w:val="center"/>
            <w:hideMark/>
          </w:tcPr>
          <w:p w14:paraId="3182378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0.61</w:t>
            </w:r>
          </w:p>
        </w:tc>
        <w:tc>
          <w:tcPr>
            <w:tcW w:w="219" w:type="pct"/>
            <w:shd w:val="clear" w:color="auto" w:fill="auto"/>
            <w:noWrap/>
            <w:vAlign w:val="center"/>
            <w:hideMark/>
          </w:tcPr>
          <w:p w14:paraId="6B985F5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0.68</w:t>
            </w:r>
          </w:p>
        </w:tc>
        <w:tc>
          <w:tcPr>
            <w:tcW w:w="235" w:type="pct"/>
            <w:shd w:val="clear" w:color="auto" w:fill="auto"/>
            <w:noWrap/>
            <w:vAlign w:val="center"/>
            <w:hideMark/>
          </w:tcPr>
          <w:p w14:paraId="4F8ED37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0.37</w:t>
            </w:r>
          </w:p>
        </w:tc>
        <w:tc>
          <w:tcPr>
            <w:tcW w:w="219" w:type="pct"/>
            <w:shd w:val="clear" w:color="auto" w:fill="auto"/>
            <w:noWrap/>
            <w:vAlign w:val="center"/>
            <w:hideMark/>
          </w:tcPr>
          <w:p w14:paraId="35535911"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0.36</w:t>
            </w:r>
          </w:p>
        </w:tc>
        <w:tc>
          <w:tcPr>
            <w:tcW w:w="235" w:type="pct"/>
            <w:shd w:val="clear" w:color="auto" w:fill="auto"/>
            <w:noWrap/>
            <w:vAlign w:val="center"/>
            <w:hideMark/>
          </w:tcPr>
          <w:p w14:paraId="598CBD0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0.44</w:t>
            </w:r>
          </w:p>
        </w:tc>
        <w:tc>
          <w:tcPr>
            <w:tcW w:w="252" w:type="pct"/>
            <w:shd w:val="clear" w:color="auto" w:fill="auto"/>
            <w:noWrap/>
            <w:vAlign w:val="center"/>
            <w:hideMark/>
          </w:tcPr>
          <w:p w14:paraId="073CF6A3"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0.44</w:t>
            </w:r>
          </w:p>
        </w:tc>
        <w:tc>
          <w:tcPr>
            <w:tcW w:w="219" w:type="pct"/>
            <w:shd w:val="clear" w:color="auto" w:fill="auto"/>
            <w:noWrap/>
            <w:vAlign w:val="center"/>
            <w:hideMark/>
          </w:tcPr>
          <w:p w14:paraId="48CE821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0.34</w:t>
            </w:r>
          </w:p>
        </w:tc>
        <w:tc>
          <w:tcPr>
            <w:tcW w:w="219" w:type="pct"/>
            <w:shd w:val="clear" w:color="auto" w:fill="auto"/>
            <w:noWrap/>
            <w:vAlign w:val="center"/>
            <w:hideMark/>
          </w:tcPr>
          <w:p w14:paraId="35607827"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0.44</w:t>
            </w:r>
          </w:p>
        </w:tc>
        <w:tc>
          <w:tcPr>
            <w:tcW w:w="235" w:type="pct"/>
            <w:shd w:val="clear" w:color="auto" w:fill="auto"/>
            <w:noWrap/>
            <w:vAlign w:val="center"/>
            <w:hideMark/>
          </w:tcPr>
          <w:p w14:paraId="50EE4FED"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0.41</w:t>
            </w:r>
          </w:p>
        </w:tc>
        <w:tc>
          <w:tcPr>
            <w:tcW w:w="235" w:type="pct"/>
            <w:shd w:val="clear" w:color="auto" w:fill="auto"/>
            <w:noWrap/>
            <w:vAlign w:val="center"/>
            <w:hideMark/>
          </w:tcPr>
          <w:p w14:paraId="617D162E"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0.42</w:t>
            </w:r>
          </w:p>
        </w:tc>
        <w:tc>
          <w:tcPr>
            <w:tcW w:w="219" w:type="pct"/>
            <w:shd w:val="clear" w:color="auto" w:fill="auto"/>
            <w:noWrap/>
            <w:vAlign w:val="center"/>
            <w:hideMark/>
          </w:tcPr>
          <w:p w14:paraId="16C8CFCF"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0.02</w:t>
            </w:r>
          </w:p>
        </w:tc>
        <w:tc>
          <w:tcPr>
            <w:tcW w:w="235" w:type="pct"/>
            <w:shd w:val="clear" w:color="auto" w:fill="auto"/>
            <w:noWrap/>
            <w:vAlign w:val="center"/>
            <w:hideMark/>
          </w:tcPr>
          <w:p w14:paraId="30D8FDA9"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0.47</w:t>
            </w:r>
          </w:p>
        </w:tc>
        <w:tc>
          <w:tcPr>
            <w:tcW w:w="219" w:type="pct"/>
            <w:shd w:val="clear" w:color="auto" w:fill="auto"/>
            <w:noWrap/>
            <w:vAlign w:val="center"/>
            <w:hideMark/>
          </w:tcPr>
          <w:p w14:paraId="0F87FE7C"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0.34</w:t>
            </w:r>
          </w:p>
        </w:tc>
        <w:tc>
          <w:tcPr>
            <w:tcW w:w="219" w:type="pct"/>
            <w:shd w:val="clear" w:color="auto" w:fill="auto"/>
            <w:noWrap/>
            <w:vAlign w:val="center"/>
            <w:hideMark/>
          </w:tcPr>
          <w:p w14:paraId="6F3A967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0.57</w:t>
            </w:r>
          </w:p>
        </w:tc>
        <w:tc>
          <w:tcPr>
            <w:tcW w:w="219" w:type="pct"/>
            <w:shd w:val="clear" w:color="auto" w:fill="auto"/>
            <w:noWrap/>
            <w:vAlign w:val="center"/>
            <w:hideMark/>
          </w:tcPr>
          <w:p w14:paraId="35AB2EA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0.2</w:t>
            </w:r>
          </w:p>
        </w:tc>
        <w:tc>
          <w:tcPr>
            <w:tcW w:w="252" w:type="pct"/>
            <w:shd w:val="clear" w:color="auto" w:fill="auto"/>
            <w:noWrap/>
            <w:vAlign w:val="center"/>
            <w:hideMark/>
          </w:tcPr>
          <w:p w14:paraId="03293A80"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0.52</w:t>
            </w:r>
          </w:p>
        </w:tc>
        <w:tc>
          <w:tcPr>
            <w:tcW w:w="252" w:type="pct"/>
            <w:shd w:val="clear" w:color="auto" w:fill="auto"/>
            <w:noWrap/>
            <w:vAlign w:val="center"/>
            <w:hideMark/>
          </w:tcPr>
          <w:p w14:paraId="5FB5E9B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0.7</w:t>
            </w:r>
          </w:p>
        </w:tc>
        <w:tc>
          <w:tcPr>
            <w:tcW w:w="219" w:type="pct"/>
            <w:shd w:val="clear" w:color="auto" w:fill="auto"/>
            <w:noWrap/>
            <w:vAlign w:val="center"/>
            <w:hideMark/>
          </w:tcPr>
          <w:p w14:paraId="60D3C136"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0.05</w:t>
            </w:r>
          </w:p>
        </w:tc>
        <w:tc>
          <w:tcPr>
            <w:tcW w:w="252" w:type="pct"/>
            <w:shd w:val="clear" w:color="auto" w:fill="auto"/>
            <w:noWrap/>
            <w:vAlign w:val="center"/>
            <w:hideMark/>
          </w:tcPr>
          <w:p w14:paraId="36A81A25" w14:textId="77777777" w:rsidR="00A1284B" w:rsidRPr="00CC6209"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C6209">
              <w:rPr>
                <w:rFonts w:ascii="Book Antiqua" w:eastAsia="Arial Unicode MS" w:hAnsi="Book Antiqua" w:cs="Arial Unicode MS"/>
                <w:color w:val="000000" w:themeColor="text1"/>
                <w:kern w:val="0"/>
                <w:sz w:val="24"/>
                <w:szCs w:val="24"/>
              </w:rPr>
              <w:t>0.04</w:t>
            </w:r>
          </w:p>
        </w:tc>
      </w:tr>
    </w:tbl>
    <w:p w14:paraId="204ED6C2" w14:textId="393FCECF" w:rsidR="00A1284B" w:rsidRPr="00B43A8C" w:rsidRDefault="00CC6209" w:rsidP="00A1284B">
      <w:pPr>
        <w:wordWrap/>
        <w:adjustRightInd w:val="0"/>
        <w:snapToGrid w:val="0"/>
        <w:spacing w:line="360" w:lineRule="auto"/>
        <w:rPr>
          <w:rFonts w:ascii="Book Antiqua" w:hAnsi="Book Antiqua"/>
          <w:b/>
          <w:color w:val="000000" w:themeColor="text1"/>
          <w:sz w:val="24"/>
          <w:szCs w:val="24"/>
        </w:rPr>
      </w:pPr>
      <w:r>
        <w:rPr>
          <w:rFonts w:ascii="Book Antiqua" w:eastAsia="Arial Unicode MS" w:hAnsi="Book Antiqua" w:cs="Arial Unicode MS"/>
          <w:color w:val="000000" w:themeColor="text1"/>
          <w:kern w:val="0"/>
          <w:sz w:val="24"/>
          <w:szCs w:val="24"/>
          <w:vertAlign w:val="superscript"/>
        </w:rPr>
        <w:t>1</w:t>
      </w:r>
      <w:r w:rsidRPr="00B43A8C">
        <w:rPr>
          <w:rFonts w:ascii="Book Antiqua" w:eastAsia="Arial Unicode MS" w:hAnsi="Book Antiqua" w:cs="Arial Unicode MS"/>
          <w:color w:val="000000" w:themeColor="text1"/>
          <w:kern w:val="0"/>
          <w:sz w:val="24"/>
          <w:szCs w:val="24"/>
        </w:rPr>
        <w:t>GADD45B, control gene</w:t>
      </w:r>
      <w:r>
        <w:rPr>
          <w:rFonts w:ascii="Book Antiqua" w:eastAsia="Arial Unicode MS" w:hAnsi="Book Antiqua" w:cs="Arial Unicode MS"/>
          <w:color w:val="000000" w:themeColor="text1"/>
          <w:kern w:val="0"/>
          <w:sz w:val="24"/>
          <w:szCs w:val="24"/>
        </w:rPr>
        <w:t>. Rt: Right; Lt: Left; Re: Rectum; Lm: Hepatic metastasis; Pm: Pulmonary metastasis; AJCC:</w:t>
      </w:r>
      <w:r w:rsidRPr="00B43A8C">
        <w:rPr>
          <w:rFonts w:ascii="Book Antiqua" w:eastAsia="Arial Unicode MS" w:hAnsi="Book Antiqua" w:cs="Arial Unicode MS"/>
          <w:color w:val="000000" w:themeColor="text1"/>
          <w:kern w:val="0"/>
          <w:sz w:val="24"/>
          <w:szCs w:val="24"/>
        </w:rPr>
        <w:t xml:space="preserve"> American</w:t>
      </w:r>
      <w:r>
        <w:rPr>
          <w:rFonts w:ascii="Book Antiqua" w:eastAsia="Arial Unicode MS" w:hAnsi="Book Antiqua" w:cs="Arial Unicode MS"/>
          <w:color w:val="000000" w:themeColor="text1"/>
          <w:kern w:val="0"/>
          <w:sz w:val="24"/>
          <w:szCs w:val="24"/>
        </w:rPr>
        <w:t xml:space="preserve"> Joint Committee on Cancer; LVI: </w:t>
      </w:r>
      <w:proofErr w:type="spellStart"/>
      <w:r>
        <w:rPr>
          <w:rFonts w:ascii="Book Antiqua" w:eastAsia="Arial Unicode MS" w:hAnsi="Book Antiqua" w:cs="Arial Unicode MS"/>
          <w:color w:val="000000" w:themeColor="text1"/>
          <w:kern w:val="0"/>
          <w:sz w:val="24"/>
          <w:szCs w:val="24"/>
        </w:rPr>
        <w:t>Lymphovascular</w:t>
      </w:r>
      <w:proofErr w:type="spellEnd"/>
      <w:r>
        <w:rPr>
          <w:rFonts w:ascii="Book Antiqua" w:eastAsia="Arial Unicode MS" w:hAnsi="Book Antiqua" w:cs="Arial Unicode MS"/>
          <w:color w:val="000000" w:themeColor="text1"/>
          <w:kern w:val="0"/>
          <w:sz w:val="24"/>
          <w:szCs w:val="24"/>
        </w:rPr>
        <w:t xml:space="preserve"> invasion; PNI: Perineural invasion; CRM: C</w:t>
      </w:r>
      <w:r w:rsidRPr="00B43A8C">
        <w:rPr>
          <w:rFonts w:ascii="Book Antiqua" w:eastAsia="Arial Unicode MS" w:hAnsi="Book Antiqua" w:cs="Arial Unicode MS"/>
          <w:color w:val="000000" w:themeColor="text1"/>
          <w:kern w:val="0"/>
          <w:sz w:val="24"/>
          <w:szCs w:val="24"/>
        </w:rPr>
        <w:t>ircum</w:t>
      </w:r>
      <w:r>
        <w:rPr>
          <w:rFonts w:ascii="Book Antiqua" w:eastAsia="Arial Unicode MS" w:hAnsi="Book Antiqua" w:cs="Arial Unicode MS"/>
          <w:color w:val="000000" w:themeColor="text1"/>
          <w:kern w:val="0"/>
          <w:sz w:val="24"/>
          <w:szCs w:val="24"/>
        </w:rPr>
        <w:t>ferential resection margin; IHC: Immunohistochemistry.</w:t>
      </w:r>
    </w:p>
    <w:p w14:paraId="0B918BC0" w14:textId="77777777" w:rsidR="00A1284B" w:rsidRPr="00B43A8C" w:rsidRDefault="00A1284B" w:rsidP="00A1284B">
      <w:pPr>
        <w:widowControl/>
        <w:wordWrap/>
        <w:autoSpaceDE/>
        <w:autoSpaceDN/>
        <w:adjustRightInd w:val="0"/>
        <w:snapToGrid w:val="0"/>
        <w:spacing w:line="360" w:lineRule="auto"/>
        <w:rPr>
          <w:rFonts w:ascii="Book Antiqua" w:hAnsi="Book Antiqua"/>
          <w:b/>
          <w:color w:val="000000" w:themeColor="text1"/>
          <w:sz w:val="24"/>
          <w:szCs w:val="24"/>
        </w:rPr>
        <w:sectPr w:rsidR="00A1284B" w:rsidRPr="00B43A8C" w:rsidSect="004F56D8">
          <w:pgSz w:w="16838" w:h="11906" w:orient="landscape"/>
          <w:pgMar w:top="1440" w:right="1701" w:bottom="1440" w:left="1440" w:header="851" w:footer="992" w:gutter="0"/>
          <w:cols w:space="425"/>
          <w:docGrid w:linePitch="360"/>
        </w:sectPr>
      </w:pPr>
    </w:p>
    <w:p w14:paraId="69AAEBDC" w14:textId="303A26F9" w:rsidR="00A1284B" w:rsidRPr="00B43A8C" w:rsidRDefault="00A1284B" w:rsidP="00A1284B">
      <w:pPr>
        <w:wordWrap/>
        <w:adjustRightInd w:val="0"/>
        <w:snapToGrid w:val="0"/>
        <w:spacing w:line="360" w:lineRule="auto"/>
        <w:rPr>
          <w:rFonts w:ascii="Book Antiqua" w:hAnsi="Book Antiqua"/>
          <w:color w:val="000000" w:themeColor="text1"/>
          <w:sz w:val="24"/>
          <w:szCs w:val="24"/>
        </w:rPr>
      </w:pPr>
      <w:r w:rsidRPr="00B43A8C">
        <w:rPr>
          <w:rFonts w:ascii="Book Antiqua" w:hAnsi="Book Antiqua"/>
          <w:b/>
          <w:color w:val="000000" w:themeColor="text1"/>
          <w:sz w:val="24"/>
          <w:szCs w:val="24"/>
        </w:rPr>
        <w:lastRenderedPageBreak/>
        <w:t>Table 2</w:t>
      </w:r>
      <w:r w:rsidR="00CF714B" w:rsidRPr="00CF714B">
        <w:rPr>
          <w:rFonts w:ascii="Book Antiqua" w:hAnsi="Book Antiqua"/>
          <w:b/>
          <w:color w:val="000000" w:themeColor="text1"/>
          <w:sz w:val="24"/>
          <w:szCs w:val="24"/>
        </w:rPr>
        <w:t xml:space="preserve"> </w:t>
      </w:r>
      <w:r w:rsidRPr="00CF714B">
        <w:rPr>
          <w:rFonts w:ascii="Book Antiqua" w:hAnsi="Book Antiqua"/>
          <w:b/>
          <w:color w:val="000000" w:themeColor="text1"/>
          <w:sz w:val="24"/>
          <w:szCs w:val="24"/>
        </w:rPr>
        <w:t>Multivariate analyses of prognostic factors associated with p</w:t>
      </w:r>
      <w:r w:rsidR="00CF714B">
        <w:rPr>
          <w:rFonts w:ascii="Book Antiqua" w:hAnsi="Book Antiqua"/>
          <w:b/>
          <w:color w:val="000000" w:themeColor="text1"/>
          <w:sz w:val="24"/>
          <w:szCs w:val="24"/>
        </w:rPr>
        <w:t>rogression-free survival using C</w:t>
      </w:r>
      <w:r w:rsidRPr="00CF714B">
        <w:rPr>
          <w:rFonts w:ascii="Book Antiqua" w:hAnsi="Book Antiqua"/>
          <w:b/>
          <w:color w:val="000000" w:themeColor="text1"/>
          <w:sz w:val="24"/>
          <w:szCs w:val="24"/>
        </w:rPr>
        <w:t>ox-regression</w:t>
      </w:r>
    </w:p>
    <w:tbl>
      <w:tblPr>
        <w:tblW w:w="8505" w:type="dxa"/>
        <w:tblCellMar>
          <w:left w:w="99" w:type="dxa"/>
          <w:right w:w="99" w:type="dxa"/>
        </w:tblCellMar>
        <w:tblLook w:val="04A0" w:firstRow="1" w:lastRow="0" w:firstColumn="1" w:lastColumn="0" w:noHBand="0" w:noVBand="1"/>
      </w:tblPr>
      <w:tblGrid>
        <w:gridCol w:w="2480"/>
        <w:gridCol w:w="1040"/>
        <w:gridCol w:w="1520"/>
        <w:gridCol w:w="1520"/>
        <w:gridCol w:w="1945"/>
      </w:tblGrid>
      <w:tr w:rsidR="00A1284B" w:rsidRPr="00B43A8C" w14:paraId="40F68C80" w14:textId="77777777" w:rsidTr="00792AF6">
        <w:trPr>
          <w:trHeight w:val="282"/>
        </w:trPr>
        <w:tc>
          <w:tcPr>
            <w:tcW w:w="2480" w:type="dxa"/>
            <w:tcBorders>
              <w:top w:val="single" w:sz="12" w:space="0" w:color="auto"/>
              <w:left w:val="nil"/>
              <w:bottom w:val="single" w:sz="8" w:space="0" w:color="auto"/>
              <w:right w:val="nil"/>
            </w:tcBorders>
            <w:shd w:val="clear" w:color="auto" w:fill="auto"/>
            <w:noWrap/>
            <w:vAlign w:val="center"/>
            <w:hideMark/>
          </w:tcPr>
          <w:p w14:paraId="5D275014" w14:textId="77777777" w:rsidR="00A1284B" w:rsidRPr="00B43A8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 xml:space="preserve">　</w:t>
            </w:r>
          </w:p>
        </w:tc>
        <w:tc>
          <w:tcPr>
            <w:tcW w:w="1040" w:type="dxa"/>
            <w:tcBorders>
              <w:top w:val="single" w:sz="12" w:space="0" w:color="auto"/>
              <w:left w:val="nil"/>
              <w:bottom w:val="single" w:sz="8" w:space="0" w:color="auto"/>
              <w:right w:val="nil"/>
            </w:tcBorders>
            <w:shd w:val="clear" w:color="auto" w:fill="auto"/>
            <w:noWrap/>
            <w:vAlign w:val="center"/>
            <w:hideMark/>
          </w:tcPr>
          <w:p w14:paraId="48380474" w14:textId="15FB3772" w:rsidR="00A1284B" w:rsidRPr="00CF714B" w:rsidRDefault="00CF714B" w:rsidP="00CF714B">
            <w:pPr>
              <w:widowControl/>
              <w:wordWrap/>
              <w:autoSpaceDE/>
              <w:autoSpaceDN/>
              <w:adjustRightInd w:val="0"/>
              <w:snapToGrid w:val="0"/>
              <w:spacing w:line="360" w:lineRule="auto"/>
              <w:jc w:val="center"/>
              <w:rPr>
                <w:rFonts w:ascii="Book Antiqua" w:eastAsia="Arial Unicode MS" w:hAnsi="Book Antiqua" w:cs="Arial Unicode MS"/>
                <w:b/>
                <w:i/>
                <w:iCs/>
                <w:color w:val="000000" w:themeColor="text1"/>
                <w:kern w:val="0"/>
                <w:sz w:val="24"/>
                <w:szCs w:val="24"/>
              </w:rPr>
            </w:pPr>
            <w:r w:rsidRPr="00CF714B">
              <w:rPr>
                <w:rFonts w:ascii="Book Antiqua" w:eastAsia="Arial Unicode MS" w:hAnsi="Book Antiqua" w:cs="Arial Unicode MS"/>
                <w:b/>
                <w:i/>
                <w:iCs/>
                <w:color w:val="000000" w:themeColor="text1"/>
                <w:kern w:val="0"/>
                <w:sz w:val="24"/>
                <w:szCs w:val="24"/>
              </w:rPr>
              <w:t>P</w:t>
            </w:r>
            <w:r w:rsidRPr="00CF714B">
              <w:rPr>
                <w:rFonts w:ascii="Book Antiqua" w:eastAsia="Arial Unicode MS" w:hAnsi="Book Antiqua" w:cs="Arial Unicode MS"/>
                <w:b/>
                <w:color w:val="000000" w:themeColor="text1"/>
                <w:kern w:val="0"/>
                <w:sz w:val="24"/>
                <w:szCs w:val="24"/>
              </w:rPr>
              <w:t xml:space="preserve"> </w:t>
            </w:r>
            <w:r w:rsidR="00A1284B" w:rsidRPr="00CF714B">
              <w:rPr>
                <w:rFonts w:ascii="Book Antiqua" w:eastAsia="Arial Unicode MS" w:hAnsi="Book Antiqua" w:cs="Arial Unicode MS"/>
                <w:b/>
                <w:color w:val="000000" w:themeColor="text1"/>
                <w:kern w:val="0"/>
                <w:sz w:val="24"/>
                <w:szCs w:val="24"/>
              </w:rPr>
              <w:t>value</w:t>
            </w:r>
          </w:p>
        </w:tc>
        <w:tc>
          <w:tcPr>
            <w:tcW w:w="1520" w:type="dxa"/>
            <w:tcBorders>
              <w:top w:val="single" w:sz="12" w:space="0" w:color="auto"/>
              <w:left w:val="nil"/>
              <w:bottom w:val="single" w:sz="8" w:space="0" w:color="auto"/>
              <w:right w:val="nil"/>
            </w:tcBorders>
            <w:shd w:val="clear" w:color="auto" w:fill="auto"/>
            <w:noWrap/>
            <w:vAlign w:val="center"/>
            <w:hideMark/>
          </w:tcPr>
          <w:p w14:paraId="280FB347" w14:textId="77777777" w:rsidR="00A1284B" w:rsidRPr="00CF714B" w:rsidRDefault="00A1284B" w:rsidP="00CF714B">
            <w:pPr>
              <w:widowControl/>
              <w:wordWrap/>
              <w:autoSpaceDE/>
              <w:autoSpaceDN/>
              <w:adjustRightInd w:val="0"/>
              <w:snapToGrid w:val="0"/>
              <w:spacing w:line="360" w:lineRule="auto"/>
              <w:jc w:val="center"/>
              <w:rPr>
                <w:rFonts w:ascii="Book Antiqua" w:eastAsia="Arial Unicode MS" w:hAnsi="Book Antiqua" w:cs="Arial Unicode MS"/>
                <w:b/>
                <w:color w:val="000000" w:themeColor="text1"/>
                <w:kern w:val="0"/>
                <w:sz w:val="24"/>
                <w:szCs w:val="24"/>
              </w:rPr>
            </w:pPr>
            <w:r w:rsidRPr="00CF714B">
              <w:rPr>
                <w:rFonts w:ascii="Book Antiqua" w:eastAsia="Arial Unicode MS" w:hAnsi="Book Antiqua" w:cs="Arial Unicode MS"/>
                <w:b/>
                <w:color w:val="000000" w:themeColor="text1"/>
                <w:kern w:val="0"/>
                <w:sz w:val="24"/>
                <w:szCs w:val="24"/>
              </w:rPr>
              <w:t>Hazard ratio</w:t>
            </w:r>
          </w:p>
        </w:tc>
        <w:tc>
          <w:tcPr>
            <w:tcW w:w="1520" w:type="dxa"/>
            <w:tcBorders>
              <w:top w:val="single" w:sz="12" w:space="0" w:color="auto"/>
              <w:left w:val="nil"/>
              <w:bottom w:val="single" w:sz="8" w:space="0" w:color="auto"/>
              <w:right w:val="nil"/>
            </w:tcBorders>
            <w:shd w:val="clear" w:color="auto" w:fill="auto"/>
            <w:noWrap/>
            <w:vAlign w:val="center"/>
            <w:hideMark/>
          </w:tcPr>
          <w:p w14:paraId="7D5D7C29" w14:textId="77777777" w:rsidR="00A1284B" w:rsidRPr="00CF714B" w:rsidRDefault="00A1284B" w:rsidP="00CF714B">
            <w:pPr>
              <w:widowControl/>
              <w:wordWrap/>
              <w:autoSpaceDE/>
              <w:autoSpaceDN/>
              <w:adjustRightInd w:val="0"/>
              <w:snapToGrid w:val="0"/>
              <w:spacing w:line="360" w:lineRule="auto"/>
              <w:jc w:val="center"/>
              <w:rPr>
                <w:rFonts w:ascii="Book Antiqua" w:eastAsia="Arial Unicode MS" w:hAnsi="Book Antiqua" w:cs="Arial Unicode MS"/>
                <w:b/>
                <w:color w:val="000000" w:themeColor="text1"/>
                <w:kern w:val="0"/>
                <w:sz w:val="24"/>
                <w:szCs w:val="24"/>
              </w:rPr>
            </w:pPr>
            <w:r w:rsidRPr="00CF714B">
              <w:rPr>
                <w:rFonts w:ascii="Book Antiqua" w:eastAsia="Arial Unicode MS" w:hAnsi="Book Antiqua" w:cs="Arial Unicode MS"/>
                <w:b/>
                <w:color w:val="000000" w:themeColor="text1"/>
                <w:kern w:val="0"/>
                <w:sz w:val="24"/>
                <w:szCs w:val="24"/>
              </w:rPr>
              <w:t>CI lower</w:t>
            </w:r>
          </w:p>
        </w:tc>
        <w:tc>
          <w:tcPr>
            <w:tcW w:w="1945" w:type="dxa"/>
            <w:tcBorders>
              <w:top w:val="single" w:sz="12" w:space="0" w:color="auto"/>
              <w:left w:val="nil"/>
              <w:bottom w:val="single" w:sz="8" w:space="0" w:color="auto"/>
              <w:right w:val="nil"/>
            </w:tcBorders>
            <w:shd w:val="clear" w:color="auto" w:fill="auto"/>
            <w:noWrap/>
            <w:vAlign w:val="center"/>
            <w:hideMark/>
          </w:tcPr>
          <w:p w14:paraId="06713B24" w14:textId="77777777" w:rsidR="00A1284B" w:rsidRPr="00CF714B" w:rsidRDefault="00A1284B" w:rsidP="00CF714B">
            <w:pPr>
              <w:widowControl/>
              <w:wordWrap/>
              <w:autoSpaceDE/>
              <w:autoSpaceDN/>
              <w:adjustRightInd w:val="0"/>
              <w:snapToGrid w:val="0"/>
              <w:spacing w:line="360" w:lineRule="auto"/>
              <w:jc w:val="center"/>
              <w:rPr>
                <w:rFonts w:ascii="Book Antiqua" w:eastAsia="Arial Unicode MS" w:hAnsi="Book Antiqua" w:cs="Arial Unicode MS"/>
                <w:b/>
                <w:color w:val="000000" w:themeColor="text1"/>
                <w:kern w:val="0"/>
                <w:sz w:val="24"/>
                <w:szCs w:val="24"/>
              </w:rPr>
            </w:pPr>
            <w:r w:rsidRPr="00CF714B">
              <w:rPr>
                <w:rFonts w:ascii="Book Antiqua" w:eastAsia="Arial Unicode MS" w:hAnsi="Book Antiqua" w:cs="Arial Unicode MS"/>
                <w:b/>
                <w:color w:val="000000" w:themeColor="text1"/>
                <w:kern w:val="0"/>
                <w:sz w:val="24"/>
                <w:szCs w:val="24"/>
              </w:rPr>
              <w:t>CI upper</w:t>
            </w:r>
          </w:p>
        </w:tc>
      </w:tr>
      <w:tr w:rsidR="00A1284B" w:rsidRPr="00B43A8C" w14:paraId="222C0F2E" w14:textId="77777777" w:rsidTr="00792AF6">
        <w:trPr>
          <w:trHeight w:val="282"/>
        </w:trPr>
        <w:tc>
          <w:tcPr>
            <w:tcW w:w="2480" w:type="dxa"/>
            <w:tcBorders>
              <w:top w:val="nil"/>
              <w:left w:val="nil"/>
              <w:bottom w:val="nil"/>
              <w:right w:val="nil"/>
            </w:tcBorders>
            <w:shd w:val="clear" w:color="auto" w:fill="auto"/>
            <w:noWrap/>
            <w:vAlign w:val="center"/>
            <w:hideMark/>
          </w:tcPr>
          <w:p w14:paraId="4D78DBB9" w14:textId="77777777" w:rsidR="00A1284B" w:rsidRPr="00B43A8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N-category</w:t>
            </w:r>
          </w:p>
        </w:tc>
        <w:tc>
          <w:tcPr>
            <w:tcW w:w="1040" w:type="dxa"/>
            <w:tcBorders>
              <w:top w:val="nil"/>
              <w:left w:val="nil"/>
              <w:bottom w:val="nil"/>
              <w:right w:val="nil"/>
            </w:tcBorders>
            <w:shd w:val="clear" w:color="auto" w:fill="auto"/>
            <w:noWrap/>
            <w:vAlign w:val="center"/>
            <w:hideMark/>
          </w:tcPr>
          <w:p w14:paraId="30921E27" w14:textId="77777777" w:rsidR="00A1284B" w:rsidRPr="00CF714B" w:rsidRDefault="00A1284B" w:rsidP="00CF714B">
            <w:pPr>
              <w:widowControl/>
              <w:wordWrap/>
              <w:autoSpaceDE/>
              <w:autoSpaceDN/>
              <w:adjustRightInd w:val="0"/>
              <w:snapToGrid w:val="0"/>
              <w:spacing w:line="360" w:lineRule="auto"/>
              <w:jc w:val="center"/>
              <w:rPr>
                <w:rFonts w:ascii="Book Antiqua" w:eastAsia="Arial Unicode MS" w:hAnsi="Book Antiqua" w:cs="Arial Unicode MS"/>
                <w:iCs/>
                <w:color w:val="000000" w:themeColor="text1"/>
                <w:kern w:val="0"/>
                <w:sz w:val="24"/>
                <w:szCs w:val="24"/>
              </w:rPr>
            </w:pPr>
            <w:r w:rsidRPr="00CF714B">
              <w:rPr>
                <w:rFonts w:ascii="Book Antiqua" w:eastAsia="Arial Unicode MS" w:hAnsi="Book Antiqua" w:cs="Arial Unicode MS"/>
                <w:iCs/>
                <w:color w:val="000000" w:themeColor="text1"/>
                <w:kern w:val="0"/>
                <w:sz w:val="24"/>
                <w:szCs w:val="24"/>
              </w:rPr>
              <w:t>0.02</w:t>
            </w:r>
          </w:p>
        </w:tc>
        <w:tc>
          <w:tcPr>
            <w:tcW w:w="1520" w:type="dxa"/>
            <w:tcBorders>
              <w:top w:val="nil"/>
              <w:left w:val="nil"/>
              <w:bottom w:val="nil"/>
              <w:right w:val="nil"/>
            </w:tcBorders>
            <w:shd w:val="clear" w:color="auto" w:fill="auto"/>
            <w:noWrap/>
            <w:vAlign w:val="center"/>
            <w:hideMark/>
          </w:tcPr>
          <w:p w14:paraId="709B7EC1"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0.569</w:t>
            </w:r>
          </w:p>
        </w:tc>
        <w:tc>
          <w:tcPr>
            <w:tcW w:w="1520" w:type="dxa"/>
            <w:tcBorders>
              <w:top w:val="nil"/>
              <w:left w:val="nil"/>
              <w:bottom w:val="nil"/>
              <w:right w:val="nil"/>
            </w:tcBorders>
            <w:shd w:val="clear" w:color="auto" w:fill="auto"/>
            <w:noWrap/>
            <w:vAlign w:val="center"/>
            <w:hideMark/>
          </w:tcPr>
          <w:p w14:paraId="185AA1FC"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0.349</w:t>
            </w:r>
          </w:p>
        </w:tc>
        <w:tc>
          <w:tcPr>
            <w:tcW w:w="1945" w:type="dxa"/>
            <w:tcBorders>
              <w:top w:val="nil"/>
              <w:left w:val="nil"/>
              <w:bottom w:val="nil"/>
              <w:right w:val="nil"/>
            </w:tcBorders>
            <w:shd w:val="clear" w:color="auto" w:fill="auto"/>
            <w:noWrap/>
            <w:vAlign w:val="center"/>
            <w:hideMark/>
          </w:tcPr>
          <w:p w14:paraId="6804FB5D"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0.927</w:t>
            </w:r>
          </w:p>
        </w:tc>
      </w:tr>
      <w:tr w:rsidR="00A1284B" w:rsidRPr="00B43A8C" w14:paraId="1EA63E5D" w14:textId="77777777" w:rsidTr="00CF714B">
        <w:trPr>
          <w:trHeight w:val="493"/>
        </w:trPr>
        <w:tc>
          <w:tcPr>
            <w:tcW w:w="2480" w:type="dxa"/>
            <w:tcBorders>
              <w:top w:val="nil"/>
              <w:left w:val="nil"/>
              <w:bottom w:val="nil"/>
              <w:right w:val="nil"/>
            </w:tcBorders>
            <w:shd w:val="clear" w:color="auto" w:fill="auto"/>
            <w:noWrap/>
            <w:vAlign w:val="center"/>
            <w:hideMark/>
          </w:tcPr>
          <w:p w14:paraId="0F4F1CE0" w14:textId="77777777" w:rsidR="00A1284B" w:rsidRPr="00B43A8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LVI</w:t>
            </w:r>
          </w:p>
        </w:tc>
        <w:tc>
          <w:tcPr>
            <w:tcW w:w="1040" w:type="dxa"/>
            <w:tcBorders>
              <w:top w:val="nil"/>
              <w:left w:val="nil"/>
              <w:bottom w:val="nil"/>
              <w:right w:val="nil"/>
            </w:tcBorders>
            <w:shd w:val="clear" w:color="auto" w:fill="auto"/>
            <w:noWrap/>
            <w:vAlign w:val="center"/>
            <w:hideMark/>
          </w:tcPr>
          <w:p w14:paraId="69136396" w14:textId="77777777" w:rsidR="00A1284B" w:rsidRPr="00CF714B" w:rsidRDefault="00A1284B" w:rsidP="00CF714B">
            <w:pPr>
              <w:widowControl/>
              <w:wordWrap/>
              <w:autoSpaceDE/>
              <w:autoSpaceDN/>
              <w:adjustRightInd w:val="0"/>
              <w:snapToGrid w:val="0"/>
              <w:spacing w:line="360" w:lineRule="auto"/>
              <w:jc w:val="center"/>
              <w:rPr>
                <w:rFonts w:ascii="Book Antiqua" w:eastAsia="Arial Unicode MS" w:hAnsi="Book Antiqua" w:cs="Arial Unicode MS"/>
                <w:iCs/>
                <w:color w:val="000000" w:themeColor="text1"/>
                <w:kern w:val="0"/>
                <w:sz w:val="24"/>
                <w:szCs w:val="24"/>
              </w:rPr>
            </w:pPr>
            <w:r w:rsidRPr="00CF714B">
              <w:rPr>
                <w:rFonts w:ascii="Book Antiqua" w:eastAsia="Arial Unicode MS" w:hAnsi="Book Antiqua" w:cs="Arial Unicode MS"/>
                <w:iCs/>
                <w:color w:val="000000" w:themeColor="text1"/>
                <w:kern w:val="0"/>
                <w:sz w:val="24"/>
                <w:szCs w:val="24"/>
              </w:rPr>
              <w:t>0.004</w:t>
            </w:r>
          </w:p>
        </w:tc>
        <w:tc>
          <w:tcPr>
            <w:tcW w:w="1520" w:type="dxa"/>
            <w:tcBorders>
              <w:top w:val="nil"/>
              <w:left w:val="nil"/>
              <w:bottom w:val="nil"/>
              <w:right w:val="nil"/>
            </w:tcBorders>
            <w:shd w:val="clear" w:color="auto" w:fill="auto"/>
            <w:noWrap/>
            <w:vAlign w:val="center"/>
            <w:hideMark/>
          </w:tcPr>
          <w:p w14:paraId="27E063C2"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2.559</w:t>
            </w:r>
          </w:p>
        </w:tc>
        <w:tc>
          <w:tcPr>
            <w:tcW w:w="1520" w:type="dxa"/>
            <w:tcBorders>
              <w:top w:val="nil"/>
              <w:left w:val="nil"/>
              <w:bottom w:val="nil"/>
              <w:right w:val="nil"/>
            </w:tcBorders>
            <w:shd w:val="clear" w:color="auto" w:fill="auto"/>
            <w:noWrap/>
            <w:vAlign w:val="center"/>
            <w:hideMark/>
          </w:tcPr>
          <w:p w14:paraId="665FE363"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1.347</w:t>
            </w:r>
          </w:p>
        </w:tc>
        <w:tc>
          <w:tcPr>
            <w:tcW w:w="1945" w:type="dxa"/>
            <w:tcBorders>
              <w:top w:val="nil"/>
              <w:left w:val="nil"/>
              <w:bottom w:val="nil"/>
              <w:right w:val="nil"/>
            </w:tcBorders>
            <w:shd w:val="clear" w:color="auto" w:fill="auto"/>
            <w:noWrap/>
            <w:vAlign w:val="center"/>
            <w:hideMark/>
          </w:tcPr>
          <w:p w14:paraId="07A34BF9"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4.862</w:t>
            </w:r>
          </w:p>
        </w:tc>
      </w:tr>
      <w:tr w:rsidR="00A1284B" w:rsidRPr="00B43A8C" w14:paraId="14F1620F" w14:textId="77777777" w:rsidTr="00792AF6">
        <w:trPr>
          <w:trHeight w:val="282"/>
        </w:trPr>
        <w:tc>
          <w:tcPr>
            <w:tcW w:w="2480" w:type="dxa"/>
            <w:tcBorders>
              <w:top w:val="nil"/>
              <w:left w:val="nil"/>
              <w:bottom w:val="nil"/>
              <w:right w:val="nil"/>
            </w:tcBorders>
            <w:shd w:val="clear" w:color="auto" w:fill="auto"/>
            <w:noWrap/>
            <w:vAlign w:val="center"/>
            <w:hideMark/>
          </w:tcPr>
          <w:p w14:paraId="6AB34462" w14:textId="77777777" w:rsidR="00A1284B" w:rsidRPr="00B43A8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PNI</w:t>
            </w:r>
          </w:p>
        </w:tc>
        <w:tc>
          <w:tcPr>
            <w:tcW w:w="1040" w:type="dxa"/>
            <w:tcBorders>
              <w:top w:val="nil"/>
              <w:left w:val="nil"/>
              <w:bottom w:val="nil"/>
              <w:right w:val="nil"/>
            </w:tcBorders>
            <w:shd w:val="clear" w:color="auto" w:fill="auto"/>
            <w:noWrap/>
            <w:vAlign w:val="center"/>
            <w:hideMark/>
          </w:tcPr>
          <w:p w14:paraId="7A535231" w14:textId="77777777" w:rsidR="00A1284B" w:rsidRPr="00CF714B"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F714B">
              <w:rPr>
                <w:rFonts w:ascii="Book Antiqua" w:eastAsia="Arial Unicode MS" w:hAnsi="Book Antiqua" w:cs="Arial Unicode MS"/>
                <w:color w:val="000000" w:themeColor="text1"/>
                <w:kern w:val="0"/>
                <w:sz w:val="24"/>
                <w:szCs w:val="24"/>
              </w:rPr>
              <w:t>0.538</w:t>
            </w:r>
          </w:p>
        </w:tc>
        <w:tc>
          <w:tcPr>
            <w:tcW w:w="1520" w:type="dxa"/>
            <w:tcBorders>
              <w:top w:val="nil"/>
              <w:left w:val="nil"/>
              <w:bottom w:val="nil"/>
              <w:right w:val="nil"/>
            </w:tcBorders>
            <w:shd w:val="clear" w:color="auto" w:fill="auto"/>
            <w:noWrap/>
            <w:vAlign w:val="center"/>
            <w:hideMark/>
          </w:tcPr>
          <w:p w14:paraId="698525E6"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0.837</w:t>
            </w:r>
          </w:p>
        </w:tc>
        <w:tc>
          <w:tcPr>
            <w:tcW w:w="1520" w:type="dxa"/>
            <w:tcBorders>
              <w:top w:val="nil"/>
              <w:left w:val="nil"/>
              <w:bottom w:val="nil"/>
              <w:right w:val="nil"/>
            </w:tcBorders>
            <w:shd w:val="clear" w:color="auto" w:fill="auto"/>
            <w:noWrap/>
            <w:vAlign w:val="center"/>
            <w:hideMark/>
          </w:tcPr>
          <w:p w14:paraId="340BCB63"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0.476</w:t>
            </w:r>
          </w:p>
        </w:tc>
        <w:tc>
          <w:tcPr>
            <w:tcW w:w="1945" w:type="dxa"/>
            <w:tcBorders>
              <w:top w:val="nil"/>
              <w:left w:val="nil"/>
              <w:bottom w:val="nil"/>
              <w:right w:val="nil"/>
            </w:tcBorders>
            <w:shd w:val="clear" w:color="auto" w:fill="auto"/>
            <w:noWrap/>
            <w:vAlign w:val="center"/>
            <w:hideMark/>
          </w:tcPr>
          <w:p w14:paraId="43865ED8"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1.473</w:t>
            </w:r>
          </w:p>
        </w:tc>
      </w:tr>
      <w:tr w:rsidR="00A1284B" w:rsidRPr="00B43A8C" w14:paraId="2DAAC99E" w14:textId="77777777" w:rsidTr="00792AF6">
        <w:trPr>
          <w:trHeight w:val="282"/>
        </w:trPr>
        <w:tc>
          <w:tcPr>
            <w:tcW w:w="2480" w:type="dxa"/>
            <w:tcBorders>
              <w:top w:val="nil"/>
              <w:left w:val="nil"/>
              <w:bottom w:val="nil"/>
              <w:right w:val="nil"/>
            </w:tcBorders>
            <w:shd w:val="clear" w:color="auto" w:fill="auto"/>
            <w:noWrap/>
            <w:vAlign w:val="center"/>
            <w:hideMark/>
          </w:tcPr>
          <w:p w14:paraId="0B4B87E9" w14:textId="77777777" w:rsidR="00A1284B" w:rsidRPr="00B43A8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CRM</w:t>
            </w:r>
          </w:p>
        </w:tc>
        <w:tc>
          <w:tcPr>
            <w:tcW w:w="1040" w:type="dxa"/>
            <w:tcBorders>
              <w:top w:val="nil"/>
              <w:left w:val="nil"/>
              <w:bottom w:val="nil"/>
              <w:right w:val="nil"/>
            </w:tcBorders>
            <w:shd w:val="clear" w:color="auto" w:fill="auto"/>
            <w:noWrap/>
            <w:vAlign w:val="center"/>
            <w:hideMark/>
          </w:tcPr>
          <w:p w14:paraId="6BA99A6F" w14:textId="77777777" w:rsidR="00A1284B" w:rsidRPr="00CF714B" w:rsidRDefault="00A1284B" w:rsidP="00CF714B">
            <w:pPr>
              <w:widowControl/>
              <w:wordWrap/>
              <w:autoSpaceDE/>
              <w:autoSpaceDN/>
              <w:adjustRightInd w:val="0"/>
              <w:snapToGrid w:val="0"/>
              <w:spacing w:line="360" w:lineRule="auto"/>
              <w:jc w:val="center"/>
              <w:rPr>
                <w:rFonts w:ascii="Book Antiqua" w:eastAsia="Arial Unicode MS" w:hAnsi="Book Antiqua" w:cs="Arial Unicode MS"/>
                <w:iCs/>
                <w:color w:val="000000" w:themeColor="text1"/>
                <w:kern w:val="0"/>
                <w:sz w:val="24"/>
                <w:szCs w:val="24"/>
              </w:rPr>
            </w:pPr>
            <w:r w:rsidRPr="00CF714B">
              <w:rPr>
                <w:rFonts w:ascii="Book Antiqua" w:eastAsia="Arial Unicode MS" w:hAnsi="Book Antiqua" w:cs="Arial Unicode MS"/>
                <w:iCs/>
                <w:color w:val="000000" w:themeColor="text1"/>
                <w:kern w:val="0"/>
                <w:sz w:val="24"/>
                <w:szCs w:val="24"/>
              </w:rPr>
              <w:t>0.004</w:t>
            </w:r>
          </w:p>
        </w:tc>
        <w:tc>
          <w:tcPr>
            <w:tcW w:w="1520" w:type="dxa"/>
            <w:tcBorders>
              <w:top w:val="nil"/>
              <w:left w:val="nil"/>
              <w:bottom w:val="nil"/>
              <w:right w:val="nil"/>
            </w:tcBorders>
            <w:shd w:val="clear" w:color="auto" w:fill="auto"/>
            <w:noWrap/>
            <w:vAlign w:val="center"/>
            <w:hideMark/>
          </w:tcPr>
          <w:p w14:paraId="64967548"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2.931</w:t>
            </w:r>
          </w:p>
        </w:tc>
        <w:tc>
          <w:tcPr>
            <w:tcW w:w="1520" w:type="dxa"/>
            <w:tcBorders>
              <w:top w:val="nil"/>
              <w:left w:val="nil"/>
              <w:bottom w:val="nil"/>
              <w:right w:val="nil"/>
            </w:tcBorders>
            <w:shd w:val="clear" w:color="auto" w:fill="auto"/>
            <w:noWrap/>
            <w:vAlign w:val="center"/>
            <w:hideMark/>
          </w:tcPr>
          <w:p w14:paraId="7B1E26CA"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1.398</w:t>
            </w:r>
          </w:p>
        </w:tc>
        <w:tc>
          <w:tcPr>
            <w:tcW w:w="1945" w:type="dxa"/>
            <w:tcBorders>
              <w:top w:val="nil"/>
              <w:left w:val="nil"/>
              <w:bottom w:val="nil"/>
              <w:right w:val="nil"/>
            </w:tcBorders>
            <w:shd w:val="clear" w:color="auto" w:fill="auto"/>
            <w:noWrap/>
            <w:vAlign w:val="center"/>
            <w:hideMark/>
          </w:tcPr>
          <w:p w14:paraId="4EC31934"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6.143</w:t>
            </w:r>
          </w:p>
        </w:tc>
      </w:tr>
      <w:tr w:rsidR="00A1284B" w:rsidRPr="00B43A8C" w14:paraId="47BD3C41" w14:textId="77777777" w:rsidTr="00792AF6">
        <w:trPr>
          <w:trHeight w:val="282"/>
        </w:trPr>
        <w:tc>
          <w:tcPr>
            <w:tcW w:w="2480" w:type="dxa"/>
            <w:tcBorders>
              <w:top w:val="nil"/>
              <w:left w:val="nil"/>
              <w:bottom w:val="nil"/>
              <w:right w:val="nil"/>
            </w:tcBorders>
            <w:shd w:val="clear" w:color="auto" w:fill="auto"/>
            <w:noWrap/>
            <w:vAlign w:val="center"/>
            <w:hideMark/>
          </w:tcPr>
          <w:p w14:paraId="0C057131" w14:textId="77777777" w:rsidR="00A1284B" w:rsidRPr="00B43A8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Bormann type</w:t>
            </w:r>
          </w:p>
        </w:tc>
        <w:tc>
          <w:tcPr>
            <w:tcW w:w="1040" w:type="dxa"/>
            <w:tcBorders>
              <w:top w:val="nil"/>
              <w:left w:val="nil"/>
              <w:bottom w:val="nil"/>
              <w:right w:val="nil"/>
            </w:tcBorders>
            <w:shd w:val="clear" w:color="auto" w:fill="auto"/>
            <w:noWrap/>
            <w:vAlign w:val="center"/>
            <w:hideMark/>
          </w:tcPr>
          <w:p w14:paraId="47D42085" w14:textId="77777777" w:rsidR="00A1284B" w:rsidRPr="00CF714B"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CF714B">
              <w:rPr>
                <w:rFonts w:ascii="Book Antiqua" w:eastAsia="Arial Unicode MS" w:hAnsi="Book Antiqua" w:cs="Arial Unicode MS"/>
                <w:color w:val="000000" w:themeColor="text1"/>
                <w:kern w:val="0"/>
                <w:sz w:val="24"/>
                <w:szCs w:val="24"/>
              </w:rPr>
              <w:t>0.3</w:t>
            </w:r>
          </w:p>
        </w:tc>
        <w:tc>
          <w:tcPr>
            <w:tcW w:w="1520" w:type="dxa"/>
            <w:tcBorders>
              <w:top w:val="nil"/>
              <w:left w:val="nil"/>
              <w:bottom w:val="nil"/>
              <w:right w:val="nil"/>
            </w:tcBorders>
            <w:shd w:val="clear" w:color="auto" w:fill="auto"/>
            <w:noWrap/>
            <w:vAlign w:val="center"/>
            <w:hideMark/>
          </w:tcPr>
          <w:p w14:paraId="2FF05F3E"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0.731</w:t>
            </w:r>
          </w:p>
        </w:tc>
        <w:tc>
          <w:tcPr>
            <w:tcW w:w="1520" w:type="dxa"/>
            <w:tcBorders>
              <w:top w:val="nil"/>
              <w:left w:val="nil"/>
              <w:bottom w:val="nil"/>
              <w:right w:val="nil"/>
            </w:tcBorders>
            <w:shd w:val="clear" w:color="auto" w:fill="auto"/>
            <w:noWrap/>
            <w:vAlign w:val="center"/>
            <w:hideMark/>
          </w:tcPr>
          <w:p w14:paraId="33828798"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0.402</w:t>
            </w:r>
          </w:p>
        </w:tc>
        <w:tc>
          <w:tcPr>
            <w:tcW w:w="1945" w:type="dxa"/>
            <w:tcBorders>
              <w:top w:val="nil"/>
              <w:left w:val="nil"/>
              <w:bottom w:val="nil"/>
              <w:right w:val="nil"/>
            </w:tcBorders>
            <w:shd w:val="clear" w:color="auto" w:fill="auto"/>
            <w:noWrap/>
            <w:vAlign w:val="center"/>
            <w:hideMark/>
          </w:tcPr>
          <w:p w14:paraId="3198A34B"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1.327</w:t>
            </w:r>
          </w:p>
        </w:tc>
      </w:tr>
      <w:tr w:rsidR="00A1284B" w:rsidRPr="00B43A8C" w14:paraId="28E7C381" w14:textId="77777777" w:rsidTr="00792AF6">
        <w:trPr>
          <w:trHeight w:val="282"/>
        </w:trPr>
        <w:tc>
          <w:tcPr>
            <w:tcW w:w="2480" w:type="dxa"/>
            <w:tcBorders>
              <w:top w:val="nil"/>
              <w:left w:val="nil"/>
              <w:bottom w:val="nil"/>
              <w:right w:val="nil"/>
            </w:tcBorders>
            <w:shd w:val="clear" w:color="auto" w:fill="auto"/>
            <w:noWrap/>
            <w:vAlign w:val="center"/>
            <w:hideMark/>
          </w:tcPr>
          <w:p w14:paraId="41BD5272" w14:textId="77777777" w:rsidR="00A1284B" w:rsidRPr="00B43A8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SLAMF7</w:t>
            </w:r>
          </w:p>
        </w:tc>
        <w:tc>
          <w:tcPr>
            <w:tcW w:w="1040" w:type="dxa"/>
            <w:tcBorders>
              <w:top w:val="nil"/>
              <w:left w:val="nil"/>
              <w:bottom w:val="nil"/>
              <w:right w:val="nil"/>
            </w:tcBorders>
            <w:shd w:val="clear" w:color="auto" w:fill="auto"/>
            <w:noWrap/>
            <w:vAlign w:val="center"/>
            <w:hideMark/>
          </w:tcPr>
          <w:p w14:paraId="1710A82C" w14:textId="77777777" w:rsidR="00A1284B" w:rsidRPr="00CF714B" w:rsidRDefault="00A1284B" w:rsidP="00CF714B">
            <w:pPr>
              <w:widowControl/>
              <w:wordWrap/>
              <w:autoSpaceDE/>
              <w:autoSpaceDN/>
              <w:adjustRightInd w:val="0"/>
              <w:snapToGrid w:val="0"/>
              <w:spacing w:line="360" w:lineRule="auto"/>
              <w:jc w:val="center"/>
              <w:rPr>
                <w:rFonts w:ascii="Book Antiqua" w:eastAsia="Arial Unicode MS" w:hAnsi="Book Antiqua" w:cs="Arial Unicode MS"/>
                <w:iCs/>
                <w:color w:val="000000" w:themeColor="text1"/>
                <w:kern w:val="0"/>
                <w:sz w:val="24"/>
                <w:szCs w:val="24"/>
              </w:rPr>
            </w:pPr>
            <w:r w:rsidRPr="00CF714B">
              <w:rPr>
                <w:rFonts w:ascii="Book Antiqua" w:eastAsia="Arial Unicode MS" w:hAnsi="Book Antiqua" w:cs="Arial Unicode MS"/>
                <w:iCs/>
                <w:color w:val="000000" w:themeColor="text1"/>
                <w:kern w:val="0"/>
                <w:sz w:val="24"/>
                <w:szCs w:val="24"/>
              </w:rPr>
              <w:t>0.003</w:t>
            </w:r>
          </w:p>
        </w:tc>
        <w:tc>
          <w:tcPr>
            <w:tcW w:w="1520" w:type="dxa"/>
            <w:tcBorders>
              <w:top w:val="nil"/>
              <w:left w:val="nil"/>
              <w:bottom w:val="nil"/>
              <w:right w:val="nil"/>
            </w:tcBorders>
            <w:shd w:val="clear" w:color="auto" w:fill="auto"/>
            <w:noWrap/>
            <w:vAlign w:val="center"/>
            <w:hideMark/>
          </w:tcPr>
          <w:p w14:paraId="751061C5"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0.206</w:t>
            </w:r>
          </w:p>
        </w:tc>
        <w:tc>
          <w:tcPr>
            <w:tcW w:w="1520" w:type="dxa"/>
            <w:tcBorders>
              <w:top w:val="nil"/>
              <w:left w:val="nil"/>
              <w:bottom w:val="nil"/>
              <w:right w:val="nil"/>
            </w:tcBorders>
            <w:shd w:val="clear" w:color="auto" w:fill="auto"/>
            <w:noWrap/>
            <w:vAlign w:val="center"/>
            <w:hideMark/>
          </w:tcPr>
          <w:p w14:paraId="1083AED7"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0.072</w:t>
            </w:r>
          </w:p>
        </w:tc>
        <w:tc>
          <w:tcPr>
            <w:tcW w:w="1945" w:type="dxa"/>
            <w:tcBorders>
              <w:top w:val="nil"/>
              <w:left w:val="nil"/>
              <w:bottom w:val="nil"/>
              <w:right w:val="nil"/>
            </w:tcBorders>
            <w:shd w:val="clear" w:color="auto" w:fill="auto"/>
            <w:noWrap/>
            <w:vAlign w:val="center"/>
            <w:hideMark/>
          </w:tcPr>
          <w:p w14:paraId="26D733B7"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0.589</w:t>
            </w:r>
          </w:p>
        </w:tc>
      </w:tr>
      <w:tr w:rsidR="00A1284B" w:rsidRPr="00B43A8C" w14:paraId="778ACAE8" w14:textId="77777777" w:rsidTr="00792AF6">
        <w:trPr>
          <w:trHeight w:val="282"/>
        </w:trPr>
        <w:tc>
          <w:tcPr>
            <w:tcW w:w="2480" w:type="dxa"/>
            <w:tcBorders>
              <w:top w:val="nil"/>
              <w:left w:val="nil"/>
              <w:bottom w:val="nil"/>
              <w:right w:val="nil"/>
            </w:tcBorders>
            <w:shd w:val="clear" w:color="auto" w:fill="auto"/>
            <w:noWrap/>
            <w:vAlign w:val="center"/>
            <w:hideMark/>
          </w:tcPr>
          <w:p w14:paraId="5E440567" w14:textId="77777777" w:rsidR="00A1284B" w:rsidRPr="00B43A8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CKS2</w:t>
            </w:r>
          </w:p>
        </w:tc>
        <w:tc>
          <w:tcPr>
            <w:tcW w:w="1040" w:type="dxa"/>
            <w:tcBorders>
              <w:top w:val="nil"/>
              <w:left w:val="nil"/>
              <w:bottom w:val="nil"/>
              <w:right w:val="nil"/>
            </w:tcBorders>
            <w:shd w:val="clear" w:color="auto" w:fill="auto"/>
            <w:noWrap/>
            <w:vAlign w:val="center"/>
            <w:hideMark/>
          </w:tcPr>
          <w:p w14:paraId="72901C94" w14:textId="77777777" w:rsidR="00A1284B" w:rsidRPr="00CF714B" w:rsidRDefault="00A1284B" w:rsidP="00CF714B">
            <w:pPr>
              <w:widowControl/>
              <w:wordWrap/>
              <w:autoSpaceDE/>
              <w:autoSpaceDN/>
              <w:adjustRightInd w:val="0"/>
              <w:snapToGrid w:val="0"/>
              <w:spacing w:line="360" w:lineRule="auto"/>
              <w:jc w:val="center"/>
              <w:rPr>
                <w:rFonts w:ascii="Book Antiqua" w:eastAsia="Arial Unicode MS" w:hAnsi="Book Antiqua" w:cs="Arial Unicode MS"/>
                <w:iCs/>
                <w:color w:val="000000" w:themeColor="text1"/>
                <w:kern w:val="0"/>
                <w:sz w:val="24"/>
                <w:szCs w:val="24"/>
              </w:rPr>
            </w:pPr>
            <w:r w:rsidRPr="00CF714B">
              <w:rPr>
                <w:rFonts w:ascii="Book Antiqua" w:eastAsia="Arial Unicode MS" w:hAnsi="Book Antiqua" w:cs="Arial Unicode MS"/>
                <w:iCs/>
                <w:color w:val="000000" w:themeColor="text1"/>
                <w:kern w:val="0"/>
                <w:sz w:val="24"/>
                <w:szCs w:val="24"/>
              </w:rPr>
              <w:t>0.018</w:t>
            </w:r>
          </w:p>
        </w:tc>
        <w:tc>
          <w:tcPr>
            <w:tcW w:w="1520" w:type="dxa"/>
            <w:tcBorders>
              <w:top w:val="nil"/>
              <w:left w:val="nil"/>
              <w:bottom w:val="nil"/>
              <w:right w:val="nil"/>
            </w:tcBorders>
            <w:shd w:val="clear" w:color="auto" w:fill="auto"/>
            <w:noWrap/>
            <w:vAlign w:val="center"/>
            <w:hideMark/>
          </w:tcPr>
          <w:p w14:paraId="1DA543A4"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0.484</w:t>
            </w:r>
          </w:p>
        </w:tc>
        <w:tc>
          <w:tcPr>
            <w:tcW w:w="1520" w:type="dxa"/>
            <w:tcBorders>
              <w:top w:val="nil"/>
              <w:left w:val="nil"/>
              <w:bottom w:val="nil"/>
              <w:right w:val="nil"/>
            </w:tcBorders>
            <w:shd w:val="clear" w:color="auto" w:fill="auto"/>
            <w:noWrap/>
            <w:vAlign w:val="center"/>
            <w:hideMark/>
          </w:tcPr>
          <w:p w14:paraId="6820B761"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0.266</w:t>
            </w:r>
          </w:p>
        </w:tc>
        <w:tc>
          <w:tcPr>
            <w:tcW w:w="1945" w:type="dxa"/>
            <w:tcBorders>
              <w:top w:val="nil"/>
              <w:left w:val="nil"/>
              <w:bottom w:val="nil"/>
              <w:right w:val="nil"/>
            </w:tcBorders>
            <w:shd w:val="clear" w:color="auto" w:fill="auto"/>
            <w:noWrap/>
            <w:vAlign w:val="center"/>
            <w:hideMark/>
          </w:tcPr>
          <w:p w14:paraId="4A27E50C"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0.883</w:t>
            </w:r>
          </w:p>
        </w:tc>
      </w:tr>
      <w:tr w:rsidR="00A1284B" w:rsidRPr="00B43A8C" w14:paraId="4CB111A2" w14:textId="77777777" w:rsidTr="00792AF6">
        <w:trPr>
          <w:trHeight w:val="282"/>
        </w:trPr>
        <w:tc>
          <w:tcPr>
            <w:tcW w:w="2480" w:type="dxa"/>
            <w:tcBorders>
              <w:top w:val="nil"/>
              <w:left w:val="nil"/>
              <w:bottom w:val="single" w:sz="12" w:space="0" w:color="auto"/>
              <w:right w:val="nil"/>
            </w:tcBorders>
            <w:shd w:val="clear" w:color="auto" w:fill="auto"/>
            <w:noWrap/>
            <w:vAlign w:val="center"/>
            <w:hideMark/>
          </w:tcPr>
          <w:p w14:paraId="22972669" w14:textId="77777777" w:rsidR="00A1284B" w:rsidRPr="00B43A8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TREM1</w:t>
            </w:r>
          </w:p>
        </w:tc>
        <w:tc>
          <w:tcPr>
            <w:tcW w:w="1040" w:type="dxa"/>
            <w:tcBorders>
              <w:top w:val="nil"/>
              <w:left w:val="nil"/>
              <w:bottom w:val="single" w:sz="12" w:space="0" w:color="auto"/>
              <w:right w:val="nil"/>
            </w:tcBorders>
            <w:shd w:val="clear" w:color="auto" w:fill="auto"/>
            <w:noWrap/>
            <w:vAlign w:val="center"/>
            <w:hideMark/>
          </w:tcPr>
          <w:p w14:paraId="1BA95500" w14:textId="77777777" w:rsidR="00A1284B" w:rsidRPr="00CF714B" w:rsidRDefault="00A1284B" w:rsidP="00CF714B">
            <w:pPr>
              <w:widowControl/>
              <w:wordWrap/>
              <w:autoSpaceDE/>
              <w:autoSpaceDN/>
              <w:adjustRightInd w:val="0"/>
              <w:snapToGrid w:val="0"/>
              <w:spacing w:line="360" w:lineRule="auto"/>
              <w:jc w:val="center"/>
              <w:rPr>
                <w:rFonts w:ascii="Book Antiqua" w:eastAsia="Arial Unicode MS" w:hAnsi="Book Antiqua" w:cs="Arial Unicode MS"/>
                <w:iCs/>
                <w:color w:val="000000" w:themeColor="text1"/>
                <w:kern w:val="0"/>
                <w:sz w:val="24"/>
                <w:szCs w:val="24"/>
              </w:rPr>
            </w:pPr>
            <w:r w:rsidRPr="00CF714B">
              <w:rPr>
                <w:rFonts w:ascii="Book Antiqua" w:eastAsia="Arial Unicode MS" w:hAnsi="Book Antiqua" w:cs="Arial Unicode MS"/>
                <w:iCs/>
                <w:color w:val="000000" w:themeColor="text1"/>
                <w:kern w:val="0"/>
                <w:sz w:val="24"/>
                <w:szCs w:val="24"/>
              </w:rPr>
              <w:t>0.017</w:t>
            </w:r>
          </w:p>
        </w:tc>
        <w:tc>
          <w:tcPr>
            <w:tcW w:w="1520" w:type="dxa"/>
            <w:tcBorders>
              <w:top w:val="nil"/>
              <w:left w:val="nil"/>
              <w:bottom w:val="single" w:sz="12" w:space="0" w:color="auto"/>
              <w:right w:val="nil"/>
            </w:tcBorders>
            <w:shd w:val="clear" w:color="auto" w:fill="auto"/>
            <w:noWrap/>
            <w:vAlign w:val="center"/>
            <w:hideMark/>
          </w:tcPr>
          <w:p w14:paraId="4A2EA615"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0.471</w:t>
            </w:r>
          </w:p>
        </w:tc>
        <w:tc>
          <w:tcPr>
            <w:tcW w:w="1520" w:type="dxa"/>
            <w:tcBorders>
              <w:top w:val="nil"/>
              <w:left w:val="nil"/>
              <w:bottom w:val="single" w:sz="12" w:space="0" w:color="auto"/>
              <w:right w:val="nil"/>
            </w:tcBorders>
            <w:shd w:val="clear" w:color="auto" w:fill="auto"/>
            <w:noWrap/>
            <w:vAlign w:val="center"/>
            <w:hideMark/>
          </w:tcPr>
          <w:p w14:paraId="7AA65F99"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0.254</w:t>
            </w:r>
          </w:p>
        </w:tc>
        <w:tc>
          <w:tcPr>
            <w:tcW w:w="1945" w:type="dxa"/>
            <w:tcBorders>
              <w:top w:val="nil"/>
              <w:left w:val="nil"/>
              <w:bottom w:val="single" w:sz="12" w:space="0" w:color="auto"/>
              <w:right w:val="nil"/>
            </w:tcBorders>
            <w:shd w:val="clear" w:color="auto" w:fill="auto"/>
            <w:noWrap/>
            <w:vAlign w:val="center"/>
            <w:hideMark/>
          </w:tcPr>
          <w:p w14:paraId="5BAE66F8" w14:textId="77777777" w:rsidR="00A1284B" w:rsidRPr="00B43A8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B43A8C">
              <w:rPr>
                <w:rFonts w:ascii="Book Antiqua" w:eastAsia="Arial Unicode MS" w:hAnsi="Book Antiqua" w:cs="Arial Unicode MS"/>
                <w:color w:val="000000" w:themeColor="text1"/>
                <w:kern w:val="0"/>
                <w:sz w:val="24"/>
                <w:szCs w:val="24"/>
              </w:rPr>
              <w:t>0.875</w:t>
            </w:r>
          </w:p>
        </w:tc>
      </w:tr>
    </w:tbl>
    <w:p w14:paraId="00B5F456" w14:textId="751DF5FF" w:rsidR="00DB6A42" w:rsidRPr="00B43A8C" w:rsidRDefault="00CF714B" w:rsidP="00B43A8C">
      <w:pPr>
        <w:wordWrap/>
        <w:adjustRightInd w:val="0"/>
        <w:snapToGrid w:val="0"/>
        <w:spacing w:line="360" w:lineRule="auto"/>
        <w:rPr>
          <w:rFonts w:ascii="Book Antiqua" w:hAnsi="Book Antiqua"/>
          <w:color w:val="000000" w:themeColor="text1"/>
          <w:sz w:val="24"/>
          <w:szCs w:val="24"/>
        </w:rPr>
      </w:pPr>
      <w:r>
        <w:rPr>
          <w:rFonts w:ascii="Book Antiqua" w:eastAsia="Arial Unicode MS" w:hAnsi="Book Antiqua" w:cs="Arial Unicode MS"/>
          <w:color w:val="000000" w:themeColor="text1"/>
          <w:kern w:val="0"/>
          <w:sz w:val="24"/>
          <w:szCs w:val="24"/>
        </w:rPr>
        <w:t>CI: Confidence interval; CKS-2: C</w:t>
      </w:r>
      <w:r w:rsidRPr="00B43A8C">
        <w:rPr>
          <w:rFonts w:ascii="Book Antiqua" w:eastAsia="Arial Unicode MS" w:hAnsi="Book Antiqua" w:cs="Arial Unicode MS"/>
          <w:color w:val="000000" w:themeColor="text1"/>
          <w:kern w:val="0"/>
          <w:sz w:val="24"/>
          <w:szCs w:val="24"/>
        </w:rPr>
        <w:t>yclin-dependent ki</w:t>
      </w:r>
      <w:r>
        <w:rPr>
          <w:rFonts w:ascii="Book Antiqua" w:eastAsia="Arial Unicode MS" w:hAnsi="Book Antiqua" w:cs="Arial Unicode MS"/>
          <w:color w:val="000000" w:themeColor="text1"/>
          <w:kern w:val="0"/>
          <w:sz w:val="24"/>
          <w:szCs w:val="24"/>
        </w:rPr>
        <w:t>nases regulatory subunit 2; CRM: C</w:t>
      </w:r>
      <w:r w:rsidRPr="00B43A8C">
        <w:rPr>
          <w:rFonts w:ascii="Book Antiqua" w:eastAsia="Arial Unicode MS" w:hAnsi="Book Antiqua" w:cs="Arial Unicode MS"/>
          <w:color w:val="000000" w:themeColor="text1"/>
          <w:kern w:val="0"/>
          <w:sz w:val="24"/>
          <w:szCs w:val="24"/>
        </w:rPr>
        <w:t>ircum</w:t>
      </w:r>
      <w:r>
        <w:rPr>
          <w:rFonts w:ascii="Book Antiqua" w:eastAsia="Arial Unicode MS" w:hAnsi="Book Antiqua" w:cs="Arial Unicode MS"/>
          <w:color w:val="000000" w:themeColor="text1"/>
          <w:kern w:val="0"/>
          <w:sz w:val="24"/>
          <w:szCs w:val="24"/>
        </w:rPr>
        <w:t xml:space="preserve">ferential resection margin; LVI: </w:t>
      </w:r>
      <w:proofErr w:type="spellStart"/>
      <w:r>
        <w:rPr>
          <w:rFonts w:ascii="Book Antiqua" w:eastAsia="Arial Unicode MS" w:hAnsi="Book Antiqua" w:cs="Arial Unicode MS"/>
          <w:color w:val="000000" w:themeColor="text1"/>
          <w:kern w:val="0"/>
          <w:sz w:val="24"/>
          <w:szCs w:val="24"/>
        </w:rPr>
        <w:t>Lymphovascular</w:t>
      </w:r>
      <w:proofErr w:type="spellEnd"/>
      <w:r>
        <w:rPr>
          <w:rFonts w:ascii="Book Antiqua" w:eastAsia="Arial Unicode MS" w:hAnsi="Book Antiqua" w:cs="Arial Unicode MS"/>
          <w:color w:val="000000" w:themeColor="text1"/>
          <w:kern w:val="0"/>
          <w:sz w:val="24"/>
          <w:szCs w:val="24"/>
        </w:rPr>
        <w:t xml:space="preserve"> invasion; PNI: P</w:t>
      </w:r>
      <w:r w:rsidRPr="00B43A8C">
        <w:rPr>
          <w:rFonts w:ascii="Book Antiqua" w:eastAsia="Arial Unicode MS" w:hAnsi="Book Antiqua" w:cs="Arial Unicode MS"/>
          <w:color w:val="000000" w:themeColor="text1"/>
          <w:kern w:val="0"/>
          <w:sz w:val="24"/>
          <w:szCs w:val="24"/>
        </w:rPr>
        <w:t xml:space="preserve">erineural invasion; </w:t>
      </w:r>
      <w:r>
        <w:rPr>
          <w:rFonts w:ascii="Book Antiqua" w:eastAsia="Arial Unicode MS" w:hAnsi="Book Antiqua"/>
          <w:color w:val="000000" w:themeColor="text1"/>
          <w:sz w:val="24"/>
          <w:szCs w:val="24"/>
        </w:rPr>
        <w:t>SLAMF7: S</w:t>
      </w:r>
      <w:r w:rsidRPr="00AD4EF3">
        <w:rPr>
          <w:rFonts w:ascii="Book Antiqua" w:eastAsia="Arial Unicode MS" w:hAnsi="Book Antiqua"/>
          <w:color w:val="000000" w:themeColor="text1"/>
          <w:sz w:val="24"/>
          <w:szCs w:val="24"/>
        </w:rPr>
        <w:t>ignaling lymphocytic activation molecule family, member 7</w:t>
      </w:r>
      <w:r>
        <w:rPr>
          <w:rFonts w:ascii="Book Antiqua" w:eastAsia="Arial Unicode MS" w:hAnsi="Book Antiqua" w:cs="Arial Unicode MS"/>
          <w:color w:val="000000" w:themeColor="text1"/>
          <w:kern w:val="0"/>
          <w:sz w:val="24"/>
          <w:szCs w:val="24"/>
        </w:rPr>
        <w:t>; TREM1: T</w:t>
      </w:r>
      <w:r w:rsidRPr="00B43A8C">
        <w:rPr>
          <w:rFonts w:ascii="Book Antiqua" w:eastAsia="Arial Unicode MS" w:hAnsi="Book Antiqua" w:cs="Arial Unicode MS"/>
          <w:color w:val="000000" w:themeColor="text1"/>
          <w:kern w:val="0"/>
          <w:sz w:val="24"/>
          <w:szCs w:val="24"/>
        </w:rPr>
        <w:t>riggering receptor expressed on myeloid cells 1.</w:t>
      </w:r>
    </w:p>
    <w:sectPr w:rsidR="00DB6A42" w:rsidRPr="00B43A8C" w:rsidSect="004F56D8">
      <w:footerReference w:type="default" r:id="rId11"/>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A93C7" w14:textId="77777777" w:rsidR="002149EA" w:rsidRDefault="002149EA">
      <w:r>
        <w:separator/>
      </w:r>
    </w:p>
  </w:endnote>
  <w:endnote w:type="continuationSeparator" w:id="0">
    <w:p w14:paraId="262EC08C" w14:textId="77777777" w:rsidR="002149EA" w:rsidRDefault="00214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YouYuan">
    <w:altName w:val="SimSun"/>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C786F" w14:textId="77777777" w:rsidR="00792AF6" w:rsidRDefault="00792AF6">
    <w:pPr>
      <w:pStyle w:val="Footer"/>
      <w:jc w:val="center"/>
    </w:pPr>
  </w:p>
  <w:p w14:paraId="7A353A13" w14:textId="77777777" w:rsidR="00792AF6" w:rsidRDefault="00792A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F89D1" w14:textId="350597D2" w:rsidR="00792AF6" w:rsidRDefault="00792AF6">
    <w:pPr>
      <w:pStyle w:val="Footer"/>
      <w:jc w:val="center"/>
    </w:pPr>
  </w:p>
  <w:p w14:paraId="06E0276E" w14:textId="77777777" w:rsidR="00792AF6" w:rsidRDefault="00792A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0F5B8" w14:textId="77777777" w:rsidR="002149EA" w:rsidRDefault="002149EA">
      <w:r>
        <w:separator/>
      </w:r>
    </w:p>
  </w:footnote>
  <w:footnote w:type="continuationSeparator" w:id="0">
    <w:p w14:paraId="44727DF7" w14:textId="77777777" w:rsidR="002149EA" w:rsidRDefault="002149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DB03D6"/>
    <w:rsid w:val="0002226F"/>
    <w:rsid w:val="00032288"/>
    <w:rsid w:val="000501E9"/>
    <w:rsid w:val="00085CF0"/>
    <w:rsid w:val="00100C1E"/>
    <w:rsid w:val="001231A4"/>
    <w:rsid w:val="00125ABC"/>
    <w:rsid w:val="001509DE"/>
    <w:rsid w:val="00156F24"/>
    <w:rsid w:val="0017571C"/>
    <w:rsid w:val="00182E90"/>
    <w:rsid w:val="001A1F75"/>
    <w:rsid w:val="001D6376"/>
    <w:rsid w:val="00200036"/>
    <w:rsid w:val="002129BB"/>
    <w:rsid w:val="002149EA"/>
    <w:rsid w:val="0021790A"/>
    <w:rsid w:val="00242A89"/>
    <w:rsid w:val="00290747"/>
    <w:rsid w:val="003154EF"/>
    <w:rsid w:val="00333DAC"/>
    <w:rsid w:val="00342B03"/>
    <w:rsid w:val="00351D38"/>
    <w:rsid w:val="00354799"/>
    <w:rsid w:val="003D0541"/>
    <w:rsid w:val="003E4D4B"/>
    <w:rsid w:val="004375AE"/>
    <w:rsid w:val="00451ECC"/>
    <w:rsid w:val="00477FE4"/>
    <w:rsid w:val="004A7413"/>
    <w:rsid w:val="004D1F78"/>
    <w:rsid w:val="004F5346"/>
    <w:rsid w:val="004F56D8"/>
    <w:rsid w:val="00501C18"/>
    <w:rsid w:val="00520CC1"/>
    <w:rsid w:val="00551510"/>
    <w:rsid w:val="00554AA8"/>
    <w:rsid w:val="00554D3A"/>
    <w:rsid w:val="005618E8"/>
    <w:rsid w:val="00565745"/>
    <w:rsid w:val="00573C3F"/>
    <w:rsid w:val="005A7EC7"/>
    <w:rsid w:val="00617D01"/>
    <w:rsid w:val="00617F1C"/>
    <w:rsid w:val="006447B7"/>
    <w:rsid w:val="00667D1A"/>
    <w:rsid w:val="0068024D"/>
    <w:rsid w:val="006804F9"/>
    <w:rsid w:val="00683050"/>
    <w:rsid w:val="006934B3"/>
    <w:rsid w:val="006A36C5"/>
    <w:rsid w:val="006B2B09"/>
    <w:rsid w:val="006E47F5"/>
    <w:rsid w:val="006F1146"/>
    <w:rsid w:val="00720032"/>
    <w:rsid w:val="00792AF6"/>
    <w:rsid w:val="007A74A3"/>
    <w:rsid w:val="007B1844"/>
    <w:rsid w:val="007B2358"/>
    <w:rsid w:val="007D209E"/>
    <w:rsid w:val="007D4422"/>
    <w:rsid w:val="007E0A51"/>
    <w:rsid w:val="00802499"/>
    <w:rsid w:val="00841E31"/>
    <w:rsid w:val="00854267"/>
    <w:rsid w:val="00861A59"/>
    <w:rsid w:val="008B4FDC"/>
    <w:rsid w:val="008F0E2D"/>
    <w:rsid w:val="008F1C20"/>
    <w:rsid w:val="00902824"/>
    <w:rsid w:val="009347BE"/>
    <w:rsid w:val="00971DB1"/>
    <w:rsid w:val="00977399"/>
    <w:rsid w:val="009F2F14"/>
    <w:rsid w:val="00A1284B"/>
    <w:rsid w:val="00A12E3E"/>
    <w:rsid w:val="00A15489"/>
    <w:rsid w:val="00A25645"/>
    <w:rsid w:val="00A52291"/>
    <w:rsid w:val="00A64AB2"/>
    <w:rsid w:val="00A6595C"/>
    <w:rsid w:val="00A77C8E"/>
    <w:rsid w:val="00A82103"/>
    <w:rsid w:val="00A83FAB"/>
    <w:rsid w:val="00AD4EF3"/>
    <w:rsid w:val="00B02139"/>
    <w:rsid w:val="00B232AC"/>
    <w:rsid w:val="00B24520"/>
    <w:rsid w:val="00B40169"/>
    <w:rsid w:val="00B41A1B"/>
    <w:rsid w:val="00B41F6E"/>
    <w:rsid w:val="00B43A8C"/>
    <w:rsid w:val="00B5733F"/>
    <w:rsid w:val="00B72A97"/>
    <w:rsid w:val="00B7782B"/>
    <w:rsid w:val="00B81FB6"/>
    <w:rsid w:val="00BA6B22"/>
    <w:rsid w:val="00C27388"/>
    <w:rsid w:val="00C273C3"/>
    <w:rsid w:val="00C301BF"/>
    <w:rsid w:val="00C50680"/>
    <w:rsid w:val="00C63483"/>
    <w:rsid w:val="00CA2B03"/>
    <w:rsid w:val="00CB7273"/>
    <w:rsid w:val="00CC6209"/>
    <w:rsid w:val="00CC6326"/>
    <w:rsid w:val="00CE6006"/>
    <w:rsid w:val="00CE6CA9"/>
    <w:rsid w:val="00CF59C0"/>
    <w:rsid w:val="00CF714B"/>
    <w:rsid w:val="00D033C8"/>
    <w:rsid w:val="00D07863"/>
    <w:rsid w:val="00D8022B"/>
    <w:rsid w:val="00DB03D6"/>
    <w:rsid w:val="00DB6A42"/>
    <w:rsid w:val="00DD0EB4"/>
    <w:rsid w:val="00E01799"/>
    <w:rsid w:val="00E148B7"/>
    <w:rsid w:val="00E64530"/>
    <w:rsid w:val="00EA49D5"/>
    <w:rsid w:val="00EB43DB"/>
    <w:rsid w:val="00EC23C1"/>
    <w:rsid w:val="00ED0032"/>
    <w:rsid w:val="00ED5B1E"/>
    <w:rsid w:val="00EE0FE5"/>
    <w:rsid w:val="00EF65CB"/>
    <w:rsid w:val="00F42978"/>
    <w:rsid w:val="00F64EF2"/>
    <w:rsid w:val="00FA4FF3"/>
    <w:rsid w:val="00FB10A5"/>
    <w:rsid w:val="00FD60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B5D92"/>
  <w15:docId w15:val="{248A610B-11B2-4C69-AC3C-E30971A9C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0E2D"/>
    <w:pPr>
      <w:widowControl w:val="0"/>
      <w:wordWrap w:val="0"/>
      <w:autoSpaceDE w:val="0"/>
      <w:autoSpaceDN w:val="0"/>
      <w:spacing w:after="0" w:line="240" w:lineRule="auto"/>
    </w:pPr>
    <w:rPr>
      <w:rFonts w:ascii="Malgun Gothic" w:eastAsia="Malgun Gothic" w:hAnsi="Malgun Gothic"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DB03D6"/>
    <w:pPr>
      <w:jc w:val="center"/>
    </w:pPr>
    <w:rPr>
      <w:noProof/>
    </w:rPr>
  </w:style>
  <w:style w:type="character" w:customStyle="1" w:styleId="EndNoteBibliographyTitleChar">
    <w:name w:val="EndNote Bibliography Title Char"/>
    <w:basedOn w:val="DefaultParagraphFont"/>
    <w:link w:val="EndNoteBibliographyTitle"/>
    <w:rsid w:val="00DB03D6"/>
    <w:rPr>
      <w:rFonts w:ascii="Malgun Gothic" w:eastAsia="Malgun Gothic" w:hAnsi="Malgun Gothic" w:cs="Times New Roman"/>
      <w:noProof/>
    </w:rPr>
  </w:style>
  <w:style w:type="paragraph" w:customStyle="1" w:styleId="EndNoteBibliography">
    <w:name w:val="EndNote Bibliography"/>
    <w:basedOn w:val="Normal"/>
    <w:link w:val="EndNoteBibliographyChar"/>
    <w:rsid w:val="00DB03D6"/>
    <w:rPr>
      <w:noProof/>
    </w:rPr>
  </w:style>
  <w:style w:type="character" w:customStyle="1" w:styleId="EndNoteBibliographyChar">
    <w:name w:val="EndNote Bibliography Char"/>
    <w:basedOn w:val="DefaultParagraphFont"/>
    <w:link w:val="EndNoteBibliography"/>
    <w:rsid w:val="00DB03D6"/>
    <w:rPr>
      <w:rFonts w:ascii="Malgun Gothic" w:eastAsia="Malgun Gothic" w:hAnsi="Malgun Gothic" w:cs="Times New Roman"/>
      <w:noProof/>
    </w:rPr>
  </w:style>
  <w:style w:type="character" w:styleId="CommentReference">
    <w:name w:val="annotation reference"/>
    <w:basedOn w:val="DefaultParagraphFont"/>
    <w:uiPriority w:val="99"/>
    <w:semiHidden/>
    <w:unhideWhenUsed/>
    <w:rsid w:val="00DB03D6"/>
    <w:rPr>
      <w:sz w:val="16"/>
      <w:szCs w:val="16"/>
    </w:rPr>
  </w:style>
  <w:style w:type="paragraph" w:styleId="CommentText">
    <w:name w:val="annotation text"/>
    <w:basedOn w:val="Normal"/>
    <w:link w:val="CommentTextChar"/>
    <w:uiPriority w:val="99"/>
    <w:semiHidden/>
    <w:unhideWhenUsed/>
    <w:rsid w:val="00DB03D6"/>
    <w:rPr>
      <w:szCs w:val="20"/>
    </w:rPr>
  </w:style>
  <w:style w:type="character" w:customStyle="1" w:styleId="CommentTextChar">
    <w:name w:val="Comment Text Char"/>
    <w:basedOn w:val="DefaultParagraphFont"/>
    <w:link w:val="CommentText"/>
    <w:uiPriority w:val="99"/>
    <w:semiHidden/>
    <w:rsid w:val="00DB03D6"/>
    <w:rPr>
      <w:rFonts w:ascii="Malgun Gothic" w:eastAsia="Malgun Gothic" w:hAnsi="Malgun Gothic" w:cs="Times New Roman"/>
      <w:szCs w:val="20"/>
    </w:rPr>
  </w:style>
  <w:style w:type="paragraph" w:styleId="BalloonText">
    <w:name w:val="Balloon Text"/>
    <w:basedOn w:val="Normal"/>
    <w:link w:val="BalloonTextChar"/>
    <w:uiPriority w:val="99"/>
    <w:semiHidden/>
    <w:unhideWhenUsed/>
    <w:rsid w:val="00DB03D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DB03D6"/>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451ECC"/>
    <w:pPr>
      <w:tabs>
        <w:tab w:val="center" w:pos="4513"/>
        <w:tab w:val="right" w:pos="9026"/>
      </w:tabs>
      <w:snapToGrid w:val="0"/>
    </w:pPr>
  </w:style>
  <w:style w:type="character" w:customStyle="1" w:styleId="HeaderChar">
    <w:name w:val="Header Char"/>
    <w:basedOn w:val="DefaultParagraphFont"/>
    <w:link w:val="Header"/>
    <w:uiPriority w:val="99"/>
    <w:rsid w:val="00451ECC"/>
    <w:rPr>
      <w:rFonts w:ascii="Malgun Gothic" w:eastAsia="Malgun Gothic" w:hAnsi="Malgun Gothic" w:cs="Times New Roman"/>
    </w:rPr>
  </w:style>
  <w:style w:type="paragraph" w:styleId="Footer">
    <w:name w:val="footer"/>
    <w:basedOn w:val="Normal"/>
    <w:link w:val="FooterChar"/>
    <w:uiPriority w:val="99"/>
    <w:unhideWhenUsed/>
    <w:rsid w:val="00451ECC"/>
    <w:pPr>
      <w:tabs>
        <w:tab w:val="center" w:pos="4513"/>
        <w:tab w:val="right" w:pos="9026"/>
      </w:tabs>
      <w:snapToGrid w:val="0"/>
    </w:pPr>
  </w:style>
  <w:style w:type="character" w:customStyle="1" w:styleId="FooterChar">
    <w:name w:val="Footer Char"/>
    <w:basedOn w:val="DefaultParagraphFont"/>
    <w:link w:val="Footer"/>
    <w:uiPriority w:val="99"/>
    <w:rsid w:val="00451ECC"/>
    <w:rPr>
      <w:rFonts w:ascii="Malgun Gothic" w:eastAsia="Malgun Gothic" w:hAnsi="Malgun Gothic" w:cs="Times New Roman"/>
    </w:rPr>
  </w:style>
  <w:style w:type="paragraph" w:customStyle="1" w:styleId="1">
    <w:name w:val="正文1"/>
    <w:uiPriority w:val="99"/>
    <w:rsid w:val="00EC23C1"/>
    <w:pPr>
      <w:spacing w:after="0" w:line="276" w:lineRule="auto"/>
      <w:jc w:val="left"/>
    </w:pPr>
    <w:rPr>
      <w:rFonts w:ascii="Arial" w:eastAsia="SimSun" w:hAnsi="Arial" w:cs="Arial"/>
      <w:color w:val="000000"/>
      <w:kern w:val="0"/>
      <w:sz w:val="22"/>
      <w:szCs w:val="20"/>
      <w:lang w:val="pl-PL" w:eastAsia="pl-PL"/>
    </w:rPr>
  </w:style>
  <w:style w:type="character" w:styleId="Hyperlink">
    <w:name w:val="Hyperlink"/>
    <w:rsid w:val="003154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93462">
      <w:bodyDiv w:val="1"/>
      <w:marLeft w:val="0"/>
      <w:marRight w:val="0"/>
      <w:marTop w:val="0"/>
      <w:marBottom w:val="0"/>
      <w:divBdr>
        <w:top w:val="none" w:sz="0" w:space="0" w:color="auto"/>
        <w:left w:val="none" w:sz="0" w:space="0" w:color="auto"/>
        <w:bottom w:val="none" w:sz="0" w:space="0" w:color="auto"/>
        <w:right w:val="none" w:sz="0" w:space="0" w:color="auto"/>
      </w:divBdr>
      <w:divsChild>
        <w:div w:id="1760103985">
          <w:marLeft w:val="0"/>
          <w:marRight w:val="1"/>
          <w:marTop w:val="0"/>
          <w:marBottom w:val="0"/>
          <w:divBdr>
            <w:top w:val="none" w:sz="0" w:space="0" w:color="auto"/>
            <w:left w:val="none" w:sz="0" w:space="0" w:color="auto"/>
            <w:bottom w:val="none" w:sz="0" w:space="0" w:color="auto"/>
            <w:right w:val="none" w:sz="0" w:space="0" w:color="auto"/>
          </w:divBdr>
          <w:divsChild>
            <w:div w:id="250622108">
              <w:marLeft w:val="0"/>
              <w:marRight w:val="0"/>
              <w:marTop w:val="0"/>
              <w:marBottom w:val="0"/>
              <w:divBdr>
                <w:top w:val="none" w:sz="0" w:space="0" w:color="auto"/>
                <w:left w:val="none" w:sz="0" w:space="0" w:color="auto"/>
                <w:bottom w:val="none" w:sz="0" w:space="0" w:color="auto"/>
                <w:right w:val="none" w:sz="0" w:space="0" w:color="auto"/>
              </w:divBdr>
              <w:divsChild>
                <w:div w:id="1582762015">
                  <w:marLeft w:val="0"/>
                  <w:marRight w:val="1"/>
                  <w:marTop w:val="0"/>
                  <w:marBottom w:val="0"/>
                  <w:divBdr>
                    <w:top w:val="none" w:sz="0" w:space="0" w:color="auto"/>
                    <w:left w:val="none" w:sz="0" w:space="0" w:color="auto"/>
                    <w:bottom w:val="none" w:sz="0" w:space="0" w:color="auto"/>
                    <w:right w:val="none" w:sz="0" w:space="0" w:color="auto"/>
                  </w:divBdr>
                  <w:divsChild>
                    <w:div w:id="1070693020">
                      <w:marLeft w:val="0"/>
                      <w:marRight w:val="0"/>
                      <w:marTop w:val="0"/>
                      <w:marBottom w:val="0"/>
                      <w:divBdr>
                        <w:top w:val="none" w:sz="0" w:space="0" w:color="auto"/>
                        <w:left w:val="none" w:sz="0" w:space="0" w:color="auto"/>
                        <w:bottom w:val="none" w:sz="0" w:space="0" w:color="auto"/>
                        <w:right w:val="none" w:sz="0" w:space="0" w:color="auto"/>
                      </w:divBdr>
                      <w:divsChild>
                        <w:div w:id="333529047">
                          <w:marLeft w:val="0"/>
                          <w:marRight w:val="0"/>
                          <w:marTop w:val="0"/>
                          <w:marBottom w:val="0"/>
                          <w:divBdr>
                            <w:top w:val="none" w:sz="0" w:space="0" w:color="auto"/>
                            <w:left w:val="none" w:sz="0" w:space="0" w:color="auto"/>
                            <w:bottom w:val="none" w:sz="0" w:space="0" w:color="auto"/>
                            <w:right w:val="none" w:sz="0" w:space="0" w:color="auto"/>
                          </w:divBdr>
                          <w:divsChild>
                            <w:div w:id="876312978">
                              <w:marLeft w:val="0"/>
                              <w:marRight w:val="0"/>
                              <w:marTop w:val="120"/>
                              <w:marBottom w:val="360"/>
                              <w:divBdr>
                                <w:top w:val="none" w:sz="0" w:space="0" w:color="auto"/>
                                <w:left w:val="none" w:sz="0" w:space="0" w:color="auto"/>
                                <w:bottom w:val="none" w:sz="0" w:space="0" w:color="auto"/>
                                <w:right w:val="none" w:sz="0" w:space="0" w:color="auto"/>
                              </w:divBdr>
                              <w:divsChild>
                                <w:div w:id="637342803">
                                  <w:marLeft w:val="0"/>
                                  <w:marRight w:val="0"/>
                                  <w:marTop w:val="0"/>
                                  <w:marBottom w:val="0"/>
                                  <w:divBdr>
                                    <w:top w:val="none" w:sz="0" w:space="0" w:color="auto"/>
                                    <w:left w:val="none" w:sz="0" w:space="0" w:color="auto"/>
                                    <w:bottom w:val="none" w:sz="0" w:space="0" w:color="auto"/>
                                    <w:right w:val="none" w:sz="0" w:space="0" w:color="auto"/>
                                  </w:divBdr>
                                  <w:divsChild>
                                    <w:div w:id="11428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427760">
      <w:bodyDiv w:val="1"/>
      <w:marLeft w:val="0"/>
      <w:marRight w:val="0"/>
      <w:marTop w:val="0"/>
      <w:marBottom w:val="0"/>
      <w:divBdr>
        <w:top w:val="none" w:sz="0" w:space="0" w:color="auto"/>
        <w:left w:val="none" w:sz="0" w:space="0" w:color="auto"/>
        <w:bottom w:val="none" w:sz="0" w:space="0" w:color="auto"/>
        <w:right w:val="none" w:sz="0" w:space="0" w:color="auto"/>
      </w:divBdr>
    </w:div>
    <w:div w:id="102575590">
      <w:bodyDiv w:val="1"/>
      <w:marLeft w:val="0"/>
      <w:marRight w:val="0"/>
      <w:marTop w:val="0"/>
      <w:marBottom w:val="0"/>
      <w:divBdr>
        <w:top w:val="none" w:sz="0" w:space="0" w:color="auto"/>
        <w:left w:val="none" w:sz="0" w:space="0" w:color="auto"/>
        <w:bottom w:val="none" w:sz="0" w:space="0" w:color="auto"/>
        <w:right w:val="none" w:sz="0" w:space="0" w:color="auto"/>
      </w:divBdr>
      <w:divsChild>
        <w:div w:id="1099760123">
          <w:marLeft w:val="0"/>
          <w:marRight w:val="1"/>
          <w:marTop w:val="0"/>
          <w:marBottom w:val="0"/>
          <w:divBdr>
            <w:top w:val="none" w:sz="0" w:space="0" w:color="auto"/>
            <w:left w:val="none" w:sz="0" w:space="0" w:color="auto"/>
            <w:bottom w:val="none" w:sz="0" w:space="0" w:color="auto"/>
            <w:right w:val="none" w:sz="0" w:space="0" w:color="auto"/>
          </w:divBdr>
          <w:divsChild>
            <w:div w:id="1902055320">
              <w:marLeft w:val="0"/>
              <w:marRight w:val="0"/>
              <w:marTop w:val="0"/>
              <w:marBottom w:val="0"/>
              <w:divBdr>
                <w:top w:val="none" w:sz="0" w:space="0" w:color="auto"/>
                <w:left w:val="none" w:sz="0" w:space="0" w:color="auto"/>
                <w:bottom w:val="none" w:sz="0" w:space="0" w:color="auto"/>
                <w:right w:val="none" w:sz="0" w:space="0" w:color="auto"/>
              </w:divBdr>
              <w:divsChild>
                <w:div w:id="916017688">
                  <w:marLeft w:val="0"/>
                  <w:marRight w:val="1"/>
                  <w:marTop w:val="0"/>
                  <w:marBottom w:val="0"/>
                  <w:divBdr>
                    <w:top w:val="none" w:sz="0" w:space="0" w:color="auto"/>
                    <w:left w:val="none" w:sz="0" w:space="0" w:color="auto"/>
                    <w:bottom w:val="none" w:sz="0" w:space="0" w:color="auto"/>
                    <w:right w:val="none" w:sz="0" w:space="0" w:color="auto"/>
                  </w:divBdr>
                  <w:divsChild>
                    <w:div w:id="448933369">
                      <w:marLeft w:val="0"/>
                      <w:marRight w:val="0"/>
                      <w:marTop w:val="0"/>
                      <w:marBottom w:val="0"/>
                      <w:divBdr>
                        <w:top w:val="none" w:sz="0" w:space="0" w:color="auto"/>
                        <w:left w:val="none" w:sz="0" w:space="0" w:color="auto"/>
                        <w:bottom w:val="none" w:sz="0" w:space="0" w:color="auto"/>
                        <w:right w:val="none" w:sz="0" w:space="0" w:color="auto"/>
                      </w:divBdr>
                      <w:divsChild>
                        <w:div w:id="347217719">
                          <w:marLeft w:val="0"/>
                          <w:marRight w:val="0"/>
                          <w:marTop w:val="0"/>
                          <w:marBottom w:val="0"/>
                          <w:divBdr>
                            <w:top w:val="none" w:sz="0" w:space="0" w:color="auto"/>
                            <w:left w:val="none" w:sz="0" w:space="0" w:color="auto"/>
                            <w:bottom w:val="none" w:sz="0" w:space="0" w:color="auto"/>
                            <w:right w:val="none" w:sz="0" w:space="0" w:color="auto"/>
                          </w:divBdr>
                          <w:divsChild>
                            <w:div w:id="1452937581">
                              <w:marLeft w:val="0"/>
                              <w:marRight w:val="0"/>
                              <w:marTop w:val="120"/>
                              <w:marBottom w:val="360"/>
                              <w:divBdr>
                                <w:top w:val="none" w:sz="0" w:space="0" w:color="auto"/>
                                <w:left w:val="none" w:sz="0" w:space="0" w:color="auto"/>
                                <w:bottom w:val="none" w:sz="0" w:space="0" w:color="auto"/>
                                <w:right w:val="none" w:sz="0" w:space="0" w:color="auto"/>
                              </w:divBdr>
                              <w:divsChild>
                                <w:div w:id="1852378422">
                                  <w:marLeft w:val="0"/>
                                  <w:marRight w:val="0"/>
                                  <w:marTop w:val="0"/>
                                  <w:marBottom w:val="0"/>
                                  <w:divBdr>
                                    <w:top w:val="none" w:sz="0" w:space="0" w:color="auto"/>
                                    <w:left w:val="none" w:sz="0" w:space="0" w:color="auto"/>
                                    <w:bottom w:val="none" w:sz="0" w:space="0" w:color="auto"/>
                                    <w:right w:val="none" w:sz="0" w:space="0" w:color="auto"/>
                                  </w:divBdr>
                                  <w:divsChild>
                                    <w:div w:id="3764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18010">
      <w:bodyDiv w:val="1"/>
      <w:marLeft w:val="0"/>
      <w:marRight w:val="0"/>
      <w:marTop w:val="0"/>
      <w:marBottom w:val="0"/>
      <w:divBdr>
        <w:top w:val="none" w:sz="0" w:space="0" w:color="auto"/>
        <w:left w:val="none" w:sz="0" w:space="0" w:color="auto"/>
        <w:bottom w:val="none" w:sz="0" w:space="0" w:color="auto"/>
        <w:right w:val="none" w:sz="0" w:space="0" w:color="auto"/>
      </w:divBdr>
      <w:divsChild>
        <w:div w:id="745809322">
          <w:marLeft w:val="0"/>
          <w:marRight w:val="1"/>
          <w:marTop w:val="0"/>
          <w:marBottom w:val="0"/>
          <w:divBdr>
            <w:top w:val="none" w:sz="0" w:space="0" w:color="auto"/>
            <w:left w:val="none" w:sz="0" w:space="0" w:color="auto"/>
            <w:bottom w:val="none" w:sz="0" w:space="0" w:color="auto"/>
            <w:right w:val="none" w:sz="0" w:space="0" w:color="auto"/>
          </w:divBdr>
          <w:divsChild>
            <w:div w:id="488206345">
              <w:marLeft w:val="0"/>
              <w:marRight w:val="0"/>
              <w:marTop w:val="0"/>
              <w:marBottom w:val="0"/>
              <w:divBdr>
                <w:top w:val="none" w:sz="0" w:space="0" w:color="auto"/>
                <w:left w:val="none" w:sz="0" w:space="0" w:color="auto"/>
                <w:bottom w:val="none" w:sz="0" w:space="0" w:color="auto"/>
                <w:right w:val="none" w:sz="0" w:space="0" w:color="auto"/>
              </w:divBdr>
              <w:divsChild>
                <w:div w:id="1662856613">
                  <w:marLeft w:val="0"/>
                  <w:marRight w:val="1"/>
                  <w:marTop w:val="0"/>
                  <w:marBottom w:val="0"/>
                  <w:divBdr>
                    <w:top w:val="none" w:sz="0" w:space="0" w:color="auto"/>
                    <w:left w:val="none" w:sz="0" w:space="0" w:color="auto"/>
                    <w:bottom w:val="none" w:sz="0" w:space="0" w:color="auto"/>
                    <w:right w:val="none" w:sz="0" w:space="0" w:color="auto"/>
                  </w:divBdr>
                  <w:divsChild>
                    <w:div w:id="690036123">
                      <w:marLeft w:val="0"/>
                      <w:marRight w:val="0"/>
                      <w:marTop w:val="0"/>
                      <w:marBottom w:val="0"/>
                      <w:divBdr>
                        <w:top w:val="none" w:sz="0" w:space="0" w:color="auto"/>
                        <w:left w:val="none" w:sz="0" w:space="0" w:color="auto"/>
                        <w:bottom w:val="none" w:sz="0" w:space="0" w:color="auto"/>
                        <w:right w:val="none" w:sz="0" w:space="0" w:color="auto"/>
                      </w:divBdr>
                      <w:divsChild>
                        <w:div w:id="275064242">
                          <w:marLeft w:val="0"/>
                          <w:marRight w:val="0"/>
                          <w:marTop w:val="0"/>
                          <w:marBottom w:val="0"/>
                          <w:divBdr>
                            <w:top w:val="none" w:sz="0" w:space="0" w:color="auto"/>
                            <w:left w:val="none" w:sz="0" w:space="0" w:color="auto"/>
                            <w:bottom w:val="none" w:sz="0" w:space="0" w:color="auto"/>
                            <w:right w:val="none" w:sz="0" w:space="0" w:color="auto"/>
                          </w:divBdr>
                          <w:divsChild>
                            <w:div w:id="708920205">
                              <w:marLeft w:val="0"/>
                              <w:marRight w:val="0"/>
                              <w:marTop w:val="120"/>
                              <w:marBottom w:val="360"/>
                              <w:divBdr>
                                <w:top w:val="none" w:sz="0" w:space="0" w:color="auto"/>
                                <w:left w:val="none" w:sz="0" w:space="0" w:color="auto"/>
                                <w:bottom w:val="none" w:sz="0" w:space="0" w:color="auto"/>
                                <w:right w:val="none" w:sz="0" w:space="0" w:color="auto"/>
                              </w:divBdr>
                              <w:divsChild>
                                <w:div w:id="1512716550">
                                  <w:marLeft w:val="0"/>
                                  <w:marRight w:val="0"/>
                                  <w:marTop w:val="0"/>
                                  <w:marBottom w:val="0"/>
                                  <w:divBdr>
                                    <w:top w:val="none" w:sz="0" w:space="0" w:color="auto"/>
                                    <w:left w:val="none" w:sz="0" w:space="0" w:color="auto"/>
                                    <w:bottom w:val="none" w:sz="0" w:space="0" w:color="auto"/>
                                    <w:right w:val="none" w:sz="0" w:space="0" w:color="auto"/>
                                  </w:divBdr>
                                  <w:divsChild>
                                    <w:div w:id="17616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683164">
      <w:bodyDiv w:val="1"/>
      <w:marLeft w:val="0"/>
      <w:marRight w:val="0"/>
      <w:marTop w:val="0"/>
      <w:marBottom w:val="0"/>
      <w:divBdr>
        <w:top w:val="none" w:sz="0" w:space="0" w:color="auto"/>
        <w:left w:val="none" w:sz="0" w:space="0" w:color="auto"/>
        <w:bottom w:val="none" w:sz="0" w:space="0" w:color="auto"/>
        <w:right w:val="none" w:sz="0" w:space="0" w:color="auto"/>
      </w:divBdr>
    </w:div>
    <w:div w:id="283850258">
      <w:bodyDiv w:val="1"/>
      <w:marLeft w:val="0"/>
      <w:marRight w:val="0"/>
      <w:marTop w:val="0"/>
      <w:marBottom w:val="0"/>
      <w:divBdr>
        <w:top w:val="none" w:sz="0" w:space="0" w:color="auto"/>
        <w:left w:val="none" w:sz="0" w:space="0" w:color="auto"/>
        <w:bottom w:val="none" w:sz="0" w:space="0" w:color="auto"/>
        <w:right w:val="none" w:sz="0" w:space="0" w:color="auto"/>
      </w:divBdr>
      <w:divsChild>
        <w:div w:id="352147216">
          <w:marLeft w:val="0"/>
          <w:marRight w:val="1"/>
          <w:marTop w:val="0"/>
          <w:marBottom w:val="0"/>
          <w:divBdr>
            <w:top w:val="none" w:sz="0" w:space="0" w:color="auto"/>
            <w:left w:val="none" w:sz="0" w:space="0" w:color="auto"/>
            <w:bottom w:val="none" w:sz="0" w:space="0" w:color="auto"/>
            <w:right w:val="none" w:sz="0" w:space="0" w:color="auto"/>
          </w:divBdr>
          <w:divsChild>
            <w:div w:id="1184326363">
              <w:marLeft w:val="0"/>
              <w:marRight w:val="0"/>
              <w:marTop w:val="0"/>
              <w:marBottom w:val="0"/>
              <w:divBdr>
                <w:top w:val="none" w:sz="0" w:space="0" w:color="auto"/>
                <w:left w:val="none" w:sz="0" w:space="0" w:color="auto"/>
                <w:bottom w:val="none" w:sz="0" w:space="0" w:color="auto"/>
                <w:right w:val="none" w:sz="0" w:space="0" w:color="auto"/>
              </w:divBdr>
              <w:divsChild>
                <w:div w:id="22682150">
                  <w:marLeft w:val="0"/>
                  <w:marRight w:val="1"/>
                  <w:marTop w:val="0"/>
                  <w:marBottom w:val="0"/>
                  <w:divBdr>
                    <w:top w:val="none" w:sz="0" w:space="0" w:color="auto"/>
                    <w:left w:val="none" w:sz="0" w:space="0" w:color="auto"/>
                    <w:bottom w:val="none" w:sz="0" w:space="0" w:color="auto"/>
                    <w:right w:val="none" w:sz="0" w:space="0" w:color="auto"/>
                  </w:divBdr>
                  <w:divsChild>
                    <w:div w:id="2001997922">
                      <w:marLeft w:val="0"/>
                      <w:marRight w:val="0"/>
                      <w:marTop w:val="0"/>
                      <w:marBottom w:val="0"/>
                      <w:divBdr>
                        <w:top w:val="none" w:sz="0" w:space="0" w:color="auto"/>
                        <w:left w:val="none" w:sz="0" w:space="0" w:color="auto"/>
                        <w:bottom w:val="none" w:sz="0" w:space="0" w:color="auto"/>
                        <w:right w:val="none" w:sz="0" w:space="0" w:color="auto"/>
                      </w:divBdr>
                      <w:divsChild>
                        <w:div w:id="1731028962">
                          <w:marLeft w:val="0"/>
                          <w:marRight w:val="0"/>
                          <w:marTop w:val="0"/>
                          <w:marBottom w:val="0"/>
                          <w:divBdr>
                            <w:top w:val="none" w:sz="0" w:space="0" w:color="auto"/>
                            <w:left w:val="none" w:sz="0" w:space="0" w:color="auto"/>
                            <w:bottom w:val="none" w:sz="0" w:space="0" w:color="auto"/>
                            <w:right w:val="none" w:sz="0" w:space="0" w:color="auto"/>
                          </w:divBdr>
                          <w:divsChild>
                            <w:div w:id="2128043958">
                              <w:marLeft w:val="0"/>
                              <w:marRight w:val="0"/>
                              <w:marTop w:val="120"/>
                              <w:marBottom w:val="360"/>
                              <w:divBdr>
                                <w:top w:val="none" w:sz="0" w:space="0" w:color="auto"/>
                                <w:left w:val="none" w:sz="0" w:space="0" w:color="auto"/>
                                <w:bottom w:val="none" w:sz="0" w:space="0" w:color="auto"/>
                                <w:right w:val="none" w:sz="0" w:space="0" w:color="auto"/>
                              </w:divBdr>
                              <w:divsChild>
                                <w:div w:id="1218975172">
                                  <w:marLeft w:val="0"/>
                                  <w:marRight w:val="0"/>
                                  <w:marTop w:val="0"/>
                                  <w:marBottom w:val="0"/>
                                  <w:divBdr>
                                    <w:top w:val="none" w:sz="0" w:space="0" w:color="auto"/>
                                    <w:left w:val="none" w:sz="0" w:space="0" w:color="auto"/>
                                    <w:bottom w:val="none" w:sz="0" w:space="0" w:color="auto"/>
                                    <w:right w:val="none" w:sz="0" w:space="0" w:color="auto"/>
                                  </w:divBdr>
                                  <w:divsChild>
                                    <w:div w:id="4910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531707">
      <w:bodyDiv w:val="1"/>
      <w:marLeft w:val="0"/>
      <w:marRight w:val="0"/>
      <w:marTop w:val="0"/>
      <w:marBottom w:val="0"/>
      <w:divBdr>
        <w:top w:val="none" w:sz="0" w:space="0" w:color="auto"/>
        <w:left w:val="none" w:sz="0" w:space="0" w:color="auto"/>
        <w:bottom w:val="none" w:sz="0" w:space="0" w:color="auto"/>
        <w:right w:val="none" w:sz="0" w:space="0" w:color="auto"/>
      </w:divBdr>
      <w:divsChild>
        <w:div w:id="1818522686">
          <w:marLeft w:val="0"/>
          <w:marRight w:val="1"/>
          <w:marTop w:val="0"/>
          <w:marBottom w:val="0"/>
          <w:divBdr>
            <w:top w:val="none" w:sz="0" w:space="0" w:color="auto"/>
            <w:left w:val="none" w:sz="0" w:space="0" w:color="auto"/>
            <w:bottom w:val="none" w:sz="0" w:space="0" w:color="auto"/>
            <w:right w:val="none" w:sz="0" w:space="0" w:color="auto"/>
          </w:divBdr>
          <w:divsChild>
            <w:div w:id="2069186614">
              <w:marLeft w:val="0"/>
              <w:marRight w:val="0"/>
              <w:marTop w:val="0"/>
              <w:marBottom w:val="0"/>
              <w:divBdr>
                <w:top w:val="none" w:sz="0" w:space="0" w:color="auto"/>
                <w:left w:val="none" w:sz="0" w:space="0" w:color="auto"/>
                <w:bottom w:val="none" w:sz="0" w:space="0" w:color="auto"/>
                <w:right w:val="none" w:sz="0" w:space="0" w:color="auto"/>
              </w:divBdr>
              <w:divsChild>
                <w:div w:id="673723349">
                  <w:marLeft w:val="0"/>
                  <w:marRight w:val="1"/>
                  <w:marTop w:val="0"/>
                  <w:marBottom w:val="0"/>
                  <w:divBdr>
                    <w:top w:val="none" w:sz="0" w:space="0" w:color="auto"/>
                    <w:left w:val="none" w:sz="0" w:space="0" w:color="auto"/>
                    <w:bottom w:val="none" w:sz="0" w:space="0" w:color="auto"/>
                    <w:right w:val="none" w:sz="0" w:space="0" w:color="auto"/>
                  </w:divBdr>
                  <w:divsChild>
                    <w:div w:id="1319263176">
                      <w:marLeft w:val="0"/>
                      <w:marRight w:val="0"/>
                      <w:marTop w:val="0"/>
                      <w:marBottom w:val="0"/>
                      <w:divBdr>
                        <w:top w:val="none" w:sz="0" w:space="0" w:color="auto"/>
                        <w:left w:val="none" w:sz="0" w:space="0" w:color="auto"/>
                        <w:bottom w:val="none" w:sz="0" w:space="0" w:color="auto"/>
                        <w:right w:val="none" w:sz="0" w:space="0" w:color="auto"/>
                      </w:divBdr>
                      <w:divsChild>
                        <w:div w:id="1713847342">
                          <w:marLeft w:val="0"/>
                          <w:marRight w:val="0"/>
                          <w:marTop w:val="0"/>
                          <w:marBottom w:val="0"/>
                          <w:divBdr>
                            <w:top w:val="none" w:sz="0" w:space="0" w:color="auto"/>
                            <w:left w:val="none" w:sz="0" w:space="0" w:color="auto"/>
                            <w:bottom w:val="none" w:sz="0" w:space="0" w:color="auto"/>
                            <w:right w:val="none" w:sz="0" w:space="0" w:color="auto"/>
                          </w:divBdr>
                          <w:divsChild>
                            <w:div w:id="2080596418">
                              <w:marLeft w:val="0"/>
                              <w:marRight w:val="0"/>
                              <w:marTop w:val="120"/>
                              <w:marBottom w:val="360"/>
                              <w:divBdr>
                                <w:top w:val="none" w:sz="0" w:space="0" w:color="auto"/>
                                <w:left w:val="none" w:sz="0" w:space="0" w:color="auto"/>
                                <w:bottom w:val="none" w:sz="0" w:space="0" w:color="auto"/>
                                <w:right w:val="none" w:sz="0" w:space="0" w:color="auto"/>
                              </w:divBdr>
                              <w:divsChild>
                                <w:div w:id="1618289493">
                                  <w:marLeft w:val="0"/>
                                  <w:marRight w:val="0"/>
                                  <w:marTop w:val="0"/>
                                  <w:marBottom w:val="0"/>
                                  <w:divBdr>
                                    <w:top w:val="none" w:sz="0" w:space="0" w:color="auto"/>
                                    <w:left w:val="none" w:sz="0" w:space="0" w:color="auto"/>
                                    <w:bottom w:val="none" w:sz="0" w:space="0" w:color="auto"/>
                                    <w:right w:val="none" w:sz="0" w:space="0" w:color="auto"/>
                                  </w:divBdr>
                                  <w:divsChild>
                                    <w:div w:id="2177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004907">
      <w:bodyDiv w:val="1"/>
      <w:marLeft w:val="0"/>
      <w:marRight w:val="0"/>
      <w:marTop w:val="0"/>
      <w:marBottom w:val="0"/>
      <w:divBdr>
        <w:top w:val="none" w:sz="0" w:space="0" w:color="auto"/>
        <w:left w:val="none" w:sz="0" w:space="0" w:color="auto"/>
        <w:bottom w:val="none" w:sz="0" w:space="0" w:color="auto"/>
        <w:right w:val="none" w:sz="0" w:space="0" w:color="auto"/>
      </w:divBdr>
      <w:divsChild>
        <w:div w:id="338241189">
          <w:marLeft w:val="0"/>
          <w:marRight w:val="1"/>
          <w:marTop w:val="0"/>
          <w:marBottom w:val="0"/>
          <w:divBdr>
            <w:top w:val="none" w:sz="0" w:space="0" w:color="auto"/>
            <w:left w:val="none" w:sz="0" w:space="0" w:color="auto"/>
            <w:bottom w:val="none" w:sz="0" w:space="0" w:color="auto"/>
            <w:right w:val="none" w:sz="0" w:space="0" w:color="auto"/>
          </w:divBdr>
          <w:divsChild>
            <w:div w:id="1048728859">
              <w:marLeft w:val="0"/>
              <w:marRight w:val="0"/>
              <w:marTop w:val="0"/>
              <w:marBottom w:val="0"/>
              <w:divBdr>
                <w:top w:val="none" w:sz="0" w:space="0" w:color="auto"/>
                <w:left w:val="none" w:sz="0" w:space="0" w:color="auto"/>
                <w:bottom w:val="none" w:sz="0" w:space="0" w:color="auto"/>
                <w:right w:val="none" w:sz="0" w:space="0" w:color="auto"/>
              </w:divBdr>
              <w:divsChild>
                <w:div w:id="1936597413">
                  <w:marLeft w:val="0"/>
                  <w:marRight w:val="1"/>
                  <w:marTop w:val="0"/>
                  <w:marBottom w:val="0"/>
                  <w:divBdr>
                    <w:top w:val="none" w:sz="0" w:space="0" w:color="auto"/>
                    <w:left w:val="none" w:sz="0" w:space="0" w:color="auto"/>
                    <w:bottom w:val="none" w:sz="0" w:space="0" w:color="auto"/>
                    <w:right w:val="none" w:sz="0" w:space="0" w:color="auto"/>
                  </w:divBdr>
                  <w:divsChild>
                    <w:div w:id="263461819">
                      <w:marLeft w:val="0"/>
                      <w:marRight w:val="0"/>
                      <w:marTop w:val="0"/>
                      <w:marBottom w:val="0"/>
                      <w:divBdr>
                        <w:top w:val="none" w:sz="0" w:space="0" w:color="auto"/>
                        <w:left w:val="none" w:sz="0" w:space="0" w:color="auto"/>
                        <w:bottom w:val="none" w:sz="0" w:space="0" w:color="auto"/>
                        <w:right w:val="none" w:sz="0" w:space="0" w:color="auto"/>
                      </w:divBdr>
                      <w:divsChild>
                        <w:div w:id="655843552">
                          <w:marLeft w:val="0"/>
                          <w:marRight w:val="0"/>
                          <w:marTop w:val="0"/>
                          <w:marBottom w:val="0"/>
                          <w:divBdr>
                            <w:top w:val="none" w:sz="0" w:space="0" w:color="auto"/>
                            <w:left w:val="none" w:sz="0" w:space="0" w:color="auto"/>
                            <w:bottom w:val="none" w:sz="0" w:space="0" w:color="auto"/>
                            <w:right w:val="none" w:sz="0" w:space="0" w:color="auto"/>
                          </w:divBdr>
                          <w:divsChild>
                            <w:div w:id="1144465495">
                              <w:marLeft w:val="0"/>
                              <w:marRight w:val="0"/>
                              <w:marTop w:val="120"/>
                              <w:marBottom w:val="360"/>
                              <w:divBdr>
                                <w:top w:val="none" w:sz="0" w:space="0" w:color="auto"/>
                                <w:left w:val="none" w:sz="0" w:space="0" w:color="auto"/>
                                <w:bottom w:val="none" w:sz="0" w:space="0" w:color="auto"/>
                                <w:right w:val="none" w:sz="0" w:space="0" w:color="auto"/>
                              </w:divBdr>
                              <w:divsChild>
                                <w:div w:id="1822312812">
                                  <w:marLeft w:val="0"/>
                                  <w:marRight w:val="0"/>
                                  <w:marTop w:val="0"/>
                                  <w:marBottom w:val="0"/>
                                  <w:divBdr>
                                    <w:top w:val="none" w:sz="0" w:space="0" w:color="auto"/>
                                    <w:left w:val="none" w:sz="0" w:space="0" w:color="auto"/>
                                    <w:bottom w:val="none" w:sz="0" w:space="0" w:color="auto"/>
                                    <w:right w:val="none" w:sz="0" w:space="0" w:color="auto"/>
                                  </w:divBdr>
                                  <w:divsChild>
                                    <w:div w:id="7653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924876">
      <w:bodyDiv w:val="1"/>
      <w:marLeft w:val="0"/>
      <w:marRight w:val="0"/>
      <w:marTop w:val="0"/>
      <w:marBottom w:val="0"/>
      <w:divBdr>
        <w:top w:val="none" w:sz="0" w:space="0" w:color="auto"/>
        <w:left w:val="none" w:sz="0" w:space="0" w:color="auto"/>
        <w:bottom w:val="none" w:sz="0" w:space="0" w:color="auto"/>
        <w:right w:val="none" w:sz="0" w:space="0" w:color="auto"/>
      </w:divBdr>
      <w:divsChild>
        <w:div w:id="1681080745">
          <w:marLeft w:val="0"/>
          <w:marRight w:val="1"/>
          <w:marTop w:val="0"/>
          <w:marBottom w:val="0"/>
          <w:divBdr>
            <w:top w:val="none" w:sz="0" w:space="0" w:color="auto"/>
            <w:left w:val="none" w:sz="0" w:space="0" w:color="auto"/>
            <w:bottom w:val="none" w:sz="0" w:space="0" w:color="auto"/>
            <w:right w:val="none" w:sz="0" w:space="0" w:color="auto"/>
          </w:divBdr>
          <w:divsChild>
            <w:div w:id="1200095268">
              <w:marLeft w:val="0"/>
              <w:marRight w:val="0"/>
              <w:marTop w:val="0"/>
              <w:marBottom w:val="0"/>
              <w:divBdr>
                <w:top w:val="none" w:sz="0" w:space="0" w:color="auto"/>
                <w:left w:val="none" w:sz="0" w:space="0" w:color="auto"/>
                <w:bottom w:val="none" w:sz="0" w:space="0" w:color="auto"/>
                <w:right w:val="none" w:sz="0" w:space="0" w:color="auto"/>
              </w:divBdr>
              <w:divsChild>
                <w:div w:id="241449379">
                  <w:marLeft w:val="0"/>
                  <w:marRight w:val="1"/>
                  <w:marTop w:val="0"/>
                  <w:marBottom w:val="0"/>
                  <w:divBdr>
                    <w:top w:val="none" w:sz="0" w:space="0" w:color="auto"/>
                    <w:left w:val="none" w:sz="0" w:space="0" w:color="auto"/>
                    <w:bottom w:val="none" w:sz="0" w:space="0" w:color="auto"/>
                    <w:right w:val="none" w:sz="0" w:space="0" w:color="auto"/>
                  </w:divBdr>
                  <w:divsChild>
                    <w:div w:id="1277786808">
                      <w:marLeft w:val="0"/>
                      <w:marRight w:val="0"/>
                      <w:marTop w:val="0"/>
                      <w:marBottom w:val="0"/>
                      <w:divBdr>
                        <w:top w:val="none" w:sz="0" w:space="0" w:color="auto"/>
                        <w:left w:val="none" w:sz="0" w:space="0" w:color="auto"/>
                        <w:bottom w:val="none" w:sz="0" w:space="0" w:color="auto"/>
                        <w:right w:val="none" w:sz="0" w:space="0" w:color="auto"/>
                      </w:divBdr>
                      <w:divsChild>
                        <w:div w:id="1309289070">
                          <w:marLeft w:val="0"/>
                          <w:marRight w:val="0"/>
                          <w:marTop w:val="0"/>
                          <w:marBottom w:val="0"/>
                          <w:divBdr>
                            <w:top w:val="none" w:sz="0" w:space="0" w:color="auto"/>
                            <w:left w:val="none" w:sz="0" w:space="0" w:color="auto"/>
                            <w:bottom w:val="none" w:sz="0" w:space="0" w:color="auto"/>
                            <w:right w:val="none" w:sz="0" w:space="0" w:color="auto"/>
                          </w:divBdr>
                          <w:divsChild>
                            <w:div w:id="1637297197">
                              <w:marLeft w:val="0"/>
                              <w:marRight w:val="0"/>
                              <w:marTop w:val="120"/>
                              <w:marBottom w:val="360"/>
                              <w:divBdr>
                                <w:top w:val="none" w:sz="0" w:space="0" w:color="auto"/>
                                <w:left w:val="none" w:sz="0" w:space="0" w:color="auto"/>
                                <w:bottom w:val="none" w:sz="0" w:space="0" w:color="auto"/>
                                <w:right w:val="none" w:sz="0" w:space="0" w:color="auto"/>
                              </w:divBdr>
                              <w:divsChild>
                                <w:div w:id="1732848362">
                                  <w:marLeft w:val="0"/>
                                  <w:marRight w:val="0"/>
                                  <w:marTop w:val="0"/>
                                  <w:marBottom w:val="0"/>
                                  <w:divBdr>
                                    <w:top w:val="none" w:sz="0" w:space="0" w:color="auto"/>
                                    <w:left w:val="none" w:sz="0" w:space="0" w:color="auto"/>
                                    <w:bottom w:val="none" w:sz="0" w:space="0" w:color="auto"/>
                                    <w:right w:val="none" w:sz="0" w:space="0" w:color="auto"/>
                                  </w:divBdr>
                                  <w:divsChild>
                                    <w:div w:id="5065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830215">
      <w:bodyDiv w:val="1"/>
      <w:marLeft w:val="0"/>
      <w:marRight w:val="0"/>
      <w:marTop w:val="0"/>
      <w:marBottom w:val="0"/>
      <w:divBdr>
        <w:top w:val="none" w:sz="0" w:space="0" w:color="auto"/>
        <w:left w:val="none" w:sz="0" w:space="0" w:color="auto"/>
        <w:bottom w:val="none" w:sz="0" w:space="0" w:color="auto"/>
        <w:right w:val="none" w:sz="0" w:space="0" w:color="auto"/>
      </w:divBdr>
      <w:divsChild>
        <w:div w:id="649989715">
          <w:marLeft w:val="0"/>
          <w:marRight w:val="1"/>
          <w:marTop w:val="0"/>
          <w:marBottom w:val="0"/>
          <w:divBdr>
            <w:top w:val="none" w:sz="0" w:space="0" w:color="auto"/>
            <w:left w:val="none" w:sz="0" w:space="0" w:color="auto"/>
            <w:bottom w:val="none" w:sz="0" w:space="0" w:color="auto"/>
            <w:right w:val="none" w:sz="0" w:space="0" w:color="auto"/>
          </w:divBdr>
          <w:divsChild>
            <w:div w:id="1929388008">
              <w:marLeft w:val="0"/>
              <w:marRight w:val="0"/>
              <w:marTop w:val="0"/>
              <w:marBottom w:val="0"/>
              <w:divBdr>
                <w:top w:val="none" w:sz="0" w:space="0" w:color="auto"/>
                <w:left w:val="none" w:sz="0" w:space="0" w:color="auto"/>
                <w:bottom w:val="none" w:sz="0" w:space="0" w:color="auto"/>
                <w:right w:val="none" w:sz="0" w:space="0" w:color="auto"/>
              </w:divBdr>
              <w:divsChild>
                <w:div w:id="791939596">
                  <w:marLeft w:val="0"/>
                  <w:marRight w:val="1"/>
                  <w:marTop w:val="0"/>
                  <w:marBottom w:val="0"/>
                  <w:divBdr>
                    <w:top w:val="none" w:sz="0" w:space="0" w:color="auto"/>
                    <w:left w:val="none" w:sz="0" w:space="0" w:color="auto"/>
                    <w:bottom w:val="none" w:sz="0" w:space="0" w:color="auto"/>
                    <w:right w:val="none" w:sz="0" w:space="0" w:color="auto"/>
                  </w:divBdr>
                  <w:divsChild>
                    <w:div w:id="1821923439">
                      <w:marLeft w:val="0"/>
                      <w:marRight w:val="0"/>
                      <w:marTop w:val="0"/>
                      <w:marBottom w:val="0"/>
                      <w:divBdr>
                        <w:top w:val="none" w:sz="0" w:space="0" w:color="auto"/>
                        <w:left w:val="none" w:sz="0" w:space="0" w:color="auto"/>
                        <w:bottom w:val="none" w:sz="0" w:space="0" w:color="auto"/>
                        <w:right w:val="none" w:sz="0" w:space="0" w:color="auto"/>
                      </w:divBdr>
                      <w:divsChild>
                        <w:div w:id="2118862802">
                          <w:marLeft w:val="0"/>
                          <w:marRight w:val="0"/>
                          <w:marTop w:val="0"/>
                          <w:marBottom w:val="0"/>
                          <w:divBdr>
                            <w:top w:val="none" w:sz="0" w:space="0" w:color="auto"/>
                            <w:left w:val="none" w:sz="0" w:space="0" w:color="auto"/>
                            <w:bottom w:val="none" w:sz="0" w:space="0" w:color="auto"/>
                            <w:right w:val="none" w:sz="0" w:space="0" w:color="auto"/>
                          </w:divBdr>
                          <w:divsChild>
                            <w:div w:id="342510070">
                              <w:marLeft w:val="0"/>
                              <w:marRight w:val="0"/>
                              <w:marTop w:val="120"/>
                              <w:marBottom w:val="360"/>
                              <w:divBdr>
                                <w:top w:val="none" w:sz="0" w:space="0" w:color="auto"/>
                                <w:left w:val="none" w:sz="0" w:space="0" w:color="auto"/>
                                <w:bottom w:val="none" w:sz="0" w:space="0" w:color="auto"/>
                                <w:right w:val="none" w:sz="0" w:space="0" w:color="auto"/>
                              </w:divBdr>
                              <w:divsChild>
                                <w:div w:id="700322471">
                                  <w:marLeft w:val="0"/>
                                  <w:marRight w:val="0"/>
                                  <w:marTop w:val="0"/>
                                  <w:marBottom w:val="0"/>
                                  <w:divBdr>
                                    <w:top w:val="none" w:sz="0" w:space="0" w:color="auto"/>
                                    <w:left w:val="none" w:sz="0" w:space="0" w:color="auto"/>
                                    <w:bottom w:val="none" w:sz="0" w:space="0" w:color="auto"/>
                                    <w:right w:val="none" w:sz="0" w:space="0" w:color="auto"/>
                                  </w:divBdr>
                                  <w:divsChild>
                                    <w:div w:id="208418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9431831">
      <w:bodyDiv w:val="1"/>
      <w:marLeft w:val="0"/>
      <w:marRight w:val="0"/>
      <w:marTop w:val="0"/>
      <w:marBottom w:val="0"/>
      <w:divBdr>
        <w:top w:val="none" w:sz="0" w:space="0" w:color="auto"/>
        <w:left w:val="none" w:sz="0" w:space="0" w:color="auto"/>
        <w:bottom w:val="none" w:sz="0" w:space="0" w:color="auto"/>
        <w:right w:val="none" w:sz="0" w:space="0" w:color="auto"/>
      </w:divBdr>
      <w:divsChild>
        <w:div w:id="1819686703">
          <w:marLeft w:val="0"/>
          <w:marRight w:val="1"/>
          <w:marTop w:val="0"/>
          <w:marBottom w:val="0"/>
          <w:divBdr>
            <w:top w:val="none" w:sz="0" w:space="0" w:color="auto"/>
            <w:left w:val="none" w:sz="0" w:space="0" w:color="auto"/>
            <w:bottom w:val="none" w:sz="0" w:space="0" w:color="auto"/>
            <w:right w:val="none" w:sz="0" w:space="0" w:color="auto"/>
          </w:divBdr>
          <w:divsChild>
            <w:div w:id="21715774">
              <w:marLeft w:val="0"/>
              <w:marRight w:val="0"/>
              <w:marTop w:val="0"/>
              <w:marBottom w:val="0"/>
              <w:divBdr>
                <w:top w:val="none" w:sz="0" w:space="0" w:color="auto"/>
                <w:left w:val="none" w:sz="0" w:space="0" w:color="auto"/>
                <w:bottom w:val="none" w:sz="0" w:space="0" w:color="auto"/>
                <w:right w:val="none" w:sz="0" w:space="0" w:color="auto"/>
              </w:divBdr>
              <w:divsChild>
                <w:div w:id="538205467">
                  <w:marLeft w:val="0"/>
                  <w:marRight w:val="1"/>
                  <w:marTop w:val="0"/>
                  <w:marBottom w:val="0"/>
                  <w:divBdr>
                    <w:top w:val="none" w:sz="0" w:space="0" w:color="auto"/>
                    <w:left w:val="none" w:sz="0" w:space="0" w:color="auto"/>
                    <w:bottom w:val="none" w:sz="0" w:space="0" w:color="auto"/>
                    <w:right w:val="none" w:sz="0" w:space="0" w:color="auto"/>
                  </w:divBdr>
                  <w:divsChild>
                    <w:div w:id="974524615">
                      <w:marLeft w:val="0"/>
                      <w:marRight w:val="0"/>
                      <w:marTop w:val="0"/>
                      <w:marBottom w:val="0"/>
                      <w:divBdr>
                        <w:top w:val="none" w:sz="0" w:space="0" w:color="auto"/>
                        <w:left w:val="none" w:sz="0" w:space="0" w:color="auto"/>
                        <w:bottom w:val="none" w:sz="0" w:space="0" w:color="auto"/>
                        <w:right w:val="none" w:sz="0" w:space="0" w:color="auto"/>
                      </w:divBdr>
                      <w:divsChild>
                        <w:div w:id="761221454">
                          <w:marLeft w:val="0"/>
                          <w:marRight w:val="0"/>
                          <w:marTop w:val="0"/>
                          <w:marBottom w:val="0"/>
                          <w:divBdr>
                            <w:top w:val="none" w:sz="0" w:space="0" w:color="auto"/>
                            <w:left w:val="none" w:sz="0" w:space="0" w:color="auto"/>
                            <w:bottom w:val="none" w:sz="0" w:space="0" w:color="auto"/>
                            <w:right w:val="none" w:sz="0" w:space="0" w:color="auto"/>
                          </w:divBdr>
                          <w:divsChild>
                            <w:div w:id="387606957">
                              <w:marLeft w:val="0"/>
                              <w:marRight w:val="0"/>
                              <w:marTop w:val="120"/>
                              <w:marBottom w:val="360"/>
                              <w:divBdr>
                                <w:top w:val="none" w:sz="0" w:space="0" w:color="auto"/>
                                <w:left w:val="none" w:sz="0" w:space="0" w:color="auto"/>
                                <w:bottom w:val="none" w:sz="0" w:space="0" w:color="auto"/>
                                <w:right w:val="none" w:sz="0" w:space="0" w:color="auto"/>
                              </w:divBdr>
                              <w:divsChild>
                                <w:div w:id="1090003517">
                                  <w:marLeft w:val="0"/>
                                  <w:marRight w:val="0"/>
                                  <w:marTop w:val="0"/>
                                  <w:marBottom w:val="0"/>
                                  <w:divBdr>
                                    <w:top w:val="none" w:sz="0" w:space="0" w:color="auto"/>
                                    <w:left w:val="none" w:sz="0" w:space="0" w:color="auto"/>
                                    <w:bottom w:val="none" w:sz="0" w:space="0" w:color="auto"/>
                                    <w:right w:val="none" w:sz="0" w:space="0" w:color="auto"/>
                                  </w:divBdr>
                                  <w:divsChild>
                                    <w:div w:id="179798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128003">
      <w:bodyDiv w:val="1"/>
      <w:marLeft w:val="0"/>
      <w:marRight w:val="0"/>
      <w:marTop w:val="0"/>
      <w:marBottom w:val="0"/>
      <w:divBdr>
        <w:top w:val="none" w:sz="0" w:space="0" w:color="auto"/>
        <w:left w:val="none" w:sz="0" w:space="0" w:color="auto"/>
        <w:bottom w:val="none" w:sz="0" w:space="0" w:color="auto"/>
        <w:right w:val="none" w:sz="0" w:space="0" w:color="auto"/>
      </w:divBdr>
      <w:divsChild>
        <w:div w:id="653796959">
          <w:marLeft w:val="0"/>
          <w:marRight w:val="1"/>
          <w:marTop w:val="0"/>
          <w:marBottom w:val="0"/>
          <w:divBdr>
            <w:top w:val="none" w:sz="0" w:space="0" w:color="auto"/>
            <w:left w:val="none" w:sz="0" w:space="0" w:color="auto"/>
            <w:bottom w:val="none" w:sz="0" w:space="0" w:color="auto"/>
            <w:right w:val="none" w:sz="0" w:space="0" w:color="auto"/>
          </w:divBdr>
          <w:divsChild>
            <w:div w:id="570700371">
              <w:marLeft w:val="0"/>
              <w:marRight w:val="0"/>
              <w:marTop w:val="0"/>
              <w:marBottom w:val="0"/>
              <w:divBdr>
                <w:top w:val="none" w:sz="0" w:space="0" w:color="auto"/>
                <w:left w:val="none" w:sz="0" w:space="0" w:color="auto"/>
                <w:bottom w:val="none" w:sz="0" w:space="0" w:color="auto"/>
                <w:right w:val="none" w:sz="0" w:space="0" w:color="auto"/>
              </w:divBdr>
              <w:divsChild>
                <w:div w:id="875780483">
                  <w:marLeft w:val="0"/>
                  <w:marRight w:val="1"/>
                  <w:marTop w:val="0"/>
                  <w:marBottom w:val="0"/>
                  <w:divBdr>
                    <w:top w:val="none" w:sz="0" w:space="0" w:color="auto"/>
                    <w:left w:val="none" w:sz="0" w:space="0" w:color="auto"/>
                    <w:bottom w:val="none" w:sz="0" w:space="0" w:color="auto"/>
                    <w:right w:val="none" w:sz="0" w:space="0" w:color="auto"/>
                  </w:divBdr>
                  <w:divsChild>
                    <w:div w:id="1897084760">
                      <w:marLeft w:val="0"/>
                      <w:marRight w:val="0"/>
                      <w:marTop w:val="0"/>
                      <w:marBottom w:val="0"/>
                      <w:divBdr>
                        <w:top w:val="none" w:sz="0" w:space="0" w:color="auto"/>
                        <w:left w:val="none" w:sz="0" w:space="0" w:color="auto"/>
                        <w:bottom w:val="none" w:sz="0" w:space="0" w:color="auto"/>
                        <w:right w:val="none" w:sz="0" w:space="0" w:color="auto"/>
                      </w:divBdr>
                      <w:divsChild>
                        <w:div w:id="1284580511">
                          <w:marLeft w:val="0"/>
                          <w:marRight w:val="0"/>
                          <w:marTop w:val="0"/>
                          <w:marBottom w:val="0"/>
                          <w:divBdr>
                            <w:top w:val="none" w:sz="0" w:space="0" w:color="auto"/>
                            <w:left w:val="none" w:sz="0" w:space="0" w:color="auto"/>
                            <w:bottom w:val="none" w:sz="0" w:space="0" w:color="auto"/>
                            <w:right w:val="none" w:sz="0" w:space="0" w:color="auto"/>
                          </w:divBdr>
                          <w:divsChild>
                            <w:div w:id="575895939">
                              <w:marLeft w:val="0"/>
                              <w:marRight w:val="0"/>
                              <w:marTop w:val="120"/>
                              <w:marBottom w:val="360"/>
                              <w:divBdr>
                                <w:top w:val="none" w:sz="0" w:space="0" w:color="auto"/>
                                <w:left w:val="none" w:sz="0" w:space="0" w:color="auto"/>
                                <w:bottom w:val="none" w:sz="0" w:space="0" w:color="auto"/>
                                <w:right w:val="none" w:sz="0" w:space="0" w:color="auto"/>
                              </w:divBdr>
                              <w:divsChild>
                                <w:div w:id="949169503">
                                  <w:marLeft w:val="0"/>
                                  <w:marRight w:val="0"/>
                                  <w:marTop w:val="0"/>
                                  <w:marBottom w:val="0"/>
                                  <w:divBdr>
                                    <w:top w:val="none" w:sz="0" w:space="0" w:color="auto"/>
                                    <w:left w:val="none" w:sz="0" w:space="0" w:color="auto"/>
                                    <w:bottom w:val="none" w:sz="0" w:space="0" w:color="auto"/>
                                    <w:right w:val="none" w:sz="0" w:space="0" w:color="auto"/>
                                  </w:divBdr>
                                  <w:divsChild>
                                    <w:div w:id="211820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232434">
      <w:bodyDiv w:val="1"/>
      <w:marLeft w:val="0"/>
      <w:marRight w:val="0"/>
      <w:marTop w:val="0"/>
      <w:marBottom w:val="0"/>
      <w:divBdr>
        <w:top w:val="none" w:sz="0" w:space="0" w:color="auto"/>
        <w:left w:val="none" w:sz="0" w:space="0" w:color="auto"/>
        <w:bottom w:val="none" w:sz="0" w:space="0" w:color="auto"/>
        <w:right w:val="none" w:sz="0" w:space="0" w:color="auto"/>
      </w:divBdr>
      <w:divsChild>
        <w:div w:id="247932978">
          <w:marLeft w:val="0"/>
          <w:marRight w:val="1"/>
          <w:marTop w:val="0"/>
          <w:marBottom w:val="0"/>
          <w:divBdr>
            <w:top w:val="none" w:sz="0" w:space="0" w:color="auto"/>
            <w:left w:val="none" w:sz="0" w:space="0" w:color="auto"/>
            <w:bottom w:val="none" w:sz="0" w:space="0" w:color="auto"/>
            <w:right w:val="none" w:sz="0" w:space="0" w:color="auto"/>
          </w:divBdr>
          <w:divsChild>
            <w:div w:id="2042974991">
              <w:marLeft w:val="0"/>
              <w:marRight w:val="0"/>
              <w:marTop w:val="0"/>
              <w:marBottom w:val="0"/>
              <w:divBdr>
                <w:top w:val="none" w:sz="0" w:space="0" w:color="auto"/>
                <w:left w:val="none" w:sz="0" w:space="0" w:color="auto"/>
                <w:bottom w:val="none" w:sz="0" w:space="0" w:color="auto"/>
                <w:right w:val="none" w:sz="0" w:space="0" w:color="auto"/>
              </w:divBdr>
              <w:divsChild>
                <w:div w:id="2056274788">
                  <w:marLeft w:val="0"/>
                  <w:marRight w:val="1"/>
                  <w:marTop w:val="0"/>
                  <w:marBottom w:val="0"/>
                  <w:divBdr>
                    <w:top w:val="none" w:sz="0" w:space="0" w:color="auto"/>
                    <w:left w:val="none" w:sz="0" w:space="0" w:color="auto"/>
                    <w:bottom w:val="none" w:sz="0" w:space="0" w:color="auto"/>
                    <w:right w:val="none" w:sz="0" w:space="0" w:color="auto"/>
                  </w:divBdr>
                  <w:divsChild>
                    <w:div w:id="24868071">
                      <w:marLeft w:val="0"/>
                      <w:marRight w:val="0"/>
                      <w:marTop w:val="0"/>
                      <w:marBottom w:val="0"/>
                      <w:divBdr>
                        <w:top w:val="none" w:sz="0" w:space="0" w:color="auto"/>
                        <w:left w:val="none" w:sz="0" w:space="0" w:color="auto"/>
                        <w:bottom w:val="none" w:sz="0" w:space="0" w:color="auto"/>
                        <w:right w:val="none" w:sz="0" w:space="0" w:color="auto"/>
                      </w:divBdr>
                      <w:divsChild>
                        <w:div w:id="1885867973">
                          <w:marLeft w:val="0"/>
                          <w:marRight w:val="0"/>
                          <w:marTop w:val="0"/>
                          <w:marBottom w:val="0"/>
                          <w:divBdr>
                            <w:top w:val="none" w:sz="0" w:space="0" w:color="auto"/>
                            <w:left w:val="none" w:sz="0" w:space="0" w:color="auto"/>
                            <w:bottom w:val="none" w:sz="0" w:space="0" w:color="auto"/>
                            <w:right w:val="none" w:sz="0" w:space="0" w:color="auto"/>
                          </w:divBdr>
                          <w:divsChild>
                            <w:div w:id="986863431">
                              <w:marLeft w:val="0"/>
                              <w:marRight w:val="0"/>
                              <w:marTop w:val="120"/>
                              <w:marBottom w:val="360"/>
                              <w:divBdr>
                                <w:top w:val="none" w:sz="0" w:space="0" w:color="auto"/>
                                <w:left w:val="none" w:sz="0" w:space="0" w:color="auto"/>
                                <w:bottom w:val="none" w:sz="0" w:space="0" w:color="auto"/>
                                <w:right w:val="none" w:sz="0" w:space="0" w:color="auto"/>
                              </w:divBdr>
                              <w:divsChild>
                                <w:div w:id="449201412">
                                  <w:marLeft w:val="0"/>
                                  <w:marRight w:val="0"/>
                                  <w:marTop w:val="0"/>
                                  <w:marBottom w:val="0"/>
                                  <w:divBdr>
                                    <w:top w:val="none" w:sz="0" w:space="0" w:color="auto"/>
                                    <w:left w:val="none" w:sz="0" w:space="0" w:color="auto"/>
                                    <w:bottom w:val="none" w:sz="0" w:space="0" w:color="auto"/>
                                    <w:right w:val="none" w:sz="0" w:space="0" w:color="auto"/>
                                  </w:divBdr>
                                  <w:divsChild>
                                    <w:div w:id="154602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390753">
      <w:bodyDiv w:val="1"/>
      <w:marLeft w:val="0"/>
      <w:marRight w:val="0"/>
      <w:marTop w:val="0"/>
      <w:marBottom w:val="0"/>
      <w:divBdr>
        <w:top w:val="none" w:sz="0" w:space="0" w:color="auto"/>
        <w:left w:val="none" w:sz="0" w:space="0" w:color="auto"/>
        <w:bottom w:val="none" w:sz="0" w:space="0" w:color="auto"/>
        <w:right w:val="none" w:sz="0" w:space="0" w:color="auto"/>
      </w:divBdr>
      <w:divsChild>
        <w:div w:id="1088580543">
          <w:marLeft w:val="0"/>
          <w:marRight w:val="1"/>
          <w:marTop w:val="0"/>
          <w:marBottom w:val="0"/>
          <w:divBdr>
            <w:top w:val="none" w:sz="0" w:space="0" w:color="auto"/>
            <w:left w:val="none" w:sz="0" w:space="0" w:color="auto"/>
            <w:bottom w:val="none" w:sz="0" w:space="0" w:color="auto"/>
            <w:right w:val="none" w:sz="0" w:space="0" w:color="auto"/>
          </w:divBdr>
          <w:divsChild>
            <w:div w:id="2020886384">
              <w:marLeft w:val="0"/>
              <w:marRight w:val="0"/>
              <w:marTop w:val="0"/>
              <w:marBottom w:val="0"/>
              <w:divBdr>
                <w:top w:val="none" w:sz="0" w:space="0" w:color="auto"/>
                <w:left w:val="none" w:sz="0" w:space="0" w:color="auto"/>
                <w:bottom w:val="none" w:sz="0" w:space="0" w:color="auto"/>
                <w:right w:val="none" w:sz="0" w:space="0" w:color="auto"/>
              </w:divBdr>
              <w:divsChild>
                <w:div w:id="1304772836">
                  <w:marLeft w:val="0"/>
                  <w:marRight w:val="1"/>
                  <w:marTop w:val="0"/>
                  <w:marBottom w:val="0"/>
                  <w:divBdr>
                    <w:top w:val="none" w:sz="0" w:space="0" w:color="auto"/>
                    <w:left w:val="none" w:sz="0" w:space="0" w:color="auto"/>
                    <w:bottom w:val="none" w:sz="0" w:space="0" w:color="auto"/>
                    <w:right w:val="none" w:sz="0" w:space="0" w:color="auto"/>
                  </w:divBdr>
                  <w:divsChild>
                    <w:div w:id="1724208776">
                      <w:marLeft w:val="0"/>
                      <w:marRight w:val="0"/>
                      <w:marTop w:val="0"/>
                      <w:marBottom w:val="0"/>
                      <w:divBdr>
                        <w:top w:val="none" w:sz="0" w:space="0" w:color="auto"/>
                        <w:left w:val="none" w:sz="0" w:space="0" w:color="auto"/>
                        <w:bottom w:val="none" w:sz="0" w:space="0" w:color="auto"/>
                        <w:right w:val="none" w:sz="0" w:space="0" w:color="auto"/>
                      </w:divBdr>
                      <w:divsChild>
                        <w:div w:id="1581017672">
                          <w:marLeft w:val="0"/>
                          <w:marRight w:val="0"/>
                          <w:marTop w:val="0"/>
                          <w:marBottom w:val="0"/>
                          <w:divBdr>
                            <w:top w:val="none" w:sz="0" w:space="0" w:color="auto"/>
                            <w:left w:val="none" w:sz="0" w:space="0" w:color="auto"/>
                            <w:bottom w:val="none" w:sz="0" w:space="0" w:color="auto"/>
                            <w:right w:val="none" w:sz="0" w:space="0" w:color="auto"/>
                          </w:divBdr>
                          <w:divsChild>
                            <w:div w:id="479267643">
                              <w:marLeft w:val="0"/>
                              <w:marRight w:val="0"/>
                              <w:marTop w:val="120"/>
                              <w:marBottom w:val="360"/>
                              <w:divBdr>
                                <w:top w:val="none" w:sz="0" w:space="0" w:color="auto"/>
                                <w:left w:val="none" w:sz="0" w:space="0" w:color="auto"/>
                                <w:bottom w:val="none" w:sz="0" w:space="0" w:color="auto"/>
                                <w:right w:val="none" w:sz="0" w:space="0" w:color="auto"/>
                              </w:divBdr>
                              <w:divsChild>
                                <w:div w:id="724527612">
                                  <w:marLeft w:val="0"/>
                                  <w:marRight w:val="0"/>
                                  <w:marTop w:val="0"/>
                                  <w:marBottom w:val="0"/>
                                  <w:divBdr>
                                    <w:top w:val="none" w:sz="0" w:space="0" w:color="auto"/>
                                    <w:left w:val="none" w:sz="0" w:space="0" w:color="auto"/>
                                    <w:bottom w:val="none" w:sz="0" w:space="0" w:color="auto"/>
                                    <w:right w:val="none" w:sz="0" w:space="0" w:color="auto"/>
                                  </w:divBdr>
                                  <w:divsChild>
                                    <w:div w:id="129178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6847188">
      <w:bodyDiv w:val="1"/>
      <w:marLeft w:val="0"/>
      <w:marRight w:val="0"/>
      <w:marTop w:val="0"/>
      <w:marBottom w:val="0"/>
      <w:divBdr>
        <w:top w:val="none" w:sz="0" w:space="0" w:color="auto"/>
        <w:left w:val="none" w:sz="0" w:space="0" w:color="auto"/>
        <w:bottom w:val="none" w:sz="0" w:space="0" w:color="auto"/>
        <w:right w:val="none" w:sz="0" w:space="0" w:color="auto"/>
      </w:divBdr>
      <w:divsChild>
        <w:div w:id="1493714043">
          <w:marLeft w:val="0"/>
          <w:marRight w:val="1"/>
          <w:marTop w:val="0"/>
          <w:marBottom w:val="0"/>
          <w:divBdr>
            <w:top w:val="none" w:sz="0" w:space="0" w:color="auto"/>
            <w:left w:val="none" w:sz="0" w:space="0" w:color="auto"/>
            <w:bottom w:val="none" w:sz="0" w:space="0" w:color="auto"/>
            <w:right w:val="none" w:sz="0" w:space="0" w:color="auto"/>
          </w:divBdr>
          <w:divsChild>
            <w:div w:id="788738918">
              <w:marLeft w:val="0"/>
              <w:marRight w:val="0"/>
              <w:marTop w:val="0"/>
              <w:marBottom w:val="0"/>
              <w:divBdr>
                <w:top w:val="none" w:sz="0" w:space="0" w:color="auto"/>
                <w:left w:val="none" w:sz="0" w:space="0" w:color="auto"/>
                <w:bottom w:val="none" w:sz="0" w:space="0" w:color="auto"/>
                <w:right w:val="none" w:sz="0" w:space="0" w:color="auto"/>
              </w:divBdr>
              <w:divsChild>
                <w:div w:id="438260523">
                  <w:marLeft w:val="0"/>
                  <w:marRight w:val="1"/>
                  <w:marTop w:val="0"/>
                  <w:marBottom w:val="0"/>
                  <w:divBdr>
                    <w:top w:val="none" w:sz="0" w:space="0" w:color="auto"/>
                    <w:left w:val="none" w:sz="0" w:space="0" w:color="auto"/>
                    <w:bottom w:val="none" w:sz="0" w:space="0" w:color="auto"/>
                    <w:right w:val="none" w:sz="0" w:space="0" w:color="auto"/>
                  </w:divBdr>
                  <w:divsChild>
                    <w:div w:id="1404403515">
                      <w:marLeft w:val="0"/>
                      <w:marRight w:val="0"/>
                      <w:marTop w:val="0"/>
                      <w:marBottom w:val="0"/>
                      <w:divBdr>
                        <w:top w:val="none" w:sz="0" w:space="0" w:color="auto"/>
                        <w:left w:val="none" w:sz="0" w:space="0" w:color="auto"/>
                        <w:bottom w:val="none" w:sz="0" w:space="0" w:color="auto"/>
                        <w:right w:val="none" w:sz="0" w:space="0" w:color="auto"/>
                      </w:divBdr>
                      <w:divsChild>
                        <w:div w:id="362755752">
                          <w:marLeft w:val="0"/>
                          <w:marRight w:val="0"/>
                          <w:marTop w:val="0"/>
                          <w:marBottom w:val="0"/>
                          <w:divBdr>
                            <w:top w:val="none" w:sz="0" w:space="0" w:color="auto"/>
                            <w:left w:val="none" w:sz="0" w:space="0" w:color="auto"/>
                            <w:bottom w:val="none" w:sz="0" w:space="0" w:color="auto"/>
                            <w:right w:val="none" w:sz="0" w:space="0" w:color="auto"/>
                          </w:divBdr>
                          <w:divsChild>
                            <w:div w:id="991837789">
                              <w:marLeft w:val="0"/>
                              <w:marRight w:val="0"/>
                              <w:marTop w:val="120"/>
                              <w:marBottom w:val="360"/>
                              <w:divBdr>
                                <w:top w:val="none" w:sz="0" w:space="0" w:color="auto"/>
                                <w:left w:val="none" w:sz="0" w:space="0" w:color="auto"/>
                                <w:bottom w:val="none" w:sz="0" w:space="0" w:color="auto"/>
                                <w:right w:val="none" w:sz="0" w:space="0" w:color="auto"/>
                              </w:divBdr>
                              <w:divsChild>
                                <w:div w:id="655035731">
                                  <w:marLeft w:val="0"/>
                                  <w:marRight w:val="0"/>
                                  <w:marTop w:val="0"/>
                                  <w:marBottom w:val="0"/>
                                  <w:divBdr>
                                    <w:top w:val="none" w:sz="0" w:space="0" w:color="auto"/>
                                    <w:left w:val="none" w:sz="0" w:space="0" w:color="auto"/>
                                    <w:bottom w:val="none" w:sz="0" w:space="0" w:color="auto"/>
                                    <w:right w:val="none" w:sz="0" w:space="0" w:color="auto"/>
                                  </w:divBdr>
                                  <w:divsChild>
                                    <w:div w:id="7284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782983">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1"/>
          <w:marTop w:val="0"/>
          <w:marBottom w:val="0"/>
          <w:divBdr>
            <w:top w:val="none" w:sz="0" w:space="0" w:color="auto"/>
            <w:left w:val="none" w:sz="0" w:space="0" w:color="auto"/>
            <w:bottom w:val="none" w:sz="0" w:space="0" w:color="auto"/>
            <w:right w:val="none" w:sz="0" w:space="0" w:color="auto"/>
          </w:divBdr>
          <w:divsChild>
            <w:div w:id="1800807258">
              <w:marLeft w:val="0"/>
              <w:marRight w:val="0"/>
              <w:marTop w:val="0"/>
              <w:marBottom w:val="0"/>
              <w:divBdr>
                <w:top w:val="none" w:sz="0" w:space="0" w:color="auto"/>
                <w:left w:val="none" w:sz="0" w:space="0" w:color="auto"/>
                <w:bottom w:val="none" w:sz="0" w:space="0" w:color="auto"/>
                <w:right w:val="none" w:sz="0" w:space="0" w:color="auto"/>
              </w:divBdr>
              <w:divsChild>
                <w:div w:id="1778215349">
                  <w:marLeft w:val="0"/>
                  <w:marRight w:val="1"/>
                  <w:marTop w:val="0"/>
                  <w:marBottom w:val="0"/>
                  <w:divBdr>
                    <w:top w:val="none" w:sz="0" w:space="0" w:color="auto"/>
                    <w:left w:val="none" w:sz="0" w:space="0" w:color="auto"/>
                    <w:bottom w:val="none" w:sz="0" w:space="0" w:color="auto"/>
                    <w:right w:val="none" w:sz="0" w:space="0" w:color="auto"/>
                  </w:divBdr>
                  <w:divsChild>
                    <w:div w:id="873035317">
                      <w:marLeft w:val="0"/>
                      <w:marRight w:val="0"/>
                      <w:marTop w:val="0"/>
                      <w:marBottom w:val="0"/>
                      <w:divBdr>
                        <w:top w:val="none" w:sz="0" w:space="0" w:color="auto"/>
                        <w:left w:val="none" w:sz="0" w:space="0" w:color="auto"/>
                        <w:bottom w:val="none" w:sz="0" w:space="0" w:color="auto"/>
                        <w:right w:val="none" w:sz="0" w:space="0" w:color="auto"/>
                      </w:divBdr>
                      <w:divsChild>
                        <w:div w:id="490028898">
                          <w:marLeft w:val="0"/>
                          <w:marRight w:val="0"/>
                          <w:marTop w:val="0"/>
                          <w:marBottom w:val="0"/>
                          <w:divBdr>
                            <w:top w:val="none" w:sz="0" w:space="0" w:color="auto"/>
                            <w:left w:val="none" w:sz="0" w:space="0" w:color="auto"/>
                            <w:bottom w:val="none" w:sz="0" w:space="0" w:color="auto"/>
                            <w:right w:val="none" w:sz="0" w:space="0" w:color="auto"/>
                          </w:divBdr>
                          <w:divsChild>
                            <w:div w:id="317924248">
                              <w:marLeft w:val="0"/>
                              <w:marRight w:val="0"/>
                              <w:marTop w:val="120"/>
                              <w:marBottom w:val="360"/>
                              <w:divBdr>
                                <w:top w:val="none" w:sz="0" w:space="0" w:color="auto"/>
                                <w:left w:val="none" w:sz="0" w:space="0" w:color="auto"/>
                                <w:bottom w:val="none" w:sz="0" w:space="0" w:color="auto"/>
                                <w:right w:val="none" w:sz="0" w:space="0" w:color="auto"/>
                              </w:divBdr>
                              <w:divsChild>
                                <w:div w:id="1895698383">
                                  <w:marLeft w:val="420"/>
                                  <w:marRight w:val="0"/>
                                  <w:marTop w:val="0"/>
                                  <w:marBottom w:val="0"/>
                                  <w:divBdr>
                                    <w:top w:val="none" w:sz="0" w:space="0" w:color="auto"/>
                                    <w:left w:val="none" w:sz="0" w:space="0" w:color="auto"/>
                                    <w:bottom w:val="none" w:sz="0" w:space="0" w:color="auto"/>
                                    <w:right w:val="none" w:sz="0" w:space="0" w:color="auto"/>
                                  </w:divBdr>
                                  <w:divsChild>
                                    <w:div w:id="1439523286">
                                      <w:marLeft w:val="0"/>
                                      <w:marRight w:val="0"/>
                                      <w:marTop w:val="0"/>
                                      <w:marBottom w:val="0"/>
                                      <w:divBdr>
                                        <w:top w:val="none" w:sz="0" w:space="0" w:color="auto"/>
                                        <w:left w:val="none" w:sz="0" w:space="0" w:color="auto"/>
                                        <w:bottom w:val="none" w:sz="0" w:space="0" w:color="auto"/>
                                        <w:right w:val="none" w:sz="0" w:space="0" w:color="auto"/>
                                      </w:divBdr>
                                      <w:divsChild>
                                        <w:div w:id="133603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199685">
      <w:bodyDiv w:val="1"/>
      <w:marLeft w:val="0"/>
      <w:marRight w:val="0"/>
      <w:marTop w:val="0"/>
      <w:marBottom w:val="0"/>
      <w:divBdr>
        <w:top w:val="none" w:sz="0" w:space="0" w:color="auto"/>
        <w:left w:val="none" w:sz="0" w:space="0" w:color="auto"/>
        <w:bottom w:val="none" w:sz="0" w:space="0" w:color="auto"/>
        <w:right w:val="none" w:sz="0" w:space="0" w:color="auto"/>
      </w:divBdr>
      <w:divsChild>
        <w:div w:id="2245518">
          <w:marLeft w:val="0"/>
          <w:marRight w:val="1"/>
          <w:marTop w:val="0"/>
          <w:marBottom w:val="0"/>
          <w:divBdr>
            <w:top w:val="none" w:sz="0" w:space="0" w:color="auto"/>
            <w:left w:val="none" w:sz="0" w:space="0" w:color="auto"/>
            <w:bottom w:val="none" w:sz="0" w:space="0" w:color="auto"/>
            <w:right w:val="none" w:sz="0" w:space="0" w:color="auto"/>
          </w:divBdr>
          <w:divsChild>
            <w:div w:id="1106657214">
              <w:marLeft w:val="0"/>
              <w:marRight w:val="0"/>
              <w:marTop w:val="0"/>
              <w:marBottom w:val="0"/>
              <w:divBdr>
                <w:top w:val="none" w:sz="0" w:space="0" w:color="auto"/>
                <w:left w:val="none" w:sz="0" w:space="0" w:color="auto"/>
                <w:bottom w:val="none" w:sz="0" w:space="0" w:color="auto"/>
                <w:right w:val="none" w:sz="0" w:space="0" w:color="auto"/>
              </w:divBdr>
              <w:divsChild>
                <w:div w:id="1392576668">
                  <w:marLeft w:val="0"/>
                  <w:marRight w:val="1"/>
                  <w:marTop w:val="0"/>
                  <w:marBottom w:val="0"/>
                  <w:divBdr>
                    <w:top w:val="none" w:sz="0" w:space="0" w:color="auto"/>
                    <w:left w:val="none" w:sz="0" w:space="0" w:color="auto"/>
                    <w:bottom w:val="none" w:sz="0" w:space="0" w:color="auto"/>
                    <w:right w:val="none" w:sz="0" w:space="0" w:color="auto"/>
                  </w:divBdr>
                  <w:divsChild>
                    <w:div w:id="1665206084">
                      <w:marLeft w:val="0"/>
                      <w:marRight w:val="0"/>
                      <w:marTop w:val="0"/>
                      <w:marBottom w:val="0"/>
                      <w:divBdr>
                        <w:top w:val="none" w:sz="0" w:space="0" w:color="auto"/>
                        <w:left w:val="none" w:sz="0" w:space="0" w:color="auto"/>
                        <w:bottom w:val="none" w:sz="0" w:space="0" w:color="auto"/>
                        <w:right w:val="none" w:sz="0" w:space="0" w:color="auto"/>
                      </w:divBdr>
                      <w:divsChild>
                        <w:div w:id="1634020755">
                          <w:marLeft w:val="0"/>
                          <w:marRight w:val="0"/>
                          <w:marTop w:val="0"/>
                          <w:marBottom w:val="0"/>
                          <w:divBdr>
                            <w:top w:val="none" w:sz="0" w:space="0" w:color="auto"/>
                            <w:left w:val="none" w:sz="0" w:space="0" w:color="auto"/>
                            <w:bottom w:val="none" w:sz="0" w:space="0" w:color="auto"/>
                            <w:right w:val="none" w:sz="0" w:space="0" w:color="auto"/>
                          </w:divBdr>
                          <w:divsChild>
                            <w:div w:id="1089616459">
                              <w:marLeft w:val="0"/>
                              <w:marRight w:val="0"/>
                              <w:marTop w:val="120"/>
                              <w:marBottom w:val="360"/>
                              <w:divBdr>
                                <w:top w:val="none" w:sz="0" w:space="0" w:color="auto"/>
                                <w:left w:val="none" w:sz="0" w:space="0" w:color="auto"/>
                                <w:bottom w:val="none" w:sz="0" w:space="0" w:color="auto"/>
                                <w:right w:val="none" w:sz="0" w:space="0" w:color="auto"/>
                              </w:divBdr>
                              <w:divsChild>
                                <w:div w:id="1957907323">
                                  <w:marLeft w:val="0"/>
                                  <w:marRight w:val="0"/>
                                  <w:marTop w:val="0"/>
                                  <w:marBottom w:val="0"/>
                                  <w:divBdr>
                                    <w:top w:val="none" w:sz="0" w:space="0" w:color="auto"/>
                                    <w:left w:val="none" w:sz="0" w:space="0" w:color="auto"/>
                                    <w:bottom w:val="none" w:sz="0" w:space="0" w:color="auto"/>
                                    <w:right w:val="none" w:sz="0" w:space="0" w:color="auto"/>
                                  </w:divBdr>
                                  <w:divsChild>
                                    <w:div w:id="9835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5096437">
      <w:bodyDiv w:val="1"/>
      <w:marLeft w:val="0"/>
      <w:marRight w:val="0"/>
      <w:marTop w:val="0"/>
      <w:marBottom w:val="0"/>
      <w:divBdr>
        <w:top w:val="none" w:sz="0" w:space="0" w:color="auto"/>
        <w:left w:val="none" w:sz="0" w:space="0" w:color="auto"/>
        <w:bottom w:val="none" w:sz="0" w:space="0" w:color="auto"/>
        <w:right w:val="none" w:sz="0" w:space="0" w:color="auto"/>
      </w:divBdr>
    </w:div>
    <w:div w:id="853495235">
      <w:bodyDiv w:val="1"/>
      <w:marLeft w:val="0"/>
      <w:marRight w:val="0"/>
      <w:marTop w:val="0"/>
      <w:marBottom w:val="0"/>
      <w:divBdr>
        <w:top w:val="none" w:sz="0" w:space="0" w:color="auto"/>
        <w:left w:val="none" w:sz="0" w:space="0" w:color="auto"/>
        <w:bottom w:val="none" w:sz="0" w:space="0" w:color="auto"/>
        <w:right w:val="none" w:sz="0" w:space="0" w:color="auto"/>
      </w:divBdr>
    </w:div>
    <w:div w:id="853495639">
      <w:bodyDiv w:val="1"/>
      <w:marLeft w:val="0"/>
      <w:marRight w:val="0"/>
      <w:marTop w:val="0"/>
      <w:marBottom w:val="0"/>
      <w:divBdr>
        <w:top w:val="none" w:sz="0" w:space="0" w:color="auto"/>
        <w:left w:val="none" w:sz="0" w:space="0" w:color="auto"/>
        <w:bottom w:val="none" w:sz="0" w:space="0" w:color="auto"/>
        <w:right w:val="none" w:sz="0" w:space="0" w:color="auto"/>
      </w:divBdr>
      <w:divsChild>
        <w:div w:id="835341575">
          <w:marLeft w:val="0"/>
          <w:marRight w:val="1"/>
          <w:marTop w:val="0"/>
          <w:marBottom w:val="0"/>
          <w:divBdr>
            <w:top w:val="none" w:sz="0" w:space="0" w:color="auto"/>
            <w:left w:val="none" w:sz="0" w:space="0" w:color="auto"/>
            <w:bottom w:val="none" w:sz="0" w:space="0" w:color="auto"/>
            <w:right w:val="none" w:sz="0" w:space="0" w:color="auto"/>
          </w:divBdr>
          <w:divsChild>
            <w:div w:id="338897490">
              <w:marLeft w:val="0"/>
              <w:marRight w:val="0"/>
              <w:marTop w:val="0"/>
              <w:marBottom w:val="0"/>
              <w:divBdr>
                <w:top w:val="none" w:sz="0" w:space="0" w:color="auto"/>
                <w:left w:val="none" w:sz="0" w:space="0" w:color="auto"/>
                <w:bottom w:val="none" w:sz="0" w:space="0" w:color="auto"/>
                <w:right w:val="none" w:sz="0" w:space="0" w:color="auto"/>
              </w:divBdr>
              <w:divsChild>
                <w:div w:id="1712460892">
                  <w:marLeft w:val="0"/>
                  <w:marRight w:val="1"/>
                  <w:marTop w:val="0"/>
                  <w:marBottom w:val="0"/>
                  <w:divBdr>
                    <w:top w:val="none" w:sz="0" w:space="0" w:color="auto"/>
                    <w:left w:val="none" w:sz="0" w:space="0" w:color="auto"/>
                    <w:bottom w:val="none" w:sz="0" w:space="0" w:color="auto"/>
                    <w:right w:val="none" w:sz="0" w:space="0" w:color="auto"/>
                  </w:divBdr>
                  <w:divsChild>
                    <w:div w:id="348869867">
                      <w:marLeft w:val="0"/>
                      <w:marRight w:val="0"/>
                      <w:marTop w:val="0"/>
                      <w:marBottom w:val="0"/>
                      <w:divBdr>
                        <w:top w:val="none" w:sz="0" w:space="0" w:color="auto"/>
                        <w:left w:val="none" w:sz="0" w:space="0" w:color="auto"/>
                        <w:bottom w:val="none" w:sz="0" w:space="0" w:color="auto"/>
                        <w:right w:val="none" w:sz="0" w:space="0" w:color="auto"/>
                      </w:divBdr>
                      <w:divsChild>
                        <w:div w:id="2082560587">
                          <w:marLeft w:val="0"/>
                          <w:marRight w:val="0"/>
                          <w:marTop w:val="0"/>
                          <w:marBottom w:val="0"/>
                          <w:divBdr>
                            <w:top w:val="none" w:sz="0" w:space="0" w:color="auto"/>
                            <w:left w:val="none" w:sz="0" w:space="0" w:color="auto"/>
                            <w:bottom w:val="none" w:sz="0" w:space="0" w:color="auto"/>
                            <w:right w:val="none" w:sz="0" w:space="0" w:color="auto"/>
                          </w:divBdr>
                          <w:divsChild>
                            <w:div w:id="1237322582">
                              <w:marLeft w:val="0"/>
                              <w:marRight w:val="0"/>
                              <w:marTop w:val="120"/>
                              <w:marBottom w:val="360"/>
                              <w:divBdr>
                                <w:top w:val="none" w:sz="0" w:space="0" w:color="auto"/>
                                <w:left w:val="none" w:sz="0" w:space="0" w:color="auto"/>
                                <w:bottom w:val="none" w:sz="0" w:space="0" w:color="auto"/>
                                <w:right w:val="none" w:sz="0" w:space="0" w:color="auto"/>
                              </w:divBdr>
                              <w:divsChild>
                                <w:div w:id="1978417585">
                                  <w:marLeft w:val="0"/>
                                  <w:marRight w:val="0"/>
                                  <w:marTop w:val="0"/>
                                  <w:marBottom w:val="0"/>
                                  <w:divBdr>
                                    <w:top w:val="none" w:sz="0" w:space="0" w:color="auto"/>
                                    <w:left w:val="none" w:sz="0" w:space="0" w:color="auto"/>
                                    <w:bottom w:val="none" w:sz="0" w:space="0" w:color="auto"/>
                                    <w:right w:val="none" w:sz="0" w:space="0" w:color="auto"/>
                                  </w:divBdr>
                                  <w:divsChild>
                                    <w:div w:id="101734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8831448">
      <w:bodyDiv w:val="1"/>
      <w:marLeft w:val="0"/>
      <w:marRight w:val="0"/>
      <w:marTop w:val="0"/>
      <w:marBottom w:val="0"/>
      <w:divBdr>
        <w:top w:val="none" w:sz="0" w:space="0" w:color="auto"/>
        <w:left w:val="none" w:sz="0" w:space="0" w:color="auto"/>
        <w:bottom w:val="none" w:sz="0" w:space="0" w:color="auto"/>
        <w:right w:val="none" w:sz="0" w:space="0" w:color="auto"/>
      </w:divBdr>
      <w:divsChild>
        <w:div w:id="1041321464">
          <w:marLeft w:val="0"/>
          <w:marRight w:val="1"/>
          <w:marTop w:val="0"/>
          <w:marBottom w:val="0"/>
          <w:divBdr>
            <w:top w:val="none" w:sz="0" w:space="0" w:color="auto"/>
            <w:left w:val="none" w:sz="0" w:space="0" w:color="auto"/>
            <w:bottom w:val="none" w:sz="0" w:space="0" w:color="auto"/>
            <w:right w:val="none" w:sz="0" w:space="0" w:color="auto"/>
          </w:divBdr>
          <w:divsChild>
            <w:div w:id="2067793939">
              <w:marLeft w:val="0"/>
              <w:marRight w:val="0"/>
              <w:marTop w:val="0"/>
              <w:marBottom w:val="0"/>
              <w:divBdr>
                <w:top w:val="none" w:sz="0" w:space="0" w:color="auto"/>
                <w:left w:val="none" w:sz="0" w:space="0" w:color="auto"/>
                <w:bottom w:val="none" w:sz="0" w:space="0" w:color="auto"/>
                <w:right w:val="none" w:sz="0" w:space="0" w:color="auto"/>
              </w:divBdr>
              <w:divsChild>
                <w:div w:id="1927497466">
                  <w:marLeft w:val="0"/>
                  <w:marRight w:val="1"/>
                  <w:marTop w:val="0"/>
                  <w:marBottom w:val="0"/>
                  <w:divBdr>
                    <w:top w:val="none" w:sz="0" w:space="0" w:color="auto"/>
                    <w:left w:val="none" w:sz="0" w:space="0" w:color="auto"/>
                    <w:bottom w:val="none" w:sz="0" w:space="0" w:color="auto"/>
                    <w:right w:val="none" w:sz="0" w:space="0" w:color="auto"/>
                  </w:divBdr>
                  <w:divsChild>
                    <w:div w:id="607854517">
                      <w:marLeft w:val="0"/>
                      <w:marRight w:val="0"/>
                      <w:marTop w:val="0"/>
                      <w:marBottom w:val="0"/>
                      <w:divBdr>
                        <w:top w:val="none" w:sz="0" w:space="0" w:color="auto"/>
                        <w:left w:val="none" w:sz="0" w:space="0" w:color="auto"/>
                        <w:bottom w:val="none" w:sz="0" w:space="0" w:color="auto"/>
                        <w:right w:val="none" w:sz="0" w:space="0" w:color="auto"/>
                      </w:divBdr>
                      <w:divsChild>
                        <w:div w:id="999428458">
                          <w:marLeft w:val="0"/>
                          <w:marRight w:val="0"/>
                          <w:marTop w:val="0"/>
                          <w:marBottom w:val="0"/>
                          <w:divBdr>
                            <w:top w:val="none" w:sz="0" w:space="0" w:color="auto"/>
                            <w:left w:val="none" w:sz="0" w:space="0" w:color="auto"/>
                            <w:bottom w:val="none" w:sz="0" w:space="0" w:color="auto"/>
                            <w:right w:val="none" w:sz="0" w:space="0" w:color="auto"/>
                          </w:divBdr>
                          <w:divsChild>
                            <w:div w:id="1665815262">
                              <w:marLeft w:val="0"/>
                              <w:marRight w:val="0"/>
                              <w:marTop w:val="120"/>
                              <w:marBottom w:val="360"/>
                              <w:divBdr>
                                <w:top w:val="none" w:sz="0" w:space="0" w:color="auto"/>
                                <w:left w:val="none" w:sz="0" w:space="0" w:color="auto"/>
                                <w:bottom w:val="none" w:sz="0" w:space="0" w:color="auto"/>
                                <w:right w:val="none" w:sz="0" w:space="0" w:color="auto"/>
                              </w:divBdr>
                              <w:divsChild>
                                <w:div w:id="757680783">
                                  <w:marLeft w:val="420"/>
                                  <w:marRight w:val="0"/>
                                  <w:marTop w:val="0"/>
                                  <w:marBottom w:val="0"/>
                                  <w:divBdr>
                                    <w:top w:val="none" w:sz="0" w:space="0" w:color="auto"/>
                                    <w:left w:val="none" w:sz="0" w:space="0" w:color="auto"/>
                                    <w:bottom w:val="none" w:sz="0" w:space="0" w:color="auto"/>
                                    <w:right w:val="none" w:sz="0" w:space="0" w:color="auto"/>
                                  </w:divBdr>
                                  <w:divsChild>
                                    <w:div w:id="1840803609">
                                      <w:marLeft w:val="0"/>
                                      <w:marRight w:val="0"/>
                                      <w:marTop w:val="0"/>
                                      <w:marBottom w:val="0"/>
                                      <w:divBdr>
                                        <w:top w:val="none" w:sz="0" w:space="0" w:color="auto"/>
                                        <w:left w:val="none" w:sz="0" w:space="0" w:color="auto"/>
                                        <w:bottom w:val="none" w:sz="0" w:space="0" w:color="auto"/>
                                        <w:right w:val="none" w:sz="0" w:space="0" w:color="auto"/>
                                      </w:divBdr>
                                      <w:divsChild>
                                        <w:div w:id="11820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0385636">
      <w:bodyDiv w:val="1"/>
      <w:marLeft w:val="0"/>
      <w:marRight w:val="0"/>
      <w:marTop w:val="0"/>
      <w:marBottom w:val="0"/>
      <w:divBdr>
        <w:top w:val="none" w:sz="0" w:space="0" w:color="auto"/>
        <w:left w:val="none" w:sz="0" w:space="0" w:color="auto"/>
        <w:bottom w:val="none" w:sz="0" w:space="0" w:color="auto"/>
        <w:right w:val="none" w:sz="0" w:space="0" w:color="auto"/>
      </w:divBdr>
      <w:divsChild>
        <w:div w:id="198468376">
          <w:marLeft w:val="0"/>
          <w:marRight w:val="1"/>
          <w:marTop w:val="0"/>
          <w:marBottom w:val="0"/>
          <w:divBdr>
            <w:top w:val="none" w:sz="0" w:space="0" w:color="auto"/>
            <w:left w:val="none" w:sz="0" w:space="0" w:color="auto"/>
            <w:bottom w:val="none" w:sz="0" w:space="0" w:color="auto"/>
            <w:right w:val="none" w:sz="0" w:space="0" w:color="auto"/>
          </w:divBdr>
          <w:divsChild>
            <w:div w:id="744914259">
              <w:marLeft w:val="0"/>
              <w:marRight w:val="0"/>
              <w:marTop w:val="0"/>
              <w:marBottom w:val="0"/>
              <w:divBdr>
                <w:top w:val="none" w:sz="0" w:space="0" w:color="auto"/>
                <w:left w:val="none" w:sz="0" w:space="0" w:color="auto"/>
                <w:bottom w:val="none" w:sz="0" w:space="0" w:color="auto"/>
                <w:right w:val="none" w:sz="0" w:space="0" w:color="auto"/>
              </w:divBdr>
              <w:divsChild>
                <w:div w:id="1144158708">
                  <w:marLeft w:val="0"/>
                  <w:marRight w:val="1"/>
                  <w:marTop w:val="0"/>
                  <w:marBottom w:val="0"/>
                  <w:divBdr>
                    <w:top w:val="none" w:sz="0" w:space="0" w:color="auto"/>
                    <w:left w:val="none" w:sz="0" w:space="0" w:color="auto"/>
                    <w:bottom w:val="none" w:sz="0" w:space="0" w:color="auto"/>
                    <w:right w:val="none" w:sz="0" w:space="0" w:color="auto"/>
                  </w:divBdr>
                  <w:divsChild>
                    <w:div w:id="1603613061">
                      <w:marLeft w:val="0"/>
                      <w:marRight w:val="0"/>
                      <w:marTop w:val="0"/>
                      <w:marBottom w:val="0"/>
                      <w:divBdr>
                        <w:top w:val="none" w:sz="0" w:space="0" w:color="auto"/>
                        <w:left w:val="none" w:sz="0" w:space="0" w:color="auto"/>
                        <w:bottom w:val="none" w:sz="0" w:space="0" w:color="auto"/>
                        <w:right w:val="none" w:sz="0" w:space="0" w:color="auto"/>
                      </w:divBdr>
                      <w:divsChild>
                        <w:div w:id="38894053">
                          <w:marLeft w:val="0"/>
                          <w:marRight w:val="0"/>
                          <w:marTop w:val="0"/>
                          <w:marBottom w:val="0"/>
                          <w:divBdr>
                            <w:top w:val="none" w:sz="0" w:space="0" w:color="auto"/>
                            <w:left w:val="none" w:sz="0" w:space="0" w:color="auto"/>
                            <w:bottom w:val="none" w:sz="0" w:space="0" w:color="auto"/>
                            <w:right w:val="none" w:sz="0" w:space="0" w:color="auto"/>
                          </w:divBdr>
                          <w:divsChild>
                            <w:div w:id="989334482">
                              <w:marLeft w:val="0"/>
                              <w:marRight w:val="0"/>
                              <w:marTop w:val="120"/>
                              <w:marBottom w:val="360"/>
                              <w:divBdr>
                                <w:top w:val="none" w:sz="0" w:space="0" w:color="auto"/>
                                <w:left w:val="none" w:sz="0" w:space="0" w:color="auto"/>
                                <w:bottom w:val="none" w:sz="0" w:space="0" w:color="auto"/>
                                <w:right w:val="none" w:sz="0" w:space="0" w:color="auto"/>
                              </w:divBdr>
                              <w:divsChild>
                                <w:div w:id="732386672">
                                  <w:marLeft w:val="0"/>
                                  <w:marRight w:val="0"/>
                                  <w:marTop w:val="0"/>
                                  <w:marBottom w:val="0"/>
                                  <w:divBdr>
                                    <w:top w:val="none" w:sz="0" w:space="0" w:color="auto"/>
                                    <w:left w:val="none" w:sz="0" w:space="0" w:color="auto"/>
                                    <w:bottom w:val="none" w:sz="0" w:space="0" w:color="auto"/>
                                    <w:right w:val="none" w:sz="0" w:space="0" w:color="auto"/>
                                  </w:divBdr>
                                  <w:divsChild>
                                    <w:div w:id="6150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050073">
      <w:bodyDiv w:val="1"/>
      <w:marLeft w:val="0"/>
      <w:marRight w:val="0"/>
      <w:marTop w:val="0"/>
      <w:marBottom w:val="0"/>
      <w:divBdr>
        <w:top w:val="none" w:sz="0" w:space="0" w:color="auto"/>
        <w:left w:val="none" w:sz="0" w:space="0" w:color="auto"/>
        <w:bottom w:val="none" w:sz="0" w:space="0" w:color="auto"/>
        <w:right w:val="none" w:sz="0" w:space="0" w:color="auto"/>
      </w:divBdr>
      <w:divsChild>
        <w:div w:id="2092654507">
          <w:marLeft w:val="0"/>
          <w:marRight w:val="1"/>
          <w:marTop w:val="0"/>
          <w:marBottom w:val="0"/>
          <w:divBdr>
            <w:top w:val="none" w:sz="0" w:space="0" w:color="auto"/>
            <w:left w:val="none" w:sz="0" w:space="0" w:color="auto"/>
            <w:bottom w:val="none" w:sz="0" w:space="0" w:color="auto"/>
            <w:right w:val="none" w:sz="0" w:space="0" w:color="auto"/>
          </w:divBdr>
          <w:divsChild>
            <w:div w:id="648248018">
              <w:marLeft w:val="0"/>
              <w:marRight w:val="0"/>
              <w:marTop w:val="0"/>
              <w:marBottom w:val="0"/>
              <w:divBdr>
                <w:top w:val="none" w:sz="0" w:space="0" w:color="auto"/>
                <w:left w:val="none" w:sz="0" w:space="0" w:color="auto"/>
                <w:bottom w:val="none" w:sz="0" w:space="0" w:color="auto"/>
                <w:right w:val="none" w:sz="0" w:space="0" w:color="auto"/>
              </w:divBdr>
              <w:divsChild>
                <w:div w:id="109590222">
                  <w:marLeft w:val="0"/>
                  <w:marRight w:val="1"/>
                  <w:marTop w:val="0"/>
                  <w:marBottom w:val="0"/>
                  <w:divBdr>
                    <w:top w:val="none" w:sz="0" w:space="0" w:color="auto"/>
                    <w:left w:val="none" w:sz="0" w:space="0" w:color="auto"/>
                    <w:bottom w:val="none" w:sz="0" w:space="0" w:color="auto"/>
                    <w:right w:val="none" w:sz="0" w:space="0" w:color="auto"/>
                  </w:divBdr>
                  <w:divsChild>
                    <w:div w:id="924337110">
                      <w:marLeft w:val="0"/>
                      <w:marRight w:val="0"/>
                      <w:marTop w:val="0"/>
                      <w:marBottom w:val="0"/>
                      <w:divBdr>
                        <w:top w:val="none" w:sz="0" w:space="0" w:color="auto"/>
                        <w:left w:val="none" w:sz="0" w:space="0" w:color="auto"/>
                        <w:bottom w:val="none" w:sz="0" w:space="0" w:color="auto"/>
                        <w:right w:val="none" w:sz="0" w:space="0" w:color="auto"/>
                      </w:divBdr>
                      <w:divsChild>
                        <w:div w:id="733043593">
                          <w:marLeft w:val="0"/>
                          <w:marRight w:val="0"/>
                          <w:marTop w:val="0"/>
                          <w:marBottom w:val="0"/>
                          <w:divBdr>
                            <w:top w:val="none" w:sz="0" w:space="0" w:color="auto"/>
                            <w:left w:val="none" w:sz="0" w:space="0" w:color="auto"/>
                            <w:bottom w:val="none" w:sz="0" w:space="0" w:color="auto"/>
                            <w:right w:val="none" w:sz="0" w:space="0" w:color="auto"/>
                          </w:divBdr>
                          <w:divsChild>
                            <w:div w:id="602611532">
                              <w:marLeft w:val="0"/>
                              <w:marRight w:val="0"/>
                              <w:marTop w:val="120"/>
                              <w:marBottom w:val="360"/>
                              <w:divBdr>
                                <w:top w:val="none" w:sz="0" w:space="0" w:color="auto"/>
                                <w:left w:val="none" w:sz="0" w:space="0" w:color="auto"/>
                                <w:bottom w:val="none" w:sz="0" w:space="0" w:color="auto"/>
                                <w:right w:val="none" w:sz="0" w:space="0" w:color="auto"/>
                              </w:divBdr>
                              <w:divsChild>
                                <w:div w:id="1972633691">
                                  <w:marLeft w:val="420"/>
                                  <w:marRight w:val="0"/>
                                  <w:marTop w:val="0"/>
                                  <w:marBottom w:val="0"/>
                                  <w:divBdr>
                                    <w:top w:val="none" w:sz="0" w:space="0" w:color="auto"/>
                                    <w:left w:val="none" w:sz="0" w:space="0" w:color="auto"/>
                                    <w:bottom w:val="none" w:sz="0" w:space="0" w:color="auto"/>
                                    <w:right w:val="none" w:sz="0" w:space="0" w:color="auto"/>
                                  </w:divBdr>
                                  <w:divsChild>
                                    <w:div w:id="667173992">
                                      <w:marLeft w:val="0"/>
                                      <w:marRight w:val="0"/>
                                      <w:marTop w:val="0"/>
                                      <w:marBottom w:val="0"/>
                                      <w:divBdr>
                                        <w:top w:val="none" w:sz="0" w:space="0" w:color="auto"/>
                                        <w:left w:val="none" w:sz="0" w:space="0" w:color="auto"/>
                                        <w:bottom w:val="none" w:sz="0" w:space="0" w:color="auto"/>
                                        <w:right w:val="none" w:sz="0" w:space="0" w:color="auto"/>
                                      </w:divBdr>
                                      <w:divsChild>
                                        <w:div w:id="11121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2251181">
      <w:bodyDiv w:val="1"/>
      <w:marLeft w:val="0"/>
      <w:marRight w:val="0"/>
      <w:marTop w:val="0"/>
      <w:marBottom w:val="0"/>
      <w:divBdr>
        <w:top w:val="none" w:sz="0" w:space="0" w:color="auto"/>
        <w:left w:val="none" w:sz="0" w:space="0" w:color="auto"/>
        <w:bottom w:val="none" w:sz="0" w:space="0" w:color="auto"/>
        <w:right w:val="none" w:sz="0" w:space="0" w:color="auto"/>
      </w:divBdr>
      <w:divsChild>
        <w:div w:id="1938368816">
          <w:marLeft w:val="0"/>
          <w:marRight w:val="1"/>
          <w:marTop w:val="0"/>
          <w:marBottom w:val="0"/>
          <w:divBdr>
            <w:top w:val="none" w:sz="0" w:space="0" w:color="auto"/>
            <w:left w:val="none" w:sz="0" w:space="0" w:color="auto"/>
            <w:bottom w:val="none" w:sz="0" w:space="0" w:color="auto"/>
            <w:right w:val="none" w:sz="0" w:space="0" w:color="auto"/>
          </w:divBdr>
          <w:divsChild>
            <w:div w:id="234903638">
              <w:marLeft w:val="0"/>
              <w:marRight w:val="0"/>
              <w:marTop w:val="0"/>
              <w:marBottom w:val="0"/>
              <w:divBdr>
                <w:top w:val="none" w:sz="0" w:space="0" w:color="auto"/>
                <w:left w:val="none" w:sz="0" w:space="0" w:color="auto"/>
                <w:bottom w:val="none" w:sz="0" w:space="0" w:color="auto"/>
                <w:right w:val="none" w:sz="0" w:space="0" w:color="auto"/>
              </w:divBdr>
              <w:divsChild>
                <w:div w:id="706029805">
                  <w:marLeft w:val="0"/>
                  <w:marRight w:val="1"/>
                  <w:marTop w:val="0"/>
                  <w:marBottom w:val="0"/>
                  <w:divBdr>
                    <w:top w:val="none" w:sz="0" w:space="0" w:color="auto"/>
                    <w:left w:val="none" w:sz="0" w:space="0" w:color="auto"/>
                    <w:bottom w:val="none" w:sz="0" w:space="0" w:color="auto"/>
                    <w:right w:val="none" w:sz="0" w:space="0" w:color="auto"/>
                  </w:divBdr>
                  <w:divsChild>
                    <w:div w:id="1253078949">
                      <w:marLeft w:val="0"/>
                      <w:marRight w:val="0"/>
                      <w:marTop w:val="0"/>
                      <w:marBottom w:val="0"/>
                      <w:divBdr>
                        <w:top w:val="none" w:sz="0" w:space="0" w:color="auto"/>
                        <w:left w:val="none" w:sz="0" w:space="0" w:color="auto"/>
                        <w:bottom w:val="none" w:sz="0" w:space="0" w:color="auto"/>
                        <w:right w:val="none" w:sz="0" w:space="0" w:color="auto"/>
                      </w:divBdr>
                      <w:divsChild>
                        <w:div w:id="1622809797">
                          <w:marLeft w:val="0"/>
                          <w:marRight w:val="0"/>
                          <w:marTop w:val="0"/>
                          <w:marBottom w:val="0"/>
                          <w:divBdr>
                            <w:top w:val="none" w:sz="0" w:space="0" w:color="auto"/>
                            <w:left w:val="none" w:sz="0" w:space="0" w:color="auto"/>
                            <w:bottom w:val="none" w:sz="0" w:space="0" w:color="auto"/>
                            <w:right w:val="none" w:sz="0" w:space="0" w:color="auto"/>
                          </w:divBdr>
                          <w:divsChild>
                            <w:div w:id="502404443">
                              <w:marLeft w:val="0"/>
                              <w:marRight w:val="0"/>
                              <w:marTop w:val="120"/>
                              <w:marBottom w:val="360"/>
                              <w:divBdr>
                                <w:top w:val="none" w:sz="0" w:space="0" w:color="auto"/>
                                <w:left w:val="none" w:sz="0" w:space="0" w:color="auto"/>
                                <w:bottom w:val="none" w:sz="0" w:space="0" w:color="auto"/>
                                <w:right w:val="none" w:sz="0" w:space="0" w:color="auto"/>
                              </w:divBdr>
                              <w:divsChild>
                                <w:div w:id="412944242">
                                  <w:marLeft w:val="0"/>
                                  <w:marRight w:val="0"/>
                                  <w:marTop w:val="0"/>
                                  <w:marBottom w:val="0"/>
                                  <w:divBdr>
                                    <w:top w:val="none" w:sz="0" w:space="0" w:color="auto"/>
                                    <w:left w:val="none" w:sz="0" w:space="0" w:color="auto"/>
                                    <w:bottom w:val="none" w:sz="0" w:space="0" w:color="auto"/>
                                    <w:right w:val="none" w:sz="0" w:space="0" w:color="auto"/>
                                  </w:divBdr>
                                  <w:divsChild>
                                    <w:div w:id="19963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7393711">
      <w:bodyDiv w:val="1"/>
      <w:marLeft w:val="0"/>
      <w:marRight w:val="0"/>
      <w:marTop w:val="0"/>
      <w:marBottom w:val="0"/>
      <w:divBdr>
        <w:top w:val="none" w:sz="0" w:space="0" w:color="auto"/>
        <w:left w:val="none" w:sz="0" w:space="0" w:color="auto"/>
        <w:bottom w:val="none" w:sz="0" w:space="0" w:color="auto"/>
        <w:right w:val="none" w:sz="0" w:space="0" w:color="auto"/>
      </w:divBdr>
      <w:divsChild>
        <w:div w:id="1579245126">
          <w:marLeft w:val="0"/>
          <w:marRight w:val="1"/>
          <w:marTop w:val="0"/>
          <w:marBottom w:val="0"/>
          <w:divBdr>
            <w:top w:val="none" w:sz="0" w:space="0" w:color="auto"/>
            <w:left w:val="none" w:sz="0" w:space="0" w:color="auto"/>
            <w:bottom w:val="none" w:sz="0" w:space="0" w:color="auto"/>
            <w:right w:val="none" w:sz="0" w:space="0" w:color="auto"/>
          </w:divBdr>
          <w:divsChild>
            <w:div w:id="1151944581">
              <w:marLeft w:val="0"/>
              <w:marRight w:val="0"/>
              <w:marTop w:val="0"/>
              <w:marBottom w:val="0"/>
              <w:divBdr>
                <w:top w:val="none" w:sz="0" w:space="0" w:color="auto"/>
                <w:left w:val="none" w:sz="0" w:space="0" w:color="auto"/>
                <w:bottom w:val="none" w:sz="0" w:space="0" w:color="auto"/>
                <w:right w:val="none" w:sz="0" w:space="0" w:color="auto"/>
              </w:divBdr>
              <w:divsChild>
                <w:div w:id="473450112">
                  <w:marLeft w:val="0"/>
                  <w:marRight w:val="1"/>
                  <w:marTop w:val="0"/>
                  <w:marBottom w:val="0"/>
                  <w:divBdr>
                    <w:top w:val="none" w:sz="0" w:space="0" w:color="auto"/>
                    <w:left w:val="none" w:sz="0" w:space="0" w:color="auto"/>
                    <w:bottom w:val="none" w:sz="0" w:space="0" w:color="auto"/>
                    <w:right w:val="none" w:sz="0" w:space="0" w:color="auto"/>
                  </w:divBdr>
                  <w:divsChild>
                    <w:div w:id="1938177239">
                      <w:marLeft w:val="0"/>
                      <w:marRight w:val="0"/>
                      <w:marTop w:val="0"/>
                      <w:marBottom w:val="0"/>
                      <w:divBdr>
                        <w:top w:val="none" w:sz="0" w:space="0" w:color="auto"/>
                        <w:left w:val="none" w:sz="0" w:space="0" w:color="auto"/>
                        <w:bottom w:val="none" w:sz="0" w:space="0" w:color="auto"/>
                        <w:right w:val="none" w:sz="0" w:space="0" w:color="auto"/>
                      </w:divBdr>
                      <w:divsChild>
                        <w:div w:id="1985505260">
                          <w:marLeft w:val="0"/>
                          <w:marRight w:val="0"/>
                          <w:marTop w:val="0"/>
                          <w:marBottom w:val="0"/>
                          <w:divBdr>
                            <w:top w:val="none" w:sz="0" w:space="0" w:color="auto"/>
                            <w:left w:val="none" w:sz="0" w:space="0" w:color="auto"/>
                            <w:bottom w:val="none" w:sz="0" w:space="0" w:color="auto"/>
                            <w:right w:val="none" w:sz="0" w:space="0" w:color="auto"/>
                          </w:divBdr>
                          <w:divsChild>
                            <w:div w:id="122039739">
                              <w:marLeft w:val="0"/>
                              <w:marRight w:val="0"/>
                              <w:marTop w:val="120"/>
                              <w:marBottom w:val="360"/>
                              <w:divBdr>
                                <w:top w:val="none" w:sz="0" w:space="0" w:color="auto"/>
                                <w:left w:val="none" w:sz="0" w:space="0" w:color="auto"/>
                                <w:bottom w:val="none" w:sz="0" w:space="0" w:color="auto"/>
                                <w:right w:val="none" w:sz="0" w:space="0" w:color="auto"/>
                              </w:divBdr>
                              <w:divsChild>
                                <w:div w:id="894437720">
                                  <w:marLeft w:val="0"/>
                                  <w:marRight w:val="0"/>
                                  <w:marTop w:val="0"/>
                                  <w:marBottom w:val="0"/>
                                  <w:divBdr>
                                    <w:top w:val="none" w:sz="0" w:space="0" w:color="auto"/>
                                    <w:left w:val="none" w:sz="0" w:space="0" w:color="auto"/>
                                    <w:bottom w:val="none" w:sz="0" w:space="0" w:color="auto"/>
                                    <w:right w:val="none" w:sz="0" w:space="0" w:color="auto"/>
                                  </w:divBdr>
                                  <w:divsChild>
                                    <w:div w:id="204335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4258844">
      <w:bodyDiv w:val="1"/>
      <w:marLeft w:val="0"/>
      <w:marRight w:val="0"/>
      <w:marTop w:val="0"/>
      <w:marBottom w:val="0"/>
      <w:divBdr>
        <w:top w:val="none" w:sz="0" w:space="0" w:color="auto"/>
        <w:left w:val="none" w:sz="0" w:space="0" w:color="auto"/>
        <w:bottom w:val="none" w:sz="0" w:space="0" w:color="auto"/>
        <w:right w:val="none" w:sz="0" w:space="0" w:color="auto"/>
      </w:divBdr>
      <w:divsChild>
        <w:div w:id="626622458">
          <w:marLeft w:val="0"/>
          <w:marRight w:val="1"/>
          <w:marTop w:val="0"/>
          <w:marBottom w:val="0"/>
          <w:divBdr>
            <w:top w:val="none" w:sz="0" w:space="0" w:color="auto"/>
            <w:left w:val="none" w:sz="0" w:space="0" w:color="auto"/>
            <w:bottom w:val="none" w:sz="0" w:space="0" w:color="auto"/>
            <w:right w:val="none" w:sz="0" w:space="0" w:color="auto"/>
          </w:divBdr>
          <w:divsChild>
            <w:div w:id="764040406">
              <w:marLeft w:val="0"/>
              <w:marRight w:val="0"/>
              <w:marTop w:val="0"/>
              <w:marBottom w:val="0"/>
              <w:divBdr>
                <w:top w:val="none" w:sz="0" w:space="0" w:color="auto"/>
                <w:left w:val="none" w:sz="0" w:space="0" w:color="auto"/>
                <w:bottom w:val="none" w:sz="0" w:space="0" w:color="auto"/>
                <w:right w:val="none" w:sz="0" w:space="0" w:color="auto"/>
              </w:divBdr>
              <w:divsChild>
                <w:div w:id="917519419">
                  <w:marLeft w:val="0"/>
                  <w:marRight w:val="1"/>
                  <w:marTop w:val="0"/>
                  <w:marBottom w:val="0"/>
                  <w:divBdr>
                    <w:top w:val="none" w:sz="0" w:space="0" w:color="auto"/>
                    <w:left w:val="none" w:sz="0" w:space="0" w:color="auto"/>
                    <w:bottom w:val="none" w:sz="0" w:space="0" w:color="auto"/>
                    <w:right w:val="none" w:sz="0" w:space="0" w:color="auto"/>
                  </w:divBdr>
                  <w:divsChild>
                    <w:div w:id="490872202">
                      <w:marLeft w:val="0"/>
                      <w:marRight w:val="0"/>
                      <w:marTop w:val="0"/>
                      <w:marBottom w:val="0"/>
                      <w:divBdr>
                        <w:top w:val="none" w:sz="0" w:space="0" w:color="auto"/>
                        <w:left w:val="none" w:sz="0" w:space="0" w:color="auto"/>
                        <w:bottom w:val="none" w:sz="0" w:space="0" w:color="auto"/>
                        <w:right w:val="none" w:sz="0" w:space="0" w:color="auto"/>
                      </w:divBdr>
                      <w:divsChild>
                        <w:div w:id="2029141551">
                          <w:marLeft w:val="0"/>
                          <w:marRight w:val="0"/>
                          <w:marTop w:val="0"/>
                          <w:marBottom w:val="0"/>
                          <w:divBdr>
                            <w:top w:val="none" w:sz="0" w:space="0" w:color="auto"/>
                            <w:left w:val="none" w:sz="0" w:space="0" w:color="auto"/>
                            <w:bottom w:val="none" w:sz="0" w:space="0" w:color="auto"/>
                            <w:right w:val="none" w:sz="0" w:space="0" w:color="auto"/>
                          </w:divBdr>
                          <w:divsChild>
                            <w:div w:id="1906641757">
                              <w:marLeft w:val="0"/>
                              <w:marRight w:val="0"/>
                              <w:marTop w:val="120"/>
                              <w:marBottom w:val="360"/>
                              <w:divBdr>
                                <w:top w:val="none" w:sz="0" w:space="0" w:color="auto"/>
                                <w:left w:val="none" w:sz="0" w:space="0" w:color="auto"/>
                                <w:bottom w:val="none" w:sz="0" w:space="0" w:color="auto"/>
                                <w:right w:val="none" w:sz="0" w:space="0" w:color="auto"/>
                              </w:divBdr>
                              <w:divsChild>
                                <w:div w:id="1236430615">
                                  <w:marLeft w:val="0"/>
                                  <w:marRight w:val="0"/>
                                  <w:marTop w:val="0"/>
                                  <w:marBottom w:val="0"/>
                                  <w:divBdr>
                                    <w:top w:val="none" w:sz="0" w:space="0" w:color="auto"/>
                                    <w:left w:val="none" w:sz="0" w:space="0" w:color="auto"/>
                                    <w:bottom w:val="none" w:sz="0" w:space="0" w:color="auto"/>
                                    <w:right w:val="none" w:sz="0" w:space="0" w:color="auto"/>
                                  </w:divBdr>
                                  <w:divsChild>
                                    <w:div w:id="85508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4840154">
      <w:bodyDiv w:val="1"/>
      <w:marLeft w:val="0"/>
      <w:marRight w:val="0"/>
      <w:marTop w:val="0"/>
      <w:marBottom w:val="0"/>
      <w:divBdr>
        <w:top w:val="none" w:sz="0" w:space="0" w:color="auto"/>
        <w:left w:val="none" w:sz="0" w:space="0" w:color="auto"/>
        <w:bottom w:val="none" w:sz="0" w:space="0" w:color="auto"/>
        <w:right w:val="none" w:sz="0" w:space="0" w:color="auto"/>
      </w:divBdr>
      <w:divsChild>
        <w:div w:id="1613708410">
          <w:marLeft w:val="0"/>
          <w:marRight w:val="1"/>
          <w:marTop w:val="0"/>
          <w:marBottom w:val="0"/>
          <w:divBdr>
            <w:top w:val="none" w:sz="0" w:space="0" w:color="auto"/>
            <w:left w:val="none" w:sz="0" w:space="0" w:color="auto"/>
            <w:bottom w:val="none" w:sz="0" w:space="0" w:color="auto"/>
            <w:right w:val="none" w:sz="0" w:space="0" w:color="auto"/>
          </w:divBdr>
          <w:divsChild>
            <w:div w:id="2124223302">
              <w:marLeft w:val="0"/>
              <w:marRight w:val="0"/>
              <w:marTop w:val="0"/>
              <w:marBottom w:val="0"/>
              <w:divBdr>
                <w:top w:val="none" w:sz="0" w:space="0" w:color="auto"/>
                <w:left w:val="none" w:sz="0" w:space="0" w:color="auto"/>
                <w:bottom w:val="none" w:sz="0" w:space="0" w:color="auto"/>
                <w:right w:val="none" w:sz="0" w:space="0" w:color="auto"/>
              </w:divBdr>
              <w:divsChild>
                <w:div w:id="35469629">
                  <w:marLeft w:val="0"/>
                  <w:marRight w:val="1"/>
                  <w:marTop w:val="0"/>
                  <w:marBottom w:val="0"/>
                  <w:divBdr>
                    <w:top w:val="none" w:sz="0" w:space="0" w:color="auto"/>
                    <w:left w:val="none" w:sz="0" w:space="0" w:color="auto"/>
                    <w:bottom w:val="none" w:sz="0" w:space="0" w:color="auto"/>
                    <w:right w:val="none" w:sz="0" w:space="0" w:color="auto"/>
                  </w:divBdr>
                  <w:divsChild>
                    <w:div w:id="1078599018">
                      <w:marLeft w:val="0"/>
                      <w:marRight w:val="0"/>
                      <w:marTop w:val="0"/>
                      <w:marBottom w:val="0"/>
                      <w:divBdr>
                        <w:top w:val="none" w:sz="0" w:space="0" w:color="auto"/>
                        <w:left w:val="none" w:sz="0" w:space="0" w:color="auto"/>
                        <w:bottom w:val="none" w:sz="0" w:space="0" w:color="auto"/>
                        <w:right w:val="none" w:sz="0" w:space="0" w:color="auto"/>
                      </w:divBdr>
                      <w:divsChild>
                        <w:div w:id="1240334621">
                          <w:marLeft w:val="0"/>
                          <w:marRight w:val="0"/>
                          <w:marTop w:val="0"/>
                          <w:marBottom w:val="0"/>
                          <w:divBdr>
                            <w:top w:val="none" w:sz="0" w:space="0" w:color="auto"/>
                            <w:left w:val="none" w:sz="0" w:space="0" w:color="auto"/>
                            <w:bottom w:val="none" w:sz="0" w:space="0" w:color="auto"/>
                            <w:right w:val="none" w:sz="0" w:space="0" w:color="auto"/>
                          </w:divBdr>
                          <w:divsChild>
                            <w:div w:id="1323461321">
                              <w:marLeft w:val="0"/>
                              <w:marRight w:val="0"/>
                              <w:marTop w:val="120"/>
                              <w:marBottom w:val="360"/>
                              <w:divBdr>
                                <w:top w:val="none" w:sz="0" w:space="0" w:color="auto"/>
                                <w:left w:val="none" w:sz="0" w:space="0" w:color="auto"/>
                                <w:bottom w:val="none" w:sz="0" w:space="0" w:color="auto"/>
                                <w:right w:val="none" w:sz="0" w:space="0" w:color="auto"/>
                              </w:divBdr>
                              <w:divsChild>
                                <w:div w:id="2115250388">
                                  <w:marLeft w:val="0"/>
                                  <w:marRight w:val="0"/>
                                  <w:marTop w:val="0"/>
                                  <w:marBottom w:val="0"/>
                                  <w:divBdr>
                                    <w:top w:val="none" w:sz="0" w:space="0" w:color="auto"/>
                                    <w:left w:val="none" w:sz="0" w:space="0" w:color="auto"/>
                                    <w:bottom w:val="none" w:sz="0" w:space="0" w:color="auto"/>
                                    <w:right w:val="none" w:sz="0" w:space="0" w:color="auto"/>
                                  </w:divBdr>
                                  <w:divsChild>
                                    <w:div w:id="195817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936331">
      <w:bodyDiv w:val="1"/>
      <w:marLeft w:val="0"/>
      <w:marRight w:val="0"/>
      <w:marTop w:val="0"/>
      <w:marBottom w:val="0"/>
      <w:divBdr>
        <w:top w:val="none" w:sz="0" w:space="0" w:color="auto"/>
        <w:left w:val="none" w:sz="0" w:space="0" w:color="auto"/>
        <w:bottom w:val="none" w:sz="0" w:space="0" w:color="auto"/>
        <w:right w:val="none" w:sz="0" w:space="0" w:color="auto"/>
      </w:divBdr>
      <w:divsChild>
        <w:div w:id="331029547">
          <w:marLeft w:val="0"/>
          <w:marRight w:val="1"/>
          <w:marTop w:val="0"/>
          <w:marBottom w:val="0"/>
          <w:divBdr>
            <w:top w:val="none" w:sz="0" w:space="0" w:color="auto"/>
            <w:left w:val="none" w:sz="0" w:space="0" w:color="auto"/>
            <w:bottom w:val="none" w:sz="0" w:space="0" w:color="auto"/>
            <w:right w:val="none" w:sz="0" w:space="0" w:color="auto"/>
          </w:divBdr>
          <w:divsChild>
            <w:div w:id="1384522495">
              <w:marLeft w:val="0"/>
              <w:marRight w:val="0"/>
              <w:marTop w:val="0"/>
              <w:marBottom w:val="0"/>
              <w:divBdr>
                <w:top w:val="none" w:sz="0" w:space="0" w:color="auto"/>
                <w:left w:val="none" w:sz="0" w:space="0" w:color="auto"/>
                <w:bottom w:val="none" w:sz="0" w:space="0" w:color="auto"/>
                <w:right w:val="none" w:sz="0" w:space="0" w:color="auto"/>
              </w:divBdr>
              <w:divsChild>
                <w:div w:id="1252855631">
                  <w:marLeft w:val="0"/>
                  <w:marRight w:val="1"/>
                  <w:marTop w:val="0"/>
                  <w:marBottom w:val="0"/>
                  <w:divBdr>
                    <w:top w:val="none" w:sz="0" w:space="0" w:color="auto"/>
                    <w:left w:val="none" w:sz="0" w:space="0" w:color="auto"/>
                    <w:bottom w:val="none" w:sz="0" w:space="0" w:color="auto"/>
                    <w:right w:val="none" w:sz="0" w:space="0" w:color="auto"/>
                  </w:divBdr>
                  <w:divsChild>
                    <w:div w:id="1504469888">
                      <w:marLeft w:val="0"/>
                      <w:marRight w:val="0"/>
                      <w:marTop w:val="0"/>
                      <w:marBottom w:val="0"/>
                      <w:divBdr>
                        <w:top w:val="none" w:sz="0" w:space="0" w:color="auto"/>
                        <w:left w:val="none" w:sz="0" w:space="0" w:color="auto"/>
                        <w:bottom w:val="none" w:sz="0" w:space="0" w:color="auto"/>
                        <w:right w:val="none" w:sz="0" w:space="0" w:color="auto"/>
                      </w:divBdr>
                      <w:divsChild>
                        <w:div w:id="1551965629">
                          <w:marLeft w:val="0"/>
                          <w:marRight w:val="0"/>
                          <w:marTop w:val="0"/>
                          <w:marBottom w:val="0"/>
                          <w:divBdr>
                            <w:top w:val="none" w:sz="0" w:space="0" w:color="auto"/>
                            <w:left w:val="none" w:sz="0" w:space="0" w:color="auto"/>
                            <w:bottom w:val="none" w:sz="0" w:space="0" w:color="auto"/>
                            <w:right w:val="none" w:sz="0" w:space="0" w:color="auto"/>
                          </w:divBdr>
                          <w:divsChild>
                            <w:div w:id="1664505597">
                              <w:marLeft w:val="0"/>
                              <w:marRight w:val="0"/>
                              <w:marTop w:val="120"/>
                              <w:marBottom w:val="360"/>
                              <w:divBdr>
                                <w:top w:val="none" w:sz="0" w:space="0" w:color="auto"/>
                                <w:left w:val="none" w:sz="0" w:space="0" w:color="auto"/>
                                <w:bottom w:val="none" w:sz="0" w:space="0" w:color="auto"/>
                                <w:right w:val="none" w:sz="0" w:space="0" w:color="auto"/>
                              </w:divBdr>
                              <w:divsChild>
                                <w:div w:id="384061211">
                                  <w:marLeft w:val="0"/>
                                  <w:marRight w:val="0"/>
                                  <w:marTop w:val="0"/>
                                  <w:marBottom w:val="0"/>
                                  <w:divBdr>
                                    <w:top w:val="none" w:sz="0" w:space="0" w:color="auto"/>
                                    <w:left w:val="none" w:sz="0" w:space="0" w:color="auto"/>
                                    <w:bottom w:val="none" w:sz="0" w:space="0" w:color="auto"/>
                                    <w:right w:val="none" w:sz="0" w:space="0" w:color="auto"/>
                                  </w:divBdr>
                                  <w:divsChild>
                                    <w:div w:id="147105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3968168">
      <w:bodyDiv w:val="1"/>
      <w:marLeft w:val="0"/>
      <w:marRight w:val="0"/>
      <w:marTop w:val="0"/>
      <w:marBottom w:val="0"/>
      <w:divBdr>
        <w:top w:val="none" w:sz="0" w:space="0" w:color="auto"/>
        <w:left w:val="none" w:sz="0" w:space="0" w:color="auto"/>
        <w:bottom w:val="none" w:sz="0" w:space="0" w:color="auto"/>
        <w:right w:val="none" w:sz="0" w:space="0" w:color="auto"/>
      </w:divBdr>
      <w:divsChild>
        <w:div w:id="1981377769">
          <w:marLeft w:val="0"/>
          <w:marRight w:val="1"/>
          <w:marTop w:val="0"/>
          <w:marBottom w:val="0"/>
          <w:divBdr>
            <w:top w:val="none" w:sz="0" w:space="0" w:color="auto"/>
            <w:left w:val="none" w:sz="0" w:space="0" w:color="auto"/>
            <w:bottom w:val="none" w:sz="0" w:space="0" w:color="auto"/>
            <w:right w:val="none" w:sz="0" w:space="0" w:color="auto"/>
          </w:divBdr>
          <w:divsChild>
            <w:div w:id="174005106">
              <w:marLeft w:val="0"/>
              <w:marRight w:val="0"/>
              <w:marTop w:val="0"/>
              <w:marBottom w:val="0"/>
              <w:divBdr>
                <w:top w:val="none" w:sz="0" w:space="0" w:color="auto"/>
                <w:left w:val="none" w:sz="0" w:space="0" w:color="auto"/>
                <w:bottom w:val="none" w:sz="0" w:space="0" w:color="auto"/>
                <w:right w:val="none" w:sz="0" w:space="0" w:color="auto"/>
              </w:divBdr>
              <w:divsChild>
                <w:div w:id="1948656232">
                  <w:marLeft w:val="0"/>
                  <w:marRight w:val="1"/>
                  <w:marTop w:val="0"/>
                  <w:marBottom w:val="0"/>
                  <w:divBdr>
                    <w:top w:val="none" w:sz="0" w:space="0" w:color="auto"/>
                    <w:left w:val="none" w:sz="0" w:space="0" w:color="auto"/>
                    <w:bottom w:val="none" w:sz="0" w:space="0" w:color="auto"/>
                    <w:right w:val="none" w:sz="0" w:space="0" w:color="auto"/>
                  </w:divBdr>
                  <w:divsChild>
                    <w:div w:id="652102951">
                      <w:marLeft w:val="0"/>
                      <w:marRight w:val="0"/>
                      <w:marTop w:val="0"/>
                      <w:marBottom w:val="0"/>
                      <w:divBdr>
                        <w:top w:val="none" w:sz="0" w:space="0" w:color="auto"/>
                        <w:left w:val="none" w:sz="0" w:space="0" w:color="auto"/>
                        <w:bottom w:val="none" w:sz="0" w:space="0" w:color="auto"/>
                        <w:right w:val="none" w:sz="0" w:space="0" w:color="auto"/>
                      </w:divBdr>
                      <w:divsChild>
                        <w:div w:id="895360894">
                          <w:marLeft w:val="0"/>
                          <w:marRight w:val="0"/>
                          <w:marTop w:val="0"/>
                          <w:marBottom w:val="0"/>
                          <w:divBdr>
                            <w:top w:val="none" w:sz="0" w:space="0" w:color="auto"/>
                            <w:left w:val="none" w:sz="0" w:space="0" w:color="auto"/>
                            <w:bottom w:val="none" w:sz="0" w:space="0" w:color="auto"/>
                            <w:right w:val="none" w:sz="0" w:space="0" w:color="auto"/>
                          </w:divBdr>
                          <w:divsChild>
                            <w:div w:id="970550037">
                              <w:marLeft w:val="0"/>
                              <w:marRight w:val="0"/>
                              <w:marTop w:val="120"/>
                              <w:marBottom w:val="360"/>
                              <w:divBdr>
                                <w:top w:val="none" w:sz="0" w:space="0" w:color="auto"/>
                                <w:left w:val="none" w:sz="0" w:space="0" w:color="auto"/>
                                <w:bottom w:val="none" w:sz="0" w:space="0" w:color="auto"/>
                                <w:right w:val="none" w:sz="0" w:space="0" w:color="auto"/>
                              </w:divBdr>
                              <w:divsChild>
                                <w:div w:id="510028142">
                                  <w:marLeft w:val="0"/>
                                  <w:marRight w:val="0"/>
                                  <w:marTop w:val="0"/>
                                  <w:marBottom w:val="0"/>
                                  <w:divBdr>
                                    <w:top w:val="none" w:sz="0" w:space="0" w:color="auto"/>
                                    <w:left w:val="none" w:sz="0" w:space="0" w:color="auto"/>
                                    <w:bottom w:val="none" w:sz="0" w:space="0" w:color="auto"/>
                                    <w:right w:val="none" w:sz="0" w:space="0" w:color="auto"/>
                                  </w:divBdr>
                                  <w:divsChild>
                                    <w:div w:id="158734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167449">
      <w:bodyDiv w:val="1"/>
      <w:marLeft w:val="0"/>
      <w:marRight w:val="0"/>
      <w:marTop w:val="0"/>
      <w:marBottom w:val="0"/>
      <w:divBdr>
        <w:top w:val="none" w:sz="0" w:space="0" w:color="auto"/>
        <w:left w:val="none" w:sz="0" w:space="0" w:color="auto"/>
        <w:bottom w:val="none" w:sz="0" w:space="0" w:color="auto"/>
        <w:right w:val="none" w:sz="0" w:space="0" w:color="auto"/>
      </w:divBdr>
      <w:divsChild>
        <w:div w:id="2140220220">
          <w:marLeft w:val="0"/>
          <w:marRight w:val="1"/>
          <w:marTop w:val="0"/>
          <w:marBottom w:val="0"/>
          <w:divBdr>
            <w:top w:val="none" w:sz="0" w:space="0" w:color="auto"/>
            <w:left w:val="none" w:sz="0" w:space="0" w:color="auto"/>
            <w:bottom w:val="none" w:sz="0" w:space="0" w:color="auto"/>
            <w:right w:val="none" w:sz="0" w:space="0" w:color="auto"/>
          </w:divBdr>
          <w:divsChild>
            <w:div w:id="337391926">
              <w:marLeft w:val="0"/>
              <w:marRight w:val="0"/>
              <w:marTop w:val="0"/>
              <w:marBottom w:val="0"/>
              <w:divBdr>
                <w:top w:val="none" w:sz="0" w:space="0" w:color="auto"/>
                <w:left w:val="none" w:sz="0" w:space="0" w:color="auto"/>
                <w:bottom w:val="none" w:sz="0" w:space="0" w:color="auto"/>
                <w:right w:val="none" w:sz="0" w:space="0" w:color="auto"/>
              </w:divBdr>
              <w:divsChild>
                <w:div w:id="1492715384">
                  <w:marLeft w:val="0"/>
                  <w:marRight w:val="1"/>
                  <w:marTop w:val="0"/>
                  <w:marBottom w:val="0"/>
                  <w:divBdr>
                    <w:top w:val="none" w:sz="0" w:space="0" w:color="auto"/>
                    <w:left w:val="none" w:sz="0" w:space="0" w:color="auto"/>
                    <w:bottom w:val="none" w:sz="0" w:space="0" w:color="auto"/>
                    <w:right w:val="none" w:sz="0" w:space="0" w:color="auto"/>
                  </w:divBdr>
                  <w:divsChild>
                    <w:div w:id="1497190458">
                      <w:marLeft w:val="0"/>
                      <w:marRight w:val="0"/>
                      <w:marTop w:val="0"/>
                      <w:marBottom w:val="0"/>
                      <w:divBdr>
                        <w:top w:val="none" w:sz="0" w:space="0" w:color="auto"/>
                        <w:left w:val="none" w:sz="0" w:space="0" w:color="auto"/>
                        <w:bottom w:val="none" w:sz="0" w:space="0" w:color="auto"/>
                        <w:right w:val="none" w:sz="0" w:space="0" w:color="auto"/>
                      </w:divBdr>
                      <w:divsChild>
                        <w:div w:id="1536775840">
                          <w:marLeft w:val="0"/>
                          <w:marRight w:val="0"/>
                          <w:marTop w:val="0"/>
                          <w:marBottom w:val="0"/>
                          <w:divBdr>
                            <w:top w:val="none" w:sz="0" w:space="0" w:color="auto"/>
                            <w:left w:val="none" w:sz="0" w:space="0" w:color="auto"/>
                            <w:bottom w:val="none" w:sz="0" w:space="0" w:color="auto"/>
                            <w:right w:val="none" w:sz="0" w:space="0" w:color="auto"/>
                          </w:divBdr>
                          <w:divsChild>
                            <w:div w:id="2133210882">
                              <w:marLeft w:val="0"/>
                              <w:marRight w:val="0"/>
                              <w:marTop w:val="120"/>
                              <w:marBottom w:val="360"/>
                              <w:divBdr>
                                <w:top w:val="none" w:sz="0" w:space="0" w:color="auto"/>
                                <w:left w:val="none" w:sz="0" w:space="0" w:color="auto"/>
                                <w:bottom w:val="none" w:sz="0" w:space="0" w:color="auto"/>
                                <w:right w:val="none" w:sz="0" w:space="0" w:color="auto"/>
                              </w:divBdr>
                              <w:divsChild>
                                <w:div w:id="5637420">
                                  <w:marLeft w:val="0"/>
                                  <w:marRight w:val="0"/>
                                  <w:marTop w:val="0"/>
                                  <w:marBottom w:val="0"/>
                                  <w:divBdr>
                                    <w:top w:val="none" w:sz="0" w:space="0" w:color="auto"/>
                                    <w:left w:val="none" w:sz="0" w:space="0" w:color="auto"/>
                                    <w:bottom w:val="none" w:sz="0" w:space="0" w:color="auto"/>
                                    <w:right w:val="none" w:sz="0" w:space="0" w:color="auto"/>
                                  </w:divBdr>
                                  <w:divsChild>
                                    <w:div w:id="5896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6776509">
      <w:bodyDiv w:val="1"/>
      <w:marLeft w:val="0"/>
      <w:marRight w:val="0"/>
      <w:marTop w:val="0"/>
      <w:marBottom w:val="0"/>
      <w:divBdr>
        <w:top w:val="none" w:sz="0" w:space="0" w:color="auto"/>
        <w:left w:val="none" w:sz="0" w:space="0" w:color="auto"/>
        <w:bottom w:val="none" w:sz="0" w:space="0" w:color="auto"/>
        <w:right w:val="none" w:sz="0" w:space="0" w:color="auto"/>
      </w:divBdr>
      <w:divsChild>
        <w:div w:id="1222592819">
          <w:marLeft w:val="0"/>
          <w:marRight w:val="1"/>
          <w:marTop w:val="0"/>
          <w:marBottom w:val="0"/>
          <w:divBdr>
            <w:top w:val="none" w:sz="0" w:space="0" w:color="auto"/>
            <w:left w:val="none" w:sz="0" w:space="0" w:color="auto"/>
            <w:bottom w:val="none" w:sz="0" w:space="0" w:color="auto"/>
            <w:right w:val="none" w:sz="0" w:space="0" w:color="auto"/>
          </w:divBdr>
          <w:divsChild>
            <w:div w:id="885292289">
              <w:marLeft w:val="0"/>
              <w:marRight w:val="0"/>
              <w:marTop w:val="0"/>
              <w:marBottom w:val="0"/>
              <w:divBdr>
                <w:top w:val="none" w:sz="0" w:space="0" w:color="auto"/>
                <w:left w:val="none" w:sz="0" w:space="0" w:color="auto"/>
                <w:bottom w:val="none" w:sz="0" w:space="0" w:color="auto"/>
                <w:right w:val="none" w:sz="0" w:space="0" w:color="auto"/>
              </w:divBdr>
              <w:divsChild>
                <w:div w:id="2146003713">
                  <w:marLeft w:val="0"/>
                  <w:marRight w:val="1"/>
                  <w:marTop w:val="0"/>
                  <w:marBottom w:val="0"/>
                  <w:divBdr>
                    <w:top w:val="none" w:sz="0" w:space="0" w:color="auto"/>
                    <w:left w:val="none" w:sz="0" w:space="0" w:color="auto"/>
                    <w:bottom w:val="none" w:sz="0" w:space="0" w:color="auto"/>
                    <w:right w:val="none" w:sz="0" w:space="0" w:color="auto"/>
                  </w:divBdr>
                  <w:divsChild>
                    <w:div w:id="25451046">
                      <w:marLeft w:val="0"/>
                      <w:marRight w:val="0"/>
                      <w:marTop w:val="0"/>
                      <w:marBottom w:val="0"/>
                      <w:divBdr>
                        <w:top w:val="none" w:sz="0" w:space="0" w:color="auto"/>
                        <w:left w:val="none" w:sz="0" w:space="0" w:color="auto"/>
                        <w:bottom w:val="none" w:sz="0" w:space="0" w:color="auto"/>
                        <w:right w:val="none" w:sz="0" w:space="0" w:color="auto"/>
                      </w:divBdr>
                      <w:divsChild>
                        <w:div w:id="1415518490">
                          <w:marLeft w:val="0"/>
                          <w:marRight w:val="0"/>
                          <w:marTop w:val="0"/>
                          <w:marBottom w:val="0"/>
                          <w:divBdr>
                            <w:top w:val="none" w:sz="0" w:space="0" w:color="auto"/>
                            <w:left w:val="none" w:sz="0" w:space="0" w:color="auto"/>
                            <w:bottom w:val="none" w:sz="0" w:space="0" w:color="auto"/>
                            <w:right w:val="none" w:sz="0" w:space="0" w:color="auto"/>
                          </w:divBdr>
                          <w:divsChild>
                            <w:div w:id="547229252">
                              <w:marLeft w:val="0"/>
                              <w:marRight w:val="0"/>
                              <w:marTop w:val="120"/>
                              <w:marBottom w:val="360"/>
                              <w:divBdr>
                                <w:top w:val="none" w:sz="0" w:space="0" w:color="auto"/>
                                <w:left w:val="none" w:sz="0" w:space="0" w:color="auto"/>
                                <w:bottom w:val="none" w:sz="0" w:space="0" w:color="auto"/>
                                <w:right w:val="none" w:sz="0" w:space="0" w:color="auto"/>
                              </w:divBdr>
                              <w:divsChild>
                                <w:div w:id="1590306536">
                                  <w:marLeft w:val="420"/>
                                  <w:marRight w:val="0"/>
                                  <w:marTop w:val="0"/>
                                  <w:marBottom w:val="0"/>
                                  <w:divBdr>
                                    <w:top w:val="none" w:sz="0" w:space="0" w:color="auto"/>
                                    <w:left w:val="none" w:sz="0" w:space="0" w:color="auto"/>
                                    <w:bottom w:val="none" w:sz="0" w:space="0" w:color="auto"/>
                                    <w:right w:val="none" w:sz="0" w:space="0" w:color="auto"/>
                                  </w:divBdr>
                                  <w:divsChild>
                                    <w:div w:id="259724288">
                                      <w:marLeft w:val="0"/>
                                      <w:marRight w:val="0"/>
                                      <w:marTop w:val="0"/>
                                      <w:marBottom w:val="0"/>
                                      <w:divBdr>
                                        <w:top w:val="none" w:sz="0" w:space="0" w:color="auto"/>
                                        <w:left w:val="none" w:sz="0" w:space="0" w:color="auto"/>
                                        <w:bottom w:val="none" w:sz="0" w:space="0" w:color="auto"/>
                                        <w:right w:val="none" w:sz="0" w:space="0" w:color="auto"/>
                                      </w:divBdr>
                                      <w:divsChild>
                                        <w:div w:id="192016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761361">
      <w:bodyDiv w:val="1"/>
      <w:marLeft w:val="0"/>
      <w:marRight w:val="0"/>
      <w:marTop w:val="0"/>
      <w:marBottom w:val="0"/>
      <w:divBdr>
        <w:top w:val="none" w:sz="0" w:space="0" w:color="auto"/>
        <w:left w:val="none" w:sz="0" w:space="0" w:color="auto"/>
        <w:bottom w:val="none" w:sz="0" w:space="0" w:color="auto"/>
        <w:right w:val="none" w:sz="0" w:space="0" w:color="auto"/>
      </w:divBdr>
      <w:divsChild>
        <w:div w:id="1413967491">
          <w:marLeft w:val="0"/>
          <w:marRight w:val="1"/>
          <w:marTop w:val="0"/>
          <w:marBottom w:val="0"/>
          <w:divBdr>
            <w:top w:val="none" w:sz="0" w:space="0" w:color="auto"/>
            <w:left w:val="none" w:sz="0" w:space="0" w:color="auto"/>
            <w:bottom w:val="none" w:sz="0" w:space="0" w:color="auto"/>
            <w:right w:val="none" w:sz="0" w:space="0" w:color="auto"/>
          </w:divBdr>
          <w:divsChild>
            <w:div w:id="1072431370">
              <w:marLeft w:val="0"/>
              <w:marRight w:val="0"/>
              <w:marTop w:val="0"/>
              <w:marBottom w:val="0"/>
              <w:divBdr>
                <w:top w:val="none" w:sz="0" w:space="0" w:color="auto"/>
                <w:left w:val="none" w:sz="0" w:space="0" w:color="auto"/>
                <w:bottom w:val="none" w:sz="0" w:space="0" w:color="auto"/>
                <w:right w:val="none" w:sz="0" w:space="0" w:color="auto"/>
              </w:divBdr>
              <w:divsChild>
                <w:div w:id="1005671708">
                  <w:marLeft w:val="0"/>
                  <w:marRight w:val="1"/>
                  <w:marTop w:val="0"/>
                  <w:marBottom w:val="0"/>
                  <w:divBdr>
                    <w:top w:val="none" w:sz="0" w:space="0" w:color="auto"/>
                    <w:left w:val="none" w:sz="0" w:space="0" w:color="auto"/>
                    <w:bottom w:val="none" w:sz="0" w:space="0" w:color="auto"/>
                    <w:right w:val="none" w:sz="0" w:space="0" w:color="auto"/>
                  </w:divBdr>
                  <w:divsChild>
                    <w:div w:id="298151281">
                      <w:marLeft w:val="0"/>
                      <w:marRight w:val="0"/>
                      <w:marTop w:val="0"/>
                      <w:marBottom w:val="0"/>
                      <w:divBdr>
                        <w:top w:val="none" w:sz="0" w:space="0" w:color="auto"/>
                        <w:left w:val="none" w:sz="0" w:space="0" w:color="auto"/>
                        <w:bottom w:val="none" w:sz="0" w:space="0" w:color="auto"/>
                        <w:right w:val="none" w:sz="0" w:space="0" w:color="auto"/>
                      </w:divBdr>
                      <w:divsChild>
                        <w:div w:id="1322463639">
                          <w:marLeft w:val="0"/>
                          <w:marRight w:val="0"/>
                          <w:marTop w:val="0"/>
                          <w:marBottom w:val="0"/>
                          <w:divBdr>
                            <w:top w:val="none" w:sz="0" w:space="0" w:color="auto"/>
                            <w:left w:val="none" w:sz="0" w:space="0" w:color="auto"/>
                            <w:bottom w:val="none" w:sz="0" w:space="0" w:color="auto"/>
                            <w:right w:val="none" w:sz="0" w:space="0" w:color="auto"/>
                          </w:divBdr>
                          <w:divsChild>
                            <w:div w:id="169218852">
                              <w:marLeft w:val="0"/>
                              <w:marRight w:val="0"/>
                              <w:marTop w:val="120"/>
                              <w:marBottom w:val="360"/>
                              <w:divBdr>
                                <w:top w:val="none" w:sz="0" w:space="0" w:color="auto"/>
                                <w:left w:val="none" w:sz="0" w:space="0" w:color="auto"/>
                                <w:bottom w:val="none" w:sz="0" w:space="0" w:color="auto"/>
                                <w:right w:val="none" w:sz="0" w:space="0" w:color="auto"/>
                              </w:divBdr>
                              <w:divsChild>
                                <w:div w:id="1909343894">
                                  <w:marLeft w:val="0"/>
                                  <w:marRight w:val="0"/>
                                  <w:marTop w:val="0"/>
                                  <w:marBottom w:val="0"/>
                                  <w:divBdr>
                                    <w:top w:val="none" w:sz="0" w:space="0" w:color="auto"/>
                                    <w:left w:val="none" w:sz="0" w:space="0" w:color="auto"/>
                                    <w:bottom w:val="none" w:sz="0" w:space="0" w:color="auto"/>
                                    <w:right w:val="none" w:sz="0" w:space="0" w:color="auto"/>
                                  </w:divBdr>
                                  <w:divsChild>
                                    <w:div w:id="14357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656106">
      <w:bodyDiv w:val="1"/>
      <w:marLeft w:val="0"/>
      <w:marRight w:val="0"/>
      <w:marTop w:val="0"/>
      <w:marBottom w:val="0"/>
      <w:divBdr>
        <w:top w:val="none" w:sz="0" w:space="0" w:color="auto"/>
        <w:left w:val="none" w:sz="0" w:space="0" w:color="auto"/>
        <w:bottom w:val="none" w:sz="0" w:space="0" w:color="auto"/>
        <w:right w:val="none" w:sz="0" w:space="0" w:color="auto"/>
      </w:divBdr>
      <w:divsChild>
        <w:div w:id="283007117">
          <w:marLeft w:val="0"/>
          <w:marRight w:val="1"/>
          <w:marTop w:val="0"/>
          <w:marBottom w:val="0"/>
          <w:divBdr>
            <w:top w:val="none" w:sz="0" w:space="0" w:color="auto"/>
            <w:left w:val="none" w:sz="0" w:space="0" w:color="auto"/>
            <w:bottom w:val="none" w:sz="0" w:space="0" w:color="auto"/>
            <w:right w:val="none" w:sz="0" w:space="0" w:color="auto"/>
          </w:divBdr>
          <w:divsChild>
            <w:div w:id="2146240533">
              <w:marLeft w:val="0"/>
              <w:marRight w:val="0"/>
              <w:marTop w:val="0"/>
              <w:marBottom w:val="0"/>
              <w:divBdr>
                <w:top w:val="none" w:sz="0" w:space="0" w:color="auto"/>
                <w:left w:val="none" w:sz="0" w:space="0" w:color="auto"/>
                <w:bottom w:val="none" w:sz="0" w:space="0" w:color="auto"/>
                <w:right w:val="none" w:sz="0" w:space="0" w:color="auto"/>
              </w:divBdr>
              <w:divsChild>
                <w:div w:id="498620969">
                  <w:marLeft w:val="0"/>
                  <w:marRight w:val="1"/>
                  <w:marTop w:val="0"/>
                  <w:marBottom w:val="0"/>
                  <w:divBdr>
                    <w:top w:val="none" w:sz="0" w:space="0" w:color="auto"/>
                    <w:left w:val="none" w:sz="0" w:space="0" w:color="auto"/>
                    <w:bottom w:val="none" w:sz="0" w:space="0" w:color="auto"/>
                    <w:right w:val="none" w:sz="0" w:space="0" w:color="auto"/>
                  </w:divBdr>
                  <w:divsChild>
                    <w:div w:id="1876116469">
                      <w:marLeft w:val="0"/>
                      <w:marRight w:val="0"/>
                      <w:marTop w:val="0"/>
                      <w:marBottom w:val="0"/>
                      <w:divBdr>
                        <w:top w:val="none" w:sz="0" w:space="0" w:color="auto"/>
                        <w:left w:val="none" w:sz="0" w:space="0" w:color="auto"/>
                        <w:bottom w:val="none" w:sz="0" w:space="0" w:color="auto"/>
                        <w:right w:val="none" w:sz="0" w:space="0" w:color="auto"/>
                      </w:divBdr>
                      <w:divsChild>
                        <w:div w:id="840662398">
                          <w:marLeft w:val="0"/>
                          <w:marRight w:val="0"/>
                          <w:marTop w:val="0"/>
                          <w:marBottom w:val="0"/>
                          <w:divBdr>
                            <w:top w:val="none" w:sz="0" w:space="0" w:color="auto"/>
                            <w:left w:val="none" w:sz="0" w:space="0" w:color="auto"/>
                            <w:bottom w:val="none" w:sz="0" w:space="0" w:color="auto"/>
                            <w:right w:val="none" w:sz="0" w:space="0" w:color="auto"/>
                          </w:divBdr>
                          <w:divsChild>
                            <w:div w:id="705720629">
                              <w:marLeft w:val="0"/>
                              <w:marRight w:val="0"/>
                              <w:marTop w:val="120"/>
                              <w:marBottom w:val="360"/>
                              <w:divBdr>
                                <w:top w:val="none" w:sz="0" w:space="0" w:color="auto"/>
                                <w:left w:val="none" w:sz="0" w:space="0" w:color="auto"/>
                                <w:bottom w:val="none" w:sz="0" w:space="0" w:color="auto"/>
                                <w:right w:val="none" w:sz="0" w:space="0" w:color="auto"/>
                              </w:divBdr>
                              <w:divsChild>
                                <w:div w:id="33429817">
                                  <w:marLeft w:val="0"/>
                                  <w:marRight w:val="0"/>
                                  <w:marTop w:val="0"/>
                                  <w:marBottom w:val="0"/>
                                  <w:divBdr>
                                    <w:top w:val="none" w:sz="0" w:space="0" w:color="auto"/>
                                    <w:left w:val="none" w:sz="0" w:space="0" w:color="auto"/>
                                    <w:bottom w:val="none" w:sz="0" w:space="0" w:color="auto"/>
                                    <w:right w:val="none" w:sz="0" w:space="0" w:color="auto"/>
                                  </w:divBdr>
                                  <w:divsChild>
                                    <w:div w:id="94695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447360">
      <w:bodyDiv w:val="1"/>
      <w:marLeft w:val="0"/>
      <w:marRight w:val="0"/>
      <w:marTop w:val="0"/>
      <w:marBottom w:val="0"/>
      <w:divBdr>
        <w:top w:val="none" w:sz="0" w:space="0" w:color="auto"/>
        <w:left w:val="none" w:sz="0" w:space="0" w:color="auto"/>
        <w:bottom w:val="none" w:sz="0" w:space="0" w:color="auto"/>
        <w:right w:val="none" w:sz="0" w:space="0" w:color="auto"/>
      </w:divBdr>
      <w:divsChild>
        <w:div w:id="1725520711">
          <w:marLeft w:val="0"/>
          <w:marRight w:val="1"/>
          <w:marTop w:val="0"/>
          <w:marBottom w:val="0"/>
          <w:divBdr>
            <w:top w:val="none" w:sz="0" w:space="0" w:color="auto"/>
            <w:left w:val="none" w:sz="0" w:space="0" w:color="auto"/>
            <w:bottom w:val="none" w:sz="0" w:space="0" w:color="auto"/>
            <w:right w:val="none" w:sz="0" w:space="0" w:color="auto"/>
          </w:divBdr>
          <w:divsChild>
            <w:div w:id="1301954951">
              <w:marLeft w:val="0"/>
              <w:marRight w:val="0"/>
              <w:marTop w:val="0"/>
              <w:marBottom w:val="0"/>
              <w:divBdr>
                <w:top w:val="none" w:sz="0" w:space="0" w:color="auto"/>
                <w:left w:val="none" w:sz="0" w:space="0" w:color="auto"/>
                <w:bottom w:val="none" w:sz="0" w:space="0" w:color="auto"/>
                <w:right w:val="none" w:sz="0" w:space="0" w:color="auto"/>
              </w:divBdr>
              <w:divsChild>
                <w:div w:id="1238898745">
                  <w:marLeft w:val="0"/>
                  <w:marRight w:val="1"/>
                  <w:marTop w:val="0"/>
                  <w:marBottom w:val="0"/>
                  <w:divBdr>
                    <w:top w:val="none" w:sz="0" w:space="0" w:color="auto"/>
                    <w:left w:val="none" w:sz="0" w:space="0" w:color="auto"/>
                    <w:bottom w:val="none" w:sz="0" w:space="0" w:color="auto"/>
                    <w:right w:val="none" w:sz="0" w:space="0" w:color="auto"/>
                  </w:divBdr>
                  <w:divsChild>
                    <w:div w:id="1337809791">
                      <w:marLeft w:val="0"/>
                      <w:marRight w:val="0"/>
                      <w:marTop w:val="0"/>
                      <w:marBottom w:val="0"/>
                      <w:divBdr>
                        <w:top w:val="none" w:sz="0" w:space="0" w:color="auto"/>
                        <w:left w:val="none" w:sz="0" w:space="0" w:color="auto"/>
                        <w:bottom w:val="none" w:sz="0" w:space="0" w:color="auto"/>
                        <w:right w:val="none" w:sz="0" w:space="0" w:color="auto"/>
                      </w:divBdr>
                      <w:divsChild>
                        <w:div w:id="1968582348">
                          <w:marLeft w:val="0"/>
                          <w:marRight w:val="0"/>
                          <w:marTop w:val="0"/>
                          <w:marBottom w:val="0"/>
                          <w:divBdr>
                            <w:top w:val="none" w:sz="0" w:space="0" w:color="auto"/>
                            <w:left w:val="none" w:sz="0" w:space="0" w:color="auto"/>
                            <w:bottom w:val="none" w:sz="0" w:space="0" w:color="auto"/>
                            <w:right w:val="none" w:sz="0" w:space="0" w:color="auto"/>
                          </w:divBdr>
                          <w:divsChild>
                            <w:div w:id="1817793842">
                              <w:marLeft w:val="0"/>
                              <w:marRight w:val="0"/>
                              <w:marTop w:val="120"/>
                              <w:marBottom w:val="360"/>
                              <w:divBdr>
                                <w:top w:val="none" w:sz="0" w:space="0" w:color="auto"/>
                                <w:left w:val="none" w:sz="0" w:space="0" w:color="auto"/>
                                <w:bottom w:val="none" w:sz="0" w:space="0" w:color="auto"/>
                                <w:right w:val="none" w:sz="0" w:space="0" w:color="auto"/>
                              </w:divBdr>
                              <w:divsChild>
                                <w:div w:id="1254968435">
                                  <w:marLeft w:val="0"/>
                                  <w:marRight w:val="0"/>
                                  <w:marTop w:val="0"/>
                                  <w:marBottom w:val="0"/>
                                  <w:divBdr>
                                    <w:top w:val="none" w:sz="0" w:space="0" w:color="auto"/>
                                    <w:left w:val="none" w:sz="0" w:space="0" w:color="auto"/>
                                    <w:bottom w:val="none" w:sz="0" w:space="0" w:color="auto"/>
                                    <w:right w:val="none" w:sz="0" w:space="0" w:color="auto"/>
                                  </w:divBdr>
                                  <w:divsChild>
                                    <w:div w:id="16254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496112">
      <w:bodyDiv w:val="1"/>
      <w:marLeft w:val="0"/>
      <w:marRight w:val="0"/>
      <w:marTop w:val="0"/>
      <w:marBottom w:val="0"/>
      <w:divBdr>
        <w:top w:val="none" w:sz="0" w:space="0" w:color="auto"/>
        <w:left w:val="none" w:sz="0" w:space="0" w:color="auto"/>
        <w:bottom w:val="none" w:sz="0" w:space="0" w:color="auto"/>
        <w:right w:val="none" w:sz="0" w:space="0" w:color="auto"/>
      </w:divBdr>
      <w:divsChild>
        <w:div w:id="1995716300">
          <w:marLeft w:val="0"/>
          <w:marRight w:val="1"/>
          <w:marTop w:val="0"/>
          <w:marBottom w:val="0"/>
          <w:divBdr>
            <w:top w:val="none" w:sz="0" w:space="0" w:color="auto"/>
            <w:left w:val="none" w:sz="0" w:space="0" w:color="auto"/>
            <w:bottom w:val="none" w:sz="0" w:space="0" w:color="auto"/>
            <w:right w:val="none" w:sz="0" w:space="0" w:color="auto"/>
          </w:divBdr>
          <w:divsChild>
            <w:div w:id="905259861">
              <w:marLeft w:val="0"/>
              <w:marRight w:val="0"/>
              <w:marTop w:val="0"/>
              <w:marBottom w:val="0"/>
              <w:divBdr>
                <w:top w:val="none" w:sz="0" w:space="0" w:color="auto"/>
                <w:left w:val="none" w:sz="0" w:space="0" w:color="auto"/>
                <w:bottom w:val="none" w:sz="0" w:space="0" w:color="auto"/>
                <w:right w:val="none" w:sz="0" w:space="0" w:color="auto"/>
              </w:divBdr>
              <w:divsChild>
                <w:div w:id="1290165609">
                  <w:marLeft w:val="0"/>
                  <w:marRight w:val="1"/>
                  <w:marTop w:val="0"/>
                  <w:marBottom w:val="0"/>
                  <w:divBdr>
                    <w:top w:val="none" w:sz="0" w:space="0" w:color="auto"/>
                    <w:left w:val="none" w:sz="0" w:space="0" w:color="auto"/>
                    <w:bottom w:val="none" w:sz="0" w:space="0" w:color="auto"/>
                    <w:right w:val="none" w:sz="0" w:space="0" w:color="auto"/>
                  </w:divBdr>
                  <w:divsChild>
                    <w:div w:id="1115948932">
                      <w:marLeft w:val="0"/>
                      <w:marRight w:val="0"/>
                      <w:marTop w:val="0"/>
                      <w:marBottom w:val="0"/>
                      <w:divBdr>
                        <w:top w:val="none" w:sz="0" w:space="0" w:color="auto"/>
                        <w:left w:val="none" w:sz="0" w:space="0" w:color="auto"/>
                        <w:bottom w:val="none" w:sz="0" w:space="0" w:color="auto"/>
                        <w:right w:val="none" w:sz="0" w:space="0" w:color="auto"/>
                      </w:divBdr>
                      <w:divsChild>
                        <w:div w:id="412698974">
                          <w:marLeft w:val="0"/>
                          <w:marRight w:val="0"/>
                          <w:marTop w:val="0"/>
                          <w:marBottom w:val="0"/>
                          <w:divBdr>
                            <w:top w:val="none" w:sz="0" w:space="0" w:color="auto"/>
                            <w:left w:val="none" w:sz="0" w:space="0" w:color="auto"/>
                            <w:bottom w:val="none" w:sz="0" w:space="0" w:color="auto"/>
                            <w:right w:val="none" w:sz="0" w:space="0" w:color="auto"/>
                          </w:divBdr>
                          <w:divsChild>
                            <w:div w:id="980884062">
                              <w:marLeft w:val="0"/>
                              <w:marRight w:val="0"/>
                              <w:marTop w:val="120"/>
                              <w:marBottom w:val="360"/>
                              <w:divBdr>
                                <w:top w:val="none" w:sz="0" w:space="0" w:color="auto"/>
                                <w:left w:val="none" w:sz="0" w:space="0" w:color="auto"/>
                                <w:bottom w:val="none" w:sz="0" w:space="0" w:color="auto"/>
                                <w:right w:val="none" w:sz="0" w:space="0" w:color="auto"/>
                              </w:divBdr>
                              <w:divsChild>
                                <w:div w:id="1190605048">
                                  <w:marLeft w:val="0"/>
                                  <w:marRight w:val="0"/>
                                  <w:marTop w:val="0"/>
                                  <w:marBottom w:val="0"/>
                                  <w:divBdr>
                                    <w:top w:val="none" w:sz="0" w:space="0" w:color="auto"/>
                                    <w:left w:val="none" w:sz="0" w:space="0" w:color="auto"/>
                                    <w:bottom w:val="none" w:sz="0" w:space="0" w:color="auto"/>
                                    <w:right w:val="none" w:sz="0" w:space="0" w:color="auto"/>
                                  </w:divBdr>
                                  <w:divsChild>
                                    <w:div w:id="10789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522105">
      <w:bodyDiv w:val="1"/>
      <w:marLeft w:val="0"/>
      <w:marRight w:val="0"/>
      <w:marTop w:val="0"/>
      <w:marBottom w:val="0"/>
      <w:divBdr>
        <w:top w:val="none" w:sz="0" w:space="0" w:color="auto"/>
        <w:left w:val="none" w:sz="0" w:space="0" w:color="auto"/>
        <w:bottom w:val="none" w:sz="0" w:space="0" w:color="auto"/>
        <w:right w:val="none" w:sz="0" w:space="0" w:color="auto"/>
      </w:divBdr>
      <w:divsChild>
        <w:div w:id="1927500244">
          <w:marLeft w:val="0"/>
          <w:marRight w:val="1"/>
          <w:marTop w:val="0"/>
          <w:marBottom w:val="0"/>
          <w:divBdr>
            <w:top w:val="none" w:sz="0" w:space="0" w:color="auto"/>
            <w:left w:val="none" w:sz="0" w:space="0" w:color="auto"/>
            <w:bottom w:val="none" w:sz="0" w:space="0" w:color="auto"/>
            <w:right w:val="none" w:sz="0" w:space="0" w:color="auto"/>
          </w:divBdr>
          <w:divsChild>
            <w:div w:id="372775023">
              <w:marLeft w:val="0"/>
              <w:marRight w:val="0"/>
              <w:marTop w:val="0"/>
              <w:marBottom w:val="0"/>
              <w:divBdr>
                <w:top w:val="none" w:sz="0" w:space="0" w:color="auto"/>
                <w:left w:val="none" w:sz="0" w:space="0" w:color="auto"/>
                <w:bottom w:val="none" w:sz="0" w:space="0" w:color="auto"/>
                <w:right w:val="none" w:sz="0" w:space="0" w:color="auto"/>
              </w:divBdr>
              <w:divsChild>
                <w:div w:id="619651725">
                  <w:marLeft w:val="0"/>
                  <w:marRight w:val="1"/>
                  <w:marTop w:val="0"/>
                  <w:marBottom w:val="0"/>
                  <w:divBdr>
                    <w:top w:val="none" w:sz="0" w:space="0" w:color="auto"/>
                    <w:left w:val="none" w:sz="0" w:space="0" w:color="auto"/>
                    <w:bottom w:val="none" w:sz="0" w:space="0" w:color="auto"/>
                    <w:right w:val="none" w:sz="0" w:space="0" w:color="auto"/>
                  </w:divBdr>
                  <w:divsChild>
                    <w:div w:id="559947882">
                      <w:marLeft w:val="0"/>
                      <w:marRight w:val="0"/>
                      <w:marTop w:val="0"/>
                      <w:marBottom w:val="0"/>
                      <w:divBdr>
                        <w:top w:val="none" w:sz="0" w:space="0" w:color="auto"/>
                        <w:left w:val="none" w:sz="0" w:space="0" w:color="auto"/>
                        <w:bottom w:val="none" w:sz="0" w:space="0" w:color="auto"/>
                        <w:right w:val="none" w:sz="0" w:space="0" w:color="auto"/>
                      </w:divBdr>
                      <w:divsChild>
                        <w:div w:id="1665887537">
                          <w:marLeft w:val="0"/>
                          <w:marRight w:val="0"/>
                          <w:marTop w:val="0"/>
                          <w:marBottom w:val="0"/>
                          <w:divBdr>
                            <w:top w:val="none" w:sz="0" w:space="0" w:color="auto"/>
                            <w:left w:val="none" w:sz="0" w:space="0" w:color="auto"/>
                            <w:bottom w:val="none" w:sz="0" w:space="0" w:color="auto"/>
                            <w:right w:val="none" w:sz="0" w:space="0" w:color="auto"/>
                          </w:divBdr>
                          <w:divsChild>
                            <w:div w:id="284700588">
                              <w:marLeft w:val="0"/>
                              <w:marRight w:val="0"/>
                              <w:marTop w:val="120"/>
                              <w:marBottom w:val="360"/>
                              <w:divBdr>
                                <w:top w:val="none" w:sz="0" w:space="0" w:color="auto"/>
                                <w:left w:val="none" w:sz="0" w:space="0" w:color="auto"/>
                                <w:bottom w:val="none" w:sz="0" w:space="0" w:color="auto"/>
                                <w:right w:val="none" w:sz="0" w:space="0" w:color="auto"/>
                              </w:divBdr>
                              <w:divsChild>
                                <w:div w:id="1861356198">
                                  <w:marLeft w:val="0"/>
                                  <w:marRight w:val="0"/>
                                  <w:marTop w:val="0"/>
                                  <w:marBottom w:val="0"/>
                                  <w:divBdr>
                                    <w:top w:val="none" w:sz="0" w:space="0" w:color="auto"/>
                                    <w:left w:val="none" w:sz="0" w:space="0" w:color="auto"/>
                                    <w:bottom w:val="none" w:sz="0" w:space="0" w:color="auto"/>
                                    <w:right w:val="none" w:sz="0" w:space="0" w:color="auto"/>
                                  </w:divBdr>
                                  <w:divsChild>
                                    <w:div w:id="20864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927256">
      <w:bodyDiv w:val="1"/>
      <w:marLeft w:val="0"/>
      <w:marRight w:val="0"/>
      <w:marTop w:val="0"/>
      <w:marBottom w:val="0"/>
      <w:divBdr>
        <w:top w:val="none" w:sz="0" w:space="0" w:color="auto"/>
        <w:left w:val="none" w:sz="0" w:space="0" w:color="auto"/>
        <w:bottom w:val="none" w:sz="0" w:space="0" w:color="auto"/>
        <w:right w:val="none" w:sz="0" w:space="0" w:color="auto"/>
      </w:divBdr>
      <w:divsChild>
        <w:div w:id="1330059604">
          <w:marLeft w:val="0"/>
          <w:marRight w:val="1"/>
          <w:marTop w:val="0"/>
          <w:marBottom w:val="0"/>
          <w:divBdr>
            <w:top w:val="none" w:sz="0" w:space="0" w:color="auto"/>
            <w:left w:val="none" w:sz="0" w:space="0" w:color="auto"/>
            <w:bottom w:val="none" w:sz="0" w:space="0" w:color="auto"/>
            <w:right w:val="none" w:sz="0" w:space="0" w:color="auto"/>
          </w:divBdr>
          <w:divsChild>
            <w:div w:id="638463852">
              <w:marLeft w:val="0"/>
              <w:marRight w:val="0"/>
              <w:marTop w:val="0"/>
              <w:marBottom w:val="0"/>
              <w:divBdr>
                <w:top w:val="none" w:sz="0" w:space="0" w:color="auto"/>
                <w:left w:val="none" w:sz="0" w:space="0" w:color="auto"/>
                <w:bottom w:val="none" w:sz="0" w:space="0" w:color="auto"/>
                <w:right w:val="none" w:sz="0" w:space="0" w:color="auto"/>
              </w:divBdr>
              <w:divsChild>
                <w:div w:id="1063334132">
                  <w:marLeft w:val="0"/>
                  <w:marRight w:val="1"/>
                  <w:marTop w:val="0"/>
                  <w:marBottom w:val="0"/>
                  <w:divBdr>
                    <w:top w:val="none" w:sz="0" w:space="0" w:color="auto"/>
                    <w:left w:val="none" w:sz="0" w:space="0" w:color="auto"/>
                    <w:bottom w:val="none" w:sz="0" w:space="0" w:color="auto"/>
                    <w:right w:val="none" w:sz="0" w:space="0" w:color="auto"/>
                  </w:divBdr>
                  <w:divsChild>
                    <w:div w:id="1194883819">
                      <w:marLeft w:val="0"/>
                      <w:marRight w:val="0"/>
                      <w:marTop w:val="0"/>
                      <w:marBottom w:val="0"/>
                      <w:divBdr>
                        <w:top w:val="none" w:sz="0" w:space="0" w:color="auto"/>
                        <w:left w:val="none" w:sz="0" w:space="0" w:color="auto"/>
                        <w:bottom w:val="none" w:sz="0" w:space="0" w:color="auto"/>
                        <w:right w:val="none" w:sz="0" w:space="0" w:color="auto"/>
                      </w:divBdr>
                      <w:divsChild>
                        <w:div w:id="538666253">
                          <w:marLeft w:val="0"/>
                          <w:marRight w:val="0"/>
                          <w:marTop w:val="0"/>
                          <w:marBottom w:val="0"/>
                          <w:divBdr>
                            <w:top w:val="none" w:sz="0" w:space="0" w:color="auto"/>
                            <w:left w:val="none" w:sz="0" w:space="0" w:color="auto"/>
                            <w:bottom w:val="none" w:sz="0" w:space="0" w:color="auto"/>
                            <w:right w:val="none" w:sz="0" w:space="0" w:color="auto"/>
                          </w:divBdr>
                          <w:divsChild>
                            <w:div w:id="1390691320">
                              <w:marLeft w:val="0"/>
                              <w:marRight w:val="0"/>
                              <w:marTop w:val="120"/>
                              <w:marBottom w:val="360"/>
                              <w:divBdr>
                                <w:top w:val="none" w:sz="0" w:space="0" w:color="auto"/>
                                <w:left w:val="none" w:sz="0" w:space="0" w:color="auto"/>
                                <w:bottom w:val="none" w:sz="0" w:space="0" w:color="auto"/>
                                <w:right w:val="none" w:sz="0" w:space="0" w:color="auto"/>
                              </w:divBdr>
                              <w:divsChild>
                                <w:div w:id="783187288">
                                  <w:marLeft w:val="0"/>
                                  <w:marRight w:val="0"/>
                                  <w:marTop w:val="0"/>
                                  <w:marBottom w:val="0"/>
                                  <w:divBdr>
                                    <w:top w:val="none" w:sz="0" w:space="0" w:color="auto"/>
                                    <w:left w:val="none" w:sz="0" w:space="0" w:color="auto"/>
                                    <w:bottom w:val="none" w:sz="0" w:space="0" w:color="auto"/>
                                    <w:right w:val="none" w:sz="0" w:space="0" w:color="auto"/>
                                  </w:divBdr>
                                  <w:divsChild>
                                    <w:div w:id="16139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270394">
      <w:bodyDiv w:val="1"/>
      <w:marLeft w:val="0"/>
      <w:marRight w:val="0"/>
      <w:marTop w:val="0"/>
      <w:marBottom w:val="0"/>
      <w:divBdr>
        <w:top w:val="none" w:sz="0" w:space="0" w:color="auto"/>
        <w:left w:val="none" w:sz="0" w:space="0" w:color="auto"/>
        <w:bottom w:val="none" w:sz="0" w:space="0" w:color="auto"/>
        <w:right w:val="none" w:sz="0" w:space="0" w:color="auto"/>
      </w:divBdr>
      <w:divsChild>
        <w:div w:id="1535925463">
          <w:marLeft w:val="0"/>
          <w:marRight w:val="1"/>
          <w:marTop w:val="0"/>
          <w:marBottom w:val="0"/>
          <w:divBdr>
            <w:top w:val="none" w:sz="0" w:space="0" w:color="auto"/>
            <w:left w:val="none" w:sz="0" w:space="0" w:color="auto"/>
            <w:bottom w:val="none" w:sz="0" w:space="0" w:color="auto"/>
            <w:right w:val="none" w:sz="0" w:space="0" w:color="auto"/>
          </w:divBdr>
          <w:divsChild>
            <w:div w:id="1011175705">
              <w:marLeft w:val="0"/>
              <w:marRight w:val="0"/>
              <w:marTop w:val="0"/>
              <w:marBottom w:val="0"/>
              <w:divBdr>
                <w:top w:val="none" w:sz="0" w:space="0" w:color="auto"/>
                <w:left w:val="none" w:sz="0" w:space="0" w:color="auto"/>
                <w:bottom w:val="none" w:sz="0" w:space="0" w:color="auto"/>
                <w:right w:val="none" w:sz="0" w:space="0" w:color="auto"/>
              </w:divBdr>
              <w:divsChild>
                <w:div w:id="426922441">
                  <w:marLeft w:val="0"/>
                  <w:marRight w:val="1"/>
                  <w:marTop w:val="0"/>
                  <w:marBottom w:val="0"/>
                  <w:divBdr>
                    <w:top w:val="none" w:sz="0" w:space="0" w:color="auto"/>
                    <w:left w:val="none" w:sz="0" w:space="0" w:color="auto"/>
                    <w:bottom w:val="none" w:sz="0" w:space="0" w:color="auto"/>
                    <w:right w:val="none" w:sz="0" w:space="0" w:color="auto"/>
                  </w:divBdr>
                  <w:divsChild>
                    <w:div w:id="2002462106">
                      <w:marLeft w:val="0"/>
                      <w:marRight w:val="0"/>
                      <w:marTop w:val="0"/>
                      <w:marBottom w:val="0"/>
                      <w:divBdr>
                        <w:top w:val="none" w:sz="0" w:space="0" w:color="auto"/>
                        <w:left w:val="none" w:sz="0" w:space="0" w:color="auto"/>
                        <w:bottom w:val="none" w:sz="0" w:space="0" w:color="auto"/>
                        <w:right w:val="none" w:sz="0" w:space="0" w:color="auto"/>
                      </w:divBdr>
                      <w:divsChild>
                        <w:div w:id="694110733">
                          <w:marLeft w:val="0"/>
                          <w:marRight w:val="0"/>
                          <w:marTop w:val="0"/>
                          <w:marBottom w:val="0"/>
                          <w:divBdr>
                            <w:top w:val="none" w:sz="0" w:space="0" w:color="auto"/>
                            <w:left w:val="none" w:sz="0" w:space="0" w:color="auto"/>
                            <w:bottom w:val="none" w:sz="0" w:space="0" w:color="auto"/>
                            <w:right w:val="none" w:sz="0" w:space="0" w:color="auto"/>
                          </w:divBdr>
                          <w:divsChild>
                            <w:div w:id="1685746947">
                              <w:marLeft w:val="0"/>
                              <w:marRight w:val="0"/>
                              <w:marTop w:val="120"/>
                              <w:marBottom w:val="360"/>
                              <w:divBdr>
                                <w:top w:val="none" w:sz="0" w:space="0" w:color="auto"/>
                                <w:left w:val="none" w:sz="0" w:space="0" w:color="auto"/>
                                <w:bottom w:val="none" w:sz="0" w:space="0" w:color="auto"/>
                                <w:right w:val="none" w:sz="0" w:space="0" w:color="auto"/>
                              </w:divBdr>
                              <w:divsChild>
                                <w:div w:id="1999723482">
                                  <w:marLeft w:val="0"/>
                                  <w:marRight w:val="0"/>
                                  <w:marTop w:val="0"/>
                                  <w:marBottom w:val="0"/>
                                  <w:divBdr>
                                    <w:top w:val="none" w:sz="0" w:space="0" w:color="auto"/>
                                    <w:left w:val="none" w:sz="0" w:space="0" w:color="auto"/>
                                    <w:bottom w:val="none" w:sz="0" w:space="0" w:color="auto"/>
                                    <w:right w:val="none" w:sz="0" w:space="0" w:color="auto"/>
                                  </w:divBdr>
                                  <w:divsChild>
                                    <w:div w:id="7722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530067">
      <w:bodyDiv w:val="1"/>
      <w:marLeft w:val="0"/>
      <w:marRight w:val="0"/>
      <w:marTop w:val="0"/>
      <w:marBottom w:val="0"/>
      <w:divBdr>
        <w:top w:val="none" w:sz="0" w:space="0" w:color="auto"/>
        <w:left w:val="none" w:sz="0" w:space="0" w:color="auto"/>
        <w:bottom w:val="none" w:sz="0" w:space="0" w:color="auto"/>
        <w:right w:val="none" w:sz="0" w:space="0" w:color="auto"/>
      </w:divBdr>
    </w:div>
    <w:div w:id="1514146089">
      <w:bodyDiv w:val="1"/>
      <w:marLeft w:val="0"/>
      <w:marRight w:val="0"/>
      <w:marTop w:val="0"/>
      <w:marBottom w:val="0"/>
      <w:divBdr>
        <w:top w:val="none" w:sz="0" w:space="0" w:color="auto"/>
        <w:left w:val="none" w:sz="0" w:space="0" w:color="auto"/>
        <w:bottom w:val="none" w:sz="0" w:space="0" w:color="auto"/>
        <w:right w:val="none" w:sz="0" w:space="0" w:color="auto"/>
      </w:divBdr>
      <w:divsChild>
        <w:div w:id="1442913311">
          <w:marLeft w:val="0"/>
          <w:marRight w:val="1"/>
          <w:marTop w:val="0"/>
          <w:marBottom w:val="0"/>
          <w:divBdr>
            <w:top w:val="none" w:sz="0" w:space="0" w:color="auto"/>
            <w:left w:val="none" w:sz="0" w:space="0" w:color="auto"/>
            <w:bottom w:val="none" w:sz="0" w:space="0" w:color="auto"/>
            <w:right w:val="none" w:sz="0" w:space="0" w:color="auto"/>
          </w:divBdr>
          <w:divsChild>
            <w:div w:id="1408838681">
              <w:marLeft w:val="0"/>
              <w:marRight w:val="0"/>
              <w:marTop w:val="0"/>
              <w:marBottom w:val="0"/>
              <w:divBdr>
                <w:top w:val="none" w:sz="0" w:space="0" w:color="auto"/>
                <w:left w:val="none" w:sz="0" w:space="0" w:color="auto"/>
                <w:bottom w:val="none" w:sz="0" w:space="0" w:color="auto"/>
                <w:right w:val="none" w:sz="0" w:space="0" w:color="auto"/>
              </w:divBdr>
              <w:divsChild>
                <w:div w:id="2059430188">
                  <w:marLeft w:val="0"/>
                  <w:marRight w:val="1"/>
                  <w:marTop w:val="0"/>
                  <w:marBottom w:val="0"/>
                  <w:divBdr>
                    <w:top w:val="none" w:sz="0" w:space="0" w:color="auto"/>
                    <w:left w:val="none" w:sz="0" w:space="0" w:color="auto"/>
                    <w:bottom w:val="none" w:sz="0" w:space="0" w:color="auto"/>
                    <w:right w:val="none" w:sz="0" w:space="0" w:color="auto"/>
                  </w:divBdr>
                  <w:divsChild>
                    <w:div w:id="344327201">
                      <w:marLeft w:val="0"/>
                      <w:marRight w:val="0"/>
                      <w:marTop w:val="0"/>
                      <w:marBottom w:val="0"/>
                      <w:divBdr>
                        <w:top w:val="none" w:sz="0" w:space="0" w:color="auto"/>
                        <w:left w:val="none" w:sz="0" w:space="0" w:color="auto"/>
                        <w:bottom w:val="none" w:sz="0" w:space="0" w:color="auto"/>
                        <w:right w:val="none" w:sz="0" w:space="0" w:color="auto"/>
                      </w:divBdr>
                      <w:divsChild>
                        <w:div w:id="561252166">
                          <w:marLeft w:val="0"/>
                          <w:marRight w:val="0"/>
                          <w:marTop w:val="0"/>
                          <w:marBottom w:val="0"/>
                          <w:divBdr>
                            <w:top w:val="none" w:sz="0" w:space="0" w:color="auto"/>
                            <w:left w:val="none" w:sz="0" w:space="0" w:color="auto"/>
                            <w:bottom w:val="none" w:sz="0" w:space="0" w:color="auto"/>
                            <w:right w:val="none" w:sz="0" w:space="0" w:color="auto"/>
                          </w:divBdr>
                          <w:divsChild>
                            <w:div w:id="183594493">
                              <w:marLeft w:val="0"/>
                              <w:marRight w:val="0"/>
                              <w:marTop w:val="120"/>
                              <w:marBottom w:val="360"/>
                              <w:divBdr>
                                <w:top w:val="none" w:sz="0" w:space="0" w:color="auto"/>
                                <w:left w:val="none" w:sz="0" w:space="0" w:color="auto"/>
                                <w:bottom w:val="none" w:sz="0" w:space="0" w:color="auto"/>
                                <w:right w:val="none" w:sz="0" w:space="0" w:color="auto"/>
                              </w:divBdr>
                              <w:divsChild>
                                <w:div w:id="673411624">
                                  <w:marLeft w:val="0"/>
                                  <w:marRight w:val="0"/>
                                  <w:marTop w:val="0"/>
                                  <w:marBottom w:val="0"/>
                                  <w:divBdr>
                                    <w:top w:val="none" w:sz="0" w:space="0" w:color="auto"/>
                                    <w:left w:val="none" w:sz="0" w:space="0" w:color="auto"/>
                                    <w:bottom w:val="none" w:sz="0" w:space="0" w:color="auto"/>
                                    <w:right w:val="none" w:sz="0" w:space="0" w:color="auto"/>
                                  </w:divBdr>
                                  <w:divsChild>
                                    <w:div w:id="177747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521027">
      <w:bodyDiv w:val="1"/>
      <w:marLeft w:val="0"/>
      <w:marRight w:val="0"/>
      <w:marTop w:val="0"/>
      <w:marBottom w:val="0"/>
      <w:divBdr>
        <w:top w:val="none" w:sz="0" w:space="0" w:color="auto"/>
        <w:left w:val="none" w:sz="0" w:space="0" w:color="auto"/>
        <w:bottom w:val="none" w:sz="0" w:space="0" w:color="auto"/>
        <w:right w:val="none" w:sz="0" w:space="0" w:color="auto"/>
      </w:divBdr>
      <w:divsChild>
        <w:div w:id="242758939">
          <w:marLeft w:val="0"/>
          <w:marRight w:val="1"/>
          <w:marTop w:val="0"/>
          <w:marBottom w:val="0"/>
          <w:divBdr>
            <w:top w:val="none" w:sz="0" w:space="0" w:color="auto"/>
            <w:left w:val="none" w:sz="0" w:space="0" w:color="auto"/>
            <w:bottom w:val="none" w:sz="0" w:space="0" w:color="auto"/>
            <w:right w:val="none" w:sz="0" w:space="0" w:color="auto"/>
          </w:divBdr>
          <w:divsChild>
            <w:div w:id="300156568">
              <w:marLeft w:val="0"/>
              <w:marRight w:val="0"/>
              <w:marTop w:val="0"/>
              <w:marBottom w:val="0"/>
              <w:divBdr>
                <w:top w:val="none" w:sz="0" w:space="0" w:color="auto"/>
                <w:left w:val="none" w:sz="0" w:space="0" w:color="auto"/>
                <w:bottom w:val="none" w:sz="0" w:space="0" w:color="auto"/>
                <w:right w:val="none" w:sz="0" w:space="0" w:color="auto"/>
              </w:divBdr>
              <w:divsChild>
                <w:div w:id="1812862171">
                  <w:marLeft w:val="0"/>
                  <w:marRight w:val="1"/>
                  <w:marTop w:val="0"/>
                  <w:marBottom w:val="0"/>
                  <w:divBdr>
                    <w:top w:val="none" w:sz="0" w:space="0" w:color="auto"/>
                    <w:left w:val="none" w:sz="0" w:space="0" w:color="auto"/>
                    <w:bottom w:val="none" w:sz="0" w:space="0" w:color="auto"/>
                    <w:right w:val="none" w:sz="0" w:space="0" w:color="auto"/>
                  </w:divBdr>
                  <w:divsChild>
                    <w:div w:id="852764464">
                      <w:marLeft w:val="0"/>
                      <w:marRight w:val="0"/>
                      <w:marTop w:val="0"/>
                      <w:marBottom w:val="0"/>
                      <w:divBdr>
                        <w:top w:val="none" w:sz="0" w:space="0" w:color="auto"/>
                        <w:left w:val="none" w:sz="0" w:space="0" w:color="auto"/>
                        <w:bottom w:val="none" w:sz="0" w:space="0" w:color="auto"/>
                        <w:right w:val="none" w:sz="0" w:space="0" w:color="auto"/>
                      </w:divBdr>
                      <w:divsChild>
                        <w:div w:id="1841695055">
                          <w:marLeft w:val="0"/>
                          <w:marRight w:val="0"/>
                          <w:marTop w:val="0"/>
                          <w:marBottom w:val="0"/>
                          <w:divBdr>
                            <w:top w:val="none" w:sz="0" w:space="0" w:color="auto"/>
                            <w:left w:val="none" w:sz="0" w:space="0" w:color="auto"/>
                            <w:bottom w:val="none" w:sz="0" w:space="0" w:color="auto"/>
                            <w:right w:val="none" w:sz="0" w:space="0" w:color="auto"/>
                          </w:divBdr>
                          <w:divsChild>
                            <w:div w:id="470632936">
                              <w:marLeft w:val="0"/>
                              <w:marRight w:val="0"/>
                              <w:marTop w:val="120"/>
                              <w:marBottom w:val="360"/>
                              <w:divBdr>
                                <w:top w:val="none" w:sz="0" w:space="0" w:color="auto"/>
                                <w:left w:val="none" w:sz="0" w:space="0" w:color="auto"/>
                                <w:bottom w:val="none" w:sz="0" w:space="0" w:color="auto"/>
                                <w:right w:val="none" w:sz="0" w:space="0" w:color="auto"/>
                              </w:divBdr>
                              <w:divsChild>
                                <w:div w:id="1503349999">
                                  <w:marLeft w:val="0"/>
                                  <w:marRight w:val="0"/>
                                  <w:marTop w:val="0"/>
                                  <w:marBottom w:val="0"/>
                                  <w:divBdr>
                                    <w:top w:val="none" w:sz="0" w:space="0" w:color="auto"/>
                                    <w:left w:val="none" w:sz="0" w:space="0" w:color="auto"/>
                                    <w:bottom w:val="none" w:sz="0" w:space="0" w:color="auto"/>
                                    <w:right w:val="none" w:sz="0" w:space="0" w:color="auto"/>
                                  </w:divBdr>
                                  <w:divsChild>
                                    <w:div w:id="138714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982880">
      <w:bodyDiv w:val="1"/>
      <w:marLeft w:val="0"/>
      <w:marRight w:val="0"/>
      <w:marTop w:val="0"/>
      <w:marBottom w:val="0"/>
      <w:divBdr>
        <w:top w:val="none" w:sz="0" w:space="0" w:color="auto"/>
        <w:left w:val="none" w:sz="0" w:space="0" w:color="auto"/>
        <w:bottom w:val="none" w:sz="0" w:space="0" w:color="auto"/>
        <w:right w:val="none" w:sz="0" w:space="0" w:color="auto"/>
      </w:divBdr>
      <w:divsChild>
        <w:div w:id="56713215">
          <w:marLeft w:val="0"/>
          <w:marRight w:val="1"/>
          <w:marTop w:val="0"/>
          <w:marBottom w:val="0"/>
          <w:divBdr>
            <w:top w:val="none" w:sz="0" w:space="0" w:color="auto"/>
            <w:left w:val="none" w:sz="0" w:space="0" w:color="auto"/>
            <w:bottom w:val="none" w:sz="0" w:space="0" w:color="auto"/>
            <w:right w:val="none" w:sz="0" w:space="0" w:color="auto"/>
          </w:divBdr>
          <w:divsChild>
            <w:div w:id="830946091">
              <w:marLeft w:val="0"/>
              <w:marRight w:val="0"/>
              <w:marTop w:val="0"/>
              <w:marBottom w:val="0"/>
              <w:divBdr>
                <w:top w:val="none" w:sz="0" w:space="0" w:color="auto"/>
                <w:left w:val="none" w:sz="0" w:space="0" w:color="auto"/>
                <w:bottom w:val="none" w:sz="0" w:space="0" w:color="auto"/>
                <w:right w:val="none" w:sz="0" w:space="0" w:color="auto"/>
              </w:divBdr>
              <w:divsChild>
                <w:div w:id="1916627723">
                  <w:marLeft w:val="0"/>
                  <w:marRight w:val="1"/>
                  <w:marTop w:val="0"/>
                  <w:marBottom w:val="0"/>
                  <w:divBdr>
                    <w:top w:val="none" w:sz="0" w:space="0" w:color="auto"/>
                    <w:left w:val="none" w:sz="0" w:space="0" w:color="auto"/>
                    <w:bottom w:val="none" w:sz="0" w:space="0" w:color="auto"/>
                    <w:right w:val="none" w:sz="0" w:space="0" w:color="auto"/>
                  </w:divBdr>
                  <w:divsChild>
                    <w:div w:id="627316260">
                      <w:marLeft w:val="0"/>
                      <w:marRight w:val="0"/>
                      <w:marTop w:val="0"/>
                      <w:marBottom w:val="0"/>
                      <w:divBdr>
                        <w:top w:val="none" w:sz="0" w:space="0" w:color="auto"/>
                        <w:left w:val="none" w:sz="0" w:space="0" w:color="auto"/>
                        <w:bottom w:val="none" w:sz="0" w:space="0" w:color="auto"/>
                        <w:right w:val="none" w:sz="0" w:space="0" w:color="auto"/>
                      </w:divBdr>
                      <w:divsChild>
                        <w:div w:id="36977949">
                          <w:marLeft w:val="0"/>
                          <w:marRight w:val="0"/>
                          <w:marTop w:val="0"/>
                          <w:marBottom w:val="0"/>
                          <w:divBdr>
                            <w:top w:val="none" w:sz="0" w:space="0" w:color="auto"/>
                            <w:left w:val="none" w:sz="0" w:space="0" w:color="auto"/>
                            <w:bottom w:val="none" w:sz="0" w:space="0" w:color="auto"/>
                            <w:right w:val="none" w:sz="0" w:space="0" w:color="auto"/>
                          </w:divBdr>
                          <w:divsChild>
                            <w:div w:id="980505139">
                              <w:marLeft w:val="0"/>
                              <w:marRight w:val="0"/>
                              <w:marTop w:val="120"/>
                              <w:marBottom w:val="360"/>
                              <w:divBdr>
                                <w:top w:val="none" w:sz="0" w:space="0" w:color="auto"/>
                                <w:left w:val="none" w:sz="0" w:space="0" w:color="auto"/>
                                <w:bottom w:val="none" w:sz="0" w:space="0" w:color="auto"/>
                                <w:right w:val="none" w:sz="0" w:space="0" w:color="auto"/>
                              </w:divBdr>
                              <w:divsChild>
                                <w:div w:id="63652777">
                                  <w:marLeft w:val="0"/>
                                  <w:marRight w:val="0"/>
                                  <w:marTop w:val="0"/>
                                  <w:marBottom w:val="0"/>
                                  <w:divBdr>
                                    <w:top w:val="none" w:sz="0" w:space="0" w:color="auto"/>
                                    <w:left w:val="none" w:sz="0" w:space="0" w:color="auto"/>
                                    <w:bottom w:val="none" w:sz="0" w:space="0" w:color="auto"/>
                                    <w:right w:val="none" w:sz="0" w:space="0" w:color="auto"/>
                                  </w:divBdr>
                                  <w:divsChild>
                                    <w:div w:id="15615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199415">
      <w:bodyDiv w:val="1"/>
      <w:marLeft w:val="0"/>
      <w:marRight w:val="0"/>
      <w:marTop w:val="0"/>
      <w:marBottom w:val="0"/>
      <w:divBdr>
        <w:top w:val="none" w:sz="0" w:space="0" w:color="auto"/>
        <w:left w:val="none" w:sz="0" w:space="0" w:color="auto"/>
        <w:bottom w:val="none" w:sz="0" w:space="0" w:color="auto"/>
        <w:right w:val="none" w:sz="0" w:space="0" w:color="auto"/>
      </w:divBdr>
      <w:divsChild>
        <w:div w:id="2131197483">
          <w:marLeft w:val="0"/>
          <w:marRight w:val="1"/>
          <w:marTop w:val="0"/>
          <w:marBottom w:val="0"/>
          <w:divBdr>
            <w:top w:val="none" w:sz="0" w:space="0" w:color="auto"/>
            <w:left w:val="none" w:sz="0" w:space="0" w:color="auto"/>
            <w:bottom w:val="none" w:sz="0" w:space="0" w:color="auto"/>
            <w:right w:val="none" w:sz="0" w:space="0" w:color="auto"/>
          </w:divBdr>
          <w:divsChild>
            <w:div w:id="1158615625">
              <w:marLeft w:val="0"/>
              <w:marRight w:val="0"/>
              <w:marTop w:val="0"/>
              <w:marBottom w:val="0"/>
              <w:divBdr>
                <w:top w:val="none" w:sz="0" w:space="0" w:color="auto"/>
                <w:left w:val="none" w:sz="0" w:space="0" w:color="auto"/>
                <w:bottom w:val="none" w:sz="0" w:space="0" w:color="auto"/>
                <w:right w:val="none" w:sz="0" w:space="0" w:color="auto"/>
              </w:divBdr>
              <w:divsChild>
                <w:div w:id="2047631235">
                  <w:marLeft w:val="0"/>
                  <w:marRight w:val="1"/>
                  <w:marTop w:val="0"/>
                  <w:marBottom w:val="0"/>
                  <w:divBdr>
                    <w:top w:val="none" w:sz="0" w:space="0" w:color="auto"/>
                    <w:left w:val="none" w:sz="0" w:space="0" w:color="auto"/>
                    <w:bottom w:val="none" w:sz="0" w:space="0" w:color="auto"/>
                    <w:right w:val="none" w:sz="0" w:space="0" w:color="auto"/>
                  </w:divBdr>
                  <w:divsChild>
                    <w:div w:id="1164709185">
                      <w:marLeft w:val="0"/>
                      <w:marRight w:val="0"/>
                      <w:marTop w:val="0"/>
                      <w:marBottom w:val="0"/>
                      <w:divBdr>
                        <w:top w:val="none" w:sz="0" w:space="0" w:color="auto"/>
                        <w:left w:val="none" w:sz="0" w:space="0" w:color="auto"/>
                        <w:bottom w:val="none" w:sz="0" w:space="0" w:color="auto"/>
                        <w:right w:val="none" w:sz="0" w:space="0" w:color="auto"/>
                      </w:divBdr>
                      <w:divsChild>
                        <w:div w:id="994727063">
                          <w:marLeft w:val="0"/>
                          <w:marRight w:val="0"/>
                          <w:marTop w:val="0"/>
                          <w:marBottom w:val="0"/>
                          <w:divBdr>
                            <w:top w:val="none" w:sz="0" w:space="0" w:color="auto"/>
                            <w:left w:val="none" w:sz="0" w:space="0" w:color="auto"/>
                            <w:bottom w:val="none" w:sz="0" w:space="0" w:color="auto"/>
                            <w:right w:val="none" w:sz="0" w:space="0" w:color="auto"/>
                          </w:divBdr>
                          <w:divsChild>
                            <w:div w:id="770979678">
                              <w:marLeft w:val="0"/>
                              <w:marRight w:val="0"/>
                              <w:marTop w:val="120"/>
                              <w:marBottom w:val="360"/>
                              <w:divBdr>
                                <w:top w:val="none" w:sz="0" w:space="0" w:color="auto"/>
                                <w:left w:val="none" w:sz="0" w:space="0" w:color="auto"/>
                                <w:bottom w:val="none" w:sz="0" w:space="0" w:color="auto"/>
                                <w:right w:val="none" w:sz="0" w:space="0" w:color="auto"/>
                              </w:divBdr>
                              <w:divsChild>
                                <w:div w:id="726495031">
                                  <w:marLeft w:val="0"/>
                                  <w:marRight w:val="0"/>
                                  <w:marTop w:val="0"/>
                                  <w:marBottom w:val="0"/>
                                  <w:divBdr>
                                    <w:top w:val="none" w:sz="0" w:space="0" w:color="auto"/>
                                    <w:left w:val="none" w:sz="0" w:space="0" w:color="auto"/>
                                    <w:bottom w:val="none" w:sz="0" w:space="0" w:color="auto"/>
                                    <w:right w:val="none" w:sz="0" w:space="0" w:color="auto"/>
                                  </w:divBdr>
                                  <w:divsChild>
                                    <w:div w:id="200948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078920">
      <w:bodyDiv w:val="1"/>
      <w:marLeft w:val="0"/>
      <w:marRight w:val="0"/>
      <w:marTop w:val="0"/>
      <w:marBottom w:val="0"/>
      <w:divBdr>
        <w:top w:val="none" w:sz="0" w:space="0" w:color="auto"/>
        <w:left w:val="none" w:sz="0" w:space="0" w:color="auto"/>
        <w:bottom w:val="none" w:sz="0" w:space="0" w:color="auto"/>
        <w:right w:val="none" w:sz="0" w:space="0" w:color="auto"/>
      </w:divBdr>
      <w:divsChild>
        <w:div w:id="67534209">
          <w:marLeft w:val="0"/>
          <w:marRight w:val="1"/>
          <w:marTop w:val="0"/>
          <w:marBottom w:val="0"/>
          <w:divBdr>
            <w:top w:val="none" w:sz="0" w:space="0" w:color="auto"/>
            <w:left w:val="none" w:sz="0" w:space="0" w:color="auto"/>
            <w:bottom w:val="none" w:sz="0" w:space="0" w:color="auto"/>
            <w:right w:val="none" w:sz="0" w:space="0" w:color="auto"/>
          </w:divBdr>
          <w:divsChild>
            <w:div w:id="1809204005">
              <w:marLeft w:val="0"/>
              <w:marRight w:val="0"/>
              <w:marTop w:val="0"/>
              <w:marBottom w:val="0"/>
              <w:divBdr>
                <w:top w:val="none" w:sz="0" w:space="0" w:color="auto"/>
                <w:left w:val="none" w:sz="0" w:space="0" w:color="auto"/>
                <w:bottom w:val="none" w:sz="0" w:space="0" w:color="auto"/>
                <w:right w:val="none" w:sz="0" w:space="0" w:color="auto"/>
              </w:divBdr>
              <w:divsChild>
                <w:div w:id="647130866">
                  <w:marLeft w:val="0"/>
                  <w:marRight w:val="1"/>
                  <w:marTop w:val="0"/>
                  <w:marBottom w:val="0"/>
                  <w:divBdr>
                    <w:top w:val="none" w:sz="0" w:space="0" w:color="auto"/>
                    <w:left w:val="none" w:sz="0" w:space="0" w:color="auto"/>
                    <w:bottom w:val="none" w:sz="0" w:space="0" w:color="auto"/>
                    <w:right w:val="none" w:sz="0" w:space="0" w:color="auto"/>
                  </w:divBdr>
                  <w:divsChild>
                    <w:div w:id="2122331841">
                      <w:marLeft w:val="0"/>
                      <w:marRight w:val="0"/>
                      <w:marTop w:val="0"/>
                      <w:marBottom w:val="0"/>
                      <w:divBdr>
                        <w:top w:val="none" w:sz="0" w:space="0" w:color="auto"/>
                        <w:left w:val="none" w:sz="0" w:space="0" w:color="auto"/>
                        <w:bottom w:val="none" w:sz="0" w:space="0" w:color="auto"/>
                        <w:right w:val="none" w:sz="0" w:space="0" w:color="auto"/>
                      </w:divBdr>
                      <w:divsChild>
                        <w:div w:id="961376097">
                          <w:marLeft w:val="0"/>
                          <w:marRight w:val="0"/>
                          <w:marTop w:val="0"/>
                          <w:marBottom w:val="0"/>
                          <w:divBdr>
                            <w:top w:val="none" w:sz="0" w:space="0" w:color="auto"/>
                            <w:left w:val="none" w:sz="0" w:space="0" w:color="auto"/>
                            <w:bottom w:val="none" w:sz="0" w:space="0" w:color="auto"/>
                            <w:right w:val="none" w:sz="0" w:space="0" w:color="auto"/>
                          </w:divBdr>
                          <w:divsChild>
                            <w:div w:id="1157114137">
                              <w:marLeft w:val="0"/>
                              <w:marRight w:val="0"/>
                              <w:marTop w:val="120"/>
                              <w:marBottom w:val="360"/>
                              <w:divBdr>
                                <w:top w:val="none" w:sz="0" w:space="0" w:color="auto"/>
                                <w:left w:val="none" w:sz="0" w:space="0" w:color="auto"/>
                                <w:bottom w:val="none" w:sz="0" w:space="0" w:color="auto"/>
                                <w:right w:val="none" w:sz="0" w:space="0" w:color="auto"/>
                              </w:divBdr>
                              <w:divsChild>
                                <w:div w:id="1661080519">
                                  <w:marLeft w:val="0"/>
                                  <w:marRight w:val="0"/>
                                  <w:marTop w:val="0"/>
                                  <w:marBottom w:val="0"/>
                                  <w:divBdr>
                                    <w:top w:val="none" w:sz="0" w:space="0" w:color="auto"/>
                                    <w:left w:val="none" w:sz="0" w:space="0" w:color="auto"/>
                                    <w:bottom w:val="none" w:sz="0" w:space="0" w:color="auto"/>
                                    <w:right w:val="none" w:sz="0" w:space="0" w:color="auto"/>
                                  </w:divBdr>
                                  <w:divsChild>
                                    <w:div w:id="2009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836979">
      <w:bodyDiv w:val="1"/>
      <w:marLeft w:val="0"/>
      <w:marRight w:val="0"/>
      <w:marTop w:val="0"/>
      <w:marBottom w:val="0"/>
      <w:divBdr>
        <w:top w:val="none" w:sz="0" w:space="0" w:color="auto"/>
        <w:left w:val="none" w:sz="0" w:space="0" w:color="auto"/>
        <w:bottom w:val="none" w:sz="0" w:space="0" w:color="auto"/>
        <w:right w:val="none" w:sz="0" w:space="0" w:color="auto"/>
      </w:divBdr>
      <w:divsChild>
        <w:div w:id="978723588">
          <w:marLeft w:val="0"/>
          <w:marRight w:val="1"/>
          <w:marTop w:val="0"/>
          <w:marBottom w:val="0"/>
          <w:divBdr>
            <w:top w:val="none" w:sz="0" w:space="0" w:color="auto"/>
            <w:left w:val="none" w:sz="0" w:space="0" w:color="auto"/>
            <w:bottom w:val="none" w:sz="0" w:space="0" w:color="auto"/>
            <w:right w:val="none" w:sz="0" w:space="0" w:color="auto"/>
          </w:divBdr>
          <w:divsChild>
            <w:div w:id="659231997">
              <w:marLeft w:val="0"/>
              <w:marRight w:val="0"/>
              <w:marTop w:val="0"/>
              <w:marBottom w:val="0"/>
              <w:divBdr>
                <w:top w:val="none" w:sz="0" w:space="0" w:color="auto"/>
                <w:left w:val="none" w:sz="0" w:space="0" w:color="auto"/>
                <w:bottom w:val="none" w:sz="0" w:space="0" w:color="auto"/>
                <w:right w:val="none" w:sz="0" w:space="0" w:color="auto"/>
              </w:divBdr>
              <w:divsChild>
                <w:div w:id="520243853">
                  <w:marLeft w:val="0"/>
                  <w:marRight w:val="1"/>
                  <w:marTop w:val="0"/>
                  <w:marBottom w:val="0"/>
                  <w:divBdr>
                    <w:top w:val="none" w:sz="0" w:space="0" w:color="auto"/>
                    <w:left w:val="none" w:sz="0" w:space="0" w:color="auto"/>
                    <w:bottom w:val="none" w:sz="0" w:space="0" w:color="auto"/>
                    <w:right w:val="none" w:sz="0" w:space="0" w:color="auto"/>
                  </w:divBdr>
                  <w:divsChild>
                    <w:div w:id="2146921517">
                      <w:marLeft w:val="0"/>
                      <w:marRight w:val="0"/>
                      <w:marTop w:val="0"/>
                      <w:marBottom w:val="0"/>
                      <w:divBdr>
                        <w:top w:val="none" w:sz="0" w:space="0" w:color="auto"/>
                        <w:left w:val="none" w:sz="0" w:space="0" w:color="auto"/>
                        <w:bottom w:val="none" w:sz="0" w:space="0" w:color="auto"/>
                        <w:right w:val="none" w:sz="0" w:space="0" w:color="auto"/>
                      </w:divBdr>
                      <w:divsChild>
                        <w:div w:id="739861538">
                          <w:marLeft w:val="0"/>
                          <w:marRight w:val="0"/>
                          <w:marTop w:val="0"/>
                          <w:marBottom w:val="0"/>
                          <w:divBdr>
                            <w:top w:val="none" w:sz="0" w:space="0" w:color="auto"/>
                            <w:left w:val="none" w:sz="0" w:space="0" w:color="auto"/>
                            <w:bottom w:val="none" w:sz="0" w:space="0" w:color="auto"/>
                            <w:right w:val="none" w:sz="0" w:space="0" w:color="auto"/>
                          </w:divBdr>
                          <w:divsChild>
                            <w:div w:id="1379357019">
                              <w:marLeft w:val="0"/>
                              <w:marRight w:val="0"/>
                              <w:marTop w:val="120"/>
                              <w:marBottom w:val="360"/>
                              <w:divBdr>
                                <w:top w:val="none" w:sz="0" w:space="0" w:color="auto"/>
                                <w:left w:val="none" w:sz="0" w:space="0" w:color="auto"/>
                                <w:bottom w:val="none" w:sz="0" w:space="0" w:color="auto"/>
                                <w:right w:val="none" w:sz="0" w:space="0" w:color="auto"/>
                              </w:divBdr>
                              <w:divsChild>
                                <w:div w:id="600770202">
                                  <w:marLeft w:val="0"/>
                                  <w:marRight w:val="0"/>
                                  <w:marTop w:val="0"/>
                                  <w:marBottom w:val="0"/>
                                  <w:divBdr>
                                    <w:top w:val="none" w:sz="0" w:space="0" w:color="auto"/>
                                    <w:left w:val="none" w:sz="0" w:space="0" w:color="auto"/>
                                    <w:bottom w:val="none" w:sz="0" w:space="0" w:color="auto"/>
                                    <w:right w:val="none" w:sz="0" w:space="0" w:color="auto"/>
                                  </w:divBdr>
                                  <w:divsChild>
                                    <w:div w:id="842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4146571">
      <w:bodyDiv w:val="1"/>
      <w:marLeft w:val="0"/>
      <w:marRight w:val="0"/>
      <w:marTop w:val="0"/>
      <w:marBottom w:val="0"/>
      <w:divBdr>
        <w:top w:val="none" w:sz="0" w:space="0" w:color="auto"/>
        <w:left w:val="none" w:sz="0" w:space="0" w:color="auto"/>
        <w:bottom w:val="none" w:sz="0" w:space="0" w:color="auto"/>
        <w:right w:val="none" w:sz="0" w:space="0" w:color="auto"/>
      </w:divBdr>
      <w:divsChild>
        <w:div w:id="365983518">
          <w:marLeft w:val="0"/>
          <w:marRight w:val="1"/>
          <w:marTop w:val="0"/>
          <w:marBottom w:val="0"/>
          <w:divBdr>
            <w:top w:val="none" w:sz="0" w:space="0" w:color="auto"/>
            <w:left w:val="none" w:sz="0" w:space="0" w:color="auto"/>
            <w:bottom w:val="none" w:sz="0" w:space="0" w:color="auto"/>
            <w:right w:val="none" w:sz="0" w:space="0" w:color="auto"/>
          </w:divBdr>
          <w:divsChild>
            <w:div w:id="250505848">
              <w:marLeft w:val="0"/>
              <w:marRight w:val="0"/>
              <w:marTop w:val="0"/>
              <w:marBottom w:val="0"/>
              <w:divBdr>
                <w:top w:val="none" w:sz="0" w:space="0" w:color="auto"/>
                <w:left w:val="none" w:sz="0" w:space="0" w:color="auto"/>
                <w:bottom w:val="none" w:sz="0" w:space="0" w:color="auto"/>
                <w:right w:val="none" w:sz="0" w:space="0" w:color="auto"/>
              </w:divBdr>
              <w:divsChild>
                <w:div w:id="145558846">
                  <w:marLeft w:val="0"/>
                  <w:marRight w:val="1"/>
                  <w:marTop w:val="0"/>
                  <w:marBottom w:val="0"/>
                  <w:divBdr>
                    <w:top w:val="none" w:sz="0" w:space="0" w:color="auto"/>
                    <w:left w:val="none" w:sz="0" w:space="0" w:color="auto"/>
                    <w:bottom w:val="none" w:sz="0" w:space="0" w:color="auto"/>
                    <w:right w:val="none" w:sz="0" w:space="0" w:color="auto"/>
                  </w:divBdr>
                  <w:divsChild>
                    <w:div w:id="989402187">
                      <w:marLeft w:val="0"/>
                      <w:marRight w:val="0"/>
                      <w:marTop w:val="0"/>
                      <w:marBottom w:val="0"/>
                      <w:divBdr>
                        <w:top w:val="none" w:sz="0" w:space="0" w:color="auto"/>
                        <w:left w:val="none" w:sz="0" w:space="0" w:color="auto"/>
                        <w:bottom w:val="none" w:sz="0" w:space="0" w:color="auto"/>
                        <w:right w:val="none" w:sz="0" w:space="0" w:color="auto"/>
                      </w:divBdr>
                      <w:divsChild>
                        <w:div w:id="1724479374">
                          <w:marLeft w:val="0"/>
                          <w:marRight w:val="0"/>
                          <w:marTop w:val="0"/>
                          <w:marBottom w:val="0"/>
                          <w:divBdr>
                            <w:top w:val="none" w:sz="0" w:space="0" w:color="auto"/>
                            <w:left w:val="none" w:sz="0" w:space="0" w:color="auto"/>
                            <w:bottom w:val="none" w:sz="0" w:space="0" w:color="auto"/>
                            <w:right w:val="none" w:sz="0" w:space="0" w:color="auto"/>
                          </w:divBdr>
                          <w:divsChild>
                            <w:div w:id="1613633757">
                              <w:marLeft w:val="0"/>
                              <w:marRight w:val="0"/>
                              <w:marTop w:val="120"/>
                              <w:marBottom w:val="360"/>
                              <w:divBdr>
                                <w:top w:val="none" w:sz="0" w:space="0" w:color="auto"/>
                                <w:left w:val="none" w:sz="0" w:space="0" w:color="auto"/>
                                <w:bottom w:val="none" w:sz="0" w:space="0" w:color="auto"/>
                                <w:right w:val="none" w:sz="0" w:space="0" w:color="auto"/>
                              </w:divBdr>
                              <w:divsChild>
                                <w:div w:id="1258900835">
                                  <w:marLeft w:val="0"/>
                                  <w:marRight w:val="0"/>
                                  <w:marTop w:val="0"/>
                                  <w:marBottom w:val="0"/>
                                  <w:divBdr>
                                    <w:top w:val="none" w:sz="0" w:space="0" w:color="auto"/>
                                    <w:left w:val="none" w:sz="0" w:space="0" w:color="auto"/>
                                    <w:bottom w:val="none" w:sz="0" w:space="0" w:color="auto"/>
                                    <w:right w:val="none" w:sz="0" w:space="0" w:color="auto"/>
                                  </w:divBdr>
                                  <w:divsChild>
                                    <w:div w:id="151434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1613280">
      <w:bodyDiv w:val="1"/>
      <w:marLeft w:val="0"/>
      <w:marRight w:val="0"/>
      <w:marTop w:val="0"/>
      <w:marBottom w:val="0"/>
      <w:divBdr>
        <w:top w:val="none" w:sz="0" w:space="0" w:color="auto"/>
        <w:left w:val="none" w:sz="0" w:space="0" w:color="auto"/>
        <w:bottom w:val="none" w:sz="0" w:space="0" w:color="auto"/>
        <w:right w:val="none" w:sz="0" w:space="0" w:color="auto"/>
      </w:divBdr>
      <w:divsChild>
        <w:div w:id="396051550">
          <w:marLeft w:val="0"/>
          <w:marRight w:val="1"/>
          <w:marTop w:val="0"/>
          <w:marBottom w:val="0"/>
          <w:divBdr>
            <w:top w:val="none" w:sz="0" w:space="0" w:color="auto"/>
            <w:left w:val="none" w:sz="0" w:space="0" w:color="auto"/>
            <w:bottom w:val="none" w:sz="0" w:space="0" w:color="auto"/>
            <w:right w:val="none" w:sz="0" w:space="0" w:color="auto"/>
          </w:divBdr>
          <w:divsChild>
            <w:div w:id="148522840">
              <w:marLeft w:val="0"/>
              <w:marRight w:val="0"/>
              <w:marTop w:val="0"/>
              <w:marBottom w:val="0"/>
              <w:divBdr>
                <w:top w:val="none" w:sz="0" w:space="0" w:color="auto"/>
                <w:left w:val="none" w:sz="0" w:space="0" w:color="auto"/>
                <w:bottom w:val="none" w:sz="0" w:space="0" w:color="auto"/>
                <w:right w:val="none" w:sz="0" w:space="0" w:color="auto"/>
              </w:divBdr>
              <w:divsChild>
                <w:div w:id="187986161">
                  <w:marLeft w:val="0"/>
                  <w:marRight w:val="1"/>
                  <w:marTop w:val="0"/>
                  <w:marBottom w:val="0"/>
                  <w:divBdr>
                    <w:top w:val="none" w:sz="0" w:space="0" w:color="auto"/>
                    <w:left w:val="none" w:sz="0" w:space="0" w:color="auto"/>
                    <w:bottom w:val="none" w:sz="0" w:space="0" w:color="auto"/>
                    <w:right w:val="none" w:sz="0" w:space="0" w:color="auto"/>
                  </w:divBdr>
                  <w:divsChild>
                    <w:div w:id="1235163385">
                      <w:marLeft w:val="0"/>
                      <w:marRight w:val="0"/>
                      <w:marTop w:val="0"/>
                      <w:marBottom w:val="0"/>
                      <w:divBdr>
                        <w:top w:val="none" w:sz="0" w:space="0" w:color="auto"/>
                        <w:left w:val="none" w:sz="0" w:space="0" w:color="auto"/>
                        <w:bottom w:val="none" w:sz="0" w:space="0" w:color="auto"/>
                        <w:right w:val="none" w:sz="0" w:space="0" w:color="auto"/>
                      </w:divBdr>
                      <w:divsChild>
                        <w:div w:id="379205207">
                          <w:marLeft w:val="0"/>
                          <w:marRight w:val="0"/>
                          <w:marTop w:val="0"/>
                          <w:marBottom w:val="0"/>
                          <w:divBdr>
                            <w:top w:val="none" w:sz="0" w:space="0" w:color="auto"/>
                            <w:left w:val="none" w:sz="0" w:space="0" w:color="auto"/>
                            <w:bottom w:val="none" w:sz="0" w:space="0" w:color="auto"/>
                            <w:right w:val="none" w:sz="0" w:space="0" w:color="auto"/>
                          </w:divBdr>
                          <w:divsChild>
                            <w:div w:id="925260880">
                              <w:marLeft w:val="0"/>
                              <w:marRight w:val="0"/>
                              <w:marTop w:val="120"/>
                              <w:marBottom w:val="360"/>
                              <w:divBdr>
                                <w:top w:val="none" w:sz="0" w:space="0" w:color="auto"/>
                                <w:left w:val="none" w:sz="0" w:space="0" w:color="auto"/>
                                <w:bottom w:val="none" w:sz="0" w:space="0" w:color="auto"/>
                                <w:right w:val="none" w:sz="0" w:space="0" w:color="auto"/>
                              </w:divBdr>
                              <w:divsChild>
                                <w:div w:id="1345479335">
                                  <w:marLeft w:val="0"/>
                                  <w:marRight w:val="0"/>
                                  <w:marTop w:val="0"/>
                                  <w:marBottom w:val="0"/>
                                  <w:divBdr>
                                    <w:top w:val="none" w:sz="0" w:space="0" w:color="auto"/>
                                    <w:left w:val="none" w:sz="0" w:space="0" w:color="auto"/>
                                    <w:bottom w:val="none" w:sz="0" w:space="0" w:color="auto"/>
                                    <w:right w:val="none" w:sz="0" w:space="0" w:color="auto"/>
                                  </w:divBdr>
                                  <w:divsChild>
                                    <w:div w:id="138991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471004">
      <w:bodyDiv w:val="1"/>
      <w:marLeft w:val="0"/>
      <w:marRight w:val="0"/>
      <w:marTop w:val="0"/>
      <w:marBottom w:val="0"/>
      <w:divBdr>
        <w:top w:val="none" w:sz="0" w:space="0" w:color="auto"/>
        <w:left w:val="none" w:sz="0" w:space="0" w:color="auto"/>
        <w:bottom w:val="none" w:sz="0" w:space="0" w:color="auto"/>
        <w:right w:val="none" w:sz="0" w:space="0" w:color="auto"/>
      </w:divBdr>
      <w:divsChild>
        <w:div w:id="544293999">
          <w:marLeft w:val="0"/>
          <w:marRight w:val="1"/>
          <w:marTop w:val="0"/>
          <w:marBottom w:val="0"/>
          <w:divBdr>
            <w:top w:val="none" w:sz="0" w:space="0" w:color="auto"/>
            <w:left w:val="none" w:sz="0" w:space="0" w:color="auto"/>
            <w:bottom w:val="none" w:sz="0" w:space="0" w:color="auto"/>
            <w:right w:val="none" w:sz="0" w:space="0" w:color="auto"/>
          </w:divBdr>
          <w:divsChild>
            <w:div w:id="1377581788">
              <w:marLeft w:val="0"/>
              <w:marRight w:val="0"/>
              <w:marTop w:val="0"/>
              <w:marBottom w:val="0"/>
              <w:divBdr>
                <w:top w:val="none" w:sz="0" w:space="0" w:color="auto"/>
                <w:left w:val="none" w:sz="0" w:space="0" w:color="auto"/>
                <w:bottom w:val="none" w:sz="0" w:space="0" w:color="auto"/>
                <w:right w:val="none" w:sz="0" w:space="0" w:color="auto"/>
              </w:divBdr>
              <w:divsChild>
                <w:div w:id="1853109707">
                  <w:marLeft w:val="0"/>
                  <w:marRight w:val="1"/>
                  <w:marTop w:val="0"/>
                  <w:marBottom w:val="0"/>
                  <w:divBdr>
                    <w:top w:val="none" w:sz="0" w:space="0" w:color="auto"/>
                    <w:left w:val="none" w:sz="0" w:space="0" w:color="auto"/>
                    <w:bottom w:val="none" w:sz="0" w:space="0" w:color="auto"/>
                    <w:right w:val="none" w:sz="0" w:space="0" w:color="auto"/>
                  </w:divBdr>
                  <w:divsChild>
                    <w:div w:id="82532368">
                      <w:marLeft w:val="0"/>
                      <w:marRight w:val="0"/>
                      <w:marTop w:val="0"/>
                      <w:marBottom w:val="0"/>
                      <w:divBdr>
                        <w:top w:val="none" w:sz="0" w:space="0" w:color="auto"/>
                        <w:left w:val="none" w:sz="0" w:space="0" w:color="auto"/>
                        <w:bottom w:val="none" w:sz="0" w:space="0" w:color="auto"/>
                        <w:right w:val="none" w:sz="0" w:space="0" w:color="auto"/>
                      </w:divBdr>
                      <w:divsChild>
                        <w:div w:id="964312445">
                          <w:marLeft w:val="0"/>
                          <w:marRight w:val="0"/>
                          <w:marTop w:val="0"/>
                          <w:marBottom w:val="0"/>
                          <w:divBdr>
                            <w:top w:val="none" w:sz="0" w:space="0" w:color="auto"/>
                            <w:left w:val="none" w:sz="0" w:space="0" w:color="auto"/>
                            <w:bottom w:val="none" w:sz="0" w:space="0" w:color="auto"/>
                            <w:right w:val="none" w:sz="0" w:space="0" w:color="auto"/>
                          </w:divBdr>
                          <w:divsChild>
                            <w:div w:id="1349941188">
                              <w:marLeft w:val="0"/>
                              <w:marRight w:val="0"/>
                              <w:marTop w:val="120"/>
                              <w:marBottom w:val="360"/>
                              <w:divBdr>
                                <w:top w:val="none" w:sz="0" w:space="0" w:color="auto"/>
                                <w:left w:val="none" w:sz="0" w:space="0" w:color="auto"/>
                                <w:bottom w:val="none" w:sz="0" w:space="0" w:color="auto"/>
                                <w:right w:val="none" w:sz="0" w:space="0" w:color="auto"/>
                              </w:divBdr>
                              <w:divsChild>
                                <w:div w:id="259263331">
                                  <w:marLeft w:val="0"/>
                                  <w:marRight w:val="0"/>
                                  <w:marTop w:val="0"/>
                                  <w:marBottom w:val="0"/>
                                  <w:divBdr>
                                    <w:top w:val="none" w:sz="0" w:space="0" w:color="auto"/>
                                    <w:left w:val="none" w:sz="0" w:space="0" w:color="auto"/>
                                    <w:bottom w:val="none" w:sz="0" w:space="0" w:color="auto"/>
                                    <w:right w:val="none" w:sz="0" w:space="0" w:color="auto"/>
                                  </w:divBdr>
                                  <w:divsChild>
                                    <w:div w:id="1963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9661423">
      <w:bodyDiv w:val="1"/>
      <w:marLeft w:val="0"/>
      <w:marRight w:val="0"/>
      <w:marTop w:val="0"/>
      <w:marBottom w:val="0"/>
      <w:divBdr>
        <w:top w:val="none" w:sz="0" w:space="0" w:color="auto"/>
        <w:left w:val="none" w:sz="0" w:space="0" w:color="auto"/>
        <w:bottom w:val="none" w:sz="0" w:space="0" w:color="auto"/>
        <w:right w:val="none" w:sz="0" w:space="0" w:color="auto"/>
      </w:divBdr>
    </w:div>
    <w:div w:id="1856798660">
      <w:bodyDiv w:val="1"/>
      <w:marLeft w:val="0"/>
      <w:marRight w:val="0"/>
      <w:marTop w:val="0"/>
      <w:marBottom w:val="0"/>
      <w:divBdr>
        <w:top w:val="none" w:sz="0" w:space="0" w:color="auto"/>
        <w:left w:val="none" w:sz="0" w:space="0" w:color="auto"/>
        <w:bottom w:val="none" w:sz="0" w:space="0" w:color="auto"/>
        <w:right w:val="none" w:sz="0" w:space="0" w:color="auto"/>
      </w:divBdr>
      <w:divsChild>
        <w:div w:id="1442915814">
          <w:marLeft w:val="0"/>
          <w:marRight w:val="1"/>
          <w:marTop w:val="0"/>
          <w:marBottom w:val="0"/>
          <w:divBdr>
            <w:top w:val="none" w:sz="0" w:space="0" w:color="auto"/>
            <w:left w:val="none" w:sz="0" w:space="0" w:color="auto"/>
            <w:bottom w:val="none" w:sz="0" w:space="0" w:color="auto"/>
            <w:right w:val="none" w:sz="0" w:space="0" w:color="auto"/>
          </w:divBdr>
          <w:divsChild>
            <w:div w:id="639964874">
              <w:marLeft w:val="0"/>
              <w:marRight w:val="0"/>
              <w:marTop w:val="0"/>
              <w:marBottom w:val="0"/>
              <w:divBdr>
                <w:top w:val="none" w:sz="0" w:space="0" w:color="auto"/>
                <w:left w:val="none" w:sz="0" w:space="0" w:color="auto"/>
                <w:bottom w:val="none" w:sz="0" w:space="0" w:color="auto"/>
                <w:right w:val="none" w:sz="0" w:space="0" w:color="auto"/>
              </w:divBdr>
              <w:divsChild>
                <w:div w:id="1274634524">
                  <w:marLeft w:val="0"/>
                  <w:marRight w:val="1"/>
                  <w:marTop w:val="0"/>
                  <w:marBottom w:val="0"/>
                  <w:divBdr>
                    <w:top w:val="none" w:sz="0" w:space="0" w:color="auto"/>
                    <w:left w:val="none" w:sz="0" w:space="0" w:color="auto"/>
                    <w:bottom w:val="none" w:sz="0" w:space="0" w:color="auto"/>
                    <w:right w:val="none" w:sz="0" w:space="0" w:color="auto"/>
                  </w:divBdr>
                  <w:divsChild>
                    <w:div w:id="769551526">
                      <w:marLeft w:val="0"/>
                      <w:marRight w:val="0"/>
                      <w:marTop w:val="0"/>
                      <w:marBottom w:val="0"/>
                      <w:divBdr>
                        <w:top w:val="none" w:sz="0" w:space="0" w:color="auto"/>
                        <w:left w:val="none" w:sz="0" w:space="0" w:color="auto"/>
                        <w:bottom w:val="none" w:sz="0" w:space="0" w:color="auto"/>
                        <w:right w:val="none" w:sz="0" w:space="0" w:color="auto"/>
                      </w:divBdr>
                      <w:divsChild>
                        <w:div w:id="550461094">
                          <w:marLeft w:val="0"/>
                          <w:marRight w:val="0"/>
                          <w:marTop w:val="0"/>
                          <w:marBottom w:val="0"/>
                          <w:divBdr>
                            <w:top w:val="none" w:sz="0" w:space="0" w:color="auto"/>
                            <w:left w:val="none" w:sz="0" w:space="0" w:color="auto"/>
                            <w:bottom w:val="none" w:sz="0" w:space="0" w:color="auto"/>
                            <w:right w:val="none" w:sz="0" w:space="0" w:color="auto"/>
                          </w:divBdr>
                          <w:divsChild>
                            <w:div w:id="1722054745">
                              <w:marLeft w:val="0"/>
                              <w:marRight w:val="0"/>
                              <w:marTop w:val="120"/>
                              <w:marBottom w:val="360"/>
                              <w:divBdr>
                                <w:top w:val="none" w:sz="0" w:space="0" w:color="auto"/>
                                <w:left w:val="none" w:sz="0" w:space="0" w:color="auto"/>
                                <w:bottom w:val="none" w:sz="0" w:space="0" w:color="auto"/>
                                <w:right w:val="none" w:sz="0" w:space="0" w:color="auto"/>
                              </w:divBdr>
                              <w:divsChild>
                                <w:div w:id="1696227044">
                                  <w:marLeft w:val="0"/>
                                  <w:marRight w:val="0"/>
                                  <w:marTop w:val="0"/>
                                  <w:marBottom w:val="0"/>
                                  <w:divBdr>
                                    <w:top w:val="none" w:sz="0" w:space="0" w:color="auto"/>
                                    <w:left w:val="none" w:sz="0" w:space="0" w:color="auto"/>
                                    <w:bottom w:val="none" w:sz="0" w:space="0" w:color="auto"/>
                                    <w:right w:val="none" w:sz="0" w:space="0" w:color="auto"/>
                                  </w:divBdr>
                                  <w:divsChild>
                                    <w:div w:id="143146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399894">
      <w:bodyDiv w:val="1"/>
      <w:marLeft w:val="0"/>
      <w:marRight w:val="0"/>
      <w:marTop w:val="0"/>
      <w:marBottom w:val="0"/>
      <w:divBdr>
        <w:top w:val="none" w:sz="0" w:space="0" w:color="auto"/>
        <w:left w:val="none" w:sz="0" w:space="0" w:color="auto"/>
        <w:bottom w:val="none" w:sz="0" w:space="0" w:color="auto"/>
        <w:right w:val="none" w:sz="0" w:space="0" w:color="auto"/>
      </w:divBdr>
      <w:divsChild>
        <w:div w:id="1886139342">
          <w:marLeft w:val="0"/>
          <w:marRight w:val="1"/>
          <w:marTop w:val="0"/>
          <w:marBottom w:val="0"/>
          <w:divBdr>
            <w:top w:val="none" w:sz="0" w:space="0" w:color="auto"/>
            <w:left w:val="none" w:sz="0" w:space="0" w:color="auto"/>
            <w:bottom w:val="none" w:sz="0" w:space="0" w:color="auto"/>
            <w:right w:val="none" w:sz="0" w:space="0" w:color="auto"/>
          </w:divBdr>
          <w:divsChild>
            <w:div w:id="707337307">
              <w:marLeft w:val="0"/>
              <w:marRight w:val="0"/>
              <w:marTop w:val="0"/>
              <w:marBottom w:val="0"/>
              <w:divBdr>
                <w:top w:val="none" w:sz="0" w:space="0" w:color="auto"/>
                <w:left w:val="none" w:sz="0" w:space="0" w:color="auto"/>
                <w:bottom w:val="none" w:sz="0" w:space="0" w:color="auto"/>
                <w:right w:val="none" w:sz="0" w:space="0" w:color="auto"/>
              </w:divBdr>
              <w:divsChild>
                <w:div w:id="2144543424">
                  <w:marLeft w:val="0"/>
                  <w:marRight w:val="1"/>
                  <w:marTop w:val="0"/>
                  <w:marBottom w:val="0"/>
                  <w:divBdr>
                    <w:top w:val="none" w:sz="0" w:space="0" w:color="auto"/>
                    <w:left w:val="none" w:sz="0" w:space="0" w:color="auto"/>
                    <w:bottom w:val="none" w:sz="0" w:space="0" w:color="auto"/>
                    <w:right w:val="none" w:sz="0" w:space="0" w:color="auto"/>
                  </w:divBdr>
                  <w:divsChild>
                    <w:div w:id="1413888171">
                      <w:marLeft w:val="0"/>
                      <w:marRight w:val="0"/>
                      <w:marTop w:val="0"/>
                      <w:marBottom w:val="0"/>
                      <w:divBdr>
                        <w:top w:val="none" w:sz="0" w:space="0" w:color="auto"/>
                        <w:left w:val="none" w:sz="0" w:space="0" w:color="auto"/>
                        <w:bottom w:val="none" w:sz="0" w:space="0" w:color="auto"/>
                        <w:right w:val="none" w:sz="0" w:space="0" w:color="auto"/>
                      </w:divBdr>
                      <w:divsChild>
                        <w:div w:id="1028457885">
                          <w:marLeft w:val="0"/>
                          <w:marRight w:val="0"/>
                          <w:marTop w:val="0"/>
                          <w:marBottom w:val="0"/>
                          <w:divBdr>
                            <w:top w:val="none" w:sz="0" w:space="0" w:color="auto"/>
                            <w:left w:val="none" w:sz="0" w:space="0" w:color="auto"/>
                            <w:bottom w:val="none" w:sz="0" w:space="0" w:color="auto"/>
                            <w:right w:val="none" w:sz="0" w:space="0" w:color="auto"/>
                          </w:divBdr>
                          <w:divsChild>
                            <w:div w:id="1709261039">
                              <w:marLeft w:val="0"/>
                              <w:marRight w:val="0"/>
                              <w:marTop w:val="120"/>
                              <w:marBottom w:val="360"/>
                              <w:divBdr>
                                <w:top w:val="none" w:sz="0" w:space="0" w:color="auto"/>
                                <w:left w:val="none" w:sz="0" w:space="0" w:color="auto"/>
                                <w:bottom w:val="none" w:sz="0" w:space="0" w:color="auto"/>
                                <w:right w:val="none" w:sz="0" w:space="0" w:color="auto"/>
                              </w:divBdr>
                              <w:divsChild>
                                <w:div w:id="103965108">
                                  <w:marLeft w:val="0"/>
                                  <w:marRight w:val="0"/>
                                  <w:marTop w:val="0"/>
                                  <w:marBottom w:val="0"/>
                                  <w:divBdr>
                                    <w:top w:val="none" w:sz="0" w:space="0" w:color="auto"/>
                                    <w:left w:val="none" w:sz="0" w:space="0" w:color="auto"/>
                                    <w:bottom w:val="none" w:sz="0" w:space="0" w:color="auto"/>
                                    <w:right w:val="none" w:sz="0" w:space="0" w:color="auto"/>
                                  </w:divBdr>
                                  <w:divsChild>
                                    <w:div w:id="18603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438676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28">
          <w:marLeft w:val="0"/>
          <w:marRight w:val="1"/>
          <w:marTop w:val="0"/>
          <w:marBottom w:val="0"/>
          <w:divBdr>
            <w:top w:val="none" w:sz="0" w:space="0" w:color="auto"/>
            <w:left w:val="none" w:sz="0" w:space="0" w:color="auto"/>
            <w:bottom w:val="none" w:sz="0" w:space="0" w:color="auto"/>
            <w:right w:val="none" w:sz="0" w:space="0" w:color="auto"/>
          </w:divBdr>
          <w:divsChild>
            <w:div w:id="1173182316">
              <w:marLeft w:val="0"/>
              <w:marRight w:val="0"/>
              <w:marTop w:val="0"/>
              <w:marBottom w:val="0"/>
              <w:divBdr>
                <w:top w:val="none" w:sz="0" w:space="0" w:color="auto"/>
                <w:left w:val="none" w:sz="0" w:space="0" w:color="auto"/>
                <w:bottom w:val="none" w:sz="0" w:space="0" w:color="auto"/>
                <w:right w:val="none" w:sz="0" w:space="0" w:color="auto"/>
              </w:divBdr>
              <w:divsChild>
                <w:div w:id="273826499">
                  <w:marLeft w:val="0"/>
                  <w:marRight w:val="1"/>
                  <w:marTop w:val="0"/>
                  <w:marBottom w:val="0"/>
                  <w:divBdr>
                    <w:top w:val="none" w:sz="0" w:space="0" w:color="auto"/>
                    <w:left w:val="none" w:sz="0" w:space="0" w:color="auto"/>
                    <w:bottom w:val="none" w:sz="0" w:space="0" w:color="auto"/>
                    <w:right w:val="none" w:sz="0" w:space="0" w:color="auto"/>
                  </w:divBdr>
                  <w:divsChild>
                    <w:div w:id="1444838706">
                      <w:marLeft w:val="0"/>
                      <w:marRight w:val="0"/>
                      <w:marTop w:val="0"/>
                      <w:marBottom w:val="0"/>
                      <w:divBdr>
                        <w:top w:val="none" w:sz="0" w:space="0" w:color="auto"/>
                        <w:left w:val="none" w:sz="0" w:space="0" w:color="auto"/>
                        <w:bottom w:val="none" w:sz="0" w:space="0" w:color="auto"/>
                        <w:right w:val="none" w:sz="0" w:space="0" w:color="auto"/>
                      </w:divBdr>
                      <w:divsChild>
                        <w:div w:id="1659848661">
                          <w:marLeft w:val="0"/>
                          <w:marRight w:val="0"/>
                          <w:marTop w:val="0"/>
                          <w:marBottom w:val="0"/>
                          <w:divBdr>
                            <w:top w:val="none" w:sz="0" w:space="0" w:color="auto"/>
                            <w:left w:val="none" w:sz="0" w:space="0" w:color="auto"/>
                            <w:bottom w:val="none" w:sz="0" w:space="0" w:color="auto"/>
                            <w:right w:val="none" w:sz="0" w:space="0" w:color="auto"/>
                          </w:divBdr>
                          <w:divsChild>
                            <w:div w:id="1525561310">
                              <w:marLeft w:val="0"/>
                              <w:marRight w:val="0"/>
                              <w:marTop w:val="120"/>
                              <w:marBottom w:val="360"/>
                              <w:divBdr>
                                <w:top w:val="none" w:sz="0" w:space="0" w:color="auto"/>
                                <w:left w:val="none" w:sz="0" w:space="0" w:color="auto"/>
                                <w:bottom w:val="none" w:sz="0" w:space="0" w:color="auto"/>
                                <w:right w:val="none" w:sz="0" w:space="0" w:color="auto"/>
                              </w:divBdr>
                              <w:divsChild>
                                <w:div w:id="1270164989">
                                  <w:marLeft w:val="0"/>
                                  <w:marRight w:val="0"/>
                                  <w:marTop w:val="0"/>
                                  <w:marBottom w:val="0"/>
                                  <w:divBdr>
                                    <w:top w:val="none" w:sz="0" w:space="0" w:color="auto"/>
                                    <w:left w:val="none" w:sz="0" w:space="0" w:color="auto"/>
                                    <w:bottom w:val="none" w:sz="0" w:space="0" w:color="auto"/>
                                    <w:right w:val="none" w:sz="0" w:space="0" w:color="auto"/>
                                  </w:divBdr>
                                  <w:divsChild>
                                    <w:div w:id="31445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327793">
      <w:bodyDiv w:val="1"/>
      <w:marLeft w:val="0"/>
      <w:marRight w:val="0"/>
      <w:marTop w:val="0"/>
      <w:marBottom w:val="0"/>
      <w:divBdr>
        <w:top w:val="none" w:sz="0" w:space="0" w:color="auto"/>
        <w:left w:val="none" w:sz="0" w:space="0" w:color="auto"/>
        <w:bottom w:val="none" w:sz="0" w:space="0" w:color="auto"/>
        <w:right w:val="none" w:sz="0" w:space="0" w:color="auto"/>
      </w:divBdr>
      <w:divsChild>
        <w:div w:id="561335701">
          <w:marLeft w:val="0"/>
          <w:marRight w:val="1"/>
          <w:marTop w:val="0"/>
          <w:marBottom w:val="0"/>
          <w:divBdr>
            <w:top w:val="none" w:sz="0" w:space="0" w:color="auto"/>
            <w:left w:val="none" w:sz="0" w:space="0" w:color="auto"/>
            <w:bottom w:val="none" w:sz="0" w:space="0" w:color="auto"/>
            <w:right w:val="none" w:sz="0" w:space="0" w:color="auto"/>
          </w:divBdr>
          <w:divsChild>
            <w:div w:id="1218780416">
              <w:marLeft w:val="0"/>
              <w:marRight w:val="0"/>
              <w:marTop w:val="0"/>
              <w:marBottom w:val="0"/>
              <w:divBdr>
                <w:top w:val="none" w:sz="0" w:space="0" w:color="auto"/>
                <w:left w:val="none" w:sz="0" w:space="0" w:color="auto"/>
                <w:bottom w:val="none" w:sz="0" w:space="0" w:color="auto"/>
                <w:right w:val="none" w:sz="0" w:space="0" w:color="auto"/>
              </w:divBdr>
              <w:divsChild>
                <w:div w:id="1318458615">
                  <w:marLeft w:val="0"/>
                  <w:marRight w:val="1"/>
                  <w:marTop w:val="0"/>
                  <w:marBottom w:val="0"/>
                  <w:divBdr>
                    <w:top w:val="none" w:sz="0" w:space="0" w:color="auto"/>
                    <w:left w:val="none" w:sz="0" w:space="0" w:color="auto"/>
                    <w:bottom w:val="none" w:sz="0" w:space="0" w:color="auto"/>
                    <w:right w:val="none" w:sz="0" w:space="0" w:color="auto"/>
                  </w:divBdr>
                  <w:divsChild>
                    <w:div w:id="206795482">
                      <w:marLeft w:val="0"/>
                      <w:marRight w:val="0"/>
                      <w:marTop w:val="0"/>
                      <w:marBottom w:val="0"/>
                      <w:divBdr>
                        <w:top w:val="none" w:sz="0" w:space="0" w:color="auto"/>
                        <w:left w:val="none" w:sz="0" w:space="0" w:color="auto"/>
                        <w:bottom w:val="none" w:sz="0" w:space="0" w:color="auto"/>
                        <w:right w:val="none" w:sz="0" w:space="0" w:color="auto"/>
                      </w:divBdr>
                      <w:divsChild>
                        <w:div w:id="163322175">
                          <w:marLeft w:val="0"/>
                          <w:marRight w:val="0"/>
                          <w:marTop w:val="0"/>
                          <w:marBottom w:val="0"/>
                          <w:divBdr>
                            <w:top w:val="none" w:sz="0" w:space="0" w:color="auto"/>
                            <w:left w:val="none" w:sz="0" w:space="0" w:color="auto"/>
                            <w:bottom w:val="none" w:sz="0" w:space="0" w:color="auto"/>
                            <w:right w:val="none" w:sz="0" w:space="0" w:color="auto"/>
                          </w:divBdr>
                          <w:divsChild>
                            <w:div w:id="332881513">
                              <w:marLeft w:val="0"/>
                              <w:marRight w:val="0"/>
                              <w:marTop w:val="120"/>
                              <w:marBottom w:val="360"/>
                              <w:divBdr>
                                <w:top w:val="none" w:sz="0" w:space="0" w:color="auto"/>
                                <w:left w:val="none" w:sz="0" w:space="0" w:color="auto"/>
                                <w:bottom w:val="none" w:sz="0" w:space="0" w:color="auto"/>
                                <w:right w:val="none" w:sz="0" w:space="0" w:color="auto"/>
                              </w:divBdr>
                              <w:divsChild>
                                <w:div w:id="1124154212">
                                  <w:marLeft w:val="0"/>
                                  <w:marRight w:val="0"/>
                                  <w:marTop w:val="0"/>
                                  <w:marBottom w:val="0"/>
                                  <w:divBdr>
                                    <w:top w:val="none" w:sz="0" w:space="0" w:color="auto"/>
                                    <w:left w:val="none" w:sz="0" w:space="0" w:color="auto"/>
                                    <w:bottom w:val="none" w:sz="0" w:space="0" w:color="auto"/>
                                    <w:right w:val="none" w:sz="0" w:space="0" w:color="auto"/>
                                  </w:divBdr>
                                  <w:divsChild>
                                    <w:div w:id="14285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530005">
      <w:bodyDiv w:val="1"/>
      <w:marLeft w:val="0"/>
      <w:marRight w:val="0"/>
      <w:marTop w:val="0"/>
      <w:marBottom w:val="0"/>
      <w:divBdr>
        <w:top w:val="none" w:sz="0" w:space="0" w:color="auto"/>
        <w:left w:val="none" w:sz="0" w:space="0" w:color="auto"/>
        <w:bottom w:val="none" w:sz="0" w:space="0" w:color="auto"/>
        <w:right w:val="none" w:sz="0" w:space="0" w:color="auto"/>
      </w:divBdr>
      <w:divsChild>
        <w:div w:id="861358602">
          <w:marLeft w:val="0"/>
          <w:marRight w:val="1"/>
          <w:marTop w:val="0"/>
          <w:marBottom w:val="0"/>
          <w:divBdr>
            <w:top w:val="none" w:sz="0" w:space="0" w:color="auto"/>
            <w:left w:val="none" w:sz="0" w:space="0" w:color="auto"/>
            <w:bottom w:val="none" w:sz="0" w:space="0" w:color="auto"/>
            <w:right w:val="none" w:sz="0" w:space="0" w:color="auto"/>
          </w:divBdr>
          <w:divsChild>
            <w:div w:id="57553077">
              <w:marLeft w:val="0"/>
              <w:marRight w:val="0"/>
              <w:marTop w:val="0"/>
              <w:marBottom w:val="0"/>
              <w:divBdr>
                <w:top w:val="none" w:sz="0" w:space="0" w:color="auto"/>
                <w:left w:val="none" w:sz="0" w:space="0" w:color="auto"/>
                <w:bottom w:val="none" w:sz="0" w:space="0" w:color="auto"/>
                <w:right w:val="none" w:sz="0" w:space="0" w:color="auto"/>
              </w:divBdr>
              <w:divsChild>
                <w:div w:id="1063215284">
                  <w:marLeft w:val="0"/>
                  <w:marRight w:val="1"/>
                  <w:marTop w:val="0"/>
                  <w:marBottom w:val="0"/>
                  <w:divBdr>
                    <w:top w:val="none" w:sz="0" w:space="0" w:color="auto"/>
                    <w:left w:val="none" w:sz="0" w:space="0" w:color="auto"/>
                    <w:bottom w:val="none" w:sz="0" w:space="0" w:color="auto"/>
                    <w:right w:val="none" w:sz="0" w:space="0" w:color="auto"/>
                  </w:divBdr>
                  <w:divsChild>
                    <w:div w:id="385446044">
                      <w:marLeft w:val="0"/>
                      <w:marRight w:val="0"/>
                      <w:marTop w:val="0"/>
                      <w:marBottom w:val="0"/>
                      <w:divBdr>
                        <w:top w:val="none" w:sz="0" w:space="0" w:color="auto"/>
                        <w:left w:val="none" w:sz="0" w:space="0" w:color="auto"/>
                        <w:bottom w:val="none" w:sz="0" w:space="0" w:color="auto"/>
                        <w:right w:val="none" w:sz="0" w:space="0" w:color="auto"/>
                      </w:divBdr>
                      <w:divsChild>
                        <w:div w:id="1923106174">
                          <w:marLeft w:val="0"/>
                          <w:marRight w:val="0"/>
                          <w:marTop w:val="0"/>
                          <w:marBottom w:val="0"/>
                          <w:divBdr>
                            <w:top w:val="none" w:sz="0" w:space="0" w:color="auto"/>
                            <w:left w:val="none" w:sz="0" w:space="0" w:color="auto"/>
                            <w:bottom w:val="none" w:sz="0" w:space="0" w:color="auto"/>
                            <w:right w:val="none" w:sz="0" w:space="0" w:color="auto"/>
                          </w:divBdr>
                          <w:divsChild>
                            <w:div w:id="2032219366">
                              <w:marLeft w:val="0"/>
                              <w:marRight w:val="0"/>
                              <w:marTop w:val="120"/>
                              <w:marBottom w:val="360"/>
                              <w:divBdr>
                                <w:top w:val="none" w:sz="0" w:space="0" w:color="auto"/>
                                <w:left w:val="none" w:sz="0" w:space="0" w:color="auto"/>
                                <w:bottom w:val="none" w:sz="0" w:space="0" w:color="auto"/>
                                <w:right w:val="none" w:sz="0" w:space="0" w:color="auto"/>
                              </w:divBdr>
                              <w:divsChild>
                                <w:div w:id="1368338815">
                                  <w:marLeft w:val="0"/>
                                  <w:marRight w:val="0"/>
                                  <w:marTop w:val="0"/>
                                  <w:marBottom w:val="0"/>
                                  <w:divBdr>
                                    <w:top w:val="none" w:sz="0" w:space="0" w:color="auto"/>
                                    <w:left w:val="none" w:sz="0" w:space="0" w:color="auto"/>
                                    <w:bottom w:val="none" w:sz="0" w:space="0" w:color="auto"/>
                                    <w:right w:val="none" w:sz="0" w:space="0" w:color="auto"/>
                                  </w:divBdr>
                                  <w:divsChild>
                                    <w:div w:id="17486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7929</Words>
  <Characters>45199</Characters>
  <Application>Microsoft Office Word</Application>
  <DocSecurity>0</DocSecurity>
  <Lines>376</Lines>
  <Paragraphs>106</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53022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Lian-Sheng Ma</cp:lastModifiedBy>
  <cp:revision>2</cp:revision>
  <dcterms:created xsi:type="dcterms:W3CDTF">2019-02-23T02:24:00Z</dcterms:created>
  <dcterms:modified xsi:type="dcterms:W3CDTF">2019-02-23T02:24:00Z</dcterms:modified>
</cp:coreProperties>
</file>