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6A7AE" w14:textId="5A4B986C" w:rsidR="0011752B" w:rsidRPr="00AE154B" w:rsidRDefault="006D6F04" w:rsidP="00AE154B">
      <w:pPr>
        <w:pStyle w:val="Heading1"/>
        <w:spacing w:before="0" w:line="360" w:lineRule="auto"/>
        <w:ind w:left="0" w:right="390"/>
        <w:jc w:val="both"/>
        <w:rPr>
          <w:rFonts w:ascii="Book Antiqua" w:hAnsi="Book Antiqua"/>
          <w:b w:val="0"/>
          <w:bCs w:val="0"/>
          <w:i/>
        </w:rPr>
      </w:pPr>
      <w:bookmarkStart w:id="0" w:name="_GoBack"/>
      <w:bookmarkEnd w:id="0"/>
      <w:r w:rsidRPr="00AE154B">
        <w:rPr>
          <w:rFonts w:ascii="Book Antiqua" w:eastAsia="Book Antiqua" w:hAnsi="Book Antiqua"/>
        </w:rPr>
        <w:t>Name of Journal:</w:t>
      </w:r>
      <w:r w:rsidR="00AC4E28" w:rsidRPr="00AE154B">
        <w:rPr>
          <w:rFonts w:ascii="Book Antiqua" w:eastAsia="Book Antiqua" w:hAnsi="Book Antiqua"/>
        </w:rPr>
        <w:t xml:space="preserve"> </w:t>
      </w:r>
      <w:r w:rsidR="00E421F7" w:rsidRPr="00AE154B">
        <w:rPr>
          <w:rFonts w:ascii="Book Antiqua" w:hAnsi="Book Antiqua"/>
          <w:b w:val="0"/>
          <w:bCs w:val="0"/>
          <w:i/>
        </w:rPr>
        <w:t>World Journal of Clinical Cases</w:t>
      </w:r>
    </w:p>
    <w:p w14:paraId="0225E0EB" w14:textId="6070C15B" w:rsidR="0011752B" w:rsidRPr="00AE154B" w:rsidRDefault="006D6F04" w:rsidP="00AE154B">
      <w:pPr>
        <w:pStyle w:val="Heading1"/>
        <w:spacing w:before="0" w:line="360" w:lineRule="auto"/>
        <w:ind w:left="0" w:right="390"/>
        <w:jc w:val="both"/>
        <w:rPr>
          <w:rFonts w:ascii="Book Antiqua" w:hAnsi="Book Antiqua"/>
          <w:b w:val="0"/>
          <w:bCs w:val="0"/>
          <w:i/>
        </w:rPr>
      </w:pPr>
      <w:r w:rsidRPr="00AE154B">
        <w:rPr>
          <w:rFonts w:ascii="Book Antiqua" w:eastAsia="Book Antiqua" w:hAnsi="Book Antiqua"/>
        </w:rPr>
        <w:t xml:space="preserve">Manuscript NO: </w:t>
      </w:r>
      <w:r w:rsidRPr="00AE154B">
        <w:rPr>
          <w:rFonts w:ascii="Book Antiqua" w:hAnsi="Book Antiqua"/>
          <w:b w:val="0"/>
        </w:rPr>
        <w:t>43481</w:t>
      </w:r>
    </w:p>
    <w:p w14:paraId="619CEAF5" w14:textId="35F13909" w:rsidR="00E421F7" w:rsidRPr="00AE154B" w:rsidRDefault="00E421F7" w:rsidP="00AE154B">
      <w:pPr>
        <w:spacing w:after="0" w:line="360" w:lineRule="auto"/>
        <w:ind w:rightChars="65" w:right="143"/>
        <w:jc w:val="both"/>
        <w:rPr>
          <w:rFonts w:ascii="Book Antiqua" w:hAnsi="Book Antiqua"/>
          <w:sz w:val="24"/>
          <w:szCs w:val="24"/>
        </w:rPr>
      </w:pPr>
      <w:r w:rsidRPr="00AE154B">
        <w:rPr>
          <w:rFonts w:ascii="Book Antiqua" w:hAnsi="Book Antiqua"/>
          <w:b/>
          <w:bCs/>
          <w:sz w:val="24"/>
          <w:szCs w:val="24"/>
        </w:rPr>
        <w:t xml:space="preserve">Manuscript type: </w:t>
      </w:r>
      <w:r w:rsidR="006D6F04" w:rsidRPr="00AE154B">
        <w:rPr>
          <w:rFonts w:ascii="Book Antiqua" w:hAnsi="Book Antiqua"/>
          <w:bCs/>
          <w:sz w:val="24"/>
          <w:szCs w:val="24"/>
        </w:rPr>
        <w:t>CASE REPORT</w:t>
      </w:r>
    </w:p>
    <w:p w14:paraId="5BEEB502" w14:textId="77777777" w:rsidR="00E421F7" w:rsidRPr="00AE154B" w:rsidRDefault="00E421F7" w:rsidP="00AE154B">
      <w:pPr>
        <w:pStyle w:val="BodyText"/>
        <w:spacing w:line="360" w:lineRule="auto"/>
        <w:ind w:left="426" w:right="390"/>
        <w:rPr>
          <w:rFonts w:ascii="Book Antiqua" w:hAnsi="Book Antiqua"/>
        </w:rPr>
      </w:pPr>
    </w:p>
    <w:p w14:paraId="6FA2FF2A" w14:textId="21235BC0" w:rsidR="00E421F7" w:rsidRPr="00AE154B" w:rsidRDefault="00E421F7" w:rsidP="00AE154B">
      <w:pPr>
        <w:spacing w:after="0" w:line="360" w:lineRule="auto"/>
        <w:ind w:right="390"/>
        <w:jc w:val="both"/>
        <w:rPr>
          <w:rFonts w:ascii="Book Antiqua" w:eastAsia="Times New Roman" w:hAnsi="Book Antiqua" w:cs="Times New Roman"/>
          <w:b/>
          <w:sz w:val="24"/>
          <w:szCs w:val="24"/>
          <w:lang w:bidi="en-US"/>
        </w:rPr>
      </w:pPr>
      <w:r w:rsidRPr="00AE154B">
        <w:rPr>
          <w:rFonts w:ascii="Book Antiqua" w:eastAsia="Times New Roman" w:hAnsi="Book Antiqua" w:cs="Times New Roman"/>
          <w:b/>
          <w:sz w:val="24"/>
          <w:szCs w:val="24"/>
          <w:lang w:bidi="en-US"/>
        </w:rPr>
        <w:t>Gaucher</w:t>
      </w:r>
      <w:r w:rsidR="00AC4E28" w:rsidRPr="00AE154B">
        <w:rPr>
          <w:rFonts w:ascii="Book Antiqua" w:eastAsia="Times New Roman" w:hAnsi="Book Antiqua" w:cs="Times New Roman"/>
          <w:b/>
          <w:sz w:val="24"/>
          <w:szCs w:val="24"/>
          <w:lang w:bidi="en-US"/>
        </w:rPr>
        <w:t xml:space="preserve"> </w:t>
      </w:r>
      <w:r w:rsidR="006D6F04" w:rsidRPr="00AE154B">
        <w:rPr>
          <w:rFonts w:ascii="Book Antiqua" w:eastAsia="Times New Roman" w:hAnsi="Book Antiqua" w:cs="Times New Roman"/>
          <w:b/>
          <w:sz w:val="24"/>
          <w:szCs w:val="24"/>
          <w:lang w:bidi="en-US"/>
        </w:rPr>
        <w:t xml:space="preserve">disease </w:t>
      </w:r>
      <w:r w:rsidRPr="00AE154B">
        <w:rPr>
          <w:rFonts w:ascii="Book Antiqua" w:eastAsia="Times New Roman" w:hAnsi="Book Antiqua" w:cs="Times New Roman"/>
          <w:b/>
          <w:sz w:val="24"/>
          <w:szCs w:val="24"/>
          <w:lang w:bidi="en-US"/>
        </w:rPr>
        <w:t>in</w:t>
      </w:r>
      <w:r w:rsidR="00AC4E28" w:rsidRPr="00AE154B">
        <w:rPr>
          <w:rFonts w:ascii="Book Antiqua" w:eastAsia="Times New Roman" w:hAnsi="Book Antiqua" w:cs="Times New Roman"/>
          <w:b/>
          <w:sz w:val="24"/>
          <w:szCs w:val="24"/>
          <w:lang w:bidi="en-US"/>
        </w:rPr>
        <w:t xml:space="preserve"> M</w:t>
      </w:r>
      <w:r w:rsidR="006D6F04" w:rsidRPr="00AE154B">
        <w:rPr>
          <w:rFonts w:ascii="Book Antiqua" w:eastAsia="Times New Roman" w:hAnsi="Book Antiqua" w:cs="Times New Roman"/>
          <w:b/>
          <w:sz w:val="24"/>
          <w:szCs w:val="24"/>
          <w:lang w:bidi="en-US"/>
        </w:rPr>
        <w:t>ontenegro - genotype</w:t>
      </w:r>
      <w:r w:rsidRPr="00AE154B">
        <w:rPr>
          <w:rFonts w:ascii="Book Antiqua" w:eastAsia="Times New Roman" w:hAnsi="Book Antiqua" w:cs="Times New Roman"/>
          <w:b/>
          <w:sz w:val="24"/>
          <w:szCs w:val="24"/>
          <w:lang w:bidi="en-US"/>
        </w:rPr>
        <w:t xml:space="preserve">/phenotype </w:t>
      </w:r>
      <w:r w:rsidR="006D6F04" w:rsidRPr="00AE154B">
        <w:rPr>
          <w:rFonts w:ascii="Book Antiqua" w:eastAsia="Times New Roman" w:hAnsi="Book Antiqua" w:cs="Times New Roman"/>
          <w:b/>
          <w:sz w:val="24"/>
          <w:szCs w:val="24"/>
          <w:lang w:bidi="en-US"/>
        </w:rPr>
        <w:t>correlations: Five cases report</w:t>
      </w:r>
    </w:p>
    <w:p w14:paraId="5B23EE9C" w14:textId="77777777" w:rsidR="006D6F04" w:rsidRPr="00AE154B" w:rsidRDefault="006D6F04" w:rsidP="00AE154B">
      <w:pPr>
        <w:spacing w:after="0" w:line="360" w:lineRule="auto"/>
        <w:ind w:right="390"/>
        <w:jc w:val="both"/>
        <w:rPr>
          <w:rFonts w:ascii="Book Antiqua" w:eastAsia="Times New Roman" w:hAnsi="Book Antiqua" w:cs="Times New Roman"/>
          <w:b/>
          <w:sz w:val="24"/>
          <w:szCs w:val="24"/>
          <w:lang w:bidi="en-US"/>
        </w:rPr>
      </w:pPr>
    </w:p>
    <w:p w14:paraId="0C85B65C" w14:textId="3C81C917" w:rsidR="006D6F04" w:rsidRPr="00AE154B" w:rsidRDefault="006D6F04" w:rsidP="00AE154B">
      <w:pPr>
        <w:spacing w:after="0" w:line="360" w:lineRule="auto"/>
        <w:ind w:right="390"/>
        <w:jc w:val="both"/>
        <w:rPr>
          <w:rFonts w:ascii="Book Antiqua" w:eastAsia="Times New Roman" w:hAnsi="Book Antiqua" w:cs="Times New Roman"/>
          <w:sz w:val="24"/>
          <w:szCs w:val="24"/>
          <w:lang w:bidi="en-US"/>
        </w:rPr>
      </w:pPr>
      <w:r w:rsidRPr="00AE154B">
        <w:rPr>
          <w:rFonts w:ascii="Book Antiqua" w:eastAsia="Times New Roman" w:hAnsi="Book Antiqua" w:cs="Times New Roman"/>
          <w:sz w:val="24"/>
          <w:szCs w:val="24"/>
          <w:lang w:bidi="en-US"/>
        </w:rPr>
        <w:t xml:space="preserve">Vujosevic S </w:t>
      </w:r>
      <w:r w:rsidRPr="00AE154B">
        <w:rPr>
          <w:rFonts w:ascii="Book Antiqua" w:eastAsia="Times New Roman" w:hAnsi="Book Antiqua" w:cs="Times New Roman"/>
          <w:i/>
          <w:sz w:val="24"/>
          <w:szCs w:val="24"/>
          <w:lang w:bidi="en-US"/>
        </w:rPr>
        <w:t>et al</w:t>
      </w:r>
      <w:r w:rsidRPr="00AE154B">
        <w:rPr>
          <w:rFonts w:ascii="Book Antiqua" w:eastAsia="Times New Roman" w:hAnsi="Book Antiqua" w:cs="Times New Roman"/>
          <w:sz w:val="24"/>
          <w:szCs w:val="24"/>
          <w:lang w:bidi="en-US"/>
        </w:rPr>
        <w:t xml:space="preserve">. </w:t>
      </w:r>
      <w:r w:rsidR="00E36C22" w:rsidRPr="00AE154B">
        <w:rPr>
          <w:rFonts w:ascii="Book Antiqua" w:eastAsia="Times New Roman" w:hAnsi="Book Antiqua" w:cs="Times New Roman"/>
          <w:sz w:val="24"/>
          <w:szCs w:val="24"/>
          <w:lang w:bidi="en-US"/>
        </w:rPr>
        <w:t>GD</w:t>
      </w:r>
      <w:r w:rsidR="0011752B" w:rsidRPr="00AE154B">
        <w:rPr>
          <w:rFonts w:ascii="Book Antiqua" w:eastAsia="Times New Roman" w:hAnsi="Book Antiqua" w:cs="Times New Roman"/>
          <w:sz w:val="24"/>
          <w:szCs w:val="24"/>
          <w:lang w:bidi="en-US"/>
        </w:rPr>
        <w:t xml:space="preserve"> </w:t>
      </w:r>
      <w:r w:rsidRPr="00AE154B">
        <w:rPr>
          <w:rFonts w:ascii="Book Antiqua" w:eastAsia="Times New Roman" w:hAnsi="Book Antiqua" w:cs="Times New Roman"/>
          <w:sz w:val="24"/>
          <w:szCs w:val="24"/>
          <w:lang w:bidi="en-US"/>
        </w:rPr>
        <w:t>in Montenegro</w:t>
      </w:r>
    </w:p>
    <w:p w14:paraId="00B1992E" w14:textId="77777777" w:rsidR="006D6F04" w:rsidRPr="00AE154B" w:rsidRDefault="006D6F04" w:rsidP="00AE154B">
      <w:pPr>
        <w:spacing w:after="0" w:line="360" w:lineRule="auto"/>
        <w:ind w:right="390"/>
        <w:jc w:val="both"/>
        <w:rPr>
          <w:rFonts w:ascii="Book Antiqua" w:eastAsia="Times New Roman" w:hAnsi="Book Antiqua" w:cs="Times New Roman"/>
          <w:sz w:val="24"/>
          <w:szCs w:val="24"/>
          <w:lang w:bidi="en-US"/>
        </w:rPr>
      </w:pPr>
    </w:p>
    <w:p w14:paraId="384E1E34" w14:textId="77777777" w:rsidR="00E421F7" w:rsidRPr="00AE154B" w:rsidRDefault="00E421F7" w:rsidP="00AE154B">
      <w:pPr>
        <w:spacing w:after="0" w:line="360" w:lineRule="auto"/>
        <w:ind w:right="390"/>
        <w:jc w:val="both"/>
        <w:rPr>
          <w:rFonts w:ascii="Book Antiqua" w:eastAsia="Times New Roman" w:hAnsi="Book Antiqua" w:cs="Times New Roman"/>
          <w:sz w:val="24"/>
          <w:szCs w:val="24"/>
          <w:lang w:bidi="en-US"/>
        </w:rPr>
      </w:pPr>
      <w:r w:rsidRPr="00AE154B">
        <w:rPr>
          <w:rFonts w:ascii="Book Antiqua" w:eastAsia="Times New Roman" w:hAnsi="Book Antiqua" w:cs="Times New Roman"/>
          <w:sz w:val="24"/>
          <w:szCs w:val="24"/>
          <w:lang w:bidi="en-US"/>
        </w:rPr>
        <w:t>Snezana Vujosevic, Sanja Medenica, Vesko Vujicic, Milena Dapcevic, Nikola Bakic, Ruhua Yang, Jun Liu, Pramod K Mistry</w:t>
      </w:r>
    </w:p>
    <w:p w14:paraId="27E975FA" w14:textId="77777777" w:rsidR="00E421F7" w:rsidRPr="00AE154B" w:rsidRDefault="00E421F7" w:rsidP="00AE154B">
      <w:pPr>
        <w:pStyle w:val="BodyText"/>
        <w:spacing w:line="360" w:lineRule="auto"/>
        <w:ind w:left="426" w:right="390"/>
        <w:rPr>
          <w:rFonts w:ascii="Book Antiqua" w:hAnsi="Book Antiqua"/>
          <w:b/>
        </w:rPr>
      </w:pPr>
    </w:p>
    <w:p w14:paraId="425FC8E5" w14:textId="59D0EF42" w:rsidR="00E421F7" w:rsidRPr="00AE154B" w:rsidRDefault="00E421F7" w:rsidP="00AE154B">
      <w:pPr>
        <w:pStyle w:val="BodyText"/>
        <w:spacing w:line="360" w:lineRule="auto"/>
        <w:ind w:right="390" w:firstLine="1"/>
        <w:rPr>
          <w:rFonts w:ascii="Book Antiqua" w:hAnsi="Book Antiqua"/>
        </w:rPr>
      </w:pPr>
      <w:r w:rsidRPr="00AE154B">
        <w:rPr>
          <w:rFonts w:ascii="Book Antiqua" w:hAnsi="Book Antiqua"/>
          <w:b/>
        </w:rPr>
        <w:t>Snezana</w:t>
      </w:r>
      <w:r w:rsidR="00AF085C" w:rsidRPr="00AE154B">
        <w:rPr>
          <w:rFonts w:ascii="Book Antiqua" w:hAnsi="Book Antiqua"/>
          <w:b/>
        </w:rPr>
        <w:t xml:space="preserve"> </w:t>
      </w:r>
      <w:r w:rsidRPr="00AE154B">
        <w:rPr>
          <w:rFonts w:ascii="Book Antiqua" w:hAnsi="Book Antiqua"/>
          <w:b/>
        </w:rPr>
        <w:t>Vujosevic, Sanja</w:t>
      </w:r>
      <w:r w:rsidR="00AF085C" w:rsidRPr="00AE154B">
        <w:rPr>
          <w:rFonts w:ascii="Book Antiqua" w:hAnsi="Book Antiqua"/>
          <w:b/>
        </w:rPr>
        <w:t xml:space="preserve"> </w:t>
      </w:r>
      <w:r w:rsidRPr="00AE154B">
        <w:rPr>
          <w:rFonts w:ascii="Book Antiqua" w:hAnsi="Book Antiqua"/>
          <w:b/>
        </w:rPr>
        <w:t>Medenica,</w:t>
      </w:r>
      <w:r w:rsidRPr="00AE154B">
        <w:rPr>
          <w:rFonts w:ascii="Book Antiqua" w:hAnsi="Book Antiqua"/>
        </w:rPr>
        <w:t xml:space="preserve"> Department of Endocrinology, Internal</w:t>
      </w:r>
      <w:r w:rsidR="00AF085C" w:rsidRPr="00AE154B">
        <w:rPr>
          <w:rFonts w:ascii="Book Antiqua" w:hAnsi="Book Antiqua"/>
        </w:rPr>
        <w:t xml:space="preserve"> </w:t>
      </w:r>
      <w:r w:rsidRPr="00AE154B">
        <w:rPr>
          <w:rFonts w:ascii="Book Antiqua" w:hAnsi="Book Antiqua"/>
        </w:rPr>
        <w:t>Medicine Clinic, Clinical Center of Montenegro, Faculty of Medicine, University of Montenegro, Podgorica</w:t>
      </w:r>
      <w:r w:rsidR="0011752B" w:rsidRPr="00AE154B">
        <w:rPr>
          <w:rFonts w:ascii="Book Antiqua" w:hAnsi="Book Antiqua"/>
        </w:rPr>
        <w:t xml:space="preserve"> 81000</w:t>
      </w:r>
      <w:r w:rsidRPr="00AE154B">
        <w:rPr>
          <w:rFonts w:ascii="Book Antiqua" w:hAnsi="Book Antiqua"/>
        </w:rPr>
        <w:t>,</w:t>
      </w:r>
      <w:r w:rsidR="00AF085C" w:rsidRPr="00AE154B">
        <w:rPr>
          <w:rFonts w:ascii="Book Antiqua" w:hAnsi="Book Antiqua"/>
        </w:rPr>
        <w:t xml:space="preserve"> </w:t>
      </w:r>
      <w:r w:rsidRPr="00AE154B">
        <w:rPr>
          <w:rFonts w:ascii="Book Antiqua" w:hAnsi="Book Antiqua"/>
        </w:rPr>
        <w:t>Montenegro</w:t>
      </w:r>
    </w:p>
    <w:p w14:paraId="6FAAC132" w14:textId="77777777" w:rsidR="006D6F04" w:rsidRPr="00AE154B" w:rsidRDefault="006D6F04" w:rsidP="00AE154B">
      <w:pPr>
        <w:pStyle w:val="BodyText"/>
        <w:spacing w:line="360" w:lineRule="auto"/>
        <w:ind w:right="390" w:firstLine="1"/>
        <w:rPr>
          <w:rFonts w:ascii="Book Antiqua" w:hAnsi="Book Antiqua"/>
        </w:rPr>
      </w:pPr>
    </w:p>
    <w:p w14:paraId="04C28A5D" w14:textId="3918EDD9" w:rsidR="00E421F7" w:rsidRPr="00AE154B" w:rsidRDefault="00E421F7" w:rsidP="00AE154B">
      <w:pPr>
        <w:pStyle w:val="BodyText"/>
        <w:spacing w:line="360" w:lineRule="auto"/>
        <w:ind w:right="390"/>
        <w:rPr>
          <w:rFonts w:ascii="Book Antiqua" w:hAnsi="Book Antiqua"/>
        </w:rPr>
      </w:pPr>
      <w:r w:rsidRPr="00AE154B">
        <w:rPr>
          <w:rFonts w:ascii="Book Antiqua" w:hAnsi="Book Antiqua"/>
          <w:b/>
        </w:rPr>
        <w:t>Vesko Vujicic, Milena Dapcevic, Nikola Bakic,</w:t>
      </w:r>
      <w:r w:rsidRPr="00AE154B">
        <w:rPr>
          <w:rFonts w:ascii="Book Antiqua" w:hAnsi="Book Antiqua"/>
        </w:rPr>
        <w:t xml:space="preserve"> Hematology Department, Internal Medicine Clinic, Clinical Center of Montenegro, Faculty of Medicine, University of Montenegro, Podgorica</w:t>
      </w:r>
      <w:r w:rsidR="0011752B" w:rsidRPr="00AE154B">
        <w:rPr>
          <w:rFonts w:ascii="Book Antiqua" w:hAnsi="Book Antiqua"/>
        </w:rPr>
        <w:t xml:space="preserve"> 81000</w:t>
      </w:r>
      <w:r w:rsidRPr="00AE154B">
        <w:rPr>
          <w:rFonts w:ascii="Book Antiqua" w:hAnsi="Book Antiqua"/>
        </w:rPr>
        <w:t>, Montenegro</w:t>
      </w:r>
    </w:p>
    <w:p w14:paraId="3642B42E" w14:textId="77777777" w:rsidR="006D6F04" w:rsidRPr="00AE154B" w:rsidRDefault="006D6F04" w:rsidP="00AE154B">
      <w:pPr>
        <w:pStyle w:val="BodyText"/>
        <w:spacing w:line="360" w:lineRule="auto"/>
        <w:ind w:right="390"/>
        <w:rPr>
          <w:rFonts w:ascii="Book Antiqua" w:hAnsi="Book Antiqua"/>
        </w:rPr>
      </w:pPr>
    </w:p>
    <w:p w14:paraId="38070A80" w14:textId="11047537" w:rsidR="00E421F7" w:rsidRPr="00AE154B" w:rsidRDefault="00E421F7" w:rsidP="00AE154B">
      <w:pPr>
        <w:pStyle w:val="BodyText"/>
        <w:spacing w:line="360" w:lineRule="auto"/>
        <w:ind w:right="390"/>
        <w:rPr>
          <w:rFonts w:ascii="Book Antiqua" w:hAnsi="Book Antiqua"/>
        </w:rPr>
      </w:pPr>
      <w:r w:rsidRPr="00AE154B">
        <w:rPr>
          <w:rFonts w:ascii="Book Antiqua" w:hAnsi="Book Antiqua"/>
          <w:b/>
        </w:rPr>
        <w:t>Ruhua</w:t>
      </w:r>
      <w:r w:rsidR="00AF085C" w:rsidRPr="00AE154B">
        <w:rPr>
          <w:rFonts w:ascii="Book Antiqua" w:hAnsi="Book Antiqua"/>
          <w:b/>
        </w:rPr>
        <w:t xml:space="preserve"> </w:t>
      </w:r>
      <w:r w:rsidRPr="00AE154B">
        <w:rPr>
          <w:rFonts w:ascii="Book Antiqua" w:hAnsi="Book Antiqua"/>
          <w:b/>
        </w:rPr>
        <w:t>Yang,</w:t>
      </w:r>
      <w:r w:rsidR="00AF085C" w:rsidRPr="00AE154B">
        <w:rPr>
          <w:rFonts w:ascii="Book Antiqua" w:hAnsi="Book Antiqua"/>
          <w:b/>
        </w:rPr>
        <w:t xml:space="preserve"> </w:t>
      </w:r>
      <w:r w:rsidRPr="00AE154B">
        <w:rPr>
          <w:rFonts w:ascii="Book Antiqua" w:hAnsi="Book Antiqua"/>
          <w:b/>
        </w:rPr>
        <w:t>Jun</w:t>
      </w:r>
      <w:r w:rsidR="00AF085C" w:rsidRPr="00AE154B">
        <w:rPr>
          <w:rFonts w:ascii="Book Antiqua" w:hAnsi="Book Antiqua"/>
          <w:b/>
        </w:rPr>
        <w:t xml:space="preserve"> </w:t>
      </w:r>
      <w:r w:rsidRPr="00AE154B">
        <w:rPr>
          <w:rFonts w:ascii="Book Antiqua" w:hAnsi="Book Antiqua"/>
          <w:b/>
        </w:rPr>
        <w:t>Liu,</w:t>
      </w:r>
      <w:r w:rsidR="0011752B" w:rsidRPr="00AE154B">
        <w:rPr>
          <w:rFonts w:ascii="Book Antiqua" w:hAnsi="Book Antiqua"/>
          <w:b/>
        </w:rPr>
        <w:t xml:space="preserve"> </w:t>
      </w:r>
      <w:r w:rsidRPr="00AE154B">
        <w:rPr>
          <w:rFonts w:ascii="Book Antiqua" w:hAnsi="Book Antiqua"/>
          <w:b/>
        </w:rPr>
        <w:t>Pramod</w:t>
      </w:r>
      <w:r w:rsidR="00AF085C" w:rsidRPr="00AE154B">
        <w:rPr>
          <w:rFonts w:ascii="Book Antiqua" w:hAnsi="Book Antiqua"/>
          <w:b/>
        </w:rPr>
        <w:t xml:space="preserve"> </w:t>
      </w:r>
      <w:r w:rsidRPr="00AE154B">
        <w:rPr>
          <w:rFonts w:ascii="Book Antiqua" w:hAnsi="Book Antiqua"/>
          <w:b/>
        </w:rPr>
        <w:t>K</w:t>
      </w:r>
      <w:r w:rsidR="00AF085C" w:rsidRPr="00AE154B">
        <w:rPr>
          <w:rFonts w:ascii="Book Antiqua" w:hAnsi="Book Antiqua"/>
          <w:b/>
        </w:rPr>
        <w:t xml:space="preserve"> </w:t>
      </w:r>
      <w:r w:rsidRPr="00AE154B">
        <w:rPr>
          <w:rFonts w:ascii="Book Antiqua" w:hAnsi="Book Antiqua"/>
          <w:b/>
        </w:rPr>
        <w:t>Mistry,</w:t>
      </w:r>
      <w:r w:rsidR="0011752B" w:rsidRPr="00AE154B">
        <w:rPr>
          <w:rFonts w:ascii="Book Antiqua" w:hAnsi="Book Antiqua"/>
          <w:b/>
        </w:rPr>
        <w:t xml:space="preserve"> </w:t>
      </w:r>
      <w:r w:rsidRPr="00AE154B">
        <w:rPr>
          <w:rFonts w:ascii="Book Antiqua" w:hAnsi="Book Antiqua"/>
        </w:rPr>
        <w:t>Yale</w:t>
      </w:r>
      <w:r w:rsidR="00AF085C" w:rsidRPr="00AE154B">
        <w:rPr>
          <w:rFonts w:ascii="Book Antiqua" w:hAnsi="Book Antiqua"/>
        </w:rPr>
        <w:t xml:space="preserve"> </w:t>
      </w:r>
      <w:r w:rsidRPr="00AE154B">
        <w:rPr>
          <w:rFonts w:ascii="Book Antiqua" w:hAnsi="Book Antiqua"/>
        </w:rPr>
        <w:t>Lysosomal</w:t>
      </w:r>
      <w:r w:rsidR="00AF085C" w:rsidRPr="00AE154B">
        <w:rPr>
          <w:rFonts w:ascii="Book Antiqua" w:hAnsi="Book Antiqua"/>
        </w:rPr>
        <w:t xml:space="preserve"> </w:t>
      </w:r>
      <w:r w:rsidRPr="00AE154B">
        <w:rPr>
          <w:rFonts w:ascii="Book Antiqua" w:hAnsi="Book Antiqua"/>
        </w:rPr>
        <w:t>Disease</w:t>
      </w:r>
      <w:r w:rsidR="00AF085C" w:rsidRPr="00AE154B">
        <w:rPr>
          <w:rFonts w:ascii="Book Antiqua" w:hAnsi="Book Antiqua"/>
        </w:rPr>
        <w:t xml:space="preserve"> </w:t>
      </w:r>
      <w:r w:rsidRPr="00AE154B">
        <w:rPr>
          <w:rFonts w:ascii="Book Antiqua" w:hAnsi="Book Antiqua"/>
        </w:rPr>
        <w:t>Center</w:t>
      </w:r>
      <w:r w:rsidR="00AF085C" w:rsidRPr="00AE154B">
        <w:rPr>
          <w:rFonts w:ascii="Book Antiqua" w:hAnsi="Book Antiqua"/>
        </w:rPr>
        <w:t xml:space="preserve"> </w:t>
      </w:r>
      <w:r w:rsidRPr="00AE154B">
        <w:rPr>
          <w:rFonts w:ascii="Book Antiqua" w:hAnsi="Book Antiqua"/>
        </w:rPr>
        <w:t>and</w:t>
      </w:r>
      <w:r w:rsidR="00AF085C" w:rsidRPr="00AE154B">
        <w:rPr>
          <w:rFonts w:ascii="Book Antiqua" w:hAnsi="Book Antiqua"/>
        </w:rPr>
        <w:t xml:space="preserve"> </w:t>
      </w:r>
      <w:r w:rsidRPr="00AE154B">
        <w:rPr>
          <w:rFonts w:ascii="Book Antiqua" w:hAnsi="Book Antiqua"/>
        </w:rPr>
        <w:t xml:space="preserve">Inherited Metabolic Liver Disease Clinic, Yale University School of Medicine, New Haven, </w:t>
      </w:r>
      <w:r w:rsidR="003C10D6">
        <w:rPr>
          <w:rFonts w:ascii="Book Antiqua" w:eastAsiaTheme="minorEastAsia" w:hAnsi="Book Antiqua" w:hint="eastAsia"/>
          <w:lang w:eastAsia="zh-CN"/>
        </w:rPr>
        <w:t>CT</w:t>
      </w:r>
      <w:r w:rsidRPr="00AE154B">
        <w:rPr>
          <w:rFonts w:ascii="Book Antiqua" w:hAnsi="Book Antiqua"/>
        </w:rPr>
        <w:t xml:space="preserve"> 06510, United States</w:t>
      </w:r>
    </w:p>
    <w:p w14:paraId="012A966A" w14:textId="77777777" w:rsidR="006D6F04" w:rsidRPr="00AE154B" w:rsidRDefault="006D6F04" w:rsidP="00AE154B">
      <w:pPr>
        <w:pStyle w:val="BodyText"/>
        <w:spacing w:line="360" w:lineRule="auto"/>
        <w:ind w:right="390"/>
        <w:rPr>
          <w:rFonts w:ascii="Book Antiqua" w:hAnsi="Book Antiqua"/>
        </w:rPr>
      </w:pPr>
    </w:p>
    <w:p w14:paraId="59D8FFAD" w14:textId="3FD11B0D" w:rsidR="00E421F7" w:rsidRPr="00AE154B" w:rsidRDefault="00F40AD3" w:rsidP="00AE154B">
      <w:pPr>
        <w:pStyle w:val="BodyText"/>
        <w:spacing w:line="360" w:lineRule="auto"/>
        <w:ind w:right="390"/>
        <w:rPr>
          <w:rFonts w:ascii="Book Antiqua" w:hAnsi="Book Antiqua"/>
        </w:rPr>
      </w:pPr>
      <w:r w:rsidRPr="00AE154B">
        <w:rPr>
          <w:rFonts w:ascii="Book Antiqua" w:hAnsi="Book Antiqua"/>
          <w:b/>
        </w:rPr>
        <w:t xml:space="preserve">ORCID number: </w:t>
      </w:r>
      <w:r w:rsidR="00E421F7" w:rsidRPr="00AE154B">
        <w:rPr>
          <w:rFonts w:ascii="Book Antiqua" w:hAnsi="Book Antiqua"/>
        </w:rPr>
        <w:t>Snezana</w:t>
      </w:r>
      <w:r w:rsidR="0011752B" w:rsidRPr="00AE154B">
        <w:rPr>
          <w:rFonts w:ascii="Book Antiqua" w:hAnsi="Book Antiqua"/>
        </w:rPr>
        <w:t xml:space="preserve"> </w:t>
      </w:r>
      <w:r w:rsidR="00E421F7" w:rsidRPr="00AE154B">
        <w:rPr>
          <w:rFonts w:ascii="Book Antiqua" w:hAnsi="Book Antiqua"/>
        </w:rPr>
        <w:t>Vujosevic (0000-0002-6939-0612); Sanja</w:t>
      </w:r>
      <w:r w:rsidR="0011752B" w:rsidRPr="00AE154B">
        <w:rPr>
          <w:rFonts w:ascii="Book Antiqua" w:hAnsi="Book Antiqua"/>
        </w:rPr>
        <w:t xml:space="preserve"> </w:t>
      </w:r>
      <w:r w:rsidR="00E421F7" w:rsidRPr="00AE154B">
        <w:rPr>
          <w:rFonts w:ascii="Book Antiqua" w:hAnsi="Book Antiqua"/>
        </w:rPr>
        <w:t>Medenica (0000-0002- 6241-3033); Vesko Vujicic (0000-0003-3708-4204); Milena Dapcevic (0000-0002-1287-7788); Nikola Bakic (0000-0002-8198-1642); Ruhua Yang (0000-0001-6051-145X); Jun Liu (0000-0001-5206-3028); Pramod K Mistry (0000-0003-3447-6421).</w:t>
      </w:r>
    </w:p>
    <w:p w14:paraId="74D57F44" w14:textId="77777777" w:rsidR="00E421F7" w:rsidRPr="00AE154B" w:rsidRDefault="00E421F7" w:rsidP="00AE154B">
      <w:pPr>
        <w:spacing w:after="0" w:line="360" w:lineRule="auto"/>
        <w:ind w:right="390"/>
        <w:jc w:val="both"/>
        <w:rPr>
          <w:rFonts w:ascii="Book Antiqua" w:hAnsi="Book Antiqua"/>
          <w:sz w:val="24"/>
          <w:szCs w:val="24"/>
        </w:rPr>
      </w:pPr>
    </w:p>
    <w:p w14:paraId="3D803CD4" w14:textId="77777777" w:rsidR="006D6F04" w:rsidRPr="00AE154B" w:rsidRDefault="006D6F04" w:rsidP="00AE154B">
      <w:pPr>
        <w:spacing w:after="0" w:line="360" w:lineRule="auto"/>
        <w:ind w:left="426" w:right="390"/>
        <w:jc w:val="both"/>
        <w:rPr>
          <w:rFonts w:ascii="Book Antiqua" w:hAnsi="Book Antiqua"/>
          <w:sz w:val="24"/>
          <w:szCs w:val="24"/>
        </w:rPr>
        <w:sectPr w:rsidR="006D6F04" w:rsidRPr="00AE154B" w:rsidSect="00E421F7">
          <w:footerReference w:type="default" r:id="rId7"/>
          <w:pgSz w:w="11906" w:h="16838" w:code="9"/>
          <w:pgMar w:top="1440" w:right="1080" w:bottom="1440" w:left="1080" w:header="720" w:footer="1015" w:gutter="0"/>
          <w:pgNumType w:start="1"/>
          <w:cols w:space="720"/>
          <w:docGrid w:linePitch="299"/>
        </w:sectPr>
      </w:pPr>
    </w:p>
    <w:p w14:paraId="7BAA64DB" w14:textId="02821E47" w:rsidR="00E421F7" w:rsidRPr="00AE154B" w:rsidRDefault="00F40AD3" w:rsidP="00AE154B">
      <w:pPr>
        <w:pStyle w:val="BodyText"/>
        <w:spacing w:line="360" w:lineRule="auto"/>
        <w:ind w:right="390"/>
        <w:rPr>
          <w:rFonts w:ascii="Book Antiqua" w:eastAsiaTheme="minorEastAsia" w:hAnsi="Book Antiqua" w:cstheme="minorBidi"/>
          <w:lang w:bidi="ar-SA"/>
        </w:rPr>
      </w:pPr>
      <w:r w:rsidRPr="00AE154B">
        <w:rPr>
          <w:rFonts w:ascii="Book Antiqua" w:eastAsia="SimHei" w:hAnsi="Book Antiqua"/>
          <w:b/>
        </w:rPr>
        <w:lastRenderedPageBreak/>
        <w:t xml:space="preserve">Author contributions: </w:t>
      </w:r>
      <w:r w:rsidR="0011752B" w:rsidRPr="00AE154B">
        <w:rPr>
          <w:rFonts w:ascii="Book Antiqua" w:hAnsi="Book Antiqua"/>
        </w:rPr>
        <w:t xml:space="preserve">Vujosevic </w:t>
      </w:r>
      <w:r w:rsidR="00E421F7" w:rsidRPr="00AE154B">
        <w:rPr>
          <w:rFonts w:ascii="Book Antiqua" w:eastAsiaTheme="minorEastAsia" w:hAnsi="Book Antiqua" w:cstheme="minorBidi"/>
          <w:lang w:bidi="ar-SA"/>
        </w:rPr>
        <w:t>S</w:t>
      </w:r>
      <w:r w:rsidR="00E36C22" w:rsidRPr="00AE154B">
        <w:rPr>
          <w:rFonts w:ascii="Book Antiqua" w:eastAsiaTheme="minorEastAsia" w:hAnsi="Book Antiqua" w:cstheme="minorBidi"/>
          <w:lang w:bidi="ar-SA"/>
        </w:rPr>
        <w:t>,</w:t>
      </w:r>
      <w:r w:rsidR="0011752B" w:rsidRPr="00AE154B">
        <w:rPr>
          <w:rFonts w:ascii="Book Antiqua" w:eastAsiaTheme="minorEastAsia" w:hAnsi="Book Antiqua" w:cstheme="minorBidi"/>
          <w:lang w:bidi="ar-SA"/>
        </w:rPr>
        <w:t xml:space="preserve"> </w:t>
      </w:r>
      <w:r w:rsidR="00E36C22" w:rsidRPr="00AE154B">
        <w:rPr>
          <w:rFonts w:ascii="Book Antiqua" w:hAnsi="Book Antiqua"/>
        </w:rPr>
        <w:t xml:space="preserve">Vujicic </w:t>
      </w:r>
      <w:r w:rsidR="00E36C22" w:rsidRPr="00AE154B">
        <w:rPr>
          <w:rFonts w:ascii="Book Antiqua" w:eastAsiaTheme="minorEastAsia" w:hAnsi="Book Antiqua" w:cstheme="minorBidi"/>
          <w:lang w:bidi="ar-SA"/>
        </w:rPr>
        <w:t xml:space="preserve">V and </w:t>
      </w:r>
      <w:r w:rsidR="00E36C22" w:rsidRPr="00AE154B">
        <w:rPr>
          <w:rFonts w:ascii="Book Antiqua" w:hAnsi="Book Antiqua"/>
        </w:rPr>
        <w:t xml:space="preserve">Mistry </w:t>
      </w:r>
      <w:r w:rsidR="00E36C22" w:rsidRPr="00AE154B">
        <w:rPr>
          <w:rFonts w:ascii="Book Antiqua" w:eastAsiaTheme="minorEastAsia" w:hAnsi="Book Antiqua" w:cstheme="minorBidi"/>
          <w:lang w:bidi="ar-SA"/>
        </w:rPr>
        <w:t xml:space="preserve">PK </w:t>
      </w:r>
      <w:r w:rsidR="0011752B" w:rsidRPr="00AE154B">
        <w:rPr>
          <w:rFonts w:ascii="Book Antiqua" w:eastAsiaTheme="minorEastAsia" w:hAnsi="Book Antiqua" w:cstheme="minorBidi"/>
          <w:lang w:bidi="ar-SA"/>
        </w:rPr>
        <w:t xml:space="preserve">made the </w:t>
      </w:r>
      <w:r w:rsidR="00E421F7" w:rsidRPr="00AE154B">
        <w:rPr>
          <w:rFonts w:ascii="Book Antiqua" w:eastAsiaTheme="minorEastAsia" w:hAnsi="Book Antiqua" w:cstheme="minorBidi"/>
          <w:lang w:bidi="ar-SA"/>
        </w:rPr>
        <w:t>study design, execution, analysis, critical discussion</w:t>
      </w:r>
      <w:r w:rsidR="0011752B" w:rsidRPr="00AE154B">
        <w:rPr>
          <w:rFonts w:ascii="Book Antiqua" w:eastAsiaTheme="minorEastAsia" w:hAnsi="Book Antiqua" w:cstheme="minorBidi"/>
          <w:lang w:bidi="ar-SA"/>
        </w:rPr>
        <w:t xml:space="preserve"> and</w:t>
      </w:r>
      <w:r w:rsidR="00E421F7" w:rsidRPr="00AE154B">
        <w:rPr>
          <w:rFonts w:ascii="Book Antiqua" w:eastAsiaTheme="minorEastAsia" w:hAnsi="Book Antiqua" w:cstheme="minorBidi"/>
          <w:lang w:bidi="ar-SA"/>
        </w:rPr>
        <w:t xml:space="preserve"> final approval; </w:t>
      </w:r>
      <w:r w:rsidR="0011752B" w:rsidRPr="00AE154B">
        <w:rPr>
          <w:rFonts w:ascii="Book Antiqua" w:hAnsi="Book Antiqua"/>
        </w:rPr>
        <w:t xml:space="preserve">Medenica </w:t>
      </w:r>
      <w:r w:rsidR="00E421F7" w:rsidRPr="00AE154B">
        <w:rPr>
          <w:rFonts w:ascii="Book Antiqua" w:eastAsiaTheme="minorEastAsia" w:hAnsi="Book Antiqua" w:cstheme="minorBidi"/>
          <w:lang w:bidi="ar-SA"/>
        </w:rPr>
        <w:t>S</w:t>
      </w:r>
      <w:r w:rsidR="0011752B" w:rsidRPr="00AE154B">
        <w:rPr>
          <w:rFonts w:ascii="Book Antiqua" w:eastAsiaTheme="minorEastAsia" w:hAnsi="Book Antiqua" w:cstheme="minorBidi"/>
          <w:lang w:bidi="ar-SA"/>
        </w:rPr>
        <w:t xml:space="preserve"> made the</w:t>
      </w:r>
      <w:r w:rsidR="00E421F7" w:rsidRPr="00AE154B">
        <w:rPr>
          <w:rFonts w:ascii="Book Antiqua" w:eastAsiaTheme="minorEastAsia" w:hAnsi="Book Antiqua" w:cstheme="minorBidi"/>
          <w:lang w:bidi="ar-SA"/>
        </w:rPr>
        <w:t xml:space="preserve"> study design, execution, analysis, manus</w:t>
      </w:r>
      <w:r w:rsidR="00AF085C" w:rsidRPr="00AE154B">
        <w:rPr>
          <w:rFonts w:ascii="Book Antiqua" w:eastAsiaTheme="minorEastAsia" w:hAnsi="Book Antiqua" w:cstheme="minorBidi"/>
          <w:lang w:bidi="ar-SA"/>
        </w:rPr>
        <w:t>cript drafting, final approval;</w:t>
      </w:r>
      <w:r w:rsidR="0011752B" w:rsidRPr="00AE154B">
        <w:rPr>
          <w:rFonts w:ascii="Book Antiqua" w:eastAsiaTheme="minorEastAsia" w:hAnsi="Book Antiqua" w:cstheme="minorBidi"/>
          <w:lang w:bidi="ar-SA"/>
        </w:rPr>
        <w:t xml:space="preserve"> </w:t>
      </w:r>
      <w:r w:rsidR="00E36C22" w:rsidRPr="00AE154B">
        <w:rPr>
          <w:rFonts w:ascii="Book Antiqua" w:hAnsi="Book Antiqua"/>
        </w:rPr>
        <w:t xml:space="preserve">Dapcevic </w:t>
      </w:r>
      <w:r w:rsidR="00AF085C" w:rsidRPr="00AE154B">
        <w:rPr>
          <w:rFonts w:ascii="Book Antiqua" w:eastAsiaTheme="minorEastAsia" w:hAnsi="Book Antiqua" w:cstheme="minorBidi"/>
          <w:lang w:bidi="ar-SA"/>
        </w:rPr>
        <w:t>M</w:t>
      </w:r>
      <w:r w:rsidR="00E36C22" w:rsidRPr="00AE154B">
        <w:rPr>
          <w:rFonts w:ascii="Book Antiqua" w:eastAsiaTheme="minorEastAsia" w:hAnsi="Book Antiqua" w:cstheme="minorBidi"/>
          <w:lang w:bidi="ar-SA"/>
        </w:rPr>
        <w:t xml:space="preserve">, </w:t>
      </w:r>
      <w:r w:rsidR="00E36C22" w:rsidRPr="00AE154B">
        <w:rPr>
          <w:rFonts w:ascii="Book Antiqua" w:hAnsi="Book Antiqua"/>
        </w:rPr>
        <w:t xml:space="preserve">Bakic </w:t>
      </w:r>
      <w:r w:rsidR="00E36C22" w:rsidRPr="00AE154B">
        <w:rPr>
          <w:rFonts w:ascii="Book Antiqua" w:eastAsiaTheme="minorEastAsia" w:hAnsi="Book Antiqua" w:cstheme="minorBidi"/>
          <w:lang w:bidi="ar-SA"/>
        </w:rPr>
        <w:t>N, Yang R and Liu J made the</w:t>
      </w:r>
      <w:r w:rsidR="0011752B" w:rsidRPr="00AE154B">
        <w:rPr>
          <w:rFonts w:ascii="Book Antiqua" w:eastAsiaTheme="minorEastAsia" w:hAnsi="Book Antiqua" w:cstheme="minorBidi"/>
          <w:lang w:bidi="ar-SA"/>
        </w:rPr>
        <w:t xml:space="preserve"> </w:t>
      </w:r>
      <w:r w:rsidR="00AF085C" w:rsidRPr="00AE154B">
        <w:rPr>
          <w:rFonts w:ascii="Book Antiqua" w:eastAsiaTheme="minorEastAsia" w:hAnsi="Book Antiqua" w:cstheme="minorBidi"/>
          <w:lang w:bidi="ar-SA"/>
        </w:rPr>
        <w:t xml:space="preserve">execution, </w:t>
      </w:r>
      <w:r w:rsidR="00E421F7" w:rsidRPr="00AE154B">
        <w:rPr>
          <w:rFonts w:ascii="Book Antiqua" w:eastAsiaTheme="minorEastAsia" w:hAnsi="Book Antiqua" w:cstheme="minorBidi"/>
          <w:lang w:bidi="ar-SA"/>
        </w:rPr>
        <w:t>analysis,</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final</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approval</w:t>
      </w:r>
      <w:r w:rsidR="00E36C22" w:rsidRPr="00AE154B">
        <w:rPr>
          <w:rFonts w:ascii="Book Antiqua" w:eastAsiaTheme="minorEastAsia" w:hAnsi="Book Antiqua" w:cstheme="minorBidi"/>
          <w:lang w:bidi="ar-SA"/>
        </w:rPr>
        <w:t>.</w:t>
      </w:r>
    </w:p>
    <w:p w14:paraId="52EC2F93" w14:textId="77777777" w:rsidR="006D6F04" w:rsidRPr="00AE154B" w:rsidRDefault="006D6F04" w:rsidP="00AE154B">
      <w:pPr>
        <w:spacing w:after="0" w:line="360" w:lineRule="auto"/>
        <w:ind w:right="390"/>
        <w:jc w:val="both"/>
        <w:rPr>
          <w:rFonts w:ascii="Book Antiqua" w:hAnsi="Book Antiqua"/>
          <w:sz w:val="24"/>
          <w:szCs w:val="24"/>
        </w:rPr>
      </w:pPr>
    </w:p>
    <w:p w14:paraId="49EA0AB8" w14:textId="7752BEDA" w:rsidR="00E421F7" w:rsidRPr="00AE154B" w:rsidRDefault="00F40AD3" w:rsidP="00AE154B">
      <w:pPr>
        <w:spacing w:after="0" w:line="360" w:lineRule="auto"/>
        <w:ind w:right="390"/>
        <w:jc w:val="both"/>
        <w:rPr>
          <w:rFonts w:ascii="Book Antiqua" w:hAnsi="Book Antiqua"/>
          <w:sz w:val="24"/>
          <w:szCs w:val="24"/>
        </w:rPr>
      </w:pPr>
      <w:r w:rsidRPr="00AE154B">
        <w:rPr>
          <w:rFonts w:ascii="Book Antiqua" w:hAnsi="Book Antiqua"/>
          <w:b/>
          <w:sz w:val="24"/>
          <w:szCs w:val="24"/>
        </w:rPr>
        <w:t>Informed consent statement:</w:t>
      </w:r>
      <w:r w:rsidR="00E421F7" w:rsidRPr="00AE154B">
        <w:rPr>
          <w:rFonts w:ascii="Book Antiqua" w:hAnsi="Book Antiqua"/>
          <w:sz w:val="24"/>
          <w:szCs w:val="24"/>
        </w:rPr>
        <w:t xml:space="preserve"> All study participants provided informed written consent for publication of this report.</w:t>
      </w:r>
    </w:p>
    <w:p w14:paraId="32AA1966" w14:textId="77777777" w:rsidR="006D6F04" w:rsidRPr="00AE154B" w:rsidRDefault="006D6F04" w:rsidP="00AE154B">
      <w:pPr>
        <w:spacing w:after="0" w:line="360" w:lineRule="auto"/>
        <w:ind w:right="390"/>
        <w:jc w:val="both"/>
        <w:rPr>
          <w:rFonts w:ascii="Book Antiqua" w:hAnsi="Book Antiqua"/>
          <w:sz w:val="24"/>
          <w:szCs w:val="24"/>
        </w:rPr>
      </w:pPr>
    </w:p>
    <w:p w14:paraId="429D2EC1" w14:textId="24E4D38F" w:rsidR="00E421F7" w:rsidRPr="00AE154B" w:rsidRDefault="00F40AD3" w:rsidP="00AE154B">
      <w:pPr>
        <w:spacing w:after="0" w:line="360" w:lineRule="auto"/>
        <w:ind w:right="390"/>
        <w:jc w:val="both"/>
        <w:rPr>
          <w:rFonts w:ascii="Book Antiqua" w:hAnsi="Book Antiqua"/>
          <w:sz w:val="24"/>
          <w:szCs w:val="24"/>
        </w:rPr>
      </w:pPr>
      <w:r w:rsidRPr="00AE154B">
        <w:rPr>
          <w:rFonts w:ascii="Book Antiqua" w:hAnsi="Book Antiqua"/>
          <w:b/>
          <w:sz w:val="24"/>
          <w:szCs w:val="24"/>
          <w:lang w:val="it-IT"/>
        </w:rPr>
        <w:t>Conflict-of-interest statement</w:t>
      </w:r>
      <w:r w:rsidRPr="00AE154B">
        <w:rPr>
          <w:rFonts w:ascii="Book Antiqua" w:hAnsi="Book Antiqua"/>
          <w:b/>
          <w:sz w:val="24"/>
          <w:szCs w:val="24"/>
        </w:rPr>
        <w:t>:</w:t>
      </w:r>
      <w:r w:rsidRPr="00AE154B">
        <w:rPr>
          <w:rFonts w:ascii="Book Antiqua" w:eastAsia="STZhongsong" w:hAnsi="Book Antiqua"/>
          <w:sz w:val="24"/>
          <w:szCs w:val="24"/>
        </w:rPr>
        <w:t xml:space="preserve"> </w:t>
      </w:r>
      <w:r w:rsidR="00E421F7" w:rsidRPr="00AE154B">
        <w:rPr>
          <w:rFonts w:ascii="Book Antiqua" w:hAnsi="Book Antiqua"/>
          <w:sz w:val="24"/>
          <w:szCs w:val="24"/>
        </w:rPr>
        <w:t>The authors declare no conflicts of interest.</w:t>
      </w:r>
    </w:p>
    <w:p w14:paraId="23176DA5" w14:textId="77777777" w:rsidR="006D6F04" w:rsidRPr="00AE154B" w:rsidRDefault="006D6F04" w:rsidP="00AE154B">
      <w:pPr>
        <w:pStyle w:val="BodyText"/>
        <w:spacing w:line="360" w:lineRule="auto"/>
        <w:ind w:right="390"/>
        <w:rPr>
          <w:rFonts w:ascii="Book Antiqua" w:eastAsiaTheme="minorEastAsia" w:hAnsi="Book Antiqua" w:cstheme="minorBidi"/>
          <w:lang w:bidi="ar-SA"/>
        </w:rPr>
      </w:pPr>
    </w:p>
    <w:p w14:paraId="54D60A03" w14:textId="4566CBAE" w:rsidR="00E421F7" w:rsidRPr="00AE154B" w:rsidRDefault="00F40AD3" w:rsidP="00AE154B">
      <w:pPr>
        <w:pStyle w:val="BodyText"/>
        <w:spacing w:line="360" w:lineRule="auto"/>
        <w:ind w:right="390"/>
        <w:rPr>
          <w:rFonts w:ascii="Book Antiqua" w:eastAsiaTheme="minorEastAsia" w:hAnsi="Book Antiqua" w:cstheme="minorBidi"/>
          <w:lang w:bidi="ar-SA"/>
        </w:rPr>
      </w:pPr>
      <w:r w:rsidRPr="00AE154B">
        <w:rPr>
          <w:rFonts w:ascii="Book Antiqua" w:hAnsi="Book Antiqua"/>
          <w:b/>
        </w:rPr>
        <w:t>CARE Checklist (2016) statement:</w:t>
      </w:r>
      <w:r w:rsidRPr="00AE154B">
        <w:rPr>
          <w:rFonts w:ascii="Book Antiqua" w:eastAsia="STZhongsong" w:hAnsi="Book Antiqua"/>
        </w:rPr>
        <w:t xml:space="preserve"> </w:t>
      </w:r>
      <w:r w:rsidR="00E421F7" w:rsidRPr="00AE154B">
        <w:rPr>
          <w:rFonts w:ascii="Book Antiqua" w:eastAsiaTheme="minorEastAsia" w:hAnsi="Book Antiqua" w:cstheme="minorBidi"/>
          <w:lang w:bidi="ar-SA"/>
        </w:rPr>
        <w:t>The authors have read the CARE Checklist (2016), and the manuscript was prepared and revised according to the CARE Checklist (2016).</w:t>
      </w:r>
    </w:p>
    <w:p w14:paraId="324B0256" w14:textId="77777777" w:rsidR="00E421F7" w:rsidRPr="00AE154B" w:rsidRDefault="00E421F7" w:rsidP="00AE154B">
      <w:pPr>
        <w:pStyle w:val="BodyText"/>
        <w:spacing w:line="360" w:lineRule="auto"/>
        <w:ind w:left="426" w:right="390"/>
        <w:rPr>
          <w:rFonts w:ascii="Book Antiqua" w:eastAsiaTheme="minorEastAsia" w:hAnsi="Book Antiqua" w:cstheme="minorBidi"/>
          <w:lang w:bidi="ar-SA"/>
        </w:rPr>
      </w:pPr>
    </w:p>
    <w:p w14:paraId="5107000F" w14:textId="77777777" w:rsidR="00F40AD3" w:rsidRPr="00AE154B" w:rsidRDefault="00F40AD3" w:rsidP="00AE154B">
      <w:pPr>
        <w:spacing w:after="0" w:line="360" w:lineRule="auto"/>
        <w:jc w:val="both"/>
        <w:rPr>
          <w:rFonts w:ascii="Book Antiqua" w:hAnsi="Book Antiqua"/>
          <w:sz w:val="24"/>
          <w:szCs w:val="24"/>
        </w:rPr>
      </w:pPr>
      <w:r w:rsidRPr="00AE154B">
        <w:rPr>
          <w:rFonts w:ascii="Book Antiqua" w:hAnsi="Book Antiqua"/>
          <w:b/>
          <w:sz w:val="24"/>
          <w:szCs w:val="24"/>
        </w:rPr>
        <w:t xml:space="preserve">Open-Access: </w:t>
      </w:r>
      <w:bookmarkStart w:id="1" w:name="OLE_LINK4"/>
      <w:r w:rsidRPr="00AE154B">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
    <w:p w14:paraId="149A0FB3" w14:textId="77777777" w:rsidR="00F40AD3" w:rsidRPr="00AE154B" w:rsidRDefault="00F40AD3" w:rsidP="00AE154B">
      <w:pPr>
        <w:spacing w:after="0" w:line="360" w:lineRule="auto"/>
        <w:jc w:val="both"/>
        <w:rPr>
          <w:rFonts w:ascii="Book Antiqua" w:hAnsi="Book Antiqua"/>
          <w:sz w:val="24"/>
          <w:szCs w:val="24"/>
        </w:rPr>
      </w:pPr>
    </w:p>
    <w:p w14:paraId="75590E1B" w14:textId="77777777" w:rsidR="00F40AD3" w:rsidRPr="00AE154B" w:rsidRDefault="00F40AD3" w:rsidP="00AE154B">
      <w:pPr>
        <w:spacing w:after="0" w:line="360" w:lineRule="auto"/>
        <w:jc w:val="both"/>
        <w:rPr>
          <w:rFonts w:ascii="Book Antiqua" w:hAnsi="Book Antiqua"/>
          <w:bCs/>
          <w:iCs/>
          <w:sz w:val="24"/>
          <w:szCs w:val="24"/>
        </w:rPr>
      </w:pPr>
      <w:r w:rsidRPr="00AE154B">
        <w:rPr>
          <w:rFonts w:ascii="Book Antiqua" w:hAnsi="Book Antiqua"/>
          <w:b/>
          <w:bCs/>
          <w:iCs/>
          <w:sz w:val="24"/>
          <w:szCs w:val="24"/>
        </w:rPr>
        <w:t>Manuscript source:</w:t>
      </w:r>
      <w:r w:rsidRPr="00AE154B">
        <w:rPr>
          <w:rFonts w:ascii="Book Antiqua" w:hAnsi="Book Antiqua"/>
          <w:bCs/>
          <w:iCs/>
          <w:sz w:val="24"/>
          <w:szCs w:val="24"/>
        </w:rPr>
        <w:t xml:space="preserve"> Unsolicited manuscript</w:t>
      </w:r>
    </w:p>
    <w:p w14:paraId="747F17F8" w14:textId="77777777" w:rsidR="00F40AD3" w:rsidRPr="00AE154B" w:rsidRDefault="00F40AD3" w:rsidP="00AE154B">
      <w:pPr>
        <w:spacing w:after="0" w:line="360" w:lineRule="auto"/>
        <w:jc w:val="both"/>
        <w:rPr>
          <w:rFonts w:ascii="Book Antiqua" w:hAnsi="Book Antiqua"/>
          <w:sz w:val="24"/>
          <w:szCs w:val="24"/>
        </w:rPr>
      </w:pPr>
    </w:p>
    <w:p w14:paraId="02A570A4" w14:textId="7357EA19" w:rsidR="00E421F7" w:rsidRPr="00AE154B" w:rsidRDefault="00F40AD3" w:rsidP="00AE154B">
      <w:pPr>
        <w:spacing w:after="0" w:line="360" w:lineRule="auto"/>
        <w:ind w:right="390"/>
        <w:jc w:val="both"/>
        <w:rPr>
          <w:rFonts w:ascii="Book Antiqua" w:hAnsi="Book Antiqua"/>
          <w:sz w:val="24"/>
          <w:szCs w:val="24"/>
          <w:lang w:eastAsia="zh-CN"/>
        </w:rPr>
      </w:pPr>
      <w:r w:rsidRPr="00AE154B">
        <w:rPr>
          <w:rFonts w:ascii="Book Antiqua" w:hAnsi="Book Antiqua" w:cs="Arial"/>
          <w:b/>
          <w:sz w:val="24"/>
          <w:szCs w:val="24"/>
        </w:rPr>
        <w:t>Corresponding author</w:t>
      </w:r>
      <w:r w:rsidRPr="00AE154B">
        <w:rPr>
          <w:rFonts w:ascii="Book Antiqua" w:hAnsi="Book Antiqua"/>
          <w:b/>
          <w:iCs/>
          <w:sz w:val="24"/>
          <w:szCs w:val="24"/>
        </w:rPr>
        <w:t xml:space="preserve">: </w:t>
      </w:r>
      <w:r w:rsidR="00E421F7" w:rsidRPr="00E37C5C">
        <w:rPr>
          <w:rFonts w:ascii="Book Antiqua" w:hAnsi="Book Antiqua"/>
          <w:b/>
          <w:sz w:val="24"/>
          <w:szCs w:val="24"/>
        </w:rPr>
        <w:t xml:space="preserve">Sanja Medenica, MD, MSc, </w:t>
      </w:r>
      <w:r w:rsidR="00E37C5C" w:rsidRPr="00E37C5C">
        <w:rPr>
          <w:rFonts w:ascii="Book Antiqua" w:hAnsi="Book Antiqua"/>
          <w:b/>
          <w:sz w:val="24"/>
          <w:szCs w:val="24"/>
        </w:rPr>
        <w:t>Doctor</w:t>
      </w:r>
      <w:r w:rsidR="00E37C5C">
        <w:rPr>
          <w:rFonts w:ascii="Book Antiqua" w:hAnsi="Book Antiqua" w:hint="eastAsia"/>
          <w:b/>
          <w:sz w:val="24"/>
          <w:szCs w:val="24"/>
          <w:lang w:eastAsia="zh-CN"/>
        </w:rPr>
        <w:t>,</w:t>
      </w:r>
      <w:r w:rsidR="00E37C5C" w:rsidRPr="00E37C5C">
        <w:rPr>
          <w:rFonts w:ascii="Book Antiqua" w:hAnsi="Book Antiqua"/>
          <w:b/>
          <w:sz w:val="24"/>
          <w:szCs w:val="24"/>
        </w:rPr>
        <w:t xml:space="preserve"> </w:t>
      </w:r>
      <w:r w:rsidR="00E421F7" w:rsidRPr="00AE154B">
        <w:rPr>
          <w:rFonts w:ascii="Book Antiqua" w:hAnsi="Book Antiqua"/>
          <w:sz w:val="24"/>
          <w:szCs w:val="24"/>
        </w:rPr>
        <w:t>Department of Endocrinology, Internal Medicine Clinic, Clinical Center of Montenegro, Ljubljanska bb, 81000 Podgorica, Montenegro</w:t>
      </w:r>
      <w:r w:rsidR="006D6F04" w:rsidRPr="00AE154B">
        <w:rPr>
          <w:rFonts w:ascii="Book Antiqua" w:hAnsi="Book Antiqua"/>
          <w:sz w:val="24"/>
          <w:szCs w:val="24"/>
        </w:rPr>
        <w:t>.</w:t>
      </w:r>
      <w:r w:rsidR="00791757">
        <w:rPr>
          <w:rFonts w:ascii="Book Antiqua" w:hAnsi="Book Antiqua" w:hint="eastAsia"/>
          <w:sz w:val="24"/>
          <w:szCs w:val="24"/>
          <w:lang w:eastAsia="zh-CN"/>
        </w:rPr>
        <w:t xml:space="preserve"> </w:t>
      </w:r>
      <w:hyperlink r:id="rId8" w:history="1">
        <w:r w:rsidR="00791757" w:rsidRPr="001B3230">
          <w:rPr>
            <w:rStyle w:val="Hyperlink"/>
            <w:rFonts w:ascii="Book Antiqua" w:hAnsi="Book Antiqua"/>
            <w:sz w:val="24"/>
            <w:szCs w:val="24"/>
          </w:rPr>
          <w:t>medenicasanja@gmail.com</w:t>
        </w:r>
      </w:hyperlink>
    </w:p>
    <w:p w14:paraId="1FDEFD6D" w14:textId="47056EE7" w:rsidR="006D6F04" w:rsidRPr="00AE154B" w:rsidRDefault="006D6F04" w:rsidP="00AE154B">
      <w:pPr>
        <w:spacing w:after="0" w:line="360" w:lineRule="auto"/>
        <w:ind w:right="390"/>
        <w:jc w:val="both"/>
        <w:rPr>
          <w:rFonts w:ascii="Book Antiqua" w:hAnsi="Book Antiqua"/>
          <w:sz w:val="24"/>
          <w:szCs w:val="24"/>
        </w:rPr>
      </w:pPr>
      <w:r w:rsidRPr="00AE154B">
        <w:rPr>
          <w:rFonts w:ascii="Book Antiqua" w:hAnsi="Book Antiqua"/>
          <w:b/>
          <w:sz w:val="24"/>
          <w:szCs w:val="24"/>
        </w:rPr>
        <w:t>Telephone:</w:t>
      </w:r>
      <w:r w:rsidRPr="00AE154B">
        <w:rPr>
          <w:rFonts w:ascii="Book Antiqua" w:hAnsi="Book Antiqua"/>
          <w:sz w:val="24"/>
          <w:szCs w:val="24"/>
        </w:rPr>
        <w:t xml:space="preserve"> +38-26-9157843</w:t>
      </w:r>
    </w:p>
    <w:p w14:paraId="367C6AE9" w14:textId="5E1E4210" w:rsidR="00F40AD3" w:rsidRPr="00AE154B" w:rsidRDefault="00F40AD3" w:rsidP="00AE154B">
      <w:pPr>
        <w:spacing w:after="0" w:line="360" w:lineRule="auto"/>
        <w:ind w:right="390"/>
        <w:jc w:val="both"/>
        <w:rPr>
          <w:rFonts w:ascii="Book Antiqua" w:hAnsi="Book Antiqua"/>
          <w:sz w:val="24"/>
          <w:szCs w:val="24"/>
        </w:rPr>
      </w:pPr>
    </w:p>
    <w:p w14:paraId="2DED08AF" w14:textId="649974E5" w:rsidR="00F40AD3" w:rsidRPr="00AE154B" w:rsidRDefault="00F40AD3" w:rsidP="00AE154B">
      <w:pPr>
        <w:spacing w:after="0" w:line="360" w:lineRule="auto"/>
        <w:jc w:val="both"/>
        <w:rPr>
          <w:rFonts w:ascii="Book Antiqua" w:hAnsi="Book Antiqua"/>
          <w:sz w:val="24"/>
          <w:szCs w:val="24"/>
        </w:rPr>
      </w:pPr>
      <w:r w:rsidRPr="00AE154B">
        <w:rPr>
          <w:rFonts w:ascii="Book Antiqua" w:hAnsi="Book Antiqua"/>
          <w:b/>
          <w:sz w:val="24"/>
          <w:szCs w:val="24"/>
        </w:rPr>
        <w:t xml:space="preserve">Received: </w:t>
      </w:r>
      <w:r w:rsidRPr="00AE154B">
        <w:rPr>
          <w:rFonts w:ascii="Book Antiqua" w:hAnsi="Book Antiqua"/>
          <w:sz w:val="24"/>
          <w:szCs w:val="24"/>
        </w:rPr>
        <w:t>November 21, 2018</w:t>
      </w:r>
    </w:p>
    <w:p w14:paraId="7973000E" w14:textId="774D2744" w:rsidR="00F40AD3" w:rsidRPr="00AE154B" w:rsidRDefault="00F40AD3" w:rsidP="00AE154B">
      <w:pPr>
        <w:spacing w:after="0" w:line="360" w:lineRule="auto"/>
        <w:jc w:val="both"/>
        <w:rPr>
          <w:rFonts w:ascii="Book Antiqua" w:hAnsi="Book Antiqua"/>
          <w:sz w:val="24"/>
          <w:szCs w:val="24"/>
        </w:rPr>
      </w:pPr>
      <w:r w:rsidRPr="00AE154B">
        <w:rPr>
          <w:rFonts w:ascii="Book Antiqua" w:hAnsi="Book Antiqua"/>
          <w:b/>
          <w:sz w:val="24"/>
          <w:szCs w:val="24"/>
        </w:rPr>
        <w:t>Peer-review started:</w:t>
      </w:r>
      <w:r w:rsidRPr="00AE154B">
        <w:rPr>
          <w:rFonts w:ascii="Book Antiqua" w:hAnsi="Book Antiqua"/>
          <w:sz w:val="24"/>
          <w:szCs w:val="24"/>
        </w:rPr>
        <w:t xml:space="preserve"> November 21, 2018</w:t>
      </w:r>
    </w:p>
    <w:p w14:paraId="4BD61B29" w14:textId="30D9F230" w:rsidR="00F40AD3" w:rsidRPr="00AE154B" w:rsidRDefault="00F40AD3" w:rsidP="00AE154B">
      <w:pPr>
        <w:spacing w:after="0" w:line="360" w:lineRule="auto"/>
        <w:jc w:val="both"/>
        <w:rPr>
          <w:rFonts w:ascii="Book Antiqua" w:hAnsi="Book Antiqua"/>
          <w:sz w:val="24"/>
          <w:szCs w:val="24"/>
        </w:rPr>
      </w:pPr>
      <w:r w:rsidRPr="00AE154B">
        <w:rPr>
          <w:rFonts w:ascii="Book Antiqua" w:hAnsi="Book Antiqua"/>
          <w:b/>
          <w:sz w:val="24"/>
          <w:szCs w:val="24"/>
        </w:rPr>
        <w:t>First decision:</w:t>
      </w:r>
      <w:r w:rsidRPr="00AE154B">
        <w:rPr>
          <w:rFonts w:ascii="Book Antiqua" w:hAnsi="Book Antiqua"/>
          <w:sz w:val="24"/>
          <w:szCs w:val="24"/>
        </w:rPr>
        <w:t xml:space="preserve"> March 10, 2019</w:t>
      </w:r>
    </w:p>
    <w:p w14:paraId="6FDCDA52" w14:textId="321BA69F" w:rsidR="00F40AD3" w:rsidRPr="00AE154B" w:rsidRDefault="00F40AD3" w:rsidP="00AE154B">
      <w:pPr>
        <w:spacing w:after="0" w:line="360" w:lineRule="auto"/>
        <w:jc w:val="both"/>
        <w:rPr>
          <w:rFonts w:ascii="Book Antiqua" w:hAnsi="Book Antiqua"/>
          <w:sz w:val="24"/>
          <w:szCs w:val="24"/>
        </w:rPr>
      </w:pPr>
      <w:r w:rsidRPr="00AE154B">
        <w:rPr>
          <w:rFonts w:ascii="Book Antiqua" w:hAnsi="Book Antiqua"/>
          <w:b/>
          <w:sz w:val="24"/>
          <w:szCs w:val="24"/>
        </w:rPr>
        <w:t xml:space="preserve">Revised: </w:t>
      </w:r>
      <w:r w:rsidRPr="00AE154B">
        <w:rPr>
          <w:rFonts w:ascii="Book Antiqua" w:hAnsi="Book Antiqua"/>
          <w:sz w:val="24"/>
          <w:szCs w:val="24"/>
        </w:rPr>
        <w:t>May 1, 2019</w:t>
      </w:r>
    </w:p>
    <w:p w14:paraId="06B0613F" w14:textId="2AAA3F58" w:rsidR="00F40AD3" w:rsidRPr="00AE154B" w:rsidRDefault="00F40AD3" w:rsidP="00AE154B">
      <w:pPr>
        <w:spacing w:after="0" w:line="360" w:lineRule="auto"/>
        <w:jc w:val="both"/>
        <w:rPr>
          <w:rFonts w:ascii="Book Antiqua" w:hAnsi="Book Antiqua"/>
          <w:b/>
          <w:sz w:val="24"/>
          <w:szCs w:val="24"/>
        </w:rPr>
      </w:pPr>
      <w:r w:rsidRPr="00AE154B">
        <w:rPr>
          <w:rFonts w:ascii="Book Antiqua" w:hAnsi="Book Antiqua"/>
          <w:b/>
          <w:sz w:val="24"/>
          <w:szCs w:val="24"/>
        </w:rPr>
        <w:lastRenderedPageBreak/>
        <w:t>Accepted:</w:t>
      </w:r>
      <w:r w:rsidR="00101166" w:rsidRPr="00101166">
        <w:t xml:space="preserve"> </w:t>
      </w:r>
      <w:r w:rsidR="00101166" w:rsidRPr="00101166">
        <w:rPr>
          <w:rFonts w:ascii="Book Antiqua" w:hAnsi="Book Antiqua"/>
          <w:sz w:val="24"/>
          <w:szCs w:val="24"/>
        </w:rPr>
        <w:t>May 10, 2019</w:t>
      </w:r>
      <w:r w:rsidRPr="00AE154B">
        <w:rPr>
          <w:rFonts w:ascii="Book Antiqua" w:hAnsi="Book Antiqua"/>
          <w:b/>
          <w:sz w:val="24"/>
          <w:szCs w:val="24"/>
        </w:rPr>
        <w:t xml:space="preserve"> </w:t>
      </w:r>
    </w:p>
    <w:p w14:paraId="378F5F44" w14:textId="77777777" w:rsidR="00F40AD3" w:rsidRPr="00AE154B" w:rsidRDefault="00F40AD3" w:rsidP="00AE154B">
      <w:pPr>
        <w:spacing w:after="0" w:line="360" w:lineRule="auto"/>
        <w:jc w:val="both"/>
        <w:rPr>
          <w:rFonts w:ascii="Book Antiqua" w:hAnsi="Book Antiqua"/>
          <w:b/>
          <w:sz w:val="24"/>
          <w:szCs w:val="24"/>
        </w:rPr>
      </w:pPr>
      <w:r w:rsidRPr="00AE154B">
        <w:rPr>
          <w:rFonts w:ascii="Book Antiqua" w:hAnsi="Book Antiqua"/>
          <w:b/>
          <w:sz w:val="24"/>
          <w:szCs w:val="24"/>
        </w:rPr>
        <w:t xml:space="preserve">Article in press: </w:t>
      </w:r>
    </w:p>
    <w:p w14:paraId="12468215" w14:textId="77777777" w:rsidR="00F40AD3" w:rsidRPr="00AE154B" w:rsidRDefault="00F40AD3" w:rsidP="00AE154B">
      <w:pPr>
        <w:spacing w:after="0" w:line="360" w:lineRule="auto"/>
        <w:jc w:val="both"/>
        <w:rPr>
          <w:rFonts w:ascii="Book Antiqua" w:hAnsi="Book Antiqua"/>
          <w:bCs/>
          <w:sz w:val="24"/>
          <w:szCs w:val="24"/>
        </w:rPr>
      </w:pPr>
      <w:r w:rsidRPr="00AE154B">
        <w:rPr>
          <w:rFonts w:ascii="Book Antiqua" w:hAnsi="Book Antiqua"/>
          <w:b/>
          <w:sz w:val="24"/>
          <w:szCs w:val="24"/>
        </w:rPr>
        <w:t>Published online:</w:t>
      </w:r>
      <w:r w:rsidRPr="00AE154B">
        <w:rPr>
          <w:rFonts w:ascii="Book Antiqua" w:eastAsia="Times New Roman" w:hAnsi="Book Antiqua"/>
          <w:b/>
          <w:bCs/>
          <w:sz w:val="24"/>
          <w:szCs w:val="24"/>
        </w:rPr>
        <w:t xml:space="preserve"> </w:t>
      </w:r>
    </w:p>
    <w:p w14:paraId="49D93C59" w14:textId="77777777" w:rsidR="00F40AD3" w:rsidRPr="00AE154B" w:rsidRDefault="00F40AD3" w:rsidP="00AE154B">
      <w:pPr>
        <w:spacing w:after="0" w:line="360" w:lineRule="auto"/>
        <w:ind w:right="390"/>
        <w:jc w:val="both"/>
        <w:rPr>
          <w:rFonts w:ascii="Book Antiqua" w:hAnsi="Book Antiqua"/>
          <w:sz w:val="24"/>
          <w:szCs w:val="24"/>
        </w:rPr>
      </w:pPr>
    </w:p>
    <w:p w14:paraId="48ACFAC4" w14:textId="77777777" w:rsidR="00E421F7" w:rsidRPr="00AE154B" w:rsidRDefault="00E421F7" w:rsidP="00AE154B">
      <w:pPr>
        <w:spacing w:after="0" w:line="360" w:lineRule="auto"/>
        <w:ind w:left="426" w:right="390"/>
        <w:jc w:val="both"/>
        <w:rPr>
          <w:rFonts w:ascii="Book Antiqua" w:hAnsi="Book Antiqua"/>
          <w:sz w:val="24"/>
          <w:szCs w:val="24"/>
        </w:rPr>
        <w:sectPr w:rsidR="00E421F7" w:rsidRPr="00AE154B" w:rsidSect="00E421F7">
          <w:pgSz w:w="11906" w:h="16838" w:code="9"/>
          <w:pgMar w:top="1440" w:right="1080" w:bottom="1440" w:left="1080" w:header="0" w:footer="1015" w:gutter="0"/>
          <w:cols w:space="720"/>
          <w:docGrid w:linePitch="299"/>
        </w:sectPr>
      </w:pPr>
    </w:p>
    <w:p w14:paraId="2F1D1C94" w14:textId="77777777" w:rsidR="00E421F7" w:rsidRPr="00AE154B" w:rsidRDefault="00E421F7" w:rsidP="00AE154B">
      <w:pPr>
        <w:pStyle w:val="Heading1"/>
        <w:spacing w:before="0" w:line="360" w:lineRule="auto"/>
        <w:ind w:left="0" w:right="390"/>
        <w:jc w:val="both"/>
        <w:rPr>
          <w:rFonts w:ascii="Book Antiqua" w:eastAsiaTheme="minorEastAsia" w:hAnsi="Book Antiqua" w:cstheme="minorBidi"/>
          <w:bCs w:val="0"/>
          <w:lang w:bidi="ar-SA"/>
        </w:rPr>
      </w:pPr>
      <w:r w:rsidRPr="00AE154B">
        <w:rPr>
          <w:rFonts w:ascii="Book Antiqua" w:eastAsiaTheme="minorEastAsia" w:hAnsi="Book Antiqua" w:cstheme="minorBidi"/>
          <w:bCs w:val="0"/>
          <w:lang w:bidi="ar-SA"/>
        </w:rPr>
        <w:lastRenderedPageBreak/>
        <w:t>Abstract</w:t>
      </w:r>
    </w:p>
    <w:p w14:paraId="0ADE1869" w14:textId="77777777" w:rsidR="006D6F04" w:rsidRPr="00AE154B" w:rsidRDefault="006D6F04" w:rsidP="00AE154B">
      <w:pPr>
        <w:pStyle w:val="BodyText"/>
        <w:spacing w:line="360" w:lineRule="auto"/>
        <w:ind w:right="390"/>
        <w:rPr>
          <w:rFonts w:ascii="Book Antiqua" w:eastAsiaTheme="minorEastAsia" w:hAnsi="Book Antiqua" w:cstheme="minorBidi"/>
          <w:b/>
          <w:i/>
          <w:lang w:bidi="ar-SA"/>
        </w:rPr>
      </w:pPr>
      <w:r w:rsidRPr="00AE154B">
        <w:rPr>
          <w:rFonts w:ascii="Book Antiqua" w:eastAsiaTheme="minorEastAsia" w:hAnsi="Book Antiqua" w:cstheme="minorBidi"/>
          <w:b/>
          <w:i/>
          <w:lang w:bidi="ar-SA"/>
        </w:rPr>
        <w:t>BACKGROUND</w:t>
      </w:r>
    </w:p>
    <w:p w14:paraId="055B21EE" w14:textId="77777777" w:rsidR="00E421F7" w:rsidRPr="00AE154B" w:rsidRDefault="00E421F7" w:rsidP="00AE154B">
      <w:pPr>
        <w:pStyle w:val="BodyText"/>
        <w:spacing w:line="360" w:lineRule="auto"/>
        <w:ind w:right="390"/>
        <w:rPr>
          <w:rFonts w:ascii="Book Antiqua" w:eastAsiaTheme="minorEastAsia" w:hAnsi="Book Antiqua" w:cstheme="minorBidi"/>
          <w:lang w:bidi="ar-SA"/>
        </w:rPr>
      </w:pPr>
      <w:r w:rsidRPr="00AE154B">
        <w:rPr>
          <w:rFonts w:ascii="Book Antiqua" w:eastAsiaTheme="minorEastAsia" w:hAnsi="Book Antiqua" w:cstheme="minorBidi"/>
          <w:lang w:bidi="ar-SA"/>
        </w:rPr>
        <w:t xml:space="preserve">The most common lysosomal storage disorder is Gaucher disease (GD). It is a deficiency of lysosomal glucocerebrosidase (GBA) due to biallelic mutations in the </w:t>
      </w:r>
      <w:r w:rsidRPr="00AE154B">
        <w:rPr>
          <w:rFonts w:ascii="Book Antiqua" w:eastAsiaTheme="minorEastAsia" w:hAnsi="Book Antiqua" w:cstheme="minorBidi"/>
          <w:i/>
          <w:lang w:bidi="ar-SA"/>
        </w:rPr>
        <w:t>GBA</w:t>
      </w:r>
      <w:r w:rsidRPr="00AE154B">
        <w:rPr>
          <w:rFonts w:ascii="Book Antiqua" w:eastAsiaTheme="minorEastAsia" w:hAnsi="Book Antiqua" w:cstheme="minorBidi"/>
          <w:lang w:bidi="ar-SA"/>
        </w:rPr>
        <w:t xml:space="preserve"> gene, characterized by the deposition of </w:t>
      </w:r>
      <w:r w:rsidR="002A5172" w:rsidRPr="00AE154B">
        <w:rPr>
          <w:rFonts w:ascii="Book Antiqua" w:eastAsiaTheme="minorEastAsia" w:hAnsi="Book Antiqua" w:cstheme="minorBidi"/>
          <w:lang w:bidi="ar-SA"/>
        </w:rPr>
        <w:t>glucocerebroside in macrophage-</w:t>
      </w:r>
      <w:r w:rsidRPr="00AE154B">
        <w:rPr>
          <w:rFonts w:ascii="Book Antiqua" w:eastAsiaTheme="minorEastAsia" w:hAnsi="Book Antiqua" w:cstheme="minorBidi"/>
          <w:lang w:bidi="ar-SA"/>
        </w:rPr>
        <w:t xml:space="preserve">monocyte system cells. The report targets clinical phenotypes of GD in order to correlate them with </w:t>
      </w:r>
      <w:r w:rsidRPr="00AE154B">
        <w:rPr>
          <w:rFonts w:ascii="Book Antiqua" w:eastAsiaTheme="minorEastAsia" w:hAnsi="Book Antiqua" w:cstheme="minorBidi"/>
          <w:i/>
          <w:lang w:bidi="ar-SA"/>
        </w:rPr>
        <w:t>GBA</w:t>
      </w:r>
      <w:r w:rsidRPr="00AE154B">
        <w:rPr>
          <w:rFonts w:ascii="Book Antiqua" w:eastAsiaTheme="minorEastAsia" w:hAnsi="Book Antiqua" w:cstheme="minorBidi"/>
          <w:lang w:bidi="ar-SA"/>
        </w:rPr>
        <w:t xml:space="preserve"> gene mutations, as well as to identify </w:t>
      </w:r>
      <w:r w:rsidRPr="00AE154B">
        <w:rPr>
          <w:rFonts w:ascii="Book Antiqua" w:eastAsiaTheme="minorEastAsia" w:hAnsi="Book Antiqua" w:cstheme="minorBidi"/>
          <w:i/>
          <w:lang w:bidi="ar-SA"/>
        </w:rPr>
        <w:t>GBA</w:t>
      </w:r>
      <w:r w:rsidRPr="00AE154B">
        <w:rPr>
          <w:rFonts w:ascii="Book Antiqua" w:eastAsiaTheme="minorEastAsia" w:hAnsi="Book Antiqua" w:cstheme="minorBidi"/>
          <w:lang w:bidi="ar-SA"/>
        </w:rPr>
        <w:t xml:space="preserve"> gene mutation in patients in Montenegro that are diagnosed with</w:t>
      </w:r>
      <w:r w:rsidR="00AF085C"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GD.</w:t>
      </w:r>
    </w:p>
    <w:p w14:paraId="14315A44" w14:textId="77777777" w:rsidR="006D6F04" w:rsidRPr="00AE154B" w:rsidRDefault="006D6F04" w:rsidP="00AE154B">
      <w:pPr>
        <w:pStyle w:val="BodyText"/>
        <w:spacing w:line="360" w:lineRule="auto"/>
        <w:ind w:right="390"/>
        <w:rPr>
          <w:rFonts w:ascii="Book Antiqua" w:eastAsiaTheme="minorEastAsia" w:hAnsi="Book Antiqua" w:cstheme="minorBidi"/>
          <w:lang w:bidi="ar-SA"/>
        </w:rPr>
      </w:pPr>
    </w:p>
    <w:p w14:paraId="44609C06" w14:textId="77777777" w:rsidR="006D6F04" w:rsidRPr="00AE154B" w:rsidRDefault="006D6F04" w:rsidP="00AE154B">
      <w:pPr>
        <w:pStyle w:val="BodyText"/>
        <w:spacing w:line="360" w:lineRule="auto"/>
        <w:ind w:right="390"/>
        <w:rPr>
          <w:rFonts w:ascii="Book Antiqua" w:eastAsiaTheme="minorEastAsia" w:hAnsi="Book Antiqua" w:cstheme="minorBidi"/>
          <w:b/>
          <w:i/>
          <w:lang w:bidi="ar-SA"/>
        </w:rPr>
      </w:pPr>
      <w:r w:rsidRPr="00AE154B">
        <w:rPr>
          <w:rFonts w:ascii="Book Antiqua" w:eastAsiaTheme="minorEastAsia" w:hAnsi="Book Antiqua" w:cstheme="minorBidi"/>
          <w:b/>
          <w:i/>
          <w:lang w:bidi="ar-SA"/>
        </w:rPr>
        <w:t>CASES SUMMARY</w:t>
      </w:r>
    </w:p>
    <w:p w14:paraId="494E6A4C" w14:textId="2A584F7E" w:rsidR="00E421F7" w:rsidRPr="00AE154B" w:rsidRDefault="00E36C22" w:rsidP="00AE154B">
      <w:pPr>
        <w:pStyle w:val="BodyText"/>
        <w:spacing w:line="360" w:lineRule="auto"/>
        <w:ind w:right="390"/>
        <w:rPr>
          <w:rFonts w:ascii="Book Antiqua" w:eastAsiaTheme="minorEastAsia" w:hAnsi="Book Antiqua" w:cstheme="minorBidi"/>
          <w:lang w:bidi="ar-SA"/>
        </w:rPr>
      </w:pPr>
      <w:r w:rsidRPr="00AE154B">
        <w:rPr>
          <w:rFonts w:ascii="Book Antiqua" w:eastAsiaTheme="minorEastAsia" w:hAnsi="Book Antiqua" w:cstheme="minorBidi"/>
          <w:lang w:bidi="ar-SA"/>
        </w:rPr>
        <w:t>Five</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patients</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(4</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male,</w:t>
      </w:r>
      <w:r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1</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female)</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of</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type</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1</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GD</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(GD1)</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are</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reported.</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The</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age at diagnosis ranged from 7 to 40. Patients experienced delays of 1-12 years in diagnosis after the original onset of symptoms. The most common mode of presentation was a variable degree of splenomegaly and thrombocytopenia, while other symptoms</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included bone pain, hepatomegaly, abdominal pain and fatigue. Osteopenia was present</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in</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a</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majority</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of the</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patients:</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4/5. All</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patients</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were</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found</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to</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have</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 xml:space="preserve">an asymptomatic Erlenmeyer flask deformity of the distal femur. On enzyme replacement therapy (ERT), the hematological and visceral parameters showed significant improvement, but no significant progression in bone mineral density was noticed. </w:t>
      </w:r>
      <w:r w:rsidR="00E421F7" w:rsidRPr="00AE154B">
        <w:rPr>
          <w:rFonts w:ascii="Book Antiqua" w:eastAsiaTheme="minorEastAsia" w:hAnsi="Book Antiqua" w:cstheme="minorBidi"/>
          <w:i/>
          <w:lang w:bidi="ar-SA"/>
        </w:rPr>
        <w:t>GBA</w:t>
      </w:r>
      <w:r w:rsidR="00E421F7" w:rsidRPr="00AE154B">
        <w:rPr>
          <w:rFonts w:ascii="Book Antiqua" w:eastAsiaTheme="minorEastAsia" w:hAnsi="Book Antiqua" w:cstheme="minorBidi"/>
          <w:lang w:bidi="ar-SA"/>
        </w:rPr>
        <w:t xml:space="preserve"> gene sequencing revealed homozygosity for the </w:t>
      </w:r>
      <w:r w:rsidR="00E421F7" w:rsidRPr="00AE154B">
        <w:rPr>
          <w:rFonts w:ascii="Book Antiqua" w:eastAsiaTheme="minorEastAsia" w:hAnsi="Book Antiqua" w:cstheme="minorBidi"/>
          <w:i/>
          <w:lang w:bidi="ar-SA"/>
        </w:rPr>
        <w:t>N370S</w:t>
      </w:r>
      <w:r w:rsidR="00E421F7" w:rsidRPr="00AE154B">
        <w:rPr>
          <w:rFonts w:ascii="Book Antiqua" w:eastAsiaTheme="minorEastAsia" w:hAnsi="Book Antiqua" w:cstheme="minorBidi"/>
          <w:lang w:bidi="ar-SA"/>
        </w:rPr>
        <w:t xml:space="preserve"> mutation in one patient. The genotypes</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of</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the</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other</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patients</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were</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N370S/55bp</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deletion,</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N370S/D409H</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(2</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patients), and H255Q/N370S (1</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patient).</w:t>
      </w:r>
    </w:p>
    <w:p w14:paraId="6050B076" w14:textId="77777777" w:rsidR="006D6F04" w:rsidRPr="00AE154B" w:rsidRDefault="006D6F04" w:rsidP="00AE154B">
      <w:pPr>
        <w:pStyle w:val="BodyText"/>
        <w:spacing w:line="360" w:lineRule="auto"/>
        <w:ind w:right="390"/>
        <w:rPr>
          <w:rFonts w:ascii="Book Antiqua" w:eastAsiaTheme="minorEastAsia" w:hAnsi="Book Antiqua" w:cstheme="minorBidi"/>
          <w:lang w:bidi="ar-SA"/>
        </w:rPr>
      </w:pPr>
    </w:p>
    <w:p w14:paraId="128E8A51" w14:textId="77777777" w:rsidR="006D6F04" w:rsidRPr="00AE154B" w:rsidRDefault="006D6F04" w:rsidP="00AE154B">
      <w:pPr>
        <w:pStyle w:val="BodyText"/>
        <w:spacing w:line="360" w:lineRule="auto"/>
        <w:ind w:right="390"/>
        <w:rPr>
          <w:rFonts w:ascii="Book Antiqua" w:eastAsiaTheme="minorEastAsia" w:hAnsi="Book Antiqua" w:cstheme="minorBidi"/>
          <w:b/>
          <w:i/>
          <w:lang w:bidi="ar-SA"/>
        </w:rPr>
      </w:pPr>
      <w:r w:rsidRPr="00AE154B">
        <w:rPr>
          <w:rFonts w:ascii="Book Antiqua" w:eastAsiaTheme="minorEastAsia" w:hAnsi="Book Antiqua" w:cstheme="minorBidi"/>
          <w:b/>
          <w:i/>
          <w:lang w:bidi="ar-SA"/>
        </w:rPr>
        <w:t>CONCLUSION</w:t>
      </w:r>
    </w:p>
    <w:p w14:paraId="015D0B0A" w14:textId="77777777" w:rsidR="00E421F7" w:rsidRPr="00AE154B" w:rsidRDefault="00E421F7" w:rsidP="00AE154B">
      <w:pPr>
        <w:pStyle w:val="BodyText"/>
        <w:spacing w:line="360" w:lineRule="auto"/>
        <w:ind w:right="390"/>
        <w:rPr>
          <w:rFonts w:ascii="Book Antiqua" w:eastAsiaTheme="minorEastAsia" w:hAnsi="Book Antiqua" w:cstheme="minorBidi"/>
          <w:lang w:bidi="ar-SA"/>
        </w:rPr>
      </w:pPr>
      <w:r w:rsidRPr="00AE154B">
        <w:rPr>
          <w:rFonts w:ascii="Book Antiqua" w:eastAsiaTheme="minorEastAsia" w:hAnsi="Book Antiqua" w:cstheme="minorBidi"/>
          <w:lang w:bidi="ar-SA"/>
        </w:rPr>
        <w:t>The phenotypes of the GD1 encountered in Montenegro were severe but all responded well to</w:t>
      </w:r>
      <w:r w:rsidR="00AF085C"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ERT.</w:t>
      </w:r>
    </w:p>
    <w:p w14:paraId="697D284A" w14:textId="77777777" w:rsidR="00E421F7" w:rsidRPr="00AE154B" w:rsidRDefault="00E421F7" w:rsidP="00AE154B">
      <w:pPr>
        <w:pStyle w:val="BodyText"/>
        <w:spacing w:line="360" w:lineRule="auto"/>
        <w:ind w:right="390"/>
        <w:rPr>
          <w:rFonts w:ascii="Book Antiqua" w:eastAsiaTheme="minorEastAsia" w:hAnsi="Book Antiqua" w:cstheme="minorBidi"/>
          <w:lang w:bidi="ar-SA"/>
        </w:rPr>
      </w:pPr>
    </w:p>
    <w:p w14:paraId="017F9ECA" w14:textId="11C81460" w:rsidR="00E11E6E" w:rsidRPr="00AE154B" w:rsidRDefault="00F40AD3" w:rsidP="00AE154B">
      <w:pPr>
        <w:spacing w:after="0" w:line="360" w:lineRule="auto"/>
        <w:ind w:right="390"/>
        <w:jc w:val="both"/>
        <w:rPr>
          <w:rFonts w:ascii="Book Antiqua" w:hAnsi="Book Antiqua"/>
          <w:sz w:val="24"/>
          <w:szCs w:val="24"/>
        </w:rPr>
      </w:pPr>
      <w:r w:rsidRPr="00AE154B">
        <w:rPr>
          <w:rFonts w:ascii="Book Antiqua" w:hAnsi="Book Antiqua"/>
          <w:b/>
          <w:bCs/>
          <w:sz w:val="24"/>
          <w:szCs w:val="24"/>
        </w:rPr>
        <w:t>Key words</w:t>
      </w:r>
      <w:r w:rsidRPr="00AE154B">
        <w:rPr>
          <w:rFonts w:ascii="Book Antiqua" w:hAnsi="Book Antiqua"/>
          <w:sz w:val="24"/>
          <w:szCs w:val="24"/>
        </w:rPr>
        <w:t>:</w:t>
      </w:r>
      <w:r w:rsidRPr="00AE154B">
        <w:rPr>
          <w:rFonts w:ascii="Book Antiqua" w:eastAsia="STZhongsong" w:hAnsi="Book Antiqua"/>
          <w:sz w:val="24"/>
          <w:szCs w:val="24"/>
        </w:rPr>
        <w:t xml:space="preserve"> </w:t>
      </w:r>
      <w:r w:rsidR="00E421F7" w:rsidRPr="00AE154B">
        <w:rPr>
          <w:rFonts w:ascii="Book Antiqua" w:hAnsi="Book Antiqua"/>
          <w:sz w:val="24"/>
          <w:szCs w:val="24"/>
        </w:rPr>
        <w:t xml:space="preserve">Gaucher disease; Lysosomal storage disorder; Glucocerebrosidase; </w:t>
      </w:r>
      <w:r w:rsidR="00E421F7" w:rsidRPr="00AE154B">
        <w:rPr>
          <w:rFonts w:ascii="Book Antiqua" w:hAnsi="Book Antiqua"/>
          <w:i/>
          <w:sz w:val="24"/>
          <w:szCs w:val="24"/>
        </w:rPr>
        <w:t>GBA</w:t>
      </w:r>
      <w:r w:rsidR="00E421F7" w:rsidRPr="00AE154B">
        <w:rPr>
          <w:rFonts w:ascii="Book Antiqua" w:hAnsi="Book Antiqua"/>
          <w:sz w:val="24"/>
          <w:szCs w:val="24"/>
        </w:rPr>
        <w:t xml:space="preserve"> gene sequencing; Genotype; Case report</w:t>
      </w:r>
    </w:p>
    <w:p w14:paraId="17FB6CA6" w14:textId="77777777" w:rsidR="00E421F7" w:rsidRPr="00AE154B" w:rsidRDefault="00E421F7" w:rsidP="00AE154B">
      <w:pPr>
        <w:spacing w:after="0" w:line="360" w:lineRule="auto"/>
        <w:ind w:left="426" w:right="390"/>
        <w:jc w:val="both"/>
        <w:rPr>
          <w:rFonts w:ascii="Book Antiqua" w:hAnsi="Book Antiqua"/>
          <w:sz w:val="24"/>
          <w:szCs w:val="24"/>
        </w:rPr>
      </w:pPr>
    </w:p>
    <w:p w14:paraId="45850E06" w14:textId="77777777" w:rsidR="00F40AD3" w:rsidRPr="00AE154B" w:rsidRDefault="00F40AD3" w:rsidP="00AE154B">
      <w:pPr>
        <w:spacing w:after="0" w:line="360" w:lineRule="auto"/>
        <w:ind w:right="-46"/>
        <w:jc w:val="both"/>
        <w:rPr>
          <w:rFonts w:ascii="Book Antiqua" w:hAnsi="Book Antiqua" w:cs="Arial"/>
          <w:sz w:val="24"/>
          <w:szCs w:val="24"/>
        </w:rPr>
      </w:pPr>
      <w:r w:rsidRPr="00AE154B">
        <w:rPr>
          <w:rFonts w:ascii="Book Antiqua" w:hAnsi="Book Antiqua" w:cs="Arial"/>
          <w:b/>
          <w:sz w:val="24"/>
          <w:szCs w:val="24"/>
        </w:rPr>
        <w:t>© The Author(s) 2019.</w:t>
      </w:r>
      <w:r w:rsidRPr="00AE154B">
        <w:rPr>
          <w:rFonts w:ascii="Book Antiqua" w:hAnsi="Book Antiqua" w:cs="Arial"/>
          <w:sz w:val="24"/>
          <w:szCs w:val="24"/>
        </w:rPr>
        <w:t xml:space="preserve"> Published by Baishideng Publishing Group Inc. All rights reserved.</w:t>
      </w:r>
    </w:p>
    <w:p w14:paraId="1C77E036" w14:textId="77777777" w:rsidR="00F40AD3" w:rsidRPr="00AE154B" w:rsidRDefault="00F40AD3" w:rsidP="00AE154B">
      <w:pPr>
        <w:spacing w:after="0" w:line="360" w:lineRule="auto"/>
        <w:ind w:right="-565"/>
        <w:jc w:val="both"/>
        <w:rPr>
          <w:rFonts w:ascii="Book Antiqua" w:hAnsi="Book Antiqua" w:cs="Arial"/>
          <w:b/>
          <w:sz w:val="24"/>
          <w:szCs w:val="24"/>
        </w:rPr>
      </w:pPr>
    </w:p>
    <w:p w14:paraId="2383D7CD" w14:textId="3DE13DE6" w:rsidR="00E421F7" w:rsidRPr="00AE154B" w:rsidRDefault="00F40AD3" w:rsidP="00AE154B">
      <w:pPr>
        <w:pStyle w:val="BodyText"/>
        <w:spacing w:line="360" w:lineRule="auto"/>
        <w:ind w:right="390"/>
        <w:rPr>
          <w:rFonts w:ascii="Book Antiqua" w:eastAsiaTheme="minorEastAsia" w:hAnsi="Book Antiqua" w:cstheme="minorBidi"/>
          <w:lang w:bidi="ar-SA"/>
        </w:rPr>
      </w:pPr>
      <w:r w:rsidRPr="00AE154B">
        <w:rPr>
          <w:rFonts w:ascii="Book Antiqua" w:hAnsi="Book Antiqua" w:cs="Arial"/>
          <w:b/>
        </w:rPr>
        <w:t xml:space="preserve">Core tip: </w:t>
      </w:r>
      <w:r w:rsidR="00E421F7" w:rsidRPr="00AE154B">
        <w:rPr>
          <w:rFonts w:ascii="Book Antiqua" w:eastAsiaTheme="minorEastAsia" w:hAnsi="Book Antiqua" w:cstheme="minorBidi"/>
          <w:lang w:bidi="ar-SA"/>
        </w:rPr>
        <w:t>This is the first report on Gaucher disease (GD) originating from Montenegro that presents clinical phenotypes of GD and glucocerebrosidase (</w:t>
      </w:r>
      <w:r w:rsidR="00E421F7" w:rsidRPr="00AE154B">
        <w:rPr>
          <w:rFonts w:ascii="Book Antiqua" w:eastAsiaTheme="minorEastAsia" w:hAnsi="Book Antiqua" w:cstheme="minorBidi"/>
          <w:i/>
          <w:lang w:bidi="ar-SA"/>
        </w:rPr>
        <w:t>GBA</w:t>
      </w:r>
      <w:r w:rsidR="00E421F7" w:rsidRPr="00AE154B">
        <w:rPr>
          <w:rFonts w:ascii="Book Antiqua" w:eastAsiaTheme="minorEastAsia" w:hAnsi="Book Antiqua" w:cstheme="minorBidi"/>
          <w:lang w:bidi="ar-SA"/>
        </w:rPr>
        <w:t>) gene mutations in patients in Montenegro that are diagnosed with GD and genotype/phenotype correlations.</w:t>
      </w:r>
      <w:r w:rsidR="004A4736"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 xml:space="preserve">While </w:t>
      </w:r>
      <w:r w:rsidR="00E421F7" w:rsidRPr="00AE154B">
        <w:rPr>
          <w:rFonts w:ascii="Book Antiqua" w:eastAsiaTheme="minorEastAsia" w:hAnsi="Book Antiqua" w:cstheme="minorBidi"/>
          <w:i/>
          <w:lang w:bidi="ar-SA"/>
        </w:rPr>
        <w:t>GBA</w:t>
      </w:r>
      <w:r w:rsidR="00E421F7" w:rsidRPr="00AE154B">
        <w:rPr>
          <w:rFonts w:ascii="Book Antiqua" w:eastAsiaTheme="minorEastAsia" w:hAnsi="Book Antiqua" w:cstheme="minorBidi"/>
          <w:lang w:bidi="ar-SA"/>
        </w:rPr>
        <w:t xml:space="preserve"> gene sequencing revealed a homozygosity for the </w:t>
      </w:r>
      <w:r w:rsidR="00E421F7" w:rsidRPr="00AE154B">
        <w:rPr>
          <w:rFonts w:ascii="Book Antiqua" w:eastAsiaTheme="minorEastAsia" w:hAnsi="Book Antiqua" w:cstheme="minorBidi"/>
          <w:i/>
          <w:lang w:bidi="ar-SA"/>
        </w:rPr>
        <w:t>N370S</w:t>
      </w:r>
      <w:r w:rsidR="00E421F7" w:rsidRPr="00AE154B">
        <w:rPr>
          <w:rFonts w:ascii="Book Antiqua" w:eastAsiaTheme="minorEastAsia" w:hAnsi="Book Antiqua" w:cstheme="minorBidi"/>
          <w:lang w:bidi="ar-SA"/>
        </w:rPr>
        <w:t xml:space="preserve"> mutation</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in</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1 patient, the</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genotypes</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of the</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other</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patients</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were</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N370S/55bp</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deletion, N370S/D409H</w:t>
      </w:r>
      <w:r w:rsidR="004A4736"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(in 2 patients), and</w:t>
      </w:r>
      <w:r w:rsidR="004A4736"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H255Q/N370S (1 patient).</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The</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phenotypes</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of the</w:t>
      </w:r>
      <w:r w:rsidR="00AF085C" w:rsidRPr="00AE154B">
        <w:rPr>
          <w:rFonts w:ascii="Book Antiqua" w:eastAsiaTheme="minorEastAsia" w:hAnsi="Book Antiqua" w:cstheme="minorBidi"/>
          <w:lang w:bidi="ar-SA"/>
        </w:rPr>
        <w:t xml:space="preserve"> </w:t>
      </w:r>
      <w:r w:rsidR="00E421F7" w:rsidRPr="00AE154B">
        <w:rPr>
          <w:rFonts w:ascii="Book Antiqua" w:eastAsiaTheme="minorEastAsia" w:hAnsi="Book Antiqua" w:cstheme="minorBidi"/>
          <w:lang w:bidi="ar-SA"/>
        </w:rPr>
        <w:t xml:space="preserve">GD type 1 encountered were severe but all responded well to </w:t>
      </w:r>
      <w:r w:rsidR="004A4736" w:rsidRPr="00AE154B">
        <w:rPr>
          <w:rFonts w:ascii="Book Antiqua" w:eastAsiaTheme="minorEastAsia" w:hAnsi="Book Antiqua" w:cstheme="minorBidi"/>
          <w:lang w:bidi="ar-SA"/>
        </w:rPr>
        <w:t>enzyme replacement therapy</w:t>
      </w:r>
      <w:r w:rsidR="00E421F7" w:rsidRPr="00AE154B">
        <w:rPr>
          <w:rFonts w:ascii="Book Antiqua" w:eastAsiaTheme="minorEastAsia" w:hAnsi="Book Antiqua" w:cstheme="minorBidi"/>
          <w:lang w:bidi="ar-SA"/>
        </w:rPr>
        <w:t>. Genetic testing for their progeny was also planned.</w:t>
      </w:r>
    </w:p>
    <w:p w14:paraId="610A13BD" w14:textId="5AA4246F" w:rsidR="00F40AD3" w:rsidRPr="00AE154B" w:rsidRDefault="00F40AD3" w:rsidP="00AE154B">
      <w:pPr>
        <w:pStyle w:val="BodyText"/>
        <w:spacing w:line="360" w:lineRule="auto"/>
        <w:ind w:right="390"/>
        <w:rPr>
          <w:rFonts w:ascii="Book Antiqua" w:eastAsiaTheme="minorEastAsia" w:hAnsi="Book Antiqua" w:cstheme="minorBidi"/>
          <w:lang w:bidi="ar-SA"/>
        </w:rPr>
      </w:pPr>
    </w:p>
    <w:p w14:paraId="661689F1" w14:textId="167E14E7" w:rsidR="00F40AD3" w:rsidRPr="00AE154B" w:rsidRDefault="00F40AD3" w:rsidP="00AE154B">
      <w:pPr>
        <w:spacing w:after="0" w:line="360" w:lineRule="auto"/>
        <w:jc w:val="both"/>
        <w:rPr>
          <w:rFonts w:ascii="Book Antiqua" w:hAnsi="Book Antiqua"/>
          <w:b/>
          <w:sz w:val="24"/>
          <w:szCs w:val="24"/>
        </w:rPr>
      </w:pPr>
      <w:r w:rsidRPr="00AE154B">
        <w:rPr>
          <w:rFonts w:ascii="Book Antiqua" w:eastAsia="Times New Roman" w:hAnsi="Book Antiqua" w:cs="Times New Roman"/>
          <w:sz w:val="24"/>
          <w:szCs w:val="24"/>
          <w:lang w:bidi="en-US"/>
        </w:rPr>
        <w:t xml:space="preserve">Vujosevic S, Medenica S, Vujicic V, Dapcevic M, Bakic N, Yang R, Liu J, Mistry PK. Gaucher disease in Montenegro - genotype/phenotype correlations: Five cases report. </w:t>
      </w:r>
      <w:r w:rsidRPr="00AE154B">
        <w:rPr>
          <w:rFonts w:ascii="Book Antiqua" w:hAnsi="Book Antiqua"/>
          <w:i/>
          <w:iCs/>
          <w:sz w:val="24"/>
          <w:szCs w:val="24"/>
        </w:rPr>
        <w:t xml:space="preserve">World J Clin Cases </w:t>
      </w:r>
      <w:r w:rsidRPr="00AE154B">
        <w:rPr>
          <w:rFonts w:ascii="Book Antiqua" w:hAnsi="Book Antiqua"/>
          <w:iCs/>
          <w:sz w:val="24"/>
          <w:szCs w:val="24"/>
        </w:rPr>
        <w:t>2019; In press</w:t>
      </w:r>
    </w:p>
    <w:p w14:paraId="1018D75C" w14:textId="77777777" w:rsidR="006D6F04" w:rsidRPr="00AE154B" w:rsidRDefault="006D6F04" w:rsidP="00AE154B">
      <w:pPr>
        <w:spacing w:after="0" w:line="360" w:lineRule="auto"/>
        <w:jc w:val="both"/>
        <w:rPr>
          <w:rFonts w:ascii="Book Antiqua" w:hAnsi="Book Antiqua"/>
          <w:sz w:val="24"/>
          <w:szCs w:val="24"/>
        </w:rPr>
      </w:pPr>
      <w:r w:rsidRPr="00AE154B">
        <w:rPr>
          <w:rFonts w:ascii="Book Antiqua" w:hAnsi="Book Antiqua"/>
          <w:sz w:val="24"/>
          <w:szCs w:val="24"/>
        </w:rPr>
        <w:br w:type="page"/>
      </w:r>
    </w:p>
    <w:p w14:paraId="240A8E6C" w14:textId="77777777" w:rsidR="00E421F7" w:rsidRPr="00AE154B" w:rsidRDefault="006D6F04" w:rsidP="00AE154B">
      <w:pPr>
        <w:pStyle w:val="Heading1"/>
        <w:spacing w:before="0" w:line="360" w:lineRule="auto"/>
        <w:ind w:left="0" w:right="390"/>
        <w:jc w:val="both"/>
        <w:rPr>
          <w:rFonts w:ascii="Book Antiqua" w:eastAsiaTheme="minorEastAsia" w:hAnsi="Book Antiqua" w:cstheme="minorBidi"/>
          <w:bCs w:val="0"/>
          <w:lang w:bidi="ar-SA"/>
        </w:rPr>
      </w:pPr>
      <w:r w:rsidRPr="00AE154B">
        <w:rPr>
          <w:rFonts w:ascii="Book Antiqua" w:eastAsiaTheme="minorEastAsia" w:hAnsi="Book Antiqua" w:cstheme="minorBidi"/>
          <w:bCs w:val="0"/>
          <w:lang w:bidi="ar-SA"/>
        </w:rPr>
        <w:lastRenderedPageBreak/>
        <w:t>INTRODUCTION</w:t>
      </w:r>
    </w:p>
    <w:p w14:paraId="44068496" w14:textId="357C5DD0" w:rsidR="00E421F7" w:rsidRPr="00AE154B" w:rsidRDefault="00E421F7" w:rsidP="00AE154B">
      <w:pPr>
        <w:pStyle w:val="BodyText"/>
        <w:spacing w:line="360" w:lineRule="auto"/>
        <w:ind w:right="390"/>
        <w:rPr>
          <w:rFonts w:ascii="Book Antiqua" w:eastAsiaTheme="minorEastAsia" w:hAnsi="Book Antiqua" w:cstheme="minorBidi"/>
          <w:lang w:bidi="ar-SA"/>
        </w:rPr>
      </w:pPr>
      <w:r w:rsidRPr="00AE154B">
        <w:rPr>
          <w:rFonts w:ascii="Book Antiqua" w:eastAsiaTheme="minorEastAsia" w:hAnsi="Book Antiqua" w:cstheme="minorBidi"/>
          <w:lang w:bidi="ar-SA"/>
        </w:rPr>
        <w:t>The most common lysosomal storage is Gaucher disease (GD), occurring in 1 in every 850 live births for Ashkenazi Jews</w:t>
      </w:r>
      <w:r w:rsidRPr="00AE154B">
        <w:rPr>
          <w:rFonts w:ascii="Book Antiqua" w:eastAsiaTheme="minorEastAsia" w:hAnsi="Book Antiqua" w:cstheme="minorBidi"/>
          <w:vertAlign w:val="superscript"/>
          <w:lang w:bidi="ar-SA"/>
        </w:rPr>
        <w:t>[1]</w:t>
      </w:r>
      <w:r w:rsidRPr="00AE154B">
        <w:rPr>
          <w:rFonts w:ascii="Book Antiqua" w:eastAsiaTheme="minorEastAsia" w:hAnsi="Book Antiqua" w:cstheme="minorBidi"/>
          <w:lang w:bidi="ar-SA"/>
        </w:rPr>
        <w:t xml:space="preserve"> and approximately from 1 in every 57000 to 1 in 75000 worldwide</w:t>
      </w:r>
      <w:r w:rsidRPr="00AE154B">
        <w:rPr>
          <w:rFonts w:ascii="Book Antiqua" w:eastAsiaTheme="minorEastAsia" w:hAnsi="Book Antiqua" w:cstheme="minorBidi"/>
          <w:vertAlign w:val="superscript"/>
          <w:lang w:bidi="ar-SA"/>
        </w:rPr>
        <w:t>[2]</w:t>
      </w:r>
      <w:r w:rsidRPr="00AE154B">
        <w:rPr>
          <w:rFonts w:ascii="Book Antiqua" w:eastAsiaTheme="minorEastAsia" w:hAnsi="Book Antiqua" w:cstheme="minorBidi"/>
          <w:lang w:bidi="ar-SA"/>
        </w:rPr>
        <w:t>. The most prominent characteristic of the disease is the accumulation of glucosphingolipids glucosylceramide and glucosylsphingosine within the lysosomes of mononuclear phagocytes</w:t>
      </w:r>
      <w:r w:rsidRPr="00AE154B">
        <w:rPr>
          <w:rFonts w:ascii="Book Antiqua" w:eastAsiaTheme="minorEastAsia" w:hAnsi="Book Antiqua" w:cstheme="minorBidi"/>
          <w:vertAlign w:val="superscript"/>
          <w:lang w:bidi="ar-SA"/>
        </w:rPr>
        <w:t>[3]</w:t>
      </w:r>
      <w:r w:rsidRPr="00AE154B">
        <w:rPr>
          <w:rFonts w:ascii="Book Antiqua" w:eastAsiaTheme="minorEastAsia" w:hAnsi="Book Antiqua" w:cstheme="minorBidi"/>
          <w:lang w:bidi="ar-SA"/>
        </w:rPr>
        <w:t xml:space="preserve">. The defect itself is a deficiency of glucocerebrosidase (GBA) due to biallelic mutations in the </w:t>
      </w:r>
      <w:r w:rsidRPr="00AE154B">
        <w:rPr>
          <w:rFonts w:ascii="Book Antiqua" w:eastAsiaTheme="minorEastAsia" w:hAnsi="Book Antiqua" w:cstheme="minorBidi"/>
          <w:i/>
          <w:lang w:bidi="ar-SA"/>
        </w:rPr>
        <w:t>GBA</w:t>
      </w:r>
      <w:r w:rsidRPr="00AE154B">
        <w:rPr>
          <w:rFonts w:ascii="Book Antiqua" w:eastAsiaTheme="minorEastAsia" w:hAnsi="Book Antiqua" w:cstheme="minorBidi"/>
          <w:lang w:bidi="ar-SA"/>
        </w:rPr>
        <w:t xml:space="preserve"> gene</w:t>
      </w:r>
      <w:r w:rsidRPr="00AE154B">
        <w:rPr>
          <w:rFonts w:ascii="Book Antiqua" w:eastAsiaTheme="minorEastAsia" w:hAnsi="Book Antiqua" w:cstheme="minorBidi"/>
          <w:vertAlign w:val="superscript"/>
          <w:lang w:bidi="ar-SA"/>
        </w:rPr>
        <w:t>[4]</w:t>
      </w:r>
      <w:r w:rsidRPr="00AE154B">
        <w:rPr>
          <w:rFonts w:ascii="Book Antiqua" w:eastAsiaTheme="minorEastAsia" w:hAnsi="Book Antiqua" w:cstheme="minorBidi"/>
          <w:lang w:bidi="ar-SA"/>
        </w:rPr>
        <w:t>, where significant clinical heterogeneity differentiates into three clinical subtypes that give rise to</w:t>
      </w:r>
      <w:r w:rsidR="00AA3701"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the</w:t>
      </w:r>
      <w:r w:rsidR="00AA3701"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appearance</w:t>
      </w:r>
      <w:r w:rsidR="00AA3701"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of</w:t>
      </w:r>
      <w:r w:rsidR="00AA3701"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the</w:t>
      </w:r>
      <w:r w:rsidR="00AA3701"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characteristic</w:t>
      </w:r>
      <w:r w:rsidR="00AA3701"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Gaucher</w:t>
      </w:r>
      <w:r w:rsidR="00AA3701"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cells</w:t>
      </w:r>
      <w:r w:rsidRPr="00AE154B">
        <w:rPr>
          <w:rFonts w:ascii="Book Antiqua" w:eastAsiaTheme="minorEastAsia" w:hAnsi="Book Antiqua" w:cstheme="minorBidi"/>
          <w:vertAlign w:val="superscript"/>
          <w:lang w:bidi="ar-SA"/>
        </w:rPr>
        <w:t>[5]</w:t>
      </w:r>
      <w:r w:rsidRPr="00AE154B">
        <w:rPr>
          <w:rFonts w:ascii="Book Antiqua" w:eastAsiaTheme="minorEastAsia" w:hAnsi="Book Antiqua" w:cstheme="minorBidi"/>
          <w:lang w:bidi="ar-SA"/>
        </w:rPr>
        <w:t>:</w:t>
      </w:r>
      <w:r w:rsidR="00AA3701"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type</w:t>
      </w:r>
      <w:r w:rsidR="00AA3701"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1</w:t>
      </w:r>
      <w:r w:rsidR="00AA3701"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(GD1)-nonneuronopathic GD, type 2-acute neuronopathic GD, and type 3-chronic neuronopathic GD. Type 1 disease is commonly presented in patients by splenomegaly, anemia, and thrombocytopenia accompanied by potential subsequent bleeding; in addition, patients may also present hepatomegaly, bone pain or pathologic fractures</w:t>
      </w:r>
      <w:r w:rsidRPr="00AE154B">
        <w:rPr>
          <w:rFonts w:ascii="Book Antiqua" w:eastAsiaTheme="minorEastAsia" w:hAnsi="Book Antiqua" w:cstheme="minorBidi"/>
          <w:vertAlign w:val="superscript"/>
          <w:lang w:bidi="ar-SA"/>
        </w:rPr>
        <w:t>[6]</w:t>
      </w:r>
      <w:r w:rsidRPr="00AE154B">
        <w:rPr>
          <w:rFonts w:ascii="Book Antiqua" w:eastAsiaTheme="minorEastAsia" w:hAnsi="Book Antiqua" w:cstheme="minorBidi"/>
          <w:lang w:bidi="ar-SA"/>
        </w:rPr>
        <w:t>. Type 2 GD is rare, but may be present at birth or during infancy. It is characterized by a rapid neurodegenerative course with extensive visceral involvement, resulting</w:t>
      </w:r>
      <w:r w:rsidR="00AA3701"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in</w:t>
      </w:r>
      <w:r w:rsidR="00AA3701"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death within the first 2 years of life</w:t>
      </w:r>
      <w:r w:rsidRPr="00AE154B">
        <w:rPr>
          <w:rFonts w:ascii="Book Antiqua" w:eastAsiaTheme="minorEastAsia" w:hAnsi="Book Antiqua" w:cstheme="minorBidi"/>
          <w:vertAlign w:val="superscript"/>
          <w:lang w:bidi="ar-SA"/>
        </w:rPr>
        <w:t>[7,8]</w:t>
      </w:r>
      <w:r w:rsidRPr="00AE154B">
        <w:rPr>
          <w:rFonts w:ascii="Book Antiqua" w:eastAsiaTheme="minorEastAsia" w:hAnsi="Book Antiqua" w:cstheme="minorBidi"/>
          <w:lang w:bidi="ar-SA"/>
        </w:rPr>
        <w:t>. Type 3 GD is characterized by the slower progression of neurologic symptoms when compared to the acute type 2 GD, presenting with splenomegaly and/or hepatomegaly, seizures, skeletal malformations, as well as eye movement disorders, anemia, and respiratory problems. Patients suffering from type 3 GD often live into their early teens and adulthood</w:t>
      </w:r>
      <w:r w:rsidRPr="00AE154B">
        <w:rPr>
          <w:rFonts w:ascii="Book Antiqua" w:eastAsiaTheme="minorEastAsia" w:hAnsi="Book Antiqua" w:cstheme="minorBidi"/>
          <w:vertAlign w:val="superscript"/>
          <w:lang w:bidi="ar-SA"/>
        </w:rPr>
        <w:t>[9]</w:t>
      </w:r>
      <w:r w:rsidRPr="00AE154B">
        <w:rPr>
          <w:rFonts w:ascii="Book Antiqua" w:eastAsiaTheme="minorEastAsia" w:hAnsi="Book Antiqua" w:cstheme="minorBidi"/>
          <w:lang w:bidi="ar-SA"/>
        </w:rPr>
        <w:t xml:space="preserve">. Diagnosis can be confirmed by measuring GBA activity in peripheral blood leukocytes, whereby less than 15% of mean normal activity tests positive. Confirming the </w:t>
      </w:r>
      <w:r w:rsidRPr="00AE154B">
        <w:rPr>
          <w:rFonts w:ascii="Book Antiqua" w:eastAsiaTheme="minorEastAsia" w:hAnsi="Book Antiqua" w:cstheme="minorBidi"/>
          <w:i/>
          <w:lang w:bidi="ar-SA"/>
        </w:rPr>
        <w:t>GBA</w:t>
      </w:r>
      <w:r w:rsidRPr="00AE154B">
        <w:rPr>
          <w:rFonts w:ascii="Book Antiqua" w:eastAsiaTheme="minorEastAsia" w:hAnsi="Book Antiqua" w:cstheme="minorBidi"/>
          <w:lang w:bidi="ar-SA"/>
        </w:rPr>
        <w:t xml:space="preserve"> gene mutation is also another means of</w:t>
      </w:r>
      <w:r w:rsidR="00AA3701"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diagnosis.</w:t>
      </w:r>
    </w:p>
    <w:p w14:paraId="49194B4A" w14:textId="7F27B466" w:rsidR="00E421F7" w:rsidRPr="00AE154B" w:rsidRDefault="00E421F7" w:rsidP="00AE154B">
      <w:pPr>
        <w:spacing w:after="0" w:line="360" w:lineRule="auto"/>
        <w:ind w:right="390" w:firstLineChars="100" w:firstLine="240"/>
        <w:jc w:val="both"/>
        <w:rPr>
          <w:rFonts w:ascii="Book Antiqua" w:hAnsi="Book Antiqua"/>
          <w:sz w:val="24"/>
          <w:szCs w:val="24"/>
        </w:rPr>
      </w:pPr>
      <w:r w:rsidRPr="00AE154B">
        <w:rPr>
          <w:rFonts w:ascii="Book Antiqua" w:hAnsi="Book Antiqua"/>
          <w:sz w:val="24"/>
          <w:szCs w:val="24"/>
        </w:rPr>
        <w:t xml:space="preserve">The aim of this study is to report clinical phenotypes of GD to correlate them with </w:t>
      </w:r>
      <w:r w:rsidRPr="00AE154B">
        <w:rPr>
          <w:rFonts w:ascii="Book Antiqua" w:hAnsi="Book Antiqua"/>
          <w:i/>
          <w:sz w:val="24"/>
          <w:szCs w:val="24"/>
        </w:rPr>
        <w:t>GBA</w:t>
      </w:r>
      <w:r w:rsidRPr="00AE154B">
        <w:rPr>
          <w:rFonts w:ascii="Book Antiqua" w:hAnsi="Book Antiqua"/>
          <w:sz w:val="24"/>
          <w:szCs w:val="24"/>
        </w:rPr>
        <w:t xml:space="preserve"> gene mutations as well as to identify the </w:t>
      </w:r>
      <w:r w:rsidRPr="00AE154B">
        <w:rPr>
          <w:rFonts w:ascii="Book Antiqua" w:hAnsi="Book Antiqua"/>
          <w:i/>
          <w:sz w:val="24"/>
          <w:szCs w:val="24"/>
        </w:rPr>
        <w:t>GBA</w:t>
      </w:r>
      <w:r w:rsidRPr="00AE154B">
        <w:rPr>
          <w:rFonts w:ascii="Book Antiqua" w:hAnsi="Book Antiqua"/>
          <w:sz w:val="24"/>
          <w:szCs w:val="24"/>
        </w:rPr>
        <w:t xml:space="preserve"> gene mutation in 5 patients (4</w:t>
      </w:r>
      <w:r w:rsidR="00AA3701" w:rsidRPr="00AE154B">
        <w:rPr>
          <w:rFonts w:ascii="Book Antiqua" w:hAnsi="Book Antiqua"/>
          <w:sz w:val="24"/>
          <w:szCs w:val="24"/>
        </w:rPr>
        <w:t xml:space="preserve"> </w:t>
      </w:r>
      <w:r w:rsidRPr="00AE154B">
        <w:rPr>
          <w:rFonts w:ascii="Book Antiqua" w:hAnsi="Book Antiqua"/>
          <w:sz w:val="24"/>
          <w:szCs w:val="24"/>
        </w:rPr>
        <w:t>males and 1 female) in Montenegro that were diagnosed with GD. While an additional female patient was also diagnosed in Montenegro, the patient was lost to further follow-ups</w:t>
      </w:r>
      <w:r w:rsidR="00AA3701" w:rsidRPr="00AE154B">
        <w:rPr>
          <w:rFonts w:ascii="Book Antiqua" w:hAnsi="Book Antiqua"/>
          <w:sz w:val="24"/>
          <w:szCs w:val="24"/>
        </w:rPr>
        <w:t xml:space="preserve"> </w:t>
      </w:r>
      <w:r w:rsidRPr="00AE154B">
        <w:rPr>
          <w:rFonts w:ascii="Book Antiqua" w:hAnsi="Book Antiqua"/>
          <w:sz w:val="24"/>
          <w:szCs w:val="24"/>
        </w:rPr>
        <w:t>and is therefore not presented</w:t>
      </w:r>
      <w:r w:rsidR="00AA3701" w:rsidRPr="00AE154B">
        <w:rPr>
          <w:rFonts w:ascii="Book Antiqua" w:hAnsi="Book Antiqua"/>
          <w:sz w:val="24"/>
          <w:szCs w:val="24"/>
        </w:rPr>
        <w:t xml:space="preserve"> </w:t>
      </w:r>
      <w:r w:rsidRPr="00AE154B">
        <w:rPr>
          <w:rFonts w:ascii="Book Antiqua" w:hAnsi="Book Antiqua"/>
          <w:sz w:val="24"/>
          <w:szCs w:val="24"/>
        </w:rPr>
        <w:t>here.</w:t>
      </w:r>
    </w:p>
    <w:p w14:paraId="3140A3F8" w14:textId="77777777" w:rsidR="004A4736" w:rsidRPr="00AE154B" w:rsidRDefault="004A4736" w:rsidP="00AE154B">
      <w:pPr>
        <w:spacing w:after="0" w:line="360" w:lineRule="auto"/>
        <w:ind w:right="390" w:firstLineChars="100" w:firstLine="240"/>
        <w:jc w:val="both"/>
        <w:rPr>
          <w:rFonts w:ascii="Book Antiqua" w:hAnsi="Book Antiqua"/>
          <w:sz w:val="24"/>
          <w:szCs w:val="24"/>
        </w:rPr>
      </w:pPr>
    </w:p>
    <w:p w14:paraId="6A6A417A" w14:textId="6F6D4213" w:rsidR="00D94587" w:rsidRPr="00AE154B" w:rsidRDefault="00D94587" w:rsidP="00AE154B">
      <w:pPr>
        <w:pStyle w:val="Heading1"/>
        <w:spacing w:before="0" w:line="360" w:lineRule="auto"/>
        <w:ind w:left="0" w:right="-35"/>
        <w:jc w:val="both"/>
        <w:rPr>
          <w:rFonts w:ascii="Book Antiqua" w:eastAsiaTheme="minorEastAsia" w:hAnsi="Book Antiqua" w:cstheme="minorBidi"/>
          <w:b w:val="0"/>
          <w:bCs w:val="0"/>
          <w:lang w:bidi="ar-SA"/>
        </w:rPr>
      </w:pPr>
      <w:r w:rsidRPr="00AE154B">
        <w:rPr>
          <w:rFonts w:ascii="Book Antiqua" w:eastAsiaTheme="minorEastAsia" w:hAnsi="Book Antiqua" w:cstheme="minorBidi"/>
          <w:bCs w:val="0"/>
          <w:lang w:bidi="ar-SA"/>
        </w:rPr>
        <w:t>CASE PRESENTATION</w:t>
      </w:r>
    </w:p>
    <w:p w14:paraId="095EDF3B" w14:textId="17DF1EC3" w:rsidR="00D94587" w:rsidRPr="00AE154B" w:rsidRDefault="00D94587" w:rsidP="00AE154B">
      <w:pPr>
        <w:pStyle w:val="BodyText"/>
        <w:spacing w:line="360" w:lineRule="auto"/>
        <w:ind w:right="-35"/>
        <w:rPr>
          <w:rFonts w:ascii="Book Antiqua" w:eastAsiaTheme="minorEastAsia" w:hAnsi="Book Antiqua" w:cstheme="minorBidi"/>
          <w:b/>
          <w:i/>
          <w:lang w:bidi="ar-SA"/>
        </w:rPr>
      </w:pPr>
      <w:r w:rsidRPr="00AE154B">
        <w:rPr>
          <w:rFonts w:ascii="Book Antiqua" w:eastAsiaTheme="minorEastAsia" w:hAnsi="Book Antiqua" w:cstheme="minorBidi"/>
          <w:b/>
          <w:i/>
          <w:lang w:bidi="ar-SA"/>
        </w:rPr>
        <w:t>Chief complaints</w:t>
      </w:r>
    </w:p>
    <w:p w14:paraId="17A6A238" w14:textId="2F655107" w:rsidR="00D94587" w:rsidRPr="00AE154B" w:rsidRDefault="004A4736"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bCs/>
          <w:lang w:bidi="ar-SA"/>
        </w:rPr>
        <w:lastRenderedPageBreak/>
        <w:t xml:space="preserve">Patient 1: </w:t>
      </w:r>
      <w:r w:rsidRPr="00AE154B">
        <w:rPr>
          <w:rFonts w:ascii="Book Antiqua" w:eastAsiaTheme="minorEastAsia" w:hAnsi="Book Antiqua" w:cstheme="minorBidi"/>
          <w:lang w:bidi="ar-SA"/>
        </w:rPr>
        <w:t>Fatigue</w:t>
      </w:r>
      <w:r w:rsidR="00D94587" w:rsidRPr="00AE154B">
        <w:rPr>
          <w:rFonts w:ascii="Book Antiqua" w:eastAsiaTheme="minorEastAsia" w:hAnsi="Book Antiqua" w:cstheme="minorBidi"/>
          <w:lang w:bidi="ar-SA"/>
        </w:rPr>
        <w:t>, left hip joint pain, poor quality of life.</w:t>
      </w:r>
    </w:p>
    <w:p w14:paraId="6300FEB6"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1236B939" w14:textId="586C7E0C" w:rsidR="004A4736" w:rsidRPr="00AE154B" w:rsidRDefault="004A4736"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Patient 2:</w:t>
      </w:r>
      <w:r w:rsidRPr="00AE154B">
        <w:rPr>
          <w:rFonts w:ascii="Book Antiqua" w:eastAsiaTheme="minorEastAsia" w:hAnsi="Book Antiqua" w:cstheme="minorBidi"/>
          <w:lang w:bidi="ar-SA"/>
        </w:rPr>
        <w:t xml:space="preserve"> Abdominal and lumbosacral pain, as well as loss of appetite.</w:t>
      </w:r>
    </w:p>
    <w:p w14:paraId="38386DFA"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56AB9E03" w14:textId="77777777" w:rsidR="00F82699" w:rsidRPr="00AE154B" w:rsidRDefault="00F82699"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3: </w:t>
      </w:r>
      <w:r w:rsidRPr="00AE154B">
        <w:rPr>
          <w:rFonts w:ascii="Book Antiqua" w:eastAsiaTheme="minorEastAsia" w:hAnsi="Book Antiqua" w:cstheme="minorBidi"/>
          <w:lang w:bidi="ar-SA"/>
        </w:rPr>
        <w:t>Nasal bleeding, pain under the right costal arch.</w:t>
      </w:r>
    </w:p>
    <w:p w14:paraId="67DFD74D"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2E52421E" w14:textId="24BF4840" w:rsidR="00F82699" w:rsidRPr="00AE154B" w:rsidRDefault="00F82699"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4: </w:t>
      </w:r>
      <w:r w:rsidRPr="00AE154B">
        <w:rPr>
          <w:rFonts w:ascii="Book Antiqua" w:eastAsiaTheme="minorEastAsia" w:hAnsi="Book Antiqua" w:cstheme="minorBidi"/>
          <w:lang w:bidi="ar-SA"/>
        </w:rPr>
        <w:t>Abdominal pain.</w:t>
      </w:r>
    </w:p>
    <w:p w14:paraId="115389C1"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74C90243" w14:textId="4D650B23" w:rsidR="00584BB4" w:rsidRPr="00AE154B" w:rsidRDefault="00584BB4"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5: </w:t>
      </w:r>
      <w:r w:rsidRPr="00AE154B">
        <w:rPr>
          <w:rFonts w:ascii="Book Antiqua" w:eastAsiaTheme="minorEastAsia" w:hAnsi="Book Antiqua" w:cstheme="minorBidi"/>
          <w:lang w:bidi="ar-SA"/>
        </w:rPr>
        <w:t>Abdominal pain, massive genital bleeding.</w:t>
      </w:r>
    </w:p>
    <w:p w14:paraId="0520F32F" w14:textId="77777777" w:rsidR="004A4736" w:rsidRPr="00AE154B" w:rsidRDefault="004A4736" w:rsidP="00AE154B">
      <w:pPr>
        <w:pStyle w:val="BodyText"/>
        <w:spacing w:line="360" w:lineRule="auto"/>
        <w:ind w:right="-35"/>
        <w:rPr>
          <w:rFonts w:ascii="Book Antiqua" w:eastAsiaTheme="minorEastAsia" w:hAnsi="Book Antiqua" w:cstheme="minorBidi"/>
          <w:lang w:bidi="ar-SA"/>
        </w:rPr>
      </w:pPr>
    </w:p>
    <w:p w14:paraId="6EA9F244" w14:textId="6FFC3B69" w:rsidR="00D94587" w:rsidRPr="00AE154B" w:rsidRDefault="00D94587" w:rsidP="00AE154B">
      <w:pPr>
        <w:pStyle w:val="BodyText"/>
        <w:spacing w:line="360" w:lineRule="auto"/>
        <w:ind w:right="-35"/>
        <w:rPr>
          <w:rFonts w:ascii="Book Antiqua" w:eastAsiaTheme="minorEastAsia" w:hAnsi="Book Antiqua" w:cstheme="minorBidi"/>
          <w:b/>
          <w:i/>
          <w:lang w:bidi="ar-SA"/>
        </w:rPr>
      </w:pPr>
      <w:r w:rsidRPr="00AE154B">
        <w:rPr>
          <w:rFonts w:ascii="Book Antiqua" w:eastAsiaTheme="minorEastAsia" w:hAnsi="Book Antiqua" w:cstheme="minorBidi"/>
          <w:b/>
          <w:i/>
          <w:lang w:bidi="ar-SA"/>
        </w:rPr>
        <w:t>History of present illness</w:t>
      </w:r>
    </w:p>
    <w:p w14:paraId="08C01630" w14:textId="00E8F9DA" w:rsidR="00D94587" w:rsidRPr="00AE154B" w:rsidRDefault="004A4736"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bCs/>
          <w:lang w:bidi="ar-SA"/>
        </w:rPr>
        <w:t xml:space="preserve">Patient 1: </w:t>
      </w:r>
      <w:r w:rsidR="00D94587" w:rsidRPr="00AE154B">
        <w:rPr>
          <w:rFonts w:ascii="Book Antiqua" w:eastAsiaTheme="minorEastAsia" w:hAnsi="Book Antiqua" w:cstheme="minorBidi"/>
          <w:lang w:bidi="ar-SA"/>
        </w:rPr>
        <w:t>Patients symptoms were recognized 6 mo before admission with gradual worsening.</w:t>
      </w:r>
    </w:p>
    <w:p w14:paraId="4CD8705A"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7E206CA0" w14:textId="3CF43D85" w:rsidR="004A4736" w:rsidRPr="00AE154B" w:rsidRDefault="004A4736"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2: </w:t>
      </w:r>
      <w:r w:rsidRPr="00AE154B">
        <w:rPr>
          <w:rFonts w:ascii="Book Antiqua" w:eastAsiaTheme="minorEastAsia" w:hAnsi="Book Antiqua" w:cstheme="minorBidi"/>
          <w:lang w:bidi="ar-SA"/>
        </w:rPr>
        <w:t>Patients symptoms were recognized 2 mo before admission with gradual worsening.</w:t>
      </w:r>
    </w:p>
    <w:p w14:paraId="265B123A"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10FA07E6" w14:textId="630DC28B" w:rsidR="00F82699" w:rsidRPr="00AE154B" w:rsidRDefault="00F82699"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3: </w:t>
      </w:r>
      <w:r w:rsidRPr="00AE154B">
        <w:rPr>
          <w:rFonts w:ascii="Book Antiqua" w:eastAsiaTheme="minorEastAsia" w:hAnsi="Book Antiqua" w:cstheme="minorBidi"/>
          <w:lang w:bidi="ar-SA"/>
        </w:rPr>
        <w:t>Patients symptoms were recognized 4 d before admission with gradual worsening.</w:t>
      </w:r>
    </w:p>
    <w:p w14:paraId="09795DA7"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067739CD" w14:textId="5CFA22C4" w:rsidR="00F82699" w:rsidRPr="00AE154B" w:rsidRDefault="00F82699" w:rsidP="00AE154B">
      <w:pPr>
        <w:pStyle w:val="BodyText"/>
        <w:spacing w:line="360" w:lineRule="auto"/>
        <w:ind w:right="-35"/>
        <w:rPr>
          <w:rFonts w:ascii="Book Antiqua" w:eastAsiaTheme="minorEastAsia" w:hAnsi="Book Antiqua" w:cstheme="minorBidi"/>
          <w:b/>
          <w:lang w:bidi="ar-SA"/>
        </w:rPr>
      </w:pPr>
      <w:r w:rsidRPr="00AE154B">
        <w:rPr>
          <w:rFonts w:ascii="Book Antiqua" w:eastAsiaTheme="minorEastAsia" w:hAnsi="Book Antiqua" w:cstheme="minorBidi"/>
          <w:b/>
          <w:lang w:bidi="ar-SA"/>
        </w:rPr>
        <w:t>Patient 4:</w:t>
      </w:r>
      <w:r w:rsidR="00584BB4" w:rsidRPr="00AE154B">
        <w:rPr>
          <w:rFonts w:ascii="Book Antiqua" w:eastAsiaTheme="minorEastAsia" w:hAnsi="Book Antiqua" w:cstheme="minorBidi"/>
          <w:lang w:bidi="ar-SA"/>
        </w:rPr>
        <w:t xml:space="preserve"> Patients symptoms were recognized in early childhood; therapy was administrated at the age of 17.</w:t>
      </w:r>
    </w:p>
    <w:p w14:paraId="100A810D"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4DB3C138" w14:textId="16D35393" w:rsidR="00584BB4" w:rsidRPr="00AE154B" w:rsidRDefault="00584BB4"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5: </w:t>
      </w:r>
      <w:r w:rsidRPr="00AE154B">
        <w:rPr>
          <w:rFonts w:ascii="Book Antiqua" w:eastAsiaTheme="minorEastAsia" w:hAnsi="Book Antiqua" w:cstheme="minorBidi"/>
          <w:lang w:bidi="ar-SA"/>
        </w:rPr>
        <w:t>Patients symptoms were recognized 3 mo before admission with gradual worsening.</w:t>
      </w:r>
    </w:p>
    <w:p w14:paraId="19B03D93" w14:textId="77777777" w:rsidR="004A4736" w:rsidRPr="00AE154B" w:rsidRDefault="004A4736" w:rsidP="00AE154B">
      <w:pPr>
        <w:pStyle w:val="BodyText"/>
        <w:spacing w:line="360" w:lineRule="auto"/>
        <w:ind w:right="-35"/>
        <w:rPr>
          <w:rFonts w:ascii="Book Antiqua" w:eastAsiaTheme="minorEastAsia" w:hAnsi="Book Antiqua" w:cstheme="minorBidi"/>
          <w:lang w:bidi="ar-SA"/>
        </w:rPr>
      </w:pPr>
    </w:p>
    <w:p w14:paraId="4C1FF01A" w14:textId="31E2DA78" w:rsidR="00D94587" w:rsidRPr="00AE154B" w:rsidRDefault="00D94587" w:rsidP="00AE154B">
      <w:pPr>
        <w:pStyle w:val="BodyText"/>
        <w:spacing w:line="360" w:lineRule="auto"/>
        <w:ind w:right="-35"/>
        <w:rPr>
          <w:rFonts w:ascii="Book Antiqua" w:eastAsiaTheme="minorEastAsia" w:hAnsi="Book Antiqua" w:cstheme="minorBidi"/>
          <w:b/>
          <w:i/>
          <w:lang w:bidi="ar-SA"/>
        </w:rPr>
      </w:pPr>
      <w:r w:rsidRPr="00AE154B">
        <w:rPr>
          <w:rFonts w:ascii="Book Antiqua" w:eastAsiaTheme="minorEastAsia" w:hAnsi="Book Antiqua" w:cstheme="minorBidi"/>
          <w:b/>
          <w:i/>
          <w:lang w:bidi="ar-SA"/>
        </w:rPr>
        <w:t>History of past illness</w:t>
      </w:r>
    </w:p>
    <w:p w14:paraId="004AE5EC" w14:textId="4A704064" w:rsidR="00D94587" w:rsidRPr="00AE154B" w:rsidRDefault="004A4736"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bCs/>
          <w:lang w:bidi="ar-SA"/>
        </w:rPr>
        <w:t xml:space="preserve">Patient 1: </w:t>
      </w:r>
      <w:r w:rsidR="00D94587" w:rsidRPr="00AE154B">
        <w:rPr>
          <w:rFonts w:ascii="Book Antiqua" w:eastAsiaTheme="minorEastAsia" w:hAnsi="Book Antiqua" w:cstheme="minorBidi"/>
          <w:lang w:bidi="ar-SA"/>
        </w:rPr>
        <w:t xml:space="preserve">Splenectomy was done at the age of 17 due to hypersplenism, previous chronic gastritis, </w:t>
      </w:r>
      <w:r w:rsidR="00442D49" w:rsidRPr="00AE154B">
        <w:rPr>
          <w:rFonts w:ascii="Book Antiqua" w:eastAsiaTheme="minorEastAsia" w:hAnsi="Book Antiqua" w:cstheme="minorBidi"/>
          <w:lang w:bidi="ar-SA"/>
        </w:rPr>
        <w:t>gastroesophageal reflux disease</w:t>
      </w:r>
      <w:r w:rsidR="00D94587" w:rsidRPr="00AE154B">
        <w:rPr>
          <w:rFonts w:ascii="Book Antiqua" w:eastAsiaTheme="minorEastAsia" w:hAnsi="Book Antiqua" w:cstheme="minorBidi"/>
          <w:lang w:bidi="ar-SA"/>
        </w:rPr>
        <w:t xml:space="preserve">, chronic hepatitis B. </w:t>
      </w:r>
    </w:p>
    <w:p w14:paraId="7E0577BB"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79AD9465" w14:textId="1322ED4E" w:rsidR="004A4736" w:rsidRPr="00AE154B" w:rsidRDefault="004A4736"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2: </w:t>
      </w:r>
      <w:r w:rsidRPr="00AE154B">
        <w:rPr>
          <w:rFonts w:ascii="Book Antiqua" w:eastAsiaTheme="minorEastAsia" w:hAnsi="Book Antiqua" w:cstheme="minorBidi"/>
          <w:lang w:bidi="ar-SA"/>
        </w:rPr>
        <w:t>Hypertension, pneumothorax in two occasions 1996 and 2003.</w:t>
      </w:r>
    </w:p>
    <w:p w14:paraId="32CF40FD"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0B085B9F" w14:textId="77777777" w:rsidR="00F82699" w:rsidRPr="00AE154B" w:rsidRDefault="00F82699"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3: </w:t>
      </w:r>
      <w:r w:rsidRPr="00AE154B">
        <w:rPr>
          <w:rFonts w:ascii="Book Antiqua" w:eastAsiaTheme="minorEastAsia" w:hAnsi="Book Antiqua" w:cstheme="minorBidi"/>
          <w:lang w:bidi="ar-SA"/>
        </w:rPr>
        <w:t xml:space="preserve">The patient experienced a spontaneous hemothorax on his right side at the age of 41 and 48. His pulmonary diffusion capacity for carbon monoxide was also low. Echocardiography showed a dilated left chamber. The patient was diagnosed with Parkinson’s disease at the age of 55. </w:t>
      </w:r>
    </w:p>
    <w:p w14:paraId="53FCEDB8"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1B6F8D90" w14:textId="27F25226" w:rsidR="00F82699" w:rsidRPr="00AE154B" w:rsidRDefault="00F82699"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4: </w:t>
      </w:r>
      <w:r w:rsidR="00584BB4" w:rsidRPr="00AE154B">
        <w:rPr>
          <w:rFonts w:ascii="Book Antiqua" w:eastAsiaTheme="minorEastAsia" w:hAnsi="Book Antiqua" w:cstheme="minorBidi"/>
          <w:lang w:bidi="ar-SA"/>
        </w:rPr>
        <w:t>No past illness of disease.</w:t>
      </w:r>
    </w:p>
    <w:p w14:paraId="29389472"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10B0CA7F" w14:textId="77777777" w:rsidR="00584BB4" w:rsidRPr="00AE154B" w:rsidRDefault="00584BB4"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5: </w:t>
      </w:r>
      <w:r w:rsidRPr="00AE154B">
        <w:rPr>
          <w:rFonts w:ascii="Book Antiqua" w:eastAsiaTheme="minorEastAsia" w:hAnsi="Book Antiqua" w:cstheme="minorBidi"/>
          <w:lang w:bidi="ar-SA"/>
        </w:rPr>
        <w:t>Hepatosplenomegaly was detected in childhood at the age of 11, further diagnostics were not carried out in the interim.</w:t>
      </w:r>
    </w:p>
    <w:p w14:paraId="34C2131D" w14:textId="77777777" w:rsidR="004A4736" w:rsidRPr="00AE154B" w:rsidRDefault="004A4736" w:rsidP="00AE154B">
      <w:pPr>
        <w:pStyle w:val="BodyText"/>
        <w:spacing w:line="360" w:lineRule="auto"/>
        <w:ind w:right="-35"/>
        <w:rPr>
          <w:rFonts w:ascii="Book Antiqua" w:eastAsiaTheme="minorEastAsia" w:hAnsi="Book Antiqua" w:cstheme="minorBidi"/>
          <w:lang w:bidi="ar-SA"/>
        </w:rPr>
      </w:pPr>
    </w:p>
    <w:p w14:paraId="5463455B" w14:textId="66E4063B" w:rsidR="00D94587" w:rsidRPr="00AE154B" w:rsidRDefault="00D94587" w:rsidP="00AE154B">
      <w:pPr>
        <w:pStyle w:val="BodyText"/>
        <w:spacing w:line="360" w:lineRule="auto"/>
        <w:ind w:right="-35"/>
        <w:rPr>
          <w:rFonts w:ascii="Book Antiqua" w:eastAsiaTheme="minorEastAsia" w:hAnsi="Book Antiqua" w:cstheme="minorBidi"/>
          <w:b/>
          <w:i/>
          <w:lang w:bidi="ar-SA"/>
        </w:rPr>
      </w:pPr>
      <w:r w:rsidRPr="00AE154B">
        <w:rPr>
          <w:rFonts w:ascii="Book Antiqua" w:eastAsiaTheme="minorEastAsia" w:hAnsi="Book Antiqua" w:cstheme="minorBidi"/>
          <w:b/>
          <w:i/>
          <w:lang w:bidi="ar-SA"/>
        </w:rPr>
        <w:t>Personal and family history</w:t>
      </w:r>
    </w:p>
    <w:p w14:paraId="7F689DDB" w14:textId="4EA2BB21" w:rsidR="00D94587" w:rsidRPr="00AE154B" w:rsidRDefault="004A4736"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bCs/>
          <w:lang w:bidi="ar-SA"/>
        </w:rPr>
        <w:t xml:space="preserve">Patient 1: </w:t>
      </w:r>
      <w:r w:rsidR="00D94587" w:rsidRPr="00AE154B">
        <w:rPr>
          <w:rFonts w:ascii="Book Antiqua" w:eastAsiaTheme="minorEastAsia" w:hAnsi="Book Antiqua" w:cstheme="minorBidi"/>
          <w:lang w:bidi="ar-SA"/>
        </w:rPr>
        <w:t>No family history of disease</w:t>
      </w:r>
      <w:r w:rsidRPr="00AE154B">
        <w:rPr>
          <w:rFonts w:ascii="Book Antiqua" w:eastAsiaTheme="minorEastAsia" w:hAnsi="Book Antiqua" w:cstheme="minorBidi"/>
          <w:lang w:bidi="ar-SA"/>
        </w:rPr>
        <w:t>.</w:t>
      </w:r>
    </w:p>
    <w:p w14:paraId="7AA3A2C4"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04640E40" w14:textId="0D835903" w:rsidR="004A4736" w:rsidRPr="00AE154B" w:rsidRDefault="004A4736"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2: </w:t>
      </w:r>
      <w:r w:rsidRPr="00AE154B">
        <w:rPr>
          <w:rFonts w:ascii="Book Antiqua" w:eastAsiaTheme="minorEastAsia" w:hAnsi="Book Antiqua" w:cstheme="minorBidi"/>
          <w:lang w:bidi="ar-SA"/>
        </w:rPr>
        <w:t>No family history of disease.</w:t>
      </w:r>
    </w:p>
    <w:p w14:paraId="72A832BC"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78766238" w14:textId="77777777" w:rsidR="00F82699" w:rsidRPr="00AE154B" w:rsidRDefault="00F82699"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3: </w:t>
      </w:r>
      <w:r w:rsidRPr="00AE154B">
        <w:rPr>
          <w:rFonts w:ascii="Book Antiqua" w:eastAsiaTheme="minorEastAsia" w:hAnsi="Book Antiqua" w:cstheme="minorBidi"/>
          <w:lang w:bidi="ar-SA"/>
        </w:rPr>
        <w:t>His brother had been previously diagnosed with GD.</w:t>
      </w:r>
    </w:p>
    <w:p w14:paraId="39AF47F7"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3FE2D80C" w14:textId="79CB483A" w:rsidR="00F82699" w:rsidRPr="00AE154B" w:rsidRDefault="00F82699"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4: </w:t>
      </w:r>
      <w:r w:rsidRPr="00AE154B">
        <w:rPr>
          <w:rFonts w:ascii="Book Antiqua" w:eastAsiaTheme="minorEastAsia" w:hAnsi="Book Antiqua" w:cstheme="minorBidi"/>
          <w:lang w:bidi="ar-SA"/>
        </w:rPr>
        <w:t>No family history of disease.</w:t>
      </w:r>
    </w:p>
    <w:p w14:paraId="14689757"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3217B425" w14:textId="3175FFAD" w:rsidR="00584BB4" w:rsidRPr="00AE154B" w:rsidRDefault="00584BB4"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5: </w:t>
      </w:r>
      <w:r w:rsidRPr="00AE154B">
        <w:rPr>
          <w:rFonts w:ascii="Book Antiqua" w:eastAsiaTheme="minorEastAsia" w:hAnsi="Book Antiqua" w:cstheme="minorBidi"/>
          <w:lang w:bidi="ar-SA"/>
        </w:rPr>
        <w:t>Suture of a perineal rupture had been done following excessive bleeding after delivery. Two months subsequent to this incident, while undergoing a reconstructive operation of the cloaca, massive bleeding also occurred. No family history of disease.</w:t>
      </w:r>
    </w:p>
    <w:p w14:paraId="31B7F9E5" w14:textId="77777777" w:rsidR="004A4736" w:rsidRPr="00AE154B" w:rsidRDefault="004A4736" w:rsidP="00AE154B">
      <w:pPr>
        <w:pStyle w:val="BodyText"/>
        <w:spacing w:line="360" w:lineRule="auto"/>
        <w:ind w:right="-35"/>
        <w:rPr>
          <w:rFonts w:ascii="Book Antiqua" w:eastAsiaTheme="minorEastAsia" w:hAnsi="Book Antiqua" w:cstheme="minorBidi"/>
          <w:lang w:bidi="ar-SA"/>
        </w:rPr>
      </w:pPr>
    </w:p>
    <w:p w14:paraId="6B7CD510" w14:textId="1D80EF9E" w:rsidR="00D94587" w:rsidRPr="00AE154B" w:rsidRDefault="00D94587" w:rsidP="00AE154B">
      <w:pPr>
        <w:pStyle w:val="BodyText"/>
        <w:spacing w:line="360" w:lineRule="auto"/>
        <w:ind w:right="-35"/>
        <w:rPr>
          <w:rFonts w:ascii="Book Antiqua" w:eastAsiaTheme="minorEastAsia" w:hAnsi="Book Antiqua" w:cstheme="minorBidi"/>
          <w:b/>
          <w:i/>
          <w:lang w:bidi="ar-SA"/>
        </w:rPr>
      </w:pPr>
      <w:r w:rsidRPr="00AE154B">
        <w:rPr>
          <w:rFonts w:ascii="Book Antiqua" w:eastAsiaTheme="minorEastAsia" w:hAnsi="Book Antiqua" w:cstheme="minorBidi"/>
          <w:b/>
          <w:i/>
          <w:lang w:bidi="ar-SA"/>
        </w:rPr>
        <w:t>Physical examination upon admission</w:t>
      </w:r>
    </w:p>
    <w:p w14:paraId="2F06C66B" w14:textId="7E6D8818" w:rsidR="00D94587" w:rsidRPr="00AE154B" w:rsidRDefault="004A4736"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bCs/>
          <w:lang w:bidi="ar-SA"/>
        </w:rPr>
        <w:t xml:space="preserve">Patient 1: </w:t>
      </w:r>
      <w:r w:rsidR="00D94587" w:rsidRPr="00AE154B">
        <w:rPr>
          <w:rFonts w:ascii="Book Antiqua" w:eastAsiaTheme="minorEastAsia" w:hAnsi="Book Antiqua" w:cstheme="minorBidi"/>
          <w:lang w:bidi="ar-SA"/>
        </w:rPr>
        <w:t>Normal vital signs, abdomen slightly soar to touch, hepatomegaly.</w:t>
      </w:r>
    </w:p>
    <w:p w14:paraId="0B829876"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3E0A8C8C" w14:textId="77777777" w:rsidR="004A4736" w:rsidRPr="00AE154B" w:rsidRDefault="004A4736"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2: </w:t>
      </w:r>
      <w:r w:rsidRPr="00AE154B">
        <w:rPr>
          <w:rFonts w:ascii="Book Antiqua" w:eastAsiaTheme="minorEastAsia" w:hAnsi="Book Antiqua" w:cstheme="minorBidi"/>
          <w:lang w:bidi="ar-SA"/>
        </w:rPr>
        <w:t>By physical examination a systolic murmur at apex was found, abdominal pain,</w:t>
      </w:r>
    </w:p>
    <w:p w14:paraId="35BEA622" w14:textId="77777777" w:rsidR="004A4736" w:rsidRPr="00AE154B" w:rsidRDefault="004A4736"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lang w:bidi="ar-SA"/>
        </w:rPr>
        <w:t>hepatosplenomegaly.</w:t>
      </w:r>
    </w:p>
    <w:p w14:paraId="2C1F8EA8"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349F5A20" w14:textId="77777777" w:rsidR="00F82699" w:rsidRPr="00AE154B" w:rsidRDefault="00F82699"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3: </w:t>
      </w:r>
      <w:r w:rsidRPr="00AE154B">
        <w:rPr>
          <w:rFonts w:ascii="Book Antiqua" w:eastAsiaTheme="minorEastAsia" w:hAnsi="Book Antiqua" w:cstheme="minorBidi"/>
          <w:lang w:bidi="ar-SA"/>
        </w:rPr>
        <w:t>Abdominal pain, hepatosplenomegaly.</w:t>
      </w:r>
    </w:p>
    <w:p w14:paraId="51B087D1"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4CF446F1" w14:textId="77777777" w:rsidR="00F82699" w:rsidRPr="00AE154B" w:rsidRDefault="00F82699"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4: </w:t>
      </w:r>
      <w:r w:rsidRPr="00AE154B">
        <w:rPr>
          <w:rFonts w:ascii="Book Antiqua" w:eastAsiaTheme="minorEastAsia" w:hAnsi="Book Antiqua" w:cstheme="minorBidi"/>
          <w:lang w:bidi="ar-SA"/>
        </w:rPr>
        <w:t>Under routine examination, abdominal pain and splenomegaly.</w:t>
      </w:r>
    </w:p>
    <w:p w14:paraId="3F9B9E9F"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4B6E0AC4" w14:textId="77777777" w:rsidR="00584BB4" w:rsidRPr="00AE154B" w:rsidRDefault="00584BB4"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5: </w:t>
      </w:r>
      <w:r w:rsidRPr="00AE154B">
        <w:rPr>
          <w:rFonts w:ascii="Book Antiqua" w:eastAsiaTheme="minorEastAsia" w:hAnsi="Book Antiqua" w:cstheme="minorBidi"/>
          <w:lang w:bidi="ar-SA"/>
        </w:rPr>
        <w:t>Normal vital sings, abdominal pain on examination.</w:t>
      </w:r>
    </w:p>
    <w:p w14:paraId="47417978" w14:textId="77777777" w:rsidR="004A4736" w:rsidRPr="00AE154B" w:rsidRDefault="004A4736" w:rsidP="00AE154B">
      <w:pPr>
        <w:pStyle w:val="BodyText"/>
        <w:spacing w:line="360" w:lineRule="auto"/>
        <w:ind w:right="-35"/>
        <w:rPr>
          <w:rFonts w:ascii="Book Antiqua" w:eastAsiaTheme="minorEastAsia" w:hAnsi="Book Antiqua" w:cstheme="minorBidi"/>
          <w:lang w:eastAsia="zh-CN" w:bidi="ar-SA"/>
        </w:rPr>
      </w:pPr>
    </w:p>
    <w:p w14:paraId="31F6B73C" w14:textId="47751242" w:rsidR="00D94587" w:rsidRPr="00AE154B" w:rsidRDefault="00D94587" w:rsidP="00AE154B">
      <w:pPr>
        <w:pStyle w:val="BodyText"/>
        <w:spacing w:line="360" w:lineRule="auto"/>
        <w:ind w:right="-35"/>
        <w:rPr>
          <w:rFonts w:ascii="Book Antiqua" w:eastAsiaTheme="minorEastAsia" w:hAnsi="Book Antiqua" w:cstheme="minorBidi"/>
          <w:b/>
          <w:i/>
          <w:lang w:bidi="ar-SA"/>
        </w:rPr>
      </w:pPr>
      <w:r w:rsidRPr="00AE154B">
        <w:rPr>
          <w:rFonts w:ascii="Book Antiqua" w:eastAsiaTheme="minorEastAsia" w:hAnsi="Book Antiqua" w:cstheme="minorBidi"/>
          <w:b/>
          <w:i/>
          <w:lang w:bidi="ar-SA"/>
        </w:rPr>
        <w:t>Laboratory examination</w:t>
      </w:r>
    </w:p>
    <w:p w14:paraId="60E053C2" w14:textId="09069C94" w:rsidR="00D94587" w:rsidRPr="00AE154B" w:rsidRDefault="004A4736"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bCs/>
          <w:lang w:bidi="ar-SA"/>
        </w:rPr>
        <w:t xml:space="preserve">Patient 1: </w:t>
      </w:r>
      <w:r w:rsidR="00D94587" w:rsidRPr="00AE154B">
        <w:rPr>
          <w:rFonts w:ascii="Book Antiqua" w:eastAsiaTheme="minorEastAsia" w:hAnsi="Book Antiqua" w:cstheme="minorBidi"/>
          <w:lang w:bidi="ar-SA"/>
        </w:rPr>
        <w:t>Thrombocytopenia, Gaucher cells findings in the sternal bone marrow aspirate.</w:t>
      </w:r>
      <w:r w:rsidR="0047179E" w:rsidRPr="00AE154B">
        <w:rPr>
          <w:rFonts w:ascii="Book Antiqua" w:eastAsiaTheme="minorEastAsia" w:hAnsi="Book Antiqua" w:cstheme="minorBidi"/>
          <w:lang w:bidi="ar-SA"/>
        </w:rPr>
        <w:t xml:space="preserve"> </w:t>
      </w:r>
      <w:r w:rsidR="00D94587" w:rsidRPr="00AE154B">
        <w:rPr>
          <w:rFonts w:ascii="Book Antiqua" w:eastAsiaTheme="minorEastAsia" w:hAnsi="Book Antiqua" w:cstheme="minorBidi"/>
          <w:lang w:bidi="ar-SA"/>
        </w:rPr>
        <w:t>Low beta-glucosidase activity (0</w:t>
      </w:r>
      <w:r w:rsidRPr="00AE154B">
        <w:rPr>
          <w:rFonts w:ascii="Book Antiqua" w:eastAsiaTheme="minorEastAsia" w:hAnsi="Book Antiqua" w:cstheme="minorBidi"/>
          <w:lang w:bidi="ar-SA"/>
        </w:rPr>
        <w:t>.</w:t>
      </w:r>
      <w:r w:rsidR="00D94587" w:rsidRPr="00AE154B">
        <w:rPr>
          <w:rFonts w:ascii="Book Antiqua" w:eastAsiaTheme="minorEastAsia" w:hAnsi="Book Antiqua" w:cstheme="minorBidi"/>
          <w:lang w:bidi="ar-SA"/>
        </w:rPr>
        <w:t>74 U/m</w:t>
      </w:r>
      <w:r w:rsidR="00442D49" w:rsidRPr="00AE154B">
        <w:rPr>
          <w:rFonts w:ascii="Book Antiqua" w:eastAsiaTheme="minorEastAsia" w:hAnsi="Book Antiqua" w:cstheme="minorBidi"/>
          <w:lang w:bidi="ar-SA"/>
        </w:rPr>
        <w:t>L</w:t>
      </w:r>
      <w:r w:rsidR="00D94587" w:rsidRPr="00AE154B">
        <w:rPr>
          <w:rFonts w:ascii="Book Antiqua" w:eastAsiaTheme="minorEastAsia" w:hAnsi="Book Antiqua" w:cstheme="minorBidi"/>
          <w:lang w:bidi="ar-SA"/>
        </w:rPr>
        <w:t>) in the leucocytes, accompanied by markedly elevated plasma-chitotriosidase activity (8685 nmol/h/m</w:t>
      </w:r>
      <w:r w:rsidRPr="00AE154B">
        <w:rPr>
          <w:rFonts w:ascii="Book Antiqua" w:eastAsiaTheme="minorEastAsia" w:hAnsi="Book Antiqua" w:cstheme="minorBidi"/>
          <w:lang w:bidi="ar-SA"/>
        </w:rPr>
        <w:t>L</w:t>
      </w:r>
      <w:r w:rsidR="00D94587" w:rsidRPr="00AE154B">
        <w:rPr>
          <w:rFonts w:ascii="Book Antiqua" w:eastAsiaTheme="minorEastAsia" w:hAnsi="Book Antiqua" w:cstheme="minorBidi"/>
          <w:lang w:bidi="ar-SA"/>
        </w:rPr>
        <w:t>) and a confirmation of the</w:t>
      </w:r>
      <w:r w:rsidR="009100DE">
        <w:rPr>
          <w:rFonts w:ascii="Book Antiqua" w:eastAsiaTheme="minorEastAsia" w:hAnsi="Book Antiqua" w:cstheme="minorBidi" w:hint="eastAsia"/>
          <w:lang w:eastAsia="zh-CN" w:bidi="ar-SA"/>
        </w:rPr>
        <w:t xml:space="preserve"> </w:t>
      </w:r>
      <w:r w:rsidR="00D94587" w:rsidRPr="00AE154B">
        <w:rPr>
          <w:rFonts w:ascii="Book Antiqua" w:eastAsiaTheme="minorEastAsia" w:hAnsi="Book Antiqua" w:cstheme="minorBidi"/>
          <w:lang w:bidi="ar-SA"/>
        </w:rPr>
        <w:t>mutation</w:t>
      </w:r>
      <w:r w:rsidRPr="00AE154B">
        <w:rPr>
          <w:rFonts w:ascii="Book Antiqua" w:eastAsiaTheme="minorEastAsia" w:hAnsi="Book Antiqua" w:cstheme="minorBidi"/>
          <w:lang w:bidi="ar-SA"/>
        </w:rPr>
        <w:t xml:space="preserve"> </w:t>
      </w:r>
      <w:r w:rsidR="00D94587" w:rsidRPr="00AE154B">
        <w:rPr>
          <w:rFonts w:ascii="Book Antiqua" w:eastAsiaTheme="minorEastAsia" w:hAnsi="Book Antiqua" w:cstheme="minorBidi"/>
          <w:lang w:bidi="ar-SA"/>
        </w:rPr>
        <w:t>N370S/55bp</w:t>
      </w:r>
      <w:r w:rsidRPr="00AE154B">
        <w:rPr>
          <w:rFonts w:ascii="Book Antiqua" w:eastAsiaTheme="minorEastAsia" w:hAnsi="Book Antiqua" w:cstheme="minorBidi"/>
          <w:lang w:bidi="ar-SA"/>
        </w:rPr>
        <w:t xml:space="preserve"> </w:t>
      </w:r>
      <w:r w:rsidR="00D94587" w:rsidRPr="00AE154B">
        <w:rPr>
          <w:rFonts w:ascii="Book Antiqua" w:eastAsiaTheme="minorEastAsia" w:hAnsi="Book Antiqua" w:cstheme="minorBidi"/>
          <w:lang w:bidi="ar-SA"/>
        </w:rPr>
        <w:t>deletion.</w:t>
      </w:r>
    </w:p>
    <w:p w14:paraId="50210D4E"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501F5B81" w14:textId="1E10E3F9" w:rsidR="004A4736" w:rsidRPr="00AE154B" w:rsidRDefault="004A4736"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2: </w:t>
      </w:r>
      <w:r w:rsidRPr="00AE154B">
        <w:rPr>
          <w:rFonts w:ascii="Book Antiqua" w:eastAsiaTheme="minorEastAsia" w:hAnsi="Book Antiqua" w:cstheme="minorBidi"/>
          <w:lang w:bidi="ar-SA"/>
        </w:rPr>
        <w:t xml:space="preserve">Elevated serum transaminases (AST 135, ALT 154, GGT 261) and thrombocytopenia were noted (96 </w:t>
      </w:r>
      <w:r w:rsidRPr="00AE154B">
        <w:rPr>
          <w:rFonts w:ascii="Book Antiqua" w:eastAsia="DengXian" w:hAnsi="Book Antiqua" w:cstheme="minorBidi"/>
          <w:lang w:bidi="ar-SA"/>
        </w:rPr>
        <w:t>×</w:t>
      </w:r>
      <w:r w:rsidRPr="00AE154B">
        <w:rPr>
          <w:rFonts w:ascii="Book Antiqua" w:eastAsiaTheme="minorEastAsia" w:hAnsi="Book Antiqua" w:cstheme="minorBidi"/>
          <w:lang w:bidi="ar-SA"/>
        </w:rPr>
        <w:t xml:space="preserve"> 10</w:t>
      </w:r>
      <w:r w:rsidRPr="00AE154B">
        <w:rPr>
          <w:rFonts w:ascii="Book Antiqua" w:eastAsiaTheme="minorEastAsia" w:hAnsi="Book Antiqua" w:cstheme="minorBidi"/>
          <w:vertAlign w:val="superscript"/>
          <w:lang w:bidi="ar-SA"/>
        </w:rPr>
        <w:t>9</w:t>
      </w:r>
      <w:r w:rsidRPr="00AE154B">
        <w:rPr>
          <w:rFonts w:ascii="Book Antiqua" w:eastAsiaTheme="minorEastAsia" w:hAnsi="Book Antiqua" w:cstheme="minorBidi"/>
          <w:lang w:bidi="ar-SA"/>
        </w:rPr>
        <w:t>/L). A cholecystectomy was conducted, normalizing the transaminase level, but the</w:t>
      </w:r>
      <w:r w:rsidR="009100DE">
        <w:rPr>
          <w:rFonts w:ascii="Book Antiqua" w:eastAsiaTheme="minorEastAsia" w:hAnsi="Book Antiqua" w:cstheme="minorBidi" w:hint="eastAsia"/>
          <w:lang w:eastAsia="zh-CN" w:bidi="ar-SA"/>
        </w:rPr>
        <w:t xml:space="preserve"> </w:t>
      </w:r>
      <w:r w:rsidRPr="00AE154B">
        <w:rPr>
          <w:rFonts w:ascii="Book Antiqua" w:eastAsiaTheme="minorEastAsia" w:hAnsi="Book Antiqua" w:cstheme="minorBidi"/>
          <w:lang w:bidi="ar-SA"/>
        </w:rPr>
        <w:t>thrombocytopenia remained. Finding of Gaucher cells from a bone marrow biopsy. Further low beta- glucosidase activity (0</w:t>
      </w:r>
      <w:r w:rsidR="00F82699" w:rsidRPr="00AE154B">
        <w:rPr>
          <w:rFonts w:ascii="Book Antiqua" w:eastAsiaTheme="minorEastAsia" w:hAnsi="Book Antiqua" w:cstheme="minorBidi"/>
          <w:lang w:bidi="ar-SA"/>
        </w:rPr>
        <w:t>.</w:t>
      </w:r>
      <w:r w:rsidRPr="00AE154B">
        <w:rPr>
          <w:rFonts w:ascii="Book Antiqua" w:eastAsiaTheme="minorEastAsia" w:hAnsi="Book Antiqua" w:cstheme="minorBidi"/>
          <w:lang w:bidi="ar-SA"/>
        </w:rPr>
        <w:t>58 U/m</w:t>
      </w:r>
      <w:r w:rsidR="00F82699" w:rsidRPr="00AE154B">
        <w:rPr>
          <w:rFonts w:ascii="Book Antiqua" w:eastAsiaTheme="minorEastAsia" w:hAnsi="Book Antiqua" w:cstheme="minorBidi"/>
          <w:lang w:bidi="ar-SA"/>
        </w:rPr>
        <w:t>L</w:t>
      </w:r>
      <w:r w:rsidRPr="00AE154B">
        <w:rPr>
          <w:rFonts w:ascii="Book Antiqua" w:eastAsiaTheme="minorEastAsia" w:hAnsi="Book Antiqua" w:cstheme="minorBidi"/>
          <w:lang w:bidi="ar-SA"/>
        </w:rPr>
        <w:t>) in the leucocytes and markedly elevated plasma-chitotriosidase activity (7752 nmol/h/m</w:t>
      </w:r>
      <w:r w:rsidR="00F82699" w:rsidRPr="00AE154B">
        <w:rPr>
          <w:rFonts w:ascii="Book Antiqua" w:eastAsiaTheme="minorEastAsia" w:hAnsi="Book Antiqua" w:cstheme="minorBidi"/>
          <w:lang w:bidi="ar-SA"/>
        </w:rPr>
        <w:t>L</w:t>
      </w:r>
      <w:r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i/>
          <w:lang w:bidi="ar-SA"/>
        </w:rPr>
        <w:t>GBA</w:t>
      </w:r>
      <w:r w:rsidRPr="00AE154B">
        <w:rPr>
          <w:rFonts w:ascii="Book Antiqua" w:eastAsiaTheme="minorEastAsia" w:hAnsi="Book Antiqua" w:cstheme="minorBidi"/>
          <w:lang w:bidi="ar-SA"/>
        </w:rPr>
        <w:t xml:space="preserve"> gene sequencing revealed</w:t>
      </w:r>
      <w:r w:rsidR="009100DE">
        <w:rPr>
          <w:rFonts w:ascii="Book Antiqua" w:eastAsiaTheme="minorEastAsia" w:hAnsi="Book Antiqua" w:cstheme="minorBidi" w:hint="eastAsia"/>
          <w:lang w:eastAsia="zh-CN" w:bidi="ar-SA"/>
        </w:rPr>
        <w:t xml:space="preserve"> </w:t>
      </w:r>
      <w:r w:rsidRPr="00AE154B">
        <w:rPr>
          <w:rFonts w:ascii="Book Antiqua" w:eastAsiaTheme="minorEastAsia" w:hAnsi="Book Antiqua" w:cstheme="minorBidi"/>
          <w:lang w:bidi="ar-SA"/>
        </w:rPr>
        <w:t>the genotype N370S/D409H.</w:t>
      </w:r>
    </w:p>
    <w:p w14:paraId="5DB19A6D"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708EE5BF" w14:textId="5DEEEB96" w:rsidR="00F82699" w:rsidRPr="00AE154B" w:rsidRDefault="00F82699"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3: </w:t>
      </w:r>
      <w:r w:rsidRPr="00AE154B">
        <w:rPr>
          <w:rFonts w:ascii="Book Antiqua" w:eastAsiaTheme="minorEastAsia" w:hAnsi="Book Antiqua" w:cstheme="minorBidi"/>
          <w:lang w:bidi="ar-SA"/>
        </w:rPr>
        <w:t xml:space="preserve">Thrombocytopenia (79 </w:t>
      </w:r>
      <w:r w:rsidRPr="00AE154B">
        <w:rPr>
          <w:rFonts w:ascii="Book Antiqua" w:eastAsia="DengXian" w:hAnsi="Book Antiqua" w:cstheme="minorBidi"/>
          <w:lang w:bidi="ar-SA"/>
        </w:rPr>
        <w:t>×</w:t>
      </w:r>
      <w:r w:rsidRPr="00AE154B">
        <w:rPr>
          <w:rFonts w:ascii="Book Antiqua" w:eastAsia="DengXian" w:hAnsi="Book Antiqua" w:cstheme="minorBidi"/>
          <w:lang w:eastAsia="zh-CN" w:bidi="ar-SA"/>
        </w:rPr>
        <w:t xml:space="preserve"> </w:t>
      </w:r>
      <w:r w:rsidRPr="00AE154B">
        <w:rPr>
          <w:rFonts w:ascii="Book Antiqua" w:eastAsiaTheme="minorEastAsia" w:hAnsi="Book Antiqua" w:cstheme="minorBidi"/>
          <w:lang w:bidi="ar-SA"/>
        </w:rPr>
        <w:t>10</w:t>
      </w:r>
      <w:r w:rsidRPr="00AE154B">
        <w:rPr>
          <w:rFonts w:ascii="Book Antiqua" w:eastAsiaTheme="minorEastAsia" w:hAnsi="Book Antiqua" w:cstheme="minorBidi"/>
          <w:vertAlign w:val="superscript"/>
          <w:lang w:bidi="ar-SA"/>
        </w:rPr>
        <w:t>9</w:t>
      </w:r>
      <w:r w:rsidRPr="00AE154B">
        <w:rPr>
          <w:rFonts w:ascii="Book Antiqua" w:eastAsiaTheme="minorEastAsia" w:hAnsi="Book Antiqua" w:cstheme="minorBidi"/>
          <w:lang w:bidi="ar-SA"/>
        </w:rPr>
        <w:t xml:space="preserve">/L), Gaucher cells were found in bone marrow and liver biopsy. Low leucocyte-beta glucosidase activity (1.43 nmol/mg prot/h) and markedly elevated plasma-chitotriosidase activity (5397.5 nmol/h/mL). Subsequent </w:t>
      </w:r>
      <w:r w:rsidRPr="00AE154B">
        <w:rPr>
          <w:rFonts w:ascii="Book Antiqua" w:eastAsiaTheme="minorEastAsia" w:hAnsi="Book Antiqua" w:cstheme="minorBidi"/>
          <w:i/>
          <w:lang w:bidi="ar-SA"/>
        </w:rPr>
        <w:t>GBA</w:t>
      </w:r>
      <w:r w:rsidRPr="00AE154B">
        <w:rPr>
          <w:rFonts w:ascii="Book Antiqua" w:eastAsiaTheme="minorEastAsia" w:hAnsi="Book Antiqua" w:cstheme="minorBidi"/>
          <w:lang w:bidi="ar-SA"/>
        </w:rPr>
        <w:t xml:space="preserve"> gene sequencing revealed the genotype N370S/D409H.</w:t>
      </w:r>
    </w:p>
    <w:p w14:paraId="017E3E70"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2318BFEA" w14:textId="2695665F" w:rsidR="00F82699" w:rsidRPr="00AE154B" w:rsidRDefault="00F82699"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4: </w:t>
      </w:r>
      <w:r w:rsidRPr="00AE154B">
        <w:rPr>
          <w:rFonts w:ascii="Book Antiqua" w:eastAsiaTheme="minorEastAsia" w:hAnsi="Book Antiqua" w:cstheme="minorBidi"/>
          <w:lang w:bidi="ar-SA"/>
        </w:rPr>
        <w:t xml:space="preserve">Slightly reduced platelet count (136 </w:t>
      </w:r>
      <w:r w:rsidRPr="00AE154B">
        <w:rPr>
          <w:rFonts w:ascii="Book Antiqua" w:eastAsia="DengXian" w:hAnsi="Book Antiqua" w:cstheme="minorBidi"/>
          <w:lang w:bidi="ar-SA"/>
        </w:rPr>
        <w:t>×</w:t>
      </w:r>
      <w:r w:rsidRPr="00AE154B">
        <w:rPr>
          <w:rFonts w:ascii="Book Antiqua" w:eastAsia="DengXian" w:hAnsi="Book Antiqua" w:cstheme="minorBidi"/>
          <w:lang w:eastAsia="zh-CN" w:bidi="ar-SA"/>
        </w:rPr>
        <w:t xml:space="preserve"> </w:t>
      </w:r>
      <w:r w:rsidRPr="00AE154B">
        <w:rPr>
          <w:rFonts w:ascii="Book Antiqua" w:eastAsiaTheme="minorEastAsia" w:hAnsi="Book Antiqua" w:cstheme="minorBidi"/>
          <w:lang w:bidi="ar-SA"/>
        </w:rPr>
        <w:t xml:space="preserve">109/L), Gaucher cell in bone marrow biopsy, low leucocyte-beta glucosidase activity (0.32 U/mL) and markedly elevated plasma-chitotriosidase activity (28657 nmol/h/mL). The diagnosis was further confirmed by </w:t>
      </w:r>
      <w:r w:rsidRPr="00AE154B">
        <w:rPr>
          <w:rFonts w:ascii="Book Antiqua" w:eastAsiaTheme="minorEastAsia" w:hAnsi="Book Antiqua" w:cstheme="minorBidi"/>
          <w:i/>
          <w:lang w:bidi="ar-SA"/>
        </w:rPr>
        <w:t>GBA</w:t>
      </w:r>
      <w:r w:rsidRPr="00AE154B">
        <w:rPr>
          <w:rFonts w:ascii="Book Antiqua" w:eastAsiaTheme="minorEastAsia" w:hAnsi="Book Antiqua" w:cstheme="minorBidi"/>
          <w:lang w:bidi="ar-SA"/>
        </w:rPr>
        <w:t xml:space="preserve"> gene sequencing for the genotype H255Q/N370S.</w:t>
      </w:r>
    </w:p>
    <w:p w14:paraId="632E054F"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5017AF51" w14:textId="56B6067E" w:rsidR="00584BB4" w:rsidRPr="00AE154B" w:rsidRDefault="00584BB4"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5: </w:t>
      </w:r>
      <w:r w:rsidRPr="00AE154B">
        <w:rPr>
          <w:rFonts w:ascii="Book Antiqua" w:eastAsiaTheme="minorEastAsia" w:hAnsi="Book Antiqua" w:cstheme="minorBidi"/>
          <w:lang w:bidi="ar-SA"/>
        </w:rPr>
        <w:t xml:space="preserve">The laboratory analysis indicated a low platelet count (102 </w:t>
      </w:r>
      <w:r w:rsidRPr="00AE154B">
        <w:rPr>
          <w:rFonts w:ascii="Book Antiqua" w:eastAsia="DengXian" w:hAnsi="Book Antiqua" w:cstheme="minorBidi"/>
          <w:lang w:bidi="ar-SA"/>
        </w:rPr>
        <w:t>×</w:t>
      </w:r>
      <w:r w:rsidRPr="00AE154B">
        <w:rPr>
          <w:rFonts w:ascii="Book Antiqua" w:eastAsia="DengXian" w:hAnsi="Book Antiqua" w:cstheme="minorBidi"/>
          <w:lang w:eastAsia="zh-CN" w:bidi="ar-SA"/>
        </w:rPr>
        <w:t xml:space="preserve"> </w:t>
      </w:r>
      <w:r w:rsidRPr="00AE154B">
        <w:rPr>
          <w:rFonts w:ascii="Book Antiqua" w:eastAsiaTheme="minorEastAsia" w:hAnsi="Book Antiqua" w:cstheme="minorBidi"/>
          <w:lang w:bidi="ar-SA"/>
        </w:rPr>
        <w:t xml:space="preserve">109/L), low leucocyte (3.1 </w:t>
      </w:r>
      <w:r w:rsidRPr="00AE154B">
        <w:rPr>
          <w:rFonts w:ascii="Book Antiqua" w:eastAsia="DengXian" w:hAnsi="Book Antiqua" w:cstheme="minorBidi"/>
          <w:lang w:bidi="ar-SA"/>
        </w:rPr>
        <w:t>×</w:t>
      </w:r>
      <w:r w:rsidRPr="00AE154B">
        <w:rPr>
          <w:rFonts w:ascii="Book Antiqua" w:eastAsia="DengXian" w:hAnsi="Book Antiqua" w:cstheme="minorBidi"/>
          <w:lang w:eastAsia="zh-CN" w:bidi="ar-SA"/>
        </w:rPr>
        <w:t xml:space="preserve"> </w:t>
      </w:r>
      <w:r w:rsidRPr="00AE154B">
        <w:rPr>
          <w:rFonts w:ascii="Book Antiqua" w:eastAsiaTheme="minorEastAsia" w:hAnsi="Book Antiqua" w:cstheme="minorBidi"/>
          <w:lang w:bidi="ar-SA"/>
        </w:rPr>
        <w:t xml:space="preserve">109/L) beta-glucosidase (0.63 U/mL) activity and markedly elevated plasma-chitotriosidase activity (25578 nmol/h/mL), HBs, HCV, HIV negative. Gaucher </w:t>
      </w:r>
      <w:r w:rsidRPr="00AE154B">
        <w:rPr>
          <w:rFonts w:ascii="Book Antiqua" w:eastAsiaTheme="minorEastAsia" w:hAnsi="Book Antiqua" w:cstheme="minorBidi"/>
          <w:lang w:bidi="ar-SA"/>
        </w:rPr>
        <w:lastRenderedPageBreak/>
        <w:t xml:space="preserve">cells in bone marrow biopsy. The </w:t>
      </w:r>
      <w:r w:rsidRPr="00AE154B">
        <w:rPr>
          <w:rFonts w:ascii="Book Antiqua" w:eastAsiaTheme="minorEastAsia" w:hAnsi="Book Antiqua" w:cstheme="minorBidi"/>
          <w:i/>
          <w:lang w:bidi="ar-SA"/>
        </w:rPr>
        <w:t>GBA</w:t>
      </w:r>
      <w:r w:rsidRPr="00AE154B">
        <w:rPr>
          <w:rFonts w:ascii="Book Antiqua" w:eastAsiaTheme="minorEastAsia" w:hAnsi="Book Antiqua" w:cstheme="minorBidi"/>
          <w:lang w:bidi="ar-SA"/>
        </w:rPr>
        <w:t xml:space="preserve"> gene sequencing established homozygosity for the N370S mutation.</w:t>
      </w:r>
    </w:p>
    <w:p w14:paraId="3D00DAF9" w14:textId="77777777" w:rsidR="004A4736" w:rsidRPr="00AE154B" w:rsidRDefault="004A4736" w:rsidP="00AE154B">
      <w:pPr>
        <w:pStyle w:val="BodyText"/>
        <w:spacing w:line="360" w:lineRule="auto"/>
        <w:ind w:right="-35"/>
        <w:rPr>
          <w:rFonts w:ascii="Book Antiqua" w:eastAsiaTheme="minorEastAsia" w:hAnsi="Book Antiqua" w:cstheme="minorBidi"/>
          <w:lang w:bidi="ar-SA"/>
        </w:rPr>
      </w:pPr>
    </w:p>
    <w:p w14:paraId="18FA26F3" w14:textId="69FEDB6C" w:rsidR="00D94587" w:rsidRPr="00AE154B" w:rsidRDefault="00D94587" w:rsidP="00AE154B">
      <w:pPr>
        <w:pStyle w:val="BodyText"/>
        <w:spacing w:line="360" w:lineRule="auto"/>
        <w:ind w:right="-35"/>
        <w:rPr>
          <w:rFonts w:ascii="Book Antiqua" w:eastAsiaTheme="minorEastAsia" w:hAnsi="Book Antiqua" w:cstheme="minorBidi"/>
          <w:b/>
          <w:i/>
          <w:lang w:bidi="ar-SA"/>
        </w:rPr>
      </w:pPr>
      <w:r w:rsidRPr="00AE154B">
        <w:rPr>
          <w:rFonts w:ascii="Book Antiqua" w:eastAsiaTheme="minorEastAsia" w:hAnsi="Book Antiqua" w:cstheme="minorBidi"/>
          <w:b/>
          <w:i/>
          <w:lang w:bidi="ar-SA"/>
        </w:rPr>
        <w:t>Imaging examination</w:t>
      </w:r>
    </w:p>
    <w:p w14:paraId="4FB4FA37" w14:textId="21DCB6AE" w:rsidR="00D94587" w:rsidRPr="00AE154B" w:rsidRDefault="004A4736"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bCs/>
          <w:lang w:bidi="ar-SA"/>
        </w:rPr>
        <w:t xml:space="preserve">Patient 1: </w:t>
      </w:r>
      <w:r w:rsidR="00D94587" w:rsidRPr="00AE154B">
        <w:rPr>
          <w:rFonts w:ascii="Book Antiqua" w:eastAsiaTheme="minorEastAsia" w:hAnsi="Book Antiqua" w:cstheme="minorBidi"/>
          <w:lang w:bidi="ar-SA"/>
        </w:rPr>
        <w:t>Abdominal ultrasound liver (15</w:t>
      </w:r>
      <w:r w:rsidR="00F82699" w:rsidRPr="00AE154B">
        <w:rPr>
          <w:rFonts w:ascii="Book Antiqua" w:eastAsiaTheme="minorEastAsia" w:hAnsi="Book Antiqua" w:cstheme="minorBidi"/>
          <w:lang w:bidi="ar-SA"/>
        </w:rPr>
        <w:t xml:space="preserve"> </w:t>
      </w:r>
      <w:r w:rsidR="00442D49" w:rsidRPr="00AE154B">
        <w:rPr>
          <w:rFonts w:ascii="Book Antiqua" w:eastAsiaTheme="minorEastAsia" w:hAnsi="Book Antiqua" w:cstheme="minorBidi"/>
          <w:lang w:bidi="ar-SA"/>
        </w:rPr>
        <w:t xml:space="preserve">cm </w:t>
      </w:r>
      <w:r w:rsidR="00F82699" w:rsidRPr="00AE154B">
        <w:rPr>
          <w:rFonts w:ascii="Book Antiqua" w:eastAsia="DengXian" w:hAnsi="Book Antiqua" w:cstheme="minorBidi"/>
          <w:lang w:bidi="ar-SA"/>
        </w:rPr>
        <w:t>×</w:t>
      </w:r>
      <w:r w:rsidR="00F82699" w:rsidRPr="00AE154B">
        <w:rPr>
          <w:rFonts w:ascii="Book Antiqua" w:eastAsiaTheme="minorEastAsia" w:hAnsi="Book Antiqua" w:cstheme="minorBidi"/>
          <w:lang w:bidi="ar-SA"/>
        </w:rPr>
        <w:t xml:space="preserve"> </w:t>
      </w:r>
      <w:r w:rsidR="00D94587" w:rsidRPr="00AE154B">
        <w:rPr>
          <w:rFonts w:ascii="Book Antiqua" w:eastAsiaTheme="minorEastAsia" w:hAnsi="Book Antiqua" w:cstheme="minorBidi"/>
          <w:lang w:bidi="ar-SA"/>
        </w:rPr>
        <w:t>13</w:t>
      </w:r>
      <w:r w:rsidR="00442D49" w:rsidRPr="00AE154B">
        <w:rPr>
          <w:rFonts w:ascii="Book Antiqua" w:eastAsiaTheme="minorEastAsia" w:hAnsi="Book Antiqua" w:cstheme="minorBidi"/>
          <w:lang w:bidi="ar-SA"/>
        </w:rPr>
        <w:t xml:space="preserve"> cm</w:t>
      </w:r>
      <w:r w:rsidR="00F82699" w:rsidRPr="00AE154B">
        <w:rPr>
          <w:rFonts w:ascii="Book Antiqua" w:eastAsiaTheme="minorEastAsia" w:hAnsi="Book Antiqua" w:cstheme="minorBidi"/>
          <w:lang w:bidi="ar-SA"/>
        </w:rPr>
        <w:t xml:space="preserve"> </w:t>
      </w:r>
      <w:r w:rsidR="00F82699" w:rsidRPr="00AE154B">
        <w:rPr>
          <w:rFonts w:ascii="Book Antiqua" w:eastAsia="DengXian" w:hAnsi="Book Antiqua" w:cstheme="minorBidi"/>
          <w:lang w:bidi="ar-SA"/>
        </w:rPr>
        <w:t>×</w:t>
      </w:r>
      <w:r w:rsidR="00F82699" w:rsidRPr="00AE154B">
        <w:rPr>
          <w:rFonts w:ascii="Book Antiqua" w:eastAsiaTheme="minorEastAsia" w:hAnsi="Book Antiqua" w:cstheme="minorBidi"/>
          <w:lang w:bidi="ar-SA"/>
        </w:rPr>
        <w:t xml:space="preserve"> </w:t>
      </w:r>
      <w:r w:rsidR="00D94587" w:rsidRPr="00AE154B">
        <w:rPr>
          <w:rFonts w:ascii="Book Antiqua" w:eastAsiaTheme="minorEastAsia" w:hAnsi="Book Antiqua" w:cstheme="minorBidi"/>
          <w:lang w:bidi="ar-SA"/>
        </w:rPr>
        <w:t>19</w:t>
      </w:r>
      <w:r w:rsidR="00442D49" w:rsidRPr="00AE154B">
        <w:rPr>
          <w:rFonts w:ascii="Book Antiqua" w:eastAsiaTheme="minorEastAsia" w:hAnsi="Book Antiqua" w:cstheme="minorBidi"/>
          <w:lang w:bidi="ar-SA"/>
        </w:rPr>
        <w:t xml:space="preserve"> </w:t>
      </w:r>
      <w:r w:rsidR="00D94587" w:rsidRPr="00AE154B">
        <w:rPr>
          <w:rFonts w:ascii="Book Antiqua" w:eastAsiaTheme="minorEastAsia" w:hAnsi="Book Antiqua" w:cstheme="minorBidi"/>
          <w:lang w:bidi="ar-SA"/>
        </w:rPr>
        <w:t>cm), magnetic resonance</w:t>
      </w:r>
      <w:r w:rsidR="0047179E" w:rsidRPr="00AE154B">
        <w:rPr>
          <w:rFonts w:ascii="Book Antiqua" w:eastAsiaTheme="minorEastAsia" w:hAnsi="Book Antiqua" w:cstheme="minorBidi"/>
          <w:lang w:bidi="ar-SA"/>
        </w:rPr>
        <w:t xml:space="preserve"> </w:t>
      </w:r>
      <w:r w:rsidR="00D94587" w:rsidRPr="00AE154B">
        <w:rPr>
          <w:rFonts w:ascii="Book Antiqua" w:eastAsiaTheme="minorEastAsia" w:hAnsi="Book Antiqua" w:cstheme="minorBidi"/>
          <w:lang w:bidi="ar-SA"/>
        </w:rPr>
        <w:t>imaging (MRI) of the femurs and lumbosacral spine visualized an Erlenmeye flask deformity of both the distal femurs, bone marrow infiltration of both the femurs and diffuse bone marrow infiltration of the lumbal spine.</w:t>
      </w:r>
    </w:p>
    <w:p w14:paraId="778E917F"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0B7BDCEB" w14:textId="7E26A5D8" w:rsidR="00F82699" w:rsidRPr="00AE154B" w:rsidRDefault="004A4736"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Patient 2:</w:t>
      </w:r>
      <w:r w:rsidR="00F82699" w:rsidRPr="00AE154B">
        <w:rPr>
          <w:rFonts w:ascii="Book Antiqua" w:eastAsiaTheme="minorEastAsia" w:hAnsi="Book Antiqua" w:cstheme="minorBidi"/>
          <w:b/>
          <w:lang w:bidi="ar-SA"/>
        </w:rPr>
        <w:t xml:space="preserve"> </w:t>
      </w:r>
      <w:r w:rsidR="00F82699" w:rsidRPr="00AE154B">
        <w:rPr>
          <w:rFonts w:ascii="Book Antiqua" w:eastAsiaTheme="minorEastAsia" w:hAnsi="Book Antiqua" w:cstheme="minorBidi"/>
          <w:lang w:bidi="ar-SA"/>
        </w:rPr>
        <w:t>Abdominal-multislice computed tomography (MSCT) showed an enlarged liver (18</w:t>
      </w:r>
      <w:r w:rsidR="00442D49" w:rsidRPr="00AE154B">
        <w:rPr>
          <w:rFonts w:ascii="Book Antiqua" w:eastAsiaTheme="minorEastAsia" w:hAnsi="Book Antiqua" w:cstheme="minorBidi"/>
          <w:lang w:bidi="ar-SA"/>
        </w:rPr>
        <w:t xml:space="preserve"> cm</w:t>
      </w:r>
      <w:r w:rsidR="00F82699" w:rsidRPr="00AE154B">
        <w:rPr>
          <w:rFonts w:ascii="Book Antiqua" w:eastAsiaTheme="minorEastAsia" w:hAnsi="Book Antiqua" w:cstheme="minorBidi"/>
          <w:lang w:bidi="ar-SA"/>
        </w:rPr>
        <w:t xml:space="preserve"> </w:t>
      </w:r>
      <w:r w:rsidR="00F82699" w:rsidRPr="00AE154B">
        <w:rPr>
          <w:rFonts w:ascii="Book Antiqua" w:eastAsia="DengXian" w:hAnsi="Book Antiqua" w:cstheme="minorBidi"/>
          <w:lang w:bidi="ar-SA"/>
        </w:rPr>
        <w:t>×</w:t>
      </w:r>
      <w:r w:rsidR="00F82699" w:rsidRPr="00AE154B">
        <w:rPr>
          <w:rFonts w:ascii="Book Antiqua" w:eastAsiaTheme="minorEastAsia" w:hAnsi="Book Antiqua" w:cstheme="minorBidi"/>
          <w:lang w:bidi="ar-SA"/>
        </w:rPr>
        <w:t xml:space="preserve"> 16</w:t>
      </w:r>
      <w:r w:rsidR="00442D49" w:rsidRPr="00AE154B">
        <w:rPr>
          <w:rFonts w:ascii="Book Antiqua" w:eastAsiaTheme="minorEastAsia" w:hAnsi="Book Antiqua" w:cstheme="minorBidi"/>
          <w:lang w:bidi="ar-SA"/>
        </w:rPr>
        <w:t xml:space="preserve"> cm</w:t>
      </w:r>
      <w:r w:rsidR="00F82699" w:rsidRPr="00AE154B">
        <w:rPr>
          <w:rFonts w:ascii="Book Antiqua" w:eastAsiaTheme="minorEastAsia" w:hAnsi="Book Antiqua" w:cstheme="minorBidi"/>
          <w:lang w:bidi="ar-SA"/>
        </w:rPr>
        <w:t xml:space="preserve"> </w:t>
      </w:r>
      <w:r w:rsidR="00F82699" w:rsidRPr="00AE154B">
        <w:rPr>
          <w:rFonts w:ascii="Book Antiqua" w:eastAsia="DengXian" w:hAnsi="Book Antiqua" w:cstheme="minorBidi"/>
          <w:lang w:bidi="ar-SA"/>
        </w:rPr>
        <w:t>×</w:t>
      </w:r>
      <w:r w:rsidR="00F82699" w:rsidRPr="00AE154B">
        <w:rPr>
          <w:rFonts w:ascii="Book Antiqua" w:eastAsiaTheme="minorEastAsia" w:hAnsi="Book Antiqua" w:cstheme="minorBidi"/>
          <w:lang w:bidi="ar-SA"/>
        </w:rPr>
        <w:t xml:space="preserve"> 21cm) and spleen (23.5</w:t>
      </w:r>
      <w:r w:rsidR="00442D49" w:rsidRPr="00AE154B">
        <w:rPr>
          <w:rFonts w:ascii="Book Antiqua" w:eastAsiaTheme="minorEastAsia" w:hAnsi="Book Antiqua" w:cstheme="minorBidi"/>
          <w:lang w:bidi="ar-SA"/>
        </w:rPr>
        <w:t xml:space="preserve"> cm</w:t>
      </w:r>
      <w:r w:rsidR="00F82699" w:rsidRPr="00AE154B">
        <w:rPr>
          <w:rFonts w:ascii="Book Antiqua" w:eastAsiaTheme="minorEastAsia" w:hAnsi="Book Antiqua" w:cstheme="minorBidi"/>
          <w:lang w:bidi="ar-SA"/>
        </w:rPr>
        <w:t xml:space="preserve"> </w:t>
      </w:r>
      <w:r w:rsidR="00F82699" w:rsidRPr="00AE154B">
        <w:rPr>
          <w:rFonts w:ascii="Book Antiqua" w:eastAsia="DengXian" w:hAnsi="Book Antiqua" w:cstheme="minorBidi"/>
          <w:lang w:bidi="ar-SA"/>
        </w:rPr>
        <w:t>×</w:t>
      </w:r>
      <w:r w:rsidR="00F82699" w:rsidRPr="00AE154B">
        <w:rPr>
          <w:rFonts w:ascii="Book Antiqua" w:eastAsiaTheme="minorEastAsia" w:hAnsi="Book Antiqua" w:cstheme="minorBidi"/>
          <w:lang w:bidi="ar-SA"/>
        </w:rPr>
        <w:t xml:space="preserve"> 8.5</w:t>
      </w:r>
      <w:r w:rsidR="00442D49" w:rsidRPr="00AE154B">
        <w:rPr>
          <w:rFonts w:ascii="Book Antiqua" w:eastAsiaTheme="minorEastAsia" w:hAnsi="Book Antiqua" w:cstheme="minorBidi"/>
          <w:lang w:bidi="ar-SA"/>
        </w:rPr>
        <w:t xml:space="preserve"> cm</w:t>
      </w:r>
      <w:r w:rsidR="00F82699" w:rsidRPr="00AE154B">
        <w:rPr>
          <w:rFonts w:ascii="Book Antiqua" w:eastAsiaTheme="minorEastAsia" w:hAnsi="Book Antiqua" w:cstheme="minorBidi"/>
          <w:lang w:bidi="ar-SA"/>
        </w:rPr>
        <w:t xml:space="preserve"> </w:t>
      </w:r>
      <w:r w:rsidR="00F82699" w:rsidRPr="00AE154B">
        <w:rPr>
          <w:rFonts w:ascii="Book Antiqua" w:eastAsia="DengXian" w:hAnsi="Book Antiqua" w:cstheme="minorBidi"/>
          <w:lang w:bidi="ar-SA"/>
        </w:rPr>
        <w:t>×</w:t>
      </w:r>
      <w:r w:rsidR="00F82699" w:rsidRPr="00AE154B">
        <w:rPr>
          <w:rFonts w:ascii="Book Antiqua" w:eastAsiaTheme="minorEastAsia" w:hAnsi="Book Antiqua" w:cstheme="minorBidi"/>
          <w:lang w:bidi="ar-SA"/>
        </w:rPr>
        <w:t xml:space="preserve"> 8cm). </w:t>
      </w:r>
      <w:r w:rsidR="00442D49" w:rsidRPr="00AE154B">
        <w:rPr>
          <w:rFonts w:ascii="Book Antiqua" w:eastAsiaTheme="minorEastAsia" w:hAnsi="Book Antiqua" w:cstheme="minorBidi"/>
          <w:lang w:bidi="ar-SA"/>
        </w:rPr>
        <w:t>Nuclear magnetic resonance (</w:t>
      </w:r>
      <w:r w:rsidR="00F82699" w:rsidRPr="00AE154B">
        <w:rPr>
          <w:rFonts w:ascii="Book Antiqua" w:eastAsiaTheme="minorEastAsia" w:hAnsi="Book Antiqua" w:cstheme="minorBidi"/>
          <w:lang w:bidi="ar-SA"/>
        </w:rPr>
        <w:t>NMR</w:t>
      </w:r>
      <w:r w:rsidR="00442D49" w:rsidRPr="00AE154B">
        <w:rPr>
          <w:rFonts w:ascii="Book Antiqua" w:eastAsiaTheme="minorEastAsia" w:hAnsi="Book Antiqua" w:cstheme="minorBidi"/>
          <w:lang w:bidi="ar-SA"/>
        </w:rPr>
        <w:t>)</w:t>
      </w:r>
      <w:r w:rsidR="00F82699" w:rsidRPr="00AE154B">
        <w:rPr>
          <w:rFonts w:ascii="Book Antiqua" w:eastAsiaTheme="minorEastAsia" w:hAnsi="Book Antiqua" w:cstheme="minorBidi"/>
          <w:lang w:bidi="ar-SA"/>
        </w:rPr>
        <w:t xml:space="preserve"> of LS spine and pelvis showed no pathological finding. An endocranial MR showed no pathological finding.</w:t>
      </w:r>
    </w:p>
    <w:p w14:paraId="3370ACB9"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40CCA5E2" w14:textId="0604A50C" w:rsidR="00F82699" w:rsidRPr="00AE154B" w:rsidRDefault="00F82699"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3: </w:t>
      </w:r>
      <w:r w:rsidRPr="00AE154B">
        <w:rPr>
          <w:rFonts w:ascii="Book Antiqua" w:eastAsiaTheme="minorEastAsia" w:hAnsi="Book Antiqua" w:cstheme="minorBidi"/>
          <w:lang w:bidi="ar-SA"/>
        </w:rPr>
        <w:t>Hepatosplenomegaly (spleen 167 mm), MRI of the lumbosacral spine showed a hypodense zone as a sign of infiltration in the trochanter region on both sides. NMR of head normal finding.</w:t>
      </w:r>
    </w:p>
    <w:p w14:paraId="049F0B27"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4D55207A" w14:textId="55CBD45E" w:rsidR="00F82699" w:rsidRPr="00AE154B" w:rsidRDefault="00F82699"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 xml:space="preserve">Patient 4: </w:t>
      </w:r>
      <w:r w:rsidRPr="00AE154B">
        <w:rPr>
          <w:rFonts w:ascii="Book Antiqua" w:eastAsiaTheme="minorEastAsia" w:hAnsi="Book Antiqua" w:cstheme="minorBidi"/>
          <w:lang w:bidi="ar-SA"/>
        </w:rPr>
        <w:t xml:space="preserve">Splenomegaly (ultrasound 19 cm), an MRI of the patient’s bones indicated osteolytic leasions of both the femurs and the tibiae. No reduction in bone mineral density has since been found present by osteodensitometry. </w:t>
      </w:r>
    </w:p>
    <w:p w14:paraId="647B97C1"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7350A541" w14:textId="67324469" w:rsidR="004A4736" w:rsidRPr="00AE154B" w:rsidRDefault="00584BB4"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b/>
          <w:lang w:bidi="ar-SA"/>
        </w:rPr>
        <w:t>Patient 5:</w:t>
      </w:r>
      <w:r w:rsidRPr="00AE154B">
        <w:rPr>
          <w:rFonts w:ascii="Book Antiqua" w:hAnsi="Book Antiqua"/>
          <w:w w:val="110"/>
        </w:rPr>
        <w:t xml:space="preserve"> </w:t>
      </w:r>
      <w:r w:rsidRPr="00AE154B">
        <w:rPr>
          <w:rFonts w:ascii="Book Antiqua" w:eastAsiaTheme="minorEastAsia" w:hAnsi="Book Antiqua" w:cstheme="minorBidi"/>
          <w:lang w:bidi="ar-SA"/>
        </w:rPr>
        <w:t>Abdominal ultrasound liver 20 cm, spleen &gt; 22 cm, pelvic CT scan no abnormalities.</w:t>
      </w:r>
    </w:p>
    <w:p w14:paraId="0E776AA8" w14:textId="77777777" w:rsidR="00584BB4" w:rsidRPr="00AE154B" w:rsidRDefault="00584BB4" w:rsidP="00AE154B">
      <w:pPr>
        <w:pStyle w:val="BodyText"/>
        <w:spacing w:line="360" w:lineRule="auto"/>
        <w:ind w:right="-35"/>
        <w:rPr>
          <w:rFonts w:ascii="Book Antiqua" w:eastAsiaTheme="minorEastAsia" w:hAnsi="Book Antiqua" w:cstheme="minorBidi"/>
          <w:lang w:bidi="ar-SA"/>
        </w:rPr>
      </w:pPr>
    </w:p>
    <w:p w14:paraId="6CEFE3D3" w14:textId="30720FA0" w:rsidR="00D94587" w:rsidRPr="00AE154B" w:rsidRDefault="00D94587" w:rsidP="00AE154B">
      <w:pPr>
        <w:pStyle w:val="BodyText"/>
        <w:spacing w:line="360" w:lineRule="auto"/>
        <w:ind w:right="-35"/>
        <w:rPr>
          <w:rFonts w:ascii="Book Antiqua" w:eastAsiaTheme="minorEastAsia" w:hAnsi="Book Antiqua" w:cstheme="minorBidi"/>
          <w:b/>
          <w:lang w:bidi="ar-SA"/>
        </w:rPr>
      </w:pPr>
      <w:r w:rsidRPr="00AE154B">
        <w:rPr>
          <w:rFonts w:ascii="Book Antiqua" w:eastAsiaTheme="minorEastAsia" w:hAnsi="Book Antiqua" w:cstheme="minorBidi"/>
          <w:b/>
          <w:lang w:bidi="ar-SA"/>
        </w:rPr>
        <w:t>FINAL DIAGNOSIS</w:t>
      </w:r>
    </w:p>
    <w:p w14:paraId="4A03F94F" w14:textId="164361D6" w:rsidR="00D94587" w:rsidRPr="00AE154B" w:rsidRDefault="00D94587"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lang w:bidi="ar-SA"/>
        </w:rPr>
        <w:t>GD 1</w:t>
      </w:r>
      <w:r w:rsidR="004A4736" w:rsidRPr="00AE154B">
        <w:rPr>
          <w:rFonts w:ascii="Book Antiqua" w:eastAsiaTheme="minorEastAsia" w:hAnsi="Book Antiqua" w:cstheme="minorBidi"/>
          <w:lang w:bidi="ar-SA"/>
        </w:rPr>
        <w:t>.</w:t>
      </w:r>
    </w:p>
    <w:p w14:paraId="2146B3F2" w14:textId="77777777" w:rsidR="004A4736" w:rsidRPr="00AE154B" w:rsidRDefault="004A4736" w:rsidP="00AE154B">
      <w:pPr>
        <w:pStyle w:val="BodyText"/>
        <w:spacing w:line="360" w:lineRule="auto"/>
        <w:ind w:right="-35"/>
        <w:rPr>
          <w:rFonts w:ascii="Book Antiqua" w:eastAsiaTheme="minorEastAsia" w:hAnsi="Book Antiqua" w:cstheme="minorBidi"/>
          <w:lang w:bidi="ar-SA"/>
        </w:rPr>
      </w:pPr>
    </w:p>
    <w:p w14:paraId="158015A8" w14:textId="22CE3642" w:rsidR="00D94587" w:rsidRPr="00AE154B" w:rsidRDefault="00D94587" w:rsidP="00AE154B">
      <w:pPr>
        <w:pStyle w:val="BodyText"/>
        <w:spacing w:line="360" w:lineRule="auto"/>
        <w:ind w:right="-35"/>
        <w:rPr>
          <w:rFonts w:ascii="Book Antiqua" w:eastAsiaTheme="minorEastAsia" w:hAnsi="Book Antiqua" w:cstheme="minorBidi"/>
          <w:b/>
          <w:lang w:bidi="ar-SA"/>
        </w:rPr>
      </w:pPr>
      <w:r w:rsidRPr="00AE154B">
        <w:rPr>
          <w:rFonts w:ascii="Book Antiqua" w:eastAsiaTheme="minorEastAsia" w:hAnsi="Book Antiqua" w:cstheme="minorBidi"/>
          <w:b/>
          <w:lang w:bidi="ar-SA"/>
        </w:rPr>
        <w:t>TREATMENT</w:t>
      </w:r>
    </w:p>
    <w:p w14:paraId="7EA8CEDB" w14:textId="77777777" w:rsidR="009100DE" w:rsidRPr="009100DE" w:rsidRDefault="009100DE" w:rsidP="00AE154B">
      <w:pPr>
        <w:pStyle w:val="BodyText"/>
        <w:spacing w:line="360" w:lineRule="auto"/>
        <w:ind w:right="-35"/>
        <w:rPr>
          <w:rFonts w:ascii="Book Antiqua" w:eastAsiaTheme="minorEastAsia" w:hAnsi="Book Antiqua" w:cstheme="minorBidi"/>
          <w:b/>
          <w:bCs/>
          <w:i/>
          <w:lang w:eastAsia="zh-CN" w:bidi="ar-SA"/>
        </w:rPr>
      </w:pPr>
      <w:r w:rsidRPr="009100DE">
        <w:rPr>
          <w:rFonts w:ascii="Book Antiqua" w:eastAsiaTheme="minorEastAsia" w:hAnsi="Book Antiqua" w:cstheme="minorBidi"/>
          <w:b/>
          <w:bCs/>
          <w:i/>
          <w:lang w:bidi="ar-SA"/>
        </w:rPr>
        <w:t>Patient 1</w:t>
      </w:r>
    </w:p>
    <w:p w14:paraId="6DCB8C38" w14:textId="2D14A7C3" w:rsidR="00D94587" w:rsidRPr="00AE154B" w:rsidRDefault="00D94587"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lang w:bidi="ar-SA"/>
        </w:rPr>
        <w:t xml:space="preserve">Enzyme replacement therapy (ERT) by imiglucerase initiating when the patient was 19 </w:t>
      </w:r>
      <w:r w:rsidRPr="00AE154B">
        <w:rPr>
          <w:rFonts w:ascii="Book Antiqua" w:eastAsiaTheme="minorEastAsia" w:hAnsi="Book Antiqua" w:cstheme="minorBidi"/>
          <w:lang w:bidi="ar-SA"/>
        </w:rPr>
        <w:lastRenderedPageBreak/>
        <w:t>years old (30 IU/kg</w:t>
      </w:r>
      <w:r w:rsidR="009100DE">
        <w:rPr>
          <w:rFonts w:ascii="Book Antiqua" w:eastAsiaTheme="minorEastAsia" w:hAnsi="Book Antiqua" w:cstheme="minorBidi" w:hint="eastAsia"/>
          <w:lang w:eastAsia="zh-CN" w:bidi="ar-SA"/>
        </w:rPr>
        <w:t xml:space="preserve"> </w:t>
      </w:r>
      <w:r w:rsidRPr="00AE154B">
        <w:rPr>
          <w:rFonts w:ascii="Book Antiqua" w:eastAsiaTheme="minorEastAsia" w:hAnsi="Book Antiqua" w:cstheme="minorBidi"/>
          <w:lang w:bidi="ar-SA"/>
        </w:rPr>
        <w:t>once, bi-weekly).</w:t>
      </w:r>
    </w:p>
    <w:p w14:paraId="7C6D9C4A"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62DD0A2C" w14:textId="77777777" w:rsidR="009100DE" w:rsidRPr="009100DE" w:rsidRDefault="009100DE" w:rsidP="00AE154B">
      <w:pPr>
        <w:pStyle w:val="BodyText"/>
        <w:spacing w:line="360" w:lineRule="auto"/>
        <w:ind w:right="-35"/>
        <w:rPr>
          <w:rFonts w:ascii="Book Antiqua" w:eastAsiaTheme="minorEastAsia" w:hAnsi="Book Antiqua" w:cstheme="minorBidi"/>
          <w:b/>
          <w:i/>
          <w:lang w:eastAsia="zh-CN" w:bidi="ar-SA"/>
        </w:rPr>
      </w:pPr>
      <w:r w:rsidRPr="009100DE">
        <w:rPr>
          <w:rFonts w:ascii="Book Antiqua" w:eastAsiaTheme="minorEastAsia" w:hAnsi="Book Antiqua" w:cstheme="minorBidi"/>
          <w:b/>
          <w:i/>
          <w:lang w:bidi="ar-SA"/>
        </w:rPr>
        <w:t>Patient 2</w:t>
      </w:r>
    </w:p>
    <w:p w14:paraId="4F92FF9B" w14:textId="54DC2FC5" w:rsidR="00F82699" w:rsidRPr="00AE154B" w:rsidRDefault="00F82699"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lang w:bidi="ar-SA"/>
        </w:rPr>
        <w:t>ERT was recommended, but was only initiated after three years due to financial difficulties.</w:t>
      </w:r>
    </w:p>
    <w:p w14:paraId="1411AC4F"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1512BF73" w14:textId="77777777" w:rsidR="009100DE" w:rsidRPr="009100DE" w:rsidRDefault="009100DE" w:rsidP="00AE154B">
      <w:pPr>
        <w:pStyle w:val="BodyText"/>
        <w:spacing w:line="360" w:lineRule="auto"/>
        <w:ind w:right="-35"/>
        <w:rPr>
          <w:rFonts w:ascii="Book Antiqua" w:eastAsiaTheme="minorEastAsia" w:hAnsi="Book Antiqua" w:cstheme="minorBidi"/>
          <w:b/>
          <w:i/>
          <w:lang w:eastAsia="zh-CN" w:bidi="ar-SA"/>
        </w:rPr>
      </w:pPr>
      <w:r w:rsidRPr="009100DE">
        <w:rPr>
          <w:rFonts w:ascii="Book Antiqua" w:eastAsiaTheme="minorEastAsia" w:hAnsi="Book Antiqua" w:cstheme="minorBidi"/>
          <w:b/>
          <w:i/>
          <w:lang w:bidi="ar-SA"/>
        </w:rPr>
        <w:t>Patient 3</w:t>
      </w:r>
    </w:p>
    <w:p w14:paraId="776385D6" w14:textId="0B476178" w:rsidR="00F82699" w:rsidRPr="00AE154B" w:rsidRDefault="00F82699"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lang w:bidi="ar-SA"/>
        </w:rPr>
        <w:t>Eliglustat treatment was started at 55 years of age. However, owing to financial difficulties, was discontinued. At the age of 57, ERT by imiglucerase was initiated.</w:t>
      </w:r>
    </w:p>
    <w:p w14:paraId="050C1C0F"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0112C510" w14:textId="77777777" w:rsidR="009100DE" w:rsidRPr="009100DE" w:rsidRDefault="009100DE" w:rsidP="00AE154B">
      <w:pPr>
        <w:pStyle w:val="BodyText"/>
        <w:spacing w:line="360" w:lineRule="auto"/>
        <w:ind w:right="-35"/>
        <w:rPr>
          <w:rFonts w:ascii="Book Antiqua" w:eastAsiaTheme="minorEastAsia" w:hAnsi="Book Antiqua" w:cstheme="minorBidi"/>
          <w:b/>
          <w:i/>
          <w:lang w:eastAsia="zh-CN" w:bidi="ar-SA"/>
        </w:rPr>
      </w:pPr>
      <w:r w:rsidRPr="009100DE">
        <w:rPr>
          <w:rFonts w:ascii="Book Antiqua" w:eastAsiaTheme="minorEastAsia" w:hAnsi="Book Antiqua" w:cstheme="minorBidi"/>
          <w:b/>
          <w:i/>
          <w:lang w:bidi="ar-SA"/>
        </w:rPr>
        <w:t>Patient 4</w:t>
      </w:r>
    </w:p>
    <w:p w14:paraId="7E939713" w14:textId="481EA9D7" w:rsidR="00F82699" w:rsidRPr="00AE154B" w:rsidRDefault="00F82699"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lang w:bidi="ar-SA"/>
        </w:rPr>
        <w:t>ERT with imiglucerase was started at the age of 17. The current dose is 40 IU/kg (once, bi-weekly).</w:t>
      </w:r>
    </w:p>
    <w:p w14:paraId="3C9D1842"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75506806" w14:textId="77777777" w:rsidR="009100DE" w:rsidRPr="009100DE" w:rsidRDefault="009100DE" w:rsidP="00AE154B">
      <w:pPr>
        <w:pStyle w:val="BodyText"/>
        <w:spacing w:line="360" w:lineRule="auto"/>
        <w:ind w:right="-35"/>
        <w:rPr>
          <w:rFonts w:ascii="Book Antiqua" w:eastAsiaTheme="minorEastAsia" w:hAnsi="Book Antiqua" w:cstheme="minorBidi"/>
          <w:b/>
          <w:i/>
          <w:lang w:eastAsia="zh-CN" w:bidi="ar-SA"/>
        </w:rPr>
      </w:pPr>
      <w:r w:rsidRPr="009100DE">
        <w:rPr>
          <w:rFonts w:ascii="Book Antiqua" w:eastAsiaTheme="minorEastAsia" w:hAnsi="Book Antiqua" w:cstheme="minorBidi"/>
          <w:b/>
          <w:i/>
          <w:lang w:bidi="ar-SA"/>
        </w:rPr>
        <w:t>Patient 5</w:t>
      </w:r>
    </w:p>
    <w:p w14:paraId="6F927682" w14:textId="28B39881" w:rsidR="00584BB4" w:rsidRPr="00AE154B" w:rsidRDefault="00584BB4"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lang w:bidi="ar-SA"/>
        </w:rPr>
        <w:t>ERT with imiglucerase was initiated four months after the diagnosis. The current dose is 40 IU/kg (once, bi</w:t>
      </w:r>
      <w:r w:rsidR="00442D49" w:rsidRPr="00AE154B">
        <w:rPr>
          <w:rFonts w:ascii="Book Antiqua" w:eastAsiaTheme="minorEastAsia" w:hAnsi="Book Antiqua" w:cstheme="minorBidi"/>
          <w:lang w:bidi="ar-SA"/>
        </w:rPr>
        <w:t>-</w:t>
      </w:r>
      <w:r w:rsidRPr="00AE154B">
        <w:rPr>
          <w:rFonts w:ascii="Book Antiqua" w:eastAsiaTheme="minorEastAsia" w:hAnsi="Book Antiqua" w:cstheme="minorBidi"/>
          <w:lang w:bidi="ar-SA"/>
        </w:rPr>
        <w:t xml:space="preserve">weekly). </w:t>
      </w:r>
    </w:p>
    <w:p w14:paraId="6B78E653" w14:textId="77777777" w:rsidR="004A4736" w:rsidRPr="00AE154B" w:rsidRDefault="004A4736" w:rsidP="00AE154B">
      <w:pPr>
        <w:pStyle w:val="BodyText"/>
        <w:spacing w:line="360" w:lineRule="auto"/>
        <w:ind w:right="-35"/>
        <w:rPr>
          <w:rFonts w:ascii="Book Antiqua" w:eastAsiaTheme="minorEastAsia" w:hAnsi="Book Antiqua" w:cstheme="minorBidi"/>
          <w:lang w:bidi="ar-SA"/>
        </w:rPr>
      </w:pPr>
    </w:p>
    <w:p w14:paraId="34CF3768" w14:textId="458E0410" w:rsidR="00D94587" w:rsidRPr="00AE154B" w:rsidRDefault="00D94587" w:rsidP="00AE154B">
      <w:pPr>
        <w:pStyle w:val="BodyText"/>
        <w:spacing w:line="360" w:lineRule="auto"/>
        <w:ind w:right="-35"/>
        <w:rPr>
          <w:rFonts w:ascii="Book Antiqua" w:eastAsiaTheme="minorEastAsia" w:hAnsi="Book Antiqua" w:cstheme="minorBidi"/>
          <w:b/>
          <w:lang w:bidi="ar-SA"/>
        </w:rPr>
      </w:pPr>
      <w:r w:rsidRPr="00AE154B">
        <w:rPr>
          <w:rFonts w:ascii="Book Antiqua" w:eastAsiaTheme="minorEastAsia" w:hAnsi="Book Antiqua" w:cstheme="minorBidi"/>
          <w:b/>
          <w:lang w:bidi="ar-SA"/>
        </w:rPr>
        <w:t>OUTCOME AND FOLLOW-UP</w:t>
      </w:r>
    </w:p>
    <w:p w14:paraId="64B81016" w14:textId="77777777" w:rsidR="009100DE" w:rsidRPr="009100DE" w:rsidRDefault="009100DE" w:rsidP="00AE154B">
      <w:pPr>
        <w:pStyle w:val="BodyText"/>
        <w:spacing w:line="360" w:lineRule="auto"/>
        <w:ind w:right="-35"/>
        <w:rPr>
          <w:rFonts w:ascii="Book Antiqua" w:eastAsiaTheme="minorEastAsia" w:hAnsi="Book Antiqua" w:cstheme="minorBidi"/>
          <w:b/>
          <w:bCs/>
          <w:i/>
          <w:lang w:eastAsia="zh-CN" w:bidi="ar-SA"/>
        </w:rPr>
      </w:pPr>
      <w:r w:rsidRPr="009100DE">
        <w:rPr>
          <w:rFonts w:ascii="Book Antiqua" w:eastAsiaTheme="minorEastAsia" w:hAnsi="Book Antiqua" w:cstheme="minorBidi"/>
          <w:b/>
          <w:bCs/>
          <w:i/>
          <w:lang w:bidi="ar-SA"/>
        </w:rPr>
        <w:t>Patient 1</w:t>
      </w:r>
    </w:p>
    <w:p w14:paraId="0C8D5C63" w14:textId="044DFF80" w:rsidR="00D94587" w:rsidRPr="00AE154B" w:rsidRDefault="00D94587"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lang w:bidi="ar-SA"/>
        </w:rPr>
        <w:t>Treatment</w:t>
      </w:r>
      <w:r w:rsidR="0047179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was</w:t>
      </w:r>
      <w:r w:rsidR="0047179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noncompliant. Owing to financial difficulties, ERT was discontinued at the age of 38.</w:t>
      </w:r>
    </w:p>
    <w:p w14:paraId="71B86747"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760F3B31" w14:textId="77777777" w:rsidR="009100DE" w:rsidRPr="009100DE" w:rsidRDefault="009100DE" w:rsidP="00AE154B">
      <w:pPr>
        <w:pStyle w:val="BodyText"/>
        <w:spacing w:line="360" w:lineRule="auto"/>
        <w:ind w:right="-35"/>
        <w:rPr>
          <w:rFonts w:ascii="Book Antiqua" w:eastAsiaTheme="minorEastAsia" w:hAnsi="Book Antiqua" w:cstheme="minorBidi"/>
          <w:b/>
          <w:i/>
          <w:lang w:eastAsia="zh-CN" w:bidi="ar-SA"/>
        </w:rPr>
      </w:pPr>
      <w:r w:rsidRPr="009100DE">
        <w:rPr>
          <w:rFonts w:ascii="Book Antiqua" w:eastAsiaTheme="minorEastAsia" w:hAnsi="Book Antiqua" w:cstheme="minorBidi"/>
          <w:b/>
          <w:i/>
          <w:lang w:bidi="ar-SA"/>
        </w:rPr>
        <w:t>Patient 2</w:t>
      </w:r>
    </w:p>
    <w:p w14:paraId="574ED3E3" w14:textId="415EAE21" w:rsidR="00F82699" w:rsidRPr="00AE154B" w:rsidRDefault="00F82699"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lang w:bidi="ar-SA"/>
        </w:rPr>
        <w:t>The current dose administered is 40</w:t>
      </w:r>
      <w:r w:rsidR="00442D49"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IU/kg (once, bi-weekly).</w:t>
      </w:r>
    </w:p>
    <w:p w14:paraId="4A5EFDB0"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21EEFF5D" w14:textId="77777777" w:rsidR="009100DE" w:rsidRPr="009100DE" w:rsidRDefault="009100DE" w:rsidP="00AE154B">
      <w:pPr>
        <w:pStyle w:val="BodyText"/>
        <w:spacing w:line="360" w:lineRule="auto"/>
        <w:ind w:right="-35"/>
        <w:rPr>
          <w:rFonts w:ascii="Book Antiqua" w:eastAsiaTheme="minorEastAsia" w:hAnsi="Book Antiqua" w:cstheme="minorBidi"/>
          <w:b/>
          <w:i/>
          <w:lang w:eastAsia="zh-CN" w:bidi="ar-SA"/>
        </w:rPr>
      </w:pPr>
      <w:r w:rsidRPr="009100DE">
        <w:rPr>
          <w:rFonts w:ascii="Book Antiqua" w:eastAsiaTheme="minorEastAsia" w:hAnsi="Book Antiqua" w:cstheme="minorBidi"/>
          <w:b/>
          <w:i/>
          <w:lang w:bidi="ar-SA"/>
        </w:rPr>
        <w:t>Patient 3</w:t>
      </w:r>
    </w:p>
    <w:p w14:paraId="5FD59FF3" w14:textId="68C756F8" w:rsidR="00F82699" w:rsidRPr="00AE154B" w:rsidRDefault="00F82699"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lang w:bidi="ar-SA"/>
        </w:rPr>
        <w:t>The current dose is 40 IU/kg (once, bi-weekly).</w:t>
      </w:r>
    </w:p>
    <w:p w14:paraId="39371C2F"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0B0F7D2C" w14:textId="77777777" w:rsidR="009100DE" w:rsidRPr="009100DE" w:rsidRDefault="009100DE" w:rsidP="00AE154B">
      <w:pPr>
        <w:pStyle w:val="BodyText"/>
        <w:spacing w:line="360" w:lineRule="auto"/>
        <w:ind w:right="-35"/>
        <w:rPr>
          <w:rFonts w:ascii="Book Antiqua" w:eastAsiaTheme="minorEastAsia" w:hAnsi="Book Antiqua" w:cstheme="minorBidi"/>
          <w:b/>
          <w:i/>
          <w:lang w:eastAsia="zh-CN" w:bidi="ar-SA"/>
        </w:rPr>
      </w:pPr>
      <w:r w:rsidRPr="009100DE">
        <w:rPr>
          <w:rFonts w:ascii="Book Antiqua" w:eastAsiaTheme="minorEastAsia" w:hAnsi="Book Antiqua" w:cstheme="minorBidi"/>
          <w:b/>
          <w:i/>
          <w:lang w:bidi="ar-SA"/>
        </w:rPr>
        <w:t>Patient 4</w:t>
      </w:r>
    </w:p>
    <w:p w14:paraId="4698A4E7" w14:textId="6C41B73B" w:rsidR="00F82699" w:rsidRPr="00AE154B" w:rsidRDefault="00F82699"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lang w:bidi="ar-SA"/>
        </w:rPr>
        <w:t>His spleen diameter and hepatogram have since normalized in the treatment.</w:t>
      </w:r>
    </w:p>
    <w:p w14:paraId="12410959" w14:textId="77777777" w:rsidR="009100DE" w:rsidRDefault="009100DE" w:rsidP="00AE154B">
      <w:pPr>
        <w:pStyle w:val="BodyText"/>
        <w:spacing w:line="360" w:lineRule="auto"/>
        <w:ind w:right="-35"/>
        <w:rPr>
          <w:rFonts w:ascii="Book Antiqua" w:eastAsiaTheme="minorEastAsia" w:hAnsi="Book Antiqua" w:cstheme="minorBidi"/>
          <w:b/>
          <w:lang w:eastAsia="zh-CN" w:bidi="ar-SA"/>
        </w:rPr>
      </w:pPr>
    </w:p>
    <w:p w14:paraId="6EFEA9FC" w14:textId="77777777" w:rsidR="009100DE" w:rsidRPr="009100DE" w:rsidRDefault="009100DE" w:rsidP="00AE154B">
      <w:pPr>
        <w:pStyle w:val="BodyText"/>
        <w:spacing w:line="360" w:lineRule="auto"/>
        <w:ind w:right="-35"/>
        <w:rPr>
          <w:rFonts w:ascii="Book Antiqua" w:eastAsiaTheme="minorEastAsia" w:hAnsi="Book Antiqua" w:cstheme="minorBidi"/>
          <w:b/>
          <w:i/>
          <w:lang w:eastAsia="zh-CN" w:bidi="ar-SA"/>
        </w:rPr>
      </w:pPr>
      <w:r w:rsidRPr="009100DE">
        <w:rPr>
          <w:rFonts w:ascii="Book Antiqua" w:eastAsiaTheme="minorEastAsia" w:hAnsi="Book Antiqua" w:cstheme="minorBidi"/>
          <w:b/>
          <w:i/>
          <w:lang w:bidi="ar-SA"/>
        </w:rPr>
        <w:t>Patient 5</w:t>
      </w:r>
    </w:p>
    <w:p w14:paraId="3C84221D" w14:textId="3ACC24DB" w:rsidR="00584BB4" w:rsidRPr="00AE154B" w:rsidRDefault="00584BB4" w:rsidP="00AE154B">
      <w:pPr>
        <w:pStyle w:val="BodyText"/>
        <w:spacing w:line="360" w:lineRule="auto"/>
        <w:ind w:right="-35"/>
        <w:rPr>
          <w:rFonts w:ascii="Book Antiqua" w:eastAsiaTheme="minorEastAsia" w:hAnsi="Book Antiqua" w:cstheme="minorBidi"/>
          <w:lang w:bidi="ar-SA"/>
        </w:rPr>
      </w:pPr>
      <w:r w:rsidRPr="00AE154B">
        <w:rPr>
          <w:rFonts w:ascii="Book Antiqua" w:eastAsiaTheme="minorEastAsia" w:hAnsi="Book Antiqua" w:cstheme="minorBidi"/>
          <w:lang w:bidi="ar-SA"/>
        </w:rPr>
        <w:lastRenderedPageBreak/>
        <w:t>Spleen and liver diameters as well as her hepatogram have since normalized.</w:t>
      </w:r>
    </w:p>
    <w:p w14:paraId="6BC1EFFF" w14:textId="77777777" w:rsidR="00AE2119" w:rsidRPr="00AE154B" w:rsidRDefault="00AE2119" w:rsidP="00AE154B">
      <w:pPr>
        <w:pStyle w:val="Heading1"/>
        <w:spacing w:before="0" w:line="360" w:lineRule="auto"/>
        <w:ind w:left="0" w:right="390"/>
        <w:jc w:val="both"/>
        <w:rPr>
          <w:rFonts w:ascii="Book Antiqua" w:eastAsiaTheme="minorEastAsia" w:hAnsi="Book Antiqua" w:cstheme="minorBidi"/>
          <w:b w:val="0"/>
          <w:bCs w:val="0"/>
          <w:lang w:bidi="ar-SA"/>
        </w:rPr>
      </w:pPr>
    </w:p>
    <w:p w14:paraId="0A20F22A" w14:textId="77777777" w:rsidR="00E421F7" w:rsidRPr="00AE154B" w:rsidRDefault="006D6F04" w:rsidP="00AE154B">
      <w:pPr>
        <w:pStyle w:val="Heading1"/>
        <w:spacing w:before="0" w:line="360" w:lineRule="auto"/>
        <w:ind w:left="0" w:right="390"/>
        <w:jc w:val="both"/>
        <w:rPr>
          <w:rFonts w:ascii="Book Antiqua" w:eastAsiaTheme="minorEastAsia" w:hAnsi="Book Antiqua" w:cstheme="minorBidi"/>
          <w:bCs w:val="0"/>
          <w:lang w:bidi="ar-SA"/>
        </w:rPr>
      </w:pPr>
      <w:r w:rsidRPr="00AE154B">
        <w:rPr>
          <w:rFonts w:ascii="Book Antiqua" w:eastAsiaTheme="minorEastAsia" w:hAnsi="Book Antiqua" w:cstheme="minorBidi"/>
          <w:bCs w:val="0"/>
          <w:lang w:bidi="ar-SA"/>
        </w:rPr>
        <w:t>DISCUSSION</w:t>
      </w:r>
    </w:p>
    <w:p w14:paraId="2CF6F7B8" w14:textId="32F54709" w:rsidR="00E421F7" w:rsidRPr="00AE154B" w:rsidRDefault="00E421F7" w:rsidP="00AE154B">
      <w:pPr>
        <w:pStyle w:val="BodyText"/>
        <w:spacing w:line="360" w:lineRule="auto"/>
        <w:ind w:right="390"/>
        <w:rPr>
          <w:rFonts w:ascii="Book Antiqua" w:eastAsiaTheme="minorEastAsia" w:hAnsi="Book Antiqua" w:cstheme="minorBidi"/>
          <w:lang w:bidi="ar-SA"/>
        </w:rPr>
      </w:pPr>
      <w:r w:rsidRPr="00AE154B">
        <w:rPr>
          <w:rFonts w:ascii="Book Antiqua" w:eastAsiaTheme="minorEastAsia" w:hAnsi="Book Antiqua" w:cstheme="minorBidi"/>
          <w:lang w:bidi="ar-SA"/>
        </w:rPr>
        <w:t>Concerning the cases covered in this report, whereas type 2 and 3 affect only 5% of patients, GD1 is the most common GD type</w:t>
      </w:r>
      <w:r w:rsidRPr="00AE154B">
        <w:rPr>
          <w:rFonts w:ascii="Book Antiqua" w:eastAsiaTheme="minorEastAsia" w:hAnsi="Book Antiqua" w:cstheme="minorBidi"/>
          <w:vertAlign w:val="superscript"/>
          <w:lang w:bidi="ar-SA"/>
        </w:rPr>
        <w:t>[10]</w:t>
      </w:r>
      <w:r w:rsidRPr="00AE154B">
        <w:rPr>
          <w:rFonts w:ascii="Book Antiqua" w:eastAsiaTheme="minorEastAsia" w:hAnsi="Book Antiqua" w:cstheme="minorBidi"/>
          <w:lang w:bidi="ar-SA"/>
        </w:rPr>
        <w:t>. It has been estimated that 66% of GD1 patients are diagnosed before the age of 20</w:t>
      </w:r>
      <w:r w:rsidRPr="00AE154B">
        <w:rPr>
          <w:rFonts w:ascii="Book Antiqua" w:eastAsiaTheme="minorEastAsia" w:hAnsi="Book Antiqua" w:cstheme="minorBidi"/>
          <w:vertAlign w:val="superscript"/>
          <w:lang w:bidi="ar-SA"/>
        </w:rPr>
        <w:t>[11]</w:t>
      </w:r>
      <w:r w:rsidRPr="00AE154B">
        <w:rPr>
          <w:rFonts w:ascii="Book Antiqua" w:eastAsiaTheme="minorEastAsia" w:hAnsi="Book Antiqua" w:cstheme="minorBidi"/>
          <w:lang w:bidi="ar-SA"/>
        </w:rPr>
        <w:t xml:space="preserve">, but the age at diagnosis for these Montenegrin patients ranges from 7 to 40. Diagnosis thereof has been confirmed based on low leucocyte-acid beta-glucosidase activity and </w:t>
      </w:r>
      <w:r w:rsidRPr="00AE154B">
        <w:rPr>
          <w:rFonts w:ascii="Book Antiqua" w:eastAsiaTheme="minorEastAsia" w:hAnsi="Book Antiqua" w:cstheme="minorBidi"/>
          <w:i/>
          <w:lang w:bidi="ar-SA"/>
        </w:rPr>
        <w:t>GBA</w:t>
      </w:r>
      <w:r w:rsidRPr="00AE154B">
        <w:rPr>
          <w:rFonts w:ascii="Book Antiqua" w:eastAsiaTheme="minorEastAsia" w:hAnsi="Book Antiqua" w:cstheme="minorBidi"/>
          <w:lang w:bidi="ar-SA"/>
        </w:rPr>
        <w:t xml:space="preserve"> gene mutation. The </w:t>
      </w:r>
      <w:r w:rsidRPr="00AE154B">
        <w:rPr>
          <w:rFonts w:ascii="Book Antiqua" w:eastAsiaTheme="minorEastAsia" w:hAnsi="Book Antiqua" w:cstheme="minorBidi"/>
          <w:i/>
          <w:lang w:bidi="ar-SA"/>
        </w:rPr>
        <w:t>GBA</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gene is located on chromosome 1q21. Containing 11 exons and 10 introns and covering 7.6 kilobases of sequence, a highly homologous pseudogene is located 16 kb downstream where nearly 300 mutations and polymorphisms in GBA have been identified</w:t>
      </w:r>
      <w:r w:rsidRPr="00AE154B">
        <w:rPr>
          <w:rFonts w:ascii="Book Antiqua" w:eastAsiaTheme="minorEastAsia" w:hAnsi="Book Antiqua" w:cstheme="minorBidi"/>
          <w:vertAlign w:val="superscript"/>
          <w:lang w:bidi="ar-SA"/>
        </w:rPr>
        <w:t>[12]</w:t>
      </w:r>
      <w:r w:rsidRPr="00AE154B">
        <w:rPr>
          <w:rFonts w:ascii="Book Antiqua" w:eastAsiaTheme="minorEastAsia" w:hAnsi="Book Antiqua" w:cstheme="minorBidi"/>
          <w:lang w:bidi="ar-SA"/>
        </w:rPr>
        <w:t>. Mutations in saposin C, the β-GBA activator gene, have been reported in cases of GD</w:t>
      </w:r>
      <w:r w:rsidRPr="00AE154B">
        <w:rPr>
          <w:rFonts w:ascii="Book Antiqua" w:eastAsiaTheme="minorEastAsia" w:hAnsi="Book Antiqua" w:cstheme="minorBidi"/>
          <w:vertAlign w:val="superscript"/>
          <w:lang w:bidi="ar-SA"/>
        </w:rPr>
        <w:t>[13]</w:t>
      </w:r>
      <w:r w:rsidRPr="00AE154B">
        <w:rPr>
          <w:rFonts w:ascii="Book Antiqua" w:eastAsiaTheme="minorEastAsia" w:hAnsi="Book Antiqua" w:cstheme="minorBidi"/>
          <w:lang w:bidi="ar-SA"/>
        </w:rPr>
        <w:t xml:space="preserve"> (Table</w:t>
      </w:r>
      <w:r w:rsidR="00442D49"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1.)</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The</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most</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distinct</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hallmark</w:t>
      </w:r>
      <w:r w:rsidR="003C6A5E" w:rsidRPr="00AE154B">
        <w:rPr>
          <w:rFonts w:ascii="Book Antiqua" w:eastAsiaTheme="minorEastAsia" w:hAnsi="Book Antiqua" w:cstheme="minorBidi"/>
          <w:lang w:bidi="ar-SA"/>
        </w:rPr>
        <w:t xml:space="preserve"> i</w:t>
      </w:r>
      <w:r w:rsidRPr="00AE154B">
        <w:rPr>
          <w:rFonts w:ascii="Book Antiqua" w:eastAsiaTheme="minorEastAsia" w:hAnsi="Book Antiqua" w:cstheme="minorBidi"/>
          <w:lang w:bidi="ar-SA"/>
        </w:rPr>
        <w:t>s</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the</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presence</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of</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Gaucher</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cells</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(Figure</w:t>
      </w:r>
      <w:r w:rsidR="00442D49"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1)</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in</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the macrophage monocyte system</w:t>
      </w:r>
      <w:r w:rsidRPr="00AE154B">
        <w:rPr>
          <w:rFonts w:ascii="Book Antiqua" w:eastAsiaTheme="minorEastAsia" w:hAnsi="Book Antiqua" w:cstheme="minorBidi"/>
          <w:vertAlign w:val="superscript"/>
          <w:lang w:bidi="ar-SA"/>
        </w:rPr>
        <w:t>[14]</w:t>
      </w:r>
      <w:r w:rsidRPr="00AE154B">
        <w:rPr>
          <w:rFonts w:ascii="Book Antiqua" w:eastAsiaTheme="minorEastAsia" w:hAnsi="Book Antiqua" w:cstheme="minorBidi"/>
          <w:lang w:bidi="ar-SA"/>
        </w:rPr>
        <w:t>, in bone marrow or in liver biopsy samples. Patients generally experience delays of one to twelve years in diagnosis after the first onset of symptoms. The most common mode of presentation here is the variable degree of splenomegaly and thrombocytopenia, thought her symptoms include bone pain, hepatomegaly, abdominal pain and fatigue. Hematologic manifestations of GD include anemia, thrombocytopenia and less frequent leucopenia</w:t>
      </w:r>
      <w:r w:rsidRPr="00AE154B">
        <w:rPr>
          <w:rFonts w:ascii="Book Antiqua" w:eastAsiaTheme="minorEastAsia" w:hAnsi="Book Antiqua" w:cstheme="minorBidi"/>
          <w:vertAlign w:val="superscript"/>
          <w:lang w:bidi="ar-SA"/>
        </w:rPr>
        <w:t>[15]</w:t>
      </w:r>
      <w:r w:rsidRPr="00AE154B">
        <w:rPr>
          <w:rFonts w:ascii="Book Antiqua" w:eastAsiaTheme="minorEastAsia" w:hAnsi="Book Antiqua" w:cstheme="minorBidi"/>
          <w:lang w:bidi="ar-SA"/>
        </w:rPr>
        <w:t>. One patient suffered from profuse bleeding due to thrombocytopenia.</w:t>
      </w:r>
      <w:r w:rsidR="00B5351F"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Hypersplenism, accompanied by</w:t>
      </w:r>
      <w:r w:rsidR="00BF692D">
        <w:rPr>
          <w:rFonts w:ascii="Book Antiqua" w:eastAsiaTheme="minorEastAsia" w:hAnsi="Book Antiqua" w:cstheme="minorBidi" w:hint="eastAsia"/>
          <w:lang w:eastAsia="zh-CN" w:bidi="ar-SA"/>
        </w:rPr>
        <w:t xml:space="preserve"> </w:t>
      </w:r>
      <w:r w:rsidRPr="00AE154B">
        <w:rPr>
          <w:rFonts w:ascii="Book Antiqua" w:eastAsiaTheme="minorEastAsia" w:hAnsi="Book Antiqua" w:cstheme="minorBidi"/>
          <w:lang w:bidi="ar-SA"/>
        </w:rPr>
        <w:t>an increased risk of infection, rupture and infracts are some of the possible splenomegaly complications</w:t>
      </w:r>
      <w:r w:rsidRPr="00AE154B">
        <w:rPr>
          <w:rFonts w:ascii="Book Antiqua" w:eastAsiaTheme="minorEastAsia" w:hAnsi="Book Antiqua" w:cstheme="minorBidi"/>
          <w:vertAlign w:val="superscript"/>
          <w:lang w:bidi="ar-SA"/>
        </w:rPr>
        <w:t>[7]</w:t>
      </w:r>
      <w:r w:rsidRPr="00AE154B">
        <w:rPr>
          <w:rFonts w:ascii="Book Antiqua" w:eastAsiaTheme="minorEastAsia" w:hAnsi="Book Antiqua" w:cstheme="minorBidi"/>
          <w:lang w:bidi="ar-SA"/>
        </w:rPr>
        <w:t>. Osteopenia is present in a majority of the patients under review here: 4/5. All patients show an asymptomatic Erlenmeyer-flask deformity of the distal femur. Unusual manifestations in GD1 noted are malignancy, Parkinsonism and pulmonary hypertension</w:t>
      </w:r>
      <w:r w:rsidRPr="00AE154B">
        <w:rPr>
          <w:rFonts w:ascii="Book Antiqua" w:eastAsiaTheme="minorEastAsia" w:hAnsi="Book Antiqua" w:cstheme="minorBidi"/>
          <w:vertAlign w:val="superscript"/>
          <w:lang w:bidi="ar-SA"/>
        </w:rPr>
        <w:t>[7,16]</w:t>
      </w:r>
      <w:r w:rsidRPr="00AE154B">
        <w:rPr>
          <w:rFonts w:ascii="Book Antiqua" w:eastAsiaTheme="minorEastAsia" w:hAnsi="Book Antiqua" w:cstheme="minorBidi"/>
          <w:lang w:bidi="ar-SA"/>
        </w:rPr>
        <w:t>. Parkinsonism in GD1 is believed to arise from synuclein aggregation within dopaminergic n</w:t>
      </w:r>
      <w:r w:rsidR="003C6A5E" w:rsidRPr="00AE154B">
        <w:rPr>
          <w:rFonts w:ascii="Book Antiqua" w:eastAsiaTheme="minorEastAsia" w:hAnsi="Book Antiqua" w:cstheme="minorBidi"/>
          <w:lang w:bidi="ar-SA"/>
        </w:rPr>
        <w:t xml:space="preserve">eurons that are induced either </w:t>
      </w:r>
      <w:r w:rsidRPr="00AE154B">
        <w:rPr>
          <w:rFonts w:ascii="Book Antiqua" w:eastAsiaTheme="minorEastAsia" w:hAnsi="Book Antiqua" w:cstheme="minorBidi"/>
          <w:lang w:bidi="ar-SA"/>
        </w:rPr>
        <w:t>by the gain of function mutations in GBA1 that lead to protein misfolding (N370S is such a mutation) or the accumulation of lipids</w:t>
      </w:r>
      <w:r w:rsidRPr="00AE154B">
        <w:rPr>
          <w:rFonts w:ascii="Book Antiqua" w:eastAsiaTheme="minorEastAsia" w:hAnsi="Book Antiqua" w:cstheme="minorBidi"/>
          <w:vertAlign w:val="superscript"/>
          <w:lang w:bidi="ar-SA"/>
        </w:rPr>
        <w:t>[16]</w:t>
      </w:r>
      <w:r w:rsidRPr="00AE154B">
        <w:rPr>
          <w:rFonts w:ascii="Book Antiqua" w:eastAsiaTheme="minorEastAsia" w:hAnsi="Book Antiqua" w:cstheme="minorBidi"/>
          <w:lang w:bidi="ar-SA"/>
        </w:rPr>
        <w:t>. Recent publications have established a link between GD and impaired host- defense against microbial infections, up-regulation of T-helper (Th)1 and Th2</w:t>
      </w:r>
      <w:r w:rsidR="00B5351F"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cytokines, the dysfunction of monocytes, as well as an increased risk for lymphoid malignancies (most strikingly, for multiplemyeloma)</w:t>
      </w:r>
      <w:r w:rsidRPr="00AE154B">
        <w:rPr>
          <w:rFonts w:ascii="Book Antiqua" w:eastAsiaTheme="minorEastAsia" w:hAnsi="Book Antiqua" w:cstheme="minorBidi"/>
          <w:vertAlign w:val="superscript"/>
          <w:lang w:bidi="ar-SA"/>
        </w:rPr>
        <w:t>[17]</w:t>
      </w:r>
      <w:r w:rsidRPr="00AE154B">
        <w:rPr>
          <w:rFonts w:ascii="Book Antiqua" w:eastAsiaTheme="minorEastAsia" w:hAnsi="Book Antiqua" w:cstheme="minorBidi"/>
          <w:lang w:bidi="ar-SA"/>
        </w:rPr>
        <w:t>.</w:t>
      </w:r>
    </w:p>
    <w:p w14:paraId="198A2C1B" w14:textId="18AF4957" w:rsidR="00E421F7" w:rsidRPr="00AE154B" w:rsidRDefault="00E421F7" w:rsidP="00AE154B">
      <w:pPr>
        <w:pStyle w:val="BodyText"/>
        <w:spacing w:line="360" w:lineRule="auto"/>
        <w:ind w:right="390" w:firstLineChars="100" w:firstLine="240"/>
        <w:rPr>
          <w:rFonts w:ascii="Book Antiqua" w:eastAsiaTheme="minorEastAsia" w:hAnsi="Book Antiqua" w:cstheme="minorBidi"/>
          <w:lang w:bidi="ar-SA"/>
        </w:rPr>
      </w:pPr>
      <w:r w:rsidRPr="00AE154B">
        <w:rPr>
          <w:rFonts w:ascii="Book Antiqua" w:eastAsiaTheme="minorEastAsia" w:hAnsi="Book Antiqua" w:cstheme="minorBidi"/>
          <w:lang w:bidi="ar-SA"/>
        </w:rPr>
        <w:lastRenderedPageBreak/>
        <w:t xml:space="preserve">In addition to the reduced acid beta-glucosidase activity and genotyping at the </w:t>
      </w:r>
      <w:r w:rsidRPr="00AE154B">
        <w:rPr>
          <w:rFonts w:ascii="Book Antiqua" w:eastAsiaTheme="minorEastAsia" w:hAnsi="Book Antiqua" w:cstheme="minorBidi"/>
          <w:i/>
          <w:lang w:bidi="ar-SA"/>
        </w:rPr>
        <w:t>GBA</w:t>
      </w:r>
      <w:r w:rsidRPr="00AE154B">
        <w:rPr>
          <w:rFonts w:ascii="Book Antiqua" w:eastAsiaTheme="minorEastAsia" w:hAnsi="Book Antiqua" w:cstheme="minorBidi"/>
          <w:lang w:bidi="ar-SA"/>
        </w:rPr>
        <w:t xml:space="preserve"> gene locus that may yield additional prognostic information, elev</w:t>
      </w:r>
      <w:r w:rsidR="003C6A5E" w:rsidRPr="00AE154B">
        <w:rPr>
          <w:rFonts w:ascii="Book Antiqua" w:eastAsiaTheme="minorEastAsia" w:hAnsi="Book Antiqua" w:cstheme="minorBidi"/>
          <w:lang w:bidi="ar-SA"/>
        </w:rPr>
        <w:t>ated plasma-</w:t>
      </w:r>
      <w:r w:rsidRPr="00AE154B">
        <w:rPr>
          <w:rFonts w:ascii="Book Antiqua" w:eastAsiaTheme="minorEastAsia" w:hAnsi="Book Antiqua" w:cstheme="minorBidi"/>
          <w:lang w:bidi="ar-SA"/>
        </w:rPr>
        <w:t>chitotriosidase activity can be found in GD</w:t>
      </w:r>
      <w:r w:rsidRPr="00AE154B">
        <w:rPr>
          <w:rFonts w:ascii="Book Antiqua" w:eastAsiaTheme="minorEastAsia" w:hAnsi="Book Antiqua" w:cstheme="minorBidi"/>
          <w:vertAlign w:val="superscript"/>
          <w:lang w:bidi="ar-SA"/>
        </w:rPr>
        <w:t>[18]</w:t>
      </w:r>
      <w:r w:rsidRPr="00AE154B">
        <w:rPr>
          <w:rFonts w:ascii="Book Antiqua" w:eastAsiaTheme="minorEastAsia" w:hAnsi="Book Antiqua" w:cstheme="minorBidi"/>
          <w:lang w:bidi="ar-SA"/>
        </w:rPr>
        <w:t>. Several markers are used in therapeutic monitoring: chitotriosidase, ferritin, ACE and acid phosphatase, but no prognostic marker can predict long-term complications of GD. All these markers also increase with disease</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progression</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as</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well</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as</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decrease</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under</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ERT</w:t>
      </w:r>
      <w:r w:rsidRPr="00AE154B">
        <w:rPr>
          <w:rFonts w:ascii="Book Antiqua" w:eastAsiaTheme="minorEastAsia" w:hAnsi="Book Antiqua" w:cstheme="minorBidi"/>
          <w:vertAlign w:val="superscript"/>
          <w:lang w:bidi="ar-SA"/>
        </w:rPr>
        <w:t>[19]</w:t>
      </w:r>
      <w:r w:rsidRPr="00AE154B">
        <w:rPr>
          <w:rFonts w:ascii="Book Antiqua" w:eastAsiaTheme="minorEastAsia" w:hAnsi="Book Antiqua" w:cstheme="minorBidi"/>
          <w:lang w:bidi="ar-SA"/>
        </w:rPr>
        <w:t>.</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The</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prognosis</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for</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type</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1</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or</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type3 GD patients receiving ERT is good, where in normal life expectancy is common. One study has estimated life expectancy at birth type 1 GD individuals to be 68 years, compared to 77 years in the general population</w:t>
      </w:r>
      <w:r w:rsidRPr="00AE154B">
        <w:rPr>
          <w:rFonts w:ascii="Book Antiqua" w:eastAsiaTheme="minorEastAsia" w:hAnsi="Book Antiqua" w:cstheme="minorBidi"/>
          <w:vertAlign w:val="superscript"/>
          <w:lang w:bidi="ar-SA"/>
        </w:rPr>
        <w:t>[2</w:t>
      </w:r>
      <w:r w:rsidR="00442D49" w:rsidRPr="00AE154B">
        <w:rPr>
          <w:rFonts w:ascii="Book Antiqua" w:eastAsiaTheme="minorEastAsia" w:hAnsi="Book Antiqua" w:cstheme="minorBidi"/>
          <w:vertAlign w:val="superscript"/>
          <w:lang w:bidi="ar-SA"/>
        </w:rPr>
        <w:t>0</w:t>
      </w:r>
      <w:r w:rsidRPr="00AE154B">
        <w:rPr>
          <w:rFonts w:ascii="Book Antiqua" w:eastAsiaTheme="minorEastAsia" w:hAnsi="Book Antiqua" w:cstheme="minorBidi"/>
          <w:vertAlign w:val="superscript"/>
          <w:lang w:bidi="ar-SA"/>
        </w:rPr>
        <w:t>]</w:t>
      </w:r>
      <w:r w:rsidRPr="00AE154B">
        <w:rPr>
          <w:rFonts w:ascii="Book Antiqua" w:eastAsiaTheme="minorEastAsia" w:hAnsi="Book Antiqua" w:cstheme="minorBidi"/>
          <w:lang w:bidi="ar-SA"/>
        </w:rPr>
        <w:t>. Type-2 GD patients usually die within the first years of life. Patients who have a splene</w:t>
      </w:r>
      <w:r w:rsidR="003C6A5E" w:rsidRPr="00AE154B">
        <w:rPr>
          <w:rFonts w:ascii="Book Antiqua" w:eastAsiaTheme="minorEastAsia" w:hAnsi="Book Antiqua" w:cstheme="minorBidi"/>
          <w:lang w:bidi="ar-SA"/>
        </w:rPr>
        <w:t xml:space="preserve">ctomy are at a higher mortality </w:t>
      </w:r>
      <w:r w:rsidRPr="00AE154B">
        <w:rPr>
          <w:rFonts w:ascii="Book Antiqua" w:eastAsiaTheme="minorEastAsia" w:hAnsi="Book Antiqua" w:cstheme="minorBidi"/>
          <w:lang w:bidi="ar-SA"/>
        </w:rPr>
        <w:t>risk</w:t>
      </w:r>
      <w:r w:rsidRPr="00AE154B">
        <w:rPr>
          <w:rFonts w:ascii="Book Antiqua" w:eastAsiaTheme="minorEastAsia" w:hAnsi="Book Antiqua" w:cstheme="minorBidi"/>
          <w:vertAlign w:val="superscript"/>
          <w:lang w:bidi="ar-SA"/>
        </w:rPr>
        <w:t>[2</w:t>
      </w:r>
      <w:r w:rsidR="00442D49" w:rsidRPr="00AE154B">
        <w:rPr>
          <w:rFonts w:ascii="Book Antiqua" w:eastAsiaTheme="minorEastAsia" w:hAnsi="Book Antiqua" w:cstheme="minorBidi"/>
          <w:vertAlign w:val="superscript"/>
          <w:lang w:bidi="ar-SA"/>
        </w:rPr>
        <w:t>1</w:t>
      </w:r>
      <w:r w:rsidRPr="00AE154B">
        <w:rPr>
          <w:rFonts w:ascii="Book Antiqua" w:eastAsiaTheme="minorEastAsia" w:hAnsi="Book Antiqua" w:cstheme="minorBidi"/>
          <w:vertAlign w:val="superscript"/>
          <w:lang w:bidi="ar-SA"/>
        </w:rPr>
        <w:t>]</w:t>
      </w:r>
      <w:r w:rsidRPr="00AE154B">
        <w:rPr>
          <w:rFonts w:ascii="Book Antiqua" w:eastAsiaTheme="minorEastAsia" w:hAnsi="Book Antiqua" w:cstheme="minorBidi"/>
          <w:lang w:bidi="ar-SA"/>
        </w:rPr>
        <w:t>,</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which</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may</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worsen</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skeletal</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and</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lung</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manifestations</w:t>
      </w:r>
      <w:r w:rsidRPr="00AE154B">
        <w:rPr>
          <w:rFonts w:ascii="Book Antiqua" w:eastAsiaTheme="minorEastAsia" w:hAnsi="Book Antiqua" w:cstheme="minorBidi"/>
          <w:vertAlign w:val="superscript"/>
          <w:lang w:bidi="ar-SA"/>
        </w:rPr>
        <w:t>[2</w:t>
      </w:r>
      <w:r w:rsidR="00442D49" w:rsidRPr="00AE154B">
        <w:rPr>
          <w:rFonts w:ascii="Book Antiqua" w:eastAsiaTheme="minorEastAsia" w:hAnsi="Book Antiqua" w:cstheme="minorBidi"/>
          <w:vertAlign w:val="superscript"/>
          <w:lang w:bidi="ar-SA"/>
        </w:rPr>
        <w:t>0</w:t>
      </w:r>
      <w:r w:rsidRPr="00AE154B">
        <w:rPr>
          <w:rFonts w:ascii="Book Antiqua" w:eastAsiaTheme="minorEastAsia" w:hAnsi="Book Antiqua" w:cstheme="minorBidi"/>
          <w:vertAlign w:val="superscript"/>
          <w:lang w:bidi="ar-SA"/>
        </w:rPr>
        <w:t>]</w:t>
      </w:r>
      <w:r w:rsidRPr="00AE154B">
        <w:rPr>
          <w:rFonts w:ascii="Book Antiqua" w:eastAsiaTheme="minorEastAsia" w:hAnsi="Book Antiqua" w:cstheme="minorBidi"/>
          <w:lang w:bidi="ar-SA"/>
        </w:rPr>
        <w:t>.</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In</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a</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clinical</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sense,</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GBA1 mutations</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might</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not</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prove</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to be a reli</w:t>
      </w:r>
      <w:r w:rsidR="003C6A5E" w:rsidRPr="00AE154B">
        <w:rPr>
          <w:rFonts w:ascii="Book Antiqua" w:eastAsiaTheme="minorEastAsia" w:hAnsi="Book Antiqua" w:cstheme="minorBidi"/>
          <w:lang w:bidi="ar-SA"/>
        </w:rPr>
        <w:t xml:space="preserve">able prognostic indicator </w:t>
      </w:r>
      <w:r w:rsidRPr="00AE154B">
        <w:rPr>
          <w:rFonts w:ascii="Book Antiqua" w:eastAsiaTheme="minorEastAsia" w:hAnsi="Book Antiqua" w:cstheme="minorBidi"/>
          <w:lang w:bidi="ar-SA"/>
        </w:rPr>
        <w:t>in Parkinson’s</w:t>
      </w:r>
      <w:r w:rsidR="00B5351F"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disease</w:t>
      </w:r>
      <w:r w:rsidRPr="00AE154B">
        <w:rPr>
          <w:rFonts w:ascii="Book Antiqua" w:eastAsiaTheme="minorEastAsia" w:hAnsi="Book Antiqua" w:cstheme="minorBidi"/>
          <w:vertAlign w:val="superscript"/>
          <w:lang w:bidi="ar-SA"/>
        </w:rPr>
        <w:t>[22]</w:t>
      </w:r>
      <w:r w:rsidRPr="00AE154B">
        <w:rPr>
          <w:rFonts w:ascii="Book Antiqua" w:eastAsiaTheme="minorEastAsia" w:hAnsi="Book Antiqua" w:cstheme="minorBidi"/>
          <w:lang w:bidi="ar-SA"/>
        </w:rPr>
        <w:t>.</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ERT is indicated for type 1 GD patients who also have anemia, thrombocytopenia, skeletal disease or visceromegaly</w:t>
      </w:r>
      <w:r w:rsidRPr="00AE154B">
        <w:rPr>
          <w:rFonts w:ascii="Book Antiqua" w:eastAsiaTheme="minorEastAsia" w:hAnsi="Book Antiqua" w:cstheme="minorBidi"/>
          <w:vertAlign w:val="superscript"/>
          <w:lang w:bidi="ar-SA"/>
        </w:rPr>
        <w:t>[12,23]</w:t>
      </w:r>
      <w:r w:rsidRPr="00AE154B">
        <w:rPr>
          <w:rFonts w:ascii="Book Antiqua" w:eastAsiaTheme="minorEastAsia" w:hAnsi="Book Antiqua" w:cstheme="minorBidi"/>
          <w:lang w:bidi="ar-SA"/>
        </w:rPr>
        <w:t>. An alternative oral approach is substrate synthesis inhibition therapy, based on inhibiting glucosylceramide synthesis</w:t>
      </w:r>
      <w:r w:rsidRPr="00AE154B">
        <w:rPr>
          <w:rFonts w:ascii="Book Antiqua" w:eastAsiaTheme="minorEastAsia" w:hAnsi="Book Antiqua" w:cstheme="minorBidi"/>
          <w:vertAlign w:val="superscript"/>
          <w:lang w:bidi="ar-SA"/>
        </w:rPr>
        <w:t>[12]</w:t>
      </w:r>
      <w:r w:rsidRPr="00AE154B">
        <w:rPr>
          <w:rFonts w:ascii="Book Antiqua" w:eastAsiaTheme="minorEastAsia" w:hAnsi="Book Antiqua" w:cstheme="minorBidi"/>
          <w:lang w:bidi="ar-SA"/>
        </w:rPr>
        <w:t>. When undergoing ERT, the hematological and visceral parameters indicate marked improvement; no significant progression in bone mineral density was found in these cases. The delay in initiating treatment for these cases under review stemmed</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from financial reasons not in the treatment</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itself.</w:t>
      </w:r>
    </w:p>
    <w:p w14:paraId="64CACE9D" w14:textId="60F6D34B" w:rsidR="00F75F3D" w:rsidRPr="00AE154B" w:rsidRDefault="00E421F7" w:rsidP="00AE154B">
      <w:pPr>
        <w:pStyle w:val="BodyText"/>
        <w:spacing w:line="360" w:lineRule="auto"/>
        <w:ind w:right="390" w:firstLineChars="100" w:firstLine="240"/>
        <w:rPr>
          <w:rFonts w:ascii="Book Antiqua" w:eastAsiaTheme="minorEastAsia" w:hAnsi="Book Antiqua" w:cstheme="minorBidi"/>
          <w:lang w:bidi="ar-SA"/>
        </w:rPr>
      </w:pPr>
      <w:r w:rsidRPr="00AE154B">
        <w:rPr>
          <w:rFonts w:ascii="Book Antiqua" w:eastAsiaTheme="minorEastAsia" w:hAnsi="Book Antiqua" w:cstheme="minorBidi"/>
          <w:lang w:bidi="ar-SA"/>
        </w:rPr>
        <w:t>In patients who are Ashkenazi Jews, the mutations N370S, 84GG, L444P and IVS2+1G account for over 90% of disease alleles</w:t>
      </w:r>
      <w:r w:rsidRPr="00AE154B">
        <w:rPr>
          <w:rFonts w:ascii="Book Antiqua" w:eastAsiaTheme="minorEastAsia" w:hAnsi="Book Antiqua" w:cstheme="minorBidi"/>
          <w:vertAlign w:val="superscript"/>
          <w:lang w:bidi="ar-SA"/>
        </w:rPr>
        <w:t>[24]</w:t>
      </w:r>
      <w:r w:rsidRPr="00AE154B">
        <w:rPr>
          <w:rFonts w:ascii="Book Antiqua" w:eastAsiaTheme="minorEastAsia" w:hAnsi="Book Antiqua" w:cstheme="minorBidi"/>
          <w:lang w:bidi="ar-SA"/>
        </w:rPr>
        <w:t>. The two mutations of N370S and L444P are common in Jewish and non-Jewish patients alike, but the latter exhibits a much wider range of genotype, in which homozygosis for L444P results in neuronopathic disease. The presence of a single mutant N370S allele, however, usually prevents neurological involvement</w:t>
      </w:r>
      <w:r w:rsidRPr="00AE154B">
        <w:rPr>
          <w:rFonts w:ascii="Book Antiqua" w:eastAsiaTheme="minorEastAsia" w:hAnsi="Book Antiqua" w:cstheme="minorBidi"/>
          <w:vertAlign w:val="superscript"/>
          <w:lang w:bidi="ar-SA"/>
        </w:rPr>
        <w:t>[12]</w:t>
      </w:r>
      <w:r w:rsidRPr="00AE154B">
        <w:rPr>
          <w:rFonts w:ascii="Book Antiqua" w:eastAsiaTheme="minorEastAsia" w:hAnsi="Book Antiqua" w:cstheme="minorBidi"/>
          <w:lang w:bidi="ar-SA"/>
        </w:rPr>
        <w:t>.</w:t>
      </w:r>
      <w:r w:rsidR="00442D49"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The most prevalent disease genotype worldwide across</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many</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ethnicities</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is</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L444P. In</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those</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of European</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descent, it</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is</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the</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N370S/L444P mutation</w:t>
      </w:r>
      <w:r w:rsidRPr="00AE154B">
        <w:rPr>
          <w:rFonts w:ascii="Book Antiqua" w:eastAsiaTheme="minorEastAsia" w:hAnsi="Book Antiqua" w:cstheme="minorBidi"/>
          <w:vertAlign w:val="superscript"/>
          <w:lang w:bidi="ar-SA"/>
        </w:rPr>
        <w:t>[16]</w:t>
      </w:r>
      <w:r w:rsidRPr="00AE154B">
        <w:rPr>
          <w:rFonts w:ascii="Book Antiqua" w:eastAsiaTheme="minorEastAsia" w:hAnsi="Book Antiqua" w:cstheme="minorBidi"/>
          <w:lang w:bidi="ar-SA"/>
        </w:rPr>
        <w:t>, which is often characterized by mild c</w:t>
      </w:r>
      <w:r w:rsidR="003C6A5E" w:rsidRPr="00AE154B">
        <w:rPr>
          <w:rFonts w:ascii="Book Antiqua" w:eastAsiaTheme="minorEastAsia" w:hAnsi="Book Antiqua" w:cstheme="minorBidi"/>
          <w:lang w:bidi="ar-SA"/>
        </w:rPr>
        <w:t>ytopenia and splenomegaly. Non-</w:t>
      </w:r>
      <w:r w:rsidRPr="00AE154B">
        <w:rPr>
          <w:rFonts w:ascii="Book Antiqua" w:eastAsiaTheme="minorEastAsia" w:hAnsi="Book Antiqua" w:cstheme="minorBidi"/>
          <w:lang w:bidi="ar-SA"/>
        </w:rPr>
        <w:t xml:space="preserve">Jewish GD individuals are mostly compound heterozygotes. Patients who are homozygous for the N370S variant suffer from a milder disease than those who are compound heterozygous. </w:t>
      </w:r>
      <w:r w:rsidRPr="00AE154B">
        <w:rPr>
          <w:rFonts w:ascii="Book Antiqua" w:eastAsiaTheme="minorEastAsia" w:hAnsi="Book Antiqua" w:cstheme="minorBidi"/>
          <w:i/>
          <w:lang w:bidi="ar-SA"/>
        </w:rPr>
        <w:t>GBA</w:t>
      </w:r>
      <w:r w:rsidRPr="00AE154B">
        <w:rPr>
          <w:rFonts w:ascii="Book Antiqua" w:eastAsiaTheme="minorEastAsia" w:hAnsi="Book Antiqua" w:cstheme="minorBidi"/>
          <w:lang w:bidi="ar-SA"/>
        </w:rPr>
        <w:t xml:space="preserve"> gene sequencing revealed homozygosity for the N370S </w:t>
      </w:r>
      <w:r w:rsidR="00B5351F" w:rsidRPr="00AE154B">
        <w:rPr>
          <w:rFonts w:ascii="Book Antiqua" w:eastAsiaTheme="minorEastAsia" w:hAnsi="Book Antiqua" w:cstheme="minorBidi"/>
          <w:lang w:bidi="ar-SA"/>
        </w:rPr>
        <w:t>mutation in</w:t>
      </w:r>
      <w:r w:rsidRPr="00AE154B">
        <w:rPr>
          <w:rFonts w:ascii="Book Antiqua" w:eastAsiaTheme="minorEastAsia" w:hAnsi="Book Antiqua" w:cstheme="minorBidi"/>
          <w:lang w:bidi="ar-SA"/>
        </w:rPr>
        <w:t xml:space="preserve"> 1 patient, while</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the</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genotypes</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of other</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patients</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were</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N370S/55bp</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 xml:space="preserve">deletion, </w:t>
      </w:r>
      <w:r w:rsidRPr="00AE154B">
        <w:rPr>
          <w:rFonts w:ascii="Book Antiqua" w:eastAsiaTheme="minorEastAsia" w:hAnsi="Book Antiqua" w:cstheme="minorBidi"/>
          <w:lang w:bidi="ar-SA"/>
        </w:rPr>
        <w:lastRenderedPageBreak/>
        <w:t>N370S/D409H</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(in</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2</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patients)</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and</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H255Q/N370S (1 patient).</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Genetic</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testing</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for</w:t>
      </w:r>
      <w:r w:rsidR="003C6A5E" w:rsidRPr="00AE154B">
        <w:rPr>
          <w:rFonts w:ascii="Book Antiqua" w:eastAsiaTheme="minorEastAsia" w:hAnsi="Book Antiqua" w:cstheme="minorBidi"/>
          <w:lang w:bidi="ar-SA"/>
        </w:rPr>
        <w:t xml:space="preserve"> </w:t>
      </w:r>
      <w:r w:rsidRPr="00AE154B">
        <w:rPr>
          <w:rFonts w:ascii="Book Antiqua" w:eastAsiaTheme="minorEastAsia" w:hAnsi="Book Antiqua" w:cstheme="minorBidi"/>
          <w:lang w:bidi="ar-SA"/>
        </w:rPr>
        <w:t>their progeny has also been planned.</w:t>
      </w:r>
    </w:p>
    <w:p w14:paraId="53654FD3" w14:textId="77777777" w:rsidR="00F75F3D" w:rsidRPr="00AE154B" w:rsidRDefault="00F75F3D" w:rsidP="00AE154B">
      <w:pPr>
        <w:pStyle w:val="BodyText"/>
        <w:spacing w:line="360" w:lineRule="auto"/>
        <w:ind w:right="390"/>
        <w:rPr>
          <w:rFonts w:ascii="Book Antiqua" w:eastAsiaTheme="minorEastAsia" w:hAnsi="Book Antiqua" w:cstheme="minorBidi"/>
          <w:lang w:bidi="ar-SA"/>
        </w:rPr>
      </w:pPr>
    </w:p>
    <w:p w14:paraId="70B435FB" w14:textId="77777777" w:rsidR="006D6F04" w:rsidRPr="00AE154B" w:rsidRDefault="006D6F04" w:rsidP="00AE154B">
      <w:pPr>
        <w:pStyle w:val="BodyText"/>
        <w:spacing w:line="360" w:lineRule="auto"/>
        <w:ind w:right="390"/>
        <w:rPr>
          <w:rFonts w:ascii="Book Antiqua" w:eastAsiaTheme="minorEastAsia" w:hAnsi="Book Antiqua" w:cstheme="minorBidi"/>
          <w:b/>
          <w:lang w:bidi="ar-SA"/>
        </w:rPr>
      </w:pPr>
      <w:r w:rsidRPr="00AE154B">
        <w:rPr>
          <w:rFonts w:ascii="Book Antiqua" w:eastAsiaTheme="minorEastAsia" w:hAnsi="Book Antiqua" w:cstheme="minorBidi"/>
          <w:b/>
          <w:lang w:bidi="ar-SA"/>
        </w:rPr>
        <w:t>CONCLUSION</w:t>
      </w:r>
    </w:p>
    <w:p w14:paraId="5A482130" w14:textId="1BC58A1B" w:rsidR="00D94587" w:rsidRDefault="006D6F04" w:rsidP="00BF692D">
      <w:pPr>
        <w:pStyle w:val="BodyText"/>
        <w:spacing w:line="360" w:lineRule="auto"/>
        <w:ind w:right="390"/>
        <w:rPr>
          <w:rFonts w:ascii="Book Antiqua" w:eastAsiaTheme="minorEastAsia" w:hAnsi="Book Antiqua" w:cstheme="minorBidi"/>
          <w:lang w:eastAsia="zh-CN" w:bidi="ar-SA"/>
        </w:rPr>
      </w:pPr>
      <w:r w:rsidRPr="00AE154B">
        <w:rPr>
          <w:rFonts w:ascii="Book Antiqua" w:eastAsiaTheme="minorEastAsia" w:hAnsi="Book Antiqua" w:cstheme="minorBidi"/>
          <w:lang w:bidi="ar-SA"/>
        </w:rPr>
        <w:t>This is the first report of GD from Montenegro. N370S was the most common mutation, occurring in all five patients. One patient was found to be homozygous while others were heterozygous. The phenotypes of GD type 1 encountered in Montenegro were severe; notwithstanding, they all responded well to ERT.</w:t>
      </w:r>
    </w:p>
    <w:p w14:paraId="044FE915" w14:textId="77777777" w:rsidR="00BF692D" w:rsidRPr="00AE154B" w:rsidRDefault="00BF692D" w:rsidP="00BF692D">
      <w:pPr>
        <w:pStyle w:val="BodyText"/>
        <w:spacing w:line="360" w:lineRule="auto"/>
        <w:ind w:right="390"/>
        <w:rPr>
          <w:rFonts w:ascii="Book Antiqua" w:hAnsi="Book Antiqua"/>
          <w:lang w:eastAsia="zh-CN"/>
        </w:rPr>
      </w:pPr>
    </w:p>
    <w:p w14:paraId="1C2E1E02" w14:textId="77777777" w:rsidR="006D6F04" w:rsidRPr="00AE154B" w:rsidRDefault="006D6F04" w:rsidP="00AE154B">
      <w:pPr>
        <w:pStyle w:val="Heading1"/>
        <w:spacing w:before="0" w:line="360" w:lineRule="auto"/>
        <w:ind w:left="0" w:right="390"/>
        <w:jc w:val="both"/>
        <w:rPr>
          <w:rFonts w:ascii="Book Antiqua" w:eastAsiaTheme="minorEastAsia" w:hAnsi="Book Antiqua" w:cstheme="minorBidi"/>
          <w:bCs w:val="0"/>
          <w:lang w:bidi="ar-SA"/>
        </w:rPr>
      </w:pPr>
      <w:r w:rsidRPr="00AE154B">
        <w:rPr>
          <w:rFonts w:ascii="Book Antiqua" w:eastAsiaTheme="minorEastAsia" w:hAnsi="Book Antiqua" w:cstheme="minorBidi"/>
          <w:bCs w:val="0"/>
          <w:lang w:bidi="ar-SA"/>
        </w:rPr>
        <w:t>REFERENCES</w:t>
      </w:r>
    </w:p>
    <w:p w14:paraId="6638E013"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1 </w:t>
      </w:r>
      <w:r w:rsidRPr="00AE154B">
        <w:rPr>
          <w:rFonts w:ascii="Book Antiqua" w:hAnsi="Book Antiqua"/>
          <w:b/>
          <w:sz w:val="24"/>
          <w:szCs w:val="24"/>
        </w:rPr>
        <w:t>Mistry PK</w:t>
      </w:r>
      <w:r w:rsidRPr="00AE154B">
        <w:rPr>
          <w:rFonts w:ascii="Book Antiqua" w:hAnsi="Book Antiqua"/>
          <w:sz w:val="24"/>
          <w:szCs w:val="24"/>
        </w:rPr>
        <w:t xml:space="preserve">, Liu J, Sun L, Chuang WL, Yuen T, Yang R, Lu P, Zhang K, Li J, Keutzer J, Stachnik A, Mennone A, Boyer JL, Jain D, Brady RO, New MI, Zaidi M. Glucocerebrosidase 2 gene deletion rescues type 1 Gaucher disease. </w:t>
      </w:r>
      <w:r w:rsidRPr="00AE154B">
        <w:rPr>
          <w:rFonts w:ascii="Book Antiqua" w:hAnsi="Book Antiqua"/>
          <w:i/>
          <w:sz w:val="24"/>
          <w:szCs w:val="24"/>
        </w:rPr>
        <w:t>Proc Natl Acad Sci U S A</w:t>
      </w:r>
      <w:r w:rsidRPr="00AE154B">
        <w:rPr>
          <w:rFonts w:ascii="Book Antiqua" w:hAnsi="Book Antiqua"/>
          <w:sz w:val="24"/>
          <w:szCs w:val="24"/>
        </w:rPr>
        <w:t xml:space="preserve"> 2014; </w:t>
      </w:r>
      <w:r w:rsidRPr="00AE154B">
        <w:rPr>
          <w:rFonts w:ascii="Book Antiqua" w:hAnsi="Book Antiqua"/>
          <w:b/>
          <w:sz w:val="24"/>
          <w:szCs w:val="24"/>
        </w:rPr>
        <w:t>111</w:t>
      </w:r>
      <w:r w:rsidRPr="00AE154B">
        <w:rPr>
          <w:rFonts w:ascii="Book Antiqua" w:hAnsi="Book Antiqua"/>
          <w:sz w:val="24"/>
          <w:szCs w:val="24"/>
        </w:rPr>
        <w:t>: 4934-4939 [PMID: 24639522 DOI: 10.1073/pnas.1400768111]</w:t>
      </w:r>
    </w:p>
    <w:p w14:paraId="2EF92D6B"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2 </w:t>
      </w:r>
      <w:r w:rsidRPr="00AE154B">
        <w:rPr>
          <w:rFonts w:ascii="Book Antiqua" w:hAnsi="Book Antiqua"/>
          <w:b/>
          <w:sz w:val="24"/>
          <w:szCs w:val="24"/>
        </w:rPr>
        <w:t>Meikle PJ</w:t>
      </w:r>
      <w:r w:rsidRPr="00AE154B">
        <w:rPr>
          <w:rFonts w:ascii="Book Antiqua" w:hAnsi="Book Antiqua"/>
          <w:sz w:val="24"/>
          <w:szCs w:val="24"/>
        </w:rPr>
        <w:t xml:space="preserve">, Hopwood JJ, Clague AE, Carey WF. Prevalence of lysosomal storage disorders. </w:t>
      </w:r>
      <w:r w:rsidRPr="00AE154B">
        <w:rPr>
          <w:rFonts w:ascii="Book Antiqua" w:hAnsi="Book Antiqua"/>
          <w:i/>
          <w:sz w:val="24"/>
          <w:szCs w:val="24"/>
        </w:rPr>
        <w:t>JAMA</w:t>
      </w:r>
      <w:r w:rsidRPr="00AE154B">
        <w:rPr>
          <w:rFonts w:ascii="Book Antiqua" w:hAnsi="Book Antiqua"/>
          <w:sz w:val="24"/>
          <w:szCs w:val="24"/>
        </w:rPr>
        <w:t xml:space="preserve"> 1999; </w:t>
      </w:r>
      <w:r w:rsidRPr="00AE154B">
        <w:rPr>
          <w:rFonts w:ascii="Book Antiqua" w:hAnsi="Book Antiqua"/>
          <w:b/>
          <w:sz w:val="24"/>
          <w:szCs w:val="24"/>
        </w:rPr>
        <w:t>281</w:t>
      </w:r>
      <w:r w:rsidRPr="00AE154B">
        <w:rPr>
          <w:rFonts w:ascii="Book Antiqua" w:hAnsi="Book Antiqua"/>
          <w:sz w:val="24"/>
          <w:szCs w:val="24"/>
        </w:rPr>
        <w:t>: 249-254 [PMID: 9918480 DOI: 10.1001/jama.281.3.249]</w:t>
      </w:r>
    </w:p>
    <w:p w14:paraId="285026A8"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3 </w:t>
      </w:r>
      <w:r w:rsidRPr="00AE154B">
        <w:rPr>
          <w:rFonts w:ascii="Book Antiqua" w:hAnsi="Book Antiqua"/>
          <w:b/>
          <w:sz w:val="24"/>
          <w:szCs w:val="24"/>
        </w:rPr>
        <w:t>Mistry PK</w:t>
      </w:r>
      <w:r w:rsidRPr="00AE154B">
        <w:rPr>
          <w:rFonts w:ascii="Book Antiqua" w:hAnsi="Book Antiqua"/>
          <w:sz w:val="24"/>
          <w:szCs w:val="24"/>
        </w:rPr>
        <w:t xml:space="preserve">, Liu J, Yang M, Nottoli T, McGrath J, Jain D, Zhang K, Keutzer J, Chuang WL, Mehal WZ, Zhao H, Lin A, Mane S, Liu X, Peng YZ, Li JH, Agrawal M, Zhu LL, Blair HC, Robinson LJ, Iqbal J, Sun L, Zaidi M. Glucocerebrosidase gene-deficient mouse recapitulates Gaucher disease displaying cellular and molecular dysregulation beyond the macrophage. </w:t>
      </w:r>
      <w:r w:rsidRPr="00AE154B">
        <w:rPr>
          <w:rFonts w:ascii="Book Antiqua" w:hAnsi="Book Antiqua"/>
          <w:i/>
          <w:sz w:val="24"/>
          <w:szCs w:val="24"/>
        </w:rPr>
        <w:t>Proc Natl Acad Sci U S A</w:t>
      </w:r>
      <w:r w:rsidRPr="00AE154B">
        <w:rPr>
          <w:rFonts w:ascii="Book Antiqua" w:hAnsi="Book Antiqua"/>
          <w:sz w:val="24"/>
          <w:szCs w:val="24"/>
        </w:rPr>
        <w:t xml:space="preserve"> 2010; </w:t>
      </w:r>
      <w:r w:rsidRPr="00AE154B">
        <w:rPr>
          <w:rFonts w:ascii="Book Antiqua" w:hAnsi="Book Antiqua"/>
          <w:b/>
          <w:sz w:val="24"/>
          <w:szCs w:val="24"/>
        </w:rPr>
        <w:t>107</w:t>
      </w:r>
      <w:r w:rsidRPr="00AE154B">
        <w:rPr>
          <w:rFonts w:ascii="Book Antiqua" w:hAnsi="Book Antiqua"/>
          <w:sz w:val="24"/>
          <w:szCs w:val="24"/>
        </w:rPr>
        <w:t>: 19473-19478 [PMID: 20962279 DOI: 10.1073/pnas.1003308107]</w:t>
      </w:r>
    </w:p>
    <w:p w14:paraId="25E7CB22"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4 </w:t>
      </w:r>
      <w:r w:rsidRPr="00AE154B">
        <w:rPr>
          <w:rFonts w:ascii="Book Antiqua" w:hAnsi="Book Antiqua"/>
          <w:b/>
          <w:sz w:val="24"/>
          <w:szCs w:val="24"/>
        </w:rPr>
        <w:t>Grabowski GA</w:t>
      </w:r>
      <w:r w:rsidRPr="00AE154B">
        <w:rPr>
          <w:rFonts w:ascii="Book Antiqua" w:hAnsi="Book Antiqua"/>
          <w:sz w:val="24"/>
          <w:szCs w:val="24"/>
        </w:rPr>
        <w:t xml:space="preserve">. Gaucher disease and other storage disorders. </w:t>
      </w:r>
      <w:r w:rsidRPr="00AE154B">
        <w:rPr>
          <w:rFonts w:ascii="Book Antiqua" w:hAnsi="Book Antiqua"/>
          <w:i/>
          <w:sz w:val="24"/>
          <w:szCs w:val="24"/>
        </w:rPr>
        <w:t>Hematology Am Soc Hematol Educ Program</w:t>
      </w:r>
      <w:r w:rsidRPr="00AE154B">
        <w:rPr>
          <w:rFonts w:ascii="Book Antiqua" w:hAnsi="Book Antiqua"/>
          <w:sz w:val="24"/>
          <w:szCs w:val="24"/>
        </w:rPr>
        <w:t xml:space="preserve"> 2012; </w:t>
      </w:r>
      <w:r w:rsidRPr="00AE154B">
        <w:rPr>
          <w:rFonts w:ascii="Book Antiqua" w:hAnsi="Book Antiqua"/>
          <w:b/>
          <w:sz w:val="24"/>
          <w:szCs w:val="24"/>
        </w:rPr>
        <w:t>2012</w:t>
      </w:r>
      <w:r w:rsidRPr="00AE154B">
        <w:rPr>
          <w:rFonts w:ascii="Book Antiqua" w:hAnsi="Book Antiqua"/>
          <w:sz w:val="24"/>
          <w:szCs w:val="24"/>
        </w:rPr>
        <w:t>: 13-18 [PMID: 23233555 DOI: 10.1182/asheducation-2012.1.13]</w:t>
      </w:r>
    </w:p>
    <w:p w14:paraId="4868917F"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5 </w:t>
      </w:r>
      <w:r w:rsidRPr="00AE154B">
        <w:rPr>
          <w:rFonts w:ascii="Book Antiqua" w:hAnsi="Book Antiqua"/>
          <w:b/>
          <w:sz w:val="24"/>
          <w:szCs w:val="24"/>
        </w:rPr>
        <w:t>Sidransky E</w:t>
      </w:r>
      <w:r w:rsidRPr="00AE154B">
        <w:rPr>
          <w:rFonts w:ascii="Book Antiqua" w:hAnsi="Book Antiqua"/>
          <w:sz w:val="24"/>
          <w:szCs w:val="24"/>
        </w:rPr>
        <w:t xml:space="preserve">. Gaucher disease: insights from a rare Mendelian disorder. </w:t>
      </w:r>
      <w:r w:rsidRPr="00AE154B">
        <w:rPr>
          <w:rFonts w:ascii="Book Antiqua" w:hAnsi="Book Antiqua"/>
          <w:i/>
          <w:sz w:val="24"/>
          <w:szCs w:val="24"/>
        </w:rPr>
        <w:t>Discov Med</w:t>
      </w:r>
      <w:r w:rsidRPr="00AE154B">
        <w:rPr>
          <w:rFonts w:ascii="Book Antiqua" w:hAnsi="Book Antiqua"/>
          <w:sz w:val="24"/>
          <w:szCs w:val="24"/>
        </w:rPr>
        <w:t xml:space="preserve"> 2012; </w:t>
      </w:r>
      <w:r w:rsidRPr="00AE154B">
        <w:rPr>
          <w:rFonts w:ascii="Book Antiqua" w:hAnsi="Book Antiqua"/>
          <w:b/>
          <w:sz w:val="24"/>
          <w:szCs w:val="24"/>
        </w:rPr>
        <w:t>14</w:t>
      </w:r>
      <w:r w:rsidRPr="00AE154B">
        <w:rPr>
          <w:rFonts w:ascii="Book Antiqua" w:hAnsi="Book Antiqua"/>
          <w:sz w:val="24"/>
          <w:szCs w:val="24"/>
        </w:rPr>
        <w:t>: 273-281 [PMID: 23114583]</w:t>
      </w:r>
    </w:p>
    <w:p w14:paraId="6EA28D2D"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6 </w:t>
      </w:r>
      <w:r w:rsidRPr="00AE154B">
        <w:rPr>
          <w:rFonts w:ascii="Book Antiqua" w:hAnsi="Book Antiqua"/>
          <w:b/>
          <w:sz w:val="24"/>
          <w:szCs w:val="24"/>
        </w:rPr>
        <w:t>Andersson HC</w:t>
      </w:r>
      <w:r w:rsidRPr="00AE154B">
        <w:rPr>
          <w:rFonts w:ascii="Book Antiqua" w:hAnsi="Book Antiqua"/>
          <w:sz w:val="24"/>
          <w:szCs w:val="24"/>
        </w:rPr>
        <w:t xml:space="preserve">, Charrow J, Kaplan P, Mistry P, Pastores GM, Prakash-Cheng A, Rosenbloom BE, Scott CR, Wappner RS, Weinreb NJ; International Collaborative Gaucher Group U.S. Regional Coordinators. Individualization of long-term enzyme replacement therapy for Gaucher disease. </w:t>
      </w:r>
      <w:r w:rsidRPr="00AE154B">
        <w:rPr>
          <w:rFonts w:ascii="Book Antiqua" w:hAnsi="Book Antiqua"/>
          <w:i/>
          <w:sz w:val="24"/>
          <w:szCs w:val="24"/>
        </w:rPr>
        <w:t>Genet Med</w:t>
      </w:r>
      <w:r w:rsidRPr="00AE154B">
        <w:rPr>
          <w:rFonts w:ascii="Book Antiqua" w:hAnsi="Book Antiqua"/>
          <w:sz w:val="24"/>
          <w:szCs w:val="24"/>
        </w:rPr>
        <w:t xml:space="preserve"> 2005; </w:t>
      </w:r>
      <w:r w:rsidRPr="00AE154B">
        <w:rPr>
          <w:rFonts w:ascii="Book Antiqua" w:hAnsi="Book Antiqua"/>
          <w:b/>
          <w:sz w:val="24"/>
          <w:szCs w:val="24"/>
        </w:rPr>
        <w:t>7</w:t>
      </w:r>
      <w:r w:rsidRPr="00AE154B">
        <w:rPr>
          <w:rFonts w:ascii="Book Antiqua" w:hAnsi="Book Antiqua"/>
          <w:sz w:val="24"/>
          <w:szCs w:val="24"/>
        </w:rPr>
        <w:t>: 105-110 [PMID: 15714077 DOI: 10.109701.GIM.0000153660.88672.3C]</w:t>
      </w:r>
    </w:p>
    <w:p w14:paraId="6D0EE198"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lastRenderedPageBreak/>
        <w:t xml:space="preserve">7 </w:t>
      </w:r>
      <w:r w:rsidRPr="00AE154B">
        <w:rPr>
          <w:rFonts w:ascii="Book Antiqua" w:hAnsi="Book Antiqua"/>
          <w:b/>
          <w:sz w:val="24"/>
          <w:szCs w:val="24"/>
        </w:rPr>
        <w:t>Essabar L</w:t>
      </w:r>
      <w:r w:rsidRPr="00AE154B">
        <w:rPr>
          <w:rFonts w:ascii="Book Antiqua" w:hAnsi="Book Antiqua"/>
          <w:sz w:val="24"/>
          <w:szCs w:val="24"/>
        </w:rPr>
        <w:t xml:space="preserve">, Meskini T, Lamalmi N, Ettair S, Erreimi N, Mouane N. Gaucher's disease: report of 11 cases with review of literature. </w:t>
      </w:r>
      <w:r w:rsidRPr="00AE154B">
        <w:rPr>
          <w:rFonts w:ascii="Book Antiqua" w:hAnsi="Book Antiqua"/>
          <w:i/>
          <w:sz w:val="24"/>
          <w:szCs w:val="24"/>
        </w:rPr>
        <w:t>Pan Afr Med J</w:t>
      </w:r>
      <w:r w:rsidRPr="00AE154B">
        <w:rPr>
          <w:rFonts w:ascii="Book Antiqua" w:hAnsi="Book Antiqua"/>
          <w:sz w:val="24"/>
          <w:szCs w:val="24"/>
        </w:rPr>
        <w:t xml:space="preserve"> 2015; </w:t>
      </w:r>
      <w:r w:rsidRPr="00AE154B">
        <w:rPr>
          <w:rFonts w:ascii="Book Antiqua" w:hAnsi="Book Antiqua"/>
          <w:b/>
          <w:sz w:val="24"/>
          <w:szCs w:val="24"/>
        </w:rPr>
        <w:t>20</w:t>
      </w:r>
      <w:r w:rsidRPr="00AE154B">
        <w:rPr>
          <w:rFonts w:ascii="Book Antiqua" w:hAnsi="Book Antiqua"/>
          <w:sz w:val="24"/>
          <w:szCs w:val="24"/>
        </w:rPr>
        <w:t>: 18 [PMID: 25995815 DOI: 10.11604/pamj.2015.20.18.4112]</w:t>
      </w:r>
    </w:p>
    <w:p w14:paraId="6EF173EF"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8 </w:t>
      </w:r>
      <w:r w:rsidRPr="00AE154B">
        <w:rPr>
          <w:rFonts w:ascii="Book Antiqua" w:hAnsi="Book Antiqua"/>
          <w:b/>
          <w:sz w:val="24"/>
          <w:szCs w:val="24"/>
        </w:rPr>
        <w:t>Laks Y</w:t>
      </w:r>
      <w:r w:rsidRPr="00AE154B">
        <w:rPr>
          <w:rFonts w:ascii="Book Antiqua" w:hAnsi="Book Antiqua"/>
          <w:sz w:val="24"/>
          <w:szCs w:val="24"/>
        </w:rPr>
        <w:t xml:space="preserve">, Passwell J. The varied clinical and laboratory manifestations of type II Gaucher's disease. </w:t>
      </w:r>
      <w:r w:rsidRPr="00AE154B">
        <w:rPr>
          <w:rFonts w:ascii="Book Antiqua" w:hAnsi="Book Antiqua"/>
          <w:i/>
          <w:sz w:val="24"/>
          <w:szCs w:val="24"/>
        </w:rPr>
        <w:t>Acta Paediatr Scand</w:t>
      </w:r>
      <w:r w:rsidRPr="00AE154B">
        <w:rPr>
          <w:rFonts w:ascii="Book Antiqua" w:hAnsi="Book Antiqua"/>
          <w:sz w:val="24"/>
          <w:szCs w:val="24"/>
        </w:rPr>
        <w:t xml:space="preserve"> 1987; </w:t>
      </w:r>
      <w:r w:rsidRPr="00AE154B">
        <w:rPr>
          <w:rFonts w:ascii="Book Antiqua" w:hAnsi="Book Antiqua"/>
          <w:b/>
          <w:sz w:val="24"/>
          <w:szCs w:val="24"/>
        </w:rPr>
        <w:t>76</w:t>
      </w:r>
      <w:r w:rsidRPr="00AE154B">
        <w:rPr>
          <w:rFonts w:ascii="Book Antiqua" w:hAnsi="Book Antiqua"/>
          <w:sz w:val="24"/>
          <w:szCs w:val="24"/>
        </w:rPr>
        <w:t>: 378-380 [PMID: 3035864]</w:t>
      </w:r>
    </w:p>
    <w:p w14:paraId="3FF9916F"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9 </w:t>
      </w:r>
      <w:r w:rsidRPr="00AE154B">
        <w:rPr>
          <w:rFonts w:ascii="Book Antiqua" w:hAnsi="Book Antiqua"/>
          <w:b/>
          <w:sz w:val="24"/>
          <w:szCs w:val="24"/>
        </w:rPr>
        <w:t>Dreborg S</w:t>
      </w:r>
      <w:r w:rsidRPr="00AE154B">
        <w:rPr>
          <w:rFonts w:ascii="Book Antiqua" w:hAnsi="Book Antiqua"/>
          <w:sz w:val="24"/>
          <w:szCs w:val="24"/>
        </w:rPr>
        <w:t xml:space="preserve">, Erikson A, Hagberg B. Gaucher disease--Norrbottnian type. I. General clinical description. </w:t>
      </w:r>
      <w:r w:rsidRPr="00AE154B">
        <w:rPr>
          <w:rFonts w:ascii="Book Antiqua" w:hAnsi="Book Antiqua"/>
          <w:i/>
          <w:sz w:val="24"/>
          <w:szCs w:val="24"/>
        </w:rPr>
        <w:t>Eur J Pediatr</w:t>
      </w:r>
      <w:r w:rsidRPr="00AE154B">
        <w:rPr>
          <w:rFonts w:ascii="Book Antiqua" w:hAnsi="Book Antiqua"/>
          <w:sz w:val="24"/>
          <w:szCs w:val="24"/>
        </w:rPr>
        <w:t xml:space="preserve"> 1980; </w:t>
      </w:r>
      <w:r w:rsidRPr="00AE154B">
        <w:rPr>
          <w:rFonts w:ascii="Book Antiqua" w:hAnsi="Book Antiqua"/>
          <w:b/>
          <w:sz w:val="24"/>
          <w:szCs w:val="24"/>
        </w:rPr>
        <w:t>133</w:t>
      </w:r>
      <w:r w:rsidRPr="00AE154B">
        <w:rPr>
          <w:rFonts w:ascii="Book Antiqua" w:hAnsi="Book Antiqua"/>
          <w:sz w:val="24"/>
          <w:szCs w:val="24"/>
        </w:rPr>
        <w:t>: 107-118 [PMID: 7363908 DOI: 10.1007/BF00441578]</w:t>
      </w:r>
    </w:p>
    <w:p w14:paraId="644D21AB"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10 </w:t>
      </w:r>
      <w:r w:rsidRPr="00AE154B">
        <w:rPr>
          <w:rFonts w:ascii="Book Antiqua" w:hAnsi="Book Antiqua"/>
          <w:b/>
          <w:sz w:val="24"/>
          <w:szCs w:val="24"/>
        </w:rPr>
        <w:t>Grabowski GA</w:t>
      </w:r>
      <w:r w:rsidRPr="00AE154B">
        <w:rPr>
          <w:rFonts w:ascii="Book Antiqua" w:hAnsi="Book Antiqua"/>
          <w:sz w:val="24"/>
          <w:szCs w:val="24"/>
        </w:rPr>
        <w:t xml:space="preserve">. Gaucher disease: lessons from a decade of therapy. </w:t>
      </w:r>
      <w:r w:rsidRPr="00AE154B">
        <w:rPr>
          <w:rFonts w:ascii="Book Antiqua" w:hAnsi="Book Antiqua"/>
          <w:i/>
          <w:sz w:val="24"/>
          <w:szCs w:val="24"/>
        </w:rPr>
        <w:t>J Pediatr</w:t>
      </w:r>
      <w:r w:rsidRPr="00AE154B">
        <w:rPr>
          <w:rFonts w:ascii="Book Antiqua" w:hAnsi="Book Antiqua"/>
          <w:sz w:val="24"/>
          <w:szCs w:val="24"/>
        </w:rPr>
        <w:t xml:space="preserve"> 2004; </w:t>
      </w:r>
      <w:r w:rsidRPr="00AE154B">
        <w:rPr>
          <w:rFonts w:ascii="Book Antiqua" w:hAnsi="Book Antiqua"/>
          <w:b/>
          <w:sz w:val="24"/>
          <w:szCs w:val="24"/>
        </w:rPr>
        <w:t>144</w:t>
      </w:r>
      <w:r w:rsidRPr="00AE154B">
        <w:rPr>
          <w:rFonts w:ascii="Book Antiqua" w:hAnsi="Book Antiqua"/>
          <w:sz w:val="24"/>
          <w:szCs w:val="24"/>
        </w:rPr>
        <w:t>: S15-S19 [PMID: 15126979 DOI: 10.1016/j.jpeds.2004.01.050]</w:t>
      </w:r>
    </w:p>
    <w:p w14:paraId="7E118EDC"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11 </w:t>
      </w:r>
      <w:r w:rsidRPr="00AE154B">
        <w:rPr>
          <w:rFonts w:ascii="Book Antiqua" w:hAnsi="Book Antiqua"/>
          <w:b/>
          <w:sz w:val="24"/>
          <w:szCs w:val="24"/>
        </w:rPr>
        <w:t>Grabowski GA</w:t>
      </w:r>
      <w:r w:rsidRPr="00AE154B">
        <w:rPr>
          <w:rFonts w:ascii="Book Antiqua" w:hAnsi="Book Antiqua"/>
          <w:sz w:val="24"/>
          <w:szCs w:val="24"/>
        </w:rPr>
        <w:t xml:space="preserve">, Andria G, Baldellou A, Campbell PE, Charrow J, Cohen IJ, Harris CM, Kaplan P, Mengel E, Pocovi M, Vellodi A. Pediatric non-neuronopathic Gaucher disease: presentation, diagnosis and assessment. Consensus statements. </w:t>
      </w:r>
      <w:r w:rsidRPr="00AE154B">
        <w:rPr>
          <w:rFonts w:ascii="Book Antiqua" w:hAnsi="Book Antiqua"/>
          <w:i/>
          <w:sz w:val="24"/>
          <w:szCs w:val="24"/>
        </w:rPr>
        <w:t>Eur J Pediatr</w:t>
      </w:r>
      <w:r w:rsidRPr="00AE154B">
        <w:rPr>
          <w:rFonts w:ascii="Book Antiqua" w:hAnsi="Book Antiqua"/>
          <w:sz w:val="24"/>
          <w:szCs w:val="24"/>
        </w:rPr>
        <w:t xml:space="preserve"> 2004; </w:t>
      </w:r>
      <w:r w:rsidRPr="00AE154B">
        <w:rPr>
          <w:rFonts w:ascii="Book Antiqua" w:hAnsi="Book Antiqua"/>
          <w:b/>
          <w:sz w:val="24"/>
          <w:szCs w:val="24"/>
        </w:rPr>
        <w:t>163</w:t>
      </w:r>
      <w:r w:rsidRPr="00AE154B">
        <w:rPr>
          <w:rFonts w:ascii="Book Antiqua" w:hAnsi="Book Antiqua"/>
          <w:sz w:val="24"/>
          <w:szCs w:val="24"/>
        </w:rPr>
        <w:t>: 58-66 [PMID: 14677061 DOI: 10.1007/s00431-003-1362-0]</w:t>
      </w:r>
    </w:p>
    <w:p w14:paraId="02A283CA"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12 </w:t>
      </w:r>
      <w:r w:rsidRPr="00AE154B">
        <w:rPr>
          <w:rFonts w:ascii="Book Antiqua" w:hAnsi="Book Antiqua"/>
          <w:b/>
          <w:sz w:val="24"/>
          <w:szCs w:val="24"/>
        </w:rPr>
        <w:t>Linari S</w:t>
      </w:r>
      <w:r w:rsidRPr="00AE154B">
        <w:rPr>
          <w:rFonts w:ascii="Book Antiqua" w:hAnsi="Book Antiqua"/>
          <w:sz w:val="24"/>
          <w:szCs w:val="24"/>
        </w:rPr>
        <w:t xml:space="preserve">, Castaman G. Clinical manifestations and management of Gaucher disease. </w:t>
      </w:r>
      <w:r w:rsidRPr="00AE154B">
        <w:rPr>
          <w:rFonts w:ascii="Book Antiqua" w:hAnsi="Book Antiqua"/>
          <w:i/>
          <w:sz w:val="24"/>
          <w:szCs w:val="24"/>
        </w:rPr>
        <w:t>Clin Cases Miner Bone Metab</w:t>
      </w:r>
      <w:r w:rsidRPr="00AE154B">
        <w:rPr>
          <w:rFonts w:ascii="Book Antiqua" w:hAnsi="Book Antiqua"/>
          <w:sz w:val="24"/>
          <w:szCs w:val="24"/>
        </w:rPr>
        <w:t xml:space="preserve"> 2015; </w:t>
      </w:r>
      <w:r w:rsidRPr="00AE154B">
        <w:rPr>
          <w:rFonts w:ascii="Book Antiqua" w:hAnsi="Book Antiqua"/>
          <w:b/>
          <w:sz w:val="24"/>
          <w:szCs w:val="24"/>
        </w:rPr>
        <w:t>12</w:t>
      </w:r>
      <w:r w:rsidRPr="00AE154B">
        <w:rPr>
          <w:rFonts w:ascii="Book Antiqua" w:hAnsi="Book Antiqua"/>
          <w:sz w:val="24"/>
          <w:szCs w:val="24"/>
        </w:rPr>
        <w:t>: 157-164 [PMID: 26604942 DOI: 10.11138/ccmbm/2015.12.2.157]</w:t>
      </w:r>
    </w:p>
    <w:p w14:paraId="2FA68538"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13 </w:t>
      </w:r>
      <w:r w:rsidRPr="00AE154B">
        <w:rPr>
          <w:rFonts w:ascii="Book Antiqua" w:hAnsi="Book Antiqua"/>
          <w:b/>
          <w:sz w:val="24"/>
          <w:szCs w:val="24"/>
        </w:rPr>
        <w:t>Tamargo RJ</w:t>
      </w:r>
      <w:r w:rsidRPr="00AE154B">
        <w:rPr>
          <w:rFonts w:ascii="Book Antiqua" w:hAnsi="Book Antiqua"/>
          <w:sz w:val="24"/>
          <w:szCs w:val="24"/>
        </w:rPr>
        <w:t xml:space="preserve">, Velayati A, Goldin E, Sidransky E. The role of saposin C in Gaucher disease. </w:t>
      </w:r>
      <w:r w:rsidRPr="00AE154B">
        <w:rPr>
          <w:rFonts w:ascii="Book Antiqua" w:hAnsi="Book Antiqua"/>
          <w:i/>
          <w:sz w:val="24"/>
          <w:szCs w:val="24"/>
        </w:rPr>
        <w:t>Mol Genet Metab</w:t>
      </w:r>
      <w:r w:rsidRPr="00AE154B">
        <w:rPr>
          <w:rFonts w:ascii="Book Antiqua" w:hAnsi="Book Antiqua"/>
          <w:sz w:val="24"/>
          <w:szCs w:val="24"/>
        </w:rPr>
        <w:t xml:space="preserve"> 2012; </w:t>
      </w:r>
      <w:r w:rsidRPr="00AE154B">
        <w:rPr>
          <w:rFonts w:ascii="Book Antiqua" w:hAnsi="Book Antiqua"/>
          <w:b/>
          <w:sz w:val="24"/>
          <w:szCs w:val="24"/>
        </w:rPr>
        <w:t>106</w:t>
      </w:r>
      <w:r w:rsidRPr="00AE154B">
        <w:rPr>
          <w:rFonts w:ascii="Book Antiqua" w:hAnsi="Book Antiqua"/>
          <w:sz w:val="24"/>
          <w:szCs w:val="24"/>
        </w:rPr>
        <w:t>: 257-263 [PMID: 22652185 DOI: 10.1016/j.ymgme.2012.04.024]</w:t>
      </w:r>
    </w:p>
    <w:p w14:paraId="22518EF6"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14 </w:t>
      </w:r>
      <w:r w:rsidRPr="00AE154B">
        <w:rPr>
          <w:rFonts w:ascii="Book Antiqua" w:hAnsi="Book Antiqua"/>
          <w:b/>
          <w:sz w:val="24"/>
          <w:szCs w:val="24"/>
        </w:rPr>
        <w:t>Sgambato JA</w:t>
      </w:r>
      <w:r w:rsidRPr="00AE154B">
        <w:rPr>
          <w:rFonts w:ascii="Book Antiqua" w:hAnsi="Book Antiqua"/>
          <w:sz w:val="24"/>
          <w:szCs w:val="24"/>
        </w:rPr>
        <w:t xml:space="preserve">, Park TS, Miller D, Panicker LM, Sidransky E, Lun Y, Awad O, Bentzen SM, Zambidis ET, Feldman RA. Gaucher Disease-Induced Pluripotent Stem Cells Display Decreased Erythroid Potential and Aberrant Myelopoiesis. </w:t>
      </w:r>
      <w:r w:rsidRPr="00AE154B">
        <w:rPr>
          <w:rFonts w:ascii="Book Antiqua" w:hAnsi="Book Antiqua"/>
          <w:i/>
          <w:sz w:val="24"/>
          <w:szCs w:val="24"/>
        </w:rPr>
        <w:t>Stem Cells Transl Med</w:t>
      </w:r>
      <w:r w:rsidRPr="00AE154B">
        <w:rPr>
          <w:rFonts w:ascii="Book Antiqua" w:hAnsi="Book Antiqua"/>
          <w:sz w:val="24"/>
          <w:szCs w:val="24"/>
        </w:rPr>
        <w:t xml:space="preserve"> 2015; </w:t>
      </w:r>
      <w:r w:rsidRPr="00AE154B">
        <w:rPr>
          <w:rFonts w:ascii="Book Antiqua" w:hAnsi="Book Antiqua"/>
          <w:b/>
          <w:sz w:val="24"/>
          <w:szCs w:val="24"/>
        </w:rPr>
        <w:t>4</w:t>
      </w:r>
      <w:r w:rsidRPr="00AE154B">
        <w:rPr>
          <w:rFonts w:ascii="Book Antiqua" w:hAnsi="Book Antiqua"/>
          <w:sz w:val="24"/>
          <w:szCs w:val="24"/>
        </w:rPr>
        <w:t>: 878-886 [PMID: 26062980 DOI: 10.5966/sctm.2014-0213]</w:t>
      </w:r>
    </w:p>
    <w:p w14:paraId="2DE64723"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15 </w:t>
      </w:r>
      <w:r w:rsidRPr="00AE154B">
        <w:rPr>
          <w:rFonts w:ascii="Book Antiqua" w:hAnsi="Book Antiqua"/>
          <w:b/>
          <w:sz w:val="24"/>
          <w:szCs w:val="24"/>
        </w:rPr>
        <w:t>Chaabouni M</w:t>
      </w:r>
      <w:r w:rsidRPr="00AE154B">
        <w:rPr>
          <w:rFonts w:ascii="Book Antiqua" w:hAnsi="Book Antiqua"/>
          <w:sz w:val="24"/>
          <w:szCs w:val="24"/>
        </w:rPr>
        <w:t xml:space="preserve">, Aoulou H, Tebib N, Hachicha M, Ben Becher S, Monastiri K, Yacoub M, Sfar T, Elloumi M, Chakroun N, Miled M, Ben Dridi MF. [Gaucher's disease in Tunisia (multicenter study)]. </w:t>
      </w:r>
      <w:r w:rsidRPr="00AE154B">
        <w:rPr>
          <w:rFonts w:ascii="Book Antiqua" w:hAnsi="Book Antiqua"/>
          <w:i/>
          <w:sz w:val="24"/>
          <w:szCs w:val="24"/>
        </w:rPr>
        <w:t>Rev Med Interne</w:t>
      </w:r>
      <w:r w:rsidRPr="00AE154B">
        <w:rPr>
          <w:rFonts w:ascii="Book Antiqua" w:hAnsi="Book Antiqua"/>
          <w:sz w:val="24"/>
          <w:szCs w:val="24"/>
        </w:rPr>
        <w:t xml:space="preserve"> 2004; </w:t>
      </w:r>
      <w:r w:rsidRPr="00AE154B">
        <w:rPr>
          <w:rFonts w:ascii="Book Antiqua" w:hAnsi="Book Antiqua"/>
          <w:b/>
          <w:sz w:val="24"/>
          <w:szCs w:val="24"/>
        </w:rPr>
        <w:t>25</w:t>
      </w:r>
      <w:r w:rsidRPr="00AE154B">
        <w:rPr>
          <w:rFonts w:ascii="Book Antiqua" w:hAnsi="Book Antiqua"/>
          <w:sz w:val="24"/>
          <w:szCs w:val="24"/>
        </w:rPr>
        <w:t>: 104-110 [PMID: 14744639 DOI: 10.1016/S0248-8663(03)00267-4]</w:t>
      </w:r>
    </w:p>
    <w:p w14:paraId="7643E666"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16 </w:t>
      </w:r>
      <w:r w:rsidRPr="00AE154B">
        <w:rPr>
          <w:rFonts w:ascii="Book Antiqua" w:hAnsi="Book Antiqua"/>
          <w:b/>
          <w:sz w:val="24"/>
          <w:szCs w:val="24"/>
        </w:rPr>
        <w:t>Mistry PK</w:t>
      </w:r>
      <w:r w:rsidRPr="00AE154B">
        <w:rPr>
          <w:rFonts w:ascii="Book Antiqua" w:hAnsi="Book Antiqua"/>
          <w:sz w:val="24"/>
          <w:szCs w:val="24"/>
        </w:rPr>
        <w:t xml:space="preserve">, Cappellini MD, Lukina E, Ozsan H, Mach Pascual S, Rosenbaum H, Helena Solano M, Spigelman Z, Villarrubia J, Watman NP, Massenkeil G. A reappraisal of Gaucher disease-diagnosis and disease management algorithms. </w:t>
      </w:r>
      <w:r w:rsidRPr="00AE154B">
        <w:rPr>
          <w:rFonts w:ascii="Book Antiqua" w:hAnsi="Book Antiqua"/>
          <w:i/>
          <w:sz w:val="24"/>
          <w:szCs w:val="24"/>
        </w:rPr>
        <w:t>Am J Hematol</w:t>
      </w:r>
      <w:r w:rsidRPr="00AE154B">
        <w:rPr>
          <w:rFonts w:ascii="Book Antiqua" w:hAnsi="Book Antiqua"/>
          <w:sz w:val="24"/>
          <w:szCs w:val="24"/>
        </w:rPr>
        <w:t xml:space="preserve"> 2011; </w:t>
      </w:r>
      <w:r w:rsidRPr="00AE154B">
        <w:rPr>
          <w:rFonts w:ascii="Book Antiqua" w:hAnsi="Book Antiqua"/>
          <w:b/>
          <w:sz w:val="24"/>
          <w:szCs w:val="24"/>
        </w:rPr>
        <w:t>86</w:t>
      </w:r>
      <w:r w:rsidRPr="00AE154B">
        <w:rPr>
          <w:rFonts w:ascii="Book Antiqua" w:hAnsi="Book Antiqua"/>
          <w:sz w:val="24"/>
          <w:szCs w:val="24"/>
        </w:rPr>
        <w:t>: 110-115 [PMID: 21080341 DOI: 10.1002/ajh.21888]</w:t>
      </w:r>
    </w:p>
    <w:p w14:paraId="25EACB58"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lastRenderedPageBreak/>
        <w:t xml:space="preserve">17 </w:t>
      </w:r>
      <w:r w:rsidRPr="00AE154B">
        <w:rPr>
          <w:rFonts w:ascii="Book Antiqua" w:hAnsi="Book Antiqua"/>
          <w:b/>
          <w:sz w:val="24"/>
          <w:szCs w:val="24"/>
        </w:rPr>
        <w:t>Liu J</w:t>
      </w:r>
      <w:r w:rsidRPr="00AE154B">
        <w:rPr>
          <w:rFonts w:ascii="Book Antiqua" w:hAnsi="Book Antiqua"/>
          <w:sz w:val="24"/>
          <w:szCs w:val="24"/>
        </w:rPr>
        <w:t xml:space="preserve">, Halene S, Yang M, Iqbal J, Yang R, Mehal WZ, Chuang WL, Jain D, Yuen T, Sun L, Zaidi M, Mistry PK. Gaucher disease gene GBA functions in immune regulation. </w:t>
      </w:r>
      <w:r w:rsidRPr="00AE154B">
        <w:rPr>
          <w:rFonts w:ascii="Book Antiqua" w:hAnsi="Book Antiqua"/>
          <w:i/>
          <w:sz w:val="24"/>
          <w:szCs w:val="24"/>
        </w:rPr>
        <w:t>Proc Natl Acad Sci U S A</w:t>
      </w:r>
      <w:r w:rsidRPr="00AE154B">
        <w:rPr>
          <w:rFonts w:ascii="Book Antiqua" w:hAnsi="Book Antiqua"/>
          <w:sz w:val="24"/>
          <w:szCs w:val="24"/>
        </w:rPr>
        <w:t xml:space="preserve"> 2012; </w:t>
      </w:r>
      <w:r w:rsidRPr="00AE154B">
        <w:rPr>
          <w:rFonts w:ascii="Book Antiqua" w:hAnsi="Book Antiqua"/>
          <w:b/>
          <w:sz w:val="24"/>
          <w:szCs w:val="24"/>
        </w:rPr>
        <w:t>109</w:t>
      </w:r>
      <w:r w:rsidRPr="00AE154B">
        <w:rPr>
          <w:rFonts w:ascii="Book Antiqua" w:hAnsi="Book Antiqua"/>
          <w:sz w:val="24"/>
          <w:szCs w:val="24"/>
        </w:rPr>
        <w:t>: 10018-10023 [PMID: 22665763 DOI: 10.1073/pnas.1200941109]</w:t>
      </w:r>
    </w:p>
    <w:p w14:paraId="3B87C536"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18 </w:t>
      </w:r>
      <w:r w:rsidRPr="00AE154B">
        <w:rPr>
          <w:rFonts w:ascii="Book Antiqua" w:hAnsi="Book Antiqua"/>
          <w:b/>
          <w:sz w:val="24"/>
          <w:szCs w:val="24"/>
        </w:rPr>
        <w:t>Mistry PK</w:t>
      </w:r>
      <w:r w:rsidRPr="00AE154B">
        <w:rPr>
          <w:rFonts w:ascii="Book Antiqua" w:hAnsi="Book Antiqua"/>
          <w:sz w:val="24"/>
          <w:szCs w:val="24"/>
        </w:rPr>
        <w:t xml:space="preserve">, Abrahamov A. A practical approach to diagnosis and management of Gaucher's disease. </w:t>
      </w:r>
      <w:r w:rsidRPr="00AE154B">
        <w:rPr>
          <w:rFonts w:ascii="Book Antiqua" w:hAnsi="Book Antiqua"/>
          <w:i/>
          <w:sz w:val="24"/>
          <w:szCs w:val="24"/>
        </w:rPr>
        <w:t>Baillieres Clin Haematol</w:t>
      </w:r>
      <w:r w:rsidRPr="00AE154B">
        <w:rPr>
          <w:rFonts w:ascii="Book Antiqua" w:hAnsi="Book Antiqua"/>
          <w:sz w:val="24"/>
          <w:szCs w:val="24"/>
        </w:rPr>
        <w:t xml:space="preserve"> 1997; </w:t>
      </w:r>
      <w:r w:rsidRPr="00AE154B">
        <w:rPr>
          <w:rFonts w:ascii="Book Antiqua" w:hAnsi="Book Antiqua"/>
          <w:b/>
          <w:sz w:val="24"/>
          <w:szCs w:val="24"/>
        </w:rPr>
        <w:t>10</w:t>
      </w:r>
      <w:r w:rsidRPr="00AE154B">
        <w:rPr>
          <w:rFonts w:ascii="Book Antiqua" w:hAnsi="Book Antiqua"/>
          <w:sz w:val="24"/>
          <w:szCs w:val="24"/>
        </w:rPr>
        <w:t>: 817-838 [PMID: 9497866 DOI: 10.1016/S0950-3536(97)80042-X]</w:t>
      </w:r>
    </w:p>
    <w:p w14:paraId="62A58514"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19 </w:t>
      </w:r>
      <w:r w:rsidRPr="00AE154B">
        <w:rPr>
          <w:rFonts w:ascii="Book Antiqua" w:hAnsi="Book Antiqua"/>
          <w:b/>
          <w:sz w:val="24"/>
          <w:szCs w:val="24"/>
        </w:rPr>
        <w:t>Stirnemann J</w:t>
      </w:r>
      <w:r w:rsidRPr="00AE154B">
        <w:rPr>
          <w:rFonts w:ascii="Book Antiqua" w:hAnsi="Book Antiqua"/>
          <w:sz w:val="24"/>
          <w:szCs w:val="24"/>
        </w:rPr>
        <w:t xml:space="preserve">, Boutten A, Vincent C, Mekinian A, Heraoui D, Fantin B, Fain O, Mentré F, Belmatoug N. Impact of imiglucerase on the serum glycosylated-ferritin level in Gaucher disease. </w:t>
      </w:r>
      <w:r w:rsidRPr="00AE154B">
        <w:rPr>
          <w:rFonts w:ascii="Book Antiqua" w:hAnsi="Book Antiqua"/>
          <w:i/>
          <w:sz w:val="24"/>
          <w:szCs w:val="24"/>
        </w:rPr>
        <w:t>Blood Cells Mol Dis</w:t>
      </w:r>
      <w:r w:rsidRPr="00AE154B">
        <w:rPr>
          <w:rFonts w:ascii="Book Antiqua" w:hAnsi="Book Antiqua"/>
          <w:sz w:val="24"/>
          <w:szCs w:val="24"/>
        </w:rPr>
        <w:t xml:space="preserve"> 2011; </w:t>
      </w:r>
      <w:r w:rsidRPr="00AE154B">
        <w:rPr>
          <w:rFonts w:ascii="Book Antiqua" w:hAnsi="Book Antiqua"/>
          <w:b/>
          <w:sz w:val="24"/>
          <w:szCs w:val="24"/>
        </w:rPr>
        <w:t>46</w:t>
      </w:r>
      <w:r w:rsidRPr="00AE154B">
        <w:rPr>
          <w:rFonts w:ascii="Book Antiqua" w:hAnsi="Book Antiqua"/>
          <w:sz w:val="24"/>
          <w:szCs w:val="24"/>
        </w:rPr>
        <w:t>: 34-38 [PMID: 21084203 DOI: 10.1016/j.bcmd.2010.10.014]</w:t>
      </w:r>
    </w:p>
    <w:p w14:paraId="29EA3323" w14:textId="77777777" w:rsidR="00442D49" w:rsidRPr="00AE154B" w:rsidRDefault="00442D49" w:rsidP="00AE154B">
      <w:pPr>
        <w:spacing w:after="0" w:line="360" w:lineRule="auto"/>
        <w:jc w:val="both"/>
        <w:rPr>
          <w:rFonts w:ascii="Book Antiqua" w:hAnsi="Book Antiqua"/>
          <w:sz w:val="24"/>
          <w:szCs w:val="24"/>
        </w:rPr>
      </w:pPr>
      <w:r w:rsidRPr="00AE154B">
        <w:rPr>
          <w:rFonts w:ascii="Book Antiqua" w:hAnsi="Book Antiqua"/>
          <w:sz w:val="24"/>
          <w:szCs w:val="24"/>
        </w:rPr>
        <w:t xml:space="preserve">20 </w:t>
      </w:r>
      <w:r w:rsidRPr="00AE154B">
        <w:rPr>
          <w:rFonts w:ascii="Book Antiqua" w:hAnsi="Book Antiqua"/>
          <w:b/>
          <w:sz w:val="24"/>
          <w:szCs w:val="24"/>
        </w:rPr>
        <w:t>Nagral A</w:t>
      </w:r>
      <w:r w:rsidRPr="00AE154B">
        <w:rPr>
          <w:rFonts w:ascii="Book Antiqua" w:hAnsi="Book Antiqua"/>
          <w:sz w:val="24"/>
          <w:szCs w:val="24"/>
        </w:rPr>
        <w:t xml:space="preserve">. Gaucher disease. </w:t>
      </w:r>
      <w:r w:rsidRPr="00AE154B">
        <w:rPr>
          <w:rFonts w:ascii="Book Antiqua" w:hAnsi="Book Antiqua"/>
          <w:i/>
          <w:sz w:val="24"/>
          <w:szCs w:val="24"/>
        </w:rPr>
        <w:t>J Clin Exp Hepatol</w:t>
      </w:r>
      <w:r w:rsidRPr="00AE154B">
        <w:rPr>
          <w:rFonts w:ascii="Book Antiqua" w:hAnsi="Book Antiqua"/>
          <w:sz w:val="24"/>
          <w:szCs w:val="24"/>
        </w:rPr>
        <w:t xml:space="preserve"> 2014; </w:t>
      </w:r>
      <w:r w:rsidRPr="00AE154B">
        <w:rPr>
          <w:rFonts w:ascii="Book Antiqua" w:hAnsi="Book Antiqua"/>
          <w:b/>
          <w:sz w:val="24"/>
          <w:szCs w:val="24"/>
        </w:rPr>
        <w:t>4</w:t>
      </w:r>
      <w:r w:rsidRPr="00AE154B">
        <w:rPr>
          <w:rFonts w:ascii="Book Antiqua" w:hAnsi="Book Antiqua"/>
          <w:sz w:val="24"/>
          <w:szCs w:val="24"/>
        </w:rPr>
        <w:t>: 37-50 [PMID: 25755533 DOI: 10.1016/j.jceh.2014.02.005]</w:t>
      </w:r>
    </w:p>
    <w:p w14:paraId="02EF2FA7" w14:textId="515F660C"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2</w:t>
      </w:r>
      <w:r w:rsidR="00442D49" w:rsidRPr="00AE154B">
        <w:rPr>
          <w:rFonts w:ascii="Book Antiqua" w:hAnsi="Book Antiqua"/>
          <w:sz w:val="24"/>
          <w:szCs w:val="24"/>
        </w:rPr>
        <w:t>1</w:t>
      </w:r>
      <w:r w:rsidRPr="00AE154B">
        <w:rPr>
          <w:rFonts w:ascii="Book Antiqua" w:hAnsi="Book Antiqua"/>
          <w:sz w:val="24"/>
          <w:szCs w:val="24"/>
        </w:rPr>
        <w:t xml:space="preserve"> </w:t>
      </w:r>
      <w:r w:rsidRPr="00AE154B">
        <w:rPr>
          <w:rFonts w:ascii="Book Antiqua" w:hAnsi="Book Antiqua"/>
          <w:b/>
          <w:sz w:val="24"/>
          <w:szCs w:val="24"/>
        </w:rPr>
        <w:t>Weinreb NJ</w:t>
      </w:r>
      <w:r w:rsidRPr="00AE154B">
        <w:rPr>
          <w:rFonts w:ascii="Book Antiqua" w:hAnsi="Book Antiqua"/>
          <w:sz w:val="24"/>
          <w:szCs w:val="24"/>
        </w:rPr>
        <w:t xml:space="preserve">, Deegan P, Kacena KA, Mistry P, Pastores GM, Velentgas P, vom Dahl S. Life expectancy in Gaucher disease type 1. </w:t>
      </w:r>
      <w:r w:rsidRPr="00AE154B">
        <w:rPr>
          <w:rFonts w:ascii="Book Antiqua" w:hAnsi="Book Antiqua"/>
          <w:i/>
          <w:sz w:val="24"/>
          <w:szCs w:val="24"/>
        </w:rPr>
        <w:t>Am J Hematol</w:t>
      </w:r>
      <w:r w:rsidRPr="00AE154B">
        <w:rPr>
          <w:rFonts w:ascii="Book Antiqua" w:hAnsi="Book Antiqua"/>
          <w:sz w:val="24"/>
          <w:szCs w:val="24"/>
        </w:rPr>
        <w:t xml:space="preserve"> 2008; </w:t>
      </w:r>
      <w:r w:rsidRPr="00AE154B">
        <w:rPr>
          <w:rFonts w:ascii="Book Antiqua" w:hAnsi="Book Antiqua"/>
          <w:b/>
          <w:sz w:val="24"/>
          <w:szCs w:val="24"/>
        </w:rPr>
        <w:t>83</w:t>
      </w:r>
      <w:r w:rsidRPr="00AE154B">
        <w:rPr>
          <w:rFonts w:ascii="Book Antiqua" w:hAnsi="Book Antiqua"/>
          <w:sz w:val="24"/>
          <w:szCs w:val="24"/>
        </w:rPr>
        <w:t>: 896-900 [PMID: 18980271 DOI: 10.1002/ajh.21305]</w:t>
      </w:r>
    </w:p>
    <w:p w14:paraId="073226FD"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22 </w:t>
      </w:r>
      <w:r w:rsidRPr="00AE154B">
        <w:rPr>
          <w:rFonts w:ascii="Book Antiqua" w:hAnsi="Book Antiqua"/>
          <w:b/>
          <w:sz w:val="24"/>
          <w:szCs w:val="24"/>
        </w:rPr>
        <w:t>Lopez G</w:t>
      </w:r>
      <w:r w:rsidRPr="00AE154B">
        <w:rPr>
          <w:rFonts w:ascii="Book Antiqua" w:hAnsi="Book Antiqua"/>
          <w:sz w:val="24"/>
          <w:szCs w:val="24"/>
        </w:rPr>
        <w:t xml:space="preserve">, Kim J, Wiggs E, Cintron D, Groden C, Tayebi N, Mistry PK, Pastores GM, Zimran A, Goker-Alpan O, Sidransky E. Clinical course and prognosis in patients with Gaucher disease and parkinsonism. </w:t>
      </w:r>
      <w:r w:rsidRPr="00AE154B">
        <w:rPr>
          <w:rFonts w:ascii="Book Antiqua" w:hAnsi="Book Antiqua"/>
          <w:i/>
          <w:sz w:val="24"/>
          <w:szCs w:val="24"/>
        </w:rPr>
        <w:t>Neurol Genet</w:t>
      </w:r>
      <w:r w:rsidRPr="00AE154B">
        <w:rPr>
          <w:rFonts w:ascii="Book Antiqua" w:hAnsi="Book Antiqua"/>
          <w:sz w:val="24"/>
          <w:szCs w:val="24"/>
        </w:rPr>
        <w:t xml:space="preserve"> 2016; </w:t>
      </w:r>
      <w:r w:rsidRPr="00AE154B">
        <w:rPr>
          <w:rFonts w:ascii="Book Antiqua" w:hAnsi="Book Antiqua"/>
          <w:b/>
          <w:sz w:val="24"/>
          <w:szCs w:val="24"/>
        </w:rPr>
        <w:t>2</w:t>
      </w:r>
      <w:r w:rsidRPr="00AE154B">
        <w:rPr>
          <w:rFonts w:ascii="Book Antiqua" w:hAnsi="Book Antiqua"/>
          <w:sz w:val="24"/>
          <w:szCs w:val="24"/>
        </w:rPr>
        <w:t>: e57 [PMID: 27123476 DOI: 10.1212/NXG.0000000000000057]</w:t>
      </w:r>
    </w:p>
    <w:p w14:paraId="2A0E6C23"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23 </w:t>
      </w:r>
      <w:r w:rsidRPr="00AE154B">
        <w:rPr>
          <w:rFonts w:ascii="Book Antiqua" w:hAnsi="Book Antiqua"/>
          <w:b/>
          <w:sz w:val="24"/>
          <w:szCs w:val="24"/>
        </w:rPr>
        <w:t>Elstein D</w:t>
      </w:r>
      <w:r w:rsidRPr="00AE154B">
        <w:rPr>
          <w:rFonts w:ascii="Book Antiqua" w:hAnsi="Book Antiqua"/>
          <w:sz w:val="24"/>
          <w:szCs w:val="24"/>
        </w:rPr>
        <w:t xml:space="preserve">, Zimran A. Review of the safety and efficacy of imiglucerase treatment of Gaucher disease. </w:t>
      </w:r>
      <w:r w:rsidRPr="00AE154B">
        <w:rPr>
          <w:rFonts w:ascii="Book Antiqua" w:hAnsi="Book Antiqua"/>
          <w:i/>
          <w:sz w:val="24"/>
          <w:szCs w:val="24"/>
        </w:rPr>
        <w:t>Biologics</w:t>
      </w:r>
      <w:r w:rsidRPr="00AE154B">
        <w:rPr>
          <w:rFonts w:ascii="Book Antiqua" w:hAnsi="Book Antiqua"/>
          <w:sz w:val="24"/>
          <w:szCs w:val="24"/>
        </w:rPr>
        <w:t xml:space="preserve"> 2009; </w:t>
      </w:r>
      <w:r w:rsidRPr="00AE154B">
        <w:rPr>
          <w:rFonts w:ascii="Book Antiqua" w:hAnsi="Book Antiqua"/>
          <w:b/>
          <w:sz w:val="24"/>
          <w:szCs w:val="24"/>
        </w:rPr>
        <w:t>3</w:t>
      </w:r>
      <w:r w:rsidRPr="00AE154B">
        <w:rPr>
          <w:rFonts w:ascii="Book Antiqua" w:hAnsi="Book Antiqua"/>
          <w:sz w:val="24"/>
          <w:szCs w:val="24"/>
        </w:rPr>
        <w:t>: 407-417 [PMID: 19774208 DOI: 10.2147/BTT.S3769]</w:t>
      </w:r>
    </w:p>
    <w:p w14:paraId="06574559" w14:textId="77777777" w:rsidR="00B5351F" w:rsidRPr="00AE154B" w:rsidRDefault="00B5351F" w:rsidP="00AE154B">
      <w:pPr>
        <w:spacing w:after="0" w:line="360" w:lineRule="auto"/>
        <w:jc w:val="both"/>
        <w:rPr>
          <w:rFonts w:ascii="Book Antiqua" w:hAnsi="Book Antiqua"/>
          <w:sz w:val="24"/>
          <w:szCs w:val="24"/>
        </w:rPr>
      </w:pPr>
      <w:r w:rsidRPr="00AE154B">
        <w:rPr>
          <w:rFonts w:ascii="Book Antiqua" w:hAnsi="Book Antiqua"/>
          <w:sz w:val="24"/>
          <w:szCs w:val="24"/>
        </w:rPr>
        <w:t xml:space="preserve">24 </w:t>
      </w:r>
      <w:r w:rsidRPr="00AE154B">
        <w:rPr>
          <w:rFonts w:ascii="Book Antiqua" w:hAnsi="Book Antiqua"/>
          <w:b/>
          <w:sz w:val="24"/>
          <w:szCs w:val="24"/>
        </w:rPr>
        <w:t>Koprivica V</w:t>
      </w:r>
      <w:r w:rsidRPr="00AE154B">
        <w:rPr>
          <w:rFonts w:ascii="Book Antiqua" w:hAnsi="Book Antiqua"/>
          <w:sz w:val="24"/>
          <w:szCs w:val="24"/>
        </w:rPr>
        <w:t xml:space="preserve">, Stone DL, Park JK, Callahan M, Frisch A, Cohen IJ, Tayebi N, Sidransky E. Analysis and classification of 304 mutant alleles in patients with type 1 and type 3 Gaucher disease. </w:t>
      </w:r>
      <w:r w:rsidRPr="00AE154B">
        <w:rPr>
          <w:rFonts w:ascii="Book Antiqua" w:hAnsi="Book Antiqua"/>
          <w:i/>
          <w:sz w:val="24"/>
          <w:szCs w:val="24"/>
        </w:rPr>
        <w:t>Am J Hum Genet</w:t>
      </w:r>
      <w:r w:rsidRPr="00AE154B">
        <w:rPr>
          <w:rFonts w:ascii="Book Antiqua" w:hAnsi="Book Antiqua"/>
          <w:sz w:val="24"/>
          <w:szCs w:val="24"/>
        </w:rPr>
        <w:t xml:space="preserve"> 2000; </w:t>
      </w:r>
      <w:r w:rsidRPr="00AE154B">
        <w:rPr>
          <w:rFonts w:ascii="Book Antiqua" w:hAnsi="Book Antiqua"/>
          <w:b/>
          <w:sz w:val="24"/>
          <w:szCs w:val="24"/>
        </w:rPr>
        <w:t>66</w:t>
      </w:r>
      <w:r w:rsidRPr="00AE154B">
        <w:rPr>
          <w:rFonts w:ascii="Book Antiqua" w:hAnsi="Book Antiqua"/>
          <w:sz w:val="24"/>
          <w:szCs w:val="24"/>
        </w:rPr>
        <w:t>: 1777-1786 [PMID: 10796875 DOI: 10.1086/302925]</w:t>
      </w:r>
    </w:p>
    <w:p w14:paraId="36263826" w14:textId="054E81CC" w:rsidR="006D6F04" w:rsidRPr="00AE154B" w:rsidRDefault="006D6F04" w:rsidP="00AE154B">
      <w:pPr>
        <w:spacing w:after="0" w:line="360" w:lineRule="auto"/>
        <w:ind w:right="390"/>
        <w:jc w:val="both"/>
        <w:rPr>
          <w:rFonts w:ascii="Book Antiqua" w:hAnsi="Book Antiqua"/>
          <w:sz w:val="24"/>
          <w:szCs w:val="24"/>
        </w:rPr>
      </w:pPr>
    </w:p>
    <w:p w14:paraId="14A45080" w14:textId="179D5C29" w:rsidR="00AE154B" w:rsidRPr="00AE154B" w:rsidRDefault="00AE154B" w:rsidP="00AE154B">
      <w:pPr>
        <w:pStyle w:val="ListParagraph"/>
        <w:suppressAutoHyphens/>
        <w:spacing w:line="360" w:lineRule="auto"/>
        <w:ind w:left="360" w:right="230" w:firstLine="482"/>
        <w:rPr>
          <w:rFonts w:ascii="Book Antiqua" w:hAnsi="Book Antiqua" w:cs="Mangal"/>
          <w:b/>
          <w:bCs/>
          <w:sz w:val="24"/>
          <w:szCs w:val="24"/>
          <w:lang w:val="it-IT" w:bidi="hi-IN"/>
        </w:rPr>
      </w:pPr>
      <w:r w:rsidRPr="00AE154B">
        <w:rPr>
          <w:rFonts w:ascii="Book Antiqua" w:eastAsia="Lucida Sans Unicode" w:hAnsi="Book Antiqua" w:cs="Arial"/>
          <w:b/>
          <w:noProof/>
          <w:sz w:val="24"/>
          <w:szCs w:val="24"/>
          <w:lang w:val="it-IT" w:eastAsia="hi-IN" w:bidi="hi-IN"/>
        </w:rPr>
        <w:t>P-Reviewer</w:t>
      </w:r>
      <w:r w:rsidRPr="00AE154B">
        <w:rPr>
          <w:rFonts w:ascii="Book Antiqua" w:hAnsi="Book Antiqua" w:cs="Arial"/>
          <w:b/>
          <w:noProof/>
          <w:sz w:val="24"/>
          <w:szCs w:val="24"/>
          <w:lang w:val="it-IT" w:bidi="hi-IN"/>
        </w:rPr>
        <w:t>:</w:t>
      </w:r>
      <w:r w:rsidRPr="00AE154B">
        <w:rPr>
          <w:rFonts w:ascii="Book Antiqua" w:hAnsi="Book Antiqua"/>
          <w:sz w:val="24"/>
          <w:szCs w:val="24"/>
        </w:rPr>
        <w:t xml:space="preserve"> Ma K, Piccaluga PP, Ali I, Gheita TA, Tanabe S</w:t>
      </w:r>
      <w:r w:rsidRPr="00AE154B">
        <w:rPr>
          <w:rFonts w:ascii="Book Antiqua" w:hAnsi="Book Antiqua" w:cs="Mangal"/>
          <w:bCs/>
          <w:sz w:val="24"/>
          <w:szCs w:val="24"/>
          <w:lang w:val="it-IT" w:bidi="hi-IN"/>
        </w:rPr>
        <w:t xml:space="preserve"> </w:t>
      </w:r>
      <w:r w:rsidRPr="00AE154B">
        <w:rPr>
          <w:rFonts w:ascii="Book Antiqua" w:eastAsia="Lucida Sans Unicode" w:hAnsi="Book Antiqua" w:cs="Mangal"/>
          <w:b/>
          <w:bCs/>
          <w:sz w:val="24"/>
          <w:szCs w:val="24"/>
          <w:lang w:val="it-IT" w:eastAsia="hi-IN" w:bidi="hi-IN"/>
        </w:rPr>
        <w:t>S-Editor</w:t>
      </w:r>
      <w:r w:rsidRPr="00AE154B">
        <w:rPr>
          <w:rFonts w:ascii="Book Antiqua" w:hAnsi="Book Antiqua" w:cs="Mangal"/>
          <w:b/>
          <w:bCs/>
          <w:sz w:val="24"/>
          <w:szCs w:val="24"/>
          <w:lang w:val="it-IT" w:bidi="hi-IN"/>
        </w:rPr>
        <w:t>:</w:t>
      </w:r>
      <w:r w:rsidRPr="00AE154B">
        <w:rPr>
          <w:rFonts w:ascii="Book Antiqua" w:eastAsia="Lucida Sans Unicode" w:hAnsi="Book Antiqua" w:cs="Mangal"/>
          <w:bCs/>
          <w:sz w:val="24"/>
          <w:szCs w:val="24"/>
          <w:lang w:val="it-IT" w:eastAsia="hi-IN" w:bidi="hi-IN"/>
        </w:rPr>
        <w:t xml:space="preserve"> </w:t>
      </w:r>
      <w:r w:rsidRPr="00AE154B">
        <w:rPr>
          <w:rFonts w:ascii="Book Antiqua" w:hAnsi="Book Antiqua" w:cs="Mangal"/>
          <w:bCs/>
          <w:sz w:val="24"/>
          <w:szCs w:val="24"/>
          <w:lang w:val="it-IT" w:bidi="hi-IN"/>
        </w:rPr>
        <w:t>Dou Y</w:t>
      </w:r>
      <w:r w:rsidRPr="00AE154B">
        <w:rPr>
          <w:rFonts w:ascii="Book Antiqua" w:eastAsia="Lucida Sans Unicode" w:hAnsi="Book Antiqua" w:cs="Mangal"/>
          <w:b/>
          <w:bCs/>
          <w:sz w:val="24"/>
          <w:szCs w:val="24"/>
          <w:lang w:val="it-IT" w:eastAsia="hi-IN" w:bidi="hi-IN"/>
        </w:rPr>
        <w:t xml:space="preserve"> L-Editor</w:t>
      </w:r>
      <w:r w:rsidRPr="00AE154B">
        <w:rPr>
          <w:rFonts w:ascii="Book Antiqua" w:hAnsi="Book Antiqua" w:cs="Mangal"/>
          <w:b/>
          <w:bCs/>
          <w:sz w:val="24"/>
          <w:szCs w:val="24"/>
          <w:lang w:val="it-IT" w:bidi="hi-IN"/>
        </w:rPr>
        <w:t>:</w:t>
      </w:r>
      <w:r w:rsidRPr="00AE154B">
        <w:rPr>
          <w:rFonts w:ascii="Book Antiqua" w:eastAsia="Lucida Sans Unicode" w:hAnsi="Book Antiqua" w:cs="Mangal"/>
          <w:b/>
          <w:bCs/>
          <w:sz w:val="24"/>
          <w:szCs w:val="24"/>
          <w:lang w:val="it-IT" w:eastAsia="hi-IN" w:bidi="hi-IN"/>
        </w:rPr>
        <w:t xml:space="preserve"> E-Editor</w:t>
      </w:r>
      <w:r w:rsidRPr="00AE154B">
        <w:rPr>
          <w:rFonts w:ascii="Book Antiqua" w:hAnsi="Book Antiqua" w:cs="Mangal"/>
          <w:b/>
          <w:bCs/>
          <w:sz w:val="24"/>
          <w:szCs w:val="24"/>
          <w:lang w:val="it-IT" w:bidi="hi-IN"/>
        </w:rPr>
        <w:t>:</w:t>
      </w:r>
    </w:p>
    <w:p w14:paraId="7EB0FD5D" w14:textId="77777777" w:rsidR="00AE154B" w:rsidRPr="00AE154B" w:rsidRDefault="00AE154B" w:rsidP="00AE154B">
      <w:pPr>
        <w:pStyle w:val="ListParagraph"/>
        <w:suppressAutoHyphens/>
        <w:spacing w:line="360" w:lineRule="auto"/>
        <w:ind w:left="360" w:right="120" w:firstLine="482"/>
        <w:rPr>
          <w:rFonts w:ascii="Book Antiqua" w:hAnsi="Book Antiqua" w:cs="Mangal"/>
          <w:b/>
          <w:bCs/>
          <w:sz w:val="24"/>
          <w:szCs w:val="24"/>
          <w:lang w:val="it-IT" w:bidi="hi-IN"/>
        </w:rPr>
      </w:pPr>
    </w:p>
    <w:p w14:paraId="66F4C1D5" w14:textId="77777777" w:rsidR="00AE154B" w:rsidRPr="00AE154B" w:rsidRDefault="00AE154B" w:rsidP="00AE154B">
      <w:pPr>
        <w:shd w:val="clear" w:color="auto" w:fill="FFFFFF"/>
        <w:spacing w:after="0" w:line="360" w:lineRule="auto"/>
        <w:jc w:val="both"/>
        <w:rPr>
          <w:rFonts w:ascii="Book Antiqua" w:hAnsi="Book Antiqua" w:cs="Helvetica"/>
          <w:b/>
          <w:sz w:val="24"/>
          <w:szCs w:val="24"/>
        </w:rPr>
      </w:pPr>
      <w:r w:rsidRPr="00AE154B">
        <w:rPr>
          <w:rFonts w:ascii="Book Antiqua" w:hAnsi="Book Antiqua" w:cs="Helvetica"/>
          <w:b/>
          <w:sz w:val="24"/>
          <w:szCs w:val="24"/>
        </w:rPr>
        <w:t xml:space="preserve">Specialty type: </w:t>
      </w:r>
      <w:r w:rsidRPr="00AE154B">
        <w:rPr>
          <w:rFonts w:ascii="Book Antiqua" w:hAnsi="Book Antiqua" w:cs="SimSun"/>
          <w:sz w:val="24"/>
          <w:szCs w:val="24"/>
        </w:rPr>
        <w:t>Medicine, Research and Experimental</w:t>
      </w:r>
    </w:p>
    <w:p w14:paraId="56BCFBB1" w14:textId="26CA5C21" w:rsidR="00AE154B" w:rsidRPr="00AE154B" w:rsidRDefault="00AE154B" w:rsidP="00AE154B">
      <w:pPr>
        <w:shd w:val="clear" w:color="auto" w:fill="FFFFFF"/>
        <w:spacing w:after="0" w:line="360" w:lineRule="auto"/>
        <w:jc w:val="both"/>
        <w:rPr>
          <w:rFonts w:ascii="Book Antiqua" w:hAnsi="Book Antiqua" w:cs="Helvetica"/>
          <w:b/>
          <w:sz w:val="24"/>
          <w:szCs w:val="24"/>
        </w:rPr>
      </w:pPr>
      <w:r w:rsidRPr="00AE154B">
        <w:rPr>
          <w:rFonts w:ascii="Book Antiqua" w:hAnsi="Book Antiqua" w:cs="Helvetica"/>
          <w:b/>
          <w:sz w:val="24"/>
          <w:szCs w:val="24"/>
        </w:rPr>
        <w:t xml:space="preserve">Country of origin: </w:t>
      </w:r>
      <w:r w:rsidRPr="00AE154B">
        <w:rPr>
          <w:rFonts w:ascii="Book Antiqua" w:hAnsi="Book Antiqua" w:cs="Helvetica"/>
          <w:sz w:val="24"/>
          <w:szCs w:val="24"/>
        </w:rPr>
        <w:t>Montenegro</w:t>
      </w:r>
    </w:p>
    <w:p w14:paraId="2B10A40C" w14:textId="77777777" w:rsidR="00AE154B" w:rsidRPr="00AE154B" w:rsidRDefault="00AE154B" w:rsidP="00AE154B">
      <w:pPr>
        <w:shd w:val="clear" w:color="auto" w:fill="FFFFFF"/>
        <w:spacing w:after="0" w:line="360" w:lineRule="auto"/>
        <w:jc w:val="both"/>
        <w:rPr>
          <w:rFonts w:ascii="Book Antiqua" w:hAnsi="Book Antiqua" w:cs="Helvetica"/>
          <w:b/>
          <w:sz w:val="24"/>
          <w:szCs w:val="24"/>
        </w:rPr>
      </w:pPr>
      <w:r w:rsidRPr="00AE154B">
        <w:rPr>
          <w:rFonts w:ascii="Book Antiqua" w:hAnsi="Book Antiqua" w:cs="Helvetica"/>
          <w:b/>
          <w:sz w:val="24"/>
          <w:szCs w:val="24"/>
        </w:rPr>
        <w:t>Peer-review report classification</w:t>
      </w:r>
    </w:p>
    <w:p w14:paraId="387225AB" w14:textId="1B4F69E8" w:rsidR="00AE154B" w:rsidRPr="00AE154B" w:rsidRDefault="00AE154B" w:rsidP="00AE154B">
      <w:pPr>
        <w:shd w:val="clear" w:color="auto" w:fill="FFFFFF"/>
        <w:spacing w:after="0" w:line="360" w:lineRule="auto"/>
        <w:jc w:val="both"/>
        <w:rPr>
          <w:rFonts w:ascii="Book Antiqua" w:hAnsi="Book Antiqua" w:cs="Helvetica"/>
          <w:sz w:val="24"/>
          <w:szCs w:val="24"/>
        </w:rPr>
      </w:pPr>
      <w:r w:rsidRPr="00AE154B">
        <w:rPr>
          <w:rFonts w:ascii="Book Antiqua" w:hAnsi="Book Antiqua" w:cs="Helvetica"/>
          <w:sz w:val="24"/>
          <w:szCs w:val="24"/>
        </w:rPr>
        <w:lastRenderedPageBreak/>
        <w:t>Grade A (Excellent): A</w:t>
      </w:r>
    </w:p>
    <w:p w14:paraId="0E1BEBA3" w14:textId="77777777" w:rsidR="00AE154B" w:rsidRPr="00AE154B" w:rsidRDefault="00AE154B" w:rsidP="00AE154B">
      <w:pPr>
        <w:shd w:val="clear" w:color="auto" w:fill="FFFFFF"/>
        <w:spacing w:after="0" w:line="360" w:lineRule="auto"/>
        <w:jc w:val="both"/>
        <w:rPr>
          <w:rFonts w:ascii="Book Antiqua" w:hAnsi="Book Antiqua" w:cs="Helvetica"/>
          <w:sz w:val="24"/>
          <w:szCs w:val="24"/>
        </w:rPr>
      </w:pPr>
      <w:r w:rsidRPr="00AE154B">
        <w:rPr>
          <w:rFonts w:ascii="Book Antiqua" w:hAnsi="Book Antiqua" w:cs="Helvetica"/>
          <w:sz w:val="24"/>
          <w:szCs w:val="24"/>
        </w:rPr>
        <w:t>Grade B (Very good): B</w:t>
      </w:r>
    </w:p>
    <w:p w14:paraId="602B8FE0" w14:textId="77777777" w:rsidR="00AE154B" w:rsidRPr="00AE154B" w:rsidRDefault="00AE154B" w:rsidP="00AE154B">
      <w:pPr>
        <w:shd w:val="clear" w:color="auto" w:fill="FFFFFF"/>
        <w:spacing w:after="0" w:line="360" w:lineRule="auto"/>
        <w:jc w:val="both"/>
        <w:rPr>
          <w:rFonts w:ascii="Book Antiqua" w:hAnsi="Book Antiqua" w:cs="Helvetica"/>
          <w:sz w:val="24"/>
          <w:szCs w:val="24"/>
        </w:rPr>
      </w:pPr>
      <w:r w:rsidRPr="00AE154B">
        <w:rPr>
          <w:rFonts w:ascii="Book Antiqua" w:hAnsi="Book Antiqua" w:cs="Helvetica"/>
          <w:sz w:val="24"/>
          <w:szCs w:val="24"/>
        </w:rPr>
        <w:t>Grade C (Good): C</w:t>
      </w:r>
    </w:p>
    <w:p w14:paraId="023B5F0B" w14:textId="041B154E" w:rsidR="00AE154B" w:rsidRPr="00AE154B" w:rsidRDefault="00AE154B" w:rsidP="00AE154B">
      <w:pPr>
        <w:shd w:val="clear" w:color="auto" w:fill="FFFFFF"/>
        <w:spacing w:after="0" w:line="360" w:lineRule="auto"/>
        <w:jc w:val="both"/>
        <w:rPr>
          <w:rFonts w:ascii="Book Antiqua" w:hAnsi="Book Antiqua" w:cs="Helvetica"/>
          <w:sz w:val="24"/>
          <w:szCs w:val="24"/>
        </w:rPr>
      </w:pPr>
      <w:r w:rsidRPr="00AE154B">
        <w:rPr>
          <w:rFonts w:ascii="Book Antiqua" w:hAnsi="Book Antiqua" w:cs="Helvetica"/>
          <w:sz w:val="24"/>
          <w:szCs w:val="24"/>
        </w:rPr>
        <w:t>Grade D (Fair): D, D</w:t>
      </w:r>
    </w:p>
    <w:p w14:paraId="2FD6273B" w14:textId="2647C4DE" w:rsidR="00AE154B" w:rsidRPr="00AE154B" w:rsidRDefault="00AE154B" w:rsidP="00AE154B">
      <w:pPr>
        <w:shd w:val="clear" w:color="auto" w:fill="FFFFFF"/>
        <w:spacing w:after="0" w:line="360" w:lineRule="auto"/>
        <w:jc w:val="both"/>
        <w:rPr>
          <w:rFonts w:ascii="Book Antiqua" w:hAnsi="Book Antiqua" w:cs="Helvetica"/>
          <w:sz w:val="24"/>
          <w:szCs w:val="24"/>
        </w:rPr>
      </w:pPr>
      <w:r w:rsidRPr="00AE154B">
        <w:rPr>
          <w:rFonts w:ascii="Book Antiqua" w:hAnsi="Book Antiqua" w:cs="Helvetica"/>
          <w:sz w:val="24"/>
          <w:szCs w:val="24"/>
        </w:rPr>
        <w:t>Grade E (Poor): 0</w:t>
      </w:r>
    </w:p>
    <w:p w14:paraId="7344E105" w14:textId="77777777" w:rsidR="006D6F04" w:rsidRPr="00AE154B" w:rsidRDefault="006D6F04" w:rsidP="00AE154B">
      <w:pPr>
        <w:spacing w:after="0" w:line="360" w:lineRule="auto"/>
        <w:jc w:val="both"/>
        <w:rPr>
          <w:rFonts w:ascii="Book Antiqua" w:hAnsi="Book Antiqua"/>
          <w:sz w:val="24"/>
          <w:szCs w:val="24"/>
        </w:rPr>
      </w:pPr>
      <w:r w:rsidRPr="00AE154B">
        <w:rPr>
          <w:rFonts w:ascii="Book Antiqua" w:hAnsi="Book Antiqua"/>
          <w:sz w:val="24"/>
          <w:szCs w:val="24"/>
        </w:rPr>
        <w:br w:type="page"/>
      </w:r>
    </w:p>
    <w:p w14:paraId="34797587" w14:textId="77777777" w:rsidR="00787563" w:rsidRPr="00AE154B" w:rsidRDefault="00E421F7" w:rsidP="00AE154B">
      <w:pPr>
        <w:pStyle w:val="BodyText"/>
        <w:spacing w:line="360" w:lineRule="auto"/>
        <w:ind w:left="426" w:right="390" w:firstLine="640"/>
        <w:rPr>
          <w:rFonts w:ascii="Book Antiqua" w:eastAsiaTheme="minorEastAsia" w:hAnsi="Book Antiqua" w:cstheme="minorBidi"/>
          <w:b/>
          <w:lang w:bidi="ar-SA"/>
        </w:rPr>
      </w:pPr>
      <w:r w:rsidRPr="00AE154B">
        <w:rPr>
          <w:rFonts w:ascii="Book Antiqua" w:eastAsiaTheme="minorEastAsia" w:hAnsi="Book Antiqua" w:cstheme="minorBidi"/>
          <w:b/>
          <w:lang w:bidi="ar-SA"/>
        </w:rPr>
        <w:lastRenderedPageBreak/>
        <w:t>Table 1 Genotype/phenotype correlations</w:t>
      </w:r>
    </w:p>
    <w:tbl>
      <w:tblPr>
        <w:tblW w:w="5740" w:type="pct"/>
        <w:tblInd w:w="-421"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150"/>
        <w:gridCol w:w="1117"/>
        <w:gridCol w:w="1983"/>
        <w:gridCol w:w="2264"/>
        <w:gridCol w:w="2267"/>
        <w:gridCol w:w="1698"/>
        <w:gridCol w:w="709"/>
      </w:tblGrid>
      <w:tr w:rsidR="008F6625" w:rsidRPr="00AE154B" w14:paraId="55E858BF" w14:textId="77777777" w:rsidTr="00664726">
        <w:trPr>
          <w:trHeight w:val="801"/>
        </w:trPr>
        <w:tc>
          <w:tcPr>
            <w:tcW w:w="514" w:type="pct"/>
            <w:tcBorders>
              <w:top w:val="single" w:sz="4" w:space="0" w:color="auto"/>
              <w:bottom w:val="single" w:sz="4" w:space="0" w:color="auto"/>
            </w:tcBorders>
            <w:shd w:val="clear" w:color="auto" w:fill="auto"/>
          </w:tcPr>
          <w:p w14:paraId="06C0E99C" w14:textId="6D23CA91" w:rsidR="00304A38" w:rsidRPr="00AE154B" w:rsidRDefault="00304A38" w:rsidP="00AE154B">
            <w:pPr>
              <w:pStyle w:val="TableParagraph"/>
              <w:spacing w:before="0" w:line="360" w:lineRule="auto"/>
              <w:ind w:left="0" w:right="160"/>
              <w:jc w:val="both"/>
              <w:rPr>
                <w:rFonts w:ascii="Book Antiqua" w:eastAsiaTheme="minorEastAsia" w:hAnsi="Book Antiqua" w:cstheme="minorBidi"/>
                <w:b/>
                <w:sz w:val="24"/>
                <w:szCs w:val="24"/>
                <w:lang w:bidi="ar-SA"/>
              </w:rPr>
            </w:pPr>
            <w:r w:rsidRPr="00AE154B">
              <w:rPr>
                <w:rFonts w:ascii="Book Antiqua" w:eastAsiaTheme="minorEastAsia" w:hAnsi="Book Antiqua" w:cstheme="minorBidi"/>
                <w:b/>
                <w:sz w:val="24"/>
                <w:szCs w:val="24"/>
                <w:lang w:bidi="ar-SA"/>
              </w:rPr>
              <w:t>Patient</w:t>
            </w:r>
          </w:p>
        </w:tc>
        <w:tc>
          <w:tcPr>
            <w:tcW w:w="499" w:type="pct"/>
            <w:tcBorders>
              <w:top w:val="single" w:sz="4" w:space="0" w:color="auto"/>
              <w:bottom w:val="single" w:sz="4" w:space="0" w:color="auto"/>
            </w:tcBorders>
            <w:shd w:val="clear" w:color="auto" w:fill="auto"/>
          </w:tcPr>
          <w:p w14:paraId="31CEAA50" w14:textId="77777777" w:rsidR="00304A38" w:rsidRPr="00AE154B" w:rsidRDefault="00304A38" w:rsidP="00AE154B">
            <w:pPr>
              <w:pStyle w:val="TableParagraph"/>
              <w:spacing w:before="0" w:line="360" w:lineRule="auto"/>
              <w:ind w:left="0" w:right="239"/>
              <w:jc w:val="both"/>
              <w:rPr>
                <w:rFonts w:ascii="Book Antiqua" w:eastAsiaTheme="minorEastAsia" w:hAnsi="Book Antiqua" w:cstheme="minorBidi"/>
                <w:b/>
                <w:sz w:val="24"/>
                <w:szCs w:val="24"/>
                <w:lang w:bidi="ar-SA"/>
              </w:rPr>
            </w:pPr>
            <w:r w:rsidRPr="00AE154B">
              <w:rPr>
                <w:rFonts w:ascii="Book Antiqua" w:eastAsiaTheme="minorEastAsia" w:hAnsi="Book Antiqua" w:cstheme="minorBidi"/>
                <w:b/>
                <w:sz w:val="24"/>
                <w:szCs w:val="24"/>
                <w:lang w:bidi="ar-SA"/>
              </w:rPr>
              <w:t>Age at diagnosis</w:t>
            </w:r>
          </w:p>
        </w:tc>
        <w:tc>
          <w:tcPr>
            <w:tcW w:w="886" w:type="pct"/>
            <w:tcBorders>
              <w:top w:val="single" w:sz="4" w:space="0" w:color="auto"/>
              <w:bottom w:val="single" w:sz="4" w:space="0" w:color="auto"/>
            </w:tcBorders>
            <w:shd w:val="clear" w:color="auto" w:fill="auto"/>
          </w:tcPr>
          <w:p w14:paraId="60689215" w14:textId="36779E38" w:rsidR="00304A38" w:rsidRPr="00AE154B" w:rsidRDefault="00304A38" w:rsidP="00AE154B">
            <w:pPr>
              <w:pStyle w:val="TableParagraph"/>
              <w:spacing w:before="0" w:line="360" w:lineRule="auto"/>
              <w:ind w:left="0" w:right="137"/>
              <w:jc w:val="both"/>
              <w:rPr>
                <w:rFonts w:ascii="Book Antiqua" w:eastAsiaTheme="minorEastAsia" w:hAnsi="Book Antiqua" w:cstheme="minorBidi"/>
                <w:b/>
                <w:sz w:val="24"/>
                <w:szCs w:val="24"/>
                <w:lang w:bidi="ar-SA"/>
              </w:rPr>
            </w:pPr>
            <w:r w:rsidRPr="00AE154B">
              <w:rPr>
                <w:rFonts w:ascii="Book Antiqua" w:eastAsiaTheme="minorEastAsia" w:hAnsi="Book Antiqua" w:cstheme="minorBidi"/>
                <w:b/>
                <w:sz w:val="24"/>
                <w:szCs w:val="24"/>
                <w:lang w:bidi="ar-SA"/>
              </w:rPr>
              <w:t xml:space="preserve">Symptoms </w:t>
            </w:r>
            <w:r w:rsidR="008F6625" w:rsidRPr="00AE154B">
              <w:rPr>
                <w:rFonts w:ascii="Book Antiqua" w:eastAsiaTheme="minorEastAsia" w:hAnsi="Book Antiqua" w:cstheme="minorBidi"/>
                <w:b/>
                <w:sz w:val="24"/>
                <w:szCs w:val="24"/>
                <w:lang w:bidi="ar-SA"/>
              </w:rPr>
              <w:t>and</w:t>
            </w:r>
            <w:r w:rsidRPr="00AE154B">
              <w:rPr>
                <w:rFonts w:ascii="Book Antiqua" w:eastAsiaTheme="minorEastAsia" w:hAnsi="Book Antiqua" w:cstheme="minorBidi"/>
                <w:b/>
                <w:sz w:val="24"/>
                <w:szCs w:val="24"/>
                <w:lang w:bidi="ar-SA"/>
              </w:rPr>
              <w:t xml:space="preserve"> signs</w:t>
            </w:r>
          </w:p>
        </w:tc>
        <w:tc>
          <w:tcPr>
            <w:tcW w:w="1012" w:type="pct"/>
            <w:tcBorders>
              <w:top w:val="single" w:sz="4" w:space="0" w:color="auto"/>
              <w:bottom w:val="single" w:sz="4" w:space="0" w:color="auto"/>
            </w:tcBorders>
            <w:shd w:val="clear" w:color="auto" w:fill="auto"/>
          </w:tcPr>
          <w:p w14:paraId="26B9135C" w14:textId="77777777" w:rsidR="00304A38" w:rsidRPr="00AE154B" w:rsidRDefault="00304A38" w:rsidP="00AE154B">
            <w:pPr>
              <w:pStyle w:val="TableParagraph"/>
              <w:spacing w:before="0" w:line="360" w:lineRule="auto"/>
              <w:ind w:left="0" w:right="124"/>
              <w:jc w:val="both"/>
              <w:rPr>
                <w:rFonts w:ascii="Book Antiqua" w:eastAsiaTheme="minorEastAsia" w:hAnsi="Book Antiqua" w:cstheme="minorBidi"/>
                <w:b/>
                <w:sz w:val="24"/>
                <w:szCs w:val="24"/>
                <w:lang w:bidi="ar-SA"/>
              </w:rPr>
            </w:pPr>
            <w:r w:rsidRPr="00AE154B">
              <w:rPr>
                <w:rFonts w:ascii="Book Antiqua" w:eastAsiaTheme="minorEastAsia" w:hAnsi="Book Antiqua" w:cstheme="minorBidi"/>
                <w:b/>
                <w:sz w:val="24"/>
                <w:szCs w:val="24"/>
                <w:lang w:bidi="ar-SA"/>
              </w:rPr>
              <w:t>Lab findings</w:t>
            </w:r>
          </w:p>
        </w:tc>
        <w:tc>
          <w:tcPr>
            <w:tcW w:w="1013" w:type="pct"/>
            <w:tcBorders>
              <w:top w:val="single" w:sz="4" w:space="0" w:color="auto"/>
              <w:bottom w:val="single" w:sz="4" w:space="0" w:color="auto"/>
            </w:tcBorders>
            <w:shd w:val="clear" w:color="auto" w:fill="auto"/>
          </w:tcPr>
          <w:p w14:paraId="1DF12DAA" w14:textId="0B8293ED" w:rsidR="00304A38" w:rsidRPr="00AE154B" w:rsidRDefault="00304A38" w:rsidP="00AE154B">
            <w:pPr>
              <w:pStyle w:val="TableParagraph"/>
              <w:spacing w:before="0" w:line="360" w:lineRule="auto"/>
              <w:ind w:left="0"/>
              <w:jc w:val="both"/>
              <w:rPr>
                <w:rFonts w:ascii="Book Antiqua" w:eastAsiaTheme="minorEastAsia" w:hAnsi="Book Antiqua" w:cstheme="minorBidi"/>
                <w:b/>
                <w:sz w:val="24"/>
                <w:szCs w:val="24"/>
                <w:lang w:bidi="ar-SA"/>
              </w:rPr>
            </w:pPr>
            <w:r w:rsidRPr="00AE154B">
              <w:rPr>
                <w:rFonts w:ascii="Book Antiqua" w:eastAsiaTheme="minorEastAsia" w:hAnsi="Book Antiqua" w:cstheme="minorBidi"/>
                <w:b/>
                <w:sz w:val="24"/>
                <w:szCs w:val="24"/>
                <w:lang w:bidi="ar-SA"/>
              </w:rPr>
              <w:t>Organomegaly;</w:t>
            </w:r>
            <w:r w:rsidR="008F6625" w:rsidRPr="00AE154B">
              <w:rPr>
                <w:rFonts w:ascii="Book Antiqua" w:eastAsiaTheme="minorEastAsia" w:hAnsi="Book Antiqua" w:cstheme="minorBidi"/>
                <w:b/>
                <w:sz w:val="24"/>
                <w:szCs w:val="24"/>
                <w:lang w:eastAsia="zh-CN" w:bidi="ar-SA"/>
              </w:rPr>
              <w:t xml:space="preserve"> </w:t>
            </w:r>
            <w:r w:rsidRPr="00AE154B">
              <w:rPr>
                <w:rFonts w:ascii="Book Antiqua" w:eastAsiaTheme="minorEastAsia" w:hAnsi="Book Antiqua" w:cstheme="minorBidi"/>
                <w:b/>
                <w:sz w:val="24"/>
                <w:szCs w:val="24"/>
                <w:lang w:bidi="ar-SA"/>
              </w:rPr>
              <w:t>Bone disorder</w:t>
            </w:r>
          </w:p>
        </w:tc>
        <w:tc>
          <w:tcPr>
            <w:tcW w:w="759" w:type="pct"/>
            <w:tcBorders>
              <w:top w:val="single" w:sz="4" w:space="0" w:color="auto"/>
              <w:bottom w:val="single" w:sz="4" w:space="0" w:color="auto"/>
            </w:tcBorders>
            <w:shd w:val="clear" w:color="auto" w:fill="auto"/>
          </w:tcPr>
          <w:p w14:paraId="487185B5" w14:textId="77777777" w:rsidR="00304A38" w:rsidRPr="00AE154B" w:rsidRDefault="00304A38" w:rsidP="00AE154B">
            <w:pPr>
              <w:pStyle w:val="TableParagraph"/>
              <w:spacing w:before="0" w:line="360" w:lineRule="auto"/>
              <w:ind w:left="0" w:right="149"/>
              <w:jc w:val="both"/>
              <w:rPr>
                <w:rFonts w:ascii="Book Antiqua" w:eastAsiaTheme="minorEastAsia" w:hAnsi="Book Antiqua" w:cstheme="minorBidi"/>
                <w:b/>
                <w:sz w:val="24"/>
                <w:szCs w:val="24"/>
                <w:lang w:bidi="ar-SA"/>
              </w:rPr>
            </w:pPr>
            <w:r w:rsidRPr="00AE154B">
              <w:rPr>
                <w:rFonts w:ascii="Book Antiqua" w:eastAsiaTheme="minorEastAsia" w:hAnsi="Book Antiqua" w:cstheme="minorBidi"/>
                <w:b/>
                <w:sz w:val="24"/>
                <w:szCs w:val="24"/>
                <w:lang w:bidi="ar-SA"/>
              </w:rPr>
              <w:t>Genetics</w:t>
            </w:r>
          </w:p>
        </w:tc>
        <w:tc>
          <w:tcPr>
            <w:tcW w:w="317" w:type="pct"/>
            <w:tcBorders>
              <w:top w:val="single" w:sz="4" w:space="0" w:color="auto"/>
              <w:bottom w:val="single" w:sz="4" w:space="0" w:color="auto"/>
            </w:tcBorders>
            <w:shd w:val="clear" w:color="auto" w:fill="auto"/>
          </w:tcPr>
          <w:p w14:paraId="46235E60" w14:textId="77777777" w:rsidR="00304A38" w:rsidRPr="00AE154B" w:rsidRDefault="00304A38" w:rsidP="00AE154B">
            <w:pPr>
              <w:pStyle w:val="TableParagraph"/>
              <w:spacing w:before="0" w:line="360" w:lineRule="auto"/>
              <w:ind w:left="0" w:right="102"/>
              <w:jc w:val="both"/>
              <w:rPr>
                <w:rFonts w:ascii="Book Antiqua" w:eastAsiaTheme="minorEastAsia" w:hAnsi="Book Antiqua" w:cstheme="minorBidi"/>
                <w:b/>
                <w:sz w:val="24"/>
                <w:szCs w:val="24"/>
                <w:lang w:bidi="ar-SA"/>
              </w:rPr>
            </w:pPr>
            <w:r w:rsidRPr="00AE154B">
              <w:rPr>
                <w:rFonts w:ascii="Book Antiqua" w:eastAsiaTheme="minorEastAsia" w:hAnsi="Book Antiqua" w:cstheme="minorBidi"/>
                <w:b/>
                <w:sz w:val="24"/>
                <w:szCs w:val="24"/>
                <w:lang w:bidi="ar-SA"/>
              </w:rPr>
              <w:t>Children</w:t>
            </w:r>
          </w:p>
        </w:tc>
      </w:tr>
      <w:tr w:rsidR="008F6625" w:rsidRPr="00AE154B" w14:paraId="65A7C8E5" w14:textId="77777777" w:rsidTr="00664726">
        <w:trPr>
          <w:trHeight w:val="1367"/>
        </w:trPr>
        <w:tc>
          <w:tcPr>
            <w:tcW w:w="514" w:type="pct"/>
            <w:tcBorders>
              <w:top w:val="single" w:sz="4" w:space="0" w:color="auto"/>
            </w:tcBorders>
            <w:shd w:val="clear" w:color="auto" w:fill="auto"/>
          </w:tcPr>
          <w:p w14:paraId="4DA1895A" w14:textId="6A8ED514" w:rsidR="00304A38" w:rsidRPr="00AE154B" w:rsidRDefault="008F6625" w:rsidP="00AE154B">
            <w:pPr>
              <w:pStyle w:val="TableParagraph"/>
              <w:spacing w:before="0" w:line="360" w:lineRule="auto"/>
              <w:ind w:left="120" w:right="166" w:hangingChars="50" w:hanging="120"/>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 xml:space="preserve">Patient 1 </w:t>
            </w:r>
            <w:r w:rsidR="00304A38" w:rsidRPr="00AE154B">
              <w:rPr>
                <w:rFonts w:ascii="Book Antiqua" w:eastAsiaTheme="minorEastAsia" w:hAnsi="Book Antiqua" w:cstheme="minorBidi"/>
                <w:sz w:val="24"/>
                <w:szCs w:val="24"/>
                <w:lang w:bidi="ar-SA"/>
              </w:rPr>
              <w:t>Gender</w:t>
            </w:r>
            <w:r w:rsidRPr="00AE154B">
              <w:rPr>
                <w:rFonts w:ascii="Book Antiqua" w:eastAsiaTheme="minorEastAsia" w:hAnsi="Book Antiqua" w:cstheme="minorBidi"/>
                <w:sz w:val="24"/>
                <w:szCs w:val="24"/>
                <w:lang w:bidi="ar-SA"/>
              </w:rPr>
              <w:t xml:space="preserve">: </w:t>
            </w:r>
            <w:r w:rsidR="00304A38" w:rsidRPr="00AE154B">
              <w:rPr>
                <w:rFonts w:ascii="Book Antiqua" w:eastAsiaTheme="minorEastAsia" w:hAnsi="Book Antiqua" w:cstheme="minorBidi"/>
                <w:sz w:val="24"/>
                <w:szCs w:val="24"/>
                <w:lang w:bidi="ar-SA"/>
              </w:rPr>
              <w:t>M</w:t>
            </w:r>
          </w:p>
        </w:tc>
        <w:tc>
          <w:tcPr>
            <w:tcW w:w="499" w:type="pct"/>
            <w:tcBorders>
              <w:top w:val="single" w:sz="4" w:space="0" w:color="auto"/>
            </w:tcBorders>
            <w:shd w:val="clear" w:color="auto" w:fill="auto"/>
          </w:tcPr>
          <w:p w14:paraId="491F2619" w14:textId="77777777" w:rsidR="00304A38" w:rsidRPr="00AE154B" w:rsidRDefault="00304A38" w:rsidP="00AE154B">
            <w:pPr>
              <w:pStyle w:val="TableParagraph"/>
              <w:spacing w:before="0" w:line="360" w:lineRule="auto"/>
              <w:ind w:left="0" w:right="579"/>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8</w:t>
            </w:r>
          </w:p>
        </w:tc>
        <w:tc>
          <w:tcPr>
            <w:tcW w:w="886" w:type="pct"/>
            <w:tcBorders>
              <w:top w:val="single" w:sz="4" w:space="0" w:color="auto"/>
            </w:tcBorders>
            <w:shd w:val="clear" w:color="auto" w:fill="auto"/>
          </w:tcPr>
          <w:p w14:paraId="4B057635" w14:textId="77777777" w:rsidR="00304A38" w:rsidRPr="00AE154B" w:rsidRDefault="00304A38" w:rsidP="00AE154B">
            <w:pPr>
              <w:pStyle w:val="TableParagraph"/>
              <w:spacing w:before="0" w:line="360" w:lineRule="auto"/>
              <w:ind w:left="0" w:right="178"/>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Stunted growth; distended stomch; bone pain</w:t>
            </w:r>
          </w:p>
        </w:tc>
        <w:tc>
          <w:tcPr>
            <w:tcW w:w="1012" w:type="pct"/>
            <w:tcBorders>
              <w:top w:val="single" w:sz="4" w:space="0" w:color="auto"/>
            </w:tcBorders>
            <w:shd w:val="clear" w:color="auto" w:fill="auto"/>
          </w:tcPr>
          <w:p w14:paraId="003EF9DF" w14:textId="213BCB36" w:rsidR="00304A38" w:rsidRPr="00AE154B" w:rsidRDefault="00304A38" w:rsidP="00AE154B">
            <w:pPr>
              <w:pStyle w:val="TableParagraph"/>
              <w:spacing w:before="0" w:line="360" w:lineRule="auto"/>
              <w:ind w:left="0" w:right="124"/>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Thrombocytopenia; Gaucher cells in BM; plasma</w:t>
            </w:r>
            <w:r w:rsidR="008F6625" w:rsidRPr="00AE154B">
              <w:rPr>
                <w:rFonts w:ascii="Book Antiqua" w:eastAsiaTheme="minorEastAsia" w:hAnsi="Book Antiqua" w:cstheme="minorBidi"/>
                <w:sz w:val="24"/>
                <w:szCs w:val="24"/>
                <w:lang w:bidi="ar-SA"/>
              </w:rPr>
              <w:t xml:space="preserve">: </w:t>
            </w:r>
            <w:r w:rsidRPr="00AE154B">
              <w:rPr>
                <w:rFonts w:ascii="Book Antiqua" w:eastAsiaTheme="minorEastAsia" w:hAnsi="Book Antiqua" w:cstheme="minorBidi"/>
                <w:sz w:val="24"/>
                <w:szCs w:val="24"/>
                <w:lang w:bidi="ar-SA"/>
              </w:rPr>
              <w:t xml:space="preserve">chitotriosidase ↑; </w:t>
            </w:r>
            <w:r w:rsidR="00442D49" w:rsidRPr="00AE154B">
              <w:rPr>
                <w:rFonts w:ascii="Book Antiqua" w:eastAsiaTheme="minorEastAsia" w:hAnsi="Book Antiqua" w:cstheme="minorBidi"/>
                <w:sz w:val="24"/>
                <w:szCs w:val="24"/>
                <w:lang w:bidi="ar-SA"/>
              </w:rPr>
              <w:t>β</w:t>
            </w:r>
            <w:r w:rsidRPr="00AE154B">
              <w:rPr>
                <w:rFonts w:ascii="Book Antiqua" w:eastAsiaTheme="minorEastAsia" w:hAnsi="Book Antiqua" w:cstheme="minorBidi"/>
                <w:sz w:val="24"/>
                <w:szCs w:val="24"/>
                <w:lang w:bidi="ar-SA"/>
              </w:rPr>
              <w:t>- glucosidase ↓</w:t>
            </w:r>
          </w:p>
        </w:tc>
        <w:tc>
          <w:tcPr>
            <w:tcW w:w="1013" w:type="pct"/>
            <w:tcBorders>
              <w:top w:val="single" w:sz="4" w:space="0" w:color="auto"/>
            </w:tcBorders>
            <w:shd w:val="clear" w:color="auto" w:fill="auto"/>
          </w:tcPr>
          <w:p w14:paraId="47D1E8A5" w14:textId="030BCFC5" w:rsidR="00304A38" w:rsidRPr="00AE154B" w:rsidRDefault="00304A38" w:rsidP="00AE154B">
            <w:pPr>
              <w:pStyle w:val="TableParagraph"/>
              <w:spacing w:before="0" w:line="360" w:lineRule="auto"/>
              <w:ind w:left="0"/>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Splenomegaly;</w:t>
            </w:r>
            <w:r w:rsidR="00664726" w:rsidRPr="00AE154B">
              <w:rPr>
                <w:rFonts w:ascii="Book Antiqua" w:eastAsiaTheme="minorEastAsia" w:hAnsi="Book Antiqua" w:cstheme="minorBidi"/>
                <w:sz w:val="24"/>
                <w:szCs w:val="24"/>
                <w:lang w:eastAsia="zh-CN" w:bidi="ar-SA"/>
              </w:rPr>
              <w:t xml:space="preserve"> </w:t>
            </w:r>
            <w:r w:rsidRPr="00AE154B">
              <w:rPr>
                <w:rFonts w:ascii="Book Antiqua" w:eastAsiaTheme="minorEastAsia" w:hAnsi="Book Antiqua" w:cstheme="minorBidi"/>
                <w:sz w:val="24"/>
                <w:szCs w:val="24"/>
                <w:lang w:bidi="ar-SA"/>
              </w:rPr>
              <w:t>Erlenmeyer flask deformity of both femurs</w:t>
            </w:r>
          </w:p>
        </w:tc>
        <w:tc>
          <w:tcPr>
            <w:tcW w:w="759" w:type="pct"/>
            <w:tcBorders>
              <w:top w:val="single" w:sz="4" w:space="0" w:color="auto"/>
            </w:tcBorders>
            <w:shd w:val="clear" w:color="auto" w:fill="auto"/>
          </w:tcPr>
          <w:p w14:paraId="5AD6ECC7" w14:textId="77777777" w:rsidR="00304A38" w:rsidRPr="00AE154B" w:rsidRDefault="00304A38" w:rsidP="00AE154B">
            <w:pPr>
              <w:pStyle w:val="TableParagraph"/>
              <w:spacing w:before="0" w:line="360" w:lineRule="auto"/>
              <w:ind w:left="0" w:right="149"/>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N370S/55bp</w:t>
            </w:r>
          </w:p>
        </w:tc>
        <w:tc>
          <w:tcPr>
            <w:tcW w:w="317" w:type="pct"/>
            <w:tcBorders>
              <w:top w:val="single" w:sz="4" w:space="0" w:color="auto"/>
            </w:tcBorders>
            <w:shd w:val="clear" w:color="auto" w:fill="auto"/>
          </w:tcPr>
          <w:p w14:paraId="02467FF7" w14:textId="4D8BB5CC" w:rsidR="00304A38" w:rsidRPr="00AE154B" w:rsidRDefault="00664726" w:rsidP="00AE154B">
            <w:pPr>
              <w:pStyle w:val="TableParagraph"/>
              <w:spacing w:before="0" w:line="360" w:lineRule="auto"/>
              <w:ind w:left="0" w:right="100"/>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No</w:t>
            </w:r>
          </w:p>
        </w:tc>
      </w:tr>
      <w:tr w:rsidR="008F6625" w:rsidRPr="00AE154B" w14:paraId="1C8777F5" w14:textId="77777777" w:rsidTr="00664726">
        <w:trPr>
          <w:trHeight w:val="1365"/>
        </w:trPr>
        <w:tc>
          <w:tcPr>
            <w:tcW w:w="514" w:type="pct"/>
            <w:shd w:val="clear" w:color="auto" w:fill="auto"/>
          </w:tcPr>
          <w:p w14:paraId="4F7747BF" w14:textId="6C14689F" w:rsidR="00304A38" w:rsidRPr="00AE154B" w:rsidRDefault="008F6625" w:rsidP="00AE154B">
            <w:pPr>
              <w:pStyle w:val="TableParagraph"/>
              <w:spacing w:before="0" w:line="360" w:lineRule="auto"/>
              <w:ind w:left="0" w:right="166"/>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Patient 2 Gender: M</w:t>
            </w:r>
          </w:p>
        </w:tc>
        <w:tc>
          <w:tcPr>
            <w:tcW w:w="499" w:type="pct"/>
            <w:shd w:val="clear" w:color="auto" w:fill="auto"/>
          </w:tcPr>
          <w:p w14:paraId="2E085AA1" w14:textId="77777777" w:rsidR="00304A38" w:rsidRPr="00AE154B" w:rsidRDefault="00304A38" w:rsidP="00AE154B">
            <w:pPr>
              <w:pStyle w:val="TableParagraph"/>
              <w:spacing w:before="0" w:line="360" w:lineRule="auto"/>
              <w:ind w:left="0" w:right="532"/>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40</w:t>
            </w:r>
          </w:p>
        </w:tc>
        <w:tc>
          <w:tcPr>
            <w:tcW w:w="886" w:type="pct"/>
            <w:shd w:val="clear" w:color="auto" w:fill="auto"/>
          </w:tcPr>
          <w:p w14:paraId="1189B014" w14:textId="77777777" w:rsidR="00304A38" w:rsidRPr="00AE154B" w:rsidRDefault="00304A38" w:rsidP="00AE154B">
            <w:pPr>
              <w:pStyle w:val="TableParagraph"/>
              <w:spacing w:before="0" w:line="360" w:lineRule="auto"/>
              <w:ind w:left="0" w:right="220"/>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Loss of appetite; Abdominal and lumbosacral pain</w:t>
            </w:r>
          </w:p>
        </w:tc>
        <w:tc>
          <w:tcPr>
            <w:tcW w:w="1012" w:type="pct"/>
            <w:shd w:val="clear" w:color="auto" w:fill="auto"/>
          </w:tcPr>
          <w:p w14:paraId="6A349DB8" w14:textId="3E0F58A9" w:rsidR="00304A38" w:rsidRPr="00AE154B" w:rsidRDefault="00304A38" w:rsidP="00AE154B">
            <w:pPr>
              <w:pStyle w:val="TableParagraph"/>
              <w:spacing w:before="0" w:line="360" w:lineRule="auto"/>
              <w:ind w:left="0" w:right="124"/>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Thrombocytopenia; Gaucher cells in BM; plasma</w:t>
            </w:r>
            <w:r w:rsidR="00664726" w:rsidRPr="00AE154B">
              <w:rPr>
                <w:rFonts w:ascii="Book Antiqua" w:eastAsiaTheme="minorEastAsia" w:hAnsi="Book Antiqua" w:cstheme="minorBidi"/>
                <w:sz w:val="24"/>
                <w:szCs w:val="24"/>
                <w:lang w:bidi="ar-SA"/>
              </w:rPr>
              <w:t xml:space="preserve">: </w:t>
            </w:r>
            <w:r w:rsidRPr="00AE154B">
              <w:rPr>
                <w:rFonts w:ascii="Book Antiqua" w:eastAsiaTheme="minorEastAsia" w:hAnsi="Book Antiqua" w:cstheme="minorBidi"/>
                <w:sz w:val="24"/>
                <w:szCs w:val="24"/>
                <w:lang w:bidi="ar-SA"/>
              </w:rPr>
              <w:t xml:space="preserve">chitotriosidase ↑; </w:t>
            </w:r>
            <w:r w:rsidR="00442D49" w:rsidRPr="00AE154B">
              <w:rPr>
                <w:rFonts w:ascii="Book Antiqua" w:eastAsiaTheme="minorEastAsia" w:hAnsi="Book Antiqua" w:cstheme="minorBidi"/>
                <w:sz w:val="24"/>
                <w:szCs w:val="24"/>
                <w:lang w:bidi="ar-SA"/>
              </w:rPr>
              <w:t>β</w:t>
            </w:r>
            <w:r w:rsidRPr="00AE154B">
              <w:rPr>
                <w:rFonts w:ascii="Book Antiqua" w:eastAsiaTheme="minorEastAsia" w:hAnsi="Book Antiqua" w:cstheme="minorBidi"/>
                <w:sz w:val="24"/>
                <w:szCs w:val="24"/>
                <w:lang w:bidi="ar-SA"/>
              </w:rPr>
              <w:t>- glucosidase ↓</w:t>
            </w:r>
          </w:p>
        </w:tc>
        <w:tc>
          <w:tcPr>
            <w:tcW w:w="1013" w:type="pct"/>
            <w:shd w:val="clear" w:color="auto" w:fill="auto"/>
          </w:tcPr>
          <w:p w14:paraId="5AA2E361" w14:textId="4DF29CE6" w:rsidR="00304A38" w:rsidRPr="00AE154B" w:rsidRDefault="00304A38" w:rsidP="00AE154B">
            <w:pPr>
              <w:pStyle w:val="TableParagraph"/>
              <w:spacing w:before="0" w:line="360" w:lineRule="auto"/>
              <w:ind w:left="0" w:right="318"/>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Splenomegaly,</w:t>
            </w:r>
            <w:r w:rsidR="00664726" w:rsidRPr="00AE154B">
              <w:rPr>
                <w:rFonts w:ascii="Book Antiqua" w:eastAsiaTheme="minorEastAsia" w:hAnsi="Book Antiqua" w:cstheme="minorBidi"/>
                <w:sz w:val="24"/>
                <w:szCs w:val="24"/>
                <w:lang w:bidi="ar-SA"/>
              </w:rPr>
              <w:t xml:space="preserve"> </w:t>
            </w:r>
            <w:r w:rsidRPr="00AE154B">
              <w:rPr>
                <w:rFonts w:ascii="Book Antiqua" w:eastAsiaTheme="minorEastAsia" w:hAnsi="Book Antiqua" w:cstheme="minorBidi"/>
                <w:sz w:val="24"/>
                <w:szCs w:val="24"/>
                <w:lang w:bidi="ar-SA"/>
              </w:rPr>
              <w:t>hepatomegaly;</w:t>
            </w:r>
            <w:r w:rsidR="00664726" w:rsidRPr="00AE154B">
              <w:rPr>
                <w:rFonts w:ascii="Book Antiqua" w:eastAsiaTheme="minorEastAsia" w:hAnsi="Book Antiqua" w:cstheme="minorBidi"/>
                <w:sz w:val="24"/>
                <w:szCs w:val="24"/>
                <w:lang w:eastAsia="zh-CN" w:bidi="ar-SA"/>
              </w:rPr>
              <w:t xml:space="preserve"> </w:t>
            </w:r>
            <w:r w:rsidRPr="00AE154B">
              <w:rPr>
                <w:rFonts w:ascii="Book Antiqua" w:eastAsiaTheme="minorEastAsia" w:hAnsi="Book Antiqua" w:cstheme="minorBidi"/>
                <w:sz w:val="24"/>
                <w:szCs w:val="24"/>
                <w:lang w:bidi="ar-SA"/>
              </w:rPr>
              <w:t>No bone disorder</w:t>
            </w:r>
          </w:p>
        </w:tc>
        <w:tc>
          <w:tcPr>
            <w:tcW w:w="759" w:type="pct"/>
            <w:shd w:val="clear" w:color="auto" w:fill="auto"/>
          </w:tcPr>
          <w:p w14:paraId="35F9DBE0" w14:textId="77777777" w:rsidR="00304A38" w:rsidRPr="00AE154B" w:rsidRDefault="00304A38" w:rsidP="00AE154B">
            <w:pPr>
              <w:pStyle w:val="TableParagraph"/>
              <w:spacing w:before="0" w:line="360" w:lineRule="auto"/>
              <w:ind w:left="0" w:right="149"/>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N370S/D409H</w:t>
            </w:r>
          </w:p>
        </w:tc>
        <w:tc>
          <w:tcPr>
            <w:tcW w:w="317" w:type="pct"/>
            <w:shd w:val="clear" w:color="auto" w:fill="auto"/>
          </w:tcPr>
          <w:p w14:paraId="4D74FFD5" w14:textId="77777777" w:rsidR="00304A38" w:rsidRPr="00AE154B" w:rsidRDefault="00304A38" w:rsidP="00AE154B">
            <w:pPr>
              <w:pStyle w:val="TableParagraph"/>
              <w:spacing w:before="0" w:line="360" w:lineRule="auto"/>
              <w:ind w:left="11"/>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2</w:t>
            </w:r>
          </w:p>
        </w:tc>
      </w:tr>
      <w:tr w:rsidR="008F6625" w:rsidRPr="00AE154B" w14:paraId="43F84CE5" w14:textId="77777777" w:rsidTr="00664726">
        <w:trPr>
          <w:trHeight w:val="1768"/>
        </w:trPr>
        <w:tc>
          <w:tcPr>
            <w:tcW w:w="514" w:type="pct"/>
            <w:shd w:val="clear" w:color="auto" w:fill="auto"/>
          </w:tcPr>
          <w:p w14:paraId="29F6C013" w14:textId="298E4B31" w:rsidR="00304A38" w:rsidRPr="00AE154B" w:rsidRDefault="008F6625" w:rsidP="00AE154B">
            <w:pPr>
              <w:pStyle w:val="TableParagraph"/>
              <w:spacing w:before="0" w:line="360" w:lineRule="auto"/>
              <w:ind w:left="0" w:right="166"/>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Patient 3 Gender: M</w:t>
            </w:r>
          </w:p>
        </w:tc>
        <w:tc>
          <w:tcPr>
            <w:tcW w:w="499" w:type="pct"/>
            <w:shd w:val="clear" w:color="auto" w:fill="auto"/>
          </w:tcPr>
          <w:p w14:paraId="7A335105" w14:textId="77777777" w:rsidR="00304A38" w:rsidRPr="00AE154B" w:rsidRDefault="00304A38" w:rsidP="00AE154B">
            <w:pPr>
              <w:pStyle w:val="TableParagraph"/>
              <w:spacing w:before="0" w:line="360" w:lineRule="auto"/>
              <w:ind w:left="0" w:right="532"/>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36</w:t>
            </w:r>
          </w:p>
        </w:tc>
        <w:tc>
          <w:tcPr>
            <w:tcW w:w="886" w:type="pct"/>
            <w:shd w:val="clear" w:color="auto" w:fill="auto"/>
          </w:tcPr>
          <w:p w14:paraId="1DB82EE5" w14:textId="77777777" w:rsidR="00304A38" w:rsidRPr="00AE154B" w:rsidRDefault="00304A38" w:rsidP="00AE154B">
            <w:pPr>
              <w:pStyle w:val="TableParagraph"/>
              <w:spacing w:before="0" w:line="360" w:lineRule="auto"/>
              <w:ind w:left="0" w:right="251"/>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Nasal bleeding; pain under right costal arch</w:t>
            </w:r>
          </w:p>
        </w:tc>
        <w:tc>
          <w:tcPr>
            <w:tcW w:w="1012" w:type="pct"/>
            <w:shd w:val="clear" w:color="auto" w:fill="auto"/>
          </w:tcPr>
          <w:p w14:paraId="1947EE12" w14:textId="58C2FF2D" w:rsidR="00304A38" w:rsidRPr="00AE154B" w:rsidRDefault="00304A38" w:rsidP="00AE154B">
            <w:pPr>
              <w:pStyle w:val="TableParagraph"/>
              <w:spacing w:before="0" w:line="360" w:lineRule="auto"/>
              <w:ind w:left="0" w:right="124"/>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Thrombocytopenia; Gaucher cells in BM; plasma</w:t>
            </w:r>
            <w:r w:rsidR="00664726" w:rsidRPr="00AE154B">
              <w:rPr>
                <w:rFonts w:ascii="Book Antiqua" w:eastAsiaTheme="minorEastAsia" w:hAnsi="Book Antiqua" w:cstheme="minorBidi"/>
                <w:sz w:val="24"/>
                <w:szCs w:val="24"/>
                <w:lang w:bidi="ar-SA"/>
              </w:rPr>
              <w:t xml:space="preserve">: </w:t>
            </w:r>
            <w:r w:rsidRPr="00AE154B">
              <w:rPr>
                <w:rFonts w:ascii="Book Antiqua" w:eastAsiaTheme="minorEastAsia" w:hAnsi="Book Antiqua" w:cstheme="minorBidi"/>
                <w:sz w:val="24"/>
                <w:szCs w:val="24"/>
                <w:lang w:bidi="ar-SA"/>
              </w:rPr>
              <w:t xml:space="preserve">chitotriosidase ↑; </w:t>
            </w:r>
            <w:r w:rsidR="00442D49" w:rsidRPr="00AE154B">
              <w:rPr>
                <w:rFonts w:ascii="Book Antiqua" w:eastAsiaTheme="minorEastAsia" w:hAnsi="Book Antiqua" w:cstheme="minorBidi"/>
                <w:sz w:val="24"/>
                <w:szCs w:val="24"/>
                <w:lang w:bidi="ar-SA"/>
              </w:rPr>
              <w:t>β</w:t>
            </w:r>
            <w:r w:rsidRPr="00AE154B">
              <w:rPr>
                <w:rFonts w:ascii="Book Antiqua" w:eastAsiaTheme="minorEastAsia" w:hAnsi="Book Antiqua" w:cstheme="minorBidi"/>
                <w:sz w:val="24"/>
                <w:szCs w:val="24"/>
                <w:lang w:bidi="ar-SA"/>
              </w:rPr>
              <w:t>- glucosidase ↓</w:t>
            </w:r>
          </w:p>
        </w:tc>
        <w:tc>
          <w:tcPr>
            <w:tcW w:w="1013" w:type="pct"/>
            <w:shd w:val="clear" w:color="auto" w:fill="auto"/>
          </w:tcPr>
          <w:p w14:paraId="3EA31B01" w14:textId="1BA8EE9A" w:rsidR="00304A38" w:rsidRPr="00AE154B" w:rsidRDefault="00304A38" w:rsidP="00AE154B">
            <w:pPr>
              <w:pStyle w:val="TableParagraph"/>
              <w:spacing w:before="0" w:line="360" w:lineRule="auto"/>
              <w:ind w:left="0" w:right="318"/>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Splenomegaly,</w:t>
            </w:r>
            <w:r w:rsidR="00664726" w:rsidRPr="00AE154B">
              <w:rPr>
                <w:rFonts w:ascii="Book Antiqua" w:eastAsiaTheme="minorEastAsia" w:hAnsi="Book Antiqua" w:cstheme="minorBidi"/>
                <w:sz w:val="24"/>
                <w:szCs w:val="24"/>
                <w:lang w:bidi="ar-SA"/>
              </w:rPr>
              <w:t xml:space="preserve"> </w:t>
            </w:r>
            <w:r w:rsidRPr="00AE154B">
              <w:rPr>
                <w:rFonts w:ascii="Book Antiqua" w:eastAsiaTheme="minorEastAsia" w:hAnsi="Book Antiqua" w:cstheme="minorBidi"/>
                <w:sz w:val="24"/>
                <w:szCs w:val="24"/>
                <w:lang w:bidi="ar-SA"/>
              </w:rPr>
              <w:t>hepatomegaly;</w:t>
            </w:r>
            <w:r w:rsidR="00664726" w:rsidRPr="00AE154B">
              <w:rPr>
                <w:rFonts w:ascii="Book Antiqua" w:eastAsiaTheme="minorEastAsia" w:hAnsi="Book Antiqua" w:cstheme="minorBidi"/>
                <w:sz w:val="24"/>
                <w:szCs w:val="24"/>
                <w:lang w:eastAsia="zh-CN" w:bidi="ar-SA"/>
              </w:rPr>
              <w:t xml:space="preserve"> </w:t>
            </w:r>
            <w:r w:rsidRPr="00AE154B">
              <w:rPr>
                <w:rFonts w:ascii="Book Antiqua" w:eastAsiaTheme="minorEastAsia" w:hAnsi="Book Antiqua" w:cstheme="minorBidi"/>
                <w:sz w:val="24"/>
                <w:szCs w:val="24"/>
                <w:lang w:bidi="ar-SA"/>
              </w:rPr>
              <w:t>Infiltration in the trochanter region on</w:t>
            </w:r>
            <w:r w:rsidR="00DF5316">
              <w:rPr>
                <w:rFonts w:ascii="Book Antiqua" w:eastAsiaTheme="minorEastAsia" w:hAnsi="Book Antiqua" w:cstheme="minorBidi" w:hint="eastAsia"/>
                <w:sz w:val="24"/>
                <w:szCs w:val="24"/>
                <w:lang w:eastAsia="zh-CN" w:bidi="ar-SA"/>
              </w:rPr>
              <w:t xml:space="preserve"> </w:t>
            </w:r>
            <w:r w:rsidRPr="00AE154B">
              <w:rPr>
                <w:rFonts w:ascii="Book Antiqua" w:eastAsiaTheme="minorEastAsia" w:hAnsi="Book Antiqua" w:cstheme="minorBidi"/>
                <w:sz w:val="24"/>
                <w:szCs w:val="24"/>
                <w:lang w:bidi="ar-SA"/>
              </w:rPr>
              <w:t>both</w:t>
            </w:r>
            <w:r w:rsidR="00DF5316">
              <w:rPr>
                <w:rFonts w:ascii="Book Antiqua" w:eastAsiaTheme="minorEastAsia" w:hAnsi="Book Antiqua" w:cstheme="minorBidi" w:hint="eastAsia"/>
                <w:sz w:val="24"/>
                <w:szCs w:val="24"/>
                <w:lang w:eastAsia="zh-CN" w:bidi="ar-SA"/>
              </w:rPr>
              <w:t xml:space="preserve"> </w:t>
            </w:r>
            <w:r w:rsidRPr="00AE154B">
              <w:rPr>
                <w:rFonts w:ascii="Book Antiqua" w:eastAsiaTheme="minorEastAsia" w:hAnsi="Book Antiqua" w:cstheme="minorBidi"/>
                <w:sz w:val="24"/>
                <w:szCs w:val="24"/>
                <w:lang w:bidi="ar-SA"/>
              </w:rPr>
              <w:t>sides</w:t>
            </w:r>
            <w:r w:rsidR="00664726" w:rsidRPr="00AE154B">
              <w:rPr>
                <w:rFonts w:ascii="Book Antiqua" w:eastAsiaTheme="minorEastAsia" w:hAnsi="Book Antiqua" w:cstheme="minorBidi"/>
                <w:sz w:val="24"/>
                <w:szCs w:val="24"/>
                <w:lang w:bidi="ar-SA"/>
              </w:rPr>
              <w:t xml:space="preserve"> and </w:t>
            </w:r>
            <w:r w:rsidRPr="00AE154B">
              <w:rPr>
                <w:rFonts w:ascii="Book Antiqua" w:eastAsiaTheme="minorEastAsia" w:hAnsi="Book Antiqua" w:cstheme="minorBidi"/>
                <w:sz w:val="24"/>
                <w:szCs w:val="24"/>
                <w:lang w:bidi="ar-SA"/>
              </w:rPr>
              <w:t>LS spine</w:t>
            </w:r>
          </w:p>
        </w:tc>
        <w:tc>
          <w:tcPr>
            <w:tcW w:w="759" w:type="pct"/>
            <w:shd w:val="clear" w:color="auto" w:fill="auto"/>
          </w:tcPr>
          <w:p w14:paraId="124FD74C" w14:textId="77777777" w:rsidR="00304A38" w:rsidRPr="00AE154B" w:rsidRDefault="00304A38" w:rsidP="00AE154B">
            <w:pPr>
              <w:pStyle w:val="TableParagraph"/>
              <w:spacing w:before="0" w:line="360" w:lineRule="auto"/>
              <w:ind w:left="0" w:right="149"/>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N370S/D409H</w:t>
            </w:r>
          </w:p>
        </w:tc>
        <w:tc>
          <w:tcPr>
            <w:tcW w:w="317" w:type="pct"/>
            <w:shd w:val="clear" w:color="auto" w:fill="auto"/>
          </w:tcPr>
          <w:p w14:paraId="1C034199" w14:textId="77777777" w:rsidR="00304A38" w:rsidRPr="00AE154B" w:rsidRDefault="00304A38" w:rsidP="00AE154B">
            <w:pPr>
              <w:pStyle w:val="TableParagraph"/>
              <w:spacing w:before="0" w:line="360" w:lineRule="auto"/>
              <w:ind w:left="11"/>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2</w:t>
            </w:r>
          </w:p>
        </w:tc>
      </w:tr>
      <w:tr w:rsidR="008F6625" w:rsidRPr="00AE154B" w14:paraId="780C5315" w14:textId="77777777" w:rsidTr="00664726">
        <w:trPr>
          <w:trHeight w:val="1365"/>
        </w:trPr>
        <w:tc>
          <w:tcPr>
            <w:tcW w:w="514" w:type="pct"/>
            <w:shd w:val="clear" w:color="auto" w:fill="auto"/>
          </w:tcPr>
          <w:p w14:paraId="0184999F" w14:textId="1FE94504" w:rsidR="00304A38" w:rsidRPr="00AE154B" w:rsidRDefault="008F6625" w:rsidP="00AE154B">
            <w:pPr>
              <w:pStyle w:val="TableParagraph"/>
              <w:spacing w:before="0" w:line="360" w:lineRule="auto"/>
              <w:ind w:left="0" w:right="166"/>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Patient 4 Gender: M</w:t>
            </w:r>
          </w:p>
        </w:tc>
        <w:tc>
          <w:tcPr>
            <w:tcW w:w="499" w:type="pct"/>
            <w:shd w:val="clear" w:color="auto" w:fill="auto"/>
          </w:tcPr>
          <w:p w14:paraId="57061318" w14:textId="77777777" w:rsidR="00304A38" w:rsidRPr="00AE154B" w:rsidRDefault="00304A38" w:rsidP="00AE154B">
            <w:pPr>
              <w:pStyle w:val="TableParagraph"/>
              <w:spacing w:before="0" w:line="360" w:lineRule="auto"/>
              <w:ind w:left="0" w:right="579"/>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7</w:t>
            </w:r>
          </w:p>
        </w:tc>
        <w:tc>
          <w:tcPr>
            <w:tcW w:w="886" w:type="pct"/>
            <w:shd w:val="clear" w:color="auto" w:fill="auto"/>
          </w:tcPr>
          <w:p w14:paraId="1F17719D" w14:textId="77777777" w:rsidR="00304A38" w:rsidRPr="00AE154B" w:rsidRDefault="00304A38" w:rsidP="00AE154B">
            <w:pPr>
              <w:pStyle w:val="TableParagraph"/>
              <w:spacing w:before="0" w:line="360" w:lineRule="auto"/>
              <w:ind w:left="0" w:right="137"/>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None</w:t>
            </w:r>
          </w:p>
        </w:tc>
        <w:tc>
          <w:tcPr>
            <w:tcW w:w="1012" w:type="pct"/>
            <w:shd w:val="clear" w:color="auto" w:fill="auto"/>
          </w:tcPr>
          <w:p w14:paraId="60FC0444" w14:textId="41A0F7CD" w:rsidR="00304A38" w:rsidRPr="00AE154B" w:rsidRDefault="00304A38" w:rsidP="00AE154B">
            <w:pPr>
              <w:pStyle w:val="TableParagraph"/>
              <w:spacing w:before="0" w:line="360" w:lineRule="auto"/>
              <w:ind w:left="0" w:right="124"/>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Thrombocytopenia; Gaucher cells in BM; plasma</w:t>
            </w:r>
            <w:r w:rsidR="00664726" w:rsidRPr="00AE154B">
              <w:rPr>
                <w:rFonts w:ascii="Book Antiqua" w:eastAsiaTheme="minorEastAsia" w:hAnsi="Book Antiqua" w:cstheme="minorBidi"/>
                <w:sz w:val="24"/>
                <w:szCs w:val="24"/>
                <w:lang w:bidi="ar-SA"/>
              </w:rPr>
              <w:t xml:space="preserve">: </w:t>
            </w:r>
            <w:r w:rsidRPr="00AE154B">
              <w:rPr>
                <w:rFonts w:ascii="Book Antiqua" w:eastAsiaTheme="minorEastAsia" w:hAnsi="Book Antiqua" w:cstheme="minorBidi"/>
                <w:sz w:val="24"/>
                <w:szCs w:val="24"/>
                <w:lang w:bidi="ar-SA"/>
              </w:rPr>
              <w:t xml:space="preserve">chitotriosidase ↑; </w:t>
            </w:r>
            <w:r w:rsidR="00442D49" w:rsidRPr="00AE154B">
              <w:rPr>
                <w:rFonts w:ascii="Book Antiqua" w:eastAsiaTheme="minorEastAsia" w:hAnsi="Book Antiqua" w:cstheme="minorBidi"/>
                <w:sz w:val="24"/>
                <w:szCs w:val="24"/>
                <w:lang w:bidi="ar-SA"/>
              </w:rPr>
              <w:t>β</w:t>
            </w:r>
            <w:r w:rsidRPr="00AE154B">
              <w:rPr>
                <w:rFonts w:ascii="Book Antiqua" w:eastAsiaTheme="minorEastAsia" w:hAnsi="Book Antiqua" w:cstheme="minorBidi"/>
                <w:sz w:val="24"/>
                <w:szCs w:val="24"/>
                <w:lang w:bidi="ar-SA"/>
              </w:rPr>
              <w:t>- glucosidase ↓</w:t>
            </w:r>
          </w:p>
        </w:tc>
        <w:tc>
          <w:tcPr>
            <w:tcW w:w="1013" w:type="pct"/>
            <w:shd w:val="clear" w:color="auto" w:fill="auto"/>
          </w:tcPr>
          <w:p w14:paraId="1116F1EB" w14:textId="5A97407E" w:rsidR="00304A38" w:rsidRPr="00AE154B" w:rsidRDefault="00304A38" w:rsidP="00AE154B">
            <w:pPr>
              <w:pStyle w:val="TableParagraph"/>
              <w:spacing w:before="0" w:line="360" w:lineRule="auto"/>
              <w:ind w:left="0"/>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Splenomegaly;</w:t>
            </w:r>
            <w:r w:rsidR="00664726" w:rsidRPr="00AE154B">
              <w:rPr>
                <w:rFonts w:ascii="Book Antiqua" w:eastAsiaTheme="minorEastAsia" w:hAnsi="Book Antiqua" w:cstheme="minorBidi"/>
                <w:sz w:val="24"/>
                <w:szCs w:val="24"/>
                <w:lang w:eastAsia="zh-CN" w:bidi="ar-SA"/>
              </w:rPr>
              <w:t xml:space="preserve"> </w:t>
            </w:r>
            <w:r w:rsidRPr="00AE154B">
              <w:rPr>
                <w:rFonts w:ascii="Book Antiqua" w:eastAsiaTheme="minorEastAsia" w:hAnsi="Book Antiqua" w:cstheme="minorBidi"/>
                <w:sz w:val="24"/>
                <w:szCs w:val="24"/>
                <w:lang w:bidi="ar-SA"/>
              </w:rPr>
              <w:t>Both femurs and tibias were affected</w:t>
            </w:r>
          </w:p>
        </w:tc>
        <w:tc>
          <w:tcPr>
            <w:tcW w:w="759" w:type="pct"/>
            <w:shd w:val="clear" w:color="auto" w:fill="auto"/>
          </w:tcPr>
          <w:p w14:paraId="384B7ED1" w14:textId="77777777" w:rsidR="00304A38" w:rsidRPr="00AE154B" w:rsidRDefault="00304A38" w:rsidP="00AE154B">
            <w:pPr>
              <w:pStyle w:val="TableParagraph"/>
              <w:spacing w:before="0" w:line="360" w:lineRule="auto"/>
              <w:ind w:left="168" w:right="149"/>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H255Q/N370S</w:t>
            </w:r>
          </w:p>
        </w:tc>
        <w:tc>
          <w:tcPr>
            <w:tcW w:w="317" w:type="pct"/>
            <w:shd w:val="clear" w:color="auto" w:fill="auto"/>
          </w:tcPr>
          <w:p w14:paraId="434CE57A" w14:textId="77777777" w:rsidR="00304A38" w:rsidRPr="00AE154B" w:rsidRDefault="00304A38" w:rsidP="00AE154B">
            <w:pPr>
              <w:pStyle w:val="TableParagraph"/>
              <w:spacing w:before="0" w:line="360" w:lineRule="auto"/>
              <w:ind w:left="115" w:right="100"/>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no</w:t>
            </w:r>
          </w:p>
        </w:tc>
      </w:tr>
      <w:tr w:rsidR="008F6625" w:rsidRPr="00AE154B" w14:paraId="6CA1CDC2" w14:textId="77777777" w:rsidTr="00664726">
        <w:trPr>
          <w:trHeight w:val="1446"/>
        </w:trPr>
        <w:tc>
          <w:tcPr>
            <w:tcW w:w="514" w:type="pct"/>
            <w:shd w:val="clear" w:color="auto" w:fill="auto"/>
          </w:tcPr>
          <w:p w14:paraId="6D22DE71" w14:textId="7E5DF121" w:rsidR="00304A38" w:rsidRPr="00AE154B" w:rsidRDefault="008F6625" w:rsidP="00AE154B">
            <w:pPr>
              <w:pStyle w:val="TableParagraph"/>
              <w:spacing w:before="0" w:line="360" w:lineRule="auto"/>
              <w:ind w:left="0" w:right="166"/>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Patient 5 Gender:</w:t>
            </w:r>
            <w:r w:rsidR="00304A38" w:rsidRPr="00AE154B">
              <w:rPr>
                <w:rFonts w:ascii="Book Antiqua" w:eastAsiaTheme="minorEastAsia" w:hAnsi="Book Antiqua" w:cstheme="minorBidi"/>
                <w:sz w:val="24"/>
                <w:szCs w:val="24"/>
                <w:lang w:bidi="ar-SA"/>
              </w:rPr>
              <w:t xml:space="preserve"> F</w:t>
            </w:r>
          </w:p>
        </w:tc>
        <w:tc>
          <w:tcPr>
            <w:tcW w:w="499" w:type="pct"/>
            <w:shd w:val="clear" w:color="auto" w:fill="auto"/>
          </w:tcPr>
          <w:p w14:paraId="6DBC8E6F" w14:textId="77777777" w:rsidR="00304A38" w:rsidRPr="00AE154B" w:rsidRDefault="00304A38" w:rsidP="00AE154B">
            <w:pPr>
              <w:pStyle w:val="TableParagraph"/>
              <w:spacing w:before="0" w:line="360" w:lineRule="auto"/>
              <w:ind w:left="0" w:right="532"/>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23</w:t>
            </w:r>
          </w:p>
        </w:tc>
        <w:tc>
          <w:tcPr>
            <w:tcW w:w="886" w:type="pct"/>
            <w:shd w:val="clear" w:color="auto" w:fill="auto"/>
          </w:tcPr>
          <w:p w14:paraId="75B11C0D" w14:textId="77777777" w:rsidR="00304A38" w:rsidRPr="00AE154B" w:rsidRDefault="00304A38" w:rsidP="00AE154B">
            <w:pPr>
              <w:pStyle w:val="TableParagraph"/>
              <w:spacing w:before="0" w:line="360" w:lineRule="auto"/>
              <w:ind w:left="0" w:right="196"/>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Massive bleeding after childbirth</w:t>
            </w:r>
          </w:p>
        </w:tc>
        <w:tc>
          <w:tcPr>
            <w:tcW w:w="1012" w:type="pct"/>
            <w:shd w:val="clear" w:color="auto" w:fill="auto"/>
          </w:tcPr>
          <w:p w14:paraId="33EC4B5D" w14:textId="16B21A9E" w:rsidR="00304A38" w:rsidRPr="00AE154B" w:rsidRDefault="00304A38" w:rsidP="00AE154B">
            <w:pPr>
              <w:pStyle w:val="TableParagraph"/>
              <w:spacing w:before="0" w:line="360" w:lineRule="auto"/>
              <w:ind w:left="0" w:right="124"/>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Thrombocytopenia; Gaucher cells in BM; plasma</w:t>
            </w:r>
            <w:r w:rsidR="00664726" w:rsidRPr="00AE154B">
              <w:rPr>
                <w:rFonts w:ascii="Book Antiqua" w:eastAsiaTheme="minorEastAsia" w:hAnsi="Book Antiqua" w:cstheme="minorBidi"/>
                <w:sz w:val="24"/>
                <w:szCs w:val="24"/>
                <w:lang w:bidi="ar-SA"/>
              </w:rPr>
              <w:t xml:space="preserve">: </w:t>
            </w:r>
            <w:r w:rsidRPr="00AE154B">
              <w:rPr>
                <w:rFonts w:ascii="Book Antiqua" w:eastAsiaTheme="minorEastAsia" w:hAnsi="Book Antiqua" w:cstheme="minorBidi"/>
                <w:sz w:val="24"/>
                <w:szCs w:val="24"/>
                <w:lang w:bidi="ar-SA"/>
              </w:rPr>
              <w:t xml:space="preserve">chitotriosidase ↑; </w:t>
            </w:r>
            <w:r w:rsidR="00442D49" w:rsidRPr="00AE154B">
              <w:rPr>
                <w:rFonts w:ascii="Book Antiqua" w:eastAsiaTheme="minorEastAsia" w:hAnsi="Book Antiqua" w:cstheme="minorBidi"/>
                <w:sz w:val="24"/>
                <w:szCs w:val="24"/>
                <w:lang w:bidi="ar-SA"/>
              </w:rPr>
              <w:t>β</w:t>
            </w:r>
            <w:r w:rsidRPr="00AE154B">
              <w:rPr>
                <w:rFonts w:ascii="Book Antiqua" w:eastAsiaTheme="minorEastAsia" w:hAnsi="Book Antiqua" w:cstheme="minorBidi"/>
                <w:sz w:val="24"/>
                <w:szCs w:val="24"/>
                <w:lang w:bidi="ar-SA"/>
              </w:rPr>
              <w:t>- glucosidase ↓</w:t>
            </w:r>
          </w:p>
        </w:tc>
        <w:tc>
          <w:tcPr>
            <w:tcW w:w="1013" w:type="pct"/>
            <w:shd w:val="clear" w:color="auto" w:fill="auto"/>
          </w:tcPr>
          <w:p w14:paraId="1AF4CFCA" w14:textId="382EF388" w:rsidR="00304A38" w:rsidRPr="00AE154B" w:rsidRDefault="00304A38" w:rsidP="00AE154B">
            <w:pPr>
              <w:pStyle w:val="TableParagraph"/>
              <w:spacing w:before="0" w:line="360" w:lineRule="auto"/>
              <w:ind w:left="0" w:right="318"/>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Splenomegaly, hepatomegaly;</w:t>
            </w:r>
            <w:r w:rsidR="00664726" w:rsidRPr="00AE154B">
              <w:rPr>
                <w:rFonts w:ascii="Book Antiqua" w:eastAsiaTheme="minorEastAsia" w:hAnsi="Book Antiqua" w:cstheme="minorBidi"/>
                <w:sz w:val="24"/>
                <w:szCs w:val="24"/>
                <w:lang w:eastAsia="zh-CN" w:bidi="ar-SA"/>
              </w:rPr>
              <w:t xml:space="preserve"> </w:t>
            </w:r>
            <w:r w:rsidRPr="00AE154B">
              <w:rPr>
                <w:rFonts w:ascii="Book Antiqua" w:eastAsiaTheme="minorEastAsia" w:hAnsi="Book Antiqua" w:cstheme="minorBidi"/>
                <w:sz w:val="24"/>
                <w:szCs w:val="24"/>
                <w:lang w:bidi="ar-SA"/>
              </w:rPr>
              <w:t>No bone disorder</w:t>
            </w:r>
          </w:p>
        </w:tc>
        <w:tc>
          <w:tcPr>
            <w:tcW w:w="759" w:type="pct"/>
            <w:shd w:val="clear" w:color="auto" w:fill="auto"/>
          </w:tcPr>
          <w:p w14:paraId="3CD4451C" w14:textId="3C66B502" w:rsidR="00664726" w:rsidRPr="00AE154B" w:rsidRDefault="00304A38" w:rsidP="00AE154B">
            <w:pPr>
              <w:pStyle w:val="TableParagraph"/>
              <w:spacing w:before="0" w:line="360" w:lineRule="auto"/>
              <w:ind w:left="0" w:right="171"/>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Homozygosity N370S</w:t>
            </w:r>
          </w:p>
        </w:tc>
        <w:tc>
          <w:tcPr>
            <w:tcW w:w="317" w:type="pct"/>
            <w:shd w:val="clear" w:color="auto" w:fill="auto"/>
          </w:tcPr>
          <w:p w14:paraId="366C1D03" w14:textId="77777777" w:rsidR="00304A38" w:rsidRPr="00AE154B" w:rsidRDefault="00304A38" w:rsidP="00AE154B">
            <w:pPr>
              <w:pStyle w:val="TableParagraph"/>
              <w:spacing w:before="0" w:line="360" w:lineRule="auto"/>
              <w:ind w:left="11"/>
              <w:jc w:val="both"/>
              <w:rPr>
                <w:rFonts w:ascii="Book Antiqua" w:eastAsiaTheme="minorEastAsia" w:hAnsi="Book Antiqua" w:cstheme="minorBidi"/>
                <w:sz w:val="24"/>
                <w:szCs w:val="24"/>
                <w:lang w:bidi="ar-SA"/>
              </w:rPr>
            </w:pPr>
            <w:r w:rsidRPr="00AE154B">
              <w:rPr>
                <w:rFonts w:ascii="Book Antiqua" w:eastAsiaTheme="minorEastAsia" w:hAnsi="Book Antiqua" w:cstheme="minorBidi"/>
                <w:sz w:val="24"/>
                <w:szCs w:val="24"/>
                <w:lang w:bidi="ar-SA"/>
              </w:rPr>
              <w:t>1</w:t>
            </w:r>
          </w:p>
        </w:tc>
      </w:tr>
    </w:tbl>
    <w:p w14:paraId="165F8B3B" w14:textId="77777777" w:rsidR="00304A38" w:rsidRPr="00AE154B" w:rsidRDefault="00304A38" w:rsidP="00AE154B">
      <w:pPr>
        <w:pStyle w:val="BodyText"/>
        <w:spacing w:line="360" w:lineRule="auto"/>
        <w:ind w:right="390"/>
        <w:rPr>
          <w:rFonts w:ascii="Book Antiqua" w:eastAsiaTheme="minorEastAsia" w:hAnsi="Book Antiqua" w:cstheme="minorBidi"/>
          <w:lang w:bidi="ar-SA"/>
        </w:rPr>
      </w:pPr>
    </w:p>
    <w:p w14:paraId="5E5FF608" w14:textId="76658865" w:rsidR="008F6625" w:rsidRPr="00AE154B" w:rsidRDefault="00DF5316" w:rsidP="00AE154B">
      <w:pPr>
        <w:tabs>
          <w:tab w:val="left" w:pos="5450"/>
        </w:tabs>
        <w:spacing w:after="0" w:line="360" w:lineRule="auto"/>
        <w:ind w:right="390"/>
        <w:jc w:val="both"/>
        <w:rPr>
          <w:rFonts w:ascii="Book Antiqua" w:hAnsi="Book Antiqua"/>
          <w:sz w:val="24"/>
          <w:szCs w:val="24"/>
          <w:lang w:eastAsia="zh-CN"/>
        </w:rPr>
      </w:pPr>
      <w:r>
        <w:rPr>
          <w:rFonts w:ascii="Book Antiqua" w:hAnsi="Book Antiqua" w:hint="eastAsia"/>
          <w:sz w:val="24"/>
          <w:szCs w:val="24"/>
          <w:lang w:eastAsia="zh-CN"/>
        </w:rPr>
        <w:lastRenderedPageBreak/>
        <w:t>A                                                                                            B</w:t>
      </w:r>
    </w:p>
    <w:p w14:paraId="730800E2" w14:textId="4F8D0E33" w:rsidR="00664726" w:rsidRPr="00AE154B" w:rsidRDefault="008F6625" w:rsidP="00AE154B">
      <w:pPr>
        <w:tabs>
          <w:tab w:val="left" w:pos="5450"/>
        </w:tabs>
        <w:spacing w:after="0" w:line="360" w:lineRule="auto"/>
        <w:ind w:right="390"/>
        <w:jc w:val="both"/>
        <w:rPr>
          <w:rFonts w:ascii="Book Antiqua" w:hAnsi="Book Antiqua"/>
          <w:b/>
          <w:sz w:val="24"/>
          <w:szCs w:val="24"/>
        </w:rPr>
      </w:pPr>
      <w:r w:rsidRPr="00AE154B">
        <w:rPr>
          <w:rFonts w:ascii="Book Antiqua" w:hAnsi="Book Antiqua"/>
          <w:b/>
          <w:noProof/>
          <w:sz w:val="24"/>
          <w:szCs w:val="24"/>
          <w:lang w:eastAsia="zh-CN"/>
        </w:rPr>
        <w:drawing>
          <wp:anchor distT="0" distB="0" distL="114300" distR="114300" simplePos="0" relativeHeight="251661312" behindDoc="0" locked="0" layoutInCell="1" allowOverlap="1" wp14:anchorId="30E632E5" wp14:editId="74161D55">
            <wp:simplePos x="0" y="0"/>
            <wp:positionH relativeFrom="column">
              <wp:posOffset>304800</wp:posOffset>
            </wp:positionH>
            <wp:positionV relativeFrom="paragraph">
              <wp:posOffset>-4445</wp:posOffset>
            </wp:positionV>
            <wp:extent cx="2781300" cy="2371725"/>
            <wp:effectExtent l="0" t="0" r="0" b="9525"/>
            <wp:wrapThrough wrapText="bothSides">
              <wp:wrapPolygon edited="0">
                <wp:start x="0" y="0"/>
                <wp:lineTo x="0" y="21513"/>
                <wp:lineTo x="21452" y="21513"/>
                <wp:lineTo x="21452" y="0"/>
                <wp:lineTo x="0" y="0"/>
              </wp:wrapPolygon>
            </wp:wrapThrough>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1300" cy="2371725"/>
                    </a:xfrm>
                    <a:prstGeom prst="rect">
                      <a:avLst/>
                    </a:prstGeom>
                  </pic:spPr>
                </pic:pic>
              </a:graphicData>
            </a:graphic>
          </wp:anchor>
        </w:drawing>
      </w:r>
      <w:r w:rsidR="00746624" w:rsidRPr="00AE154B">
        <w:rPr>
          <w:rFonts w:ascii="Book Antiqua" w:hAnsi="Book Antiqua"/>
          <w:b/>
          <w:noProof/>
          <w:sz w:val="24"/>
          <w:szCs w:val="24"/>
          <w:lang w:eastAsia="zh-CN"/>
        </w:rPr>
        <w:drawing>
          <wp:anchor distT="0" distB="0" distL="114300" distR="114300" simplePos="0" relativeHeight="251656192" behindDoc="0" locked="0" layoutInCell="1" allowOverlap="1" wp14:anchorId="1CE45780" wp14:editId="7EFD8E5B">
            <wp:simplePos x="0" y="0"/>
            <wp:positionH relativeFrom="margin">
              <wp:posOffset>3438525</wp:posOffset>
            </wp:positionH>
            <wp:positionV relativeFrom="paragraph">
              <wp:posOffset>11430</wp:posOffset>
            </wp:positionV>
            <wp:extent cx="2754630" cy="2371725"/>
            <wp:effectExtent l="0" t="0" r="7620" b="9525"/>
            <wp:wrapThrough wrapText="bothSides">
              <wp:wrapPolygon edited="0">
                <wp:start x="0" y="0"/>
                <wp:lineTo x="0" y="21513"/>
                <wp:lineTo x="21510" y="21513"/>
                <wp:lineTo x="21510" y="0"/>
                <wp:lineTo x="0" y="0"/>
              </wp:wrapPolygon>
            </wp:wrapThrough>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4630" cy="2371725"/>
                    </a:xfrm>
                    <a:prstGeom prst="rect">
                      <a:avLst/>
                    </a:prstGeom>
                  </pic:spPr>
                </pic:pic>
              </a:graphicData>
            </a:graphic>
          </wp:anchor>
        </w:drawing>
      </w:r>
      <w:r w:rsidR="00E421F7" w:rsidRPr="00AE154B">
        <w:rPr>
          <w:rFonts w:ascii="Book Antiqua" w:hAnsi="Book Antiqua"/>
          <w:b/>
          <w:sz w:val="24"/>
          <w:szCs w:val="24"/>
        </w:rPr>
        <w:t xml:space="preserve">Figure 1 </w:t>
      </w:r>
      <w:r w:rsidRPr="00AE154B">
        <w:rPr>
          <w:rFonts w:ascii="Book Antiqua" w:hAnsi="Book Antiqua"/>
          <w:b/>
          <w:sz w:val="24"/>
          <w:szCs w:val="24"/>
        </w:rPr>
        <w:t xml:space="preserve">One </w:t>
      </w:r>
      <w:r w:rsidR="00AE2119" w:rsidRPr="00AE154B">
        <w:rPr>
          <w:rFonts w:ascii="Book Antiqua" w:hAnsi="Book Antiqua"/>
          <w:b/>
          <w:sz w:val="24"/>
          <w:szCs w:val="24"/>
        </w:rPr>
        <w:t>marrow aspirate.</w:t>
      </w:r>
      <w:r w:rsidR="00F75F3D" w:rsidRPr="00AE154B">
        <w:rPr>
          <w:rFonts w:ascii="Book Antiqua" w:hAnsi="Book Antiqua"/>
          <w:b/>
          <w:sz w:val="24"/>
          <w:szCs w:val="24"/>
        </w:rPr>
        <w:t xml:space="preserve"> </w:t>
      </w:r>
      <w:r w:rsidR="00AE2119" w:rsidRPr="00AE154B">
        <w:rPr>
          <w:rFonts w:ascii="Book Antiqua" w:hAnsi="Book Antiqua"/>
          <w:sz w:val="24"/>
          <w:szCs w:val="24"/>
        </w:rPr>
        <w:t>A, B:</w:t>
      </w:r>
      <w:r w:rsidR="00F75F3D" w:rsidRPr="00AE154B">
        <w:rPr>
          <w:rFonts w:ascii="Book Antiqua" w:hAnsi="Book Antiqua"/>
          <w:sz w:val="24"/>
          <w:szCs w:val="24"/>
        </w:rPr>
        <w:t xml:space="preserve"> </w:t>
      </w:r>
      <w:r w:rsidR="00E421F7" w:rsidRPr="00AE154B">
        <w:rPr>
          <w:rFonts w:ascii="Book Antiqua" w:hAnsi="Book Antiqua"/>
          <w:sz w:val="24"/>
          <w:szCs w:val="24"/>
        </w:rPr>
        <w:t>Bone marrow aspirate showing</w:t>
      </w:r>
      <w:r w:rsidRPr="00AE154B">
        <w:rPr>
          <w:rFonts w:ascii="Book Antiqua" w:hAnsi="Book Antiqua"/>
          <w:sz w:val="24"/>
          <w:szCs w:val="24"/>
        </w:rPr>
        <w:t xml:space="preserve"> </w:t>
      </w:r>
      <w:r w:rsidR="00E421F7" w:rsidRPr="00AE154B">
        <w:rPr>
          <w:rFonts w:ascii="Book Antiqua" w:hAnsi="Book Antiqua"/>
          <w:sz w:val="24"/>
          <w:szCs w:val="24"/>
        </w:rPr>
        <w:t>Gaucher cells</w:t>
      </w:r>
      <w:r w:rsidR="006D6F04" w:rsidRPr="00AE154B">
        <w:rPr>
          <w:rFonts w:ascii="Book Antiqua" w:hAnsi="Book Antiqua"/>
          <w:sz w:val="24"/>
          <w:szCs w:val="24"/>
        </w:rPr>
        <w:t>.</w:t>
      </w:r>
    </w:p>
    <w:sectPr w:rsidR="00664726" w:rsidRPr="00AE154B" w:rsidSect="00E421F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D1D49" w14:textId="77777777" w:rsidR="00D77E8B" w:rsidRDefault="00D77E8B">
      <w:pPr>
        <w:spacing w:after="0" w:line="240" w:lineRule="auto"/>
      </w:pPr>
      <w:r>
        <w:separator/>
      </w:r>
    </w:p>
  </w:endnote>
  <w:endnote w:type="continuationSeparator" w:id="0">
    <w:p w14:paraId="71E5E341" w14:textId="77777777" w:rsidR="00D77E8B" w:rsidRDefault="00D7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F2630" w14:textId="6FC3A037" w:rsidR="0011752B" w:rsidRDefault="00C35089">
    <w:pPr>
      <w:pStyle w:val="BodyText"/>
      <w:spacing w:line="14" w:lineRule="auto"/>
      <w:jc w:val="left"/>
      <w:rPr>
        <w:sz w:val="20"/>
      </w:rPr>
    </w:pPr>
    <w:r>
      <w:rPr>
        <w:noProof/>
        <w:lang w:bidi="ar-SA"/>
      </w:rPr>
      <mc:AlternateContent>
        <mc:Choice Requires="wps">
          <w:drawing>
            <wp:anchor distT="0" distB="0" distL="114300" distR="114300" simplePos="0" relativeHeight="251657728" behindDoc="1" locked="0" layoutInCell="1" allowOverlap="1" wp14:anchorId="45BF66CC" wp14:editId="5B83F10E">
              <wp:simplePos x="0" y="0"/>
              <wp:positionH relativeFrom="page">
                <wp:posOffset>6692265</wp:posOffset>
              </wp:positionH>
              <wp:positionV relativeFrom="page">
                <wp:posOffset>9274175</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77A19" w14:textId="77777777" w:rsidR="0011752B" w:rsidRDefault="0011752B">
                          <w:pPr>
                            <w:spacing w:line="234" w:lineRule="exact"/>
                            <w:ind w:left="40"/>
                            <w:rPr>
                              <w:rFonts w:ascii="Trebuchet MS"/>
                            </w:rPr>
                          </w:pPr>
                          <w:r>
                            <w:fldChar w:fldCharType="begin"/>
                          </w:r>
                          <w:r>
                            <w:rPr>
                              <w:rFonts w:ascii="Trebuchet MS"/>
                            </w:rPr>
                            <w:instrText xml:space="preserve"> PAGE </w:instrText>
                          </w:r>
                          <w:r>
                            <w:fldChar w:fldCharType="separate"/>
                          </w:r>
                          <w:r w:rsidR="00DF5316">
                            <w:rPr>
                              <w:rFonts w:ascii="Trebuchet MS"/>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F66CC" id="_x0000_t202" coordsize="21600,21600" o:spt="202" path="m,l,21600r21600,l21600,xe">
              <v:stroke joinstyle="miter"/>
              <v:path gradientshapeok="t" o:connecttype="rect"/>
            </v:shapetype>
            <v:shape id="Text Box 1" o:spid="_x0000_s1026" type="#_x0000_t202" style="position:absolute;margin-left:526.95pt;margin-top:730.2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" filled="f" stroked="f">
              <v:textbox inset="0,0,0,0">
                <w:txbxContent>
                  <w:p w14:paraId="5AD77A19" w14:textId="77777777" w:rsidR="0011752B" w:rsidRDefault="0011752B">
                    <w:pPr>
                      <w:spacing w:line="234" w:lineRule="exact"/>
                      <w:ind w:left="40"/>
                      <w:rPr>
                        <w:rFonts w:ascii="Trebuchet MS"/>
                      </w:rPr>
                    </w:pPr>
                    <w:r>
                      <w:fldChar w:fldCharType="begin"/>
                    </w:r>
                    <w:r>
                      <w:rPr>
                        <w:rFonts w:ascii="Trebuchet MS"/>
                      </w:rPr>
                      <w:instrText xml:space="preserve"> PAGE </w:instrText>
                    </w:r>
                    <w:r>
                      <w:fldChar w:fldCharType="separate"/>
                    </w:r>
                    <w:r w:rsidR="00DF5316">
                      <w:rPr>
                        <w:rFonts w:ascii="Trebuchet MS"/>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E33AF" w14:textId="77777777" w:rsidR="00D77E8B" w:rsidRDefault="00D77E8B">
      <w:pPr>
        <w:spacing w:after="0" w:line="240" w:lineRule="auto"/>
      </w:pPr>
      <w:r>
        <w:separator/>
      </w:r>
    </w:p>
  </w:footnote>
  <w:footnote w:type="continuationSeparator" w:id="0">
    <w:p w14:paraId="22DDBB10" w14:textId="77777777" w:rsidR="00D77E8B" w:rsidRDefault="00D77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33C39"/>
    <w:multiLevelType w:val="hybridMultilevel"/>
    <w:tmpl w:val="23EECFDE"/>
    <w:lvl w:ilvl="0" w:tplc="2B8C0C2A">
      <w:start w:val="1"/>
      <w:numFmt w:val="decimal"/>
      <w:lvlText w:val="%1."/>
      <w:lvlJc w:val="left"/>
      <w:pPr>
        <w:ind w:left="260" w:hanging="274"/>
      </w:pPr>
      <w:rPr>
        <w:rFonts w:ascii="Times New Roman" w:eastAsia="Times New Roman" w:hAnsi="Times New Roman" w:cs="Times New Roman" w:hint="default"/>
        <w:spacing w:val="-29"/>
        <w:w w:val="94"/>
        <w:sz w:val="24"/>
        <w:szCs w:val="24"/>
        <w:lang w:val="en-US" w:eastAsia="en-US" w:bidi="en-US"/>
      </w:rPr>
    </w:lvl>
    <w:lvl w:ilvl="1" w:tplc="E9646338">
      <w:start w:val="1"/>
      <w:numFmt w:val="decimal"/>
      <w:lvlText w:val="%2."/>
      <w:lvlJc w:val="left"/>
      <w:pPr>
        <w:ind w:left="980" w:hanging="360"/>
      </w:pPr>
      <w:rPr>
        <w:rFonts w:ascii="Times New Roman" w:eastAsia="Times New Roman" w:hAnsi="Times New Roman" w:cs="Times New Roman" w:hint="default"/>
        <w:spacing w:val="-17"/>
        <w:w w:val="85"/>
        <w:sz w:val="24"/>
        <w:szCs w:val="24"/>
        <w:lang w:val="en-US" w:eastAsia="en-US" w:bidi="en-US"/>
      </w:rPr>
    </w:lvl>
    <w:lvl w:ilvl="2" w:tplc="E2CAF922">
      <w:numFmt w:val="bullet"/>
      <w:lvlText w:val="•"/>
      <w:lvlJc w:val="left"/>
      <w:pPr>
        <w:ind w:left="2064" w:hanging="360"/>
      </w:pPr>
      <w:rPr>
        <w:rFonts w:hint="default"/>
        <w:lang w:val="en-US" w:eastAsia="en-US" w:bidi="en-US"/>
      </w:rPr>
    </w:lvl>
    <w:lvl w:ilvl="3" w:tplc="3AF8AA1E">
      <w:numFmt w:val="bullet"/>
      <w:lvlText w:val="•"/>
      <w:lvlJc w:val="left"/>
      <w:pPr>
        <w:ind w:left="3148" w:hanging="360"/>
      </w:pPr>
      <w:rPr>
        <w:rFonts w:hint="default"/>
        <w:lang w:val="en-US" w:eastAsia="en-US" w:bidi="en-US"/>
      </w:rPr>
    </w:lvl>
    <w:lvl w:ilvl="4" w:tplc="C9C079D0">
      <w:numFmt w:val="bullet"/>
      <w:lvlText w:val="•"/>
      <w:lvlJc w:val="left"/>
      <w:pPr>
        <w:ind w:left="4233" w:hanging="360"/>
      </w:pPr>
      <w:rPr>
        <w:rFonts w:hint="default"/>
        <w:lang w:val="en-US" w:eastAsia="en-US" w:bidi="en-US"/>
      </w:rPr>
    </w:lvl>
    <w:lvl w:ilvl="5" w:tplc="B86C900C">
      <w:numFmt w:val="bullet"/>
      <w:lvlText w:val="•"/>
      <w:lvlJc w:val="left"/>
      <w:pPr>
        <w:ind w:left="5317" w:hanging="360"/>
      </w:pPr>
      <w:rPr>
        <w:rFonts w:hint="default"/>
        <w:lang w:val="en-US" w:eastAsia="en-US" w:bidi="en-US"/>
      </w:rPr>
    </w:lvl>
    <w:lvl w:ilvl="6" w:tplc="B22E2C28">
      <w:numFmt w:val="bullet"/>
      <w:lvlText w:val="•"/>
      <w:lvlJc w:val="left"/>
      <w:pPr>
        <w:ind w:left="6402" w:hanging="360"/>
      </w:pPr>
      <w:rPr>
        <w:rFonts w:hint="default"/>
        <w:lang w:val="en-US" w:eastAsia="en-US" w:bidi="en-US"/>
      </w:rPr>
    </w:lvl>
    <w:lvl w:ilvl="7" w:tplc="7EC265FA">
      <w:numFmt w:val="bullet"/>
      <w:lvlText w:val="•"/>
      <w:lvlJc w:val="left"/>
      <w:pPr>
        <w:ind w:left="7486" w:hanging="360"/>
      </w:pPr>
      <w:rPr>
        <w:rFonts w:hint="default"/>
        <w:lang w:val="en-US" w:eastAsia="en-US" w:bidi="en-US"/>
      </w:rPr>
    </w:lvl>
    <w:lvl w:ilvl="8" w:tplc="AFE46B8C">
      <w:numFmt w:val="bullet"/>
      <w:lvlText w:val="•"/>
      <w:lvlJc w:val="left"/>
      <w:pPr>
        <w:ind w:left="8571"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1F7"/>
    <w:rsid w:val="00010A64"/>
    <w:rsid w:val="000F1244"/>
    <w:rsid w:val="00101166"/>
    <w:rsid w:val="0011752B"/>
    <w:rsid w:val="00140D37"/>
    <w:rsid w:val="002A5172"/>
    <w:rsid w:val="00301087"/>
    <w:rsid w:val="00304A38"/>
    <w:rsid w:val="003124E4"/>
    <w:rsid w:val="0031537B"/>
    <w:rsid w:val="003205F8"/>
    <w:rsid w:val="003225D4"/>
    <w:rsid w:val="00344212"/>
    <w:rsid w:val="00344B15"/>
    <w:rsid w:val="003C10D6"/>
    <w:rsid w:val="003C6A5E"/>
    <w:rsid w:val="003D4AD8"/>
    <w:rsid w:val="00442D49"/>
    <w:rsid w:val="00467C16"/>
    <w:rsid w:val="0047179E"/>
    <w:rsid w:val="004A238E"/>
    <w:rsid w:val="004A4736"/>
    <w:rsid w:val="004B5D71"/>
    <w:rsid w:val="004D5176"/>
    <w:rsid w:val="00544ED5"/>
    <w:rsid w:val="00584BB4"/>
    <w:rsid w:val="005F1554"/>
    <w:rsid w:val="00664726"/>
    <w:rsid w:val="006D6F04"/>
    <w:rsid w:val="00741598"/>
    <w:rsid w:val="00746624"/>
    <w:rsid w:val="00787563"/>
    <w:rsid w:val="00791757"/>
    <w:rsid w:val="007A7175"/>
    <w:rsid w:val="007E4C63"/>
    <w:rsid w:val="00882178"/>
    <w:rsid w:val="00893494"/>
    <w:rsid w:val="008F6625"/>
    <w:rsid w:val="009100DE"/>
    <w:rsid w:val="009F4E88"/>
    <w:rsid w:val="00A656A4"/>
    <w:rsid w:val="00AA3701"/>
    <w:rsid w:val="00AC4E28"/>
    <w:rsid w:val="00AE154B"/>
    <w:rsid w:val="00AE2119"/>
    <w:rsid w:val="00AF085C"/>
    <w:rsid w:val="00B232E1"/>
    <w:rsid w:val="00B302CF"/>
    <w:rsid w:val="00B5351F"/>
    <w:rsid w:val="00BB27B5"/>
    <w:rsid w:val="00BD5CAC"/>
    <w:rsid w:val="00BF692D"/>
    <w:rsid w:val="00C120FD"/>
    <w:rsid w:val="00C23AD7"/>
    <w:rsid w:val="00C26E96"/>
    <w:rsid w:val="00C35089"/>
    <w:rsid w:val="00C86817"/>
    <w:rsid w:val="00CD4CFD"/>
    <w:rsid w:val="00CF0F9F"/>
    <w:rsid w:val="00D023CB"/>
    <w:rsid w:val="00D12758"/>
    <w:rsid w:val="00D36443"/>
    <w:rsid w:val="00D471B5"/>
    <w:rsid w:val="00D77E8B"/>
    <w:rsid w:val="00D863C1"/>
    <w:rsid w:val="00D94587"/>
    <w:rsid w:val="00DD701A"/>
    <w:rsid w:val="00DF5316"/>
    <w:rsid w:val="00E11E6E"/>
    <w:rsid w:val="00E36C22"/>
    <w:rsid w:val="00E37C5C"/>
    <w:rsid w:val="00E421F7"/>
    <w:rsid w:val="00E75996"/>
    <w:rsid w:val="00EB5372"/>
    <w:rsid w:val="00ED0945"/>
    <w:rsid w:val="00F32BAE"/>
    <w:rsid w:val="00F40AD3"/>
    <w:rsid w:val="00F75F3D"/>
    <w:rsid w:val="00F82699"/>
    <w:rsid w:val="00FD34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151D4"/>
  <w15:docId w15:val="{30A9135B-5DCA-4A51-80D4-A777334B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AD8"/>
  </w:style>
  <w:style w:type="paragraph" w:styleId="Heading1">
    <w:name w:val="heading 1"/>
    <w:basedOn w:val="Normal"/>
    <w:link w:val="Heading1Char"/>
    <w:uiPriority w:val="1"/>
    <w:qFormat/>
    <w:rsid w:val="00E421F7"/>
    <w:pPr>
      <w:widowControl w:val="0"/>
      <w:autoSpaceDE w:val="0"/>
      <w:autoSpaceDN w:val="0"/>
      <w:spacing w:before="84" w:after="0" w:line="240" w:lineRule="auto"/>
      <w:ind w:left="26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21F7"/>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1"/>
    <w:qFormat/>
    <w:rsid w:val="00E421F7"/>
    <w:pPr>
      <w:widowControl w:val="0"/>
      <w:autoSpaceDE w:val="0"/>
      <w:autoSpaceDN w:val="0"/>
      <w:spacing w:after="0" w:line="240" w:lineRule="auto"/>
      <w:jc w:val="both"/>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421F7"/>
    <w:rPr>
      <w:rFonts w:ascii="Times New Roman" w:eastAsia="Times New Roman" w:hAnsi="Times New Roman" w:cs="Times New Roman"/>
      <w:sz w:val="24"/>
      <w:szCs w:val="24"/>
      <w:lang w:val="en-US" w:bidi="en-US"/>
    </w:rPr>
  </w:style>
  <w:style w:type="paragraph" w:styleId="ListParagraph">
    <w:name w:val="List Paragraph"/>
    <w:basedOn w:val="Normal"/>
    <w:uiPriority w:val="34"/>
    <w:qFormat/>
    <w:rsid w:val="00E421F7"/>
    <w:pPr>
      <w:widowControl w:val="0"/>
      <w:autoSpaceDE w:val="0"/>
      <w:autoSpaceDN w:val="0"/>
      <w:spacing w:after="0" w:line="240" w:lineRule="auto"/>
      <w:ind w:left="980" w:right="1113" w:hanging="360"/>
      <w:jc w:val="both"/>
    </w:pPr>
    <w:rPr>
      <w:rFonts w:ascii="Times New Roman" w:eastAsia="Times New Roman" w:hAnsi="Times New Roman" w:cs="Times New Roman"/>
      <w:lang w:bidi="en-US"/>
    </w:rPr>
  </w:style>
  <w:style w:type="paragraph" w:customStyle="1" w:styleId="TableParagraph">
    <w:name w:val="Table Paragraph"/>
    <w:basedOn w:val="Normal"/>
    <w:uiPriority w:val="1"/>
    <w:qFormat/>
    <w:rsid w:val="00E421F7"/>
    <w:pPr>
      <w:widowControl w:val="0"/>
      <w:autoSpaceDE w:val="0"/>
      <w:autoSpaceDN w:val="0"/>
      <w:spacing w:before="4" w:after="0" w:line="240" w:lineRule="auto"/>
      <w:ind w:left="137"/>
      <w:jc w:val="center"/>
    </w:pPr>
    <w:rPr>
      <w:rFonts w:ascii="Times New Roman" w:eastAsia="Times New Roman" w:hAnsi="Times New Roman" w:cs="Times New Roman"/>
      <w:lang w:bidi="en-US"/>
    </w:rPr>
  </w:style>
  <w:style w:type="character" w:styleId="Hyperlink">
    <w:name w:val="Hyperlink"/>
    <w:basedOn w:val="DefaultParagraphFont"/>
    <w:uiPriority w:val="99"/>
    <w:unhideWhenUsed/>
    <w:rsid w:val="00E421F7"/>
    <w:rPr>
      <w:color w:val="0563C1" w:themeColor="hyperlink"/>
      <w:u w:val="single"/>
    </w:rPr>
  </w:style>
  <w:style w:type="character" w:customStyle="1" w:styleId="1">
    <w:name w:val="未处理的提及1"/>
    <w:basedOn w:val="DefaultParagraphFont"/>
    <w:uiPriority w:val="99"/>
    <w:semiHidden/>
    <w:unhideWhenUsed/>
    <w:rsid w:val="006D6F04"/>
    <w:rPr>
      <w:color w:val="605E5C"/>
      <w:shd w:val="clear" w:color="auto" w:fill="E1DFDD"/>
    </w:rPr>
  </w:style>
  <w:style w:type="paragraph" w:styleId="CommentText">
    <w:name w:val="annotation text"/>
    <w:basedOn w:val="Normal"/>
    <w:link w:val="CommentTextChar"/>
    <w:uiPriority w:val="99"/>
    <w:unhideWhenUsed/>
    <w:qFormat/>
    <w:rsid w:val="00AE2119"/>
    <w:pPr>
      <w:widowControl w:val="0"/>
      <w:spacing w:after="0" w:line="240" w:lineRule="auto"/>
    </w:pPr>
    <w:rPr>
      <w:kern w:val="2"/>
      <w:sz w:val="21"/>
      <w:lang w:eastAsia="zh-CN"/>
    </w:rPr>
  </w:style>
  <w:style w:type="character" w:customStyle="1" w:styleId="a">
    <w:name w:val="批注文字 字符"/>
    <w:basedOn w:val="DefaultParagraphFont"/>
    <w:uiPriority w:val="99"/>
    <w:qFormat/>
    <w:rsid w:val="00AE2119"/>
  </w:style>
  <w:style w:type="character" w:customStyle="1" w:styleId="CommentTextChar">
    <w:name w:val="Comment Text Char"/>
    <w:basedOn w:val="DefaultParagraphFont"/>
    <w:link w:val="CommentText"/>
    <w:uiPriority w:val="99"/>
    <w:qFormat/>
    <w:rsid w:val="00AE2119"/>
    <w:rPr>
      <w:kern w:val="2"/>
      <w:sz w:val="21"/>
      <w:lang w:eastAsia="zh-CN"/>
    </w:rPr>
  </w:style>
  <w:style w:type="character" w:styleId="CommentReference">
    <w:name w:val="annotation reference"/>
    <w:basedOn w:val="DefaultParagraphFont"/>
    <w:uiPriority w:val="99"/>
    <w:unhideWhenUsed/>
    <w:rsid w:val="00AE2119"/>
    <w:rPr>
      <w:sz w:val="21"/>
      <w:szCs w:val="21"/>
    </w:rPr>
  </w:style>
  <w:style w:type="paragraph" w:styleId="BalloonText">
    <w:name w:val="Balloon Text"/>
    <w:basedOn w:val="Normal"/>
    <w:link w:val="BalloonTextChar"/>
    <w:uiPriority w:val="99"/>
    <w:semiHidden/>
    <w:unhideWhenUsed/>
    <w:rsid w:val="00AE211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E2119"/>
    <w:rPr>
      <w:sz w:val="18"/>
      <w:szCs w:val="18"/>
    </w:rPr>
  </w:style>
  <w:style w:type="paragraph" w:styleId="CommentSubject">
    <w:name w:val="annotation subject"/>
    <w:basedOn w:val="CommentText"/>
    <w:next w:val="CommentText"/>
    <w:link w:val="CommentSubjectChar"/>
    <w:uiPriority w:val="99"/>
    <w:semiHidden/>
    <w:unhideWhenUsed/>
    <w:rsid w:val="00AC4E28"/>
    <w:pPr>
      <w:widowControl/>
      <w:spacing w:after="160"/>
    </w:pPr>
    <w:rPr>
      <w:b/>
      <w:bCs/>
      <w:kern w:val="0"/>
      <w:sz w:val="20"/>
      <w:szCs w:val="20"/>
      <w:lang w:eastAsia="en-US"/>
    </w:rPr>
  </w:style>
  <w:style w:type="character" w:customStyle="1" w:styleId="CommentSubjectChar">
    <w:name w:val="Comment Subject Char"/>
    <w:basedOn w:val="CommentTextChar"/>
    <w:link w:val="CommentSubject"/>
    <w:uiPriority w:val="99"/>
    <w:semiHidden/>
    <w:rsid w:val="00AC4E28"/>
    <w:rPr>
      <w:b/>
      <w:bCs/>
      <w:kern w:val="2"/>
      <w:sz w:val="20"/>
      <w:szCs w:val="20"/>
      <w:lang w:eastAsia="zh-CN"/>
    </w:rPr>
  </w:style>
  <w:style w:type="paragraph" w:customStyle="1" w:styleId="EndNoteBibliography">
    <w:name w:val="EndNote Bibliography"/>
    <w:basedOn w:val="Normal"/>
    <w:rsid w:val="00F40AD3"/>
    <w:pPr>
      <w:spacing w:after="200" w:line="240" w:lineRule="auto"/>
    </w:pPr>
    <w:rPr>
      <w:rFonts w:ascii="Times New Roman" w:eastAsia="DengXian" w:hAnsi="Times New Roman" w:cs="Times New Roman"/>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16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enicasanja@gmail.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3977</Words>
  <Characters>22673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int.hemat16</dc:creator>
  <cp:lastModifiedBy>Lian-Sheng Ma</cp:lastModifiedBy>
  <cp:revision>2</cp:revision>
  <dcterms:created xsi:type="dcterms:W3CDTF">2019-05-11T00:15:00Z</dcterms:created>
  <dcterms:modified xsi:type="dcterms:W3CDTF">2019-05-11T00:15:00Z</dcterms:modified>
</cp:coreProperties>
</file>