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8B1993" w14:textId="77777777" w:rsidR="00920C46" w:rsidRPr="00C33BA8" w:rsidRDefault="00E815E9" w:rsidP="00686B93">
      <w:pPr>
        <w:adjustRightInd w:val="0"/>
        <w:snapToGrid w:val="0"/>
        <w:spacing w:line="360" w:lineRule="auto"/>
        <w:jc w:val="both"/>
        <w:rPr>
          <w:rFonts w:ascii="Book Antiqua" w:hAnsi="Book Antiqua"/>
          <w:b/>
          <w:i/>
          <w:color w:val="000000" w:themeColor="text1"/>
          <w:sz w:val="24"/>
          <w:szCs w:val="24"/>
        </w:rPr>
      </w:pPr>
      <w:r w:rsidRPr="00C33BA8">
        <w:rPr>
          <w:rFonts w:ascii="Book Antiqua" w:hAnsi="Book Antiqua"/>
          <w:b/>
          <w:color w:val="000000" w:themeColor="text1"/>
          <w:sz w:val="24"/>
          <w:szCs w:val="24"/>
        </w:rPr>
        <w:t xml:space="preserve">Name of Journal: </w:t>
      </w:r>
      <w:r w:rsidRPr="00C33BA8">
        <w:rPr>
          <w:rFonts w:ascii="Book Antiqua" w:hAnsi="Book Antiqua"/>
          <w:b/>
          <w:i/>
          <w:color w:val="000000" w:themeColor="text1"/>
          <w:sz w:val="24"/>
          <w:szCs w:val="24"/>
        </w:rPr>
        <w:t>World Journal of Gastroenterology</w:t>
      </w:r>
    </w:p>
    <w:p w14:paraId="7D60D86B" w14:textId="77777777" w:rsidR="00686B93" w:rsidRPr="00C33BA8" w:rsidRDefault="00E815E9" w:rsidP="00686B93">
      <w:pPr>
        <w:adjustRightInd w:val="0"/>
        <w:snapToGrid w:val="0"/>
        <w:spacing w:line="360" w:lineRule="auto"/>
        <w:jc w:val="both"/>
        <w:rPr>
          <w:rFonts w:ascii="Book Antiqua" w:hAnsi="Book Antiqua"/>
          <w:b/>
          <w:color w:val="000000" w:themeColor="text1"/>
          <w:sz w:val="24"/>
          <w:szCs w:val="24"/>
        </w:rPr>
      </w:pPr>
      <w:r w:rsidRPr="00C33BA8">
        <w:rPr>
          <w:rFonts w:ascii="Book Antiqua" w:hAnsi="Book Antiqua"/>
          <w:b/>
          <w:color w:val="000000" w:themeColor="text1"/>
          <w:sz w:val="24"/>
          <w:szCs w:val="24"/>
        </w:rPr>
        <w:t xml:space="preserve">Manuscript NO: 44549 </w:t>
      </w:r>
    </w:p>
    <w:p w14:paraId="075B6DAC" w14:textId="77777777" w:rsidR="00920C46" w:rsidRPr="00C33BA8" w:rsidRDefault="00E815E9" w:rsidP="00686B93">
      <w:pPr>
        <w:adjustRightInd w:val="0"/>
        <w:snapToGrid w:val="0"/>
        <w:spacing w:line="360" w:lineRule="auto"/>
        <w:jc w:val="both"/>
        <w:rPr>
          <w:rFonts w:ascii="Book Antiqua" w:hAnsi="Book Antiqua"/>
          <w:color w:val="000000" w:themeColor="text1"/>
          <w:sz w:val="24"/>
          <w:szCs w:val="24"/>
        </w:rPr>
      </w:pPr>
      <w:r w:rsidRPr="00C33BA8">
        <w:rPr>
          <w:rFonts w:ascii="Book Antiqua" w:hAnsi="Book Antiqua"/>
          <w:b/>
          <w:color w:val="000000" w:themeColor="text1"/>
          <w:sz w:val="24"/>
          <w:szCs w:val="24"/>
        </w:rPr>
        <w:t xml:space="preserve">Manuscript Type: </w:t>
      </w:r>
      <w:r w:rsidR="00686B93" w:rsidRPr="00C33BA8">
        <w:rPr>
          <w:rFonts w:ascii="Book Antiqua" w:hAnsi="Book Antiqua"/>
          <w:b/>
          <w:color w:val="000000" w:themeColor="text1"/>
          <w:sz w:val="24"/>
          <w:szCs w:val="24"/>
        </w:rPr>
        <w:t>ORIGINAL ARTICLE</w:t>
      </w:r>
    </w:p>
    <w:p w14:paraId="598B0911" w14:textId="77777777" w:rsidR="00920C46" w:rsidRPr="00C33BA8" w:rsidRDefault="00920C46" w:rsidP="00686B93">
      <w:pPr>
        <w:pStyle w:val="BodyText"/>
        <w:adjustRightInd w:val="0"/>
        <w:snapToGrid w:val="0"/>
        <w:spacing w:line="360" w:lineRule="auto"/>
        <w:ind w:left="0"/>
        <w:jc w:val="both"/>
        <w:rPr>
          <w:rFonts w:ascii="Book Antiqua" w:hAnsi="Book Antiqua"/>
          <w:color w:val="000000" w:themeColor="text1"/>
        </w:rPr>
      </w:pPr>
    </w:p>
    <w:p w14:paraId="45E7CA1C" w14:textId="77777777" w:rsidR="00686B93" w:rsidRPr="00C33BA8" w:rsidRDefault="00686B93" w:rsidP="00686B93">
      <w:pPr>
        <w:pStyle w:val="BodyText"/>
        <w:adjustRightInd w:val="0"/>
        <w:snapToGrid w:val="0"/>
        <w:spacing w:line="360" w:lineRule="auto"/>
        <w:ind w:left="0"/>
        <w:jc w:val="both"/>
        <w:rPr>
          <w:rFonts w:ascii="Book Antiqua" w:hAnsi="Book Antiqua"/>
          <w:b/>
          <w:i/>
          <w:color w:val="000000" w:themeColor="text1"/>
        </w:rPr>
      </w:pPr>
      <w:r w:rsidRPr="00C33BA8">
        <w:rPr>
          <w:rFonts w:ascii="Book Antiqua" w:hAnsi="Book Antiqua"/>
          <w:b/>
          <w:i/>
          <w:color w:val="000000" w:themeColor="text1"/>
        </w:rPr>
        <w:t>Basic</w:t>
      </w:r>
      <w:r w:rsidRPr="00C33BA8">
        <w:rPr>
          <w:rFonts w:ascii="Book Antiqua" w:hAnsi="Book Antiqua"/>
          <w:b/>
          <w:i/>
          <w:color w:val="000000" w:themeColor="text1"/>
          <w:spacing w:val="-17"/>
        </w:rPr>
        <w:t xml:space="preserve"> </w:t>
      </w:r>
      <w:r w:rsidRPr="00C33BA8">
        <w:rPr>
          <w:rFonts w:ascii="Book Antiqua" w:hAnsi="Book Antiqua"/>
          <w:b/>
          <w:i/>
          <w:color w:val="000000" w:themeColor="text1"/>
        </w:rPr>
        <w:t>Study</w:t>
      </w:r>
    </w:p>
    <w:p w14:paraId="68417474" w14:textId="6EE1C0BB" w:rsidR="00920C46" w:rsidRPr="00C33BA8" w:rsidRDefault="00E815E9" w:rsidP="00686B93">
      <w:pPr>
        <w:pStyle w:val="Heading1"/>
        <w:adjustRightInd w:val="0"/>
        <w:snapToGrid w:val="0"/>
        <w:spacing w:line="360" w:lineRule="auto"/>
        <w:ind w:left="0"/>
        <w:jc w:val="both"/>
        <w:rPr>
          <w:rFonts w:ascii="Book Antiqua" w:hAnsi="Book Antiqua"/>
          <w:color w:val="000000" w:themeColor="text1"/>
        </w:rPr>
      </w:pPr>
      <w:bookmarkStart w:id="0" w:name="OLE_LINK76"/>
      <w:r w:rsidRPr="00C33BA8">
        <w:rPr>
          <w:rFonts w:ascii="Book Antiqua" w:hAnsi="Book Antiqua"/>
          <w:color w:val="000000" w:themeColor="text1"/>
          <w:w w:val="110"/>
        </w:rPr>
        <w:t>Reaction</w:t>
      </w:r>
      <w:r w:rsidRPr="00C33BA8">
        <w:rPr>
          <w:rFonts w:ascii="Book Antiqua" w:hAnsi="Book Antiqua"/>
          <w:color w:val="000000" w:themeColor="text1"/>
          <w:spacing w:val="-16"/>
          <w:w w:val="110"/>
        </w:rPr>
        <w:t xml:space="preserve"> </w:t>
      </w:r>
      <w:r w:rsidRPr="00C33BA8">
        <w:rPr>
          <w:rFonts w:ascii="Book Antiqua" w:hAnsi="Book Antiqua"/>
          <w:color w:val="000000" w:themeColor="text1"/>
          <w:w w:val="110"/>
        </w:rPr>
        <w:t>o</w:t>
      </w:r>
      <w:r w:rsidR="00686B93" w:rsidRPr="00C33BA8">
        <w:rPr>
          <w:rFonts w:ascii="Book Antiqua" w:hAnsi="Book Antiqua"/>
          <w:color w:val="000000" w:themeColor="text1"/>
          <w:w w:val="110"/>
        </w:rPr>
        <w:t>f</w:t>
      </w:r>
      <w:r w:rsidR="00686B93" w:rsidRPr="00C33BA8">
        <w:rPr>
          <w:rFonts w:ascii="Book Antiqua" w:hAnsi="Book Antiqua"/>
          <w:color w:val="000000" w:themeColor="text1"/>
          <w:spacing w:val="-15"/>
          <w:w w:val="110"/>
        </w:rPr>
        <w:t xml:space="preserve"> </w:t>
      </w:r>
      <w:r w:rsidR="00686B93" w:rsidRPr="00C33BA8">
        <w:rPr>
          <w:rFonts w:ascii="Book Antiqua" w:hAnsi="Book Antiqua"/>
          <w:color w:val="000000" w:themeColor="text1"/>
          <w:w w:val="110"/>
        </w:rPr>
        <w:t>antibodies</w:t>
      </w:r>
      <w:r w:rsidR="00686B93" w:rsidRPr="00C33BA8">
        <w:rPr>
          <w:rFonts w:ascii="Book Antiqua" w:hAnsi="Book Antiqua"/>
          <w:color w:val="000000" w:themeColor="text1"/>
          <w:spacing w:val="-16"/>
          <w:w w:val="110"/>
        </w:rPr>
        <w:t xml:space="preserve"> </w:t>
      </w:r>
      <w:r w:rsidR="00686B93" w:rsidRPr="00C33BA8">
        <w:rPr>
          <w:rFonts w:ascii="Book Antiqua" w:hAnsi="Book Antiqua"/>
          <w:color w:val="000000" w:themeColor="text1"/>
          <w:w w:val="110"/>
        </w:rPr>
        <w:t>to</w:t>
      </w:r>
      <w:r w:rsidRPr="00C33BA8">
        <w:rPr>
          <w:rFonts w:ascii="Book Antiqua" w:hAnsi="Book Antiqua"/>
          <w:color w:val="000000" w:themeColor="text1"/>
          <w:spacing w:val="-15"/>
          <w:w w:val="110"/>
        </w:rPr>
        <w:t xml:space="preserve"> </w:t>
      </w:r>
      <w:bookmarkStart w:id="1" w:name="OLE_LINK34"/>
      <w:r w:rsidR="00686B93" w:rsidRPr="00C33BA8">
        <w:rPr>
          <w:rFonts w:ascii="Book Antiqua" w:hAnsi="Book Antiqua"/>
          <w:i/>
          <w:color w:val="000000" w:themeColor="text1"/>
        </w:rPr>
        <w:t>Campylobacter jejuni</w:t>
      </w:r>
      <w:bookmarkEnd w:id="1"/>
      <w:r w:rsidRPr="00C33BA8">
        <w:rPr>
          <w:rFonts w:ascii="Book Antiqua" w:hAnsi="Book Antiqua"/>
          <w:i/>
          <w:color w:val="000000" w:themeColor="text1"/>
          <w:spacing w:val="-17"/>
          <w:w w:val="110"/>
        </w:rPr>
        <w:t xml:space="preserve"> </w:t>
      </w:r>
      <w:r w:rsidRPr="00C33BA8">
        <w:rPr>
          <w:rFonts w:ascii="Book Antiqua" w:hAnsi="Book Antiqua"/>
          <w:color w:val="000000" w:themeColor="text1"/>
          <w:w w:val="110"/>
        </w:rPr>
        <w:t>and</w:t>
      </w:r>
      <w:r w:rsidR="00686B93" w:rsidRPr="00C33BA8">
        <w:rPr>
          <w:rFonts w:ascii="Book Antiqua" w:hAnsi="Book Antiqua"/>
          <w:color w:val="000000" w:themeColor="text1"/>
          <w:spacing w:val="-15"/>
          <w:w w:val="110"/>
        </w:rPr>
        <w:t xml:space="preserve"> </w:t>
      </w:r>
      <w:r w:rsidR="00686B93" w:rsidRPr="00C33BA8">
        <w:rPr>
          <w:rFonts w:ascii="Book Antiqua" w:hAnsi="Book Antiqua"/>
          <w:color w:val="000000" w:themeColor="text1"/>
          <w:w w:val="110"/>
        </w:rPr>
        <w:t>cytolethal</w:t>
      </w:r>
      <w:r w:rsidR="00686B93" w:rsidRPr="00C33BA8">
        <w:rPr>
          <w:rFonts w:ascii="Book Antiqua" w:hAnsi="Book Antiqua"/>
          <w:color w:val="000000" w:themeColor="text1"/>
          <w:spacing w:val="-16"/>
          <w:w w:val="110"/>
        </w:rPr>
        <w:t xml:space="preserve"> </w:t>
      </w:r>
      <w:r w:rsidR="00686B93" w:rsidRPr="00C33BA8">
        <w:rPr>
          <w:rFonts w:ascii="Book Antiqua" w:hAnsi="Book Antiqua"/>
          <w:color w:val="000000" w:themeColor="text1"/>
          <w:w w:val="110"/>
        </w:rPr>
        <w:t>distending</w:t>
      </w:r>
      <w:r w:rsidR="00686B93" w:rsidRPr="00C33BA8">
        <w:rPr>
          <w:rFonts w:ascii="Book Antiqua" w:hAnsi="Book Antiqua"/>
          <w:color w:val="000000" w:themeColor="text1"/>
          <w:spacing w:val="-15"/>
          <w:w w:val="110"/>
        </w:rPr>
        <w:t xml:space="preserve"> </w:t>
      </w:r>
      <w:r w:rsidR="00686B93" w:rsidRPr="00C33BA8">
        <w:rPr>
          <w:rFonts w:ascii="Book Antiqua" w:hAnsi="Book Antiqua"/>
          <w:color w:val="000000" w:themeColor="text1"/>
          <w:w w:val="110"/>
        </w:rPr>
        <w:t>toxin</w:t>
      </w:r>
      <w:r w:rsidR="00686B93" w:rsidRPr="00C33BA8">
        <w:rPr>
          <w:rFonts w:ascii="Book Antiqua" w:hAnsi="Book Antiqua"/>
          <w:color w:val="000000" w:themeColor="text1"/>
          <w:spacing w:val="-16"/>
          <w:w w:val="110"/>
        </w:rPr>
        <w:t xml:space="preserve"> </w:t>
      </w:r>
      <w:r w:rsidR="008D7789">
        <w:rPr>
          <w:rFonts w:ascii="Book Antiqua" w:hAnsi="Book Antiqua"/>
          <w:color w:val="000000" w:themeColor="text1"/>
          <w:w w:val="110"/>
        </w:rPr>
        <w:t>B</w:t>
      </w:r>
      <w:r w:rsidR="00686B93" w:rsidRPr="00C33BA8">
        <w:rPr>
          <w:rFonts w:ascii="Book Antiqua" w:hAnsi="Book Antiqua"/>
          <w:color w:val="000000" w:themeColor="text1"/>
          <w:spacing w:val="-16"/>
          <w:w w:val="110"/>
        </w:rPr>
        <w:t xml:space="preserve"> </w:t>
      </w:r>
      <w:r w:rsidR="00686B93" w:rsidRPr="00C33BA8">
        <w:rPr>
          <w:rFonts w:ascii="Book Antiqua" w:hAnsi="Book Antiqua"/>
          <w:color w:val="000000" w:themeColor="text1"/>
          <w:w w:val="110"/>
        </w:rPr>
        <w:t>with</w:t>
      </w:r>
      <w:r w:rsidR="00686B93" w:rsidRPr="00C33BA8">
        <w:rPr>
          <w:rFonts w:ascii="Book Antiqua" w:hAnsi="Book Antiqua"/>
          <w:color w:val="000000" w:themeColor="text1"/>
          <w:spacing w:val="-16"/>
          <w:w w:val="110"/>
        </w:rPr>
        <w:t xml:space="preserve"> </w:t>
      </w:r>
      <w:r w:rsidR="00686B93" w:rsidRPr="00C33BA8">
        <w:rPr>
          <w:rFonts w:ascii="Book Antiqua" w:hAnsi="Book Antiqua"/>
          <w:color w:val="000000" w:themeColor="text1"/>
          <w:w w:val="110"/>
        </w:rPr>
        <w:t>tissues and food</w:t>
      </w:r>
      <w:r w:rsidR="00686B93" w:rsidRPr="00C33BA8">
        <w:rPr>
          <w:rFonts w:ascii="Book Antiqua" w:hAnsi="Book Antiqua"/>
          <w:color w:val="000000" w:themeColor="text1"/>
          <w:spacing w:val="-13"/>
          <w:w w:val="110"/>
        </w:rPr>
        <w:t xml:space="preserve"> </w:t>
      </w:r>
      <w:r w:rsidR="00686B93" w:rsidRPr="00C33BA8">
        <w:rPr>
          <w:rFonts w:ascii="Book Antiqua" w:hAnsi="Book Antiqua"/>
          <w:color w:val="000000" w:themeColor="text1"/>
          <w:w w:val="110"/>
        </w:rPr>
        <w:t>antigens</w:t>
      </w:r>
      <w:bookmarkEnd w:id="0"/>
    </w:p>
    <w:p w14:paraId="321D6FA4" w14:textId="77777777" w:rsidR="00920C46" w:rsidRPr="00C33BA8" w:rsidRDefault="00920C46" w:rsidP="00686B93">
      <w:pPr>
        <w:pStyle w:val="BodyText"/>
        <w:adjustRightInd w:val="0"/>
        <w:snapToGrid w:val="0"/>
        <w:spacing w:line="360" w:lineRule="auto"/>
        <w:ind w:left="0"/>
        <w:jc w:val="both"/>
        <w:rPr>
          <w:rFonts w:ascii="Book Antiqua" w:hAnsi="Book Antiqua"/>
          <w:b/>
          <w:color w:val="000000" w:themeColor="text1"/>
        </w:rPr>
      </w:pPr>
    </w:p>
    <w:p w14:paraId="2E50B6D4" w14:textId="77777777" w:rsidR="00920C46" w:rsidRPr="00C33BA8" w:rsidRDefault="00E815E9" w:rsidP="00686B93">
      <w:pPr>
        <w:pStyle w:val="BodyText"/>
        <w:adjustRightInd w:val="0"/>
        <w:snapToGrid w:val="0"/>
        <w:spacing w:line="360" w:lineRule="auto"/>
        <w:ind w:left="0"/>
        <w:jc w:val="both"/>
        <w:rPr>
          <w:rFonts w:ascii="Book Antiqua" w:hAnsi="Book Antiqua"/>
          <w:color w:val="000000" w:themeColor="text1"/>
        </w:rPr>
      </w:pPr>
      <w:r w:rsidRPr="00C33BA8">
        <w:rPr>
          <w:rFonts w:ascii="Book Antiqua" w:hAnsi="Book Antiqua"/>
          <w:color w:val="000000" w:themeColor="text1"/>
        </w:rPr>
        <w:t>Vojdani A</w:t>
      </w:r>
      <w:r w:rsidR="00686B93" w:rsidRPr="00C33BA8">
        <w:rPr>
          <w:rFonts w:ascii="Book Antiqua" w:hAnsi="Book Antiqua"/>
          <w:color w:val="000000" w:themeColor="text1"/>
        </w:rPr>
        <w:t xml:space="preserve"> </w:t>
      </w:r>
      <w:r w:rsidR="00686B93" w:rsidRPr="00C33BA8">
        <w:rPr>
          <w:rFonts w:ascii="Book Antiqua" w:hAnsi="Book Antiqua"/>
          <w:i/>
          <w:color w:val="000000" w:themeColor="text1"/>
        </w:rPr>
        <w:t>et al</w:t>
      </w:r>
      <w:r w:rsidRPr="00C33BA8">
        <w:rPr>
          <w:rFonts w:ascii="Book Antiqua" w:hAnsi="Book Antiqua"/>
          <w:color w:val="000000" w:themeColor="text1"/>
        </w:rPr>
        <w:t xml:space="preserve">. </w:t>
      </w:r>
      <w:r w:rsidRPr="00C33BA8">
        <w:rPr>
          <w:rFonts w:ascii="Book Antiqua" w:hAnsi="Book Antiqua"/>
          <w:i/>
          <w:color w:val="000000" w:themeColor="text1"/>
        </w:rPr>
        <w:t xml:space="preserve">C. jejuni </w:t>
      </w:r>
      <w:r w:rsidRPr="00C33BA8">
        <w:rPr>
          <w:rFonts w:ascii="Book Antiqua" w:hAnsi="Book Antiqua"/>
          <w:color w:val="000000" w:themeColor="text1"/>
        </w:rPr>
        <w:t>antibody reacts with antigens</w:t>
      </w:r>
    </w:p>
    <w:p w14:paraId="6982AB18" w14:textId="77777777" w:rsidR="00920C46" w:rsidRPr="00C33BA8" w:rsidRDefault="00920C46" w:rsidP="00686B93">
      <w:pPr>
        <w:pStyle w:val="BodyText"/>
        <w:adjustRightInd w:val="0"/>
        <w:snapToGrid w:val="0"/>
        <w:spacing w:line="360" w:lineRule="auto"/>
        <w:ind w:left="0"/>
        <w:jc w:val="both"/>
        <w:rPr>
          <w:rFonts w:ascii="Book Antiqua" w:hAnsi="Book Antiqua"/>
          <w:color w:val="000000" w:themeColor="text1"/>
        </w:rPr>
      </w:pPr>
    </w:p>
    <w:p w14:paraId="54EAADE1" w14:textId="77777777" w:rsidR="00920C46" w:rsidRPr="00C33BA8" w:rsidRDefault="00E815E9" w:rsidP="00686B93">
      <w:pPr>
        <w:pStyle w:val="Heading1"/>
        <w:adjustRightInd w:val="0"/>
        <w:snapToGrid w:val="0"/>
        <w:spacing w:line="360" w:lineRule="auto"/>
        <w:ind w:left="0"/>
        <w:jc w:val="both"/>
        <w:rPr>
          <w:rFonts w:ascii="Book Antiqua" w:hAnsi="Book Antiqua"/>
          <w:b w:val="0"/>
          <w:color w:val="000000" w:themeColor="text1"/>
        </w:rPr>
      </w:pPr>
      <w:bookmarkStart w:id="2" w:name="OLE_LINK32"/>
      <w:bookmarkStart w:id="3" w:name="OLE_LINK33"/>
      <w:r w:rsidRPr="00C33BA8">
        <w:rPr>
          <w:rFonts w:ascii="Book Antiqua" w:hAnsi="Book Antiqua"/>
          <w:b w:val="0"/>
          <w:color w:val="000000" w:themeColor="text1"/>
          <w:w w:val="105"/>
        </w:rPr>
        <w:t>Aristo Vojdani, Elroy Vojdani</w:t>
      </w:r>
      <w:bookmarkEnd w:id="2"/>
      <w:bookmarkEnd w:id="3"/>
    </w:p>
    <w:p w14:paraId="4A1D7BBC" w14:textId="77777777" w:rsidR="00920C46" w:rsidRPr="00C33BA8" w:rsidRDefault="00920C46" w:rsidP="00686B93">
      <w:pPr>
        <w:pStyle w:val="BodyText"/>
        <w:adjustRightInd w:val="0"/>
        <w:snapToGrid w:val="0"/>
        <w:spacing w:line="360" w:lineRule="auto"/>
        <w:ind w:left="0"/>
        <w:jc w:val="both"/>
        <w:rPr>
          <w:rFonts w:ascii="Book Antiqua" w:hAnsi="Book Antiqua"/>
          <w:b/>
          <w:color w:val="000000" w:themeColor="text1"/>
        </w:rPr>
      </w:pPr>
    </w:p>
    <w:p w14:paraId="6820C3D2" w14:textId="77777777" w:rsidR="00920C46" w:rsidRPr="00C33BA8" w:rsidRDefault="00E815E9" w:rsidP="00686B93">
      <w:pPr>
        <w:pStyle w:val="BodyText"/>
        <w:adjustRightInd w:val="0"/>
        <w:snapToGrid w:val="0"/>
        <w:spacing w:line="360" w:lineRule="auto"/>
        <w:ind w:left="0"/>
        <w:jc w:val="both"/>
        <w:rPr>
          <w:rFonts w:ascii="Book Antiqua" w:hAnsi="Book Antiqua"/>
          <w:color w:val="000000" w:themeColor="text1"/>
        </w:rPr>
      </w:pPr>
      <w:r w:rsidRPr="00C33BA8">
        <w:rPr>
          <w:rFonts w:ascii="Book Antiqua" w:hAnsi="Book Antiqua"/>
          <w:b/>
          <w:color w:val="000000" w:themeColor="text1"/>
        </w:rPr>
        <w:t xml:space="preserve">Aristo Vojdani, </w:t>
      </w:r>
      <w:r w:rsidRPr="00C33BA8">
        <w:rPr>
          <w:rFonts w:ascii="Book Antiqua" w:hAnsi="Book Antiqua"/>
          <w:color w:val="000000" w:themeColor="text1"/>
        </w:rPr>
        <w:t>Immunosciences Lab., Inc., Los Angeles, CA 90035</w:t>
      </w:r>
      <w:r w:rsidR="00686B93" w:rsidRPr="00C33BA8">
        <w:rPr>
          <w:rFonts w:ascii="Book Antiqua" w:hAnsi="Book Antiqua"/>
          <w:color w:val="000000" w:themeColor="text1"/>
        </w:rPr>
        <w:t>,</w:t>
      </w:r>
      <w:r w:rsidRPr="00C33BA8">
        <w:rPr>
          <w:rFonts w:ascii="Book Antiqua" w:hAnsi="Book Antiqua"/>
          <w:color w:val="000000" w:themeColor="text1"/>
        </w:rPr>
        <w:t xml:space="preserve"> United States</w:t>
      </w:r>
    </w:p>
    <w:p w14:paraId="4C05380A" w14:textId="77777777" w:rsidR="00920C46" w:rsidRPr="00C33BA8" w:rsidRDefault="00920C46" w:rsidP="00686B93">
      <w:pPr>
        <w:pStyle w:val="BodyText"/>
        <w:adjustRightInd w:val="0"/>
        <w:snapToGrid w:val="0"/>
        <w:spacing w:line="360" w:lineRule="auto"/>
        <w:ind w:left="0"/>
        <w:jc w:val="both"/>
        <w:rPr>
          <w:rFonts w:ascii="Book Antiqua" w:hAnsi="Book Antiqua"/>
          <w:color w:val="000000" w:themeColor="text1"/>
        </w:rPr>
      </w:pPr>
    </w:p>
    <w:p w14:paraId="7F43AEEC" w14:textId="77777777" w:rsidR="00920C46" w:rsidRPr="00C33BA8" w:rsidRDefault="00E815E9" w:rsidP="00686B93">
      <w:pPr>
        <w:adjustRightInd w:val="0"/>
        <w:snapToGrid w:val="0"/>
        <w:spacing w:line="360" w:lineRule="auto"/>
        <w:jc w:val="both"/>
        <w:rPr>
          <w:rFonts w:ascii="Book Antiqua" w:hAnsi="Book Antiqua"/>
          <w:color w:val="000000" w:themeColor="text1"/>
          <w:sz w:val="24"/>
          <w:szCs w:val="24"/>
        </w:rPr>
      </w:pPr>
      <w:r w:rsidRPr="00C33BA8">
        <w:rPr>
          <w:rFonts w:ascii="Book Antiqua" w:hAnsi="Book Antiqua"/>
          <w:b/>
          <w:color w:val="000000" w:themeColor="text1"/>
          <w:sz w:val="24"/>
          <w:szCs w:val="24"/>
        </w:rPr>
        <w:t xml:space="preserve">Aristo Vojdani, </w:t>
      </w:r>
      <w:r w:rsidRPr="00C33BA8">
        <w:rPr>
          <w:rFonts w:ascii="Book Antiqua" w:hAnsi="Book Antiqua"/>
          <w:color w:val="000000" w:themeColor="text1"/>
          <w:sz w:val="24"/>
          <w:szCs w:val="24"/>
        </w:rPr>
        <w:t>Cyrex Labs, LLC., Phoenix, AZ 85034</w:t>
      </w:r>
      <w:r w:rsidR="00686B93" w:rsidRPr="00C33BA8">
        <w:rPr>
          <w:rFonts w:ascii="Book Antiqua" w:hAnsi="Book Antiqua"/>
          <w:color w:val="000000" w:themeColor="text1"/>
          <w:sz w:val="24"/>
          <w:szCs w:val="24"/>
        </w:rPr>
        <w:t>,</w:t>
      </w:r>
      <w:r w:rsidRPr="00C33BA8">
        <w:rPr>
          <w:rFonts w:ascii="Book Antiqua" w:hAnsi="Book Antiqua"/>
          <w:color w:val="000000" w:themeColor="text1"/>
          <w:sz w:val="24"/>
          <w:szCs w:val="24"/>
        </w:rPr>
        <w:t xml:space="preserve"> </w:t>
      </w:r>
      <w:bookmarkStart w:id="4" w:name="OLE_LINK30"/>
      <w:bookmarkStart w:id="5" w:name="OLE_LINK31"/>
      <w:r w:rsidRPr="00C33BA8">
        <w:rPr>
          <w:rFonts w:ascii="Book Antiqua" w:hAnsi="Book Antiqua"/>
          <w:color w:val="000000" w:themeColor="text1"/>
          <w:sz w:val="24"/>
          <w:szCs w:val="24"/>
        </w:rPr>
        <w:t>United States</w:t>
      </w:r>
      <w:bookmarkEnd w:id="4"/>
      <w:bookmarkEnd w:id="5"/>
    </w:p>
    <w:p w14:paraId="629A8506" w14:textId="77777777" w:rsidR="00920C46" w:rsidRPr="00C33BA8" w:rsidRDefault="00920C46" w:rsidP="00686B93">
      <w:pPr>
        <w:pStyle w:val="BodyText"/>
        <w:adjustRightInd w:val="0"/>
        <w:snapToGrid w:val="0"/>
        <w:spacing w:line="360" w:lineRule="auto"/>
        <w:ind w:left="0"/>
        <w:jc w:val="both"/>
        <w:rPr>
          <w:rFonts w:ascii="Book Antiqua" w:hAnsi="Book Antiqua"/>
          <w:color w:val="000000" w:themeColor="text1"/>
        </w:rPr>
      </w:pPr>
    </w:p>
    <w:p w14:paraId="5CEE2998" w14:textId="77777777" w:rsidR="00920C46" w:rsidRPr="00C33BA8" w:rsidRDefault="00E815E9" w:rsidP="00686B93">
      <w:pPr>
        <w:pStyle w:val="BodyText"/>
        <w:adjustRightInd w:val="0"/>
        <w:snapToGrid w:val="0"/>
        <w:spacing w:line="360" w:lineRule="auto"/>
        <w:ind w:left="0"/>
        <w:jc w:val="both"/>
        <w:rPr>
          <w:rFonts w:ascii="Book Antiqua" w:hAnsi="Book Antiqua"/>
          <w:color w:val="000000" w:themeColor="text1"/>
        </w:rPr>
      </w:pPr>
      <w:r w:rsidRPr="00C33BA8">
        <w:rPr>
          <w:rFonts w:ascii="Book Antiqua" w:hAnsi="Book Antiqua"/>
          <w:b/>
          <w:color w:val="000000" w:themeColor="text1"/>
        </w:rPr>
        <w:t xml:space="preserve">Aristo Vojdani, </w:t>
      </w:r>
      <w:r w:rsidRPr="00C33BA8">
        <w:rPr>
          <w:rFonts w:ascii="Book Antiqua" w:hAnsi="Book Antiqua"/>
          <w:color w:val="000000" w:themeColor="text1"/>
        </w:rPr>
        <w:t>Department of Preventive Medicine, Loma Linda University School of Medicine, Loma Linda, CA 92354</w:t>
      </w:r>
      <w:r w:rsidR="00686B93" w:rsidRPr="00C33BA8">
        <w:rPr>
          <w:rFonts w:ascii="Book Antiqua" w:hAnsi="Book Antiqua"/>
          <w:color w:val="000000" w:themeColor="text1"/>
        </w:rPr>
        <w:t>,</w:t>
      </w:r>
      <w:r w:rsidRPr="00C33BA8">
        <w:rPr>
          <w:rFonts w:ascii="Book Antiqua" w:hAnsi="Book Antiqua"/>
          <w:color w:val="000000" w:themeColor="text1"/>
        </w:rPr>
        <w:t xml:space="preserve"> </w:t>
      </w:r>
      <w:r w:rsidR="00686B93" w:rsidRPr="00C33BA8">
        <w:rPr>
          <w:rFonts w:ascii="Book Antiqua" w:hAnsi="Book Antiqua"/>
          <w:color w:val="000000" w:themeColor="text1"/>
        </w:rPr>
        <w:t>United States</w:t>
      </w:r>
    </w:p>
    <w:p w14:paraId="37BE9412" w14:textId="77777777" w:rsidR="00920C46" w:rsidRPr="00C33BA8" w:rsidRDefault="00920C46" w:rsidP="00686B93">
      <w:pPr>
        <w:pStyle w:val="BodyText"/>
        <w:adjustRightInd w:val="0"/>
        <w:snapToGrid w:val="0"/>
        <w:spacing w:line="360" w:lineRule="auto"/>
        <w:ind w:left="0"/>
        <w:jc w:val="both"/>
        <w:rPr>
          <w:rFonts w:ascii="Book Antiqua" w:hAnsi="Book Antiqua"/>
          <w:color w:val="000000" w:themeColor="text1"/>
        </w:rPr>
      </w:pPr>
    </w:p>
    <w:p w14:paraId="254346F0" w14:textId="77777777" w:rsidR="00920C46" w:rsidRPr="00C33BA8" w:rsidRDefault="00E815E9" w:rsidP="00686B93">
      <w:pPr>
        <w:adjustRightInd w:val="0"/>
        <w:snapToGrid w:val="0"/>
        <w:spacing w:line="360" w:lineRule="auto"/>
        <w:jc w:val="both"/>
        <w:rPr>
          <w:rFonts w:ascii="Book Antiqua" w:hAnsi="Book Antiqua"/>
          <w:color w:val="000000" w:themeColor="text1"/>
          <w:sz w:val="24"/>
          <w:szCs w:val="24"/>
        </w:rPr>
      </w:pPr>
      <w:r w:rsidRPr="00C33BA8">
        <w:rPr>
          <w:rFonts w:ascii="Book Antiqua" w:hAnsi="Book Antiqua"/>
          <w:b/>
          <w:color w:val="000000" w:themeColor="text1"/>
          <w:sz w:val="24"/>
          <w:szCs w:val="24"/>
        </w:rPr>
        <w:t xml:space="preserve">Elroy Vojdani, </w:t>
      </w:r>
      <w:r w:rsidRPr="00C33BA8">
        <w:rPr>
          <w:rFonts w:ascii="Book Antiqua" w:hAnsi="Book Antiqua"/>
          <w:color w:val="000000" w:themeColor="text1"/>
          <w:sz w:val="24"/>
          <w:szCs w:val="24"/>
        </w:rPr>
        <w:t>Regenera Medical, Los Angeles, CA 90025</w:t>
      </w:r>
      <w:r w:rsidR="00686B93" w:rsidRPr="00C33BA8">
        <w:rPr>
          <w:rFonts w:ascii="Book Antiqua" w:hAnsi="Book Antiqua"/>
          <w:color w:val="000000" w:themeColor="text1"/>
          <w:sz w:val="24"/>
          <w:szCs w:val="24"/>
        </w:rPr>
        <w:t>,</w:t>
      </w:r>
      <w:r w:rsidRPr="00C33BA8">
        <w:rPr>
          <w:rFonts w:ascii="Book Antiqua" w:hAnsi="Book Antiqua"/>
          <w:color w:val="000000" w:themeColor="text1"/>
          <w:sz w:val="24"/>
          <w:szCs w:val="24"/>
        </w:rPr>
        <w:t xml:space="preserve"> </w:t>
      </w:r>
      <w:r w:rsidR="00686B93" w:rsidRPr="00C33BA8">
        <w:rPr>
          <w:rFonts w:ascii="Book Antiqua" w:hAnsi="Book Antiqua"/>
          <w:color w:val="000000" w:themeColor="text1"/>
          <w:sz w:val="24"/>
          <w:szCs w:val="24"/>
        </w:rPr>
        <w:t>United States</w:t>
      </w:r>
    </w:p>
    <w:p w14:paraId="21053B35" w14:textId="77777777" w:rsidR="00686B93" w:rsidRPr="00C33BA8" w:rsidRDefault="00686B93" w:rsidP="00686B93">
      <w:pPr>
        <w:adjustRightInd w:val="0"/>
        <w:snapToGrid w:val="0"/>
        <w:spacing w:line="360" w:lineRule="auto"/>
        <w:jc w:val="both"/>
        <w:rPr>
          <w:rFonts w:ascii="Book Antiqua" w:hAnsi="Book Antiqua"/>
          <w:color w:val="000000" w:themeColor="text1"/>
          <w:sz w:val="24"/>
          <w:szCs w:val="24"/>
        </w:rPr>
      </w:pPr>
    </w:p>
    <w:p w14:paraId="60BD27CF" w14:textId="77777777" w:rsidR="00686B93" w:rsidRPr="00C33BA8" w:rsidRDefault="00686B93" w:rsidP="00686B93">
      <w:pPr>
        <w:adjustRightInd w:val="0"/>
        <w:snapToGrid w:val="0"/>
        <w:spacing w:line="360" w:lineRule="auto"/>
        <w:jc w:val="both"/>
        <w:rPr>
          <w:rFonts w:ascii="Book Antiqua" w:hAnsi="Book Antiqua"/>
          <w:color w:val="000000" w:themeColor="text1"/>
          <w:sz w:val="24"/>
          <w:szCs w:val="24"/>
        </w:rPr>
      </w:pPr>
      <w:r w:rsidRPr="00C33BA8">
        <w:rPr>
          <w:rFonts w:ascii="Book Antiqua" w:hAnsi="Book Antiqua"/>
          <w:b/>
          <w:color w:val="000000" w:themeColor="text1"/>
          <w:sz w:val="24"/>
          <w:szCs w:val="24"/>
        </w:rPr>
        <w:t xml:space="preserve">ORCID number: </w:t>
      </w:r>
      <w:r w:rsidRPr="00C33BA8">
        <w:rPr>
          <w:rFonts w:ascii="Book Antiqua" w:hAnsi="Book Antiqua"/>
          <w:color w:val="000000" w:themeColor="text1"/>
          <w:w w:val="105"/>
          <w:sz w:val="24"/>
          <w:szCs w:val="24"/>
        </w:rPr>
        <w:t>Aristo Vojdani (0000-0003-2927-9334); Elroy Vojdani (0000-0001-8687-9762).</w:t>
      </w:r>
    </w:p>
    <w:p w14:paraId="53AD1BF2" w14:textId="77777777" w:rsidR="00686B93" w:rsidRPr="00C33BA8" w:rsidRDefault="00686B93" w:rsidP="00686B93">
      <w:pPr>
        <w:pStyle w:val="BodyText"/>
        <w:adjustRightInd w:val="0"/>
        <w:snapToGrid w:val="0"/>
        <w:spacing w:line="360" w:lineRule="auto"/>
        <w:ind w:left="0"/>
        <w:jc w:val="both"/>
        <w:rPr>
          <w:rFonts w:ascii="Book Antiqua" w:hAnsi="Book Antiqua"/>
          <w:b/>
          <w:color w:val="000000" w:themeColor="text1"/>
          <w:w w:val="95"/>
        </w:rPr>
      </w:pPr>
    </w:p>
    <w:p w14:paraId="3315F466" w14:textId="77777777" w:rsidR="00920C46" w:rsidRPr="00C33BA8" w:rsidRDefault="00E815E9" w:rsidP="00686B93">
      <w:pPr>
        <w:pStyle w:val="BodyText"/>
        <w:adjustRightInd w:val="0"/>
        <w:snapToGrid w:val="0"/>
        <w:spacing w:line="360" w:lineRule="auto"/>
        <w:ind w:left="0"/>
        <w:jc w:val="both"/>
        <w:rPr>
          <w:rFonts w:ascii="Book Antiqua" w:hAnsi="Book Antiqua"/>
          <w:color w:val="000000" w:themeColor="text1"/>
        </w:rPr>
      </w:pPr>
      <w:r w:rsidRPr="00C33BA8">
        <w:rPr>
          <w:rFonts w:ascii="Book Antiqua" w:hAnsi="Book Antiqua"/>
          <w:b/>
          <w:color w:val="000000" w:themeColor="text1"/>
        </w:rPr>
        <w:t xml:space="preserve">Author contributions: </w:t>
      </w:r>
      <w:r w:rsidRPr="00C33BA8">
        <w:rPr>
          <w:rFonts w:ascii="Book Antiqua" w:hAnsi="Book Antiqua"/>
          <w:color w:val="000000" w:themeColor="text1"/>
        </w:rPr>
        <w:t>Vojdani A performed the majority of the experiments, analyzed the data, and wrote the article; Vojdani E also performed some of the experiments and helped in the preparation of the article.</w:t>
      </w:r>
    </w:p>
    <w:p w14:paraId="6C4DAC97" w14:textId="77777777" w:rsidR="00686B93" w:rsidRPr="00C33BA8" w:rsidRDefault="00686B93" w:rsidP="00686B93">
      <w:pPr>
        <w:adjustRightInd w:val="0"/>
        <w:snapToGrid w:val="0"/>
        <w:spacing w:line="360" w:lineRule="auto"/>
        <w:jc w:val="both"/>
        <w:rPr>
          <w:rFonts w:ascii="Book Antiqua" w:hAnsi="Book Antiqua"/>
          <w:b/>
          <w:color w:val="000000" w:themeColor="text1"/>
          <w:w w:val="105"/>
          <w:sz w:val="24"/>
          <w:szCs w:val="24"/>
        </w:rPr>
      </w:pPr>
    </w:p>
    <w:p w14:paraId="7AE31E41" w14:textId="77777777" w:rsidR="00920C46" w:rsidRPr="00C33BA8" w:rsidRDefault="00E815E9" w:rsidP="00686B93">
      <w:pPr>
        <w:adjustRightInd w:val="0"/>
        <w:snapToGrid w:val="0"/>
        <w:spacing w:line="360" w:lineRule="auto"/>
        <w:jc w:val="both"/>
        <w:rPr>
          <w:rFonts w:ascii="Book Antiqua" w:hAnsi="Book Antiqua"/>
          <w:color w:val="000000" w:themeColor="text1"/>
          <w:sz w:val="24"/>
          <w:szCs w:val="24"/>
        </w:rPr>
      </w:pPr>
      <w:r w:rsidRPr="00C33BA8">
        <w:rPr>
          <w:rFonts w:ascii="Book Antiqua" w:hAnsi="Book Antiqua"/>
          <w:b/>
          <w:color w:val="000000" w:themeColor="text1"/>
          <w:w w:val="105"/>
          <w:sz w:val="24"/>
          <w:szCs w:val="24"/>
        </w:rPr>
        <w:t>Conflict-of-interest statement:</w:t>
      </w:r>
      <w:r w:rsidR="00686B93" w:rsidRPr="00C33BA8">
        <w:rPr>
          <w:rFonts w:ascii="Book Antiqua" w:hAnsi="Book Antiqua"/>
          <w:b/>
          <w:color w:val="000000" w:themeColor="text1"/>
          <w:w w:val="105"/>
          <w:sz w:val="24"/>
          <w:szCs w:val="24"/>
        </w:rPr>
        <w:t xml:space="preserve"> </w:t>
      </w:r>
      <w:r w:rsidRPr="00C33BA8">
        <w:rPr>
          <w:rFonts w:ascii="Book Antiqua" w:hAnsi="Book Antiqua"/>
          <w:color w:val="000000" w:themeColor="text1"/>
          <w:sz w:val="24"/>
          <w:szCs w:val="24"/>
        </w:rPr>
        <w:t xml:space="preserve">The authors declare that the research was conducted in the absence of any commercial or financial relationships that could be construed as a </w:t>
      </w:r>
      <w:r w:rsidRPr="00C33BA8">
        <w:rPr>
          <w:rFonts w:ascii="Book Antiqua" w:hAnsi="Book Antiqua"/>
          <w:color w:val="000000" w:themeColor="text1"/>
          <w:sz w:val="24"/>
          <w:szCs w:val="24"/>
        </w:rPr>
        <w:lastRenderedPageBreak/>
        <w:t>potential conflict of</w:t>
      </w:r>
      <w:r w:rsidRPr="00C33BA8">
        <w:rPr>
          <w:rFonts w:ascii="Book Antiqua" w:hAnsi="Book Antiqua"/>
          <w:color w:val="000000" w:themeColor="text1"/>
          <w:spacing w:val="-5"/>
          <w:sz w:val="24"/>
          <w:szCs w:val="24"/>
        </w:rPr>
        <w:t xml:space="preserve"> </w:t>
      </w:r>
      <w:r w:rsidRPr="00C33BA8">
        <w:rPr>
          <w:rFonts w:ascii="Book Antiqua" w:hAnsi="Book Antiqua"/>
          <w:color w:val="000000" w:themeColor="text1"/>
          <w:sz w:val="24"/>
          <w:szCs w:val="24"/>
        </w:rPr>
        <w:t>interest.</w:t>
      </w:r>
    </w:p>
    <w:p w14:paraId="760C9820" w14:textId="77777777" w:rsidR="00686B93" w:rsidRPr="00C33BA8" w:rsidRDefault="00686B93" w:rsidP="00686B93">
      <w:pPr>
        <w:adjustRightInd w:val="0"/>
        <w:snapToGrid w:val="0"/>
        <w:spacing w:line="360" w:lineRule="auto"/>
        <w:jc w:val="both"/>
        <w:rPr>
          <w:rFonts w:ascii="Book Antiqua" w:hAnsi="Book Antiqua"/>
          <w:b/>
          <w:color w:val="000000" w:themeColor="text1"/>
          <w:sz w:val="24"/>
          <w:szCs w:val="24"/>
        </w:rPr>
      </w:pPr>
    </w:p>
    <w:p w14:paraId="5C34EED9" w14:textId="77777777" w:rsidR="00920C46" w:rsidRPr="00C33BA8" w:rsidRDefault="00E815E9" w:rsidP="00686B93">
      <w:pPr>
        <w:pStyle w:val="Heading1"/>
        <w:adjustRightInd w:val="0"/>
        <w:snapToGrid w:val="0"/>
        <w:spacing w:line="360" w:lineRule="auto"/>
        <w:ind w:left="0"/>
        <w:jc w:val="both"/>
        <w:rPr>
          <w:rFonts w:ascii="Book Antiqua" w:hAnsi="Book Antiqua"/>
          <w:color w:val="000000" w:themeColor="text1"/>
        </w:rPr>
      </w:pPr>
      <w:r w:rsidRPr="00C33BA8">
        <w:rPr>
          <w:rFonts w:ascii="Book Antiqua" w:hAnsi="Book Antiqua"/>
          <w:color w:val="000000" w:themeColor="text1"/>
          <w:w w:val="105"/>
        </w:rPr>
        <w:t>Data sharing statement:</w:t>
      </w:r>
      <w:r w:rsidR="00686B93" w:rsidRPr="00C33BA8">
        <w:rPr>
          <w:rFonts w:ascii="Book Antiqua" w:hAnsi="Book Antiqua"/>
          <w:color w:val="000000" w:themeColor="text1"/>
          <w:w w:val="105"/>
        </w:rPr>
        <w:t xml:space="preserve"> </w:t>
      </w:r>
      <w:r w:rsidR="00686B93" w:rsidRPr="00C33BA8">
        <w:rPr>
          <w:rFonts w:ascii="Book Antiqua" w:hAnsi="Book Antiqua"/>
          <w:b w:val="0"/>
          <w:color w:val="000000" w:themeColor="text1"/>
          <w:w w:val="105"/>
        </w:rPr>
        <w:t>No additional data are available.</w:t>
      </w:r>
    </w:p>
    <w:p w14:paraId="75BBD1F8" w14:textId="77777777" w:rsidR="00686B93" w:rsidRPr="00C33BA8" w:rsidRDefault="00686B93" w:rsidP="00686B93">
      <w:pPr>
        <w:adjustRightInd w:val="0"/>
        <w:snapToGrid w:val="0"/>
        <w:spacing w:line="360" w:lineRule="auto"/>
        <w:jc w:val="both"/>
        <w:rPr>
          <w:rFonts w:ascii="Book Antiqua" w:hAnsi="Book Antiqua"/>
          <w:b/>
          <w:color w:val="000000" w:themeColor="text1"/>
          <w:w w:val="105"/>
          <w:sz w:val="24"/>
          <w:szCs w:val="24"/>
        </w:rPr>
      </w:pPr>
    </w:p>
    <w:p w14:paraId="417320D0" w14:textId="5C47D7D6" w:rsidR="00920C46" w:rsidRPr="00C33BA8" w:rsidRDefault="00E815E9" w:rsidP="00686B93">
      <w:pPr>
        <w:adjustRightInd w:val="0"/>
        <w:snapToGrid w:val="0"/>
        <w:spacing w:line="360" w:lineRule="auto"/>
        <w:jc w:val="both"/>
        <w:rPr>
          <w:rFonts w:ascii="Book Antiqua" w:hAnsi="Book Antiqua"/>
          <w:color w:val="000000" w:themeColor="text1"/>
          <w:w w:val="105"/>
          <w:sz w:val="24"/>
          <w:szCs w:val="24"/>
        </w:rPr>
      </w:pPr>
      <w:r w:rsidRPr="00C33BA8">
        <w:rPr>
          <w:rFonts w:ascii="Book Antiqua" w:hAnsi="Book Antiqua"/>
          <w:b/>
          <w:color w:val="000000" w:themeColor="text1"/>
          <w:w w:val="105"/>
          <w:sz w:val="24"/>
          <w:szCs w:val="24"/>
        </w:rPr>
        <w:t>ARRIVE guidelines statement:</w:t>
      </w:r>
      <w:r w:rsidR="00686B93" w:rsidRPr="00C33BA8">
        <w:rPr>
          <w:rFonts w:ascii="Book Antiqua" w:hAnsi="Book Antiqua"/>
          <w:b/>
          <w:color w:val="000000" w:themeColor="text1"/>
          <w:w w:val="105"/>
          <w:sz w:val="24"/>
          <w:szCs w:val="24"/>
        </w:rPr>
        <w:t xml:space="preserve"> </w:t>
      </w:r>
      <w:r w:rsidR="00686B93" w:rsidRPr="00C33BA8">
        <w:rPr>
          <w:rFonts w:ascii="Book Antiqua" w:hAnsi="Book Antiqua"/>
          <w:color w:val="000000" w:themeColor="text1"/>
          <w:w w:val="105"/>
          <w:sz w:val="24"/>
          <w:szCs w:val="24"/>
        </w:rPr>
        <w:t>The authors have checked the manuscript according to the ARRIVE guidelines.</w:t>
      </w:r>
    </w:p>
    <w:p w14:paraId="78BEA001" w14:textId="77777777" w:rsidR="00686B93" w:rsidRPr="00C33BA8" w:rsidRDefault="00686B93" w:rsidP="00686B93">
      <w:pPr>
        <w:adjustRightInd w:val="0"/>
        <w:snapToGrid w:val="0"/>
        <w:spacing w:line="360" w:lineRule="auto"/>
        <w:jc w:val="both"/>
        <w:rPr>
          <w:rFonts w:ascii="Book Antiqua" w:hAnsi="Book Antiqua"/>
          <w:color w:val="000000" w:themeColor="text1"/>
          <w:w w:val="105"/>
          <w:sz w:val="24"/>
          <w:szCs w:val="24"/>
        </w:rPr>
      </w:pPr>
    </w:p>
    <w:p w14:paraId="69546C3A" w14:textId="77777777" w:rsidR="00C33BA8" w:rsidRPr="00C33BA8" w:rsidRDefault="00C33BA8" w:rsidP="00C33BA8">
      <w:pPr>
        <w:snapToGrid w:val="0"/>
        <w:spacing w:line="360" w:lineRule="auto"/>
        <w:jc w:val="both"/>
        <w:rPr>
          <w:rFonts w:ascii="Book Antiqua" w:hAnsi="Book Antiqua"/>
          <w:sz w:val="24"/>
          <w:szCs w:val="24"/>
        </w:rPr>
      </w:pPr>
      <w:bookmarkStart w:id="6" w:name="OLE_LINK25"/>
      <w:bookmarkStart w:id="7" w:name="OLE_LINK26"/>
      <w:bookmarkStart w:id="8" w:name="OLE_LINK375"/>
      <w:bookmarkStart w:id="9" w:name="OLE_LINK381"/>
      <w:bookmarkStart w:id="10" w:name="OLE_LINK413"/>
      <w:r w:rsidRPr="00C33BA8">
        <w:rPr>
          <w:rFonts w:ascii="Book Antiqua" w:hAnsi="Book Antiqua"/>
          <w:b/>
          <w:color w:val="000000"/>
          <w:sz w:val="24"/>
          <w:szCs w:val="24"/>
        </w:rPr>
        <w:t xml:space="preserve">Open-Access: </w:t>
      </w:r>
      <w:r w:rsidRPr="00C33BA8">
        <w:rPr>
          <w:rFonts w:ascii="Book Antiqua" w:hAnsi="Book Antiqua"/>
          <w:color w:val="000000"/>
          <w:sz w:val="24"/>
          <w:szCs w:val="24"/>
        </w:rPr>
        <w:t xml:space="preserve">This is an </w:t>
      </w:r>
      <w:r w:rsidRPr="00C33BA8">
        <w:rPr>
          <w:rFonts w:ascii="Book Antiqua" w:hAnsi="Book Antiqua" w:cs="SimSun"/>
          <w:sz w:val="24"/>
          <w:szCs w:val="24"/>
        </w:rPr>
        <w:t xml:space="preserve">open-access article that was </w:t>
      </w:r>
      <w:r w:rsidRPr="00C33BA8">
        <w:rPr>
          <w:rFonts w:ascii="Book Antiqua" w:hAnsi="Book Antiqua"/>
          <w:sz w:val="24"/>
          <w:szCs w:val="24"/>
        </w:rPr>
        <w:t xml:space="preserve">selected by an in-house editor and fully peer-reviewed by external reviewers. It is </w:t>
      </w:r>
      <w:r w:rsidRPr="00C33BA8">
        <w:rPr>
          <w:rFonts w:ascii="Book Antiqua" w:hAnsi="Book Antiqua" w:cs="SimSun"/>
          <w:sz w:val="24"/>
          <w:szCs w:val="24"/>
        </w:rPr>
        <w:t xml:space="preserve">distributed in accordance with </w:t>
      </w:r>
      <w:r w:rsidRPr="00C33BA8">
        <w:rPr>
          <w:rFonts w:ascii="Book Antiqua" w:hAnsi="Book Antiqua"/>
          <w:sz w:val="24"/>
          <w:szCs w:val="24"/>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C33BA8">
          <w:rPr>
            <w:rStyle w:val="Hyperlink"/>
            <w:rFonts w:ascii="Book Antiqua" w:hAnsi="Book Antiqua"/>
            <w:sz w:val="24"/>
            <w:szCs w:val="24"/>
          </w:rPr>
          <w:t>http://creativecommons.org/licenses/by-nc/4.0/</w:t>
        </w:r>
      </w:hyperlink>
    </w:p>
    <w:p w14:paraId="66C8D12C" w14:textId="77777777" w:rsidR="00C33BA8" w:rsidRPr="00C33BA8" w:rsidRDefault="00C33BA8" w:rsidP="00C33BA8">
      <w:pPr>
        <w:snapToGrid w:val="0"/>
        <w:spacing w:line="360" w:lineRule="auto"/>
        <w:jc w:val="both"/>
        <w:rPr>
          <w:rFonts w:ascii="Book Antiqua" w:hAnsi="Book Antiqua"/>
          <w:sz w:val="24"/>
          <w:szCs w:val="24"/>
        </w:rPr>
      </w:pPr>
    </w:p>
    <w:p w14:paraId="5E64C990" w14:textId="410D7899" w:rsidR="00C33BA8" w:rsidRPr="00C33BA8" w:rsidRDefault="00C33BA8" w:rsidP="00C33BA8">
      <w:pPr>
        <w:adjustRightInd w:val="0"/>
        <w:snapToGrid w:val="0"/>
        <w:spacing w:line="360" w:lineRule="auto"/>
        <w:jc w:val="both"/>
        <w:rPr>
          <w:rFonts w:ascii="Book Antiqua" w:hAnsi="Book Antiqua" w:cs="Times New Roman"/>
          <w:bCs/>
          <w:sz w:val="24"/>
          <w:szCs w:val="24"/>
        </w:rPr>
      </w:pPr>
      <w:bookmarkStart w:id="11" w:name="OLE_LINK11"/>
      <w:r w:rsidRPr="00C33BA8">
        <w:rPr>
          <w:rFonts w:ascii="Book Antiqua" w:hAnsi="Book Antiqua" w:cs="Times New Roman"/>
          <w:b/>
          <w:bCs/>
          <w:sz w:val="24"/>
          <w:szCs w:val="24"/>
          <w:highlight w:val="white"/>
        </w:rPr>
        <w:t>Manuscript source:</w:t>
      </w:r>
      <w:r w:rsidRPr="00C33BA8">
        <w:rPr>
          <w:rFonts w:ascii="Book Antiqua" w:hAnsi="Book Antiqua" w:cs="Times New Roman"/>
          <w:b/>
          <w:bCs/>
          <w:sz w:val="24"/>
          <w:szCs w:val="24"/>
          <w:highlight w:val="white"/>
          <w:lang w:eastAsia="zh-CN"/>
        </w:rPr>
        <w:t xml:space="preserve"> </w:t>
      </w:r>
      <w:r w:rsidRPr="00C33BA8">
        <w:rPr>
          <w:rFonts w:ascii="Book Antiqua" w:hAnsi="Book Antiqua" w:cs="Times New Roman"/>
          <w:bCs/>
          <w:sz w:val="24"/>
          <w:szCs w:val="24"/>
          <w:highlight w:val="white"/>
        </w:rPr>
        <w:t>Unsolicited manuscript</w:t>
      </w:r>
      <w:bookmarkEnd w:id="6"/>
      <w:bookmarkEnd w:id="7"/>
      <w:bookmarkEnd w:id="8"/>
      <w:bookmarkEnd w:id="9"/>
      <w:bookmarkEnd w:id="10"/>
      <w:bookmarkEnd w:id="11"/>
    </w:p>
    <w:p w14:paraId="38339A29" w14:textId="77777777" w:rsidR="00C33BA8" w:rsidRPr="00C33BA8" w:rsidRDefault="00C33BA8" w:rsidP="00C33BA8">
      <w:pPr>
        <w:adjustRightInd w:val="0"/>
        <w:snapToGrid w:val="0"/>
        <w:spacing w:line="360" w:lineRule="auto"/>
        <w:jc w:val="both"/>
        <w:rPr>
          <w:rFonts w:ascii="Book Antiqua" w:hAnsi="Book Antiqua"/>
          <w:color w:val="000000" w:themeColor="text1"/>
          <w:w w:val="105"/>
          <w:sz w:val="24"/>
          <w:szCs w:val="24"/>
        </w:rPr>
      </w:pPr>
    </w:p>
    <w:p w14:paraId="440D3B67" w14:textId="77777777" w:rsidR="00686B93" w:rsidRPr="00C33BA8" w:rsidRDefault="00686B93" w:rsidP="00686B93">
      <w:pPr>
        <w:adjustRightInd w:val="0"/>
        <w:snapToGrid w:val="0"/>
        <w:spacing w:line="360" w:lineRule="auto"/>
        <w:jc w:val="both"/>
        <w:rPr>
          <w:rFonts w:ascii="Book Antiqua" w:hAnsi="Book Antiqua"/>
          <w:color w:val="000000" w:themeColor="text1"/>
          <w:sz w:val="24"/>
          <w:szCs w:val="24"/>
        </w:rPr>
      </w:pPr>
      <w:r w:rsidRPr="00C33BA8">
        <w:rPr>
          <w:rFonts w:ascii="Book Antiqua" w:hAnsi="Book Antiqua"/>
          <w:b/>
          <w:color w:val="000000" w:themeColor="text1"/>
          <w:w w:val="105"/>
          <w:sz w:val="24"/>
          <w:szCs w:val="24"/>
        </w:rPr>
        <w:t xml:space="preserve">Corresponding author: </w:t>
      </w:r>
      <w:r w:rsidR="00E815E9" w:rsidRPr="00C33BA8">
        <w:rPr>
          <w:rFonts w:ascii="Book Antiqua" w:hAnsi="Book Antiqua"/>
          <w:b/>
          <w:color w:val="000000" w:themeColor="text1"/>
          <w:sz w:val="24"/>
          <w:szCs w:val="24"/>
        </w:rPr>
        <w:t xml:space="preserve">Aristo Vojdani, </w:t>
      </w:r>
      <w:r w:rsidRPr="00C33BA8">
        <w:rPr>
          <w:rFonts w:ascii="Book Antiqua" w:hAnsi="Book Antiqua"/>
          <w:b/>
          <w:color w:val="000000" w:themeColor="text1"/>
          <w:sz w:val="24"/>
          <w:szCs w:val="24"/>
        </w:rPr>
        <w:t xml:space="preserve">MSc, </w:t>
      </w:r>
      <w:r w:rsidR="00E815E9" w:rsidRPr="00C33BA8">
        <w:rPr>
          <w:rFonts w:ascii="Book Antiqua" w:hAnsi="Book Antiqua"/>
          <w:b/>
          <w:color w:val="000000" w:themeColor="text1"/>
          <w:sz w:val="24"/>
          <w:szCs w:val="24"/>
        </w:rPr>
        <w:t xml:space="preserve">PhD, </w:t>
      </w:r>
      <w:r w:rsidRPr="00C33BA8">
        <w:rPr>
          <w:rFonts w:ascii="Book Antiqua" w:hAnsi="Book Antiqua"/>
          <w:b/>
          <w:color w:val="000000" w:themeColor="text1"/>
          <w:sz w:val="24"/>
          <w:szCs w:val="24"/>
        </w:rPr>
        <w:t>Doctor, Reader (Associate Professor), Research Scientist,</w:t>
      </w:r>
      <w:r w:rsidR="00E815E9" w:rsidRPr="00C33BA8">
        <w:rPr>
          <w:rFonts w:ascii="Book Antiqua" w:hAnsi="Book Antiqua"/>
          <w:b/>
          <w:color w:val="000000" w:themeColor="text1"/>
          <w:sz w:val="24"/>
          <w:szCs w:val="24"/>
        </w:rPr>
        <w:t xml:space="preserve"> </w:t>
      </w:r>
      <w:r w:rsidR="00E815E9" w:rsidRPr="00C33BA8">
        <w:rPr>
          <w:rFonts w:ascii="Book Antiqua" w:hAnsi="Book Antiqua"/>
          <w:color w:val="000000" w:themeColor="text1"/>
          <w:sz w:val="24"/>
          <w:szCs w:val="24"/>
        </w:rPr>
        <w:t>Immunosciences Lab., Inc., 822 S. Robertson Blvd., Ste. 312, Los Angeles, CA 90035</w:t>
      </w:r>
      <w:r w:rsidRPr="00C33BA8">
        <w:rPr>
          <w:rFonts w:ascii="Book Antiqua" w:hAnsi="Book Antiqua"/>
          <w:color w:val="000000" w:themeColor="text1"/>
          <w:sz w:val="24"/>
          <w:szCs w:val="24"/>
        </w:rPr>
        <w:t>,</w:t>
      </w:r>
      <w:r w:rsidR="00E815E9" w:rsidRPr="00C33BA8">
        <w:rPr>
          <w:rFonts w:ascii="Book Antiqua" w:hAnsi="Book Antiqua"/>
          <w:color w:val="000000" w:themeColor="text1"/>
          <w:sz w:val="24"/>
          <w:szCs w:val="24"/>
        </w:rPr>
        <w:t xml:space="preserve"> </w:t>
      </w:r>
      <w:r w:rsidRPr="00C33BA8">
        <w:rPr>
          <w:rFonts w:ascii="Book Antiqua" w:hAnsi="Book Antiqua"/>
          <w:color w:val="000000" w:themeColor="text1"/>
          <w:sz w:val="24"/>
          <w:szCs w:val="24"/>
        </w:rPr>
        <w:t>United States.</w:t>
      </w:r>
      <w:r w:rsidR="00E815E9" w:rsidRPr="00C33BA8">
        <w:rPr>
          <w:rFonts w:ascii="Book Antiqua" w:hAnsi="Book Antiqua"/>
          <w:color w:val="000000" w:themeColor="text1"/>
          <w:sz w:val="24"/>
          <w:szCs w:val="24"/>
        </w:rPr>
        <w:t xml:space="preserve"> </w:t>
      </w:r>
      <w:hyperlink r:id="rId8">
        <w:r w:rsidR="00E815E9" w:rsidRPr="00C33BA8">
          <w:rPr>
            <w:rFonts w:ascii="Book Antiqua" w:hAnsi="Book Antiqua"/>
            <w:color w:val="000000" w:themeColor="text1"/>
            <w:sz w:val="24"/>
            <w:szCs w:val="24"/>
          </w:rPr>
          <w:t>drari@msn.com</w:t>
        </w:r>
      </w:hyperlink>
      <w:r w:rsidR="00E815E9" w:rsidRPr="00C33BA8">
        <w:rPr>
          <w:rFonts w:ascii="Book Antiqua" w:hAnsi="Book Antiqua"/>
          <w:color w:val="000000" w:themeColor="text1"/>
          <w:sz w:val="24"/>
          <w:szCs w:val="24"/>
        </w:rPr>
        <w:t xml:space="preserve"> </w:t>
      </w:r>
    </w:p>
    <w:p w14:paraId="4AACADC4" w14:textId="77777777" w:rsidR="00920C46" w:rsidRPr="00C33BA8" w:rsidRDefault="00E815E9" w:rsidP="00686B93">
      <w:pPr>
        <w:adjustRightInd w:val="0"/>
        <w:snapToGrid w:val="0"/>
        <w:spacing w:line="360" w:lineRule="auto"/>
        <w:jc w:val="both"/>
        <w:rPr>
          <w:rFonts w:ascii="Book Antiqua" w:hAnsi="Book Antiqua"/>
          <w:color w:val="000000" w:themeColor="text1"/>
          <w:sz w:val="24"/>
          <w:szCs w:val="24"/>
        </w:rPr>
      </w:pPr>
      <w:r w:rsidRPr="00C33BA8">
        <w:rPr>
          <w:rFonts w:ascii="Book Antiqua" w:hAnsi="Book Antiqua"/>
          <w:b/>
          <w:color w:val="000000" w:themeColor="text1"/>
          <w:sz w:val="24"/>
          <w:szCs w:val="24"/>
        </w:rPr>
        <w:t xml:space="preserve">Telephone: </w:t>
      </w:r>
      <w:bookmarkStart w:id="12" w:name="OLE_LINK77"/>
      <w:r w:rsidR="00686B93" w:rsidRPr="00703FC2">
        <w:rPr>
          <w:rFonts w:ascii="Book Antiqua" w:hAnsi="Book Antiqua"/>
          <w:color w:val="000000" w:themeColor="text1"/>
          <w:sz w:val="24"/>
          <w:szCs w:val="24"/>
        </w:rPr>
        <w:t>+1</w:t>
      </w:r>
      <w:r w:rsidR="00686B93" w:rsidRPr="00C33BA8">
        <w:rPr>
          <w:rFonts w:ascii="Book Antiqua" w:hAnsi="Book Antiqua"/>
          <w:color w:val="000000" w:themeColor="text1"/>
          <w:sz w:val="24"/>
          <w:szCs w:val="24"/>
        </w:rPr>
        <w:t>-310-657</w:t>
      </w:r>
      <w:r w:rsidRPr="00C33BA8">
        <w:rPr>
          <w:rFonts w:ascii="Book Antiqua" w:hAnsi="Book Antiqua"/>
          <w:color w:val="000000" w:themeColor="text1"/>
          <w:sz w:val="24"/>
          <w:szCs w:val="24"/>
        </w:rPr>
        <w:t>1077</w:t>
      </w:r>
      <w:bookmarkEnd w:id="12"/>
    </w:p>
    <w:p w14:paraId="5D931FC1" w14:textId="77777777" w:rsidR="00920C46" w:rsidRPr="00C33BA8" w:rsidRDefault="00E815E9" w:rsidP="00686B93">
      <w:pPr>
        <w:adjustRightInd w:val="0"/>
        <w:snapToGrid w:val="0"/>
        <w:spacing w:line="360" w:lineRule="auto"/>
        <w:jc w:val="both"/>
        <w:rPr>
          <w:rFonts w:ascii="Book Antiqua" w:hAnsi="Book Antiqua"/>
          <w:color w:val="000000" w:themeColor="text1"/>
          <w:sz w:val="24"/>
          <w:szCs w:val="24"/>
        </w:rPr>
      </w:pPr>
      <w:r w:rsidRPr="00C33BA8">
        <w:rPr>
          <w:rFonts w:ascii="Book Antiqua" w:hAnsi="Book Antiqua"/>
          <w:b/>
          <w:color w:val="000000" w:themeColor="text1"/>
          <w:sz w:val="24"/>
          <w:szCs w:val="24"/>
        </w:rPr>
        <w:t xml:space="preserve">Fax: </w:t>
      </w:r>
      <w:r w:rsidR="00686B93" w:rsidRPr="00703FC2">
        <w:rPr>
          <w:rFonts w:ascii="Book Antiqua" w:hAnsi="Book Antiqua"/>
          <w:color w:val="000000" w:themeColor="text1"/>
          <w:sz w:val="24"/>
          <w:szCs w:val="24"/>
        </w:rPr>
        <w:t>+1</w:t>
      </w:r>
      <w:r w:rsidR="00686B93" w:rsidRPr="00C33BA8">
        <w:rPr>
          <w:rFonts w:ascii="Book Antiqua" w:hAnsi="Book Antiqua"/>
          <w:color w:val="000000" w:themeColor="text1"/>
          <w:sz w:val="24"/>
          <w:szCs w:val="24"/>
        </w:rPr>
        <w:t>-310-657</w:t>
      </w:r>
      <w:r w:rsidRPr="00C33BA8">
        <w:rPr>
          <w:rFonts w:ascii="Book Antiqua" w:hAnsi="Book Antiqua"/>
          <w:color w:val="000000" w:themeColor="text1"/>
          <w:sz w:val="24"/>
          <w:szCs w:val="24"/>
        </w:rPr>
        <w:t>1053</w:t>
      </w:r>
    </w:p>
    <w:p w14:paraId="70360A00" w14:textId="77777777" w:rsidR="00686B93" w:rsidRPr="00C33BA8" w:rsidRDefault="00686B93" w:rsidP="00686B93">
      <w:pPr>
        <w:adjustRightInd w:val="0"/>
        <w:snapToGrid w:val="0"/>
        <w:spacing w:line="360" w:lineRule="auto"/>
        <w:jc w:val="both"/>
        <w:rPr>
          <w:rFonts w:ascii="Book Antiqua" w:hAnsi="Book Antiqua"/>
          <w:color w:val="000000" w:themeColor="text1"/>
          <w:sz w:val="24"/>
          <w:szCs w:val="24"/>
        </w:rPr>
      </w:pPr>
    </w:p>
    <w:p w14:paraId="642A8880" w14:textId="167E4802" w:rsidR="00686B93" w:rsidRPr="00C33BA8" w:rsidRDefault="00686B93" w:rsidP="00686B93">
      <w:pPr>
        <w:adjustRightInd w:val="0"/>
        <w:snapToGrid w:val="0"/>
        <w:spacing w:line="360" w:lineRule="auto"/>
        <w:jc w:val="both"/>
        <w:rPr>
          <w:rFonts w:ascii="Book Antiqua" w:hAnsi="Book Antiqua"/>
          <w:b/>
          <w:sz w:val="24"/>
          <w:szCs w:val="24"/>
        </w:rPr>
      </w:pPr>
      <w:bookmarkStart w:id="13" w:name="OLE_LINK14"/>
      <w:bookmarkStart w:id="14" w:name="OLE_LINK16"/>
      <w:bookmarkStart w:id="15" w:name="OLE_LINK51"/>
      <w:bookmarkStart w:id="16" w:name="OLE_LINK27"/>
      <w:bookmarkStart w:id="17" w:name="OLE_LINK382"/>
      <w:r w:rsidRPr="00C33BA8">
        <w:rPr>
          <w:rFonts w:ascii="Book Antiqua" w:hAnsi="Book Antiqua"/>
          <w:b/>
          <w:sz w:val="24"/>
          <w:szCs w:val="24"/>
        </w:rPr>
        <w:t xml:space="preserve">Received: </w:t>
      </w:r>
      <w:r w:rsidR="002121F3" w:rsidRPr="00C33BA8">
        <w:rPr>
          <w:rFonts w:ascii="Book Antiqua" w:hAnsi="Book Antiqua"/>
          <w:sz w:val="24"/>
          <w:szCs w:val="24"/>
        </w:rPr>
        <w:t>November</w:t>
      </w:r>
      <w:r w:rsidR="002121F3" w:rsidRPr="00C33BA8">
        <w:rPr>
          <w:rFonts w:ascii="Book Antiqua" w:eastAsia="DengXian" w:hAnsi="Book Antiqua"/>
          <w:sz w:val="24"/>
          <w:szCs w:val="24"/>
        </w:rPr>
        <w:t xml:space="preserve"> 15</w:t>
      </w:r>
      <w:r w:rsidRPr="00C33BA8">
        <w:rPr>
          <w:rFonts w:ascii="Book Antiqua" w:eastAsia="DengXian" w:hAnsi="Book Antiqua"/>
          <w:sz w:val="24"/>
          <w:szCs w:val="24"/>
        </w:rPr>
        <w:t>, 2018</w:t>
      </w:r>
      <w:r w:rsidRPr="00C33BA8">
        <w:rPr>
          <w:rFonts w:ascii="Book Antiqua" w:hAnsi="Book Antiqua"/>
          <w:b/>
          <w:sz w:val="24"/>
          <w:szCs w:val="24"/>
        </w:rPr>
        <w:t xml:space="preserve">  </w:t>
      </w:r>
    </w:p>
    <w:p w14:paraId="4EC382EC" w14:textId="79445F0C" w:rsidR="00686B93" w:rsidRPr="00C33BA8" w:rsidRDefault="00686B93" w:rsidP="00686B93">
      <w:pPr>
        <w:adjustRightInd w:val="0"/>
        <w:snapToGrid w:val="0"/>
        <w:spacing w:line="360" w:lineRule="auto"/>
        <w:jc w:val="both"/>
        <w:rPr>
          <w:rFonts w:ascii="Book Antiqua" w:eastAsia="DengXian" w:hAnsi="Book Antiqua"/>
          <w:b/>
          <w:sz w:val="24"/>
          <w:szCs w:val="24"/>
        </w:rPr>
      </w:pPr>
      <w:r w:rsidRPr="00C33BA8">
        <w:rPr>
          <w:rFonts w:ascii="Book Antiqua" w:hAnsi="Book Antiqua"/>
          <w:b/>
          <w:sz w:val="24"/>
          <w:szCs w:val="24"/>
        </w:rPr>
        <w:t>Peer-review started:</w:t>
      </w:r>
      <w:r w:rsidRPr="00C33BA8">
        <w:rPr>
          <w:rFonts w:ascii="Book Antiqua" w:eastAsia="DengXian" w:hAnsi="Book Antiqua"/>
          <w:b/>
          <w:sz w:val="24"/>
          <w:szCs w:val="24"/>
        </w:rPr>
        <w:t xml:space="preserve"> </w:t>
      </w:r>
      <w:r w:rsidR="002121F3" w:rsidRPr="00C33BA8">
        <w:rPr>
          <w:rFonts w:ascii="Book Antiqua" w:hAnsi="Book Antiqua"/>
          <w:sz w:val="24"/>
          <w:szCs w:val="24"/>
        </w:rPr>
        <w:t>November</w:t>
      </w:r>
      <w:r w:rsidR="002121F3" w:rsidRPr="00C33BA8">
        <w:rPr>
          <w:rFonts w:ascii="Book Antiqua" w:eastAsia="DengXian" w:hAnsi="Book Antiqua"/>
          <w:sz w:val="24"/>
          <w:szCs w:val="24"/>
        </w:rPr>
        <w:t xml:space="preserve"> 15</w:t>
      </w:r>
      <w:r w:rsidRPr="00C33BA8">
        <w:rPr>
          <w:rFonts w:ascii="Book Antiqua" w:eastAsia="DengXian" w:hAnsi="Book Antiqua"/>
          <w:sz w:val="24"/>
          <w:szCs w:val="24"/>
        </w:rPr>
        <w:t>, 2018</w:t>
      </w:r>
    </w:p>
    <w:p w14:paraId="3D826B34" w14:textId="2D243BDC" w:rsidR="00686B93" w:rsidRPr="00C33BA8" w:rsidRDefault="00686B93" w:rsidP="00686B93">
      <w:pPr>
        <w:adjustRightInd w:val="0"/>
        <w:snapToGrid w:val="0"/>
        <w:spacing w:line="360" w:lineRule="auto"/>
        <w:jc w:val="both"/>
        <w:rPr>
          <w:rFonts w:ascii="Book Antiqua" w:eastAsia="DengXian" w:hAnsi="Book Antiqua"/>
          <w:b/>
          <w:sz w:val="24"/>
          <w:szCs w:val="24"/>
          <w:lang w:eastAsia="zh-CN"/>
        </w:rPr>
      </w:pPr>
      <w:r w:rsidRPr="00C33BA8">
        <w:rPr>
          <w:rFonts w:ascii="Book Antiqua" w:hAnsi="Book Antiqua"/>
          <w:b/>
          <w:sz w:val="24"/>
          <w:szCs w:val="24"/>
        </w:rPr>
        <w:t>First decision:</w:t>
      </w:r>
      <w:r w:rsidRPr="00C33BA8">
        <w:rPr>
          <w:rFonts w:ascii="Book Antiqua" w:eastAsia="DengXian" w:hAnsi="Book Antiqua"/>
          <w:b/>
          <w:sz w:val="24"/>
          <w:szCs w:val="24"/>
        </w:rPr>
        <w:t xml:space="preserve"> </w:t>
      </w:r>
      <w:r w:rsidR="00207E8A" w:rsidRPr="00C33BA8">
        <w:rPr>
          <w:rFonts w:ascii="Book Antiqua" w:hAnsi="Book Antiqua"/>
          <w:sz w:val="24"/>
          <w:szCs w:val="24"/>
        </w:rPr>
        <w:t>January</w:t>
      </w:r>
      <w:r w:rsidR="00207E8A">
        <w:rPr>
          <w:rFonts w:ascii="Book Antiqua" w:eastAsia="DengXian" w:hAnsi="Book Antiqua" w:hint="eastAsia"/>
          <w:sz w:val="24"/>
          <w:szCs w:val="24"/>
          <w:lang w:eastAsia="zh-CN"/>
        </w:rPr>
        <w:t xml:space="preserve"> </w:t>
      </w:r>
      <w:r w:rsidR="002121F3" w:rsidRPr="00C33BA8">
        <w:rPr>
          <w:rFonts w:ascii="Book Antiqua" w:eastAsia="DengXian" w:hAnsi="Book Antiqua"/>
          <w:sz w:val="24"/>
          <w:szCs w:val="24"/>
        </w:rPr>
        <w:t>11</w:t>
      </w:r>
      <w:r w:rsidR="00207E8A">
        <w:rPr>
          <w:rFonts w:ascii="Book Antiqua" w:eastAsia="DengXian" w:hAnsi="Book Antiqua"/>
          <w:sz w:val="24"/>
          <w:szCs w:val="24"/>
        </w:rPr>
        <w:t>, 201</w:t>
      </w:r>
      <w:r w:rsidR="00207E8A">
        <w:rPr>
          <w:rFonts w:ascii="Book Antiqua" w:eastAsia="DengXian" w:hAnsi="Book Antiqua" w:hint="eastAsia"/>
          <w:sz w:val="24"/>
          <w:szCs w:val="24"/>
          <w:lang w:eastAsia="zh-CN"/>
        </w:rPr>
        <w:t>9</w:t>
      </w:r>
    </w:p>
    <w:p w14:paraId="4F579111" w14:textId="6ED871CA" w:rsidR="00686B93" w:rsidRPr="00C33BA8" w:rsidRDefault="00686B93" w:rsidP="00686B93">
      <w:pPr>
        <w:adjustRightInd w:val="0"/>
        <w:snapToGrid w:val="0"/>
        <w:spacing w:line="360" w:lineRule="auto"/>
        <w:jc w:val="both"/>
        <w:rPr>
          <w:rFonts w:ascii="Book Antiqua" w:hAnsi="Book Antiqua"/>
          <w:b/>
          <w:sz w:val="24"/>
          <w:szCs w:val="24"/>
        </w:rPr>
      </w:pPr>
      <w:r w:rsidRPr="00C33BA8">
        <w:rPr>
          <w:rFonts w:ascii="Book Antiqua" w:hAnsi="Book Antiqua"/>
          <w:b/>
          <w:sz w:val="24"/>
          <w:szCs w:val="24"/>
        </w:rPr>
        <w:t xml:space="preserve">Revised: </w:t>
      </w:r>
      <w:r w:rsidR="002121F3" w:rsidRPr="00C33BA8">
        <w:rPr>
          <w:rFonts w:ascii="Book Antiqua" w:hAnsi="Book Antiqua"/>
          <w:sz w:val="24"/>
          <w:szCs w:val="24"/>
        </w:rPr>
        <w:t>January 16,</w:t>
      </w:r>
      <w:r w:rsidR="002612F6">
        <w:rPr>
          <w:rFonts w:ascii="Book Antiqua" w:eastAsiaTheme="minorEastAsia" w:hAnsi="Book Antiqua" w:hint="eastAsia"/>
          <w:sz w:val="24"/>
          <w:szCs w:val="24"/>
          <w:lang w:eastAsia="zh-CN"/>
        </w:rPr>
        <w:t xml:space="preserve"> </w:t>
      </w:r>
      <w:r w:rsidR="002121F3" w:rsidRPr="00C33BA8">
        <w:rPr>
          <w:rFonts w:ascii="Book Antiqua" w:hAnsi="Book Antiqua"/>
          <w:sz w:val="24"/>
          <w:szCs w:val="24"/>
        </w:rPr>
        <w:t>2019</w:t>
      </w:r>
    </w:p>
    <w:p w14:paraId="6D651795" w14:textId="4D6CA91D" w:rsidR="00686B93" w:rsidRPr="00C33BA8" w:rsidRDefault="00686B93" w:rsidP="00686B93">
      <w:pPr>
        <w:adjustRightInd w:val="0"/>
        <w:snapToGrid w:val="0"/>
        <w:spacing w:line="360" w:lineRule="auto"/>
        <w:jc w:val="both"/>
        <w:rPr>
          <w:rFonts w:ascii="Book Antiqua" w:hAnsi="Book Antiqua"/>
          <w:b/>
          <w:sz w:val="24"/>
          <w:szCs w:val="24"/>
        </w:rPr>
      </w:pPr>
      <w:r w:rsidRPr="00C33BA8">
        <w:rPr>
          <w:rFonts w:ascii="Book Antiqua" w:hAnsi="Book Antiqua"/>
          <w:b/>
          <w:sz w:val="24"/>
          <w:szCs w:val="24"/>
        </w:rPr>
        <w:t>Accepted:</w:t>
      </w:r>
      <w:r w:rsidR="00AC2E05" w:rsidRPr="00AC2E05">
        <w:t xml:space="preserve"> </w:t>
      </w:r>
      <w:r w:rsidR="00AC2E05" w:rsidRPr="00AC2E05">
        <w:rPr>
          <w:rFonts w:ascii="Book Antiqua" w:hAnsi="Book Antiqua"/>
          <w:sz w:val="24"/>
          <w:szCs w:val="24"/>
        </w:rPr>
        <w:t>January 26, 2019</w:t>
      </w:r>
      <w:r w:rsidRPr="00C33BA8">
        <w:rPr>
          <w:rFonts w:ascii="Book Antiqua" w:hAnsi="Book Antiqua"/>
          <w:b/>
          <w:sz w:val="24"/>
          <w:szCs w:val="24"/>
        </w:rPr>
        <w:t xml:space="preserve"> </w:t>
      </w:r>
      <w:bookmarkStart w:id="18" w:name="_GoBack"/>
      <w:bookmarkEnd w:id="18"/>
    </w:p>
    <w:p w14:paraId="5A46AA3C" w14:textId="77777777" w:rsidR="00686B93" w:rsidRPr="00C33BA8" w:rsidRDefault="00686B93" w:rsidP="00686B93">
      <w:pPr>
        <w:adjustRightInd w:val="0"/>
        <w:snapToGrid w:val="0"/>
        <w:spacing w:line="360" w:lineRule="auto"/>
        <w:jc w:val="both"/>
        <w:rPr>
          <w:rFonts w:ascii="Book Antiqua" w:hAnsi="Book Antiqua"/>
          <w:b/>
          <w:sz w:val="24"/>
          <w:szCs w:val="24"/>
        </w:rPr>
      </w:pPr>
      <w:r w:rsidRPr="00C33BA8">
        <w:rPr>
          <w:rFonts w:ascii="Book Antiqua" w:hAnsi="Book Antiqua"/>
          <w:b/>
          <w:sz w:val="24"/>
          <w:szCs w:val="24"/>
        </w:rPr>
        <w:t>Article in press:</w:t>
      </w:r>
    </w:p>
    <w:p w14:paraId="63FDAA6B" w14:textId="77777777" w:rsidR="00686B93" w:rsidRPr="00C33BA8" w:rsidRDefault="00686B93" w:rsidP="00686B93">
      <w:pPr>
        <w:adjustRightInd w:val="0"/>
        <w:snapToGrid w:val="0"/>
        <w:spacing w:line="360" w:lineRule="auto"/>
        <w:jc w:val="both"/>
        <w:rPr>
          <w:rFonts w:ascii="Book Antiqua" w:hAnsi="Book Antiqua"/>
          <w:color w:val="000000" w:themeColor="text1"/>
          <w:sz w:val="24"/>
          <w:szCs w:val="24"/>
        </w:rPr>
      </w:pPr>
      <w:r w:rsidRPr="00C33BA8">
        <w:rPr>
          <w:rFonts w:ascii="Book Antiqua" w:hAnsi="Book Antiqua"/>
          <w:b/>
          <w:sz w:val="24"/>
          <w:szCs w:val="24"/>
        </w:rPr>
        <w:t>Published online:</w:t>
      </w:r>
      <w:bookmarkEnd w:id="13"/>
      <w:bookmarkEnd w:id="14"/>
      <w:bookmarkEnd w:id="15"/>
      <w:bookmarkEnd w:id="16"/>
      <w:bookmarkEnd w:id="17"/>
    </w:p>
    <w:p w14:paraId="157FB6EC" w14:textId="77777777" w:rsidR="00686B93" w:rsidRPr="00C33BA8" w:rsidRDefault="00686B93">
      <w:pPr>
        <w:rPr>
          <w:rFonts w:ascii="Book Antiqua" w:hAnsi="Book Antiqua"/>
          <w:b/>
          <w:color w:val="000000" w:themeColor="text1"/>
          <w:sz w:val="24"/>
          <w:szCs w:val="24"/>
        </w:rPr>
      </w:pPr>
      <w:r w:rsidRPr="00C33BA8">
        <w:rPr>
          <w:rFonts w:ascii="Book Antiqua" w:hAnsi="Book Antiqua"/>
          <w:b/>
          <w:color w:val="000000" w:themeColor="text1"/>
          <w:sz w:val="24"/>
          <w:szCs w:val="24"/>
        </w:rPr>
        <w:br w:type="page"/>
      </w:r>
    </w:p>
    <w:p w14:paraId="5F992C5C" w14:textId="77777777" w:rsidR="00686B93" w:rsidRPr="00C33BA8" w:rsidRDefault="00686B93" w:rsidP="00686B93">
      <w:pPr>
        <w:adjustRightInd w:val="0"/>
        <w:snapToGrid w:val="0"/>
        <w:spacing w:line="360" w:lineRule="auto"/>
        <w:jc w:val="both"/>
        <w:rPr>
          <w:rFonts w:ascii="Book Antiqua" w:hAnsi="Book Antiqua"/>
          <w:b/>
          <w:color w:val="000000" w:themeColor="text1"/>
          <w:sz w:val="24"/>
          <w:szCs w:val="24"/>
        </w:rPr>
      </w:pPr>
      <w:r w:rsidRPr="00C33BA8">
        <w:rPr>
          <w:rFonts w:ascii="Book Antiqua" w:hAnsi="Book Antiqua"/>
          <w:b/>
          <w:color w:val="000000" w:themeColor="text1"/>
          <w:sz w:val="24"/>
          <w:szCs w:val="24"/>
        </w:rPr>
        <w:lastRenderedPageBreak/>
        <w:t>Abstract</w:t>
      </w:r>
    </w:p>
    <w:p w14:paraId="1247C135" w14:textId="77777777" w:rsidR="00686B93" w:rsidRPr="00C33BA8" w:rsidRDefault="00E815E9" w:rsidP="00686B93">
      <w:pPr>
        <w:adjustRightInd w:val="0"/>
        <w:snapToGrid w:val="0"/>
        <w:spacing w:line="360" w:lineRule="auto"/>
        <w:jc w:val="both"/>
        <w:rPr>
          <w:rFonts w:ascii="Book Antiqua" w:hAnsi="Book Antiqua"/>
          <w:color w:val="000000" w:themeColor="text1"/>
          <w:sz w:val="24"/>
          <w:szCs w:val="24"/>
        </w:rPr>
      </w:pPr>
      <w:r w:rsidRPr="00C33BA8">
        <w:rPr>
          <w:rFonts w:ascii="Book Antiqua" w:hAnsi="Book Antiqua"/>
          <w:b/>
          <w:i/>
          <w:color w:val="000000" w:themeColor="text1"/>
          <w:sz w:val="24"/>
          <w:szCs w:val="24"/>
        </w:rPr>
        <w:t>BACKGROUN</w:t>
      </w:r>
      <w:r w:rsidR="00686B93" w:rsidRPr="00C33BA8">
        <w:rPr>
          <w:rFonts w:ascii="Book Antiqua" w:hAnsi="Book Antiqua"/>
          <w:b/>
          <w:i/>
          <w:color w:val="000000" w:themeColor="text1"/>
          <w:sz w:val="24"/>
          <w:szCs w:val="24"/>
        </w:rPr>
        <w:t>D</w:t>
      </w:r>
    </w:p>
    <w:p w14:paraId="65CBC46D" w14:textId="34231B09" w:rsidR="00920C46" w:rsidRPr="00C33BA8" w:rsidRDefault="00E815E9" w:rsidP="00686B93">
      <w:pPr>
        <w:adjustRightInd w:val="0"/>
        <w:snapToGrid w:val="0"/>
        <w:spacing w:line="360" w:lineRule="auto"/>
        <w:jc w:val="both"/>
        <w:rPr>
          <w:rFonts w:ascii="Book Antiqua" w:hAnsi="Book Antiqua"/>
          <w:color w:val="000000" w:themeColor="text1"/>
          <w:sz w:val="24"/>
          <w:szCs w:val="24"/>
        </w:rPr>
      </w:pPr>
      <w:r w:rsidRPr="00C33BA8">
        <w:rPr>
          <w:rFonts w:ascii="Book Antiqua" w:hAnsi="Book Antiqua"/>
          <w:color w:val="000000" w:themeColor="text1"/>
          <w:sz w:val="24"/>
          <w:szCs w:val="24"/>
        </w:rPr>
        <w:t xml:space="preserve">The bacteria </w:t>
      </w:r>
      <w:r w:rsidR="002121F3" w:rsidRPr="00C33BA8">
        <w:rPr>
          <w:rFonts w:ascii="Book Antiqua" w:hAnsi="Book Antiqua"/>
          <w:i/>
          <w:color w:val="000000" w:themeColor="text1"/>
          <w:sz w:val="24"/>
          <w:szCs w:val="24"/>
        </w:rPr>
        <w:t xml:space="preserve">Campylobacter jejuni </w:t>
      </w:r>
      <w:r w:rsidR="002121F3" w:rsidRPr="00C33BA8">
        <w:rPr>
          <w:rFonts w:ascii="Book Antiqua" w:hAnsi="Book Antiqua"/>
          <w:color w:val="000000" w:themeColor="text1"/>
          <w:sz w:val="24"/>
          <w:szCs w:val="24"/>
        </w:rPr>
        <w:t>(</w:t>
      </w:r>
      <w:r w:rsidRPr="00C33BA8">
        <w:rPr>
          <w:rFonts w:ascii="Book Antiqua" w:hAnsi="Book Antiqua"/>
          <w:i/>
          <w:color w:val="000000" w:themeColor="text1"/>
          <w:sz w:val="24"/>
          <w:szCs w:val="24"/>
        </w:rPr>
        <w:t>C. jejuni</w:t>
      </w:r>
      <w:r w:rsidR="002121F3" w:rsidRPr="00C33BA8">
        <w:rPr>
          <w:rFonts w:ascii="Book Antiqua" w:hAnsi="Book Antiqua"/>
          <w:color w:val="000000" w:themeColor="text1"/>
          <w:sz w:val="24"/>
          <w:szCs w:val="24"/>
        </w:rPr>
        <w:t>)</w:t>
      </w:r>
      <w:r w:rsidRPr="00C33BA8">
        <w:rPr>
          <w:rFonts w:ascii="Book Antiqua" w:hAnsi="Book Antiqua"/>
          <w:i/>
          <w:color w:val="000000" w:themeColor="text1"/>
          <w:sz w:val="24"/>
          <w:szCs w:val="24"/>
        </w:rPr>
        <w:t xml:space="preserve"> </w:t>
      </w:r>
      <w:r w:rsidRPr="00C33BA8">
        <w:rPr>
          <w:rFonts w:ascii="Book Antiqua" w:hAnsi="Book Antiqua"/>
          <w:color w:val="000000" w:themeColor="text1"/>
          <w:sz w:val="24"/>
          <w:szCs w:val="24"/>
        </w:rPr>
        <w:t xml:space="preserve">is commonly associated with </w:t>
      </w:r>
      <w:r w:rsidR="002121F3" w:rsidRPr="00C33BA8">
        <w:rPr>
          <w:rFonts w:ascii="Book Antiqua" w:hAnsi="Book Antiqua"/>
          <w:color w:val="000000" w:themeColor="text1"/>
          <w:sz w:val="24"/>
          <w:szCs w:val="24"/>
        </w:rPr>
        <w:t>Guillane-Barré syndrome (GBS)</w:t>
      </w:r>
      <w:r w:rsidRPr="00C33BA8">
        <w:rPr>
          <w:rFonts w:ascii="Book Antiqua" w:hAnsi="Book Antiqua"/>
          <w:color w:val="000000" w:themeColor="text1"/>
          <w:sz w:val="24"/>
          <w:szCs w:val="24"/>
        </w:rPr>
        <w:t xml:space="preserve"> and </w:t>
      </w:r>
      <w:r w:rsidR="002121F3" w:rsidRPr="00C33BA8">
        <w:rPr>
          <w:rFonts w:ascii="Book Antiqua" w:hAnsi="Book Antiqua"/>
          <w:color w:val="000000" w:themeColor="text1"/>
          <w:sz w:val="24"/>
          <w:szCs w:val="24"/>
        </w:rPr>
        <w:t>irritable bowel syndrome (IBS)</w:t>
      </w:r>
      <w:r w:rsidRPr="00C33BA8">
        <w:rPr>
          <w:rFonts w:ascii="Book Antiqua" w:hAnsi="Book Antiqua"/>
          <w:color w:val="000000" w:themeColor="text1"/>
          <w:sz w:val="24"/>
          <w:szCs w:val="24"/>
        </w:rPr>
        <w:t xml:space="preserve">, but studies have also linked it with Miller Fisher syndrome, reactive arthritis and other disorders, some of which are autoimmune. It is possible that </w:t>
      </w:r>
      <w:r w:rsidRPr="00C33BA8">
        <w:rPr>
          <w:rFonts w:ascii="Book Antiqua" w:hAnsi="Book Antiqua"/>
          <w:i/>
          <w:color w:val="000000" w:themeColor="text1"/>
          <w:sz w:val="24"/>
          <w:szCs w:val="24"/>
        </w:rPr>
        <w:t xml:space="preserve">C. jejuni </w:t>
      </w:r>
      <w:r w:rsidRPr="00C33BA8">
        <w:rPr>
          <w:rFonts w:ascii="Book Antiqua" w:hAnsi="Book Antiqua"/>
          <w:color w:val="000000" w:themeColor="text1"/>
          <w:sz w:val="24"/>
          <w:szCs w:val="24"/>
        </w:rPr>
        <w:t>and its toxins may be cross-reactive with some human tissues and food antigens, potentially leading to autoimmune responses.</w:t>
      </w:r>
    </w:p>
    <w:p w14:paraId="553B6FF3" w14:textId="77777777" w:rsidR="00920C46" w:rsidRPr="00C33BA8" w:rsidRDefault="00920C46" w:rsidP="00686B93">
      <w:pPr>
        <w:pStyle w:val="BodyText"/>
        <w:adjustRightInd w:val="0"/>
        <w:snapToGrid w:val="0"/>
        <w:spacing w:line="360" w:lineRule="auto"/>
        <w:ind w:left="0"/>
        <w:jc w:val="both"/>
        <w:rPr>
          <w:rFonts w:ascii="Book Antiqua" w:hAnsi="Book Antiqua"/>
          <w:color w:val="000000" w:themeColor="text1"/>
        </w:rPr>
      </w:pPr>
    </w:p>
    <w:p w14:paraId="64429BC3" w14:textId="77777777" w:rsidR="00920C46" w:rsidRPr="00C33BA8" w:rsidRDefault="00E815E9" w:rsidP="00686B93">
      <w:pPr>
        <w:pStyle w:val="Heading1"/>
        <w:adjustRightInd w:val="0"/>
        <w:snapToGrid w:val="0"/>
        <w:spacing w:line="360" w:lineRule="auto"/>
        <w:ind w:left="0"/>
        <w:jc w:val="both"/>
        <w:rPr>
          <w:rFonts w:ascii="Book Antiqua" w:hAnsi="Book Antiqua"/>
          <w:i/>
          <w:color w:val="000000" w:themeColor="text1"/>
        </w:rPr>
      </w:pPr>
      <w:r w:rsidRPr="00C33BA8">
        <w:rPr>
          <w:rFonts w:ascii="Book Antiqua" w:hAnsi="Book Antiqua"/>
          <w:i/>
          <w:color w:val="000000" w:themeColor="text1"/>
          <w:w w:val="105"/>
        </w:rPr>
        <w:t>AIM</w:t>
      </w:r>
    </w:p>
    <w:p w14:paraId="6A5E638D" w14:textId="554CC38F" w:rsidR="00920C46" w:rsidRPr="00C33BA8" w:rsidRDefault="00E815E9" w:rsidP="00686B93">
      <w:pPr>
        <w:pStyle w:val="BodyText"/>
        <w:adjustRightInd w:val="0"/>
        <w:snapToGrid w:val="0"/>
        <w:spacing w:line="360" w:lineRule="auto"/>
        <w:ind w:left="0"/>
        <w:jc w:val="both"/>
        <w:rPr>
          <w:rFonts w:ascii="Book Antiqua" w:hAnsi="Book Antiqua"/>
          <w:color w:val="000000" w:themeColor="text1"/>
        </w:rPr>
      </w:pPr>
      <w:r w:rsidRPr="00C33BA8">
        <w:rPr>
          <w:rFonts w:ascii="Book Antiqua" w:hAnsi="Book Antiqua"/>
          <w:color w:val="000000" w:themeColor="text1"/>
        </w:rPr>
        <w:t xml:space="preserve">To measure the immune reactivity of </w:t>
      </w:r>
      <w:r w:rsidRPr="00C33BA8">
        <w:rPr>
          <w:rFonts w:ascii="Book Antiqua" w:hAnsi="Book Antiqua"/>
          <w:i/>
          <w:color w:val="000000" w:themeColor="text1"/>
        </w:rPr>
        <w:t xml:space="preserve">C. jejuni </w:t>
      </w:r>
      <w:r w:rsidRPr="00C33BA8">
        <w:rPr>
          <w:rFonts w:ascii="Book Antiqua" w:hAnsi="Book Antiqua"/>
          <w:color w:val="000000" w:themeColor="text1"/>
        </w:rPr>
        <w:t xml:space="preserve">and </w:t>
      </w:r>
      <w:r w:rsidRPr="00C33BA8">
        <w:rPr>
          <w:rFonts w:ascii="Book Antiqua" w:hAnsi="Book Antiqua"/>
          <w:i/>
          <w:color w:val="000000" w:themeColor="text1"/>
        </w:rPr>
        <w:t xml:space="preserve">C. jejuni </w:t>
      </w:r>
      <w:r w:rsidRPr="00C33BA8">
        <w:rPr>
          <w:rFonts w:ascii="Book Antiqua" w:hAnsi="Book Antiqua"/>
          <w:color w:val="000000" w:themeColor="text1"/>
        </w:rPr>
        <w:t>cytolethal distending toxin (Cdt) antibodies with tissue and food antigens to examine their role in autoimmunities.</w:t>
      </w:r>
    </w:p>
    <w:p w14:paraId="421DFEA6" w14:textId="77777777" w:rsidR="00920C46" w:rsidRPr="00C33BA8" w:rsidRDefault="00920C46" w:rsidP="00686B93">
      <w:pPr>
        <w:pStyle w:val="BodyText"/>
        <w:adjustRightInd w:val="0"/>
        <w:snapToGrid w:val="0"/>
        <w:spacing w:line="360" w:lineRule="auto"/>
        <w:ind w:left="0"/>
        <w:jc w:val="both"/>
        <w:rPr>
          <w:rFonts w:ascii="Book Antiqua" w:hAnsi="Book Antiqua"/>
          <w:color w:val="000000" w:themeColor="text1"/>
        </w:rPr>
      </w:pPr>
    </w:p>
    <w:p w14:paraId="13BF0BC3" w14:textId="77777777" w:rsidR="00920C46" w:rsidRPr="00C33BA8" w:rsidRDefault="00E815E9" w:rsidP="00686B93">
      <w:pPr>
        <w:pStyle w:val="Heading1"/>
        <w:adjustRightInd w:val="0"/>
        <w:snapToGrid w:val="0"/>
        <w:spacing w:line="360" w:lineRule="auto"/>
        <w:ind w:left="0"/>
        <w:jc w:val="both"/>
        <w:rPr>
          <w:rFonts w:ascii="Book Antiqua" w:hAnsi="Book Antiqua"/>
          <w:i/>
          <w:color w:val="000000" w:themeColor="text1"/>
        </w:rPr>
      </w:pPr>
      <w:r w:rsidRPr="00C33BA8">
        <w:rPr>
          <w:rFonts w:ascii="Book Antiqua" w:hAnsi="Book Antiqua"/>
          <w:i/>
          <w:color w:val="000000" w:themeColor="text1"/>
          <w:w w:val="105"/>
        </w:rPr>
        <w:t>METHODS</w:t>
      </w:r>
    </w:p>
    <w:p w14:paraId="2332E912" w14:textId="575F18DF" w:rsidR="00920C46" w:rsidRPr="00C33BA8" w:rsidRDefault="00E815E9" w:rsidP="00686B93">
      <w:pPr>
        <w:pStyle w:val="BodyText"/>
        <w:adjustRightInd w:val="0"/>
        <w:snapToGrid w:val="0"/>
        <w:spacing w:line="360" w:lineRule="auto"/>
        <w:ind w:left="0"/>
        <w:jc w:val="both"/>
        <w:rPr>
          <w:rFonts w:ascii="Book Antiqua" w:hAnsi="Book Antiqua"/>
          <w:color w:val="000000" w:themeColor="text1"/>
        </w:rPr>
      </w:pPr>
      <w:r w:rsidRPr="00C33BA8">
        <w:rPr>
          <w:rFonts w:ascii="Book Antiqua" w:hAnsi="Book Antiqua"/>
          <w:color w:val="000000" w:themeColor="text1"/>
        </w:rPr>
        <w:t xml:space="preserve">Using </w:t>
      </w:r>
      <w:r w:rsidR="00B85FCF" w:rsidRPr="00C33BA8">
        <w:rPr>
          <w:rFonts w:ascii="Book Antiqua" w:hAnsi="Book Antiqua"/>
          <w:color w:val="000000" w:themeColor="text1"/>
        </w:rPr>
        <w:t>enzyme-linked immunosorbent assay (</w:t>
      </w:r>
      <w:r w:rsidRPr="00C33BA8">
        <w:rPr>
          <w:rFonts w:ascii="Book Antiqua" w:hAnsi="Book Antiqua"/>
          <w:color w:val="000000" w:themeColor="text1"/>
        </w:rPr>
        <w:t>ELISA</w:t>
      </w:r>
      <w:r w:rsidR="00B85FCF" w:rsidRPr="00C33BA8">
        <w:rPr>
          <w:rFonts w:ascii="Book Antiqua" w:hAnsi="Book Antiqua"/>
          <w:color w:val="000000" w:themeColor="text1"/>
        </w:rPr>
        <w:t>)</w:t>
      </w:r>
      <w:r w:rsidRPr="00C33BA8">
        <w:rPr>
          <w:rFonts w:ascii="Book Antiqua" w:hAnsi="Book Antiqua"/>
          <w:color w:val="000000" w:themeColor="text1"/>
        </w:rPr>
        <w:t xml:space="preserve"> methodology, specific antibodies made against </w:t>
      </w:r>
      <w:r w:rsidRPr="00C33BA8">
        <w:rPr>
          <w:rFonts w:ascii="Book Antiqua" w:hAnsi="Book Antiqua"/>
          <w:i/>
          <w:color w:val="000000" w:themeColor="text1"/>
        </w:rPr>
        <w:t xml:space="preserve">C. jejuni </w:t>
      </w:r>
      <w:r w:rsidRPr="00C33BA8">
        <w:rPr>
          <w:rFonts w:ascii="Book Antiqua" w:hAnsi="Book Antiqua"/>
          <w:color w:val="000000" w:themeColor="text1"/>
        </w:rPr>
        <w:t xml:space="preserve">and </w:t>
      </w:r>
      <w:r w:rsidRPr="00C33BA8">
        <w:rPr>
          <w:rFonts w:ascii="Book Antiqua" w:hAnsi="Book Antiqua"/>
          <w:i/>
          <w:color w:val="000000" w:themeColor="text1"/>
        </w:rPr>
        <w:t xml:space="preserve">C. jejuni </w:t>
      </w:r>
      <w:r w:rsidRPr="00C33BA8">
        <w:rPr>
          <w:rFonts w:ascii="Book Antiqua" w:hAnsi="Book Antiqua"/>
          <w:color w:val="000000" w:themeColor="text1"/>
        </w:rPr>
        <w:t xml:space="preserve">Cdt were applied to a variety of microwell plates coated with 45 tissues and 180 food antigens. The resulting immunoreactivities were compared to reactions with control wells coated with human serum albumin (HSA) which were used as negative controls and with wells coated with </w:t>
      </w:r>
      <w:r w:rsidRPr="00C33BA8">
        <w:rPr>
          <w:rFonts w:ascii="Book Antiqua" w:hAnsi="Book Antiqua"/>
          <w:i/>
          <w:color w:val="000000" w:themeColor="text1"/>
        </w:rPr>
        <w:t xml:space="preserve">C. jejuni </w:t>
      </w:r>
      <w:r w:rsidRPr="00C33BA8">
        <w:rPr>
          <w:rFonts w:ascii="Book Antiqua" w:hAnsi="Book Antiqua"/>
          <w:color w:val="000000" w:themeColor="text1"/>
        </w:rPr>
        <w:t xml:space="preserve">lysate or </w:t>
      </w:r>
      <w:r w:rsidRPr="00C33BA8">
        <w:rPr>
          <w:rFonts w:ascii="Book Antiqua" w:hAnsi="Book Antiqua"/>
          <w:i/>
          <w:color w:val="000000" w:themeColor="text1"/>
        </w:rPr>
        <w:t xml:space="preserve">C. jejuni </w:t>
      </w:r>
      <w:r w:rsidRPr="00C33BA8">
        <w:rPr>
          <w:rFonts w:ascii="Book Antiqua" w:hAnsi="Book Antiqua"/>
          <w:color w:val="000000" w:themeColor="text1"/>
        </w:rPr>
        <w:t>Cdt which served as positive controls.</w:t>
      </w:r>
    </w:p>
    <w:p w14:paraId="732417F9" w14:textId="77777777" w:rsidR="00920C46" w:rsidRPr="00C33BA8" w:rsidRDefault="00920C46" w:rsidP="00686B93">
      <w:pPr>
        <w:pStyle w:val="BodyText"/>
        <w:adjustRightInd w:val="0"/>
        <w:snapToGrid w:val="0"/>
        <w:spacing w:line="360" w:lineRule="auto"/>
        <w:ind w:left="0"/>
        <w:jc w:val="both"/>
        <w:rPr>
          <w:rFonts w:ascii="Book Antiqua" w:hAnsi="Book Antiqua"/>
          <w:color w:val="000000" w:themeColor="text1"/>
        </w:rPr>
      </w:pPr>
    </w:p>
    <w:p w14:paraId="4AB8B3C0" w14:textId="77777777" w:rsidR="00920C46" w:rsidRPr="00C33BA8" w:rsidRDefault="00E815E9" w:rsidP="00686B93">
      <w:pPr>
        <w:pStyle w:val="Heading1"/>
        <w:adjustRightInd w:val="0"/>
        <w:snapToGrid w:val="0"/>
        <w:spacing w:line="360" w:lineRule="auto"/>
        <w:ind w:left="0"/>
        <w:jc w:val="both"/>
        <w:rPr>
          <w:rFonts w:ascii="Book Antiqua" w:hAnsi="Book Antiqua"/>
          <w:i/>
          <w:color w:val="000000" w:themeColor="text1"/>
        </w:rPr>
      </w:pPr>
      <w:r w:rsidRPr="00C33BA8">
        <w:rPr>
          <w:rFonts w:ascii="Book Antiqua" w:hAnsi="Book Antiqua"/>
          <w:i/>
          <w:color w:val="000000" w:themeColor="text1"/>
        </w:rPr>
        <w:t>RESULTS</w:t>
      </w:r>
    </w:p>
    <w:p w14:paraId="5EF09EB9" w14:textId="344A8836" w:rsidR="00920C46" w:rsidRPr="00C33BA8" w:rsidRDefault="00E815E9" w:rsidP="00686B93">
      <w:pPr>
        <w:pStyle w:val="BodyText"/>
        <w:adjustRightInd w:val="0"/>
        <w:snapToGrid w:val="0"/>
        <w:spacing w:line="360" w:lineRule="auto"/>
        <w:ind w:left="0"/>
        <w:jc w:val="both"/>
        <w:rPr>
          <w:rFonts w:ascii="Book Antiqua" w:hAnsi="Book Antiqua"/>
          <w:color w:val="000000" w:themeColor="text1"/>
        </w:rPr>
      </w:pPr>
      <w:r w:rsidRPr="00C33BA8">
        <w:rPr>
          <w:rFonts w:ascii="Book Antiqua" w:hAnsi="Book Antiqua"/>
          <w:color w:val="000000" w:themeColor="text1"/>
        </w:rPr>
        <w:t>At 3</w:t>
      </w:r>
      <w:r w:rsidR="00B85FCF" w:rsidRPr="00C33BA8">
        <w:rPr>
          <w:rFonts w:ascii="Book Antiqua" w:hAnsi="Book Antiqua"/>
          <w:color w:val="000000" w:themeColor="text1"/>
        </w:rPr>
        <w:t xml:space="preserve"> </w:t>
      </w:r>
      <w:r w:rsidRPr="00C33BA8">
        <w:rPr>
          <w:rFonts w:ascii="Book Antiqua" w:hAnsi="Book Antiqua"/>
          <w:color w:val="000000" w:themeColor="text1"/>
        </w:rPr>
        <w:t xml:space="preserve">SD above the mean of control wells coated with HSA or 0.41 OD, the mouse monoclonal antibody made against </w:t>
      </w:r>
      <w:r w:rsidRPr="00C33BA8">
        <w:rPr>
          <w:rFonts w:ascii="Book Antiqua" w:hAnsi="Book Antiqua"/>
          <w:i/>
          <w:color w:val="000000" w:themeColor="text1"/>
        </w:rPr>
        <w:t xml:space="preserve">C. jejuni </w:t>
      </w:r>
      <w:r w:rsidRPr="00C33BA8">
        <w:rPr>
          <w:rFonts w:ascii="Book Antiqua" w:hAnsi="Book Antiqua"/>
          <w:color w:val="000000" w:themeColor="text1"/>
        </w:rPr>
        <w:t xml:space="preserve">showed moderate to high reactions with zonulin, somatotropin, acetylcholine receptor, </w:t>
      </w:r>
      <w:r w:rsidR="00B85FCF" w:rsidRPr="00C33BA8">
        <w:rPr>
          <w:rFonts w:ascii="Book Antiqua" w:hAnsi="Book Antiqua"/>
          <w:color w:val="000000" w:themeColor="text1"/>
        </w:rPr>
        <w:t>β</w:t>
      </w:r>
      <w:r w:rsidRPr="00C33BA8">
        <w:rPr>
          <w:rFonts w:ascii="Book Antiqua" w:hAnsi="Book Antiqua"/>
          <w:color w:val="000000" w:themeColor="text1"/>
        </w:rPr>
        <w:t xml:space="preserve">-amyloid and presenilin. This immune reaction was low with an additional 25 tissue antigens including asialoganglioside, and the same antibody did not react at all with another 15 tissue antigens. Examining the reaction between </w:t>
      </w:r>
      <w:r w:rsidRPr="00C33BA8">
        <w:rPr>
          <w:rFonts w:ascii="Book Antiqua" w:hAnsi="Book Antiqua"/>
          <w:i/>
          <w:color w:val="000000" w:themeColor="text1"/>
        </w:rPr>
        <w:t xml:space="preserve">C. jejuni </w:t>
      </w:r>
      <w:r w:rsidRPr="00C33BA8">
        <w:rPr>
          <w:rFonts w:ascii="Book Antiqua" w:hAnsi="Book Antiqua"/>
          <w:color w:val="000000" w:themeColor="text1"/>
        </w:rPr>
        <w:t>antibody and 180 food antigens, we found insignificant reactions with 163 foods but low to high immune reactions with 17 food</w:t>
      </w:r>
      <w:r w:rsidRPr="00C33BA8">
        <w:rPr>
          <w:rFonts w:ascii="Book Antiqua" w:hAnsi="Book Antiqua"/>
          <w:color w:val="000000" w:themeColor="text1"/>
          <w:spacing w:val="57"/>
        </w:rPr>
        <w:t xml:space="preserve"> </w:t>
      </w:r>
      <w:r w:rsidRPr="00C33BA8">
        <w:rPr>
          <w:rFonts w:ascii="Book Antiqua" w:hAnsi="Book Antiqua"/>
          <w:color w:val="000000" w:themeColor="text1"/>
        </w:rPr>
        <w:t>antigens.</w:t>
      </w:r>
      <w:r w:rsidR="00946B9F" w:rsidRPr="00C33BA8">
        <w:rPr>
          <w:rFonts w:ascii="Book Antiqua" w:hAnsi="Book Antiqua"/>
          <w:color w:val="000000" w:themeColor="text1"/>
        </w:rPr>
        <w:t xml:space="preserve"> </w:t>
      </w:r>
      <w:r w:rsidRPr="00C33BA8">
        <w:rPr>
          <w:rFonts w:ascii="Book Antiqua" w:hAnsi="Book Antiqua"/>
          <w:color w:val="000000" w:themeColor="text1"/>
        </w:rPr>
        <w:t xml:space="preserve">Similarly, we examined the reaction of </w:t>
      </w:r>
      <w:r w:rsidRPr="00C33BA8">
        <w:rPr>
          <w:rFonts w:ascii="Book Antiqua" w:hAnsi="Book Antiqua"/>
          <w:i/>
          <w:color w:val="000000" w:themeColor="text1"/>
        </w:rPr>
        <w:t xml:space="preserve">C. jejuni </w:t>
      </w:r>
      <w:r w:rsidRPr="00C33BA8">
        <w:rPr>
          <w:rFonts w:ascii="Book Antiqua" w:hAnsi="Book Antiqua"/>
          <w:color w:val="000000" w:themeColor="text1"/>
        </w:rPr>
        <w:t>Cdt with the same tissues and</w:t>
      </w:r>
      <w:r w:rsidRPr="00C33BA8">
        <w:rPr>
          <w:rFonts w:ascii="Book Antiqua" w:hAnsi="Book Antiqua"/>
          <w:color w:val="000000" w:themeColor="text1"/>
          <w:spacing w:val="54"/>
        </w:rPr>
        <w:t xml:space="preserve"> </w:t>
      </w:r>
      <w:r w:rsidRPr="00C33BA8">
        <w:rPr>
          <w:rFonts w:ascii="Book Antiqua" w:hAnsi="Book Antiqua"/>
          <w:color w:val="000000" w:themeColor="text1"/>
        </w:rPr>
        <w:t>food</w:t>
      </w:r>
      <w:r w:rsidR="00946B9F" w:rsidRPr="00C33BA8">
        <w:rPr>
          <w:rFonts w:ascii="Book Antiqua" w:hAnsi="Book Antiqua"/>
          <w:color w:val="000000" w:themeColor="text1"/>
        </w:rPr>
        <w:t xml:space="preserve"> </w:t>
      </w:r>
      <w:r w:rsidRPr="00C33BA8">
        <w:rPr>
          <w:rFonts w:ascii="Book Antiqua" w:hAnsi="Book Antiqua"/>
          <w:color w:val="000000" w:themeColor="text1"/>
        </w:rPr>
        <w:t xml:space="preserve">antigens. The strongest reactions were observed with zonulin, intrinsic factor and </w:t>
      </w:r>
      <w:r w:rsidRPr="00C33BA8">
        <w:rPr>
          <w:rFonts w:ascii="Book Antiqua" w:hAnsi="Book Antiqua"/>
          <w:color w:val="000000" w:themeColor="text1"/>
        </w:rPr>
        <w:lastRenderedPageBreak/>
        <w:t xml:space="preserve">somatotropin. The reaction was moderate with 9 different tissue antigens including thyroid peroxidase, and reaction was low with another 10 different antigens, including neuronal antigens. The reaction of </w:t>
      </w:r>
      <w:r w:rsidRPr="00C33BA8">
        <w:rPr>
          <w:rFonts w:ascii="Book Antiqua" w:hAnsi="Book Antiqua"/>
          <w:i/>
          <w:color w:val="000000" w:themeColor="text1"/>
        </w:rPr>
        <w:t xml:space="preserve">C. jejuni </w:t>
      </w:r>
      <w:r w:rsidRPr="00C33BA8">
        <w:rPr>
          <w:rFonts w:ascii="Book Antiqua" w:hAnsi="Book Antiqua"/>
          <w:color w:val="000000" w:themeColor="text1"/>
        </w:rPr>
        <w:t xml:space="preserve">Cdt antibody with an additional 23 tissue antigens was insignificant. Regarding the reaction of </w:t>
      </w:r>
      <w:r w:rsidRPr="00C33BA8">
        <w:rPr>
          <w:rFonts w:ascii="Book Antiqua" w:hAnsi="Book Antiqua"/>
          <w:i/>
          <w:color w:val="000000" w:themeColor="text1"/>
        </w:rPr>
        <w:t xml:space="preserve">C. jejuni </w:t>
      </w:r>
      <w:r w:rsidRPr="00C33BA8">
        <w:rPr>
          <w:rFonts w:ascii="Book Antiqua" w:hAnsi="Book Antiqua"/>
          <w:color w:val="000000" w:themeColor="text1"/>
        </w:rPr>
        <w:t>Cdt antibody with different food antigens, 160 out of 180 foods showed insignificant reactions, while 20 foods showed reactions ranging from low to high.</w:t>
      </w:r>
    </w:p>
    <w:p w14:paraId="50060DBA" w14:textId="77777777" w:rsidR="00920C46" w:rsidRPr="00C33BA8" w:rsidRDefault="00920C46" w:rsidP="00686B93">
      <w:pPr>
        <w:pStyle w:val="BodyText"/>
        <w:adjustRightInd w:val="0"/>
        <w:snapToGrid w:val="0"/>
        <w:spacing w:line="360" w:lineRule="auto"/>
        <w:ind w:left="0"/>
        <w:jc w:val="both"/>
        <w:rPr>
          <w:rFonts w:ascii="Book Antiqua" w:hAnsi="Book Antiqua"/>
          <w:color w:val="000000" w:themeColor="text1"/>
        </w:rPr>
      </w:pPr>
    </w:p>
    <w:p w14:paraId="13496F57" w14:textId="77777777" w:rsidR="00920C46" w:rsidRPr="00C33BA8" w:rsidRDefault="00E815E9" w:rsidP="00686B93">
      <w:pPr>
        <w:pStyle w:val="Heading1"/>
        <w:adjustRightInd w:val="0"/>
        <w:snapToGrid w:val="0"/>
        <w:spacing w:line="360" w:lineRule="auto"/>
        <w:ind w:left="0"/>
        <w:jc w:val="both"/>
        <w:rPr>
          <w:rFonts w:ascii="Book Antiqua" w:hAnsi="Book Antiqua"/>
          <w:i/>
          <w:color w:val="000000" w:themeColor="text1"/>
        </w:rPr>
      </w:pPr>
      <w:r w:rsidRPr="00C33BA8">
        <w:rPr>
          <w:rFonts w:ascii="Book Antiqua" w:hAnsi="Book Antiqua"/>
          <w:i/>
          <w:color w:val="000000" w:themeColor="text1"/>
          <w:w w:val="105"/>
        </w:rPr>
        <w:t>CONCLUSION</w:t>
      </w:r>
    </w:p>
    <w:p w14:paraId="03411D1F" w14:textId="2A58471A" w:rsidR="00920C46" w:rsidRPr="00C33BA8" w:rsidRDefault="00E815E9" w:rsidP="00686B93">
      <w:pPr>
        <w:pStyle w:val="BodyText"/>
        <w:adjustRightInd w:val="0"/>
        <w:snapToGrid w:val="0"/>
        <w:spacing w:line="360" w:lineRule="auto"/>
        <w:ind w:left="0"/>
        <w:jc w:val="both"/>
        <w:rPr>
          <w:rFonts w:ascii="Book Antiqua" w:hAnsi="Book Antiqua"/>
          <w:color w:val="000000" w:themeColor="text1"/>
        </w:rPr>
      </w:pPr>
      <w:r w:rsidRPr="00C33BA8">
        <w:rPr>
          <w:rFonts w:ascii="Book Antiqua" w:hAnsi="Book Antiqua"/>
          <w:color w:val="000000" w:themeColor="text1"/>
        </w:rPr>
        <w:t xml:space="preserve">Our findings indicate that </w:t>
      </w:r>
      <w:r w:rsidRPr="00C33BA8">
        <w:rPr>
          <w:rFonts w:ascii="Book Antiqua" w:hAnsi="Book Antiqua"/>
          <w:i/>
          <w:color w:val="000000" w:themeColor="text1"/>
        </w:rPr>
        <w:t xml:space="preserve">C. jejuni </w:t>
      </w:r>
      <w:r w:rsidRPr="00C33BA8">
        <w:rPr>
          <w:rFonts w:ascii="Book Antiqua" w:hAnsi="Book Antiqua"/>
          <w:color w:val="000000" w:themeColor="text1"/>
        </w:rPr>
        <w:t>and its Cdt may play a role in inflammation and autoimmunities beyond the gut.</w:t>
      </w:r>
    </w:p>
    <w:p w14:paraId="7406F0CC" w14:textId="77777777" w:rsidR="00920C46" w:rsidRPr="00C33BA8" w:rsidRDefault="00920C46" w:rsidP="00686B93">
      <w:pPr>
        <w:pStyle w:val="BodyText"/>
        <w:adjustRightInd w:val="0"/>
        <w:snapToGrid w:val="0"/>
        <w:spacing w:line="360" w:lineRule="auto"/>
        <w:ind w:left="0"/>
        <w:jc w:val="both"/>
        <w:rPr>
          <w:rFonts w:ascii="Book Antiqua" w:hAnsi="Book Antiqua"/>
          <w:color w:val="000000" w:themeColor="text1"/>
        </w:rPr>
      </w:pPr>
    </w:p>
    <w:p w14:paraId="4D25D386" w14:textId="0469E244" w:rsidR="00946B9F" w:rsidRPr="00C33BA8" w:rsidRDefault="00946B9F" w:rsidP="00686B93">
      <w:pPr>
        <w:pStyle w:val="BodyText"/>
        <w:adjustRightInd w:val="0"/>
        <w:snapToGrid w:val="0"/>
        <w:spacing w:line="360" w:lineRule="auto"/>
        <w:ind w:left="0"/>
        <w:jc w:val="both"/>
        <w:rPr>
          <w:rFonts w:ascii="Book Antiqua" w:hAnsi="Book Antiqua"/>
          <w:color w:val="000000" w:themeColor="text1"/>
        </w:rPr>
      </w:pPr>
      <w:r w:rsidRPr="00C33BA8">
        <w:rPr>
          <w:rFonts w:ascii="Book Antiqua" w:hAnsi="Book Antiqua"/>
          <w:b/>
          <w:color w:val="000000" w:themeColor="text1"/>
        </w:rPr>
        <w:t>Key words:</w:t>
      </w:r>
      <w:r w:rsidRPr="00C33BA8">
        <w:rPr>
          <w:rFonts w:ascii="Book Antiqua" w:hAnsi="Book Antiqua"/>
          <w:color w:val="000000" w:themeColor="text1"/>
        </w:rPr>
        <w:t xml:space="preserve"> </w:t>
      </w:r>
      <w:r w:rsidRPr="00C33BA8">
        <w:rPr>
          <w:rFonts w:ascii="Book Antiqua" w:hAnsi="Book Antiqua"/>
          <w:i/>
          <w:color w:val="000000" w:themeColor="text1"/>
        </w:rPr>
        <w:t>Campylobacter jejuni</w:t>
      </w:r>
      <w:r w:rsidRPr="00C33BA8">
        <w:rPr>
          <w:rFonts w:ascii="Book Antiqua" w:hAnsi="Book Antiqua"/>
          <w:color w:val="000000" w:themeColor="text1"/>
        </w:rPr>
        <w:t>; Cytolethal distending toxin; Tissue antigens; Food antigens; Autoimmune reactivities; Cross-reactivity</w:t>
      </w:r>
    </w:p>
    <w:p w14:paraId="36308E4C" w14:textId="77777777" w:rsidR="00920C46" w:rsidRPr="00C33BA8" w:rsidRDefault="00920C46" w:rsidP="00686B93">
      <w:pPr>
        <w:pStyle w:val="BodyText"/>
        <w:adjustRightInd w:val="0"/>
        <w:snapToGrid w:val="0"/>
        <w:spacing w:line="360" w:lineRule="auto"/>
        <w:ind w:left="0"/>
        <w:jc w:val="both"/>
        <w:rPr>
          <w:rFonts w:ascii="Book Antiqua" w:hAnsi="Book Antiqua"/>
          <w:b/>
          <w:color w:val="000000" w:themeColor="text1"/>
          <w:shd w:val="clear" w:color="auto" w:fill="FADADA"/>
        </w:rPr>
      </w:pPr>
    </w:p>
    <w:p w14:paraId="6D19EC7E" w14:textId="63D8F263" w:rsidR="00946B9F" w:rsidRPr="00C33BA8" w:rsidRDefault="00946B9F" w:rsidP="00686B93">
      <w:pPr>
        <w:pStyle w:val="BodyText"/>
        <w:adjustRightInd w:val="0"/>
        <w:snapToGrid w:val="0"/>
        <w:spacing w:line="360" w:lineRule="auto"/>
        <w:ind w:left="0"/>
        <w:jc w:val="both"/>
        <w:rPr>
          <w:rFonts w:ascii="Book Antiqua" w:hAnsi="Book Antiqua"/>
        </w:rPr>
      </w:pPr>
      <w:bookmarkStart w:id="19" w:name="OLE_LINK43"/>
      <w:bookmarkStart w:id="20" w:name="OLE_LINK44"/>
      <w:r w:rsidRPr="00C33BA8">
        <w:rPr>
          <w:rFonts w:ascii="Book Antiqua" w:hAnsi="Book Antiqua"/>
          <w:b/>
        </w:rPr>
        <w:t xml:space="preserve">© The Author(s) 2019. </w:t>
      </w:r>
      <w:r w:rsidRPr="00C33BA8">
        <w:rPr>
          <w:rFonts w:ascii="Book Antiqua" w:hAnsi="Book Antiqua"/>
        </w:rPr>
        <w:t>Published by Baishideng Publishing Group Inc. All rights reserved.</w:t>
      </w:r>
      <w:bookmarkEnd w:id="19"/>
      <w:bookmarkEnd w:id="20"/>
    </w:p>
    <w:p w14:paraId="14D79CF4" w14:textId="77777777" w:rsidR="00946B9F" w:rsidRPr="00C33BA8" w:rsidRDefault="00946B9F" w:rsidP="00686B93">
      <w:pPr>
        <w:pStyle w:val="BodyText"/>
        <w:adjustRightInd w:val="0"/>
        <w:snapToGrid w:val="0"/>
        <w:spacing w:line="360" w:lineRule="auto"/>
        <w:ind w:left="0"/>
        <w:jc w:val="both"/>
        <w:rPr>
          <w:rFonts w:ascii="Book Antiqua" w:hAnsi="Book Antiqua"/>
          <w:color w:val="000000" w:themeColor="text1"/>
        </w:rPr>
      </w:pPr>
    </w:p>
    <w:p w14:paraId="7FCFBD57" w14:textId="12CC8497" w:rsidR="00920C46" w:rsidRPr="00C33BA8" w:rsidRDefault="00E815E9" w:rsidP="00686B93">
      <w:pPr>
        <w:pStyle w:val="BodyText"/>
        <w:adjustRightInd w:val="0"/>
        <w:snapToGrid w:val="0"/>
        <w:spacing w:line="360" w:lineRule="auto"/>
        <w:ind w:left="0"/>
        <w:jc w:val="both"/>
        <w:rPr>
          <w:rFonts w:ascii="Book Antiqua" w:hAnsi="Book Antiqua"/>
          <w:color w:val="000000" w:themeColor="text1"/>
        </w:rPr>
      </w:pPr>
      <w:r w:rsidRPr="00C33BA8">
        <w:rPr>
          <w:rFonts w:ascii="Book Antiqua" w:hAnsi="Book Antiqua"/>
          <w:b/>
          <w:color w:val="000000" w:themeColor="text1"/>
        </w:rPr>
        <w:t xml:space="preserve">Core tip: </w:t>
      </w:r>
      <w:r w:rsidRPr="00C33BA8">
        <w:rPr>
          <w:rFonts w:ascii="Book Antiqua" w:hAnsi="Book Antiqua"/>
          <w:color w:val="000000" w:themeColor="text1"/>
        </w:rPr>
        <w:t xml:space="preserve">In a search for a possible mechanism for the involvement of </w:t>
      </w:r>
      <w:r w:rsidR="00946B9F" w:rsidRPr="00C33BA8">
        <w:rPr>
          <w:rFonts w:ascii="Book Antiqua" w:hAnsi="Book Antiqua"/>
          <w:i/>
          <w:color w:val="000000" w:themeColor="text1"/>
        </w:rPr>
        <w:t xml:space="preserve">Campylobacter jejuni </w:t>
      </w:r>
      <w:r w:rsidR="00946B9F" w:rsidRPr="00C33BA8">
        <w:rPr>
          <w:rFonts w:ascii="Book Antiqua" w:hAnsi="Book Antiqua"/>
          <w:color w:val="000000" w:themeColor="text1"/>
        </w:rPr>
        <w:t>(</w:t>
      </w:r>
      <w:r w:rsidR="00946B9F" w:rsidRPr="00C33BA8">
        <w:rPr>
          <w:rFonts w:ascii="Book Antiqua" w:hAnsi="Book Antiqua"/>
          <w:i/>
          <w:color w:val="000000" w:themeColor="text1"/>
        </w:rPr>
        <w:t>C. jejuni</w:t>
      </w:r>
      <w:r w:rsidR="00946B9F" w:rsidRPr="00C33BA8">
        <w:rPr>
          <w:rFonts w:ascii="Book Antiqua" w:hAnsi="Book Antiqua"/>
          <w:color w:val="000000" w:themeColor="text1"/>
        </w:rPr>
        <w:t>)</w:t>
      </w:r>
      <w:r w:rsidRPr="00C33BA8">
        <w:rPr>
          <w:rFonts w:ascii="Book Antiqua" w:hAnsi="Book Antiqua"/>
          <w:i/>
          <w:color w:val="000000" w:themeColor="text1"/>
        </w:rPr>
        <w:t xml:space="preserve"> </w:t>
      </w:r>
      <w:r w:rsidRPr="00C33BA8">
        <w:rPr>
          <w:rFonts w:ascii="Book Antiqua" w:hAnsi="Book Antiqua"/>
          <w:color w:val="000000" w:themeColor="text1"/>
        </w:rPr>
        <w:t xml:space="preserve">in </w:t>
      </w:r>
      <w:bookmarkStart w:id="21" w:name="OLE_LINK35"/>
      <w:r w:rsidRPr="00C33BA8">
        <w:rPr>
          <w:rFonts w:ascii="Book Antiqua" w:hAnsi="Book Antiqua"/>
          <w:color w:val="000000" w:themeColor="text1"/>
        </w:rPr>
        <w:t>irritable bowel syndrome</w:t>
      </w:r>
      <w:bookmarkEnd w:id="21"/>
      <w:r w:rsidRPr="00C33BA8">
        <w:rPr>
          <w:rFonts w:ascii="Book Antiqua" w:hAnsi="Book Antiqua"/>
          <w:color w:val="000000" w:themeColor="text1"/>
        </w:rPr>
        <w:t xml:space="preserve">, inflammatory bowel disease, reactive arthritis, Guillane-Barré syndrome and other disorders, we examined the immunoreactivity of </w:t>
      </w:r>
      <w:r w:rsidRPr="00C33BA8">
        <w:rPr>
          <w:rFonts w:ascii="Book Antiqua" w:hAnsi="Book Antiqua"/>
          <w:i/>
          <w:color w:val="000000" w:themeColor="text1"/>
        </w:rPr>
        <w:t>C. jejuni</w:t>
      </w:r>
      <w:r w:rsidRPr="00C33BA8">
        <w:rPr>
          <w:rFonts w:ascii="Book Antiqua" w:hAnsi="Book Antiqua"/>
          <w:color w:val="000000" w:themeColor="text1"/>
        </w:rPr>
        <w:t xml:space="preserve">-specific antibodies with a variety of human tissues and food antigens. We found that </w:t>
      </w:r>
      <w:r w:rsidRPr="00C33BA8">
        <w:rPr>
          <w:rFonts w:ascii="Book Antiqua" w:hAnsi="Book Antiqua"/>
          <w:i/>
          <w:color w:val="000000" w:themeColor="text1"/>
        </w:rPr>
        <w:t xml:space="preserve">C. jejuni </w:t>
      </w:r>
      <w:r w:rsidRPr="00C33BA8">
        <w:rPr>
          <w:rFonts w:ascii="Book Antiqua" w:hAnsi="Book Antiqua"/>
          <w:color w:val="000000" w:themeColor="text1"/>
        </w:rPr>
        <w:t>antibodies showed a significant level of immune reaction with many human tissues and food antigens. These results may open new avenues of research in investigating the role of this bacteria in multiple autoimmunities beyond the gastrointestinal tract.</w:t>
      </w:r>
    </w:p>
    <w:p w14:paraId="5F9FBA99" w14:textId="77777777" w:rsidR="00920C46" w:rsidRPr="00C33BA8" w:rsidRDefault="00920C46" w:rsidP="00686B93">
      <w:pPr>
        <w:pStyle w:val="BodyText"/>
        <w:adjustRightInd w:val="0"/>
        <w:snapToGrid w:val="0"/>
        <w:spacing w:line="360" w:lineRule="auto"/>
        <w:ind w:left="0"/>
        <w:jc w:val="both"/>
        <w:rPr>
          <w:rFonts w:ascii="Book Antiqua" w:hAnsi="Book Antiqua"/>
          <w:color w:val="000000" w:themeColor="text1"/>
        </w:rPr>
      </w:pPr>
    </w:p>
    <w:p w14:paraId="0DC67380" w14:textId="05900FEC" w:rsidR="00920C46" w:rsidRPr="00C33BA8" w:rsidRDefault="00E815E9" w:rsidP="00686B93">
      <w:pPr>
        <w:pStyle w:val="BodyText"/>
        <w:adjustRightInd w:val="0"/>
        <w:snapToGrid w:val="0"/>
        <w:spacing w:line="360" w:lineRule="auto"/>
        <w:ind w:left="0"/>
        <w:jc w:val="both"/>
        <w:rPr>
          <w:rFonts w:ascii="Book Antiqua" w:hAnsi="Book Antiqua"/>
          <w:color w:val="000000" w:themeColor="text1"/>
        </w:rPr>
      </w:pPr>
      <w:r w:rsidRPr="00C33BA8">
        <w:rPr>
          <w:rFonts w:ascii="Book Antiqua" w:hAnsi="Book Antiqua"/>
          <w:color w:val="000000" w:themeColor="text1"/>
        </w:rPr>
        <w:t>Vojdani A</w:t>
      </w:r>
      <w:r w:rsidR="00946B9F" w:rsidRPr="00C33BA8">
        <w:rPr>
          <w:rFonts w:ascii="Book Antiqua" w:hAnsi="Book Antiqua"/>
          <w:color w:val="000000" w:themeColor="text1"/>
        </w:rPr>
        <w:t>,</w:t>
      </w:r>
      <w:r w:rsidRPr="00C33BA8">
        <w:rPr>
          <w:rFonts w:ascii="Book Antiqua" w:hAnsi="Book Antiqua"/>
          <w:color w:val="000000" w:themeColor="text1"/>
        </w:rPr>
        <w:t xml:space="preserve"> Vojdani E. </w:t>
      </w:r>
      <w:r w:rsidR="00946B9F" w:rsidRPr="00C33BA8">
        <w:rPr>
          <w:rFonts w:ascii="Book Antiqua" w:hAnsi="Book Antiqua"/>
          <w:color w:val="000000" w:themeColor="text1"/>
          <w:w w:val="110"/>
        </w:rPr>
        <w:t>Reaction</w:t>
      </w:r>
      <w:r w:rsidR="00946B9F" w:rsidRPr="00C33BA8">
        <w:rPr>
          <w:rFonts w:ascii="Book Antiqua" w:hAnsi="Book Antiqua"/>
          <w:color w:val="000000" w:themeColor="text1"/>
          <w:spacing w:val="-16"/>
          <w:w w:val="110"/>
        </w:rPr>
        <w:t xml:space="preserve"> </w:t>
      </w:r>
      <w:r w:rsidR="00946B9F" w:rsidRPr="00C33BA8">
        <w:rPr>
          <w:rFonts w:ascii="Book Antiqua" w:hAnsi="Book Antiqua"/>
          <w:color w:val="000000" w:themeColor="text1"/>
          <w:w w:val="110"/>
        </w:rPr>
        <w:t>of</w:t>
      </w:r>
      <w:r w:rsidR="00946B9F" w:rsidRPr="00C33BA8">
        <w:rPr>
          <w:rFonts w:ascii="Book Antiqua" w:hAnsi="Book Antiqua"/>
          <w:color w:val="000000" w:themeColor="text1"/>
          <w:spacing w:val="-15"/>
          <w:w w:val="110"/>
        </w:rPr>
        <w:t xml:space="preserve"> </w:t>
      </w:r>
      <w:r w:rsidR="00946B9F" w:rsidRPr="00C33BA8">
        <w:rPr>
          <w:rFonts w:ascii="Book Antiqua" w:hAnsi="Book Antiqua"/>
          <w:color w:val="000000" w:themeColor="text1"/>
          <w:w w:val="110"/>
        </w:rPr>
        <w:t>antibodies</w:t>
      </w:r>
      <w:r w:rsidR="00946B9F" w:rsidRPr="00C33BA8">
        <w:rPr>
          <w:rFonts w:ascii="Book Antiqua" w:hAnsi="Book Antiqua"/>
          <w:color w:val="000000" w:themeColor="text1"/>
          <w:spacing w:val="-16"/>
          <w:w w:val="110"/>
        </w:rPr>
        <w:t xml:space="preserve"> </w:t>
      </w:r>
      <w:r w:rsidR="00946B9F" w:rsidRPr="00C33BA8">
        <w:rPr>
          <w:rFonts w:ascii="Book Antiqua" w:hAnsi="Book Antiqua"/>
          <w:color w:val="000000" w:themeColor="text1"/>
          <w:w w:val="110"/>
        </w:rPr>
        <w:t>to</w:t>
      </w:r>
      <w:r w:rsidR="00946B9F" w:rsidRPr="00C33BA8">
        <w:rPr>
          <w:rFonts w:ascii="Book Antiqua" w:hAnsi="Book Antiqua"/>
          <w:color w:val="000000" w:themeColor="text1"/>
          <w:spacing w:val="-15"/>
          <w:w w:val="110"/>
        </w:rPr>
        <w:t xml:space="preserve"> </w:t>
      </w:r>
      <w:r w:rsidR="00946B9F" w:rsidRPr="00C33BA8">
        <w:rPr>
          <w:rFonts w:ascii="Book Antiqua" w:hAnsi="Book Antiqua"/>
          <w:i/>
          <w:color w:val="000000" w:themeColor="text1"/>
        </w:rPr>
        <w:t>Campylobacter jejuni</w:t>
      </w:r>
      <w:r w:rsidR="00946B9F" w:rsidRPr="00C33BA8">
        <w:rPr>
          <w:rFonts w:ascii="Book Antiqua" w:hAnsi="Book Antiqua"/>
          <w:i/>
          <w:color w:val="000000" w:themeColor="text1"/>
          <w:spacing w:val="-17"/>
          <w:w w:val="110"/>
        </w:rPr>
        <w:t xml:space="preserve"> </w:t>
      </w:r>
      <w:r w:rsidR="00946B9F" w:rsidRPr="00C33BA8">
        <w:rPr>
          <w:rFonts w:ascii="Book Antiqua" w:hAnsi="Book Antiqua"/>
          <w:color w:val="000000" w:themeColor="text1"/>
          <w:w w:val="110"/>
        </w:rPr>
        <w:t>and</w:t>
      </w:r>
      <w:r w:rsidR="00946B9F" w:rsidRPr="00C33BA8">
        <w:rPr>
          <w:rFonts w:ascii="Book Antiqua" w:hAnsi="Book Antiqua"/>
          <w:color w:val="000000" w:themeColor="text1"/>
          <w:spacing w:val="-15"/>
          <w:w w:val="110"/>
        </w:rPr>
        <w:t xml:space="preserve"> </w:t>
      </w:r>
      <w:r w:rsidR="00946B9F" w:rsidRPr="00C33BA8">
        <w:rPr>
          <w:rFonts w:ascii="Book Antiqua" w:hAnsi="Book Antiqua"/>
          <w:color w:val="000000" w:themeColor="text1"/>
          <w:w w:val="110"/>
        </w:rPr>
        <w:t>cytolethal</w:t>
      </w:r>
      <w:r w:rsidR="00946B9F" w:rsidRPr="00C33BA8">
        <w:rPr>
          <w:rFonts w:ascii="Book Antiqua" w:hAnsi="Book Antiqua"/>
          <w:color w:val="000000" w:themeColor="text1"/>
          <w:spacing w:val="-16"/>
          <w:w w:val="110"/>
        </w:rPr>
        <w:t xml:space="preserve"> </w:t>
      </w:r>
      <w:r w:rsidR="00946B9F" w:rsidRPr="00C33BA8">
        <w:rPr>
          <w:rFonts w:ascii="Book Antiqua" w:hAnsi="Book Antiqua"/>
          <w:color w:val="000000" w:themeColor="text1"/>
          <w:w w:val="110"/>
        </w:rPr>
        <w:t>distending</w:t>
      </w:r>
      <w:r w:rsidR="00946B9F" w:rsidRPr="00C33BA8">
        <w:rPr>
          <w:rFonts w:ascii="Book Antiqua" w:hAnsi="Book Antiqua"/>
          <w:color w:val="000000" w:themeColor="text1"/>
          <w:spacing w:val="-15"/>
          <w:w w:val="110"/>
        </w:rPr>
        <w:t xml:space="preserve"> </w:t>
      </w:r>
      <w:r w:rsidR="00946B9F" w:rsidRPr="00C33BA8">
        <w:rPr>
          <w:rFonts w:ascii="Book Antiqua" w:hAnsi="Book Antiqua"/>
          <w:color w:val="000000" w:themeColor="text1"/>
          <w:w w:val="110"/>
        </w:rPr>
        <w:t>toxin</w:t>
      </w:r>
      <w:r w:rsidR="00946B9F" w:rsidRPr="00C33BA8">
        <w:rPr>
          <w:rFonts w:ascii="Book Antiqua" w:hAnsi="Book Antiqua"/>
          <w:color w:val="000000" w:themeColor="text1"/>
          <w:spacing w:val="-16"/>
          <w:w w:val="110"/>
        </w:rPr>
        <w:t xml:space="preserve"> </w:t>
      </w:r>
      <w:r w:rsidR="008D7789">
        <w:rPr>
          <w:rFonts w:ascii="Book Antiqua" w:hAnsi="Book Antiqua"/>
          <w:color w:val="000000" w:themeColor="text1"/>
          <w:w w:val="110"/>
        </w:rPr>
        <w:t>B</w:t>
      </w:r>
      <w:r w:rsidR="00946B9F" w:rsidRPr="00C33BA8">
        <w:rPr>
          <w:rFonts w:ascii="Book Antiqua" w:hAnsi="Book Antiqua"/>
          <w:color w:val="000000" w:themeColor="text1"/>
          <w:spacing w:val="-16"/>
          <w:w w:val="110"/>
        </w:rPr>
        <w:t xml:space="preserve"> </w:t>
      </w:r>
      <w:r w:rsidR="00946B9F" w:rsidRPr="00C33BA8">
        <w:rPr>
          <w:rFonts w:ascii="Book Antiqua" w:hAnsi="Book Antiqua"/>
          <w:color w:val="000000" w:themeColor="text1"/>
          <w:w w:val="110"/>
        </w:rPr>
        <w:t>with</w:t>
      </w:r>
      <w:r w:rsidR="00946B9F" w:rsidRPr="00C33BA8">
        <w:rPr>
          <w:rFonts w:ascii="Book Antiqua" w:hAnsi="Book Antiqua"/>
          <w:color w:val="000000" w:themeColor="text1"/>
          <w:spacing w:val="-16"/>
          <w:w w:val="110"/>
        </w:rPr>
        <w:t xml:space="preserve"> </w:t>
      </w:r>
      <w:r w:rsidR="00946B9F" w:rsidRPr="00C33BA8">
        <w:rPr>
          <w:rFonts w:ascii="Book Antiqua" w:hAnsi="Book Antiqua"/>
          <w:color w:val="000000" w:themeColor="text1"/>
          <w:w w:val="110"/>
        </w:rPr>
        <w:t>tissues and food</w:t>
      </w:r>
      <w:r w:rsidR="00946B9F" w:rsidRPr="00C33BA8">
        <w:rPr>
          <w:rFonts w:ascii="Book Antiqua" w:hAnsi="Book Antiqua"/>
          <w:color w:val="000000" w:themeColor="text1"/>
          <w:spacing w:val="-13"/>
          <w:w w:val="110"/>
        </w:rPr>
        <w:t xml:space="preserve"> </w:t>
      </w:r>
      <w:r w:rsidR="00946B9F" w:rsidRPr="00C33BA8">
        <w:rPr>
          <w:rFonts w:ascii="Book Antiqua" w:hAnsi="Book Antiqua"/>
          <w:color w:val="000000" w:themeColor="text1"/>
          <w:w w:val="110"/>
        </w:rPr>
        <w:t>antigens.</w:t>
      </w:r>
      <w:r w:rsidRPr="00C33BA8">
        <w:rPr>
          <w:rFonts w:ascii="Book Antiqua" w:hAnsi="Book Antiqua"/>
          <w:color w:val="000000" w:themeColor="text1"/>
        </w:rPr>
        <w:t xml:space="preserve"> </w:t>
      </w:r>
      <w:r w:rsidRPr="00C33BA8">
        <w:rPr>
          <w:rFonts w:ascii="Book Antiqua" w:hAnsi="Book Antiqua"/>
          <w:i/>
          <w:color w:val="000000" w:themeColor="text1"/>
        </w:rPr>
        <w:t xml:space="preserve">World J Gastroenterol </w:t>
      </w:r>
      <w:r w:rsidRPr="00C33BA8">
        <w:rPr>
          <w:rFonts w:ascii="Book Antiqua" w:hAnsi="Book Antiqua"/>
          <w:color w:val="000000" w:themeColor="text1"/>
        </w:rPr>
        <w:t>2019; In press</w:t>
      </w:r>
    </w:p>
    <w:p w14:paraId="17864339" w14:textId="77777777" w:rsidR="00946B9F" w:rsidRPr="00C33BA8" w:rsidRDefault="00946B9F" w:rsidP="00686B93">
      <w:pPr>
        <w:pStyle w:val="BodyText"/>
        <w:adjustRightInd w:val="0"/>
        <w:snapToGrid w:val="0"/>
        <w:spacing w:line="360" w:lineRule="auto"/>
        <w:ind w:left="0"/>
        <w:jc w:val="both"/>
        <w:rPr>
          <w:rFonts w:ascii="Book Antiqua" w:hAnsi="Book Antiqua"/>
          <w:color w:val="000000" w:themeColor="text1"/>
        </w:rPr>
      </w:pPr>
    </w:p>
    <w:p w14:paraId="32A7405C" w14:textId="77777777" w:rsidR="00946B9F" w:rsidRPr="00C33BA8" w:rsidRDefault="00946B9F">
      <w:pPr>
        <w:rPr>
          <w:rFonts w:ascii="Book Antiqua" w:hAnsi="Book Antiqua"/>
          <w:b/>
          <w:color w:val="000000" w:themeColor="text1"/>
          <w:sz w:val="24"/>
          <w:szCs w:val="24"/>
        </w:rPr>
      </w:pPr>
      <w:r w:rsidRPr="00C33BA8">
        <w:rPr>
          <w:rFonts w:ascii="Book Antiqua" w:hAnsi="Book Antiqua"/>
          <w:b/>
          <w:color w:val="000000" w:themeColor="text1"/>
          <w:sz w:val="24"/>
          <w:szCs w:val="24"/>
        </w:rPr>
        <w:br w:type="page"/>
      </w:r>
    </w:p>
    <w:p w14:paraId="14CD963C" w14:textId="334D2C3F" w:rsidR="00946B9F" w:rsidRPr="00C33BA8" w:rsidRDefault="00946B9F" w:rsidP="00686B93">
      <w:pPr>
        <w:pStyle w:val="BodyText"/>
        <w:adjustRightInd w:val="0"/>
        <w:snapToGrid w:val="0"/>
        <w:spacing w:line="360" w:lineRule="auto"/>
        <w:ind w:left="0"/>
        <w:jc w:val="both"/>
        <w:rPr>
          <w:rFonts w:ascii="Book Antiqua" w:hAnsi="Book Antiqua"/>
          <w:b/>
          <w:color w:val="000000" w:themeColor="text1"/>
        </w:rPr>
      </w:pPr>
      <w:r w:rsidRPr="00C33BA8">
        <w:rPr>
          <w:rFonts w:ascii="Book Antiqua" w:hAnsi="Book Antiqua"/>
          <w:b/>
          <w:color w:val="000000" w:themeColor="text1"/>
        </w:rPr>
        <w:lastRenderedPageBreak/>
        <w:t>INTRODUCTION</w:t>
      </w:r>
    </w:p>
    <w:p w14:paraId="4F2F338A" w14:textId="3C978072" w:rsidR="00946B9F" w:rsidRPr="00C33BA8" w:rsidRDefault="00E815E9" w:rsidP="00686B93">
      <w:pPr>
        <w:pStyle w:val="BodyText"/>
        <w:adjustRightInd w:val="0"/>
        <w:snapToGrid w:val="0"/>
        <w:spacing w:line="360" w:lineRule="auto"/>
        <w:ind w:left="0"/>
        <w:jc w:val="both"/>
        <w:rPr>
          <w:rFonts w:ascii="Book Antiqua" w:hAnsi="Book Antiqua"/>
          <w:color w:val="000000" w:themeColor="text1"/>
        </w:rPr>
      </w:pPr>
      <w:bookmarkStart w:id="22" w:name="OLE_LINK29"/>
      <w:r w:rsidRPr="00C33BA8">
        <w:rPr>
          <w:rFonts w:ascii="Book Antiqua" w:hAnsi="Book Antiqua"/>
          <w:i/>
          <w:color w:val="000000" w:themeColor="text1"/>
        </w:rPr>
        <w:t>Campylobacter jejuni</w:t>
      </w:r>
      <w:bookmarkEnd w:id="22"/>
      <w:r w:rsidRPr="00C33BA8">
        <w:rPr>
          <w:rFonts w:ascii="Book Antiqua" w:hAnsi="Book Antiqua"/>
          <w:i/>
          <w:color w:val="000000" w:themeColor="text1"/>
        </w:rPr>
        <w:t xml:space="preserve"> </w:t>
      </w:r>
      <w:r w:rsidRPr="00C33BA8">
        <w:rPr>
          <w:rFonts w:ascii="Book Antiqua" w:hAnsi="Book Antiqua"/>
          <w:color w:val="000000" w:themeColor="text1"/>
        </w:rPr>
        <w:t>(</w:t>
      </w:r>
      <w:r w:rsidRPr="00C33BA8">
        <w:rPr>
          <w:rFonts w:ascii="Book Antiqua" w:hAnsi="Book Antiqua"/>
          <w:i/>
          <w:color w:val="000000" w:themeColor="text1"/>
        </w:rPr>
        <w:t>C. jejuni</w:t>
      </w:r>
      <w:r w:rsidRPr="00C33BA8">
        <w:rPr>
          <w:rFonts w:ascii="Book Antiqua" w:hAnsi="Book Antiqua"/>
          <w:color w:val="000000" w:themeColor="text1"/>
        </w:rPr>
        <w:t>)</w:t>
      </w:r>
      <w:r w:rsidRPr="00C33BA8">
        <w:rPr>
          <w:rFonts w:ascii="Book Antiqua" w:hAnsi="Book Antiqua"/>
          <w:i/>
          <w:color w:val="000000" w:themeColor="text1"/>
        </w:rPr>
        <w:t xml:space="preserve"> </w:t>
      </w:r>
      <w:r w:rsidRPr="00C33BA8">
        <w:rPr>
          <w:rFonts w:ascii="Book Antiqua" w:hAnsi="Book Antiqua"/>
          <w:color w:val="000000" w:themeColor="text1"/>
        </w:rPr>
        <w:t>is a Gram-negative spiral-shaped bacteria that belongs to the group of Epsilonproteobacteria, which can inhabit mucosal tissues of the gastrointestinal (GI) tract</w:t>
      </w:r>
      <w:r w:rsidR="00946B9F" w:rsidRPr="00C33BA8">
        <w:rPr>
          <w:rFonts w:ascii="Book Antiqua" w:hAnsi="Book Antiqua"/>
          <w:color w:val="000000" w:themeColor="text1"/>
          <w:vertAlign w:val="superscript"/>
        </w:rPr>
        <w:t>[1]</w:t>
      </w:r>
      <w:r w:rsidRPr="00C33BA8">
        <w:rPr>
          <w:rFonts w:ascii="Book Antiqua" w:hAnsi="Book Antiqua"/>
          <w:color w:val="000000" w:themeColor="text1"/>
        </w:rPr>
        <w:t>.</w:t>
      </w:r>
      <w:r w:rsidR="00946B9F" w:rsidRPr="00C33BA8">
        <w:rPr>
          <w:rFonts w:ascii="Book Antiqua" w:hAnsi="Book Antiqua"/>
          <w:color w:val="000000" w:themeColor="text1"/>
        </w:rPr>
        <w:t xml:space="preserve"> </w:t>
      </w:r>
      <w:r w:rsidRPr="00C33BA8">
        <w:rPr>
          <w:rFonts w:ascii="Book Antiqua" w:hAnsi="Book Antiqua"/>
          <w:i/>
          <w:color w:val="000000" w:themeColor="text1"/>
        </w:rPr>
        <w:t xml:space="preserve">C. jejuni </w:t>
      </w:r>
      <w:r w:rsidRPr="00C33BA8">
        <w:rPr>
          <w:rFonts w:ascii="Book Antiqua" w:hAnsi="Book Antiqua"/>
          <w:color w:val="000000" w:themeColor="text1"/>
        </w:rPr>
        <w:t>currently is the most common bacteria associated with food contamination and bacterial gastroenteritis worldwide. This bacterium is found in environmental niches such as agricultural land and riverine water sources that have been contaminated by the fecal materials of wild birds or agricultural animals. The major sources for disease induction are meat products from farm animals, mainly poultry, pigs and cattle. In many cases these bacteria live quietly within the GI tract of poultry, causing no obvious systems of disease due to their evolutionary relationship with chickens and other birds. Initial colonization of a chicken flock occurs when birds are about 2 w</w:t>
      </w:r>
      <w:r w:rsidR="00946B9F" w:rsidRPr="00C33BA8">
        <w:rPr>
          <w:rFonts w:ascii="Book Antiqua" w:hAnsi="Book Antiqua"/>
          <w:color w:val="000000" w:themeColor="text1"/>
        </w:rPr>
        <w:t>k</w:t>
      </w:r>
      <w:r w:rsidRPr="00C33BA8">
        <w:rPr>
          <w:rFonts w:ascii="Book Antiqua" w:hAnsi="Book Antiqua"/>
          <w:color w:val="000000" w:themeColor="text1"/>
        </w:rPr>
        <w:t xml:space="preserve"> old, later on sp</w:t>
      </w:r>
      <w:r w:rsidR="00946B9F" w:rsidRPr="00C33BA8">
        <w:rPr>
          <w:rFonts w:ascii="Book Antiqua" w:hAnsi="Book Antiqua"/>
          <w:color w:val="000000" w:themeColor="text1"/>
        </w:rPr>
        <w:t>reading throughout the chicken population</w:t>
      </w:r>
      <w:r w:rsidRPr="00C33BA8">
        <w:rPr>
          <w:rFonts w:ascii="Book Antiqua" w:hAnsi="Book Antiqua"/>
          <w:color w:val="000000" w:themeColor="text1"/>
          <w:vertAlign w:val="superscript"/>
        </w:rPr>
        <w:t>[2]</w:t>
      </w:r>
      <w:r w:rsidRPr="00C33BA8">
        <w:rPr>
          <w:rFonts w:ascii="Book Antiqua" w:hAnsi="Book Antiqua"/>
          <w:color w:val="000000" w:themeColor="text1"/>
        </w:rPr>
        <w:t>. This bacterium makes its way into the human gut when an individual consumes insufficiently-cooked contaminated chicken meat or drinks contaminated water. Depending on the genetic makeup of the individual host, the bacteria may then induce diseases</w:t>
      </w:r>
      <w:r w:rsidR="00946B9F" w:rsidRPr="00C33BA8">
        <w:rPr>
          <w:rFonts w:ascii="Book Antiqua" w:hAnsi="Book Antiqua"/>
          <w:color w:val="000000" w:themeColor="text1"/>
        </w:rPr>
        <w:t xml:space="preserve"> both within and beyond the gut</w:t>
      </w:r>
      <w:r w:rsidRPr="00C33BA8">
        <w:rPr>
          <w:rFonts w:ascii="Book Antiqua" w:hAnsi="Book Antiqua"/>
          <w:color w:val="000000" w:themeColor="text1"/>
          <w:vertAlign w:val="superscript"/>
        </w:rPr>
        <w:t>[3]</w:t>
      </w:r>
      <w:r w:rsidRPr="00C33BA8">
        <w:rPr>
          <w:rFonts w:ascii="Book Antiqua" w:hAnsi="Book Antiqua"/>
          <w:color w:val="000000" w:themeColor="text1"/>
        </w:rPr>
        <w:t xml:space="preserve">. In humans, </w:t>
      </w:r>
      <w:r w:rsidRPr="00C33BA8">
        <w:rPr>
          <w:rFonts w:ascii="Book Antiqua" w:hAnsi="Book Antiqua"/>
          <w:i/>
          <w:color w:val="000000" w:themeColor="text1"/>
        </w:rPr>
        <w:t xml:space="preserve">C. jejuni </w:t>
      </w:r>
      <w:r w:rsidRPr="00C33BA8">
        <w:rPr>
          <w:rFonts w:ascii="Book Antiqua" w:hAnsi="Book Antiqua"/>
          <w:color w:val="000000" w:themeColor="text1"/>
        </w:rPr>
        <w:t>has been associated with different GI conditions, including irritable bowel syndrome (IB</w:t>
      </w:r>
      <w:r w:rsidR="00946B9F" w:rsidRPr="00C33BA8">
        <w:rPr>
          <w:rFonts w:ascii="Book Antiqua" w:hAnsi="Book Antiqua"/>
          <w:color w:val="000000" w:themeColor="text1"/>
        </w:rPr>
        <w:t>S), inflammatory bowel disease (</w:t>
      </w:r>
      <w:r w:rsidRPr="00C33BA8">
        <w:rPr>
          <w:rFonts w:ascii="Book Antiqua" w:hAnsi="Book Antiqua"/>
          <w:color w:val="000000" w:themeColor="text1"/>
        </w:rPr>
        <w:t>IBD), Barrett’s esophagus and colorectal cancer.</w:t>
      </w:r>
      <w:r w:rsidRPr="00C33BA8">
        <w:rPr>
          <w:rFonts w:ascii="Book Antiqua" w:hAnsi="Book Antiqua"/>
          <w:color w:val="000000" w:themeColor="text1"/>
          <w:spacing w:val="-10"/>
        </w:rPr>
        <w:t xml:space="preserve"> </w:t>
      </w:r>
      <w:r w:rsidRPr="00C33BA8">
        <w:rPr>
          <w:rFonts w:ascii="Book Antiqua" w:hAnsi="Book Antiqua"/>
          <w:color w:val="000000" w:themeColor="text1"/>
        </w:rPr>
        <w:t>Moreover,</w:t>
      </w:r>
      <w:r w:rsidR="00946B9F" w:rsidRPr="00C33BA8">
        <w:rPr>
          <w:rFonts w:ascii="Book Antiqua" w:hAnsi="Book Antiqua"/>
          <w:color w:val="000000" w:themeColor="text1"/>
        </w:rPr>
        <w:t xml:space="preserve"> </w:t>
      </w:r>
      <w:r w:rsidRPr="00C33BA8">
        <w:rPr>
          <w:rFonts w:ascii="Book Antiqua" w:hAnsi="Book Antiqua"/>
          <w:i/>
          <w:color w:val="000000" w:themeColor="text1"/>
        </w:rPr>
        <w:t xml:space="preserve">C. jejuni </w:t>
      </w:r>
      <w:r w:rsidRPr="00C33BA8">
        <w:rPr>
          <w:rFonts w:ascii="Book Antiqua" w:hAnsi="Book Antiqua"/>
          <w:color w:val="000000" w:themeColor="text1"/>
        </w:rPr>
        <w:t>has also been reported to be involved in extraintestinal manifestations, including bacteremia, reactive arthritis, lung infections, brain abscesses, meningitis, and the autoimmune conditions known as Guillain-Barré and Miller Fisher syndromes in a very small percent</w:t>
      </w:r>
      <w:r w:rsidR="00946B9F" w:rsidRPr="00C33BA8">
        <w:rPr>
          <w:rFonts w:ascii="Book Antiqua" w:hAnsi="Book Antiqua"/>
          <w:color w:val="000000" w:themeColor="text1"/>
        </w:rPr>
        <w:t>age of infected individuals</w:t>
      </w:r>
      <w:r w:rsidR="00946B9F" w:rsidRPr="00C33BA8">
        <w:rPr>
          <w:rFonts w:ascii="Book Antiqua" w:hAnsi="Book Antiqua"/>
          <w:color w:val="000000" w:themeColor="text1"/>
          <w:vertAlign w:val="superscript"/>
        </w:rPr>
        <w:t>[2,</w:t>
      </w:r>
      <w:r w:rsidRPr="00C33BA8">
        <w:rPr>
          <w:rFonts w:ascii="Book Antiqua" w:hAnsi="Book Antiqua"/>
          <w:color w:val="000000" w:themeColor="text1"/>
          <w:vertAlign w:val="superscript"/>
        </w:rPr>
        <w:t>4-7]</w:t>
      </w:r>
      <w:r w:rsidRPr="00C33BA8">
        <w:rPr>
          <w:rFonts w:ascii="Book Antiqua" w:hAnsi="Book Antiqua"/>
          <w:color w:val="000000" w:themeColor="text1"/>
        </w:rPr>
        <w:t>. Guillain-Barré syndrome (GBS) is an acute post-infection autoimmune disease in which the immune system attacks the gangliosides of the peripheral nervous system, resulting in peripheral neuropath</w:t>
      </w:r>
      <w:r w:rsidR="00946B9F" w:rsidRPr="00C33BA8">
        <w:rPr>
          <w:rFonts w:ascii="Book Antiqua" w:hAnsi="Book Antiqua"/>
          <w:color w:val="000000" w:themeColor="text1"/>
        </w:rPr>
        <w:t>y and complete loss of movement</w:t>
      </w:r>
      <w:r w:rsidRPr="00C33BA8">
        <w:rPr>
          <w:rFonts w:ascii="Book Antiqua" w:hAnsi="Book Antiqua"/>
          <w:color w:val="000000" w:themeColor="text1"/>
          <w:vertAlign w:val="superscript"/>
        </w:rPr>
        <w:t>[8]</w:t>
      </w:r>
      <w:r w:rsidRPr="00C33BA8">
        <w:rPr>
          <w:rFonts w:ascii="Book Antiqua" w:hAnsi="Book Antiqua"/>
          <w:color w:val="000000" w:themeColor="text1"/>
        </w:rPr>
        <w:t>.</w:t>
      </w:r>
    </w:p>
    <w:p w14:paraId="3C1CE881" w14:textId="32F2CA72" w:rsidR="00920C46" w:rsidRPr="00C33BA8" w:rsidRDefault="00E815E9" w:rsidP="00C53533">
      <w:pPr>
        <w:pStyle w:val="BodyText"/>
        <w:adjustRightInd w:val="0"/>
        <w:snapToGrid w:val="0"/>
        <w:spacing w:line="360" w:lineRule="auto"/>
        <w:ind w:left="0" w:firstLineChars="100" w:firstLine="240"/>
        <w:jc w:val="both"/>
        <w:rPr>
          <w:rFonts w:ascii="Book Antiqua" w:hAnsi="Book Antiqua"/>
          <w:color w:val="000000" w:themeColor="text1"/>
        </w:rPr>
      </w:pPr>
      <w:r w:rsidRPr="00C33BA8">
        <w:rPr>
          <w:rFonts w:ascii="Book Antiqua" w:hAnsi="Book Antiqua"/>
          <w:color w:val="000000" w:themeColor="text1"/>
        </w:rPr>
        <w:t xml:space="preserve">GBS stems from the mimicry between the </w:t>
      </w:r>
      <w:r w:rsidRPr="00C33BA8">
        <w:rPr>
          <w:rFonts w:ascii="Book Antiqua" w:hAnsi="Book Antiqua"/>
          <w:i/>
          <w:color w:val="000000" w:themeColor="text1"/>
        </w:rPr>
        <w:t xml:space="preserve">C. jejuni </w:t>
      </w:r>
      <w:r w:rsidRPr="00C33BA8">
        <w:rPr>
          <w:rFonts w:ascii="Book Antiqua" w:hAnsi="Book Antiqua"/>
          <w:color w:val="000000" w:themeColor="text1"/>
        </w:rPr>
        <w:t xml:space="preserve">surface structural molecule called lipooligosaccharide and the ganglioside found in the human nervous system. Exposure of the immune system to the </w:t>
      </w:r>
      <w:r w:rsidRPr="00C33BA8">
        <w:rPr>
          <w:rFonts w:ascii="Book Antiqua" w:hAnsi="Book Antiqua"/>
          <w:i/>
          <w:color w:val="000000" w:themeColor="text1"/>
        </w:rPr>
        <w:t xml:space="preserve">C. jejuni </w:t>
      </w:r>
      <w:r w:rsidRPr="00C33BA8">
        <w:rPr>
          <w:rFonts w:ascii="Book Antiqua" w:hAnsi="Book Antiqua"/>
          <w:color w:val="000000" w:themeColor="text1"/>
        </w:rPr>
        <w:t>cellular antigens can induce cross- reactive antibodies that target not only the bacteria but also specific antigens of the nerve cells such as gangl</w:t>
      </w:r>
      <w:r w:rsidR="00946B9F" w:rsidRPr="00C33BA8">
        <w:rPr>
          <w:rFonts w:ascii="Book Antiqua" w:hAnsi="Book Antiqua"/>
          <w:color w:val="000000" w:themeColor="text1"/>
        </w:rPr>
        <w:t>ioside GM1, GM1b, GD1a and GQ1b</w:t>
      </w:r>
      <w:r w:rsidRPr="00C33BA8">
        <w:rPr>
          <w:rFonts w:ascii="Book Antiqua" w:hAnsi="Book Antiqua"/>
          <w:color w:val="000000" w:themeColor="text1"/>
          <w:vertAlign w:val="superscript"/>
        </w:rPr>
        <w:t>[9-11]</w:t>
      </w:r>
      <w:r w:rsidRPr="00C33BA8">
        <w:rPr>
          <w:rFonts w:ascii="Book Antiqua" w:hAnsi="Book Antiqua"/>
          <w:color w:val="000000" w:themeColor="text1"/>
        </w:rPr>
        <w:t>. This continuous</w:t>
      </w:r>
      <w:r w:rsidR="00946B9F" w:rsidRPr="00C33BA8">
        <w:rPr>
          <w:rFonts w:ascii="Book Antiqua" w:hAnsi="Book Antiqua"/>
          <w:color w:val="000000" w:themeColor="text1"/>
        </w:rPr>
        <w:t xml:space="preserve"> </w:t>
      </w:r>
      <w:r w:rsidRPr="00C33BA8">
        <w:rPr>
          <w:rFonts w:ascii="Book Antiqua" w:hAnsi="Book Antiqua"/>
          <w:color w:val="000000" w:themeColor="text1"/>
        </w:rPr>
        <w:t xml:space="preserve">immune attack against gangliosides seems to be responsible for the symptoms of paralysis in a small percentage </w:t>
      </w:r>
      <w:r w:rsidRPr="00C33BA8">
        <w:rPr>
          <w:rFonts w:ascii="Book Antiqua" w:hAnsi="Book Antiqua"/>
          <w:color w:val="000000" w:themeColor="text1"/>
        </w:rPr>
        <w:lastRenderedPageBreak/>
        <w:t>of patients</w:t>
      </w:r>
      <w:r w:rsidR="00946B9F" w:rsidRPr="00C33BA8">
        <w:rPr>
          <w:rFonts w:ascii="Book Antiqua" w:hAnsi="Book Antiqua"/>
          <w:color w:val="000000" w:themeColor="text1"/>
        </w:rPr>
        <w:t xml:space="preserve"> with a specific genetic makeup</w:t>
      </w:r>
      <w:r w:rsidRPr="00C33BA8">
        <w:rPr>
          <w:rFonts w:ascii="Book Antiqua" w:hAnsi="Book Antiqua"/>
          <w:color w:val="000000" w:themeColor="text1"/>
          <w:vertAlign w:val="superscript"/>
        </w:rPr>
        <w:t>[12,13]</w:t>
      </w:r>
      <w:r w:rsidRPr="00C33BA8">
        <w:rPr>
          <w:rFonts w:ascii="Book Antiqua" w:hAnsi="Book Antiqua"/>
          <w:color w:val="000000" w:themeColor="text1"/>
        </w:rPr>
        <w:t>.</w:t>
      </w:r>
    </w:p>
    <w:p w14:paraId="3C1082FE" w14:textId="274D43B1" w:rsidR="00920C46" w:rsidRPr="00C33BA8" w:rsidRDefault="00E815E9" w:rsidP="00C53533">
      <w:pPr>
        <w:pStyle w:val="BodyText"/>
        <w:adjustRightInd w:val="0"/>
        <w:snapToGrid w:val="0"/>
        <w:spacing w:line="360" w:lineRule="auto"/>
        <w:ind w:left="0" w:firstLineChars="100" w:firstLine="240"/>
        <w:jc w:val="both"/>
        <w:rPr>
          <w:rFonts w:ascii="Book Antiqua" w:hAnsi="Book Antiqua"/>
          <w:color w:val="000000" w:themeColor="text1"/>
        </w:rPr>
      </w:pPr>
      <w:r w:rsidRPr="00C33BA8">
        <w:rPr>
          <w:rFonts w:ascii="Book Antiqua" w:hAnsi="Book Antiqua"/>
          <w:color w:val="000000" w:themeColor="text1"/>
        </w:rPr>
        <w:t>Cytolethal distending toxin (Cdt) is another virulence factor produced by C</w:t>
      </w:r>
      <w:r w:rsidRPr="00C33BA8">
        <w:rPr>
          <w:rFonts w:ascii="Book Antiqua" w:hAnsi="Book Antiqua"/>
          <w:i/>
          <w:color w:val="000000" w:themeColor="text1"/>
        </w:rPr>
        <w:t xml:space="preserve">. jejuni </w:t>
      </w:r>
      <w:r w:rsidRPr="00C33BA8">
        <w:rPr>
          <w:rFonts w:ascii="Book Antiqua" w:hAnsi="Book Antiqua"/>
          <w:color w:val="000000" w:themeColor="text1"/>
        </w:rPr>
        <w:t xml:space="preserve">and other enterobacters; secreted </w:t>
      </w:r>
      <w:r w:rsidRPr="00C33BA8">
        <w:rPr>
          <w:rFonts w:ascii="Book Antiqua" w:hAnsi="Book Antiqua"/>
          <w:i/>
          <w:color w:val="000000" w:themeColor="text1"/>
        </w:rPr>
        <w:t>via</w:t>
      </w:r>
      <w:r w:rsidRPr="00C33BA8">
        <w:rPr>
          <w:rFonts w:ascii="Book Antiqua" w:hAnsi="Book Antiqua"/>
          <w:color w:val="000000" w:themeColor="text1"/>
        </w:rPr>
        <w:t xml:space="preserve"> outer membrane vesicles, Cdts have the capacity to disrupt epithelial tight junction proteins (</w:t>
      </w:r>
      <w:r w:rsidRPr="00C33BA8">
        <w:rPr>
          <w:rFonts w:ascii="Book Antiqua" w:hAnsi="Book Antiqua"/>
          <w:i/>
          <w:color w:val="000000" w:themeColor="text1"/>
        </w:rPr>
        <w:t>e.g.</w:t>
      </w:r>
      <w:r w:rsidRPr="00C33BA8">
        <w:rPr>
          <w:rFonts w:ascii="Book Antiqua" w:hAnsi="Book Antiqua"/>
          <w:color w:val="000000" w:themeColor="text1"/>
        </w:rPr>
        <w:t>, occludin, claudin) and induce the epithelial barrier dysfunction observed in patients with IBD and IBS</w:t>
      </w:r>
      <w:r w:rsidRPr="00C33BA8">
        <w:rPr>
          <w:rFonts w:ascii="Book Antiqua" w:hAnsi="Book Antiqua"/>
          <w:color w:val="000000" w:themeColor="text1"/>
          <w:vertAlign w:val="superscript"/>
        </w:rPr>
        <w:t>[1,14-18]</w:t>
      </w:r>
      <w:r w:rsidRPr="00C33BA8">
        <w:rPr>
          <w:rFonts w:ascii="Book Antiqua" w:hAnsi="Book Antiqua"/>
          <w:color w:val="000000" w:themeColor="text1"/>
        </w:rPr>
        <w:t>.</w:t>
      </w:r>
    </w:p>
    <w:p w14:paraId="607E2ADB" w14:textId="5A2AB3B1" w:rsidR="00920C46" w:rsidRPr="00C33BA8" w:rsidRDefault="00E815E9" w:rsidP="00C53533">
      <w:pPr>
        <w:pStyle w:val="BodyText"/>
        <w:adjustRightInd w:val="0"/>
        <w:snapToGrid w:val="0"/>
        <w:spacing w:line="360" w:lineRule="auto"/>
        <w:ind w:left="0" w:firstLineChars="100" w:firstLine="240"/>
        <w:jc w:val="both"/>
        <w:rPr>
          <w:rFonts w:ascii="Book Antiqua" w:hAnsi="Book Antiqua"/>
          <w:color w:val="000000" w:themeColor="text1"/>
        </w:rPr>
      </w:pPr>
      <w:r w:rsidRPr="00C33BA8">
        <w:rPr>
          <w:rFonts w:ascii="Book Antiqua" w:hAnsi="Book Antiqua"/>
          <w:color w:val="000000" w:themeColor="text1"/>
        </w:rPr>
        <w:t xml:space="preserve">Animal models have shown that IBS may be linked to changes in the microbiome and the production of bacterial cytotoxins. Introduction of </w:t>
      </w:r>
      <w:r w:rsidRPr="00C33BA8">
        <w:rPr>
          <w:rFonts w:ascii="Book Antiqua" w:hAnsi="Book Antiqua"/>
          <w:i/>
          <w:color w:val="000000" w:themeColor="text1"/>
        </w:rPr>
        <w:t xml:space="preserve">C. jejuni </w:t>
      </w:r>
      <w:r w:rsidRPr="00C33BA8">
        <w:rPr>
          <w:rFonts w:ascii="Book Antiqua" w:hAnsi="Book Antiqua"/>
          <w:color w:val="000000" w:themeColor="text1"/>
        </w:rPr>
        <w:t>to rats in one study resulted in changes in stool form, small intestine bacterial overgrowth (SIBO), and the increased rectal intra-epithelial lymphocytes ch</w:t>
      </w:r>
      <w:r w:rsidR="00946B9F" w:rsidRPr="00C33BA8">
        <w:rPr>
          <w:rFonts w:ascii="Book Antiqua" w:hAnsi="Book Antiqua"/>
          <w:color w:val="000000" w:themeColor="text1"/>
        </w:rPr>
        <w:t>aracteristic of humans with IBS</w:t>
      </w:r>
      <w:r w:rsidRPr="00C33BA8">
        <w:rPr>
          <w:rFonts w:ascii="Book Antiqua" w:hAnsi="Book Antiqua"/>
          <w:color w:val="000000" w:themeColor="text1"/>
          <w:vertAlign w:val="superscript"/>
        </w:rPr>
        <w:t>[19]</w:t>
      </w:r>
      <w:r w:rsidRPr="00C33BA8">
        <w:rPr>
          <w:rFonts w:ascii="Book Antiqua" w:hAnsi="Book Antiqua"/>
          <w:color w:val="000000" w:themeColor="text1"/>
        </w:rPr>
        <w:t xml:space="preserve">. The effects in this study appeared to be due to changes in gut neuroanatomy, with a notable reduction in interstitial cells of Cajal (ICC). Furthermore, rats infected with a mutant </w:t>
      </w:r>
      <w:r w:rsidRPr="00C33BA8">
        <w:rPr>
          <w:rFonts w:ascii="Book Antiqua" w:hAnsi="Book Antiqua"/>
          <w:i/>
          <w:color w:val="000000" w:themeColor="text1"/>
        </w:rPr>
        <w:t xml:space="preserve">C. jejuni </w:t>
      </w:r>
      <w:r w:rsidRPr="00C33BA8">
        <w:rPr>
          <w:rFonts w:ascii="Book Antiqua" w:hAnsi="Book Antiqua"/>
          <w:color w:val="000000" w:themeColor="text1"/>
        </w:rPr>
        <w:t xml:space="preserve">strain lacking Cdt exhibited significant mitigation in the IBS-like phenotype compared to those infected with wild-type </w:t>
      </w:r>
      <w:r w:rsidRPr="00C33BA8">
        <w:rPr>
          <w:rFonts w:ascii="Book Antiqua" w:hAnsi="Book Antiqua"/>
          <w:i/>
          <w:color w:val="000000" w:themeColor="text1"/>
        </w:rPr>
        <w:t>C. jejuni</w:t>
      </w:r>
      <w:r w:rsidRPr="00C33BA8">
        <w:rPr>
          <w:rFonts w:ascii="Book Antiqua" w:hAnsi="Book Antiqua"/>
          <w:color w:val="000000" w:themeColor="text1"/>
        </w:rPr>
        <w:t>; this suggests that Cdt had an important role in the developm</w:t>
      </w:r>
      <w:r w:rsidR="00946B9F" w:rsidRPr="00C33BA8">
        <w:rPr>
          <w:rFonts w:ascii="Book Antiqua" w:hAnsi="Book Antiqua"/>
          <w:color w:val="000000" w:themeColor="text1"/>
        </w:rPr>
        <w:t>ent of IBS in this animal model</w:t>
      </w:r>
      <w:r w:rsidRPr="00C33BA8">
        <w:rPr>
          <w:rFonts w:ascii="Book Antiqua" w:hAnsi="Book Antiqua"/>
          <w:color w:val="000000" w:themeColor="text1"/>
          <w:vertAlign w:val="superscript"/>
        </w:rPr>
        <w:t>[19-21]</w:t>
      </w:r>
      <w:r w:rsidRPr="00C33BA8">
        <w:rPr>
          <w:rFonts w:ascii="Book Antiqua" w:hAnsi="Book Antiqua"/>
          <w:color w:val="000000" w:themeColor="text1"/>
        </w:rPr>
        <w:t>.</w:t>
      </w:r>
    </w:p>
    <w:p w14:paraId="633EF291" w14:textId="333C77B3" w:rsidR="00920C46" w:rsidRPr="00C33BA8" w:rsidRDefault="00E815E9" w:rsidP="00C53533">
      <w:pPr>
        <w:pStyle w:val="BodyText"/>
        <w:adjustRightInd w:val="0"/>
        <w:snapToGrid w:val="0"/>
        <w:spacing w:line="360" w:lineRule="auto"/>
        <w:ind w:left="0" w:firstLineChars="100" w:firstLine="240"/>
        <w:jc w:val="both"/>
        <w:rPr>
          <w:rFonts w:ascii="Book Antiqua" w:hAnsi="Book Antiqua"/>
          <w:color w:val="000000" w:themeColor="text1"/>
        </w:rPr>
      </w:pPr>
      <w:r w:rsidRPr="00C33BA8">
        <w:rPr>
          <w:rFonts w:ascii="Book Antiqua" w:hAnsi="Book Antiqua"/>
          <w:color w:val="000000" w:themeColor="text1"/>
        </w:rPr>
        <w:t>Moreover, rabbit anti-bacterial cytotoxin antibody has been found to exhibit affinity to enteric ganglia and ICC through molecular mimicry and the production of cross-reactive antibodies.</w:t>
      </w:r>
    </w:p>
    <w:p w14:paraId="00EC8ACF" w14:textId="31C8E52C" w:rsidR="00920C46" w:rsidRPr="00C33BA8" w:rsidRDefault="00E815E9" w:rsidP="00C53533">
      <w:pPr>
        <w:pStyle w:val="BodyText"/>
        <w:adjustRightInd w:val="0"/>
        <w:snapToGrid w:val="0"/>
        <w:spacing w:line="360" w:lineRule="auto"/>
        <w:ind w:left="0" w:firstLineChars="100" w:firstLine="240"/>
        <w:jc w:val="both"/>
        <w:rPr>
          <w:rFonts w:ascii="Book Antiqua" w:hAnsi="Book Antiqua"/>
          <w:color w:val="000000" w:themeColor="text1"/>
        </w:rPr>
      </w:pPr>
      <w:r w:rsidRPr="00C33BA8">
        <w:rPr>
          <w:rFonts w:ascii="Book Antiqua" w:hAnsi="Book Antiqua"/>
          <w:color w:val="000000" w:themeColor="text1"/>
        </w:rPr>
        <w:t>Based on the affinity of bacterial cytotoxin antibodies to ICC and ganglia, it has been concluded that these cross-reactive antibodies play a role in the pathophysiology of IBS by affecting gut motor function, leading to SIBO</w:t>
      </w:r>
      <w:r w:rsidR="00946B9F" w:rsidRPr="00C33BA8">
        <w:rPr>
          <w:rFonts w:ascii="Book Antiqua" w:hAnsi="Book Antiqua"/>
          <w:color w:val="000000" w:themeColor="text1"/>
          <w:vertAlign w:val="superscript"/>
        </w:rPr>
        <w:t>[22,</w:t>
      </w:r>
      <w:r w:rsidRPr="00C33BA8">
        <w:rPr>
          <w:rFonts w:ascii="Book Antiqua" w:hAnsi="Book Antiqua"/>
          <w:color w:val="000000" w:themeColor="text1"/>
          <w:vertAlign w:val="superscript"/>
        </w:rPr>
        <w:t>23]</w:t>
      </w:r>
      <w:r w:rsidRPr="00C33BA8">
        <w:rPr>
          <w:rFonts w:ascii="Book Antiqua" w:hAnsi="Book Antiqua"/>
          <w:color w:val="000000" w:themeColor="text1"/>
        </w:rPr>
        <w:t>.</w:t>
      </w:r>
    </w:p>
    <w:p w14:paraId="0A9FDAD6" w14:textId="030C85FB" w:rsidR="002D5E37" w:rsidRPr="00C33BA8" w:rsidRDefault="00E815E9" w:rsidP="00C53533">
      <w:pPr>
        <w:pStyle w:val="BodyText"/>
        <w:adjustRightInd w:val="0"/>
        <w:snapToGrid w:val="0"/>
        <w:spacing w:line="360" w:lineRule="auto"/>
        <w:ind w:left="0" w:firstLineChars="100" w:firstLine="240"/>
        <w:jc w:val="both"/>
        <w:rPr>
          <w:rFonts w:ascii="Book Antiqua" w:hAnsi="Book Antiqua"/>
          <w:color w:val="000000" w:themeColor="text1"/>
        </w:rPr>
      </w:pPr>
      <w:r w:rsidRPr="00C33BA8">
        <w:rPr>
          <w:rFonts w:ascii="Book Antiqua" w:hAnsi="Book Antiqua"/>
          <w:color w:val="000000" w:themeColor="text1"/>
        </w:rPr>
        <w:t>Bacteria use these cytotoxins or enterotoxins to penetrate the gut epithelial cells and change the dynamic of cytoskeletal proteins (vinculin, talin, actinin and others).</w:t>
      </w:r>
    </w:p>
    <w:p w14:paraId="3B91E917" w14:textId="127C9C1E" w:rsidR="00920C46" w:rsidRPr="00C33BA8" w:rsidRDefault="00E815E9" w:rsidP="00C53533">
      <w:pPr>
        <w:pStyle w:val="BodyText"/>
        <w:adjustRightInd w:val="0"/>
        <w:snapToGrid w:val="0"/>
        <w:spacing w:line="360" w:lineRule="auto"/>
        <w:ind w:left="0" w:firstLineChars="100" w:firstLine="240"/>
        <w:jc w:val="both"/>
        <w:rPr>
          <w:rFonts w:ascii="Book Antiqua" w:hAnsi="Book Antiqua"/>
          <w:color w:val="000000" w:themeColor="text1"/>
        </w:rPr>
      </w:pPr>
      <w:r w:rsidRPr="00C33BA8">
        <w:rPr>
          <w:rFonts w:ascii="Book Antiqua" w:hAnsi="Book Antiqua"/>
          <w:color w:val="000000" w:themeColor="text1"/>
        </w:rPr>
        <w:t>Through elegant experiments, it was determined that enterotoxins utilize a mechanism of cross-reactivity with host proteins such as vinculin and talin, allowing them to bind to the vinculin and talin, causing the loss of cytoskeletal proteins in the intest</w:t>
      </w:r>
      <w:r w:rsidR="00946B9F" w:rsidRPr="00C33BA8">
        <w:rPr>
          <w:rFonts w:ascii="Book Antiqua" w:hAnsi="Book Antiqua"/>
          <w:color w:val="000000" w:themeColor="text1"/>
        </w:rPr>
        <w:t>inal wall</w:t>
      </w:r>
      <w:r w:rsidRPr="00C33BA8">
        <w:rPr>
          <w:rFonts w:ascii="Book Antiqua" w:hAnsi="Book Antiqua"/>
          <w:color w:val="000000" w:themeColor="text1"/>
          <w:vertAlign w:val="superscript"/>
        </w:rPr>
        <w:t>[22-24]</w:t>
      </w:r>
      <w:r w:rsidRPr="00C33BA8">
        <w:rPr>
          <w:rFonts w:ascii="Book Antiqua" w:hAnsi="Book Antiqua"/>
          <w:color w:val="000000" w:themeColor="text1"/>
        </w:rPr>
        <w:t>. Additionally, levels of these circulating antibodies to bacterial cytotoxins and cytoskeletal proteins correlated with the development and levels of SIBO in these animals</w:t>
      </w:r>
      <w:r w:rsidRPr="00C33BA8">
        <w:rPr>
          <w:rFonts w:ascii="Book Antiqua" w:hAnsi="Book Antiqua"/>
          <w:color w:val="000000" w:themeColor="text1"/>
          <w:vertAlign w:val="superscript"/>
        </w:rPr>
        <w:t>[23]</w:t>
      </w:r>
      <w:r w:rsidRPr="00C33BA8">
        <w:rPr>
          <w:rFonts w:ascii="Book Antiqua" w:hAnsi="Book Antiqua"/>
          <w:color w:val="000000" w:themeColor="text1"/>
        </w:rPr>
        <w:t>. These circulating antibodies against bacterial cytotoxins an</w:t>
      </w:r>
      <w:r w:rsidR="00946B9F" w:rsidRPr="00C33BA8">
        <w:rPr>
          <w:rFonts w:ascii="Book Antiqua" w:hAnsi="Book Antiqua"/>
          <w:color w:val="000000" w:themeColor="text1"/>
        </w:rPr>
        <w:t>d their cross-</w:t>
      </w:r>
      <w:r w:rsidRPr="00C33BA8">
        <w:rPr>
          <w:rFonts w:ascii="Book Antiqua" w:hAnsi="Book Antiqua"/>
          <w:color w:val="000000" w:themeColor="text1"/>
        </w:rPr>
        <w:t>reaction with cytoskeletal proteins are linked to autoimmunity against cytoskeletal</w:t>
      </w:r>
      <w:r w:rsidR="00946B9F" w:rsidRPr="00C33BA8">
        <w:rPr>
          <w:rFonts w:ascii="Book Antiqua" w:hAnsi="Book Antiqua"/>
          <w:color w:val="000000" w:themeColor="text1"/>
        </w:rPr>
        <w:t xml:space="preserve"> </w:t>
      </w:r>
      <w:r w:rsidRPr="00C33BA8">
        <w:rPr>
          <w:rFonts w:ascii="Book Antiqua" w:hAnsi="Book Antiqua"/>
          <w:color w:val="000000" w:themeColor="text1"/>
        </w:rPr>
        <w:t>proteins and reduction in their functionality. In addition to the animal model of bacterial cytotoxin-</w:t>
      </w:r>
      <w:r w:rsidRPr="00C33BA8">
        <w:rPr>
          <w:rFonts w:ascii="Book Antiqua" w:hAnsi="Book Antiqua"/>
          <w:color w:val="000000" w:themeColor="text1"/>
        </w:rPr>
        <w:lastRenderedPageBreak/>
        <w:t>induced autoimmunity, these measurements were performed on humans with diarrhea-predominant IBS (D-IBS), Crohn’s disease, ulcerative colitis, celiac disease and controls. It was shown that anti-bacterial cytotoxins and anti-vinculin antibodies were significantly higher (</w:t>
      </w:r>
      <w:r w:rsidR="002D5E37" w:rsidRPr="00C33BA8">
        <w:rPr>
          <w:rFonts w:ascii="Book Antiqua" w:hAnsi="Book Antiqua"/>
          <w:i/>
          <w:color w:val="000000" w:themeColor="text1"/>
        </w:rPr>
        <w:t>P</w:t>
      </w:r>
      <w:r w:rsidR="002D5E37" w:rsidRPr="00C33BA8">
        <w:rPr>
          <w:rFonts w:ascii="Book Antiqua" w:hAnsi="Book Antiqua"/>
          <w:color w:val="000000" w:themeColor="text1"/>
        </w:rPr>
        <w:t xml:space="preserve"> </w:t>
      </w:r>
      <w:r w:rsidRPr="00C33BA8">
        <w:rPr>
          <w:rFonts w:ascii="Book Antiqua" w:hAnsi="Book Antiqua"/>
          <w:color w:val="000000" w:themeColor="text1"/>
        </w:rPr>
        <w:t>&lt;</w:t>
      </w:r>
      <w:r w:rsidR="002D5E37" w:rsidRPr="00C33BA8">
        <w:rPr>
          <w:rFonts w:ascii="Book Antiqua" w:hAnsi="Book Antiqua"/>
          <w:color w:val="000000" w:themeColor="text1"/>
        </w:rPr>
        <w:t xml:space="preserve"> </w:t>
      </w:r>
      <w:r w:rsidRPr="00C33BA8">
        <w:rPr>
          <w:rFonts w:ascii="Book Antiqua" w:hAnsi="Book Antiqua"/>
          <w:color w:val="000000" w:themeColor="text1"/>
        </w:rPr>
        <w:t>0.001) in D-IBS individuals compared to celiac di</w:t>
      </w:r>
      <w:r w:rsidR="002D5E37" w:rsidRPr="00C33BA8">
        <w:rPr>
          <w:rFonts w:ascii="Book Antiqua" w:hAnsi="Book Antiqua"/>
          <w:color w:val="000000" w:themeColor="text1"/>
        </w:rPr>
        <w:t>sease, IBD and healthy subjects</w:t>
      </w:r>
      <w:r w:rsidRPr="00C33BA8">
        <w:rPr>
          <w:rFonts w:ascii="Book Antiqua" w:hAnsi="Book Antiqua"/>
          <w:color w:val="000000" w:themeColor="text1"/>
          <w:vertAlign w:val="superscript"/>
        </w:rPr>
        <w:t>[25]</w:t>
      </w:r>
      <w:r w:rsidRPr="00C33BA8">
        <w:rPr>
          <w:rFonts w:ascii="Book Antiqua" w:hAnsi="Book Antiqua"/>
          <w:color w:val="000000" w:themeColor="text1"/>
        </w:rPr>
        <w:t>. The detection of these antibodies in blood with a sensitivity of 92% as shown in this study suggests that IBS may have an organic basis.</w:t>
      </w:r>
    </w:p>
    <w:p w14:paraId="67A7F025" w14:textId="3323919E" w:rsidR="00920C46" w:rsidRPr="00C33BA8" w:rsidRDefault="00E815E9" w:rsidP="002F05A8">
      <w:pPr>
        <w:pStyle w:val="BodyText"/>
        <w:adjustRightInd w:val="0"/>
        <w:snapToGrid w:val="0"/>
        <w:spacing w:line="360" w:lineRule="auto"/>
        <w:ind w:left="0" w:firstLineChars="100" w:firstLine="240"/>
        <w:jc w:val="both"/>
        <w:rPr>
          <w:rFonts w:ascii="Book Antiqua" w:hAnsi="Book Antiqua"/>
          <w:color w:val="000000" w:themeColor="text1"/>
        </w:rPr>
      </w:pPr>
      <w:r w:rsidRPr="00C33BA8">
        <w:rPr>
          <w:rFonts w:ascii="Book Antiqua" w:hAnsi="Book Antiqua"/>
          <w:color w:val="000000" w:themeColor="text1"/>
        </w:rPr>
        <w:t>The three-dimensional structure of Cdt is highly compatible with the structure of the deoxyribonuclease I (DNase I) from d</w:t>
      </w:r>
      <w:r w:rsidR="002D5E37" w:rsidRPr="00C33BA8">
        <w:rPr>
          <w:rFonts w:ascii="Book Antiqua" w:hAnsi="Book Antiqua"/>
          <w:color w:val="000000" w:themeColor="text1"/>
        </w:rPr>
        <w:t>ifferent mammalian species</w:t>
      </w:r>
      <w:r w:rsidR="002D5E37" w:rsidRPr="00C33BA8">
        <w:rPr>
          <w:rFonts w:ascii="Book Antiqua" w:hAnsi="Book Antiqua"/>
          <w:color w:val="000000" w:themeColor="text1"/>
          <w:vertAlign w:val="superscript"/>
        </w:rPr>
        <w:t>[26,</w:t>
      </w:r>
      <w:r w:rsidRPr="00C33BA8">
        <w:rPr>
          <w:rFonts w:ascii="Book Antiqua" w:hAnsi="Book Antiqua"/>
          <w:color w:val="000000" w:themeColor="text1"/>
          <w:vertAlign w:val="superscript"/>
        </w:rPr>
        <w:t>27]</w:t>
      </w:r>
      <w:r w:rsidRPr="00C33BA8">
        <w:rPr>
          <w:rFonts w:ascii="Book Antiqua" w:hAnsi="Book Antiqua"/>
          <w:color w:val="000000" w:themeColor="text1"/>
        </w:rPr>
        <w:t>.</w:t>
      </w:r>
    </w:p>
    <w:p w14:paraId="30B49EA6" w14:textId="3E95D57A" w:rsidR="00920C46" w:rsidRPr="00C33BA8" w:rsidRDefault="002D5E37" w:rsidP="00686B93">
      <w:pPr>
        <w:pStyle w:val="BodyText"/>
        <w:adjustRightInd w:val="0"/>
        <w:snapToGrid w:val="0"/>
        <w:spacing w:line="360" w:lineRule="auto"/>
        <w:ind w:left="0"/>
        <w:jc w:val="both"/>
        <w:rPr>
          <w:rFonts w:ascii="Book Antiqua" w:hAnsi="Book Antiqua"/>
          <w:color w:val="000000" w:themeColor="text1"/>
        </w:rPr>
      </w:pPr>
      <w:r w:rsidRPr="00C33BA8">
        <w:rPr>
          <w:rFonts w:ascii="Book Antiqua" w:hAnsi="Book Antiqua"/>
          <w:color w:val="000000" w:themeColor="text1"/>
        </w:rPr>
        <w:t xml:space="preserve">  </w:t>
      </w:r>
      <w:r w:rsidR="00E815E9" w:rsidRPr="00C33BA8">
        <w:rPr>
          <w:rFonts w:ascii="Book Antiqua" w:hAnsi="Book Antiqua"/>
          <w:color w:val="000000" w:themeColor="text1"/>
        </w:rPr>
        <w:t xml:space="preserve">Furthermore, there is a significant amino acid similarity between Cdt and DNAse I. Due to this DNAse I reactivity, exposure to Cdt would </w:t>
      </w:r>
      <w:r w:rsidRPr="00C33BA8">
        <w:rPr>
          <w:rFonts w:ascii="Book Antiqua" w:hAnsi="Book Antiqua"/>
          <w:color w:val="000000" w:themeColor="text1"/>
        </w:rPr>
        <w:t xml:space="preserve">produce epithelial cell damage </w:t>
      </w:r>
      <w:r w:rsidR="00E815E9" w:rsidRPr="00C33BA8">
        <w:rPr>
          <w:rFonts w:ascii="Book Antiqua" w:hAnsi="Book Antiqua"/>
          <w:color w:val="000000" w:themeColor="text1"/>
        </w:rPr>
        <w:t>altering the functional capacity of the tissues and facilitating bacterial invasion into the underlying tissue, resulting in severe diarrhea and the loss of absorbed nutrients. When the epithelium is damaged, bacteria collectively gain entry into the underlying connective tissue where microbial products can affect processes and pathways in infiltrating inflammatory cells, culminating in the destruction of the epithelial barrier</w:t>
      </w:r>
      <w:r w:rsidRPr="00C33BA8">
        <w:rPr>
          <w:rFonts w:ascii="Book Antiqua" w:hAnsi="Book Antiqua"/>
          <w:color w:val="000000" w:themeColor="text1"/>
        </w:rPr>
        <w:t xml:space="preserve"> and the underlying tissue</w:t>
      </w:r>
      <w:r w:rsidRPr="00C33BA8">
        <w:rPr>
          <w:rFonts w:ascii="Book Antiqua" w:hAnsi="Book Antiqua"/>
          <w:color w:val="000000" w:themeColor="text1"/>
          <w:vertAlign w:val="superscript"/>
        </w:rPr>
        <w:t>[28,</w:t>
      </w:r>
      <w:r w:rsidR="00E815E9" w:rsidRPr="00C33BA8">
        <w:rPr>
          <w:rFonts w:ascii="Book Antiqua" w:hAnsi="Book Antiqua"/>
          <w:color w:val="000000" w:themeColor="text1"/>
          <w:vertAlign w:val="superscript"/>
        </w:rPr>
        <w:t>29]</w:t>
      </w:r>
      <w:r w:rsidR="00E815E9" w:rsidRPr="00C33BA8">
        <w:rPr>
          <w:rFonts w:ascii="Book Antiqua" w:hAnsi="Book Antiqua"/>
          <w:color w:val="000000" w:themeColor="text1"/>
        </w:rPr>
        <w:t xml:space="preserve">. This results in increased intestinal permeability to large macromolecules, including food antigens that </w:t>
      </w:r>
      <w:r w:rsidRPr="00C33BA8">
        <w:rPr>
          <w:rFonts w:ascii="Book Antiqua" w:hAnsi="Book Antiqua"/>
          <w:color w:val="000000" w:themeColor="text1"/>
        </w:rPr>
        <w:t>escape enzymatic digestion</w:t>
      </w:r>
      <w:r w:rsidRPr="00C33BA8">
        <w:rPr>
          <w:rFonts w:ascii="Book Antiqua" w:hAnsi="Book Antiqua"/>
          <w:color w:val="000000" w:themeColor="text1"/>
          <w:vertAlign w:val="superscript"/>
        </w:rPr>
        <w:t>[30,</w:t>
      </w:r>
      <w:r w:rsidR="00E815E9" w:rsidRPr="00C33BA8">
        <w:rPr>
          <w:rFonts w:ascii="Book Antiqua" w:hAnsi="Book Antiqua"/>
          <w:color w:val="000000" w:themeColor="text1"/>
          <w:vertAlign w:val="superscript"/>
        </w:rPr>
        <w:t>31]</w:t>
      </w:r>
      <w:r w:rsidR="00E815E9" w:rsidRPr="00C33BA8">
        <w:rPr>
          <w:rFonts w:ascii="Book Antiqua" w:hAnsi="Book Antiqua"/>
          <w:color w:val="000000" w:themeColor="text1"/>
        </w:rPr>
        <w:t>.</w:t>
      </w:r>
    </w:p>
    <w:p w14:paraId="1C370CAA" w14:textId="76961E0E" w:rsidR="00920C46" w:rsidRPr="00C33BA8" w:rsidRDefault="00E815E9" w:rsidP="002F05A8">
      <w:pPr>
        <w:pStyle w:val="BodyText"/>
        <w:adjustRightInd w:val="0"/>
        <w:snapToGrid w:val="0"/>
        <w:spacing w:line="360" w:lineRule="auto"/>
        <w:ind w:left="0" w:firstLineChars="100" w:firstLine="240"/>
        <w:jc w:val="both"/>
        <w:rPr>
          <w:rFonts w:ascii="Book Antiqua" w:hAnsi="Book Antiqua"/>
          <w:color w:val="000000" w:themeColor="text1"/>
        </w:rPr>
      </w:pPr>
      <w:r w:rsidRPr="00C33BA8">
        <w:rPr>
          <w:rFonts w:ascii="Book Antiqua" w:hAnsi="Book Antiqua"/>
          <w:color w:val="000000" w:themeColor="text1"/>
        </w:rPr>
        <w:t>The integrity and functionality of barrier proteins of epithelial layers are regulated by intercellular adherent junctions such as actinin, talin and vinculin, which are generally called cytoskeletal proteins. It is generally believed that Cdts and other inflammatory stimuli increase transepithelial permeability to large molecules by inducing junctional disassembly, and reorganizati</w:t>
      </w:r>
      <w:r w:rsidR="002D5E37" w:rsidRPr="00C33BA8">
        <w:rPr>
          <w:rFonts w:ascii="Book Antiqua" w:hAnsi="Book Antiqua"/>
          <w:color w:val="000000" w:themeColor="text1"/>
        </w:rPr>
        <w:t>on of F-actin cytoskeleton</w:t>
      </w:r>
      <w:r w:rsidR="002D5E37" w:rsidRPr="00C33BA8">
        <w:rPr>
          <w:rFonts w:ascii="Book Antiqua" w:hAnsi="Book Antiqua"/>
          <w:color w:val="000000" w:themeColor="text1"/>
          <w:vertAlign w:val="superscript"/>
        </w:rPr>
        <w:t>[32,</w:t>
      </w:r>
      <w:r w:rsidRPr="00C33BA8">
        <w:rPr>
          <w:rFonts w:ascii="Book Antiqua" w:hAnsi="Book Antiqua"/>
          <w:color w:val="000000" w:themeColor="text1"/>
          <w:vertAlign w:val="superscript"/>
        </w:rPr>
        <w:t>33]</w:t>
      </w:r>
      <w:r w:rsidRPr="00C33BA8">
        <w:rPr>
          <w:rFonts w:ascii="Book Antiqua" w:hAnsi="Book Antiqua"/>
          <w:color w:val="000000" w:themeColor="text1"/>
        </w:rPr>
        <w:t>.</w:t>
      </w:r>
    </w:p>
    <w:p w14:paraId="555B4F9A" w14:textId="780C001C" w:rsidR="00920C46" w:rsidRPr="00C33BA8" w:rsidRDefault="00E815E9" w:rsidP="002F05A8">
      <w:pPr>
        <w:pStyle w:val="BodyText"/>
        <w:adjustRightInd w:val="0"/>
        <w:snapToGrid w:val="0"/>
        <w:spacing w:line="360" w:lineRule="auto"/>
        <w:ind w:left="0" w:firstLineChars="100" w:firstLine="240"/>
        <w:jc w:val="both"/>
        <w:rPr>
          <w:rFonts w:ascii="Book Antiqua" w:hAnsi="Book Antiqua"/>
          <w:color w:val="000000" w:themeColor="text1"/>
        </w:rPr>
      </w:pPr>
      <w:r w:rsidRPr="00C33BA8">
        <w:rPr>
          <w:rFonts w:ascii="Book Antiqua" w:hAnsi="Book Antiqua"/>
          <w:color w:val="000000" w:themeColor="text1"/>
        </w:rPr>
        <w:t>Due to its unique structure, vinculin not only binds to talin and α-actinin, but also, due to molecular mimicry, to a bacterial cytotoxin called invasin protein, which bacteria use to bind to the N-terminal domain of vinculin in order to invade the epithelial cells. This is the best example of how a bacterial toxin subverts vinculin’s functions, causing F-actin depolymerization through a remarkable level of molecular mimicry of talin-vinculin interaction to activate vinculin. Therefore, mimicry of</w:t>
      </w:r>
      <w:r w:rsidR="002D5E37" w:rsidRPr="00C33BA8">
        <w:rPr>
          <w:rFonts w:ascii="Book Antiqua" w:hAnsi="Book Antiqua"/>
          <w:color w:val="000000" w:themeColor="text1"/>
        </w:rPr>
        <w:t xml:space="preserve"> </w:t>
      </w:r>
      <w:r w:rsidRPr="00C33BA8">
        <w:rPr>
          <w:rFonts w:ascii="Book Antiqua" w:hAnsi="Book Antiqua"/>
          <w:color w:val="000000" w:themeColor="text1"/>
        </w:rPr>
        <w:t>vinculin and talin by bacterial toxin could be a general mechanism for bacterial i</w:t>
      </w:r>
      <w:r w:rsidR="002D5E37" w:rsidRPr="00C33BA8">
        <w:rPr>
          <w:rFonts w:ascii="Book Antiqua" w:hAnsi="Book Antiqua"/>
          <w:color w:val="000000" w:themeColor="text1"/>
        </w:rPr>
        <w:t>nvasion of the host cells</w:t>
      </w:r>
      <w:r w:rsidRPr="00C33BA8">
        <w:rPr>
          <w:rFonts w:ascii="Book Antiqua" w:hAnsi="Book Antiqua"/>
          <w:color w:val="000000" w:themeColor="text1"/>
          <w:vertAlign w:val="superscript"/>
        </w:rPr>
        <w:t>[34-36]</w:t>
      </w:r>
      <w:r w:rsidRPr="00C33BA8">
        <w:rPr>
          <w:rFonts w:ascii="Book Antiqua" w:hAnsi="Book Antiqua"/>
          <w:color w:val="000000" w:themeColor="text1"/>
        </w:rPr>
        <w:t>.</w:t>
      </w:r>
    </w:p>
    <w:p w14:paraId="2B09B3F8" w14:textId="7F6D2A21" w:rsidR="00920C46" w:rsidRPr="00C33BA8" w:rsidRDefault="00E815E9" w:rsidP="002F05A8">
      <w:pPr>
        <w:pStyle w:val="BodyText"/>
        <w:adjustRightInd w:val="0"/>
        <w:snapToGrid w:val="0"/>
        <w:spacing w:line="360" w:lineRule="auto"/>
        <w:ind w:left="0" w:firstLineChars="100" w:firstLine="240"/>
        <w:jc w:val="both"/>
        <w:rPr>
          <w:rFonts w:ascii="Book Antiqua" w:hAnsi="Book Antiqua"/>
          <w:color w:val="000000" w:themeColor="text1"/>
        </w:rPr>
      </w:pPr>
      <w:r w:rsidRPr="00C33BA8">
        <w:rPr>
          <w:rFonts w:ascii="Book Antiqua" w:hAnsi="Book Antiqua"/>
          <w:color w:val="000000" w:themeColor="text1"/>
        </w:rPr>
        <w:t xml:space="preserve">This mucosal inflammation commonly leads to epithelial barrier compromise and </w:t>
      </w:r>
      <w:r w:rsidRPr="00C33BA8">
        <w:rPr>
          <w:rFonts w:ascii="Book Antiqua" w:hAnsi="Book Antiqua"/>
          <w:color w:val="000000" w:themeColor="text1"/>
        </w:rPr>
        <w:lastRenderedPageBreak/>
        <w:t>increases in body exposure to the external environmental triggers, thereby further aggravating the consequences of enhanced gut permeability. Thus, understanding the mechanisms involved in the disruption of tight junctions and the reorganization of adherens junction proteins such as vinculin, talin and α-actinin is important in developing strategies to remove the triggers and repair the barriers which play such an import</w:t>
      </w:r>
      <w:r w:rsidR="002D5E37" w:rsidRPr="00C33BA8">
        <w:rPr>
          <w:rFonts w:ascii="Book Antiqua" w:hAnsi="Book Antiqua"/>
          <w:color w:val="000000" w:themeColor="text1"/>
        </w:rPr>
        <w:t>ant role in health and diseases</w:t>
      </w:r>
      <w:r w:rsidRPr="00C33BA8">
        <w:rPr>
          <w:rFonts w:ascii="Book Antiqua" w:hAnsi="Book Antiqua"/>
          <w:color w:val="000000" w:themeColor="text1"/>
          <w:vertAlign w:val="superscript"/>
        </w:rPr>
        <w:t>[37-39]</w:t>
      </w:r>
      <w:r w:rsidRPr="00C33BA8">
        <w:rPr>
          <w:rFonts w:ascii="Book Antiqua" w:hAnsi="Book Antiqua"/>
          <w:color w:val="000000" w:themeColor="text1"/>
        </w:rPr>
        <w:t>.</w:t>
      </w:r>
    </w:p>
    <w:p w14:paraId="2E49EF96" w14:textId="19F62CDA" w:rsidR="00920C46" w:rsidRPr="00C33BA8" w:rsidRDefault="00E815E9" w:rsidP="002F05A8">
      <w:pPr>
        <w:pStyle w:val="BodyText"/>
        <w:adjustRightInd w:val="0"/>
        <w:snapToGrid w:val="0"/>
        <w:spacing w:line="360" w:lineRule="auto"/>
        <w:ind w:left="0" w:firstLineChars="100" w:firstLine="240"/>
        <w:jc w:val="both"/>
        <w:rPr>
          <w:rFonts w:ascii="Book Antiqua" w:hAnsi="Book Antiqua"/>
          <w:color w:val="000000" w:themeColor="text1"/>
        </w:rPr>
      </w:pPr>
      <w:r w:rsidRPr="00C33BA8">
        <w:rPr>
          <w:rFonts w:ascii="Book Antiqua" w:hAnsi="Book Antiqua"/>
          <w:color w:val="000000" w:themeColor="text1"/>
        </w:rPr>
        <w:t xml:space="preserve">It has been demonstrated that </w:t>
      </w:r>
      <w:r w:rsidRPr="00C33BA8">
        <w:rPr>
          <w:rFonts w:ascii="Book Antiqua" w:hAnsi="Book Antiqua"/>
          <w:i/>
          <w:color w:val="000000" w:themeColor="text1"/>
        </w:rPr>
        <w:t xml:space="preserve">C. jejuni </w:t>
      </w:r>
      <w:r w:rsidRPr="00C33BA8">
        <w:rPr>
          <w:rFonts w:ascii="Book Antiqua" w:hAnsi="Book Antiqua"/>
          <w:color w:val="000000" w:themeColor="text1"/>
        </w:rPr>
        <w:t xml:space="preserve">cross-reacts with basal ganglia, and its bacterial cytotoxins cross-react with DNase, talin and vinculin, and that through its binding to these structural proteins it can breach the epithelial cell barrier. Therefore, the goal of this study was to examine possible cross-reactivity between </w:t>
      </w:r>
      <w:r w:rsidRPr="00C33BA8">
        <w:rPr>
          <w:rFonts w:ascii="Book Antiqua" w:hAnsi="Book Antiqua"/>
          <w:i/>
          <w:color w:val="000000" w:themeColor="text1"/>
        </w:rPr>
        <w:t xml:space="preserve">C. jejuni </w:t>
      </w:r>
      <w:r w:rsidRPr="00C33BA8">
        <w:rPr>
          <w:rFonts w:ascii="Book Antiqua" w:hAnsi="Book Antiqua"/>
          <w:color w:val="000000" w:themeColor="text1"/>
        </w:rPr>
        <w:t>and its toxins with other tissue antigens as well as food proteins to which the human body is exposed on a daily basis.</w:t>
      </w:r>
    </w:p>
    <w:p w14:paraId="657913B3" w14:textId="77777777" w:rsidR="00920C46" w:rsidRPr="00C33BA8" w:rsidRDefault="00920C46" w:rsidP="00686B93">
      <w:pPr>
        <w:pStyle w:val="BodyText"/>
        <w:adjustRightInd w:val="0"/>
        <w:snapToGrid w:val="0"/>
        <w:spacing w:line="360" w:lineRule="auto"/>
        <w:ind w:left="0"/>
        <w:jc w:val="both"/>
        <w:rPr>
          <w:rFonts w:ascii="Book Antiqua" w:hAnsi="Book Antiqua"/>
          <w:color w:val="000000" w:themeColor="text1"/>
        </w:rPr>
      </w:pPr>
    </w:p>
    <w:p w14:paraId="70F59B6E" w14:textId="77777777" w:rsidR="00920C46" w:rsidRPr="00C33BA8" w:rsidRDefault="00E815E9" w:rsidP="00686B93">
      <w:pPr>
        <w:pStyle w:val="Heading1"/>
        <w:adjustRightInd w:val="0"/>
        <w:snapToGrid w:val="0"/>
        <w:spacing w:line="360" w:lineRule="auto"/>
        <w:ind w:left="0"/>
        <w:jc w:val="both"/>
        <w:rPr>
          <w:rFonts w:ascii="Book Antiqua" w:hAnsi="Book Antiqua"/>
          <w:color w:val="000000" w:themeColor="text1"/>
        </w:rPr>
      </w:pPr>
      <w:r w:rsidRPr="00C33BA8">
        <w:rPr>
          <w:rFonts w:ascii="Book Antiqua" w:hAnsi="Book Antiqua"/>
          <w:color w:val="000000" w:themeColor="text1"/>
          <w:w w:val="105"/>
        </w:rPr>
        <w:t>MATERIALS AND METHODS</w:t>
      </w:r>
    </w:p>
    <w:p w14:paraId="1958D043" w14:textId="0A21F517" w:rsidR="00920C46" w:rsidRPr="00C33BA8" w:rsidRDefault="002D5E37" w:rsidP="00686B93">
      <w:pPr>
        <w:adjustRightInd w:val="0"/>
        <w:snapToGrid w:val="0"/>
        <w:spacing w:line="360" w:lineRule="auto"/>
        <w:jc w:val="both"/>
        <w:rPr>
          <w:rFonts w:ascii="Book Antiqua" w:hAnsi="Book Antiqua"/>
          <w:b/>
          <w:i/>
          <w:color w:val="000000" w:themeColor="text1"/>
          <w:sz w:val="24"/>
          <w:szCs w:val="24"/>
        </w:rPr>
      </w:pPr>
      <w:r w:rsidRPr="00C33BA8">
        <w:rPr>
          <w:rFonts w:ascii="Book Antiqua" w:hAnsi="Book Antiqua"/>
          <w:b/>
          <w:i/>
          <w:color w:val="000000" w:themeColor="text1"/>
          <w:w w:val="105"/>
          <w:sz w:val="24"/>
          <w:szCs w:val="24"/>
        </w:rPr>
        <w:t>Antibody and a</w:t>
      </w:r>
      <w:r w:rsidR="00E815E9" w:rsidRPr="00C33BA8">
        <w:rPr>
          <w:rFonts w:ascii="Book Antiqua" w:hAnsi="Book Antiqua"/>
          <w:b/>
          <w:i/>
          <w:color w:val="000000" w:themeColor="text1"/>
          <w:w w:val="105"/>
          <w:sz w:val="24"/>
          <w:szCs w:val="24"/>
        </w:rPr>
        <w:t>ntigens</w:t>
      </w:r>
    </w:p>
    <w:p w14:paraId="7F3A5335" w14:textId="7CE8F346" w:rsidR="00920C46" w:rsidRPr="00C33BA8" w:rsidRDefault="00E815E9" w:rsidP="00686B93">
      <w:pPr>
        <w:pStyle w:val="BodyText"/>
        <w:adjustRightInd w:val="0"/>
        <w:snapToGrid w:val="0"/>
        <w:spacing w:line="360" w:lineRule="auto"/>
        <w:ind w:left="0"/>
        <w:jc w:val="both"/>
        <w:rPr>
          <w:rFonts w:ascii="Book Antiqua" w:hAnsi="Book Antiqua"/>
          <w:color w:val="000000" w:themeColor="text1"/>
        </w:rPr>
      </w:pPr>
      <w:r w:rsidRPr="00C33BA8">
        <w:rPr>
          <w:rFonts w:ascii="Book Antiqua" w:hAnsi="Book Antiqua"/>
          <w:color w:val="000000" w:themeColor="text1"/>
        </w:rPr>
        <w:t xml:space="preserve">Mouse </w:t>
      </w:r>
      <w:r w:rsidR="002D5E37" w:rsidRPr="00C33BA8">
        <w:rPr>
          <w:rFonts w:ascii="Book Antiqua" w:hAnsi="Book Antiqua"/>
          <w:color w:val="000000" w:themeColor="text1"/>
        </w:rPr>
        <w:t>immunoglobulin G (</w:t>
      </w:r>
      <w:r w:rsidRPr="00C33BA8">
        <w:rPr>
          <w:rFonts w:ascii="Book Antiqua" w:hAnsi="Book Antiqua"/>
          <w:color w:val="000000" w:themeColor="text1"/>
        </w:rPr>
        <w:t>IgG</w:t>
      </w:r>
      <w:r w:rsidR="002D5E37" w:rsidRPr="00C33BA8">
        <w:rPr>
          <w:rFonts w:ascii="Book Antiqua" w:hAnsi="Book Antiqua"/>
          <w:color w:val="000000" w:themeColor="text1"/>
        </w:rPr>
        <w:t>)</w:t>
      </w:r>
      <w:r w:rsidRPr="00C33BA8">
        <w:rPr>
          <w:rFonts w:ascii="Book Antiqua" w:hAnsi="Book Antiqua"/>
          <w:color w:val="000000" w:themeColor="text1"/>
        </w:rPr>
        <w:t xml:space="preserve"> monoclonal anti-</w:t>
      </w:r>
      <w:r w:rsidRPr="00C33BA8">
        <w:rPr>
          <w:rFonts w:ascii="Book Antiqua" w:hAnsi="Book Antiqua"/>
          <w:i/>
          <w:color w:val="000000" w:themeColor="text1"/>
        </w:rPr>
        <w:t xml:space="preserve">C. jejuni </w:t>
      </w:r>
      <w:r w:rsidRPr="00C33BA8">
        <w:rPr>
          <w:rFonts w:ascii="Book Antiqua" w:hAnsi="Book Antiqua"/>
          <w:color w:val="000000" w:themeColor="text1"/>
        </w:rPr>
        <w:t>whole cell suspension and affinity-purified rabbit anti-</w:t>
      </w:r>
      <w:r w:rsidRPr="00C33BA8">
        <w:rPr>
          <w:rFonts w:ascii="Book Antiqua" w:hAnsi="Book Antiqua"/>
          <w:i/>
          <w:color w:val="000000" w:themeColor="text1"/>
        </w:rPr>
        <w:t xml:space="preserve">C. jejuni </w:t>
      </w:r>
      <w:r w:rsidRPr="00C33BA8">
        <w:rPr>
          <w:rFonts w:ascii="Book Antiqua" w:hAnsi="Book Antiqua"/>
          <w:color w:val="000000" w:themeColor="text1"/>
        </w:rPr>
        <w:t>Cdt IgG isotype was purchased from Creative Diagnostics (Shirley, NY, U</w:t>
      </w:r>
      <w:r w:rsidR="002D5E37" w:rsidRPr="00C33BA8">
        <w:rPr>
          <w:rFonts w:ascii="Book Antiqua" w:hAnsi="Book Antiqua"/>
          <w:color w:val="000000" w:themeColor="text1"/>
        </w:rPr>
        <w:t>nited States</w:t>
      </w:r>
      <w:r w:rsidRPr="00C33BA8">
        <w:rPr>
          <w:rFonts w:ascii="Book Antiqua" w:hAnsi="Book Antiqua"/>
          <w:color w:val="000000" w:themeColor="text1"/>
        </w:rPr>
        <w:t xml:space="preserve">). </w:t>
      </w:r>
      <w:r w:rsidR="002D5E37" w:rsidRPr="00C33BA8">
        <w:rPr>
          <w:rFonts w:ascii="Book Antiqua" w:hAnsi="Book Antiqua"/>
          <w:i/>
          <w:color w:val="000000" w:themeColor="text1"/>
        </w:rPr>
        <w:t>C. jejuni</w:t>
      </w:r>
      <w:r w:rsidRPr="00C33BA8">
        <w:rPr>
          <w:rFonts w:ascii="Book Antiqua" w:hAnsi="Book Antiqua"/>
          <w:i/>
          <w:color w:val="000000" w:themeColor="text1"/>
        </w:rPr>
        <w:t xml:space="preserve"> </w:t>
      </w:r>
      <w:r w:rsidRPr="00C33BA8">
        <w:rPr>
          <w:rFonts w:ascii="Book Antiqua" w:hAnsi="Book Antiqua"/>
          <w:color w:val="000000" w:themeColor="text1"/>
        </w:rPr>
        <w:t xml:space="preserve">lysate was prepared from </w:t>
      </w:r>
      <w:r w:rsidRPr="00C33BA8">
        <w:rPr>
          <w:rFonts w:ascii="Book Antiqua" w:hAnsi="Book Antiqua"/>
          <w:i/>
          <w:color w:val="000000" w:themeColor="text1"/>
        </w:rPr>
        <w:t xml:space="preserve">C. jejuni </w:t>
      </w:r>
      <w:r w:rsidRPr="00C33BA8">
        <w:rPr>
          <w:rFonts w:ascii="Book Antiqua" w:hAnsi="Book Antiqua"/>
          <w:color w:val="000000" w:themeColor="text1"/>
        </w:rPr>
        <w:t>NCTC11168 strain after its growth on Mueller-Hinton agar under microaerophillic conditions at 42</w:t>
      </w:r>
      <w:r w:rsidR="002D5E37" w:rsidRPr="00C33BA8">
        <w:rPr>
          <w:rFonts w:ascii="Book Antiqua" w:hAnsi="Book Antiqua"/>
          <w:color w:val="000000" w:themeColor="text1"/>
        </w:rPr>
        <w:t xml:space="preserve"> </w:t>
      </w:r>
      <w:r w:rsidR="002D5E37" w:rsidRPr="00C33BA8">
        <w:rPr>
          <w:rFonts w:ascii="MS Mincho" w:eastAsia="MS Mincho" w:hAnsi="MS Mincho" w:cs="MS Mincho"/>
          <w:color w:val="000000" w:themeColor="text1"/>
        </w:rPr>
        <w:t>℃</w:t>
      </w:r>
      <w:r w:rsidRPr="00C33BA8">
        <w:rPr>
          <w:rFonts w:ascii="Book Antiqua" w:hAnsi="Book Antiqua"/>
          <w:color w:val="000000" w:themeColor="text1"/>
        </w:rPr>
        <w:t xml:space="preserve">. </w:t>
      </w:r>
      <w:r w:rsidRPr="00C33BA8">
        <w:rPr>
          <w:rFonts w:ascii="Book Antiqua" w:hAnsi="Book Antiqua"/>
          <w:i/>
          <w:color w:val="000000" w:themeColor="text1"/>
        </w:rPr>
        <w:t xml:space="preserve">C. jejuni </w:t>
      </w:r>
      <w:r w:rsidRPr="00C33BA8">
        <w:rPr>
          <w:rFonts w:ascii="Book Antiqua" w:hAnsi="Book Antiqua"/>
          <w:color w:val="000000" w:themeColor="text1"/>
        </w:rPr>
        <w:t>Cdt peptide was purchased from BioSynthesis, Lewisville, TX</w:t>
      </w:r>
      <w:r w:rsidR="002D5E37" w:rsidRPr="00C33BA8">
        <w:rPr>
          <w:rFonts w:ascii="Book Antiqua" w:hAnsi="Book Antiqua"/>
          <w:color w:val="000000" w:themeColor="text1"/>
        </w:rPr>
        <w:t>, United States</w:t>
      </w:r>
      <w:r w:rsidRPr="00C33BA8">
        <w:rPr>
          <w:rFonts w:ascii="Book Antiqua" w:hAnsi="Book Antiqua"/>
          <w:color w:val="000000" w:themeColor="text1"/>
        </w:rPr>
        <w:t>.</w:t>
      </w:r>
    </w:p>
    <w:p w14:paraId="7B971348" w14:textId="14235A39" w:rsidR="00920C46" w:rsidRPr="00C33BA8" w:rsidRDefault="00E815E9" w:rsidP="002F05A8">
      <w:pPr>
        <w:pStyle w:val="BodyText"/>
        <w:adjustRightInd w:val="0"/>
        <w:snapToGrid w:val="0"/>
        <w:spacing w:line="360" w:lineRule="auto"/>
        <w:ind w:left="0" w:firstLineChars="100" w:firstLine="240"/>
        <w:jc w:val="both"/>
        <w:rPr>
          <w:rFonts w:ascii="Book Antiqua" w:hAnsi="Book Antiqua"/>
          <w:color w:val="000000" w:themeColor="text1"/>
        </w:rPr>
      </w:pPr>
      <w:r w:rsidRPr="00C33BA8">
        <w:rPr>
          <w:rFonts w:ascii="Book Antiqua" w:hAnsi="Book Antiqua"/>
          <w:color w:val="000000" w:themeColor="text1"/>
        </w:rPr>
        <w:t>Proteins, parietal cell antigen, intrinsic factor, fibrinogen, laminin, thyroid peroxidase</w:t>
      </w:r>
      <w:r w:rsidR="000E6C6A" w:rsidRPr="00C33BA8">
        <w:rPr>
          <w:rFonts w:ascii="Book Antiqua" w:hAnsi="Book Antiqua"/>
          <w:color w:val="000000" w:themeColor="text1"/>
        </w:rPr>
        <w:t xml:space="preserve"> (TPO)</w:t>
      </w:r>
      <w:r w:rsidRPr="00C33BA8">
        <w:rPr>
          <w:rFonts w:ascii="Book Antiqua" w:hAnsi="Book Antiqua"/>
          <w:color w:val="000000" w:themeColor="text1"/>
        </w:rPr>
        <w:t xml:space="preserve">, thyroglobulin, myeloperoxidase, collagen type V, and neuraminidase were purchased from MP Biologicals (Solon, OH, </w:t>
      </w:r>
      <w:r w:rsidR="002D5E37" w:rsidRPr="00C33BA8">
        <w:rPr>
          <w:rFonts w:ascii="Book Antiqua" w:hAnsi="Book Antiqua"/>
          <w:color w:val="000000" w:themeColor="text1"/>
        </w:rPr>
        <w:t>United States</w:t>
      </w:r>
      <w:r w:rsidRPr="00C33BA8">
        <w:rPr>
          <w:rFonts w:ascii="Book Antiqua" w:hAnsi="Book Antiqua"/>
          <w:color w:val="000000" w:themeColor="text1"/>
        </w:rPr>
        <w:t>).</w:t>
      </w:r>
    </w:p>
    <w:p w14:paraId="6DCBBB3F" w14:textId="5E56969A" w:rsidR="00920C46" w:rsidRPr="00C33BA8" w:rsidRDefault="002D5E37" w:rsidP="00686B93">
      <w:pPr>
        <w:pStyle w:val="BodyText"/>
        <w:adjustRightInd w:val="0"/>
        <w:snapToGrid w:val="0"/>
        <w:spacing w:line="360" w:lineRule="auto"/>
        <w:ind w:left="0"/>
        <w:jc w:val="both"/>
        <w:rPr>
          <w:rFonts w:ascii="Book Antiqua" w:hAnsi="Book Antiqua"/>
          <w:color w:val="000000" w:themeColor="text1"/>
        </w:rPr>
      </w:pPr>
      <w:r w:rsidRPr="00C33BA8">
        <w:rPr>
          <w:rFonts w:ascii="Book Antiqua" w:hAnsi="Book Antiqua"/>
          <w:color w:val="000000" w:themeColor="text1"/>
          <w:position w:val="2"/>
        </w:rPr>
        <w:t xml:space="preserve">  </w:t>
      </w:r>
      <w:r w:rsidR="00E815E9" w:rsidRPr="00C33BA8">
        <w:rPr>
          <w:rFonts w:ascii="Book Antiqua" w:hAnsi="Book Antiqua"/>
          <w:color w:val="000000" w:themeColor="text1"/>
          <w:position w:val="2"/>
        </w:rPr>
        <w:t>Cardiolipin, actin, myelin basic protein (MBP), tropomyosin, ganglioside GM</w:t>
      </w:r>
      <w:r w:rsidR="00E815E9" w:rsidRPr="00C33BA8">
        <w:rPr>
          <w:rFonts w:ascii="Book Antiqua" w:hAnsi="Book Antiqua"/>
          <w:color w:val="000000" w:themeColor="text1"/>
          <w:position w:val="2"/>
          <w:vertAlign w:val="subscript"/>
        </w:rPr>
        <w:t>1</w:t>
      </w:r>
      <w:r w:rsidR="00E815E9" w:rsidRPr="00C33BA8">
        <w:rPr>
          <w:rFonts w:ascii="Book Antiqua" w:hAnsi="Book Antiqua"/>
          <w:color w:val="000000" w:themeColor="text1"/>
          <w:position w:val="2"/>
        </w:rPr>
        <w:t xml:space="preserve">, </w:t>
      </w:r>
      <w:r w:rsidR="00E815E9" w:rsidRPr="00C33BA8">
        <w:rPr>
          <w:rFonts w:ascii="Book Antiqua" w:hAnsi="Book Antiqua"/>
          <w:color w:val="000000" w:themeColor="text1"/>
        </w:rPr>
        <w:t xml:space="preserve">insulin, liver microsomes, transglutaminases, enolase, </w:t>
      </w:r>
      <w:r w:rsidR="00B85FCF" w:rsidRPr="00C33BA8">
        <w:rPr>
          <w:rFonts w:ascii="Book Antiqua" w:hAnsi="Book Antiqua"/>
          <w:color w:val="000000" w:themeColor="text1"/>
        </w:rPr>
        <w:t>β</w:t>
      </w:r>
      <w:r w:rsidR="00E815E9" w:rsidRPr="00C33BA8">
        <w:rPr>
          <w:rFonts w:ascii="Book Antiqua" w:hAnsi="Book Antiqua"/>
          <w:color w:val="000000" w:themeColor="text1"/>
        </w:rPr>
        <w:t xml:space="preserve">-amyloid protein, tau protein, somatotropin, human serum albumin (HSA), dipeptidylpeptidase, </w:t>
      </w:r>
      <w:r w:rsidR="00E815E9" w:rsidRPr="00C33BA8">
        <w:rPr>
          <w:rFonts w:ascii="Book Antiqua" w:hAnsi="Book Antiqua"/>
          <w:i/>
          <w:color w:val="000000" w:themeColor="text1"/>
        </w:rPr>
        <w:t xml:space="preserve">Saccharomyces </w:t>
      </w:r>
      <w:r w:rsidR="00E815E9" w:rsidRPr="00C33BA8">
        <w:rPr>
          <w:rFonts w:ascii="Book Antiqua" w:hAnsi="Book Antiqua"/>
          <w:color w:val="000000" w:themeColor="text1"/>
        </w:rPr>
        <w:t>cerevisiae, and lipopolysaccharides were purchased from Sigma-Aldrich (St Louis, MO</w:t>
      </w:r>
      <w:r w:rsidRPr="00C33BA8">
        <w:rPr>
          <w:rFonts w:ascii="Book Antiqua" w:hAnsi="Book Antiqua"/>
          <w:color w:val="000000" w:themeColor="text1"/>
        </w:rPr>
        <w:t xml:space="preserve">, </w:t>
      </w:r>
      <w:bookmarkStart w:id="23" w:name="OLE_LINK42"/>
      <w:bookmarkStart w:id="24" w:name="OLE_LINK45"/>
      <w:r w:rsidRPr="00C33BA8">
        <w:rPr>
          <w:rFonts w:ascii="Book Antiqua" w:hAnsi="Book Antiqua"/>
          <w:color w:val="000000" w:themeColor="text1"/>
        </w:rPr>
        <w:t>United States</w:t>
      </w:r>
      <w:bookmarkEnd w:id="23"/>
      <w:bookmarkEnd w:id="24"/>
      <w:r w:rsidR="00E815E9" w:rsidRPr="00C33BA8">
        <w:rPr>
          <w:rFonts w:ascii="Book Antiqua" w:hAnsi="Book Antiqua"/>
          <w:color w:val="000000" w:themeColor="text1"/>
        </w:rPr>
        <w:t>).</w:t>
      </w:r>
    </w:p>
    <w:p w14:paraId="68A9339F" w14:textId="2B490AEF" w:rsidR="00920C46" w:rsidRPr="00C33BA8" w:rsidRDefault="00E815E9" w:rsidP="002F05A8">
      <w:pPr>
        <w:pStyle w:val="BodyText"/>
        <w:adjustRightInd w:val="0"/>
        <w:snapToGrid w:val="0"/>
        <w:spacing w:line="360" w:lineRule="auto"/>
        <w:ind w:left="0" w:firstLineChars="100" w:firstLine="240"/>
        <w:jc w:val="both"/>
        <w:rPr>
          <w:rFonts w:ascii="Book Antiqua" w:hAnsi="Book Antiqua"/>
          <w:color w:val="000000" w:themeColor="text1"/>
        </w:rPr>
      </w:pPr>
      <w:r w:rsidRPr="00C33BA8">
        <w:rPr>
          <w:rFonts w:ascii="Book Antiqua" w:hAnsi="Book Antiqua"/>
          <w:color w:val="000000" w:themeColor="text1"/>
        </w:rPr>
        <w:t xml:space="preserve">Glial fibrillary acidic protein (GFAP), brain-derived neurotrophic factor (BDNF), myoglobin platelet glycoprotein, a-synuclein, acetylcholine receptor, lysosome, and </w:t>
      </w:r>
      <w:r w:rsidRPr="00C33BA8">
        <w:rPr>
          <w:rFonts w:ascii="Book Antiqua" w:hAnsi="Book Antiqua"/>
          <w:color w:val="000000" w:themeColor="text1"/>
        </w:rPr>
        <w:lastRenderedPageBreak/>
        <w:t xml:space="preserve">elastase were purchased from Calbiochem (San Diego, CA, </w:t>
      </w:r>
      <w:r w:rsidR="002D5E37" w:rsidRPr="00C33BA8">
        <w:rPr>
          <w:rFonts w:ascii="Book Antiqua" w:hAnsi="Book Antiqua"/>
          <w:color w:val="000000" w:themeColor="text1"/>
        </w:rPr>
        <w:t>United States</w:t>
      </w:r>
      <w:r w:rsidRPr="00C33BA8">
        <w:rPr>
          <w:rFonts w:ascii="Book Antiqua" w:hAnsi="Book Antiqua"/>
          <w:color w:val="000000" w:themeColor="text1"/>
        </w:rPr>
        <w:t>).</w:t>
      </w:r>
    </w:p>
    <w:p w14:paraId="3E2E36ED" w14:textId="2C353E94" w:rsidR="00920C46" w:rsidRPr="00C33BA8" w:rsidRDefault="00E815E9" w:rsidP="002F05A8">
      <w:pPr>
        <w:pStyle w:val="BodyText"/>
        <w:adjustRightInd w:val="0"/>
        <w:snapToGrid w:val="0"/>
        <w:spacing w:line="360" w:lineRule="auto"/>
        <w:ind w:left="0" w:firstLineChars="100" w:firstLine="240"/>
        <w:jc w:val="both"/>
        <w:rPr>
          <w:rFonts w:ascii="Book Antiqua" w:hAnsi="Book Antiqua"/>
          <w:color w:val="000000" w:themeColor="text1"/>
        </w:rPr>
      </w:pPr>
      <w:r w:rsidRPr="00C33BA8">
        <w:rPr>
          <w:rFonts w:ascii="Book Antiqua" w:hAnsi="Book Antiqua"/>
          <w:color w:val="000000" w:themeColor="text1"/>
        </w:rPr>
        <w:t>Different peptides of occludin, zonulin, claudin-5, aquaporin-4 (AQP4), presenilin, fibulin, protein disulfide isomerase (PDI), cerebellar, rabaptin-5 (rab-5), enteric nerve neuronal nuclear antigen (NNA), glutamate-R, dopamine-R, and glutamic acid decarboxylase 65 (GAD-65), all with purity greater than 90%, were synthesized by Biosynthesis (Lewisville, TX</w:t>
      </w:r>
      <w:r w:rsidR="002D5E37" w:rsidRPr="00C33BA8">
        <w:rPr>
          <w:rFonts w:ascii="Book Antiqua" w:hAnsi="Book Antiqua"/>
          <w:color w:val="000000" w:themeColor="text1"/>
        </w:rPr>
        <w:t>, United States</w:t>
      </w:r>
      <w:r w:rsidRPr="00C33BA8">
        <w:rPr>
          <w:rFonts w:ascii="Book Antiqua" w:hAnsi="Book Antiqua"/>
          <w:color w:val="000000" w:themeColor="text1"/>
        </w:rPr>
        <w:t>).</w:t>
      </w:r>
    </w:p>
    <w:p w14:paraId="605E5E66" w14:textId="11AE7FBF" w:rsidR="00920C46" w:rsidRPr="00C33BA8" w:rsidRDefault="002D5E37" w:rsidP="002F05A8">
      <w:pPr>
        <w:pStyle w:val="BodyText"/>
        <w:adjustRightInd w:val="0"/>
        <w:snapToGrid w:val="0"/>
        <w:spacing w:line="360" w:lineRule="auto"/>
        <w:ind w:left="0" w:firstLineChars="100" w:firstLine="240"/>
        <w:jc w:val="both"/>
        <w:rPr>
          <w:rFonts w:ascii="Book Antiqua" w:hAnsi="Book Antiqua"/>
          <w:color w:val="000000" w:themeColor="text1"/>
        </w:rPr>
      </w:pPr>
      <w:r w:rsidRPr="00C33BA8">
        <w:rPr>
          <w:rFonts w:ascii="Book Antiqua" w:hAnsi="Book Antiqua"/>
          <w:color w:val="000000" w:themeColor="text1"/>
        </w:rPr>
        <w:t>One hundred and eighty</w:t>
      </w:r>
      <w:r w:rsidR="00E815E9" w:rsidRPr="00C33BA8">
        <w:rPr>
          <w:rFonts w:ascii="Book Antiqua" w:hAnsi="Book Antiqua"/>
          <w:color w:val="000000" w:themeColor="text1"/>
        </w:rPr>
        <w:t xml:space="preserve"> different food extracts were prepared according to the procedure</w:t>
      </w:r>
      <w:r w:rsidRPr="00C33BA8">
        <w:rPr>
          <w:rFonts w:ascii="Book Antiqua" w:hAnsi="Book Antiqua"/>
          <w:color w:val="000000" w:themeColor="text1"/>
        </w:rPr>
        <w:t xml:space="preserve"> described in our earlier study</w:t>
      </w:r>
      <w:r w:rsidR="00E815E9" w:rsidRPr="00C33BA8">
        <w:rPr>
          <w:rFonts w:ascii="Book Antiqua" w:hAnsi="Book Antiqua"/>
          <w:color w:val="000000" w:themeColor="text1"/>
          <w:vertAlign w:val="superscript"/>
        </w:rPr>
        <w:t>[40]</w:t>
      </w:r>
      <w:r w:rsidR="00E815E9" w:rsidRPr="00C33BA8">
        <w:rPr>
          <w:rFonts w:ascii="Book Antiqua" w:hAnsi="Book Antiqua"/>
          <w:color w:val="000000" w:themeColor="text1"/>
        </w:rPr>
        <w:t>. Briefly, food products including grains, seeds, beans, nuts, fruits, vegetables, meats, seafood, spices and gums were purchased in either raw, modified or cooked form. For the preparation of antigens, 10 g of food products were put in a food grinder using 75% ethanol, and another 10 g were put in the grinder with</w:t>
      </w:r>
      <w:r w:rsidRPr="00C33BA8">
        <w:rPr>
          <w:rFonts w:ascii="Book Antiqua" w:hAnsi="Book Antiqua"/>
          <w:color w:val="000000" w:themeColor="text1"/>
        </w:rPr>
        <w:t xml:space="preserve"> 0.1 mol/L</w:t>
      </w:r>
      <w:r w:rsidR="00E815E9" w:rsidRPr="00C33BA8">
        <w:rPr>
          <w:rFonts w:ascii="Book Antiqua" w:hAnsi="Book Antiqua"/>
          <w:color w:val="000000" w:themeColor="text1"/>
        </w:rPr>
        <w:t xml:space="preserve"> phosphate buffer saline (PB</w:t>
      </w:r>
      <w:r w:rsidRPr="00C33BA8">
        <w:rPr>
          <w:rFonts w:ascii="Book Antiqua" w:hAnsi="Book Antiqua"/>
          <w:color w:val="000000" w:themeColor="text1"/>
        </w:rPr>
        <w:t>S) pH 7.4. After mixing for 1 h</w:t>
      </w:r>
      <w:r w:rsidR="00E815E9" w:rsidRPr="00C33BA8">
        <w:rPr>
          <w:rFonts w:ascii="Book Antiqua" w:hAnsi="Book Antiqua"/>
          <w:color w:val="000000" w:themeColor="text1"/>
        </w:rPr>
        <w:t xml:space="preserve"> each preparation wa</w:t>
      </w:r>
      <w:r w:rsidRPr="00C33BA8">
        <w:rPr>
          <w:rFonts w:ascii="Book Antiqua" w:hAnsi="Book Antiqua"/>
          <w:color w:val="000000" w:themeColor="text1"/>
        </w:rPr>
        <w:t>s kept on the stirrer for 12 h</w:t>
      </w:r>
      <w:r w:rsidR="00E815E9" w:rsidRPr="00C33BA8">
        <w:rPr>
          <w:rFonts w:ascii="Book Antiqua" w:hAnsi="Book Antiqua"/>
          <w:color w:val="000000" w:themeColor="text1"/>
        </w:rPr>
        <w:t xml:space="preserve"> at 4</w:t>
      </w:r>
      <w:r w:rsidRPr="00C33BA8">
        <w:rPr>
          <w:rFonts w:ascii="Book Antiqua" w:hAnsi="Book Antiqua"/>
          <w:color w:val="000000" w:themeColor="text1"/>
        </w:rPr>
        <w:t xml:space="preserve"> </w:t>
      </w:r>
      <w:r w:rsidRPr="00C33BA8">
        <w:rPr>
          <w:rFonts w:ascii="MS Mincho" w:eastAsia="MS Mincho" w:hAnsi="MS Mincho" w:cs="MS Mincho"/>
          <w:color w:val="000000" w:themeColor="text1"/>
        </w:rPr>
        <w:t>℃</w:t>
      </w:r>
      <w:r w:rsidRPr="00C33BA8">
        <w:rPr>
          <w:rFonts w:ascii="Book Antiqua" w:hAnsi="Book Antiqua"/>
          <w:color w:val="000000" w:themeColor="text1"/>
        </w:rPr>
        <w:t>, then centrifuged at 20</w:t>
      </w:r>
      <w:r w:rsidR="00E815E9" w:rsidRPr="00C33BA8">
        <w:rPr>
          <w:rFonts w:ascii="Book Antiqua" w:hAnsi="Book Antiqua"/>
          <w:color w:val="000000" w:themeColor="text1"/>
        </w:rPr>
        <w:t>000 g for 15 min. The liquid layers were then removed and dialysed. Finally, the solutions were combined, protein concentration was measured, and the combined solution was kept at -20</w:t>
      </w:r>
      <w:r w:rsidRPr="00C33BA8">
        <w:rPr>
          <w:rFonts w:ascii="Book Antiqua" w:hAnsi="Book Antiqua"/>
          <w:color w:val="000000" w:themeColor="text1"/>
        </w:rPr>
        <w:t xml:space="preserve"> </w:t>
      </w:r>
      <w:r w:rsidRPr="00C33BA8">
        <w:rPr>
          <w:rFonts w:ascii="MS Mincho" w:eastAsia="MS Mincho" w:hAnsi="MS Mincho" w:cs="MS Mincho"/>
          <w:color w:val="000000" w:themeColor="text1"/>
        </w:rPr>
        <w:t>℃</w:t>
      </w:r>
      <w:r w:rsidR="00E815E9" w:rsidRPr="00C33BA8">
        <w:rPr>
          <w:rFonts w:ascii="Book Antiqua" w:hAnsi="Book Antiqua"/>
          <w:color w:val="000000" w:themeColor="text1"/>
        </w:rPr>
        <w:t xml:space="preserve"> until it was used in the </w:t>
      </w:r>
      <w:r w:rsidRPr="00C33BA8">
        <w:rPr>
          <w:rFonts w:ascii="Book Antiqua" w:hAnsi="Book Antiqua"/>
          <w:color w:val="000000" w:themeColor="text1"/>
        </w:rPr>
        <w:t>enzyme-linked immunosorbent assay (</w:t>
      </w:r>
      <w:r w:rsidR="00E815E9" w:rsidRPr="00C33BA8">
        <w:rPr>
          <w:rFonts w:ascii="Book Antiqua" w:hAnsi="Book Antiqua"/>
          <w:color w:val="000000" w:themeColor="text1"/>
        </w:rPr>
        <w:t>ELISA</w:t>
      </w:r>
      <w:r w:rsidRPr="00C33BA8">
        <w:rPr>
          <w:rFonts w:ascii="Book Antiqua" w:hAnsi="Book Antiqua"/>
          <w:color w:val="000000" w:themeColor="text1"/>
        </w:rPr>
        <w:t>)</w:t>
      </w:r>
      <w:r w:rsidR="00E815E9" w:rsidRPr="00C33BA8">
        <w:rPr>
          <w:rFonts w:ascii="Book Antiqua" w:hAnsi="Book Antiqua"/>
          <w:color w:val="000000" w:themeColor="text1"/>
        </w:rPr>
        <w:t>.</w:t>
      </w:r>
    </w:p>
    <w:p w14:paraId="1F5848E5" w14:textId="77777777" w:rsidR="00920C46" w:rsidRPr="00C33BA8" w:rsidRDefault="00920C46" w:rsidP="00686B93">
      <w:pPr>
        <w:pStyle w:val="BodyText"/>
        <w:adjustRightInd w:val="0"/>
        <w:snapToGrid w:val="0"/>
        <w:spacing w:line="360" w:lineRule="auto"/>
        <w:ind w:left="0"/>
        <w:jc w:val="both"/>
        <w:rPr>
          <w:rFonts w:ascii="Book Antiqua" w:hAnsi="Book Antiqua"/>
          <w:color w:val="000000" w:themeColor="text1"/>
        </w:rPr>
      </w:pPr>
    </w:p>
    <w:p w14:paraId="18F14ADE" w14:textId="77777777" w:rsidR="00920C46" w:rsidRPr="00C33BA8" w:rsidRDefault="00E815E9" w:rsidP="00686B93">
      <w:pPr>
        <w:adjustRightInd w:val="0"/>
        <w:snapToGrid w:val="0"/>
        <w:spacing w:line="360" w:lineRule="auto"/>
        <w:jc w:val="both"/>
        <w:rPr>
          <w:rFonts w:ascii="Book Antiqua" w:hAnsi="Book Antiqua"/>
          <w:b/>
          <w:i/>
          <w:color w:val="000000" w:themeColor="text1"/>
          <w:sz w:val="24"/>
          <w:szCs w:val="24"/>
        </w:rPr>
      </w:pPr>
      <w:r w:rsidRPr="00C33BA8">
        <w:rPr>
          <w:rFonts w:ascii="Book Antiqua" w:hAnsi="Book Antiqua"/>
          <w:b/>
          <w:i/>
          <w:color w:val="000000" w:themeColor="text1"/>
          <w:sz w:val="24"/>
          <w:szCs w:val="24"/>
        </w:rPr>
        <w:t>Reaction of anti-C. jejuni and anti-C. jejuni Cdt with different tissue and food antigens</w:t>
      </w:r>
    </w:p>
    <w:p w14:paraId="43DBF4A8" w14:textId="188D7C51" w:rsidR="00920C46" w:rsidRPr="00C33BA8" w:rsidRDefault="00E815E9" w:rsidP="00686B93">
      <w:pPr>
        <w:pStyle w:val="BodyText"/>
        <w:adjustRightInd w:val="0"/>
        <w:snapToGrid w:val="0"/>
        <w:spacing w:line="360" w:lineRule="auto"/>
        <w:ind w:left="0"/>
        <w:jc w:val="both"/>
        <w:rPr>
          <w:rFonts w:ascii="Book Antiqua" w:hAnsi="Book Antiqua"/>
          <w:color w:val="000000" w:themeColor="text1"/>
        </w:rPr>
      </w:pPr>
      <w:r w:rsidRPr="00C33BA8">
        <w:rPr>
          <w:rFonts w:ascii="Book Antiqua" w:hAnsi="Book Antiqua"/>
          <w:color w:val="000000" w:themeColor="text1"/>
        </w:rPr>
        <w:t xml:space="preserve">Proteins and peptides at a concentration of 1 mg/mL were diluted 1:100 in 0.1 </w:t>
      </w:r>
      <w:r w:rsidR="002D5E37" w:rsidRPr="00C33BA8">
        <w:rPr>
          <w:rFonts w:ascii="Book Antiqua" w:hAnsi="Book Antiqua"/>
          <w:color w:val="000000" w:themeColor="text1"/>
        </w:rPr>
        <w:t>mol/L</w:t>
      </w:r>
      <w:r w:rsidR="00CD4F78" w:rsidRPr="00C33BA8">
        <w:rPr>
          <w:rFonts w:ascii="Book Antiqua" w:hAnsi="Book Antiqua"/>
          <w:color w:val="000000" w:themeColor="text1"/>
        </w:rPr>
        <w:t xml:space="preserve"> carbonate buffer; 100 mL</w:t>
      </w:r>
      <w:r w:rsidRPr="00C33BA8">
        <w:rPr>
          <w:rFonts w:ascii="Book Antiqua" w:hAnsi="Book Antiqua"/>
          <w:color w:val="000000" w:themeColor="text1"/>
        </w:rPr>
        <w:t xml:space="preserve"> or 1 mg of each antigen was added to a series of Costar microtiter ELISA plate w</w:t>
      </w:r>
      <w:r w:rsidR="00CD4F78" w:rsidRPr="00C33BA8">
        <w:rPr>
          <w:rFonts w:ascii="Book Antiqua" w:hAnsi="Book Antiqua"/>
          <w:color w:val="000000" w:themeColor="text1"/>
        </w:rPr>
        <w:t>ells. After incubation for 8 h</w:t>
      </w:r>
      <w:r w:rsidRPr="00C33BA8">
        <w:rPr>
          <w:rFonts w:ascii="Book Antiqua" w:hAnsi="Book Antiqua"/>
          <w:color w:val="000000" w:themeColor="text1"/>
        </w:rPr>
        <w:t xml:space="preserve"> at </w:t>
      </w:r>
      <w:r w:rsidR="00CD4F78" w:rsidRPr="00C33BA8">
        <w:rPr>
          <w:rFonts w:ascii="Book Antiqua" w:hAnsi="Book Antiqua"/>
          <w:color w:val="000000" w:themeColor="text1"/>
        </w:rPr>
        <w:t>room temperature (RT) and 18 h</w:t>
      </w:r>
      <w:r w:rsidRPr="00C33BA8">
        <w:rPr>
          <w:rFonts w:ascii="Book Antiqua" w:hAnsi="Book Antiqua"/>
          <w:color w:val="000000" w:themeColor="text1"/>
        </w:rPr>
        <w:t xml:space="preserve"> at 4</w:t>
      </w:r>
      <w:r w:rsidR="00CD4F78" w:rsidRPr="00C33BA8">
        <w:rPr>
          <w:rFonts w:ascii="Book Antiqua" w:hAnsi="Book Antiqua"/>
          <w:color w:val="000000" w:themeColor="text1"/>
        </w:rPr>
        <w:t xml:space="preserve"> </w:t>
      </w:r>
      <w:r w:rsidR="002D5E37" w:rsidRPr="00C33BA8">
        <w:rPr>
          <w:rFonts w:ascii="MS Mincho" w:eastAsia="MS Mincho" w:hAnsi="MS Mincho" w:cs="MS Mincho"/>
          <w:color w:val="000000" w:themeColor="text1"/>
        </w:rPr>
        <w:t>℃</w:t>
      </w:r>
      <w:r w:rsidRPr="00C33BA8">
        <w:rPr>
          <w:rFonts w:ascii="Book Antiqua" w:hAnsi="Book Antiqua"/>
          <w:color w:val="000000" w:themeColor="text1"/>
        </w:rPr>
        <w:t>, plates were washed 3 time</w:t>
      </w:r>
      <w:r w:rsidR="00CD4F78" w:rsidRPr="00C33BA8">
        <w:rPr>
          <w:rFonts w:ascii="Book Antiqua" w:hAnsi="Book Antiqua"/>
          <w:color w:val="000000" w:themeColor="text1"/>
        </w:rPr>
        <w:t>s using ELISA washer, and 200 mL</w:t>
      </w:r>
      <w:r w:rsidRPr="00C33BA8">
        <w:rPr>
          <w:rFonts w:ascii="Book Antiqua" w:hAnsi="Book Antiqua"/>
          <w:color w:val="000000" w:themeColor="text1"/>
        </w:rPr>
        <w:t xml:space="preserve"> of 2% BSA was added to ea</w:t>
      </w:r>
      <w:r w:rsidR="00CD4F78" w:rsidRPr="00C33BA8">
        <w:rPr>
          <w:rFonts w:ascii="Book Antiqua" w:hAnsi="Book Antiqua"/>
          <w:color w:val="000000" w:themeColor="text1"/>
        </w:rPr>
        <w:t>ch well and incubated for 24 h</w:t>
      </w:r>
      <w:r w:rsidRPr="00C33BA8">
        <w:rPr>
          <w:rFonts w:ascii="Book Antiqua" w:hAnsi="Book Antiqua"/>
          <w:color w:val="000000" w:themeColor="text1"/>
        </w:rPr>
        <w:t xml:space="preserve"> at 4</w:t>
      </w:r>
      <w:r w:rsidR="002D5E37" w:rsidRPr="00C33BA8">
        <w:rPr>
          <w:rFonts w:ascii="MS Mincho" w:eastAsia="MS Mincho" w:hAnsi="MS Mincho" w:cs="MS Mincho"/>
          <w:color w:val="000000" w:themeColor="text1"/>
        </w:rPr>
        <w:t>℃</w:t>
      </w:r>
      <w:r w:rsidRPr="00C33BA8">
        <w:rPr>
          <w:rFonts w:ascii="Book Antiqua" w:hAnsi="Book Antiqua"/>
          <w:color w:val="000000" w:themeColor="text1"/>
        </w:rPr>
        <w:t xml:space="preserve"> in order to block the nonspecific binding of the antibody to the antigen-coated wells. F</w:t>
      </w:r>
      <w:r w:rsidR="00CD4F78" w:rsidRPr="00C33BA8">
        <w:rPr>
          <w:rFonts w:ascii="Book Antiqua" w:hAnsi="Book Antiqua"/>
          <w:color w:val="000000" w:themeColor="text1"/>
        </w:rPr>
        <w:t>or this immunoreactivity study, 100 mL</w:t>
      </w:r>
      <w:r w:rsidRPr="00C33BA8">
        <w:rPr>
          <w:rFonts w:ascii="Book Antiqua" w:hAnsi="Book Antiqua"/>
          <w:color w:val="000000" w:themeColor="text1"/>
        </w:rPr>
        <w:t xml:space="preserve"> of monoclonal mouse anti-</w:t>
      </w:r>
      <w:r w:rsidRPr="00C33BA8">
        <w:rPr>
          <w:rFonts w:ascii="Book Antiqua" w:hAnsi="Book Antiqua"/>
          <w:i/>
          <w:color w:val="000000" w:themeColor="text1"/>
        </w:rPr>
        <w:t xml:space="preserve">C. jejuni </w:t>
      </w:r>
      <w:r w:rsidRPr="00C33BA8">
        <w:rPr>
          <w:rFonts w:ascii="Book Antiqua" w:hAnsi="Book Antiqua"/>
          <w:color w:val="000000" w:themeColor="text1"/>
        </w:rPr>
        <w:t>at a dilution of 1:200 was added to one series o</w:t>
      </w:r>
      <w:r w:rsidR="00CD4F78" w:rsidRPr="00C33BA8">
        <w:rPr>
          <w:rFonts w:ascii="Book Antiqua" w:hAnsi="Book Antiqua"/>
          <w:color w:val="000000" w:themeColor="text1"/>
        </w:rPr>
        <w:t>f ELISA coated plates and 100 mL</w:t>
      </w:r>
      <w:r w:rsidRPr="00C33BA8">
        <w:rPr>
          <w:rFonts w:ascii="Book Antiqua" w:hAnsi="Book Antiqua"/>
          <w:color w:val="000000" w:themeColor="text1"/>
        </w:rPr>
        <w:t xml:space="preserve"> of affinity-purified rabbit anti-</w:t>
      </w:r>
      <w:r w:rsidRPr="00C33BA8">
        <w:rPr>
          <w:rFonts w:ascii="Book Antiqua" w:hAnsi="Book Antiqua"/>
          <w:i/>
          <w:color w:val="000000" w:themeColor="text1"/>
        </w:rPr>
        <w:t xml:space="preserve">C. jejuni </w:t>
      </w:r>
      <w:r w:rsidRPr="00C33BA8">
        <w:rPr>
          <w:rFonts w:ascii="Book Antiqua" w:hAnsi="Book Antiqua"/>
          <w:color w:val="000000" w:themeColor="text1"/>
        </w:rPr>
        <w:t>Cdt dilution of 1:100 was added to another series of ELISA microwell plates. Both primary antibodies</w:t>
      </w:r>
      <w:r w:rsidRPr="00C33BA8">
        <w:rPr>
          <w:rFonts w:ascii="Book Antiqua" w:hAnsi="Book Antiqua"/>
          <w:color w:val="000000" w:themeColor="text1"/>
          <w:spacing w:val="-5"/>
        </w:rPr>
        <w:t xml:space="preserve"> </w:t>
      </w:r>
      <w:r w:rsidRPr="00C33BA8">
        <w:rPr>
          <w:rFonts w:ascii="Book Antiqua" w:hAnsi="Book Antiqua"/>
          <w:color w:val="000000" w:themeColor="text1"/>
        </w:rPr>
        <w:t>were</w:t>
      </w:r>
      <w:r w:rsidRPr="00C33BA8">
        <w:rPr>
          <w:rFonts w:ascii="Book Antiqua" w:hAnsi="Book Antiqua"/>
          <w:color w:val="000000" w:themeColor="text1"/>
          <w:spacing w:val="-5"/>
        </w:rPr>
        <w:t xml:space="preserve"> </w:t>
      </w:r>
      <w:r w:rsidRPr="00C33BA8">
        <w:rPr>
          <w:rFonts w:ascii="Book Antiqua" w:hAnsi="Book Antiqua"/>
          <w:color w:val="000000" w:themeColor="text1"/>
        </w:rPr>
        <w:t>diluted</w:t>
      </w:r>
      <w:r w:rsidRPr="00C33BA8">
        <w:rPr>
          <w:rFonts w:ascii="Book Antiqua" w:hAnsi="Book Antiqua"/>
          <w:color w:val="000000" w:themeColor="text1"/>
          <w:spacing w:val="-4"/>
        </w:rPr>
        <w:t xml:space="preserve"> </w:t>
      </w:r>
      <w:r w:rsidRPr="00C33BA8">
        <w:rPr>
          <w:rFonts w:ascii="Book Antiqua" w:hAnsi="Book Antiqua"/>
          <w:color w:val="000000" w:themeColor="text1"/>
        </w:rPr>
        <w:t>with</w:t>
      </w:r>
      <w:r w:rsidRPr="00C33BA8">
        <w:rPr>
          <w:rFonts w:ascii="Book Antiqua" w:hAnsi="Book Antiqua"/>
          <w:color w:val="000000" w:themeColor="text1"/>
          <w:spacing w:val="-5"/>
        </w:rPr>
        <w:t xml:space="preserve"> </w:t>
      </w:r>
      <w:r w:rsidRPr="00C33BA8">
        <w:rPr>
          <w:rFonts w:ascii="Book Antiqua" w:hAnsi="Book Antiqua"/>
          <w:color w:val="000000" w:themeColor="text1"/>
        </w:rPr>
        <w:t>2%</w:t>
      </w:r>
      <w:r w:rsidRPr="00C33BA8">
        <w:rPr>
          <w:rFonts w:ascii="Book Antiqua" w:hAnsi="Book Antiqua"/>
          <w:color w:val="000000" w:themeColor="text1"/>
          <w:spacing w:val="-4"/>
        </w:rPr>
        <w:t xml:space="preserve"> </w:t>
      </w:r>
      <w:r w:rsidRPr="00C33BA8">
        <w:rPr>
          <w:rFonts w:ascii="Book Antiqua" w:hAnsi="Book Antiqua"/>
          <w:color w:val="000000" w:themeColor="text1"/>
        </w:rPr>
        <w:t>BSA</w:t>
      </w:r>
      <w:r w:rsidRPr="00C33BA8">
        <w:rPr>
          <w:rFonts w:ascii="Book Antiqua" w:hAnsi="Book Antiqua"/>
          <w:color w:val="000000" w:themeColor="text1"/>
          <w:spacing w:val="-5"/>
        </w:rPr>
        <w:t xml:space="preserve"> </w:t>
      </w:r>
      <w:r w:rsidRPr="00C33BA8">
        <w:rPr>
          <w:rFonts w:ascii="Book Antiqua" w:hAnsi="Book Antiqua"/>
          <w:color w:val="000000" w:themeColor="text1"/>
        </w:rPr>
        <w:t>in</w:t>
      </w:r>
      <w:r w:rsidRPr="00C33BA8">
        <w:rPr>
          <w:rFonts w:ascii="Book Antiqua" w:hAnsi="Book Antiqua"/>
          <w:color w:val="000000" w:themeColor="text1"/>
          <w:spacing w:val="-4"/>
        </w:rPr>
        <w:t xml:space="preserve"> </w:t>
      </w:r>
      <w:r w:rsidRPr="00C33BA8">
        <w:rPr>
          <w:rFonts w:ascii="Book Antiqua" w:hAnsi="Book Antiqua"/>
          <w:color w:val="000000" w:themeColor="text1"/>
        </w:rPr>
        <w:t>0.01</w:t>
      </w:r>
      <w:r w:rsidRPr="00C33BA8">
        <w:rPr>
          <w:rFonts w:ascii="Book Antiqua" w:hAnsi="Book Antiqua"/>
          <w:color w:val="000000" w:themeColor="text1"/>
          <w:spacing w:val="-5"/>
        </w:rPr>
        <w:t xml:space="preserve"> </w:t>
      </w:r>
      <w:r w:rsidR="00CD4F78" w:rsidRPr="00C33BA8">
        <w:rPr>
          <w:rFonts w:ascii="Book Antiqua" w:hAnsi="Book Antiqua"/>
          <w:color w:val="000000" w:themeColor="text1"/>
        </w:rPr>
        <w:t>mol/L</w:t>
      </w:r>
      <w:r w:rsidRPr="00C33BA8">
        <w:rPr>
          <w:rFonts w:ascii="Book Antiqua" w:hAnsi="Book Antiqua"/>
          <w:color w:val="000000" w:themeColor="text1"/>
          <w:spacing w:val="-5"/>
        </w:rPr>
        <w:t xml:space="preserve"> </w:t>
      </w:r>
      <w:r w:rsidRPr="00C33BA8">
        <w:rPr>
          <w:rFonts w:ascii="Book Antiqua" w:hAnsi="Book Antiqua"/>
          <w:color w:val="000000" w:themeColor="text1"/>
        </w:rPr>
        <w:t>PBS</w:t>
      </w:r>
      <w:r w:rsidRPr="00C33BA8">
        <w:rPr>
          <w:rFonts w:ascii="Book Antiqua" w:hAnsi="Book Antiqua"/>
          <w:color w:val="000000" w:themeColor="text1"/>
          <w:spacing w:val="-4"/>
        </w:rPr>
        <w:t xml:space="preserve"> </w:t>
      </w:r>
      <w:r w:rsidRPr="00C33BA8">
        <w:rPr>
          <w:rFonts w:ascii="Book Antiqua" w:hAnsi="Book Antiqua"/>
          <w:color w:val="000000" w:themeColor="text1"/>
        </w:rPr>
        <w:t>containing</w:t>
      </w:r>
      <w:r w:rsidRPr="00C33BA8">
        <w:rPr>
          <w:rFonts w:ascii="Book Antiqua" w:hAnsi="Book Antiqua"/>
          <w:color w:val="000000" w:themeColor="text1"/>
          <w:spacing w:val="-5"/>
        </w:rPr>
        <w:t xml:space="preserve"> </w:t>
      </w:r>
      <w:r w:rsidRPr="00C33BA8">
        <w:rPr>
          <w:rFonts w:ascii="Book Antiqua" w:hAnsi="Book Antiqua"/>
          <w:color w:val="000000" w:themeColor="text1"/>
        </w:rPr>
        <w:t>0.05%</w:t>
      </w:r>
      <w:r w:rsidRPr="00C33BA8">
        <w:rPr>
          <w:rFonts w:ascii="Book Antiqua" w:hAnsi="Book Antiqua"/>
          <w:color w:val="000000" w:themeColor="text1"/>
          <w:spacing w:val="-4"/>
        </w:rPr>
        <w:t xml:space="preserve"> </w:t>
      </w:r>
      <w:r w:rsidRPr="00C33BA8">
        <w:rPr>
          <w:rFonts w:ascii="Book Antiqua" w:hAnsi="Book Antiqua"/>
          <w:color w:val="000000" w:themeColor="text1"/>
        </w:rPr>
        <w:t>Tween</w:t>
      </w:r>
      <w:r w:rsidRPr="00C33BA8">
        <w:rPr>
          <w:rFonts w:ascii="Book Antiqua" w:hAnsi="Book Antiqua"/>
          <w:color w:val="000000" w:themeColor="text1"/>
          <w:spacing w:val="-5"/>
        </w:rPr>
        <w:t xml:space="preserve"> </w:t>
      </w:r>
      <w:r w:rsidRPr="00C33BA8">
        <w:rPr>
          <w:rFonts w:ascii="Book Antiqua" w:hAnsi="Book Antiqua"/>
          <w:color w:val="000000" w:themeColor="text1"/>
        </w:rPr>
        <w:t>20.</w:t>
      </w:r>
      <w:r w:rsidRPr="00C33BA8">
        <w:rPr>
          <w:rFonts w:ascii="Book Antiqua" w:hAnsi="Book Antiqua"/>
          <w:color w:val="000000" w:themeColor="text1"/>
          <w:spacing w:val="-4"/>
        </w:rPr>
        <w:t xml:space="preserve"> </w:t>
      </w:r>
      <w:r w:rsidRPr="00C33BA8">
        <w:rPr>
          <w:rFonts w:ascii="Book Antiqua" w:hAnsi="Book Antiqua"/>
          <w:color w:val="000000" w:themeColor="text1"/>
        </w:rPr>
        <w:t>Each</w:t>
      </w:r>
      <w:r w:rsidR="00CD4F78" w:rsidRPr="00C33BA8">
        <w:rPr>
          <w:rFonts w:ascii="Book Antiqua" w:hAnsi="Book Antiqua"/>
          <w:color w:val="000000" w:themeColor="text1"/>
        </w:rPr>
        <w:t xml:space="preserve"> </w:t>
      </w:r>
      <w:r w:rsidRPr="00C33BA8">
        <w:rPr>
          <w:rFonts w:ascii="Book Antiqua" w:hAnsi="Book Antiqua"/>
          <w:color w:val="000000" w:themeColor="text1"/>
        </w:rPr>
        <w:t>antibody was added to quadruplicate wells that were coated with a variety of tissues and food antigens. The ELISA plates were incubated for 60 min at 25</w:t>
      </w:r>
      <w:r w:rsidR="00CD4F78" w:rsidRPr="00C33BA8">
        <w:rPr>
          <w:rFonts w:ascii="Book Antiqua" w:hAnsi="Book Antiqua"/>
          <w:color w:val="000000" w:themeColor="text1"/>
        </w:rPr>
        <w:t xml:space="preserve"> </w:t>
      </w:r>
      <w:r w:rsidR="002D5E37" w:rsidRPr="00C33BA8">
        <w:rPr>
          <w:rFonts w:ascii="MS Mincho" w:eastAsia="MS Mincho" w:hAnsi="MS Mincho" w:cs="MS Mincho"/>
          <w:color w:val="000000" w:themeColor="text1"/>
        </w:rPr>
        <w:t>℃</w:t>
      </w:r>
      <w:r w:rsidRPr="00C33BA8">
        <w:rPr>
          <w:rFonts w:ascii="Book Antiqua" w:hAnsi="Book Antiqua"/>
          <w:color w:val="000000" w:themeColor="text1"/>
        </w:rPr>
        <w:t xml:space="preserve">. After washing 5 times with 0.01 </w:t>
      </w:r>
      <w:r w:rsidR="00CD4F78" w:rsidRPr="00C33BA8">
        <w:rPr>
          <w:rFonts w:ascii="Book Antiqua" w:hAnsi="Book Antiqua"/>
          <w:color w:val="000000" w:themeColor="text1"/>
        </w:rPr>
        <w:t>mol/L</w:t>
      </w:r>
      <w:r w:rsidRPr="00C33BA8">
        <w:rPr>
          <w:rFonts w:ascii="Book Antiqua" w:hAnsi="Book Antiqua"/>
          <w:color w:val="000000" w:themeColor="text1"/>
        </w:rPr>
        <w:t xml:space="preserve"> </w:t>
      </w:r>
      <w:r w:rsidR="00CD4F78" w:rsidRPr="00C33BA8">
        <w:rPr>
          <w:rFonts w:ascii="Book Antiqua" w:hAnsi="Book Antiqua"/>
          <w:color w:val="000000" w:themeColor="text1"/>
        </w:rPr>
        <w:lastRenderedPageBreak/>
        <w:t>PBS 0.05% Tween 20, 100 mL</w:t>
      </w:r>
      <w:r w:rsidRPr="00C33BA8">
        <w:rPr>
          <w:rFonts w:ascii="Book Antiqua" w:hAnsi="Book Antiqua"/>
          <w:color w:val="000000" w:themeColor="text1"/>
        </w:rPr>
        <w:t xml:space="preserve"> of alkaline phosphatase- labeled anti-rabbit or anti-mouse IgG at a dilution of 1:300 were added to appropriate we</w:t>
      </w:r>
      <w:r w:rsidR="00CD4F78" w:rsidRPr="00C33BA8">
        <w:rPr>
          <w:rFonts w:ascii="Book Antiqua" w:hAnsi="Book Antiqua"/>
          <w:color w:val="000000" w:themeColor="text1"/>
        </w:rPr>
        <w:t>lls and incubated again for 1 h</w:t>
      </w:r>
      <w:r w:rsidRPr="00C33BA8">
        <w:rPr>
          <w:rFonts w:ascii="Book Antiqua" w:hAnsi="Book Antiqua"/>
          <w:color w:val="000000" w:themeColor="text1"/>
        </w:rPr>
        <w:t xml:space="preserve"> at RT. The enzyme react</w:t>
      </w:r>
      <w:r w:rsidR="00CD4F78" w:rsidRPr="00C33BA8">
        <w:rPr>
          <w:rFonts w:ascii="Book Antiqua" w:hAnsi="Book Antiqua"/>
          <w:color w:val="000000" w:themeColor="text1"/>
        </w:rPr>
        <w:t>ion was started by adding 100 mL</w:t>
      </w:r>
      <w:r w:rsidRPr="00C33BA8">
        <w:rPr>
          <w:rFonts w:ascii="Book Antiqua" w:hAnsi="Book Antiqua"/>
          <w:color w:val="000000" w:themeColor="text1"/>
        </w:rPr>
        <w:t xml:space="preserve"> of paranitrophenyl phosphate at a concentration of 1 mg/mL in diethanolamine </w:t>
      </w:r>
      <w:r w:rsidR="00CD4F78" w:rsidRPr="00C33BA8">
        <w:rPr>
          <w:rFonts w:ascii="Book Antiqua" w:hAnsi="Book Antiqua"/>
          <w:color w:val="000000" w:themeColor="text1"/>
          <w:position w:val="2"/>
        </w:rPr>
        <w:t>buffer containing 1 mmol/L</w:t>
      </w:r>
      <w:r w:rsidRPr="00C33BA8">
        <w:rPr>
          <w:rFonts w:ascii="Book Antiqua" w:hAnsi="Book Antiqua"/>
          <w:color w:val="000000" w:themeColor="text1"/>
          <w:position w:val="2"/>
        </w:rPr>
        <w:t xml:space="preserve"> MgCl</w:t>
      </w:r>
      <w:r w:rsidRPr="00C33BA8">
        <w:rPr>
          <w:rFonts w:ascii="Book Antiqua" w:hAnsi="Book Antiqua"/>
          <w:color w:val="000000" w:themeColor="text1"/>
          <w:position w:val="2"/>
          <w:vertAlign w:val="subscript"/>
        </w:rPr>
        <w:t>2</w:t>
      </w:r>
      <w:r w:rsidRPr="00C33BA8">
        <w:rPr>
          <w:rFonts w:ascii="Book Antiqua" w:hAnsi="Book Antiqua"/>
          <w:color w:val="000000" w:themeColor="text1"/>
          <w:position w:val="2"/>
        </w:rPr>
        <w:t xml:space="preserve"> and sodium azide at a pH of 9.8. The reaction was </w:t>
      </w:r>
      <w:r w:rsidR="00CD4F78" w:rsidRPr="00C33BA8">
        <w:rPr>
          <w:rFonts w:ascii="Book Antiqua" w:hAnsi="Book Antiqua"/>
          <w:color w:val="000000" w:themeColor="text1"/>
        </w:rPr>
        <w:t>stopped 45 min later with 50 mL</w:t>
      </w:r>
      <w:r w:rsidRPr="00C33BA8">
        <w:rPr>
          <w:rFonts w:ascii="Book Antiqua" w:hAnsi="Book Antiqua"/>
          <w:color w:val="000000" w:themeColor="text1"/>
        </w:rPr>
        <w:t xml:space="preserve"> of 1 </w:t>
      </w:r>
      <w:r w:rsidR="00CD4F78" w:rsidRPr="00C33BA8">
        <w:rPr>
          <w:rFonts w:ascii="Book Antiqua" w:hAnsi="Book Antiqua"/>
          <w:color w:val="000000" w:themeColor="text1"/>
        </w:rPr>
        <w:t>mol/L</w:t>
      </w:r>
      <w:r w:rsidRPr="00C33BA8">
        <w:rPr>
          <w:rFonts w:ascii="Book Antiqua" w:hAnsi="Book Antiqua"/>
          <w:color w:val="000000" w:themeColor="text1"/>
        </w:rPr>
        <w:t xml:space="preserve"> NaOH, and the color intensity was read by an ELISA reader at 405</w:t>
      </w:r>
      <w:r w:rsidRPr="00C33BA8">
        <w:rPr>
          <w:rFonts w:ascii="Book Antiqua" w:hAnsi="Book Antiqua"/>
          <w:color w:val="000000" w:themeColor="text1"/>
          <w:spacing w:val="5"/>
        </w:rPr>
        <w:t xml:space="preserve"> </w:t>
      </w:r>
      <w:r w:rsidR="00CD4F78" w:rsidRPr="00C33BA8">
        <w:rPr>
          <w:rFonts w:ascii="Book Antiqua" w:hAnsi="Book Antiqua"/>
          <w:color w:val="000000" w:themeColor="text1"/>
        </w:rPr>
        <w:t>n</w:t>
      </w:r>
      <w:bookmarkStart w:id="25" w:name="OLE_LINK46"/>
      <w:r w:rsidR="00CD4F78" w:rsidRPr="00C33BA8">
        <w:rPr>
          <w:rFonts w:ascii="Book Antiqua" w:hAnsi="Book Antiqua"/>
          <w:color w:val="000000" w:themeColor="text1"/>
        </w:rPr>
        <w:t>mol/L</w:t>
      </w:r>
      <w:bookmarkEnd w:id="25"/>
      <w:r w:rsidRPr="00C33BA8">
        <w:rPr>
          <w:rFonts w:ascii="Book Antiqua" w:hAnsi="Book Antiqua"/>
          <w:color w:val="000000" w:themeColor="text1"/>
        </w:rPr>
        <w:t>.</w:t>
      </w:r>
    </w:p>
    <w:p w14:paraId="68459D02" w14:textId="22E4F4B2" w:rsidR="00920C46" w:rsidRPr="00C33BA8" w:rsidRDefault="00E815E9" w:rsidP="002F05A8">
      <w:pPr>
        <w:pStyle w:val="BodyText"/>
        <w:adjustRightInd w:val="0"/>
        <w:snapToGrid w:val="0"/>
        <w:spacing w:line="360" w:lineRule="auto"/>
        <w:ind w:left="0" w:firstLineChars="100" w:firstLine="240"/>
        <w:jc w:val="both"/>
        <w:rPr>
          <w:rFonts w:ascii="Book Antiqua" w:hAnsi="Book Antiqua"/>
          <w:color w:val="000000" w:themeColor="text1"/>
        </w:rPr>
      </w:pPr>
      <w:r w:rsidRPr="00C33BA8">
        <w:rPr>
          <w:rFonts w:ascii="Book Antiqua" w:hAnsi="Book Antiqua"/>
          <w:color w:val="000000" w:themeColor="text1"/>
        </w:rPr>
        <w:t>To determine the specificity of mouse monoclonal and rabbit polyclonal antibodies, these antibodies were replaced with the same dilution of non-immunized serum and added to quadruplicate wells. Furthermore, the antibodies and other reagents were added to 4 wells coated with HSA and 4 wells coated with 2% BSA alone; these were then used as negative controls. After the addition of other reagents to these control wells, the ODs were measured.</w:t>
      </w:r>
    </w:p>
    <w:p w14:paraId="6627E0B9" w14:textId="77777777" w:rsidR="00CD4F78" w:rsidRPr="00C33BA8" w:rsidRDefault="00CD4F78" w:rsidP="00CD4F78">
      <w:pPr>
        <w:pStyle w:val="BodyText"/>
        <w:adjustRightInd w:val="0"/>
        <w:snapToGrid w:val="0"/>
        <w:spacing w:line="360" w:lineRule="auto"/>
        <w:ind w:left="0" w:firstLine="120"/>
        <w:jc w:val="both"/>
        <w:rPr>
          <w:rFonts w:ascii="Book Antiqua" w:hAnsi="Book Antiqua"/>
          <w:color w:val="000000" w:themeColor="text1"/>
        </w:rPr>
      </w:pPr>
    </w:p>
    <w:p w14:paraId="51A5369C" w14:textId="448C2230" w:rsidR="00920C46" w:rsidRPr="00C33BA8" w:rsidRDefault="00E815E9" w:rsidP="00686B93">
      <w:pPr>
        <w:adjustRightInd w:val="0"/>
        <w:snapToGrid w:val="0"/>
        <w:spacing w:line="360" w:lineRule="auto"/>
        <w:jc w:val="both"/>
        <w:rPr>
          <w:rFonts w:ascii="Book Antiqua" w:hAnsi="Book Antiqua"/>
          <w:b/>
          <w:i/>
          <w:color w:val="000000" w:themeColor="text1"/>
          <w:sz w:val="24"/>
          <w:szCs w:val="24"/>
        </w:rPr>
      </w:pPr>
      <w:r w:rsidRPr="00C33BA8">
        <w:rPr>
          <w:rFonts w:ascii="Book Antiqua" w:hAnsi="Book Antiqua"/>
          <w:b/>
          <w:i/>
          <w:color w:val="000000" w:themeColor="text1"/>
          <w:sz w:val="24"/>
          <w:szCs w:val="24"/>
        </w:rPr>
        <w:t>Binding of serially diluted anti-C. jejuni and anti-C. jejuni Cdt to tissue and food antigens</w:t>
      </w:r>
    </w:p>
    <w:p w14:paraId="4A2CD331" w14:textId="7120298D" w:rsidR="00920C46" w:rsidRPr="00C33BA8" w:rsidRDefault="00E815E9" w:rsidP="00686B93">
      <w:pPr>
        <w:pStyle w:val="BodyText"/>
        <w:adjustRightInd w:val="0"/>
        <w:snapToGrid w:val="0"/>
        <w:spacing w:line="360" w:lineRule="auto"/>
        <w:ind w:left="0"/>
        <w:jc w:val="both"/>
        <w:rPr>
          <w:rFonts w:ascii="Book Antiqua" w:hAnsi="Book Antiqua"/>
          <w:color w:val="000000" w:themeColor="text1"/>
        </w:rPr>
      </w:pPr>
      <w:r w:rsidRPr="00C33BA8">
        <w:rPr>
          <w:rFonts w:ascii="Book Antiqua" w:hAnsi="Book Antiqua"/>
          <w:color w:val="000000" w:themeColor="text1"/>
        </w:rPr>
        <w:t>For the demonstration of the specificity of anti-</w:t>
      </w:r>
      <w:r w:rsidRPr="00C33BA8">
        <w:rPr>
          <w:rFonts w:ascii="Book Antiqua" w:hAnsi="Book Antiqua"/>
          <w:i/>
          <w:color w:val="000000" w:themeColor="text1"/>
        </w:rPr>
        <w:t xml:space="preserve">C. jejuni </w:t>
      </w:r>
      <w:r w:rsidRPr="00C33BA8">
        <w:rPr>
          <w:rFonts w:ascii="Book Antiqua" w:hAnsi="Book Antiqua"/>
          <w:color w:val="000000" w:themeColor="text1"/>
        </w:rPr>
        <w:t>lysate and anti-</w:t>
      </w:r>
      <w:r w:rsidRPr="00C33BA8">
        <w:rPr>
          <w:rFonts w:ascii="Book Antiqua" w:hAnsi="Book Antiqua"/>
          <w:i/>
          <w:color w:val="000000" w:themeColor="text1"/>
        </w:rPr>
        <w:t xml:space="preserve">C. jejuni </w:t>
      </w:r>
      <w:r w:rsidRPr="00C33BA8">
        <w:rPr>
          <w:rFonts w:ascii="Book Antiqua" w:hAnsi="Book Antiqua"/>
          <w:color w:val="000000" w:themeColor="text1"/>
        </w:rPr>
        <w:t xml:space="preserve">Cdt antibodies binding to different tissue and food antigens, 2 sets of 5 different strips of ELISA plate, each containing 8 wells, were coated respectively with </w:t>
      </w:r>
      <w:r w:rsidRPr="00C33BA8">
        <w:rPr>
          <w:rFonts w:ascii="Book Antiqua" w:hAnsi="Book Antiqua"/>
          <w:i/>
          <w:color w:val="000000" w:themeColor="text1"/>
        </w:rPr>
        <w:t xml:space="preserve">C. jejuni </w:t>
      </w:r>
      <w:r w:rsidRPr="00C33BA8">
        <w:rPr>
          <w:rFonts w:ascii="Book Antiqua" w:hAnsi="Book Antiqua"/>
          <w:color w:val="000000" w:themeColor="text1"/>
        </w:rPr>
        <w:t xml:space="preserve">lysate, zonulin, somatotropin, presenilin and </w:t>
      </w:r>
      <w:r w:rsidR="00CD4F78" w:rsidRPr="00C33BA8">
        <w:rPr>
          <w:rFonts w:ascii="Book Antiqua" w:hAnsi="Book Antiqua"/>
          <w:color w:val="000000" w:themeColor="text1"/>
        </w:rPr>
        <w:t>ω</w:t>
      </w:r>
      <w:r w:rsidRPr="00C33BA8">
        <w:rPr>
          <w:rFonts w:ascii="Book Antiqua" w:hAnsi="Book Antiqua"/>
          <w:color w:val="000000" w:themeColor="text1"/>
        </w:rPr>
        <w:t xml:space="preserve">-gliadin. In the second set of microplate wells, the first strip was coated with </w:t>
      </w:r>
      <w:r w:rsidRPr="00C33BA8">
        <w:rPr>
          <w:rFonts w:ascii="Book Antiqua" w:hAnsi="Book Antiqua"/>
          <w:i/>
          <w:color w:val="000000" w:themeColor="text1"/>
        </w:rPr>
        <w:t xml:space="preserve">C. jejuni </w:t>
      </w:r>
      <w:r w:rsidRPr="00C33BA8">
        <w:rPr>
          <w:rFonts w:ascii="Book Antiqua" w:hAnsi="Book Antiqua"/>
          <w:color w:val="000000" w:themeColor="text1"/>
        </w:rPr>
        <w:t xml:space="preserve">Cdt followed by the other antigens on each microwell strip. In addition to </w:t>
      </w:r>
      <w:r w:rsidRPr="00C33BA8">
        <w:rPr>
          <w:rFonts w:ascii="Book Antiqua" w:hAnsi="Book Antiqua"/>
          <w:i/>
          <w:color w:val="000000" w:themeColor="text1"/>
        </w:rPr>
        <w:t xml:space="preserve">C. jejuni </w:t>
      </w:r>
      <w:r w:rsidRPr="00C33BA8">
        <w:rPr>
          <w:rFonts w:ascii="Book Antiqua" w:hAnsi="Book Antiqua"/>
          <w:color w:val="000000" w:themeColor="text1"/>
        </w:rPr>
        <w:t>and Cdt antigens the additional 4 antigens were chosen as being representative of the antigens that showed from moderate to strong immune reactivity with the anti-</w:t>
      </w:r>
      <w:r w:rsidRPr="00C33BA8">
        <w:rPr>
          <w:rFonts w:ascii="Book Antiqua" w:hAnsi="Book Antiqua"/>
          <w:i/>
          <w:color w:val="000000" w:themeColor="text1"/>
        </w:rPr>
        <w:t xml:space="preserve">C. jejuni </w:t>
      </w:r>
      <w:r w:rsidRPr="00C33BA8">
        <w:rPr>
          <w:rFonts w:ascii="Book Antiqua" w:hAnsi="Book Antiqua"/>
          <w:color w:val="000000" w:themeColor="text1"/>
        </w:rPr>
        <w:t xml:space="preserve">and </w:t>
      </w:r>
      <w:r w:rsidRPr="00C33BA8">
        <w:rPr>
          <w:rFonts w:ascii="Book Antiqua" w:hAnsi="Book Antiqua"/>
          <w:i/>
          <w:color w:val="000000" w:themeColor="text1"/>
        </w:rPr>
        <w:t xml:space="preserve">C. jejuni </w:t>
      </w:r>
      <w:r w:rsidRPr="00C33BA8">
        <w:rPr>
          <w:rFonts w:ascii="Book Antiqua" w:hAnsi="Book Antiqua"/>
          <w:color w:val="000000" w:themeColor="text1"/>
        </w:rPr>
        <w:t xml:space="preserve">Cdt. </w:t>
      </w:r>
      <w:r w:rsidRPr="00C33BA8">
        <w:rPr>
          <w:rFonts w:ascii="Book Antiqua" w:hAnsi="Book Antiqua"/>
          <w:i/>
          <w:color w:val="000000" w:themeColor="text1"/>
        </w:rPr>
        <w:t xml:space="preserve">C. </w:t>
      </w:r>
      <w:r w:rsidRPr="00C33BA8">
        <w:rPr>
          <w:rFonts w:ascii="Book Antiqua" w:hAnsi="Book Antiqua"/>
          <w:color w:val="000000" w:themeColor="text1"/>
        </w:rPr>
        <w:t>jejuni or Cdt antibody that</w:t>
      </w:r>
      <w:r w:rsidRPr="00C33BA8">
        <w:rPr>
          <w:rFonts w:ascii="Book Antiqua" w:hAnsi="Book Antiqua"/>
          <w:color w:val="000000" w:themeColor="text1"/>
          <w:spacing w:val="-8"/>
        </w:rPr>
        <w:t xml:space="preserve"> </w:t>
      </w:r>
      <w:r w:rsidRPr="00C33BA8">
        <w:rPr>
          <w:rFonts w:ascii="Book Antiqua" w:hAnsi="Book Antiqua"/>
          <w:color w:val="000000" w:themeColor="text1"/>
        </w:rPr>
        <w:t>had</w:t>
      </w:r>
      <w:r w:rsidRPr="00C33BA8">
        <w:rPr>
          <w:rFonts w:ascii="Book Antiqua" w:hAnsi="Book Antiqua"/>
          <w:color w:val="000000" w:themeColor="text1"/>
          <w:spacing w:val="-7"/>
        </w:rPr>
        <w:t xml:space="preserve"> </w:t>
      </w:r>
      <w:r w:rsidRPr="00C33BA8">
        <w:rPr>
          <w:rFonts w:ascii="Book Antiqua" w:hAnsi="Book Antiqua"/>
          <w:color w:val="000000" w:themeColor="text1"/>
        </w:rPr>
        <w:t>been</w:t>
      </w:r>
      <w:r w:rsidRPr="00C33BA8">
        <w:rPr>
          <w:rFonts w:ascii="Book Antiqua" w:hAnsi="Book Antiqua"/>
          <w:color w:val="000000" w:themeColor="text1"/>
          <w:spacing w:val="-8"/>
        </w:rPr>
        <w:t xml:space="preserve"> </w:t>
      </w:r>
      <w:r w:rsidRPr="00C33BA8">
        <w:rPr>
          <w:rFonts w:ascii="Book Antiqua" w:hAnsi="Book Antiqua"/>
          <w:color w:val="000000" w:themeColor="text1"/>
        </w:rPr>
        <w:t>serially</w:t>
      </w:r>
      <w:r w:rsidRPr="00C33BA8">
        <w:rPr>
          <w:rFonts w:ascii="Book Antiqua" w:hAnsi="Book Antiqua"/>
          <w:color w:val="000000" w:themeColor="text1"/>
          <w:spacing w:val="-7"/>
        </w:rPr>
        <w:t xml:space="preserve"> </w:t>
      </w:r>
      <w:r w:rsidRPr="00C33BA8">
        <w:rPr>
          <w:rFonts w:ascii="Book Antiqua" w:hAnsi="Book Antiqua"/>
          <w:color w:val="000000" w:themeColor="text1"/>
        </w:rPr>
        <w:t>diluted</w:t>
      </w:r>
      <w:r w:rsidRPr="00C33BA8">
        <w:rPr>
          <w:rFonts w:ascii="Book Antiqua" w:hAnsi="Book Antiqua"/>
          <w:color w:val="000000" w:themeColor="text1"/>
          <w:spacing w:val="-8"/>
        </w:rPr>
        <w:t xml:space="preserve"> </w:t>
      </w:r>
      <w:r w:rsidRPr="00C33BA8">
        <w:rPr>
          <w:rFonts w:ascii="Book Antiqua" w:hAnsi="Book Antiqua"/>
          <w:color w:val="000000" w:themeColor="text1"/>
        </w:rPr>
        <w:t>from</w:t>
      </w:r>
      <w:r w:rsidRPr="00C33BA8">
        <w:rPr>
          <w:rFonts w:ascii="Book Antiqua" w:hAnsi="Book Antiqua"/>
          <w:color w:val="000000" w:themeColor="text1"/>
          <w:spacing w:val="-7"/>
        </w:rPr>
        <w:t xml:space="preserve"> </w:t>
      </w:r>
      <w:r w:rsidRPr="00C33BA8">
        <w:rPr>
          <w:rFonts w:ascii="Book Antiqua" w:hAnsi="Book Antiqua"/>
          <w:color w:val="000000" w:themeColor="text1"/>
        </w:rPr>
        <w:t>1:200-1:25, 600</w:t>
      </w:r>
      <w:r w:rsidRPr="00C33BA8">
        <w:rPr>
          <w:rFonts w:ascii="Book Antiqua" w:hAnsi="Book Antiqua"/>
          <w:color w:val="000000" w:themeColor="text1"/>
          <w:spacing w:val="-8"/>
        </w:rPr>
        <w:t xml:space="preserve"> </w:t>
      </w:r>
      <w:r w:rsidRPr="00C33BA8">
        <w:rPr>
          <w:rFonts w:ascii="Book Antiqua" w:hAnsi="Book Antiqua"/>
          <w:color w:val="000000" w:themeColor="text1"/>
        </w:rPr>
        <w:t>was</w:t>
      </w:r>
      <w:r w:rsidRPr="00C33BA8">
        <w:rPr>
          <w:rFonts w:ascii="Book Antiqua" w:hAnsi="Book Antiqua"/>
          <w:color w:val="000000" w:themeColor="text1"/>
          <w:spacing w:val="-7"/>
        </w:rPr>
        <w:t xml:space="preserve"> </w:t>
      </w:r>
      <w:r w:rsidRPr="00C33BA8">
        <w:rPr>
          <w:rFonts w:ascii="Book Antiqua" w:hAnsi="Book Antiqua"/>
          <w:color w:val="000000" w:themeColor="text1"/>
        </w:rPr>
        <w:t>then</w:t>
      </w:r>
      <w:r w:rsidRPr="00C33BA8">
        <w:rPr>
          <w:rFonts w:ascii="Book Antiqua" w:hAnsi="Book Antiqua"/>
          <w:color w:val="000000" w:themeColor="text1"/>
          <w:spacing w:val="-8"/>
        </w:rPr>
        <w:t xml:space="preserve"> </w:t>
      </w:r>
      <w:r w:rsidRPr="00C33BA8">
        <w:rPr>
          <w:rFonts w:ascii="Book Antiqua" w:hAnsi="Book Antiqua"/>
          <w:color w:val="000000" w:themeColor="text1"/>
        </w:rPr>
        <w:t>added</w:t>
      </w:r>
      <w:r w:rsidRPr="00C33BA8">
        <w:rPr>
          <w:rFonts w:ascii="Book Antiqua" w:hAnsi="Book Antiqua"/>
          <w:color w:val="000000" w:themeColor="text1"/>
          <w:spacing w:val="-7"/>
        </w:rPr>
        <w:t xml:space="preserve"> </w:t>
      </w:r>
      <w:r w:rsidRPr="00C33BA8">
        <w:rPr>
          <w:rFonts w:ascii="Book Antiqua" w:hAnsi="Book Antiqua"/>
          <w:color w:val="000000" w:themeColor="text1"/>
        </w:rPr>
        <w:t>to</w:t>
      </w:r>
      <w:r w:rsidRPr="00C33BA8">
        <w:rPr>
          <w:rFonts w:ascii="Book Antiqua" w:hAnsi="Book Antiqua"/>
          <w:color w:val="000000" w:themeColor="text1"/>
          <w:spacing w:val="-8"/>
        </w:rPr>
        <w:t xml:space="preserve"> </w:t>
      </w:r>
      <w:r w:rsidRPr="00C33BA8">
        <w:rPr>
          <w:rFonts w:ascii="Book Antiqua" w:hAnsi="Book Antiqua"/>
          <w:color w:val="000000" w:themeColor="text1"/>
        </w:rPr>
        <w:t>appropriate</w:t>
      </w:r>
      <w:r w:rsidRPr="00C33BA8">
        <w:rPr>
          <w:rFonts w:ascii="Book Antiqua" w:hAnsi="Book Antiqua"/>
          <w:color w:val="000000" w:themeColor="text1"/>
          <w:spacing w:val="-7"/>
        </w:rPr>
        <w:t xml:space="preserve"> </w:t>
      </w:r>
      <w:r w:rsidRPr="00C33BA8">
        <w:rPr>
          <w:rFonts w:ascii="Book Antiqua" w:hAnsi="Book Antiqua"/>
          <w:color w:val="000000" w:themeColor="text1"/>
        </w:rPr>
        <w:t>sets of microtiter plate wells. After incubation, washing and addition of secondary antibodies, and completion of other required ELISA steps, the ODs were recorded at 405</w:t>
      </w:r>
      <w:r w:rsidRPr="00C33BA8">
        <w:rPr>
          <w:rFonts w:ascii="Book Antiqua" w:hAnsi="Book Antiqua"/>
          <w:color w:val="000000" w:themeColor="text1"/>
          <w:spacing w:val="1"/>
        </w:rPr>
        <w:t xml:space="preserve"> </w:t>
      </w:r>
      <w:r w:rsidRPr="00C33BA8">
        <w:rPr>
          <w:rFonts w:ascii="Book Antiqua" w:hAnsi="Book Antiqua"/>
          <w:color w:val="000000" w:themeColor="text1"/>
        </w:rPr>
        <w:t>nmol/L.</w:t>
      </w:r>
    </w:p>
    <w:p w14:paraId="19F4C0BE" w14:textId="79E6EB26" w:rsidR="00E815E9" w:rsidRPr="00C33BA8" w:rsidRDefault="00E815E9" w:rsidP="00686B93">
      <w:pPr>
        <w:adjustRightInd w:val="0"/>
        <w:snapToGrid w:val="0"/>
        <w:spacing w:line="360" w:lineRule="auto"/>
        <w:jc w:val="both"/>
        <w:rPr>
          <w:rFonts w:ascii="Book Antiqua" w:hAnsi="Book Antiqua"/>
          <w:i/>
          <w:color w:val="000000" w:themeColor="text1"/>
          <w:sz w:val="24"/>
          <w:szCs w:val="24"/>
        </w:rPr>
      </w:pPr>
    </w:p>
    <w:p w14:paraId="3218E47E" w14:textId="3C2E6133" w:rsidR="00920C46" w:rsidRPr="00C33BA8" w:rsidRDefault="00E815E9" w:rsidP="00686B93">
      <w:pPr>
        <w:adjustRightInd w:val="0"/>
        <w:snapToGrid w:val="0"/>
        <w:spacing w:line="360" w:lineRule="auto"/>
        <w:jc w:val="both"/>
        <w:rPr>
          <w:rFonts w:ascii="Book Antiqua" w:hAnsi="Book Antiqua"/>
          <w:b/>
          <w:i/>
          <w:color w:val="000000" w:themeColor="text1"/>
          <w:sz w:val="24"/>
          <w:szCs w:val="24"/>
        </w:rPr>
      </w:pPr>
      <w:r w:rsidRPr="00C33BA8">
        <w:rPr>
          <w:rFonts w:ascii="Book Antiqua" w:hAnsi="Book Antiqua"/>
          <w:b/>
          <w:i/>
          <w:color w:val="000000" w:themeColor="text1"/>
          <w:sz w:val="24"/>
          <w:szCs w:val="24"/>
        </w:rPr>
        <w:t>Inhibition of anti-C. jejuni antigens and Cdt antibodies binding to C. jejuni, tissue and food antigens with the same antigens in liquid phase</w:t>
      </w:r>
    </w:p>
    <w:p w14:paraId="00028FC4" w14:textId="4104E928" w:rsidR="00920C46" w:rsidRPr="00C33BA8" w:rsidRDefault="00C94002" w:rsidP="00686B93">
      <w:pPr>
        <w:pStyle w:val="BodyText"/>
        <w:adjustRightInd w:val="0"/>
        <w:snapToGrid w:val="0"/>
        <w:spacing w:line="360" w:lineRule="auto"/>
        <w:ind w:left="0"/>
        <w:jc w:val="both"/>
        <w:rPr>
          <w:rFonts w:ascii="Book Antiqua" w:hAnsi="Book Antiqua"/>
          <w:color w:val="000000" w:themeColor="text1"/>
        </w:rPr>
      </w:pPr>
      <w:r>
        <w:rPr>
          <w:rFonts w:ascii="Book Antiqua" w:hAnsi="Book Antiqua"/>
          <w:noProof/>
          <w:color w:val="000000" w:themeColor="text1"/>
        </w:rPr>
        <mc:AlternateContent>
          <mc:Choice Requires="wps">
            <w:drawing>
              <wp:anchor distT="0" distB="0" distL="114300" distR="114300" simplePos="0" relativeHeight="2248" behindDoc="0" locked="0" layoutInCell="1" allowOverlap="1" wp14:anchorId="6D182A42" wp14:editId="6301396D">
                <wp:simplePos x="0" y="0"/>
                <wp:positionH relativeFrom="page">
                  <wp:posOffset>802640</wp:posOffset>
                </wp:positionH>
                <wp:positionV relativeFrom="paragraph">
                  <wp:posOffset>2524125</wp:posOffset>
                </wp:positionV>
                <wp:extent cx="0" cy="401955"/>
                <wp:effectExtent l="12065" t="7620" r="6985" b="9525"/>
                <wp:wrapNone/>
                <wp:docPr id="9"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1955"/>
                        </a:xfrm>
                        <a:prstGeom prst="line">
                          <a:avLst/>
                        </a:prstGeom>
                        <a:noFill/>
                        <a:ln w="9144">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46E62A" id="Line 78" o:spid="_x0000_s1026" style="position:absolute;z-index:2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3.2pt,198.75pt" to="63.2pt,2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" strokecolor="red" strokeweight=".72pt">
                <w10:wrap anchorx="page"/>
              </v:line>
            </w:pict>
          </mc:Fallback>
        </mc:AlternateContent>
      </w:r>
      <w:r w:rsidR="00E815E9" w:rsidRPr="00C33BA8">
        <w:rPr>
          <w:rFonts w:ascii="Book Antiqua" w:hAnsi="Book Antiqua"/>
          <w:color w:val="000000" w:themeColor="text1"/>
        </w:rPr>
        <w:t xml:space="preserve">For this inhibition study, 100 µL of diluents was first added to all wells of 5 different rows </w:t>
      </w:r>
      <w:r w:rsidR="00E815E9" w:rsidRPr="00C33BA8">
        <w:rPr>
          <w:rFonts w:ascii="Book Antiqua" w:hAnsi="Book Antiqua"/>
          <w:color w:val="000000" w:themeColor="text1"/>
        </w:rPr>
        <w:lastRenderedPageBreak/>
        <w:t xml:space="preserve">of microtiter plates coated with </w:t>
      </w:r>
      <w:r w:rsidR="00E815E9" w:rsidRPr="00C33BA8">
        <w:rPr>
          <w:rFonts w:ascii="Book Antiqua" w:hAnsi="Book Antiqua"/>
          <w:i/>
          <w:color w:val="000000" w:themeColor="text1"/>
        </w:rPr>
        <w:t xml:space="preserve">C. jejuni </w:t>
      </w:r>
      <w:r w:rsidR="00E815E9" w:rsidRPr="00C33BA8">
        <w:rPr>
          <w:rFonts w:ascii="Book Antiqua" w:hAnsi="Book Antiqua"/>
          <w:color w:val="000000" w:themeColor="text1"/>
        </w:rPr>
        <w:t xml:space="preserve">antigens, zonulin, somatotropin, presenilin, or </w:t>
      </w:r>
      <w:r w:rsidR="00CD4F78" w:rsidRPr="00C33BA8">
        <w:rPr>
          <w:rFonts w:ascii="Book Antiqua" w:hAnsi="Book Antiqua"/>
          <w:color w:val="000000" w:themeColor="text1"/>
        </w:rPr>
        <w:t>ω</w:t>
      </w:r>
      <w:r w:rsidR="00E815E9" w:rsidRPr="00C33BA8">
        <w:rPr>
          <w:rFonts w:ascii="Book Antiqua" w:hAnsi="Book Antiqua"/>
          <w:color w:val="000000" w:themeColor="text1"/>
        </w:rPr>
        <w:t xml:space="preserve">-gliadin. Twenty microliter of 0.1 mol/L PBS was added to the first well of each row; to the additional rows of the antigen-coated wells, 20 µL of PBS containing 1.5-96 µg of </w:t>
      </w:r>
      <w:r w:rsidR="00E815E9" w:rsidRPr="00C33BA8">
        <w:rPr>
          <w:rFonts w:ascii="Book Antiqua" w:hAnsi="Book Antiqua"/>
          <w:i/>
          <w:color w:val="000000" w:themeColor="text1"/>
        </w:rPr>
        <w:t>C. jejuni</w:t>
      </w:r>
      <w:r w:rsidR="00E815E9" w:rsidRPr="00C33BA8">
        <w:rPr>
          <w:rFonts w:ascii="Book Antiqua" w:hAnsi="Book Antiqua"/>
          <w:color w:val="000000" w:themeColor="text1"/>
        </w:rPr>
        <w:t xml:space="preserve">, zonulin, somatotropin, presenilin, or </w:t>
      </w:r>
      <w:r w:rsidR="00CD4F78" w:rsidRPr="00C33BA8">
        <w:rPr>
          <w:rFonts w:ascii="Book Antiqua" w:hAnsi="Book Antiqua"/>
          <w:color w:val="000000" w:themeColor="text1"/>
        </w:rPr>
        <w:t>ω</w:t>
      </w:r>
      <w:r w:rsidR="00E815E9" w:rsidRPr="00C33BA8">
        <w:rPr>
          <w:rFonts w:ascii="Book Antiqua" w:hAnsi="Book Antiqua"/>
          <w:color w:val="000000" w:themeColor="text1"/>
        </w:rPr>
        <w:t>-gliadin was added respectivel</w:t>
      </w:r>
      <w:r w:rsidR="007162FB" w:rsidRPr="00C33BA8">
        <w:rPr>
          <w:rFonts w:ascii="Book Antiqua" w:hAnsi="Book Antiqua"/>
          <w:color w:val="000000" w:themeColor="text1"/>
        </w:rPr>
        <w:t>y and incubated for 1 h</w:t>
      </w:r>
      <w:r w:rsidR="00E815E9" w:rsidRPr="00C33BA8">
        <w:rPr>
          <w:rFonts w:ascii="Book Antiqua" w:hAnsi="Book Antiqua"/>
          <w:color w:val="000000" w:themeColor="text1"/>
        </w:rPr>
        <w:t xml:space="preserve"> at RT. After the addition of 100 </w:t>
      </w:r>
      <w:r w:rsidR="007162FB" w:rsidRPr="00C33BA8">
        <w:rPr>
          <w:rFonts w:ascii="Book Antiqua" w:hAnsi="Book Antiqua"/>
          <w:color w:val="000000" w:themeColor="text1"/>
        </w:rPr>
        <w:t>µL</w:t>
      </w:r>
      <w:r w:rsidR="00E815E9" w:rsidRPr="00C33BA8">
        <w:rPr>
          <w:rFonts w:ascii="Book Antiqua" w:hAnsi="Book Antiqua"/>
          <w:color w:val="000000" w:themeColor="text1"/>
        </w:rPr>
        <w:t xml:space="preserve"> of rabbit anti-</w:t>
      </w:r>
      <w:r w:rsidR="00E815E9" w:rsidRPr="00C33BA8">
        <w:rPr>
          <w:rFonts w:ascii="Book Antiqua" w:hAnsi="Book Antiqua"/>
          <w:i/>
          <w:color w:val="000000" w:themeColor="text1"/>
        </w:rPr>
        <w:t xml:space="preserve">C. jejuni </w:t>
      </w:r>
      <w:r w:rsidR="00E815E9" w:rsidRPr="00C33BA8">
        <w:rPr>
          <w:rFonts w:ascii="Book Antiqua" w:hAnsi="Book Antiqua"/>
          <w:color w:val="000000" w:themeColor="text1"/>
        </w:rPr>
        <w:t xml:space="preserve">and </w:t>
      </w:r>
      <w:r w:rsidR="00E815E9" w:rsidRPr="00C33BA8">
        <w:rPr>
          <w:rFonts w:ascii="Book Antiqua" w:hAnsi="Book Antiqua"/>
          <w:i/>
          <w:color w:val="000000" w:themeColor="text1"/>
        </w:rPr>
        <w:t xml:space="preserve">C. jejuni </w:t>
      </w:r>
      <w:r w:rsidR="00E815E9" w:rsidRPr="00C33BA8">
        <w:rPr>
          <w:rFonts w:ascii="Book Antiqua" w:hAnsi="Book Antiqua"/>
          <w:color w:val="000000" w:themeColor="text1"/>
        </w:rPr>
        <w:t>Cdt, incubation, washing, and further addition of the secondary antibody or anti-rabbit IgG, and completion of all ELISA steps, the ODs were recorded at 405</w:t>
      </w:r>
      <w:r w:rsidR="007162FB" w:rsidRPr="00C33BA8">
        <w:rPr>
          <w:rFonts w:ascii="Book Antiqua" w:hAnsi="Book Antiqua"/>
          <w:color w:val="000000" w:themeColor="text1"/>
        </w:rPr>
        <w:t xml:space="preserve"> nmol/L</w:t>
      </w:r>
      <w:r w:rsidR="00E815E9" w:rsidRPr="00C33BA8">
        <w:rPr>
          <w:rFonts w:ascii="Book Antiqua" w:hAnsi="Book Antiqua"/>
          <w:color w:val="000000" w:themeColor="text1"/>
        </w:rPr>
        <w:t>, and the percentage of inhibition of this antigen-antibody reaction was calculated in proportion to the antigen concentration in the liquid phase.</w:t>
      </w:r>
    </w:p>
    <w:p w14:paraId="7D520B72" w14:textId="77777777" w:rsidR="00920C46" w:rsidRPr="00C33BA8" w:rsidRDefault="00920C46" w:rsidP="00686B93">
      <w:pPr>
        <w:pStyle w:val="BodyText"/>
        <w:adjustRightInd w:val="0"/>
        <w:snapToGrid w:val="0"/>
        <w:spacing w:line="360" w:lineRule="auto"/>
        <w:ind w:left="0"/>
        <w:jc w:val="both"/>
        <w:rPr>
          <w:rFonts w:ascii="Book Antiqua" w:hAnsi="Book Antiqua"/>
          <w:color w:val="000000" w:themeColor="text1"/>
        </w:rPr>
      </w:pPr>
    </w:p>
    <w:p w14:paraId="4C368093" w14:textId="61EF5A45" w:rsidR="007162FB" w:rsidRPr="00C33BA8" w:rsidRDefault="007162FB" w:rsidP="00686B93">
      <w:pPr>
        <w:pStyle w:val="BodyText"/>
        <w:adjustRightInd w:val="0"/>
        <w:snapToGrid w:val="0"/>
        <w:spacing w:line="360" w:lineRule="auto"/>
        <w:ind w:left="0"/>
        <w:jc w:val="both"/>
        <w:rPr>
          <w:rFonts w:ascii="Book Antiqua" w:hAnsi="Book Antiqua"/>
          <w:b/>
          <w:i/>
          <w:color w:val="000000" w:themeColor="text1"/>
        </w:rPr>
      </w:pPr>
      <w:r w:rsidRPr="00C33BA8">
        <w:rPr>
          <w:rFonts w:ascii="Book Antiqua" w:hAnsi="Book Antiqua"/>
          <w:b/>
          <w:i/>
          <w:color w:val="000000" w:themeColor="text1"/>
        </w:rPr>
        <w:t>Statistical analysis</w:t>
      </w:r>
    </w:p>
    <w:p w14:paraId="176C5FF0" w14:textId="7671C14A" w:rsidR="00920C46" w:rsidRPr="00C33BA8" w:rsidRDefault="00E815E9" w:rsidP="00686B93">
      <w:pPr>
        <w:pStyle w:val="BodyText"/>
        <w:adjustRightInd w:val="0"/>
        <w:snapToGrid w:val="0"/>
        <w:spacing w:line="360" w:lineRule="auto"/>
        <w:ind w:left="0"/>
        <w:jc w:val="both"/>
        <w:rPr>
          <w:rFonts w:ascii="Book Antiqua" w:hAnsi="Book Antiqua"/>
          <w:color w:val="000000" w:themeColor="text1"/>
        </w:rPr>
      </w:pPr>
      <w:r w:rsidRPr="00C33BA8">
        <w:rPr>
          <w:rFonts w:ascii="Book Antiqua" w:hAnsi="Book Antiqua"/>
          <w:color w:val="000000" w:themeColor="text1"/>
        </w:rPr>
        <w:t>Statistical ana</w:t>
      </w:r>
      <w:r w:rsidR="007162FB" w:rsidRPr="00C33BA8">
        <w:rPr>
          <w:rFonts w:ascii="Book Antiqua" w:hAnsi="Book Antiqua"/>
          <w:color w:val="000000" w:themeColor="text1"/>
        </w:rPr>
        <w:t>lysis using Microsoft Excel’s</w:t>
      </w:r>
      <w:r w:rsidR="007162FB" w:rsidRPr="00C33BA8">
        <w:rPr>
          <w:rFonts w:ascii="Book Antiqua" w:hAnsi="Book Antiqua"/>
          <w:i/>
          <w:color w:val="000000" w:themeColor="text1"/>
        </w:rPr>
        <w:t xml:space="preserve"> t</w:t>
      </w:r>
      <w:r w:rsidR="007162FB" w:rsidRPr="00C33BA8">
        <w:rPr>
          <w:rFonts w:ascii="Book Antiqua" w:hAnsi="Book Antiqua"/>
          <w:color w:val="000000" w:themeColor="text1"/>
        </w:rPr>
        <w:t xml:space="preserve"> </w:t>
      </w:r>
      <w:r w:rsidRPr="00C33BA8">
        <w:rPr>
          <w:rFonts w:ascii="Book Antiqua" w:hAnsi="Book Antiqua"/>
          <w:color w:val="000000" w:themeColor="text1"/>
        </w:rPr>
        <w:t>test function was performed.</w:t>
      </w:r>
    </w:p>
    <w:p w14:paraId="33A92FB0" w14:textId="2E6D9BA5" w:rsidR="00920C46" w:rsidRPr="00C33BA8" w:rsidRDefault="00E815E9" w:rsidP="007162FB">
      <w:pPr>
        <w:pStyle w:val="BodyText"/>
        <w:adjustRightInd w:val="0"/>
        <w:snapToGrid w:val="0"/>
        <w:spacing w:line="360" w:lineRule="auto"/>
        <w:ind w:left="0" w:firstLine="120"/>
        <w:jc w:val="both"/>
        <w:rPr>
          <w:rFonts w:ascii="Book Antiqua" w:hAnsi="Book Antiqua"/>
          <w:color w:val="000000" w:themeColor="text1"/>
        </w:rPr>
      </w:pPr>
      <w:r w:rsidRPr="00C33BA8">
        <w:rPr>
          <w:rFonts w:ascii="Book Antiqua" w:hAnsi="Book Antiqua"/>
          <w:color w:val="000000" w:themeColor="text1"/>
        </w:rPr>
        <w:t xml:space="preserve">Comparison of the ODs of all wells used as controls to the ODs of the </w:t>
      </w:r>
      <w:r w:rsidRPr="00C33BA8">
        <w:rPr>
          <w:rFonts w:ascii="Book Antiqua" w:hAnsi="Book Antiqua"/>
          <w:i/>
          <w:color w:val="000000" w:themeColor="text1"/>
        </w:rPr>
        <w:t xml:space="preserve">C. jejuni </w:t>
      </w:r>
      <w:r w:rsidRPr="00C33BA8">
        <w:rPr>
          <w:rFonts w:ascii="Book Antiqua" w:hAnsi="Book Antiqua"/>
          <w:color w:val="000000" w:themeColor="text1"/>
        </w:rPr>
        <w:t>antibody reactivity against all tested tissue and food antigens was performed. A Bonferroni adjustment account for type 1 errors with multiple comparisons was set to adjust the alpha (</w:t>
      </w:r>
      <w:r w:rsidR="007162FB" w:rsidRPr="00C33BA8">
        <w:rPr>
          <w:rFonts w:ascii="Book Antiqua" w:hAnsi="Book Antiqua"/>
          <w:i/>
          <w:color w:val="000000" w:themeColor="text1"/>
        </w:rPr>
        <w:t>P</w:t>
      </w:r>
      <w:r w:rsidRPr="00C33BA8">
        <w:rPr>
          <w:rFonts w:ascii="Book Antiqua" w:hAnsi="Book Antiqua"/>
          <w:color w:val="000000" w:themeColor="text1"/>
        </w:rPr>
        <w:t xml:space="preserve"> &gt; 0.001). </w:t>
      </w:r>
      <w:r w:rsidR="007162FB" w:rsidRPr="00C33BA8">
        <w:rPr>
          <w:rFonts w:ascii="Book Antiqua" w:hAnsi="Book Antiqua"/>
          <w:color w:val="000000" w:themeColor="text1"/>
        </w:rPr>
        <w:t xml:space="preserve">The </w:t>
      </w:r>
      <w:r w:rsidR="007162FB" w:rsidRPr="00C33BA8">
        <w:rPr>
          <w:rFonts w:ascii="Book Antiqua" w:hAnsi="Book Antiqua"/>
          <w:i/>
          <w:color w:val="000000" w:themeColor="text1"/>
        </w:rPr>
        <w:t>P</w:t>
      </w:r>
      <w:r w:rsidR="007162FB" w:rsidRPr="00C33BA8">
        <w:rPr>
          <w:rFonts w:ascii="Book Antiqua" w:hAnsi="Book Antiqua"/>
          <w:color w:val="000000" w:themeColor="text1"/>
        </w:rPr>
        <w:t>-values are listed in Figures</w:t>
      </w:r>
      <w:r w:rsidRPr="00C33BA8">
        <w:rPr>
          <w:rFonts w:ascii="Book Antiqua" w:hAnsi="Book Antiqua"/>
          <w:color w:val="000000" w:themeColor="text1"/>
        </w:rPr>
        <w:t xml:space="preserve"> 1-4.</w:t>
      </w:r>
    </w:p>
    <w:p w14:paraId="073E88D4" w14:textId="77777777" w:rsidR="007162FB" w:rsidRPr="00C33BA8" w:rsidRDefault="007162FB" w:rsidP="007162FB">
      <w:pPr>
        <w:pStyle w:val="BodyText"/>
        <w:adjustRightInd w:val="0"/>
        <w:snapToGrid w:val="0"/>
        <w:spacing w:line="360" w:lineRule="auto"/>
        <w:ind w:left="0" w:firstLine="120"/>
        <w:jc w:val="both"/>
        <w:rPr>
          <w:rFonts w:ascii="Book Antiqua" w:hAnsi="Book Antiqua"/>
          <w:color w:val="000000" w:themeColor="text1"/>
        </w:rPr>
      </w:pPr>
    </w:p>
    <w:p w14:paraId="7C9740EF" w14:textId="0F15905C" w:rsidR="00920C46" w:rsidRPr="00C33BA8" w:rsidRDefault="007162FB" w:rsidP="00686B93">
      <w:pPr>
        <w:pStyle w:val="Heading1"/>
        <w:adjustRightInd w:val="0"/>
        <w:snapToGrid w:val="0"/>
        <w:spacing w:line="360" w:lineRule="auto"/>
        <w:ind w:left="0"/>
        <w:jc w:val="both"/>
        <w:rPr>
          <w:rFonts w:ascii="Book Antiqua" w:hAnsi="Book Antiqua"/>
          <w:color w:val="000000" w:themeColor="text1"/>
        </w:rPr>
      </w:pPr>
      <w:r w:rsidRPr="00C33BA8">
        <w:rPr>
          <w:rFonts w:ascii="Book Antiqua" w:hAnsi="Book Antiqua"/>
          <w:color w:val="000000" w:themeColor="text1"/>
          <w:w w:val="110"/>
        </w:rPr>
        <w:t>RESULTS</w:t>
      </w:r>
    </w:p>
    <w:p w14:paraId="44D92203" w14:textId="07B38C60" w:rsidR="00920C46" w:rsidRPr="00C33BA8" w:rsidRDefault="00E815E9" w:rsidP="00686B93">
      <w:pPr>
        <w:pStyle w:val="BodyText"/>
        <w:adjustRightInd w:val="0"/>
        <w:snapToGrid w:val="0"/>
        <w:spacing w:line="360" w:lineRule="auto"/>
        <w:ind w:left="0"/>
        <w:jc w:val="both"/>
        <w:rPr>
          <w:rFonts w:ascii="Book Antiqua" w:hAnsi="Book Antiqua"/>
          <w:color w:val="000000" w:themeColor="text1"/>
        </w:rPr>
      </w:pPr>
      <w:r w:rsidRPr="00C33BA8">
        <w:rPr>
          <w:rFonts w:ascii="Book Antiqua" w:hAnsi="Book Antiqua"/>
          <w:color w:val="000000" w:themeColor="text1"/>
        </w:rPr>
        <w:t xml:space="preserve">Based on earlier studies about the structure of </w:t>
      </w:r>
      <w:r w:rsidRPr="00C33BA8">
        <w:rPr>
          <w:rFonts w:ascii="Book Antiqua" w:hAnsi="Book Antiqua"/>
          <w:i/>
          <w:color w:val="000000" w:themeColor="text1"/>
        </w:rPr>
        <w:t xml:space="preserve">C. jejuni </w:t>
      </w:r>
      <w:r w:rsidRPr="00C33BA8">
        <w:rPr>
          <w:rFonts w:ascii="Book Antiqua" w:hAnsi="Book Antiqua"/>
          <w:color w:val="000000" w:themeColor="text1"/>
        </w:rPr>
        <w:t>lipooligosaccharide, its mimicry with ganglioside, and the detection of antibodies against them in patients suffering from Guillain-Barré and Miller Fisher syndromes</w:t>
      </w:r>
      <w:r w:rsidRPr="00C33BA8">
        <w:rPr>
          <w:rFonts w:ascii="Book Antiqua" w:hAnsi="Book Antiqua"/>
          <w:color w:val="000000" w:themeColor="text1"/>
          <w:vertAlign w:val="superscript"/>
        </w:rPr>
        <w:t>[9-13]</w:t>
      </w:r>
      <w:r w:rsidRPr="00C33BA8">
        <w:rPr>
          <w:rFonts w:ascii="Book Antiqua" w:hAnsi="Book Antiqua"/>
          <w:color w:val="000000" w:themeColor="text1"/>
        </w:rPr>
        <w:t xml:space="preserve">, we measured the degree of immune reactivity of mouse monoclonal antibody made against </w:t>
      </w:r>
      <w:r w:rsidRPr="00C33BA8">
        <w:rPr>
          <w:rFonts w:ascii="Book Antiqua" w:hAnsi="Book Antiqua"/>
          <w:i/>
          <w:color w:val="000000" w:themeColor="text1"/>
        </w:rPr>
        <w:t xml:space="preserve">C. jejuni </w:t>
      </w:r>
      <w:r w:rsidRPr="00C33BA8">
        <w:rPr>
          <w:rFonts w:ascii="Book Antiqua" w:hAnsi="Book Antiqua"/>
          <w:color w:val="000000" w:themeColor="text1"/>
        </w:rPr>
        <w:t xml:space="preserve">with many tissue antigens and a variety of food proteins and peptides. Using ELISA methodology, we first found that unimmunized mouse serum did not react with </w:t>
      </w:r>
      <w:r w:rsidRPr="00C33BA8">
        <w:rPr>
          <w:rFonts w:ascii="Book Antiqua" w:hAnsi="Book Antiqua"/>
          <w:i/>
          <w:color w:val="000000" w:themeColor="text1"/>
        </w:rPr>
        <w:t xml:space="preserve">C. jejuni </w:t>
      </w:r>
      <w:r w:rsidRPr="00C33BA8">
        <w:rPr>
          <w:rFonts w:ascii="Book Antiqua" w:hAnsi="Book Antiqua"/>
          <w:color w:val="000000" w:themeColor="text1"/>
        </w:rPr>
        <w:t xml:space="preserve">lysate and all 45 different tissue antigens including </w:t>
      </w:r>
      <w:r w:rsidR="007162FB" w:rsidRPr="00C33BA8">
        <w:rPr>
          <w:rFonts w:ascii="Book Antiqua" w:hAnsi="Book Antiqua"/>
          <w:color w:val="000000" w:themeColor="text1"/>
        </w:rPr>
        <w:t>HSA</w:t>
      </w:r>
      <w:r w:rsidRPr="00C33BA8">
        <w:rPr>
          <w:rFonts w:ascii="Book Antiqua" w:hAnsi="Book Antiqua"/>
          <w:color w:val="000000" w:themeColor="text1"/>
        </w:rPr>
        <w:t xml:space="preserve"> used in the examination. The ELISA ODs for all these reactions were within 3 SD above the mean of control values or 0.41. To interpret the results of the antibody</w:t>
      </w:r>
      <w:r w:rsidRPr="00C33BA8">
        <w:rPr>
          <w:rFonts w:ascii="Book Antiqua" w:hAnsi="Book Antiqua"/>
          <w:color w:val="000000" w:themeColor="text1"/>
          <w:spacing w:val="13"/>
        </w:rPr>
        <w:t xml:space="preserve"> </w:t>
      </w:r>
      <w:r w:rsidRPr="00C33BA8">
        <w:rPr>
          <w:rFonts w:ascii="Book Antiqua" w:hAnsi="Book Antiqua"/>
          <w:color w:val="000000" w:themeColor="text1"/>
        </w:rPr>
        <w:t>level</w:t>
      </w:r>
      <w:r w:rsidR="007162FB" w:rsidRPr="00C33BA8">
        <w:rPr>
          <w:rFonts w:ascii="Book Antiqua" w:hAnsi="Book Antiqua"/>
          <w:color w:val="000000" w:themeColor="text1"/>
        </w:rPr>
        <w:t xml:space="preserve"> </w:t>
      </w:r>
      <w:r w:rsidRPr="00C33BA8">
        <w:rPr>
          <w:rFonts w:ascii="Book Antiqua" w:hAnsi="Book Antiqua"/>
          <w:color w:val="000000" w:themeColor="text1"/>
        </w:rPr>
        <w:t xml:space="preserve">measurements, we used the following key: 0-0.41 OD = insignificant; 0.42-1.0 = low; 1.1-1.6 = </w:t>
      </w:r>
      <w:r w:rsidR="007162FB" w:rsidRPr="00C33BA8">
        <w:rPr>
          <w:rFonts w:ascii="Book Antiqua" w:hAnsi="Book Antiqua"/>
          <w:color w:val="000000" w:themeColor="text1"/>
        </w:rPr>
        <w:t>moderate; 1.61-2.2 = high; &gt; 2.21</w:t>
      </w:r>
      <w:r w:rsidRPr="00C33BA8">
        <w:rPr>
          <w:rFonts w:ascii="Book Antiqua" w:hAnsi="Book Antiqua"/>
          <w:color w:val="000000" w:themeColor="text1"/>
        </w:rPr>
        <w:t xml:space="preserve"> = very high.</w:t>
      </w:r>
    </w:p>
    <w:p w14:paraId="58FAA1C2" w14:textId="4FA2A711" w:rsidR="00920C46" w:rsidRPr="00C33BA8" w:rsidRDefault="007162FB" w:rsidP="00686B93">
      <w:pPr>
        <w:pStyle w:val="BodyText"/>
        <w:adjustRightInd w:val="0"/>
        <w:snapToGrid w:val="0"/>
        <w:spacing w:line="360" w:lineRule="auto"/>
        <w:ind w:left="0"/>
        <w:jc w:val="both"/>
        <w:rPr>
          <w:rFonts w:ascii="Book Antiqua" w:hAnsi="Book Antiqua"/>
          <w:color w:val="000000" w:themeColor="text1"/>
        </w:rPr>
      </w:pPr>
      <w:r w:rsidRPr="00C33BA8">
        <w:rPr>
          <w:rFonts w:ascii="Book Antiqua" w:hAnsi="Book Antiqua"/>
          <w:color w:val="000000" w:themeColor="text1"/>
        </w:rPr>
        <w:t xml:space="preserve">  </w:t>
      </w:r>
      <w:r w:rsidR="00E815E9" w:rsidRPr="00C33BA8">
        <w:rPr>
          <w:rFonts w:ascii="Book Antiqua" w:hAnsi="Book Antiqua"/>
          <w:color w:val="000000" w:themeColor="text1"/>
        </w:rPr>
        <w:t>As was expected, the strongest reaction was observed between anti-</w:t>
      </w:r>
      <w:r w:rsidR="00E815E9" w:rsidRPr="00C33BA8">
        <w:rPr>
          <w:rFonts w:ascii="Book Antiqua" w:hAnsi="Book Antiqua"/>
          <w:i/>
          <w:color w:val="000000" w:themeColor="text1"/>
        </w:rPr>
        <w:t xml:space="preserve">C. jejuni </w:t>
      </w:r>
      <w:r w:rsidR="00E815E9" w:rsidRPr="00C33BA8">
        <w:rPr>
          <w:rFonts w:ascii="Book Antiqua" w:hAnsi="Book Antiqua"/>
          <w:color w:val="000000" w:themeColor="text1"/>
        </w:rPr>
        <w:t xml:space="preserve">antibody and </w:t>
      </w:r>
      <w:r w:rsidR="00E815E9" w:rsidRPr="00C33BA8">
        <w:rPr>
          <w:rFonts w:ascii="Book Antiqua" w:hAnsi="Book Antiqua"/>
          <w:i/>
          <w:color w:val="000000" w:themeColor="text1"/>
        </w:rPr>
        <w:t xml:space="preserve">C. jejuni </w:t>
      </w:r>
      <w:r w:rsidR="00E815E9" w:rsidRPr="00C33BA8">
        <w:rPr>
          <w:rFonts w:ascii="Book Antiqua" w:hAnsi="Book Antiqua"/>
          <w:color w:val="000000" w:themeColor="text1"/>
        </w:rPr>
        <w:t xml:space="preserve">lysate with an OD of 3.9, which is very close to the maximum detection limits of </w:t>
      </w:r>
      <w:r w:rsidR="00E815E9" w:rsidRPr="00C33BA8">
        <w:rPr>
          <w:rFonts w:ascii="Book Antiqua" w:hAnsi="Book Antiqua"/>
          <w:color w:val="000000" w:themeColor="text1"/>
        </w:rPr>
        <w:lastRenderedPageBreak/>
        <w:t xml:space="preserve">the assay (OD of 4.0) (Figure 1). In relation to reactivity with different tissue antigens, the </w:t>
      </w:r>
      <w:r w:rsidR="00E815E9" w:rsidRPr="00C33BA8">
        <w:rPr>
          <w:rFonts w:ascii="Book Antiqua" w:hAnsi="Book Antiqua"/>
          <w:i/>
          <w:color w:val="000000" w:themeColor="text1"/>
        </w:rPr>
        <w:t xml:space="preserve">C. jejuni </w:t>
      </w:r>
      <w:r w:rsidR="00E815E9" w:rsidRPr="00C33BA8">
        <w:rPr>
          <w:rFonts w:ascii="Book Antiqua" w:hAnsi="Book Antiqua"/>
          <w:color w:val="000000" w:themeColor="text1"/>
        </w:rPr>
        <w:t xml:space="preserve">antibody reacted from moderate to high with </w:t>
      </w:r>
      <w:r w:rsidR="00B85FCF" w:rsidRPr="00C33BA8">
        <w:rPr>
          <w:rFonts w:ascii="Book Antiqua" w:hAnsi="Book Antiqua"/>
          <w:color w:val="000000" w:themeColor="text1"/>
        </w:rPr>
        <w:t>β</w:t>
      </w:r>
      <w:r w:rsidRPr="00C33BA8">
        <w:rPr>
          <w:rFonts w:ascii="Book Antiqua" w:hAnsi="Book Antiqua"/>
          <w:color w:val="000000" w:themeColor="text1"/>
        </w:rPr>
        <w:t>-</w:t>
      </w:r>
      <w:r w:rsidR="00E815E9" w:rsidRPr="00C33BA8">
        <w:rPr>
          <w:rFonts w:ascii="Book Antiqua" w:hAnsi="Book Antiqua"/>
          <w:color w:val="000000" w:themeColor="text1"/>
        </w:rPr>
        <w:t xml:space="preserve">amyloid (OD </w:t>
      </w:r>
      <w:r w:rsidRPr="00C33BA8">
        <w:rPr>
          <w:rFonts w:ascii="Book Antiqua" w:hAnsi="Book Antiqua"/>
          <w:color w:val="000000" w:themeColor="text1"/>
        </w:rPr>
        <w:t xml:space="preserve">of </w:t>
      </w:r>
      <w:r w:rsidR="00E815E9" w:rsidRPr="00C33BA8">
        <w:rPr>
          <w:rFonts w:ascii="Book Antiqua" w:hAnsi="Book Antiqua"/>
          <w:color w:val="000000" w:themeColor="text1"/>
        </w:rPr>
        <w:t>1.6), zonulin (1.7), acetylcholine receptor (2.0), somatotropin (2.1) and presenilin (2.2). With 25 additional tissue antigens</w:t>
      </w:r>
      <w:r w:rsidRPr="00C33BA8">
        <w:rPr>
          <w:rFonts w:ascii="Book Antiqua" w:hAnsi="Book Antiqua"/>
          <w:color w:val="000000" w:themeColor="text1"/>
        </w:rPr>
        <w:t>,</w:t>
      </w:r>
      <w:r w:rsidR="00E815E9" w:rsidRPr="00C33BA8">
        <w:rPr>
          <w:rFonts w:ascii="Book Antiqua" w:hAnsi="Book Antiqua"/>
          <w:color w:val="000000" w:themeColor="text1"/>
        </w:rPr>
        <w:t xml:space="preserve"> this immune reaction was low, with ODs ranging from 0.5-1.0. The same mouse monoclonal antibody did not react at all with another 15 antigens, including HSA. The ODs for these 15 antigen-antibody reactions were below 0.27, which is considered as ELISA background (Figure 1).</w:t>
      </w:r>
    </w:p>
    <w:p w14:paraId="221C730F" w14:textId="598EB68A" w:rsidR="00920C46" w:rsidRPr="00C33BA8" w:rsidRDefault="007162FB" w:rsidP="00686B93">
      <w:pPr>
        <w:pStyle w:val="BodyText"/>
        <w:adjustRightInd w:val="0"/>
        <w:snapToGrid w:val="0"/>
        <w:spacing w:line="360" w:lineRule="auto"/>
        <w:ind w:left="0"/>
        <w:jc w:val="both"/>
        <w:rPr>
          <w:rFonts w:ascii="Book Antiqua" w:hAnsi="Book Antiqua"/>
          <w:color w:val="000000" w:themeColor="text1"/>
        </w:rPr>
      </w:pPr>
      <w:r w:rsidRPr="00C33BA8">
        <w:rPr>
          <w:rFonts w:ascii="Book Antiqua" w:hAnsi="Book Antiqua"/>
          <w:color w:val="000000" w:themeColor="text1"/>
        </w:rPr>
        <w:t xml:space="preserve">  </w:t>
      </w:r>
      <w:r w:rsidR="00E815E9" w:rsidRPr="00C33BA8">
        <w:rPr>
          <w:rFonts w:ascii="Book Antiqua" w:hAnsi="Book Antiqua"/>
          <w:color w:val="000000" w:themeColor="text1"/>
        </w:rPr>
        <w:t>Looking at the reaction between this monoclonal antibody and 180 different food antigens, our study found no reaction with 163 food antigens, but a low reaction (OD</w:t>
      </w:r>
      <w:r w:rsidRPr="00C33BA8">
        <w:rPr>
          <w:rFonts w:ascii="Book Antiqua" w:hAnsi="Book Antiqua"/>
          <w:color w:val="000000" w:themeColor="text1"/>
        </w:rPr>
        <w:t>:</w:t>
      </w:r>
      <w:r w:rsidR="00E815E9" w:rsidRPr="00C33BA8">
        <w:rPr>
          <w:rFonts w:ascii="Book Antiqua" w:hAnsi="Book Antiqua"/>
          <w:color w:val="000000" w:themeColor="text1"/>
        </w:rPr>
        <w:t xml:space="preserve"> 0.5-0.94) with 17 different food antigens (Figure 2).</w:t>
      </w:r>
    </w:p>
    <w:p w14:paraId="79864C8A" w14:textId="28A730C1" w:rsidR="00920C46" w:rsidRPr="00C33BA8" w:rsidRDefault="007162FB" w:rsidP="00686B93">
      <w:pPr>
        <w:pStyle w:val="BodyText"/>
        <w:adjustRightInd w:val="0"/>
        <w:snapToGrid w:val="0"/>
        <w:spacing w:line="360" w:lineRule="auto"/>
        <w:ind w:left="0"/>
        <w:jc w:val="both"/>
        <w:rPr>
          <w:rFonts w:ascii="Book Antiqua" w:hAnsi="Book Antiqua"/>
          <w:color w:val="000000" w:themeColor="text1"/>
        </w:rPr>
      </w:pPr>
      <w:r w:rsidRPr="00C33BA8">
        <w:rPr>
          <w:rFonts w:ascii="Book Antiqua" w:hAnsi="Book Antiqua"/>
          <w:color w:val="000000" w:themeColor="text1"/>
        </w:rPr>
        <w:t xml:space="preserve">  </w:t>
      </w:r>
      <w:r w:rsidR="00E815E9" w:rsidRPr="00C33BA8">
        <w:rPr>
          <w:rFonts w:ascii="Book Antiqua" w:hAnsi="Book Antiqua"/>
          <w:color w:val="000000" w:themeColor="text1"/>
        </w:rPr>
        <w:t xml:space="preserve">Since the structure of </w:t>
      </w:r>
      <w:r w:rsidR="00E815E9" w:rsidRPr="00C33BA8">
        <w:rPr>
          <w:rFonts w:ascii="Book Antiqua" w:hAnsi="Book Antiqua"/>
          <w:i/>
          <w:color w:val="000000" w:themeColor="text1"/>
        </w:rPr>
        <w:t xml:space="preserve">C. jejuni </w:t>
      </w:r>
      <w:r w:rsidR="00E815E9" w:rsidRPr="00C33BA8">
        <w:rPr>
          <w:rFonts w:ascii="Book Antiqua" w:hAnsi="Book Antiqua"/>
          <w:color w:val="000000" w:themeColor="text1"/>
        </w:rPr>
        <w:t>Cdt highly mimics the structure of DNase I, which controls the progression of the epithelial ce</w:t>
      </w:r>
      <w:r w:rsidRPr="00C33BA8">
        <w:rPr>
          <w:rFonts w:ascii="Book Antiqua" w:hAnsi="Book Antiqua"/>
          <w:color w:val="000000" w:themeColor="text1"/>
        </w:rPr>
        <w:t>ll cycle</w:t>
      </w:r>
      <w:r w:rsidRPr="00C33BA8">
        <w:rPr>
          <w:rFonts w:ascii="Book Antiqua" w:hAnsi="Book Antiqua"/>
          <w:color w:val="000000" w:themeColor="text1"/>
          <w:vertAlign w:val="superscript"/>
        </w:rPr>
        <w:t>[27]</w:t>
      </w:r>
      <w:r w:rsidR="00E815E9" w:rsidRPr="00C33BA8">
        <w:rPr>
          <w:rFonts w:ascii="Book Antiqua" w:hAnsi="Book Antiqua"/>
          <w:color w:val="000000" w:themeColor="text1"/>
        </w:rPr>
        <w:t>, and immunity against it links vinculin and other cytoskeletal protein</w:t>
      </w:r>
      <w:r w:rsidRPr="00C33BA8">
        <w:rPr>
          <w:rFonts w:ascii="Book Antiqua" w:hAnsi="Book Antiqua"/>
          <w:color w:val="000000" w:themeColor="text1"/>
        </w:rPr>
        <w:t>s to the pathophysiology of IBS</w:t>
      </w:r>
      <w:r w:rsidR="00E815E9" w:rsidRPr="00C33BA8">
        <w:rPr>
          <w:rFonts w:ascii="Book Antiqua" w:hAnsi="Book Antiqua"/>
          <w:color w:val="000000" w:themeColor="text1"/>
          <w:vertAlign w:val="superscript"/>
        </w:rPr>
        <w:t>[21-25]</w:t>
      </w:r>
      <w:r w:rsidR="00E815E9" w:rsidRPr="00C33BA8">
        <w:rPr>
          <w:rFonts w:ascii="Book Antiqua" w:hAnsi="Book Antiqua"/>
          <w:color w:val="000000" w:themeColor="text1"/>
        </w:rPr>
        <w:t>, we examined the reaction of anti-</w:t>
      </w:r>
      <w:r w:rsidR="00E815E9" w:rsidRPr="00C33BA8">
        <w:rPr>
          <w:rFonts w:ascii="Book Antiqua" w:hAnsi="Book Antiqua"/>
          <w:i/>
          <w:color w:val="000000" w:themeColor="text1"/>
        </w:rPr>
        <w:t xml:space="preserve">C. jejuni </w:t>
      </w:r>
      <w:r w:rsidR="00E815E9" w:rsidRPr="00C33BA8">
        <w:rPr>
          <w:rFonts w:ascii="Book Antiqua" w:hAnsi="Book Antiqua"/>
          <w:color w:val="000000" w:themeColor="text1"/>
        </w:rPr>
        <w:t xml:space="preserve">Cdt with the same tissue proteins and food antigens. With tissue proteins, as expected, we found the strongest reaction between </w:t>
      </w:r>
      <w:r w:rsidR="00E815E9" w:rsidRPr="00C33BA8">
        <w:rPr>
          <w:rFonts w:ascii="Book Antiqua" w:hAnsi="Book Antiqua"/>
          <w:i/>
          <w:color w:val="000000" w:themeColor="text1"/>
        </w:rPr>
        <w:t xml:space="preserve">C. jejuni </w:t>
      </w:r>
      <w:r w:rsidR="00E815E9" w:rsidRPr="00C33BA8">
        <w:rPr>
          <w:rFonts w:ascii="Book Antiqua" w:hAnsi="Book Antiqua"/>
          <w:color w:val="000000" w:themeColor="text1"/>
        </w:rPr>
        <w:t xml:space="preserve">Cdt antibody and </w:t>
      </w:r>
      <w:r w:rsidR="00E815E9" w:rsidRPr="00C33BA8">
        <w:rPr>
          <w:rFonts w:ascii="Book Antiqua" w:hAnsi="Book Antiqua"/>
          <w:i/>
          <w:color w:val="000000" w:themeColor="text1"/>
        </w:rPr>
        <w:t xml:space="preserve">C. jejuni </w:t>
      </w:r>
      <w:r w:rsidR="00E815E9" w:rsidRPr="00C33BA8">
        <w:rPr>
          <w:rFonts w:ascii="Book Antiqua" w:hAnsi="Book Antiqua"/>
          <w:color w:val="000000" w:themeColor="text1"/>
        </w:rPr>
        <w:t xml:space="preserve">Cdt with an OD of 3.3, followed by the reaction of </w:t>
      </w:r>
      <w:r w:rsidRPr="00C33BA8">
        <w:rPr>
          <w:rFonts w:ascii="Book Antiqua" w:hAnsi="Book Antiqua"/>
          <w:i/>
          <w:color w:val="000000" w:themeColor="text1"/>
        </w:rPr>
        <w:t>Escherichia coli</w:t>
      </w:r>
      <w:r w:rsidRPr="00C33BA8">
        <w:rPr>
          <w:rFonts w:ascii="Book Antiqua" w:hAnsi="Book Antiqua"/>
          <w:color w:val="000000" w:themeColor="text1"/>
        </w:rPr>
        <w:t xml:space="preserve"> (</w:t>
      </w:r>
      <w:r w:rsidRPr="00C33BA8">
        <w:rPr>
          <w:rFonts w:ascii="Book Antiqua" w:hAnsi="Book Antiqua"/>
          <w:i/>
          <w:color w:val="000000" w:themeColor="text1"/>
        </w:rPr>
        <w:t>E.</w:t>
      </w:r>
      <w:r w:rsidR="00E815E9" w:rsidRPr="00C33BA8">
        <w:rPr>
          <w:rFonts w:ascii="Book Antiqua" w:hAnsi="Book Antiqua"/>
          <w:i/>
          <w:color w:val="000000" w:themeColor="text1"/>
        </w:rPr>
        <w:t xml:space="preserve"> coli</w:t>
      </w:r>
      <w:r w:rsidRPr="00C33BA8">
        <w:rPr>
          <w:rFonts w:ascii="Book Antiqua" w:hAnsi="Book Antiqua"/>
          <w:color w:val="000000" w:themeColor="text1"/>
        </w:rPr>
        <w:t>)</w:t>
      </w:r>
      <w:r w:rsidR="00E815E9" w:rsidRPr="00C33BA8">
        <w:rPr>
          <w:rFonts w:ascii="Book Antiqua" w:hAnsi="Book Antiqua"/>
          <w:i/>
          <w:color w:val="000000" w:themeColor="text1"/>
        </w:rPr>
        <w:t xml:space="preserve"> </w:t>
      </w:r>
      <w:r w:rsidR="00E815E9" w:rsidRPr="00C33BA8">
        <w:rPr>
          <w:rFonts w:ascii="Book Antiqua" w:hAnsi="Book Antiqua"/>
          <w:color w:val="000000" w:themeColor="text1"/>
        </w:rPr>
        <w:t>Cdt with an OD of 2.8; both of these are considered very high reactions. The next strongest reactions of Cdt antibody were observed with somatotropin, intrinsic factor and zonulin with ODs of 2.0 or slightly greater, whi</w:t>
      </w:r>
      <w:r w:rsidRPr="00C33BA8">
        <w:rPr>
          <w:rFonts w:ascii="Book Antiqua" w:hAnsi="Book Antiqua"/>
          <w:color w:val="000000" w:themeColor="text1"/>
        </w:rPr>
        <w:t xml:space="preserve">ch are considered high. With 9 </w:t>
      </w:r>
      <w:r w:rsidR="008042CE" w:rsidRPr="00C33BA8">
        <w:rPr>
          <w:rFonts w:ascii="Book Antiqua" w:hAnsi="Book Antiqua"/>
          <w:color w:val="000000" w:themeColor="text1"/>
        </w:rPr>
        <w:t>tissue antigens [</w:t>
      </w:r>
      <w:r w:rsidR="00E815E9" w:rsidRPr="00C33BA8">
        <w:rPr>
          <w:rFonts w:ascii="Book Antiqua" w:hAnsi="Book Antiqua"/>
          <w:color w:val="000000" w:themeColor="text1"/>
        </w:rPr>
        <w:t xml:space="preserve">adherent junction, </w:t>
      </w:r>
      <w:r w:rsidR="008042CE" w:rsidRPr="00C33BA8">
        <w:rPr>
          <w:rFonts w:ascii="Book Antiqua" w:hAnsi="Book Antiqua"/>
          <w:color w:val="000000" w:themeColor="text1"/>
        </w:rPr>
        <w:t>transglutaminase (tTG)</w:t>
      </w:r>
      <w:r w:rsidR="00E815E9" w:rsidRPr="00C33BA8">
        <w:rPr>
          <w:rFonts w:ascii="Book Antiqua" w:hAnsi="Book Antiqua"/>
          <w:color w:val="000000" w:themeColor="text1"/>
        </w:rPr>
        <w:t>-2,</w:t>
      </w:r>
      <w:r w:rsidR="000E6C6A" w:rsidRPr="00C33BA8">
        <w:rPr>
          <w:rFonts w:ascii="Book Antiqua" w:hAnsi="Book Antiqua"/>
          <w:color w:val="000000" w:themeColor="text1"/>
        </w:rPr>
        <w:t xml:space="preserve"> </w:t>
      </w:r>
      <w:bookmarkStart w:id="26" w:name="OLE_LINK58"/>
      <w:bookmarkStart w:id="27" w:name="OLE_LINK59"/>
      <w:r w:rsidR="000E6C6A" w:rsidRPr="00C33BA8">
        <w:rPr>
          <w:rFonts w:ascii="Book Antiqua" w:hAnsi="Book Antiqua"/>
          <w:color w:val="000000" w:themeColor="text1"/>
        </w:rPr>
        <w:t>microbial transglutaminase</w:t>
      </w:r>
      <w:r w:rsidR="00E815E9" w:rsidRPr="00C33BA8">
        <w:rPr>
          <w:rFonts w:ascii="Book Antiqua" w:hAnsi="Book Antiqua"/>
          <w:color w:val="000000" w:themeColor="text1"/>
        </w:rPr>
        <w:t xml:space="preserve"> </w:t>
      </w:r>
      <w:bookmarkEnd w:id="26"/>
      <w:bookmarkEnd w:id="27"/>
      <w:r w:rsidR="000E6C6A" w:rsidRPr="00C33BA8">
        <w:rPr>
          <w:rFonts w:ascii="Book Antiqua" w:hAnsi="Book Antiqua"/>
          <w:color w:val="000000" w:themeColor="text1"/>
        </w:rPr>
        <w:t>(</w:t>
      </w:r>
      <w:r w:rsidR="00E815E9" w:rsidRPr="00C33BA8">
        <w:rPr>
          <w:rFonts w:ascii="Book Antiqua" w:hAnsi="Book Antiqua"/>
          <w:color w:val="000000" w:themeColor="text1"/>
        </w:rPr>
        <w:t>mTG</w:t>
      </w:r>
      <w:r w:rsidR="000E6C6A" w:rsidRPr="00C33BA8">
        <w:rPr>
          <w:rFonts w:ascii="Book Antiqua" w:hAnsi="Book Antiqua"/>
          <w:color w:val="000000" w:themeColor="text1"/>
        </w:rPr>
        <w:t>)</w:t>
      </w:r>
      <w:r w:rsidR="00E815E9" w:rsidRPr="00C33BA8">
        <w:rPr>
          <w:rFonts w:ascii="Book Antiqua" w:hAnsi="Book Antiqua"/>
          <w:color w:val="000000" w:themeColor="text1"/>
        </w:rPr>
        <w:t>, TPO, islet cell, a-enolase, GFAP, dopamin</w:t>
      </w:r>
      <w:r w:rsidR="008042CE" w:rsidRPr="00C33BA8">
        <w:rPr>
          <w:rFonts w:ascii="Book Antiqua" w:hAnsi="Book Antiqua"/>
          <w:color w:val="000000" w:themeColor="text1"/>
        </w:rPr>
        <w:t>e-R1, and platelet glycoprotein]</w:t>
      </w:r>
      <w:r w:rsidR="00E815E9" w:rsidRPr="00C33BA8">
        <w:rPr>
          <w:rFonts w:ascii="Book Antiqua" w:hAnsi="Book Antiqua"/>
          <w:color w:val="000000" w:themeColor="text1"/>
        </w:rPr>
        <w:t xml:space="preserve">, reaction with this antibody resulted in ODs of 1.1-1.6 (moderate). The reaction of this Cdt antibody with </w:t>
      </w:r>
      <w:r w:rsidR="00E815E9" w:rsidRPr="00C33BA8">
        <w:rPr>
          <w:rFonts w:ascii="Book Antiqua" w:hAnsi="Book Antiqua"/>
          <w:i/>
          <w:color w:val="000000" w:themeColor="text1"/>
        </w:rPr>
        <w:t xml:space="preserve">E. coli </w:t>
      </w:r>
      <w:bookmarkStart w:id="28" w:name="OLE_LINK52"/>
      <w:bookmarkStart w:id="29" w:name="OLE_LINK53"/>
      <w:r w:rsidR="000E6C6A" w:rsidRPr="00C33BA8">
        <w:rPr>
          <w:rFonts w:ascii="Book Antiqua" w:hAnsi="Book Antiqua"/>
          <w:color w:val="000000" w:themeColor="text1"/>
        </w:rPr>
        <w:t>lipopolysaccharide (</w:t>
      </w:r>
      <w:r w:rsidRPr="00C33BA8">
        <w:rPr>
          <w:rFonts w:ascii="Book Antiqua" w:hAnsi="Book Antiqua"/>
          <w:color w:val="000000" w:themeColor="text1"/>
        </w:rPr>
        <w:t>LPS</w:t>
      </w:r>
      <w:bookmarkEnd w:id="28"/>
      <w:bookmarkEnd w:id="29"/>
      <w:r w:rsidR="000E6C6A" w:rsidRPr="00C33BA8">
        <w:rPr>
          <w:rFonts w:ascii="Book Antiqua" w:hAnsi="Book Antiqua"/>
          <w:color w:val="000000" w:themeColor="text1"/>
        </w:rPr>
        <w:t>)</w:t>
      </w:r>
      <w:r w:rsidRPr="00C33BA8">
        <w:rPr>
          <w:rFonts w:ascii="Book Antiqua" w:hAnsi="Book Antiqua"/>
          <w:color w:val="000000" w:themeColor="text1"/>
        </w:rPr>
        <w:t>, a-myosin, claudin-</w:t>
      </w:r>
      <w:r w:rsidR="00E815E9" w:rsidRPr="00C33BA8">
        <w:rPr>
          <w:rFonts w:ascii="Book Antiqua" w:hAnsi="Book Antiqua"/>
          <w:color w:val="000000" w:themeColor="text1"/>
        </w:rPr>
        <w:t xml:space="preserve">5 and 8 different neuronal or associated antigens (enteric nerve, S100B, AQP4, </w:t>
      </w:r>
      <w:bookmarkStart w:id="30" w:name="OLE_LINK60"/>
      <w:bookmarkStart w:id="31" w:name="OLE_LINK61"/>
      <w:r w:rsidR="00E815E9" w:rsidRPr="00C33BA8">
        <w:rPr>
          <w:rFonts w:ascii="Book Antiqua" w:hAnsi="Book Antiqua"/>
          <w:color w:val="000000" w:themeColor="text1"/>
        </w:rPr>
        <w:t>MBP</w:t>
      </w:r>
      <w:bookmarkEnd w:id="30"/>
      <w:bookmarkEnd w:id="31"/>
      <w:r w:rsidR="00E815E9" w:rsidRPr="00C33BA8">
        <w:rPr>
          <w:rFonts w:ascii="Book Antiqua" w:hAnsi="Book Antiqua"/>
          <w:color w:val="000000" w:themeColor="text1"/>
        </w:rPr>
        <w:t xml:space="preserve">, </w:t>
      </w:r>
      <w:r w:rsidR="00E815E9" w:rsidRPr="00C33BA8">
        <w:rPr>
          <w:rFonts w:ascii="Book Antiqua" w:hAnsi="Book Antiqua"/>
          <w:color w:val="000000" w:themeColor="text1"/>
          <w:position w:val="2"/>
        </w:rPr>
        <w:t>asialoganglioside GM</w:t>
      </w:r>
      <w:r w:rsidR="00E815E9" w:rsidRPr="00C33BA8">
        <w:rPr>
          <w:rFonts w:ascii="Book Antiqua" w:hAnsi="Book Antiqua"/>
          <w:color w:val="000000" w:themeColor="text1"/>
          <w:position w:val="2"/>
          <w:vertAlign w:val="subscript"/>
        </w:rPr>
        <w:t>1</w:t>
      </w:r>
      <w:r w:rsidR="00E815E9" w:rsidRPr="00C33BA8">
        <w:rPr>
          <w:rFonts w:ascii="Book Antiqua" w:hAnsi="Book Antiqua"/>
          <w:color w:val="000000" w:themeColor="text1"/>
          <w:position w:val="2"/>
        </w:rPr>
        <w:t xml:space="preserve">, presenelin and GAD-65) resulted in ODs of 0.6-1.09 (low). The </w:t>
      </w:r>
      <w:r w:rsidR="00E815E9" w:rsidRPr="00C33BA8">
        <w:rPr>
          <w:rFonts w:ascii="Book Antiqua" w:hAnsi="Book Antiqua"/>
          <w:color w:val="000000" w:themeColor="text1"/>
        </w:rPr>
        <w:t>reactions of this antibody with an additional 3 different tissue antigens were insignificant (Figure 3). In relation to the immunoreactivity of this antibody with</w:t>
      </w:r>
      <w:r w:rsidR="00E815E9" w:rsidRPr="00C33BA8">
        <w:rPr>
          <w:rFonts w:ascii="Book Antiqua" w:hAnsi="Book Antiqua"/>
          <w:color w:val="000000" w:themeColor="text1"/>
          <w:spacing w:val="6"/>
        </w:rPr>
        <w:t xml:space="preserve"> </w:t>
      </w:r>
      <w:r w:rsidR="00E815E9" w:rsidRPr="00C33BA8">
        <w:rPr>
          <w:rFonts w:ascii="Book Antiqua" w:hAnsi="Book Antiqua"/>
          <w:color w:val="000000" w:themeColor="text1"/>
        </w:rPr>
        <w:t>a</w:t>
      </w:r>
      <w:r w:rsidR="000E6C6A" w:rsidRPr="00C33BA8">
        <w:rPr>
          <w:rFonts w:ascii="Book Antiqua" w:hAnsi="Book Antiqua"/>
          <w:color w:val="000000" w:themeColor="text1"/>
        </w:rPr>
        <w:t xml:space="preserve"> </w:t>
      </w:r>
      <w:r w:rsidR="00E815E9" w:rsidRPr="00C33BA8">
        <w:rPr>
          <w:rFonts w:ascii="Book Antiqua" w:hAnsi="Book Antiqua"/>
          <w:color w:val="000000" w:themeColor="text1"/>
        </w:rPr>
        <w:t xml:space="preserve">variety of food antigens, 160 out of the 180 antigens showed practically no reaction (mean OD of 0.27 ± 0.18), but the remaining 20 tested food antigens had reactions ranging from low to very high. The strongest reaction was observed with watermelon, followed by pumpkin+squash, carrot, peanut, peanut agglutinin, banana, peanut butter, potato, garlic, </w:t>
      </w:r>
      <w:r w:rsidR="00E815E9" w:rsidRPr="00C33BA8">
        <w:rPr>
          <w:rFonts w:ascii="Book Antiqua" w:hAnsi="Book Antiqua"/>
          <w:color w:val="000000" w:themeColor="text1"/>
        </w:rPr>
        <w:lastRenderedPageBreak/>
        <w:t>yam, kiwi, seaweed, gums, wheat and milk proteins (Figure 4).</w:t>
      </w:r>
    </w:p>
    <w:p w14:paraId="30333ECC" w14:textId="77777777" w:rsidR="00920C46" w:rsidRPr="00C33BA8" w:rsidRDefault="00920C46" w:rsidP="00686B93">
      <w:pPr>
        <w:pStyle w:val="BodyText"/>
        <w:adjustRightInd w:val="0"/>
        <w:snapToGrid w:val="0"/>
        <w:spacing w:line="360" w:lineRule="auto"/>
        <w:ind w:left="0"/>
        <w:jc w:val="both"/>
        <w:rPr>
          <w:rFonts w:ascii="Book Antiqua" w:hAnsi="Book Antiqua"/>
          <w:color w:val="000000" w:themeColor="text1"/>
        </w:rPr>
      </w:pPr>
    </w:p>
    <w:p w14:paraId="38FCEAE8" w14:textId="5667D487" w:rsidR="00920C46" w:rsidRPr="00C33BA8" w:rsidRDefault="00E815E9" w:rsidP="00686B93">
      <w:pPr>
        <w:adjustRightInd w:val="0"/>
        <w:snapToGrid w:val="0"/>
        <w:spacing w:line="360" w:lineRule="auto"/>
        <w:jc w:val="both"/>
        <w:rPr>
          <w:rFonts w:ascii="Book Antiqua" w:hAnsi="Book Antiqua"/>
          <w:b/>
          <w:i/>
          <w:color w:val="000000" w:themeColor="text1"/>
          <w:sz w:val="24"/>
          <w:szCs w:val="24"/>
        </w:rPr>
      </w:pPr>
      <w:r w:rsidRPr="00C33BA8">
        <w:rPr>
          <w:rFonts w:ascii="Book Antiqua" w:hAnsi="Book Antiqua"/>
          <w:b/>
          <w:i/>
          <w:color w:val="000000" w:themeColor="text1"/>
          <w:sz w:val="24"/>
          <w:szCs w:val="24"/>
        </w:rPr>
        <w:t>Demonstration of analytical specificity of anti-C. jejuni and anti-Cdt antibodies binding to representative antigens</w:t>
      </w:r>
    </w:p>
    <w:p w14:paraId="59CC951B" w14:textId="6CDF71FE" w:rsidR="00920C46" w:rsidRPr="00C33BA8" w:rsidRDefault="00C94002" w:rsidP="00686B93">
      <w:pPr>
        <w:pStyle w:val="BodyText"/>
        <w:adjustRightInd w:val="0"/>
        <w:snapToGrid w:val="0"/>
        <w:spacing w:line="360" w:lineRule="auto"/>
        <w:ind w:left="0"/>
        <w:jc w:val="both"/>
        <w:rPr>
          <w:rFonts w:ascii="Book Antiqua" w:hAnsi="Book Antiqua"/>
          <w:color w:val="000000" w:themeColor="text1"/>
        </w:rPr>
      </w:pPr>
      <w:r>
        <w:rPr>
          <w:rFonts w:ascii="Book Antiqua" w:hAnsi="Book Antiqua"/>
          <w:noProof/>
          <w:color w:val="000000" w:themeColor="text1"/>
        </w:rPr>
        <mc:AlternateContent>
          <mc:Choice Requires="wps">
            <w:drawing>
              <wp:anchor distT="0" distB="0" distL="114300" distR="114300" simplePos="0" relativeHeight="2464" behindDoc="0" locked="0" layoutInCell="1" allowOverlap="1" wp14:anchorId="4DF5CEE1" wp14:editId="23938198">
                <wp:simplePos x="0" y="0"/>
                <wp:positionH relativeFrom="page">
                  <wp:posOffset>802640</wp:posOffset>
                </wp:positionH>
                <wp:positionV relativeFrom="paragraph">
                  <wp:posOffset>2498090</wp:posOffset>
                </wp:positionV>
                <wp:extent cx="0" cy="274320"/>
                <wp:effectExtent l="12065" t="13970" r="6985" b="6985"/>
                <wp:wrapNone/>
                <wp:docPr id="8"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144">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1D1187" id="Line 69" o:spid="_x0000_s1026" style="position:absolute;z-index: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3.2pt,196.7pt" to="63.2pt,2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" strokecolor="red" strokeweight=".72pt">
                <w10:wrap anchorx="page"/>
              </v:line>
            </w:pict>
          </mc:Fallback>
        </mc:AlternateContent>
      </w:r>
      <w:r w:rsidR="00E815E9" w:rsidRPr="00C33BA8">
        <w:rPr>
          <w:rFonts w:ascii="Book Antiqua" w:hAnsi="Book Antiqua"/>
          <w:color w:val="000000" w:themeColor="text1"/>
        </w:rPr>
        <w:t>The analytical specificity of mouse monoclonal anti-</w:t>
      </w:r>
      <w:r w:rsidR="00E815E9" w:rsidRPr="00C33BA8">
        <w:rPr>
          <w:rFonts w:ascii="Book Antiqua" w:hAnsi="Book Antiqua"/>
          <w:i/>
          <w:color w:val="000000" w:themeColor="text1"/>
        </w:rPr>
        <w:t xml:space="preserve">C. jejuni </w:t>
      </w:r>
      <w:r w:rsidR="00E815E9" w:rsidRPr="00C33BA8">
        <w:rPr>
          <w:rFonts w:ascii="Book Antiqua" w:hAnsi="Book Antiqua"/>
          <w:color w:val="000000" w:themeColor="text1"/>
        </w:rPr>
        <w:t>and rabbit anti-Cdt binding to different tissue and food antigens was confirmed by serial dilution and inhibition studies. As shown by t</w:t>
      </w:r>
      <w:r w:rsidR="009B5948" w:rsidRPr="00C33BA8">
        <w:rPr>
          <w:rFonts w:ascii="Book Antiqua" w:hAnsi="Book Antiqua"/>
          <w:color w:val="000000" w:themeColor="text1"/>
        </w:rPr>
        <w:t xml:space="preserve">he ODs summarized in Figure 5A and </w:t>
      </w:r>
      <w:r w:rsidR="00E815E9" w:rsidRPr="00C33BA8">
        <w:rPr>
          <w:rFonts w:ascii="Book Antiqua" w:hAnsi="Book Antiqua"/>
          <w:color w:val="000000" w:themeColor="text1"/>
        </w:rPr>
        <w:t>B, the binding of these antibodies to the specific and cross-reactive antigens declined significantly in proportion to the dilutions. For example, anti-</w:t>
      </w:r>
      <w:r w:rsidR="00E815E9" w:rsidRPr="00C33BA8">
        <w:rPr>
          <w:rFonts w:ascii="Book Antiqua" w:hAnsi="Book Antiqua"/>
          <w:i/>
          <w:color w:val="000000" w:themeColor="text1"/>
        </w:rPr>
        <w:t xml:space="preserve">C. jejuni </w:t>
      </w:r>
      <w:r w:rsidR="00E815E9" w:rsidRPr="00C33BA8">
        <w:rPr>
          <w:rFonts w:ascii="Book Antiqua" w:hAnsi="Book Antiqua"/>
          <w:color w:val="000000" w:themeColor="text1"/>
        </w:rPr>
        <w:t>antibody at a dilution of 1:400 gave an OD of 3.6, a dilution of 1:3200 resulted in an OD</w:t>
      </w:r>
      <w:r w:rsidR="009B5948" w:rsidRPr="00C33BA8">
        <w:rPr>
          <w:rFonts w:ascii="Book Antiqua" w:hAnsi="Book Antiqua"/>
          <w:color w:val="000000" w:themeColor="text1"/>
        </w:rPr>
        <w:t xml:space="preserve"> of 2.2, and a dilution of 1:25</w:t>
      </w:r>
      <w:r w:rsidR="00E815E9" w:rsidRPr="00C33BA8">
        <w:rPr>
          <w:rFonts w:ascii="Book Antiqua" w:hAnsi="Book Antiqua"/>
          <w:color w:val="000000" w:themeColor="text1"/>
        </w:rPr>
        <w:t>600 gave an OD of 0.5. The reaction of this same anti-</w:t>
      </w:r>
      <w:r w:rsidR="00E815E9" w:rsidRPr="00C33BA8">
        <w:rPr>
          <w:rFonts w:ascii="Book Antiqua" w:hAnsi="Book Antiqua"/>
          <w:i/>
          <w:color w:val="000000" w:themeColor="text1"/>
        </w:rPr>
        <w:t xml:space="preserve">C. jejuni </w:t>
      </w:r>
      <w:r w:rsidR="00E815E9" w:rsidRPr="00C33BA8">
        <w:rPr>
          <w:rFonts w:ascii="Book Antiqua" w:hAnsi="Book Antiqua"/>
          <w:color w:val="000000" w:themeColor="text1"/>
        </w:rPr>
        <w:t xml:space="preserve">antibody with cross- reactive antigens such as zonulin, somatotropin, presenilin and </w:t>
      </w:r>
      <w:r w:rsidR="00CD4F78" w:rsidRPr="00C33BA8">
        <w:rPr>
          <w:rFonts w:ascii="Book Antiqua" w:hAnsi="Book Antiqua"/>
          <w:color w:val="000000" w:themeColor="text1"/>
        </w:rPr>
        <w:t>ω</w:t>
      </w:r>
      <w:r w:rsidR="00E815E9" w:rsidRPr="00C33BA8">
        <w:rPr>
          <w:rFonts w:ascii="Book Antiqua" w:hAnsi="Book Antiqua"/>
          <w:color w:val="000000" w:themeColor="text1"/>
        </w:rPr>
        <w:t>-gliadin also declined in proportion to dilutions (Figure 5A). Similar results were obtained when serially diluted anti-</w:t>
      </w:r>
      <w:r w:rsidR="00E815E9" w:rsidRPr="00C33BA8">
        <w:rPr>
          <w:rFonts w:ascii="Book Antiqua" w:hAnsi="Book Antiqua"/>
          <w:i/>
          <w:color w:val="000000" w:themeColor="text1"/>
        </w:rPr>
        <w:t xml:space="preserve">C. jejuni </w:t>
      </w:r>
      <w:r w:rsidR="00E815E9" w:rsidRPr="00C33BA8">
        <w:rPr>
          <w:rFonts w:ascii="Book Antiqua" w:hAnsi="Book Antiqua"/>
          <w:color w:val="000000" w:themeColor="text1"/>
        </w:rPr>
        <w:t xml:space="preserve">Cdt was applied to fixed concentrations of Cdt, zonulin, somatotropin, presenilin and </w:t>
      </w:r>
      <w:r w:rsidR="00CD4F78" w:rsidRPr="00C33BA8">
        <w:rPr>
          <w:rFonts w:ascii="Book Antiqua" w:hAnsi="Book Antiqua"/>
          <w:color w:val="000000" w:themeColor="text1"/>
        </w:rPr>
        <w:t>ω</w:t>
      </w:r>
      <w:r w:rsidR="00E815E9" w:rsidRPr="00C33BA8">
        <w:rPr>
          <w:rFonts w:ascii="Book Antiqua" w:hAnsi="Book Antiqua"/>
          <w:color w:val="000000" w:themeColor="text1"/>
        </w:rPr>
        <w:t>-gliadin (Figure 5B).</w:t>
      </w:r>
    </w:p>
    <w:p w14:paraId="7CFF8665" w14:textId="31B3F8F3" w:rsidR="00920C46" w:rsidRPr="00C33BA8" w:rsidRDefault="009B5948" w:rsidP="00686B93">
      <w:pPr>
        <w:pStyle w:val="BodyText"/>
        <w:adjustRightInd w:val="0"/>
        <w:snapToGrid w:val="0"/>
        <w:spacing w:line="360" w:lineRule="auto"/>
        <w:ind w:left="0"/>
        <w:jc w:val="both"/>
        <w:rPr>
          <w:rFonts w:ascii="Book Antiqua" w:hAnsi="Book Antiqua"/>
          <w:color w:val="000000" w:themeColor="text1"/>
        </w:rPr>
      </w:pPr>
      <w:r w:rsidRPr="00C33BA8">
        <w:rPr>
          <w:rFonts w:ascii="Book Antiqua" w:hAnsi="Book Antiqua"/>
          <w:color w:val="000000" w:themeColor="text1"/>
        </w:rPr>
        <w:t xml:space="preserve">  </w:t>
      </w:r>
      <w:r w:rsidR="00E815E9" w:rsidRPr="00C33BA8">
        <w:rPr>
          <w:rFonts w:ascii="Book Antiqua" w:hAnsi="Book Antiqua"/>
          <w:color w:val="000000" w:themeColor="text1"/>
        </w:rPr>
        <w:t>To further demonstrate the specificity of these antibody reactions between either</w:t>
      </w:r>
      <w:r w:rsidRPr="00C33BA8">
        <w:rPr>
          <w:rFonts w:ascii="Book Antiqua" w:hAnsi="Book Antiqua"/>
          <w:color w:val="000000" w:themeColor="text1"/>
        </w:rPr>
        <w:t xml:space="preserve"> </w:t>
      </w:r>
      <w:r w:rsidR="00E815E9" w:rsidRPr="00C33BA8">
        <w:rPr>
          <w:rFonts w:ascii="Book Antiqua" w:hAnsi="Book Antiqua"/>
          <w:i/>
          <w:color w:val="000000" w:themeColor="text1"/>
        </w:rPr>
        <w:t xml:space="preserve">C. jejuni </w:t>
      </w:r>
      <w:r w:rsidR="00E815E9" w:rsidRPr="00C33BA8">
        <w:rPr>
          <w:rFonts w:ascii="Book Antiqua" w:hAnsi="Book Antiqua"/>
          <w:color w:val="000000" w:themeColor="text1"/>
        </w:rPr>
        <w:t xml:space="preserve">or </w:t>
      </w:r>
      <w:r w:rsidR="00E815E9" w:rsidRPr="00C33BA8">
        <w:rPr>
          <w:rFonts w:ascii="Book Antiqua" w:hAnsi="Book Antiqua"/>
          <w:i/>
          <w:color w:val="000000" w:themeColor="text1"/>
        </w:rPr>
        <w:t xml:space="preserve">C. jejuni </w:t>
      </w:r>
      <w:r w:rsidR="00E815E9" w:rsidRPr="00C33BA8">
        <w:rPr>
          <w:rFonts w:ascii="Book Antiqua" w:hAnsi="Book Antiqua"/>
          <w:color w:val="000000" w:themeColor="text1"/>
        </w:rPr>
        <w:t xml:space="preserve">Cdt and zonulin, somatotropin, presenilin and </w:t>
      </w:r>
      <w:r w:rsidR="00CD4F78" w:rsidRPr="00C33BA8">
        <w:rPr>
          <w:rFonts w:ascii="Book Antiqua" w:hAnsi="Book Antiqua"/>
          <w:color w:val="000000" w:themeColor="text1"/>
        </w:rPr>
        <w:t>ω</w:t>
      </w:r>
      <w:r w:rsidR="00E815E9" w:rsidRPr="00C33BA8">
        <w:rPr>
          <w:rFonts w:ascii="Book Antiqua" w:hAnsi="Book Antiqua"/>
          <w:color w:val="000000" w:themeColor="text1"/>
        </w:rPr>
        <w:t>-gliadin, different amounts of antigen concentrations ranging from 0-96 µg were added to the liquid phase of the ELISA plates that were coated with optimal concentrations of the same antigens. Compared to the controls (buffer with n</w:t>
      </w:r>
      <w:r w:rsidRPr="00C33BA8">
        <w:rPr>
          <w:rFonts w:ascii="Book Antiqua" w:hAnsi="Book Antiqua"/>
          <w:color w:val="000000" w:themeColor="text1"/>
        </w:rPr>
        <w:t xml:space="preserve">o antigens) shown in Figure 6A and </w:t>
      </w:r>
      <w:r w:rsidR="00E815E9" w:rsidRPr="00C33BA8">
        <w:rPr>
          <w:rFonts w:ascii="Book Antiqua" w:hAnsi="Book Antiqua"/>
          <w:color w:val="000000" w:themeColor="text1"/>
        </w:rPr>
        <w:t>B, the addition of higher concentrations of specific tissue and food antigens to the liquid phase, followed by the addition of primary antibodies, resulted in significant inhibition of</w:t>
      </w:r>
      <w:r w:rsidR="00E815E9" w:rsidRPr="00C33BA8">
        <w:rPr>
          <w:rFonts w:ascii="Book Antiqua" w:hAnsi="Book Antiqua"/>
          <w:color w:val="000000" w:themeColor="text1"/>
          <w:spacing w:val="54"/>
        </w:rPr>
        <w:t xml:space="preserve"> </w:t>
      </w:r>
      <w:r w:rsidR="00E815E9" w:rsidRPr="00C33BA8">
        <w:rPr>
          <w:rFonts w:ascii="Book Antiqua" w:hAnsi="Book Antiqua"/>
          <w:color w:val="000000" w:themeColor="text1"/>
        </w:rPr>
        <w:t>anti-</w:t>
      </w:r>
      <w:r w:rsidR="00E815E9" w:rsidRPr="00C33BA8">
        <w:rPr>
          <w:rFonts w:ascii="Book Antiqua" w:hAnsi="Book Antiqua"/>
          <w:i/>
          <w:color w:val="000000" w:themeColor="text1"/>
        </w:rPr>
        <w:t xml:space="preserve">C. jejuni </w:t>
      </w:r>
      <w:r w:rsidR="00E815E9" w:rsidRPr="00C33BA8">
        <w:rPr>
          <w:rFonts w:ascii="Book Antiqua" w:hAnsi="Book Antiqua"/>
          <w:color w:val="000000" w:themeColor="text1"/>
        </w:rPr>
        <w:t>and anti-</w:t>
      </w:r>
      <w:r w:rsidR="00E815E9" w:rsidRPr="00C33BA8">
        <w:rPr>
          <w:rFonts w:ascii="Book Antiqua" w:hAnsi="Book Antiqua"/>
          <w:i/>
          <w:color w:val="000000" w:themeColor="text1"/>
        </w:rPr>
        <w:t xml:space="preserve">C. jejuni </w:t>
      </w:r>
      <w:r w:rsidR="00E815E9" w:rsidRPr="00C33BA8">
        <w:rPr>
          <w:rFonts w:ascii="Book Antiqua" w:hAnsi="Book Antiqua"/>
          <w:color w:val="000000" w:themeColor="text1"/>
        </w:rPr>
        <w:t>Cdt antibodies binding to the specific as well as cross-reactive antigens. This decline in antibody-antigen reaction due to the addition of antigens in liquid phase was more obvious when higher concentra</w:t>
      </w:r>
      <w:r w:rsidRPr="00C33BA8">
        <w:rPr>
          <w:rFonts w:ascii="Book Antiqua" w:hAnsi="Book Antiqua"/>
          <w:color w:val="000000" w:themeColor="text1"/>
        </w:rPr>
        <w:t>tions of the antigens were used</w:t>
      </w:r>
      <w:r w:rsidR="00E815E9" w:rsidRPr="00C33BA8">
        <w:rPr>
          <w:rFonts w:ascii="Book Antiqua" w:hAnsi="Book Antiqua"/>
          <w:color w:val="000000" w:themeColor="text1"/>
        </w:rPr>
        <w:t xml:space="preserve"> as inhibitors (Figure 6A</w:t>
      </w:r>
      <w:r w:rsidRPr="00C33BA8">
        <w:rPr>
          <w:rFonts w:ascii="Book Antiqua" w:hAnsi="Book Antiqua"/>
          <w:color w:val="000000" w:themeColor="text1"/>
        </w:rPr>
        <w:t xml:space="preserve"> and </w:t>
      </w:r>
      <w:r w:rsidR="00E815E9" w:rsidRPr="00C33BA8">
        <w:rPr>
          <w:rFonts w:ascii="Book Antiqua" w:hAnsi="Book Antiqua"/>
          <w:color w:val="000000" w:themeColor="text1"/>
        </w:rPr>
        <w:t>B).</w:t>
      </w:r>
    </w:p>
    <w:p w14:paraId="6C96734E" w14:textId="77777777" w:rsidR="009B5948" w:rsidRPr="00C33BA8" w:rsidRDefault="009B5948" w:rsidP="00686B93">
      <w:pPr>
        <w:pStyle w:val="Heading1"/>
        <w:adjustRightInd w:val="0"/>
        <w:snapToGrid w:val="0"/>
        <w:spacing w:line="360" w:lineRule="auto"/>
        <w:ind w:left="0"/>
        <w:jc w:val="both"/>
        <w:rPr>
          <w:rFonts w:ascii="Book Antiqua" w:hAnsi="Book Antiqua"/>
          <w:color w:val="000000" w:themeColor="text1"/>
          <w:w w:val="110"/>
        </w:rPr>
      </w:pPr>
    </w:p>
    <w:p w14:paraId="66BC8A74" w14:textId="3E5AC53A" w:rsidR="00920C46" w:rsidRPr="00C33BA8" w:rsidRDefault="009B5948" w:rsidP="00686B93">
      <w:pPr>
        <w:pStyle w:val="Heading1"/>
        <w:adjustRightInd w:val="0"/>
        <w:snapToGrid w:val="0"/>
        <w:spacing w:line="360" w:lineRule="auto"/>
        <w:ind w:left="0"/>
        <w:jc w:val="both"/>
        <w:rPr>
          <w:rFonts w:ascii="Book Antiqua" w:hAnsi="Book Antiqua"/>
          <w:color w:val="000000" w:themeColor="text1"/>
        </w:rPr>
      </w:pPr>
      <w:r w:rsidRPr="00C33BA8">
        <w:rPr>
          <w:rFonts w:ascii="Book Antiqua" w:hAnsi="Book Antiqua"/>
          <w:color w:val="000000" w:themeColor="text1"/>
          <w:w w:val="110"/>
        </w:rPr>
        <w:t>DISCUSSION</w:t>
      </w:r>
    </w:p>
    <w:p w14:paraId="6B8B1587" w14:textId="47EE5AA3" w:rsidR="00920C46" w:rsidRPr="00C33BA8" w:rsidRDefault="00C94002" w:rsidP="00686B93">
      <w:pPr>
        <w:pStyle w:val="BodyText"/>
        <w:adjustRightInd w:val="0"/>
        <w:snapToGrid w:val="0"/>
        <w:spacing w:line="360" w:lineRule="auto"/>
        <w:ind w:left="0"/>
        <w:jc w:val="both"/>
        <w:rPr>
          <w:rFonts w:ascii="Book Antiqua" w:hAnsi="Book Antiqua"/>
          <w:color w:val="000000" w:themeColor="text1"/>
        </w:rPr>
      </w:pPr>
      <w:r>
        <w:rPr>
          <w:rFonts w:ascii="Book Antiqua" w:hAnsi="Book Antiqua"/>
          <w:noProof/>
          <w:color w:val="000000" w:themeColor="text1"/>
        </w:rPr>
        <mc:AlternateContent>
          <mc:Choice Requires="wps">
            <w:drawing>
              <wp:anchor distT="0" distB="0" distL="114300" distR="114300" simplePos="0" relativeHeight="2584" behindDoc="0" locked="0" layoutInCell="1" allowOverlap="1" wp14:anchorId="3BB862DF" wp14:editId="58336D20">
                <wp:simplePos x="0" y="0"/>
                <wp:positionH relativeFrom="page">
                  <wp:posOffset>802640</wp:posOffset>
                </wp:positionH>
                <wp:positionV relativeFrom="paragraph">
                  <wp:posOffset>4511040</wp:posOffset>
                </wp:positionV>
                <wp:extent cx="0" cy="277495"/>
                <wp:effectExtent l="12065" t="8890" r="6985" b="8890"/>
                <wp:wrapNone/>
                <wp:docPr id="6"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7495"/>
                        </a:xfrm>
                        <a:prstGeom prst="line">
                          <a:avLst/>
                        </a:prstGeom>
                        <a:noFill/>
                        <a:ln w="9144">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DB724A" id="Line 64" o:spid="_x0000_s1026" style="position:absolute;z-index:2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3.2pt,355.2pt" to="63.2pt,3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" strokecolor="red" strokeweight=".72pt">
                <w10:wrap anchorx="page"/>
              </v:line>
            </w:pict>
          </mc:Fallback>
        </mc:AlternateContent>
      </w:r>
      <w:r>
        <w:rPr>
          <w:rFonts w:ascii="Book Antiqua" w:hAnsi="Book Antiqua"/>
          <w:noProof/>
          <w:color w:val="000000" w:themeColor="text1"/>
        </w:rPr>
        <mc:AlternateContent>
          <mc:Choice Requires="wps">
            <w:drawing>
              <wp:anchor distT="0" distB="0" distL="114300" distR="114300" simplePos="0" relativeHeight="2608" behindDoc="0" locked="0" layoutInCell="1" allowOverlap="1" wp14:anchorId="2BB5CE71" wp14:editId="72E8635A">
                <wp:simplePos x="0" y="0"/>
                <wp:positionH relativeFrom="page">
                  <wp:posOffset>802640</wp:posOffset>
                </wp:positionH>
                <wp:positionV relativeFrom="paragraph">
                  <wp:posOffset>6166485</wp:posOffset>
                </wp:positionV>
                <wp:extent cx="0" cy="274320"/>
                <wp:effectExtent l="12065" t="6985" r="6985" b="13970"/>
                <wp:wrapNone/>
                <wp:docPr id="4"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144">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1FE2CC" id="Line 63" o:spid="_x0000_s1026" style="position:absolute;z-index: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3.2pt,485.55pt" to="63.2pt,50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EbHFAIAACg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" strokecolor="red" strokeweight=".72pt">
                <w10:wrap anchorx="page"/>
              </v:line>
            </w:pict>
          </mc:Fallback>
        </mc:AlternateContent>
      </w:r>
      <w:r>
        <w:rPr>
          <w:rFonts w:ascii="Book Antiqua" w:hAnsi="Book Antiqua"/>
          <w:noProof/>
          <w:color w:val="000000" w:themeColor="text1"/>
        </w:rPr>
        <mc:AlternateContent>
          <mc:Choice Requires="wps">
            <w:drawing>
              <wp:anchor distT="0" distB="0" distL="114300" distR="114300" simplePos="0" relativeHeight="2632" behindDoc="0" locked="0" layoutInCell="1" allowOverlap="1" wp14:anchorId="78BD9F30" wp14:editId="7B0B0E06">
                <wp:simplePos x="0" y="0"/>
                <wp:positionH relativeFrom="page">
                  <wp:posOffset>802640</wp:posOffset>
                </wp:positionH>
                <wp:positionV relativeFrom="paragraph">
                  <wp:posOffset>6715125</wp:posOffset>
                </wp:positionV>
                <wp:extent cx="0" cy="277495"/>
                <wp:effectExtent l="12065" t="12700" r="6985" b="5080"/>
                <wp:wrapNone/>
                <wp:docPr id="2"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7495"/>
                        </a:xfrm>
                        <a:prstGeom prst="line">
                          <a:avLst/>
                        </a:prstGeom>
                        <a:noFill/>
                        <a:ln w="9144">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DEC9E7" id="Line 62" o:spid="_x0000_s1026" style="position:absolute;z-index:2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3.2pt,528.75pt" to="63.2pt,5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" strokecolor="red" strokeweight=".72pt">
                <w10:wrap anchorx="page"/>
              </v:line>
            </w:pict>
          </mc:Fallback>
        </mc:AlternateContent>
      </w:r>
      <w:r w:rsidR="00E815E9" w:rsidRPr="00C33BA8">
        <w:rPr>
          <w:rFonts w:ascii="Book Antiqua" w:hAnsi="Book Antiqua"/>
          <w:color w:val="000000" w:themeColor="text1"/>
        </w:rPr>
        <w:t xml:space="preserve">The aim of this study was to evaluate the immunoreactivity of specific antibodies made against </w:t>
      </w:r>
      <w:r w:rsidR="00E815E9" w:rsidRPr="00C33BA8">
        <w:rPr>
          <w:rFonts w:ascii="Book Antiqua" w:hAnsi="Book Antiqua"/>
          <w:i/>
          <w:color w:val="000000" w:themeColor="text1"/>
        </w:rPr>
        <w:t xml:space="preserve">C. jejuni </w:t>
      </w:r>
      <w:r w:rsidR="00E815E9" w:rsidRPr="00C33BA8">
        <w:rPr>
          <w:rFonts w:ascii="Book Antiqua" w:hAnsi="Book Antiqua"/>
          <w:color w:val="000000" w:themeColor="text1"/>
        </w:rPr>
        <w:t xml:space="preserve">and </w:t>
      </w:r>
      <w:r w:rsidR="00E815E9" w:rsidRPr="00C33BA8">
        <w:rPr>
          <w:rFonts w:ascii="Book Antiqua" w:hAnsi="Book Antiqua"/>
          <w:i/>
          <w:color w:val="000000" w:themeColor="text1"/>
        </w:rPr>
        <w:t xml:space="preserve">C. jejuni </w:t>
      </w:r>
      <w:r w:rsidR="00E815E9" w:rsidRPr="00C33BA8">
        <w:rPr>
          <w:rFonts w:ascii="Book Antiqua" w:hAnsi="Book Antiqua"/>
          <w:color w:val="000000" w:themeColor="text1"/>
        </w:rPr>
        <w:t>Cdt with different tissue and food antigens in order to demonstr</w:t>
      </w:r>
      <w:r w:rsidR="009B5948" w:rsidRPr="00C33BA8">
        <w:rPr>
          <w:rFonts w:ascii="Book Antiqua" w:hAnsi="Book Antiqua"/>
          <w:color w:val="000000" w:themeColor="text1"/>
        </w:rPr>
        <w:t xml:space="preserve">ate the possible role that this </w:t>
      </w:r>
      <w:r w:rsidR="00E815E9" w:rsidRPr="00C33BA8">
        <w:rPr>
          <w:rFonts w:ascii="Book Antiqua" w:hAnsi="Book Antiqua"/>
          <w:color w:val="000000" w:themeColor="text1"/>
        </w:rPr>
        <w:t xml:space="preserve">bacteria plays beyond food poisoning, GBS, or IBS </w:t>
      </w:r>
      <w:r w:rsidR="00E815E9" w:rsidRPr="00C33BA8">
        <w:rPr>
          <w:rFonts w:ascii="Book Antiqua" w:hAnsi="Book Antiqua"/>
          <w:color w:val="000000" w:themeColor="text1"/>
        </w:rPr>
        <w:lastRenderedPageBreak/>
        <w:t>an</w:t>
      </w:r>
      <w:r w:rsidR="009B5948" w:rsidRPr="00C33BA8">
        <w:rPr>
          <w:rFonts w:ascii="Book Antiqua" w:hAnsi="Book Antiqua"/>
          <w:color w:val="000000" w:themeColor="text1"/>
        </w:rPr>
        <w:t>d its overlap with SIBO</w:t>
      </w:r>
      <w:r w:rsidR="009B5948" w:rsidRPr="00C33BA8">
        <w:rPr>
          <w:rFonts w:ascii="Book Antiqua" w:hAnsi="Book Antiqua"/>
          <w:color w:val="000000" w:themeColor="text1"/>
          <w:vertAlign w:val="superscript"/>
        </w:rPr>
        <w:t>[22-25,</w:t>
      </w:r>
      <w:r w:rsidR="00E815E9" w:rsidRPr="00C33BA8">
        <w:rPr>
          <w:rFonts w:ascii="Book Antiqua" w:hAnsi="Book Antiqua"/>
          <w:color w:val="000000" w:themeColor="text1"/>
          <w:vertAlign w:val="superscript"/>
        </w:rPr>
        <w:t>41]</w:t>
      </w:r>
      <w:r w:rsidR="00E815E9" w:rsidRPr="00C33BA8">
        <w:rPr>
          <w:rFonts w:ascii="Book Antiqua" w:hAnsi="Book Antiqua"/>
          <w:color w:val="000000" w:themeColor="text1"/>
        </w:rPr>
        <w:t>. Many investigators have clearly established</w:t>
      </w:r>
      <w:r w:rsidR="00E815E9" w:rsidRPr="00C33BA8">
        <w:rPr>
          <w:rFonts w:ascii="Book Antiqua" w:hAnsi="Book Antiqua"/>
          <w:color w:val="000000" w:themeColor="text1"/>
          <w:spacing w:val="-37"/>
        </w:rPr>
        <w:t xml:space="preserve"> </w:t>
      </w:r>
      <w:r w:rsidR="00E815E9" w:rsidRPr="00C33BA8">
        <w:rPr>
          <w:rFonts w:ascii="Book Antiqua" w:hAnsi="Book Antiqua"/>
          <w:i/>
          <w:color w:val="000000" w:themeColor="text1"/>
        </w:rPr>
        <w:t xml:space="preserve">C. jejuni </w:t>
      </w:r>
      <w:r w:rsidR="00E815E9" w:rsidRPr="00C33BA8">
        <w:rPr>
          <w:rFonts w:ascii="Book Antiqua" w:hAnsi="Book Antiqua"/>
          <w:color w:val="000000" w:themeColor="text1"/>
        </w:rPr>
        <w:t>as the most prevalent cause of food-</w:t>
      </w:r>
      <w:r w:rsidR="009B5948" w:rsidRPr="00C33BA8">
        <w:rPr>
          <w:rFonts w:ascii="Book Antiqua" w:hAnsi="Book Antiqua"/>
          <w:color w:val="000000" w:themeColor="text1"/>
        </w:rPr>
        <w:t>related enteritis worldwide</w:t>
      </w:r>
      <w:r w:rsidR="009B5948" w:rsidRPr="00C33BA8">
        <w:rPr>
          <w:rFonts w:ascii="Book Antiqua" w:hAnsi="Book Antiqua"/>
          <w:color w:val="000000" w:themeColor="text1"/>
          <w:vertAlign w:val="superscript"/>
        </w:rPr>
        <w:t>[1,3-5,</w:t>
      </w:r>
      <w:r w:rsidR="00E815E9" w:rsidRPr="00C33BA8">
        <w:rPr>
          <w:rFonts w:ascii="Book Antiqua" w:hAnsi="Book Antiqua"/>
          <w:color w:val="000000" w:themeColor="text1"/>
          <w:vertAlign w:val="superscript"/>
        </w:rPr>
        <w:t>42-47]</w:t>
      </w:r>
      <w:r w:rsidR="00E815E9" w:rsidRPr="00C33BA8">
        <w:rPr>
          <w:rFonts w:ascii="Book Antiqua" w:hAnsi="Book Antiqua"/>
          <w:color w:val="000000" w:themeColor="text1"/>
        </w:rPr>
        <w:t>. This bacterium releases a very strong toxin called Cdt that contributes to microbial virulence and possible disease pathogenesis by acting as a tri-perditious toxin that impairs host diseases</w:t>
      </w:r>
      <w:r w:rsidR="00E815E9" w:rsidRPr="00C33BA8">
        <w:rPr>
          <w:rFonts w:ascii="Book Antiqua" w:hAnsi="Book Antiqua"/>
          <w:color w:val="000000" w:themeColor="text1"/>
          <w:vertAlign w:val="superscript"/>
        </w:rPr>
        <w:t>[47]</w:t>
      </w:r>
      <w:r w:rsidR="00E815E9" w:rsidRPr="00C33BA8">
        <w:rPr>
          <w:rFonts w:ascii="Book Antiqua" w:hAnsi="Book Antiqua"/>
          <w:color w:val="000000" w:themeColor="text1"/>
        </w:rPr>
        <w:t xml:space="preserve">. The precise mechanisms by which </w:t>
      </w:r>
      <w:r w:rsidR="00E815E9" w:rsidRPr="00C33BA8">
        <w:rPr>
          <w:rFonts w:ascii="Book Antiqua" w:hAnsi="Book Antiqua"/>
          <w:i/>
          <w:color w:val="000000" w:themeColor="text1"/>
        </w:rPr>
        <w:t xml:space="preserve">C. jejuni </w:t>
      </w:r>
      <w:r w:rsidR="00E815E9" w:rsidRPr="00C33BA8">
        <w:rPr>
          <w:rFonts w:ascii="Book Antiqua" w:hAnsi="Book Antiqua"/>
          <w:color w:val="000000" w:themeColor="text1"/>
        </w:rPr>
        <w:t xml:space="preserve">and its toxins contribute to the development of the aforementioned clinical conditions is largely unknown. Consequently, the focus of our research was to identify tissue and food proteins that have the potential to cross-react with </w:t>
      </w:r>
      <w:r w:rsidR="00E815E9" w:rsidRPr="00C33BA8">
        <w:rPr>
          <w:rFonts w:ascii="Book Antiqua" w:hAnsi="Book Antiqua"/>
          <w:i/>
          <w:color w:val="000000" w:themeColor="text1"/>
        </w:rPr>
        <w:t xml:space="preserve">C. jejuni </w:t>
      </w:r>
      <w:r w:rsidR="00E815E9" w:rsidRPr="00C33BA8">
        <w:rPr>
          <w:rFonts w:ascii="Book Antiqua" w:hAnsi="Book Antiqua"/>
          <w:color w:val="000000" w:themeColor="text1"/>
        </w:rPr>
        <w:t xml:space="preserve">antigens. We therefore applied </w:t>
      </w:r>
      <w:r w:rsidR="00E815E9" w:rsidRPr="00C33BA8">
        <w:rPr>
          <w:rFonts w:ascii="Book Antiqua" w:hAnsi="Book Antiqua"/>
          <w:i/>
          <w:color w:val="000000" w:themeColor="text1"/>
        </w:rPr>
        <w:t>C. jejuni</w:t>
      </w:r>
      <w:r w:rsidR="00E815E9" w:rsidRPr="00C33BA8">
        <w:rPr>
          <w:rFonts w:ascii="Book Antiqua" w:hAnsi="Book Antiqua"/>
          <w:color w:val="000000" w:themeColor="text1"/>
        </w:rPr>
        <w:t>-specific antibodies to tissue antigens that are major components of intestinal barriers, tissue enzymes, enteric nerve, thyroid, heart, joints, pancreas,</w:t>
      </w:r>
      <w:r w:rsidR="00E815E9" w:rsidRPr="00C33BA8">
        <w:rPr>
          <w:rFonts w:ascii="Book Antiqua" w:hAnsi="Book Antiqua"/>
          <w:color w:val="000000" w:themeColor="text1"/>
          <w:spacing w:val="-36"/>
        </w:rPr>
        <w:t xml:space="preserve"> </w:t>
      </w:r>
      <w:r w:rsidR="00E815E9" w:rsidRPr="00C33BA8">
        <w:rPr>
          <w:rFonts w:ascii="Book Antiqua" w:hAnsi="Book Antiqua"/>
          <w:color w:val="000000" w:themeColor="text1"/>
        </w:rPr>
        <w:t xml:space="preserve">growth hormone, blood-brain barriers, and brain tissues with their receptors. Overall the reaction of these antibodies with proteins such as claudin-5, adherent junction and zonulin were from low to high. More specifically, the reactions of both </w:t>
      </w:r>
      <w:r w:rsidR="00E815E9" w:rsidRPr="00C33BA8">
        <w:rPr>
          <w:rFonts w:ascii="Book Antiqua" w:hAnsi="Book Antiqua"/>
          <w:i/>
          <w:color w:val="000000" w:themeColor="text1"/>
        </w:rPr>
        <w:t xml:space="preserve">C. jejuni </w:t>
      </w:r>
      <w:r w:rsidR="00E815E9" w:rsidRPr="00C33BA8">
        <w:rPr>
          <w:rFonts w:ascii="Book Antiqua" w:hAnsi="Book Antiqua"/>
          <w:color w:val="000000" w:themeColor="text1"/>
        </w:rPr>
        <w:t xml:space="preserve">and </w:t>
      </w:r>
      <w:r w:rsidR="00E815E9" w:rsidRPr="00C33BA8">
        <w:rPr>
          <w:rFonts w:ascii="Book Antiqua" w:hAnsi="Book Antiqua"/>
          <w:i/>
          <w:color w:val="000000" w:themeColor="text1"/>
        </w:rPr>
        <w:t xml:space="preserve">C. jejuni </w:t>
      </w:r>
      <w:r w:rsidR="00E815E9" w:rsidRPr="00C33BA8">
        <w:rPr>
          <w:rFonts w:ascii="Book Antiqua" w:hAnsi="Book Antiqua"/>
          <w:color w:val="000000" w:themeColor="text1"/>
        </w:rPr>
        <w:t>Cdt with zonulin were high, but with adherent junction was from low to</w:t>
      </w:r>
      <w:r w:rsidR="00517F9E" w:rsidRPr="00C33BA8">
        <w:rPr>
          <w:rFonts w:ascii="Book Antiqua" w:hAnsi="Book Antiqua"/>
          <w:color w:val="000000" w:themeColor="text1"/>
        </w:rPr>
        <w:t xml:space="preserve"> </w:t>
      </w:r>
      <w:r w:rsidR="00E815E9" w:rsidRPr="00C33BA8">
        <w:rPr>
          <w:rFonts w:ascii="Book Antiqua" w:hAnsi="Book Antiqua"/>
          <w:color w:val="000000" w:themeColor="text1"/>
        </w:rPr>
        <w:t>moderate (Figure</w:t>
      </w:r>
      <w:r w:rsidR="00F871C6" w:rsidRPr="00C33BA8">
        <w:rPr>
          <w:rFonts w:ascii="Book Antiqua" w:hAnsi="Book Antiqua"/>
          <w:color w:val="000000" w:themeColor="text1"/>
        </w:rPr>
        <w:t xml:space="preserve">s 1 and </w:t>
      </w:r>
      <w:r w:rsidR="00E815E9" w:rsidRPr="00C33BA8">
        <w:rPr>
          <w:rFonts w:ascii="Book Antiqua" w:hAnsi="Book Antiqua"/>
          <w:color w:val="000000" w:themeColor="text1"/>
        </w:rPr>
        <w:t>3). We were not surprised by the</w:t>
      </w:r>
      <w:r w:rsidR="00F871C6" w:rsidRPr="00C33BA8">
        <w:rPr>
          <w:rFonts w:ascii="Book Antiqua" w:hAnsi="Book Antiqua"/>
          <w:color w:val="000000" w:themeColor="text1"/>
        </w:rPr>
        <w:t xml:space="preserve">se findings, since it has been </w:t>
      </w:r>
      <w:r w:rsidR="00E815E9" w:rsidRPr="00C33BA8">
        <w:rPr>
          <w:rFonts w:ascii="Book Antiqua" w:hAnsi="Book Antiqua"/>
          <w:color w:val="000000" w:themeColor="text1"/>
        </w:rPr>
        <w:t xml:space="preserve">shown that </w:t>
      </w:r>
      <w:r w:rsidR="00E815E9" w:rsidRPr="00C33BA8">
        <w:rPr>
          <w:rFonts w:ascii="Book Antiqua" w:hAnsi="Book Antiqua"/>
          <w:i/>
          <w:color w:val="000000" w:themeColor="text1"/>
        </w:rPr>
        <w:t xml:space="preserve">C. jejuni </w:t>
      </w:r>
      <w:r w:rsidR="00E815E9" w:rsidRPr="00C33BA8">
        <w:rPr>
          <w:rFonts w:ascii="Book Antiqua" w:hAnsi="Book Antiqua"/>
          <w:color w:val="000000" w:themeColor="text1"/>
        </w:rPr>
        <w:t>interacts directly with intestinal epithelial cells and induce the production of inflam</w:t>
      </w:r>
      <w:r w:rsidR="00F871C6" w:rsidRPr="00C33BA8">
        <w:rPr>
          <w:rFonts w:ascii="Book Antiqua" w:hAnsi="Book Antiqua"/>
          <w:color w:val="000000" w:themeColor="text1"/>
        </w:rPr>
        <w:t>matory cytokines such as TNF-</w:t>
      </w:r>
      <w:r w:rsidR="00F871C6" w:rsidRPr="00C33BA8">
        <w:rPr>
          <w:rFonts w:ascii="Book Antiqua" w:hAnsi="Book Antiqua"/>
          <w:color w:val="000000" w:themeColor="text1"/>
          <w:lang w:val="el-GR"/>
        </w:rPr>
        <w:t>α</w:t>
      </w:r>
      <w:r w:rsidR="00E815E9" w:rsidRPr="00C33BA8">
        <w:rPr>
          <w:rFonts w:ascii="Book Antiqua" w:hAnsi="Book Antiqua"/>
          <w:color w:val="000000" w:themeColor="text1"/>
        </w:rPr>
        <w:t xml:space="preserve"> and IFN-g that have synergist</w:t>
      </w:r>
      <w:r w:rsidR="00F871C6" w:rsidRPr="00C33BA8">
        <w:rPr>
          <w:rFonts w:ascii="Book Antiqua" w:hAnsi="Book Antiqua"/>
          <w:color w:val="000000" w:themeColor="text1"/>
        </w:rPr>
        <w:t>ic effects on barrier integrity</w:t>
      </w:r>
      <w:r w:rsidR="00E815E9" w:rsidRPr="00C33BA8">
        <w:rPr>
          <w:rFonts w:ascii="Book Antiqua" w:hAnsi="Book Antiqua"/>
          <w:color w:val="000000" w:themeColor="text1"/>
          <w:vertAlign w:val="superscript"/>
        </w:rPr>
        <w:t>[48]</w:t>
      </w:r>
      <w:r w:rsidR="00E815E9" w:rsidRPr="00C33BA8">
        <w:rPr>
          <w:rFonts w:ascii="Book Antiqua" w:hAnsi="Book Antiqua"/>
          <w:color w:val="000000" w:themeColor="text1"/>
        </w:rPr>
        <w:t xml:space="preserve">. Moreover, </w:t>
      </w:r>
      <w:r w:rsidR="00E815E9" w:rsidRPr="00C33BA8">
        <w:rPr>
          <w:rFonts w:ascii="Book Antiqua" w:hAnsi="Book Antiqua"/>
          <w:i/>
          <w:color w:val="000000" w:themeColor="text1"/>
        </w:rPr>
        <w:t xml:space="preserve">C. jejuni </w:t>
      </w:r>
      <w:r w:rsidR="00E815E9" w:rsidRPr="00C33BA8">
        <w:rPr>
          <w:rFonts w:ascii="Book Antiqua" w:hAnsi="Book Antiqua"/>
          <w:color w:val="000000" w:themeColor="text1"/>
        </w:rPr>
        <w:t>infection has been linked to the pathophysiology of chronic functional bowel changes through the structural mimicry between vinculin and bacterial virulence factors such as Cdt, and the autoimmu</w:t>
      </w:r>
      <w:r w:rsidR="00F6576D" w:rsidRPr="00C33BA8">
        <w:rPr>
          <w:rFonts w:ascii="Book Antiqua" w:hAnsi="Book Antiqua"/>
          <w:color w:val="000000" w:themeColor="text1"/>
        </w:rPr>
        <w:t>ne reactivity against them</w:t>
      </w:r>
      <w:r w:rsidR="00F6576D" w:rsidRPr="00C33BA8">
        <w:rPr>
          <w:rFonts w:ascii="Book Antiqua" w:hAnsi="Book Antiqua"/>
          <w:color w:val="000000" w:themeColor="text1"/>
          <w:vertAlign w:val="superscript"/>
        </w:rPr>
        <w:t>[23,</w:t>
      </w:r>
      <w:r w:rsidR="00E815E9" w:rsidRPr="00C33BA8">
        <w:rPr>
          <w:rFonts w:ascii="Book Antiqua" w:hAnsi="Book Antiqua"/>
          <w:color w:val="000000" w:themeColor="text1"/>
          <w:vertAlign w:val="superscript"/>
        </w:rPr>
        <w:t>24]</w:t>
      </w:r>
      <w:r w:rsidR="00E815E9" w:rsidRPr="00C33BA8">
        <w:rPr>
          <w:rFonts w:ascii="Book Antiqua" w:hAnsi="Book Antiqua"/>
          <w:color w:val="000000" w:themeColor="text1"/>
        </w:rPr>
        <w:t xml:space="preserve">. Interestingly, although the antibodies used in our study reacted strongly with </w:t>
      </w:r>
      <w:r w:rsidR="00E815E9" w:rsidRPr="00C33BA8">
        <w:rPr>
          <w:rFonts w:ascii="Book Antiqua" w:hAnsi="Book Antiqua"/>
          <w:i/>
          <w:color w:val="000000" w:themeColor="text1"/>
        </w:rPr>
        <w:t xml:space="preserve">C. jejuni </w:t>
      </w:r>
      <w:r w:rsidR="00E815E9" w:rsidRPr="00C33BA8">
        <w:rPr>
          <w:rFonts w:ascii="Book Antiqua" w:hAnsi="Book Antiqua"/>
          <w:color w:val="000000" w:themeColor="text1"/>
        </w:rPr>
        <w:t xml:space="preserve">lysate, </w:t>
      </w:r>
      <w:r w:rsidR="00E815E9" w:rsidRPr="00C33BA8">
        <w:rPr>
          <w:rFonts w:ascii="Book Antiqua" w:hAnsi="Book Antiqua"/>
          <w:i/>
          <w:color w:val="000000" w:themeColor="text1"/>
        </w:rPr>
        <w:t xml:space="preserve">C. jejuni </w:t>
      </w:r>
      <w:r w:rsidR="00E815E9" w:rsidRPr="00C33BA8">
        <w:rPr>
          <w:rFonts w:ascii="Book Antiqua" w:hAnsi="Book Antiqua"/>
          <w:color w:val="000000" w:themeColor="text1"/>
        </w:rPr>
        <w:t xml:space="preserve">and </w:t>
      </w:r>
      <w:r w:rsidR="00E815E9" w:rsidRPr="00C33BA8">
        <w:rPr>
          <w:rFonts w:ascii="Book Antiqua" w:hAnsi="Book Antiqua"/>
          <w:i/>
          <w:color w:val="000000" w:themeColor="text1"/>
        </w:rPr>
        <w:t xml:space="preserve">E. coli </w:t>
      </w:r>
      <w:r w:rsidR="00E815E9" w:rsidRPr="00C33BA8">
        <w:rPr>
          <w:rFonts w:ascii="Book Antiqua" w:hAnsi="Book Antiqua"/>
          <w:color w:val="000000" w:themeColor="text1"/>
        </w:rPr>
        <w:t xml:space="preserve">Cdt, the same antibodies did not react with vinculin, as shown in Figures 1 and 3. The ODs generated from the reaction of these antibodies with vinculin were less than 0.4. This lack of reaction between </w:t>
      </w:r>
      <w:r w:rsidR="00E815E9" w:rsidRPr="00C33BA8">
        <w:rPr>
          <w:rFonts w:ascii="Book Antiqua" w:hAnsi="Book Antiqua"/>
          <w:i/>
          <w:color w:val="000000" w:themeColor="text1"/>
        </w:rPr>
        <w:t xml:space="preserve">C. jejuni </w:t>
      </w:r>
      <w:r w:rsidR="00E815E9" w:rsidRPr="00C33BA8">
        <w:rPr>
          <w:rFonts w:ascii="Book Antiqua" w:hAnsi="Book Antiqua"/>
          <w:color w:val="000000" w:themeColor="text1"/>
        </w:rPr>
        <w:t>antibodies and vinculin in contrast with their strong reaction with zonulin and adherent junction could be related to the immunogens used for</w:t>
      </w:r>
      <w:r w:rsidR="00E815E9" w:rsidRPr="00C33BA8">
        <w:rPr>
          <w:rFonts w:ascii="Book Antiqua" w:hAnsi="Book Antiqua"/>
          <w:color w:val="000000" w:themeColor="text1"/>
          <w:spacing w:val="28"/>
        </w:rPr>
        <w:t xml:space="preserve"> </w:t>
      </w:r>
      <w:r w:rsidR="00E815E9" w:rsidRPr="00C33BA8">
        <w:rPr>
          <w:rFonts w:ascii="Book Antiqua" w:hAnsi="Book Antiqua"/>
          <w:color w:val="000000" w:themeColor="text1"/>
        </w:rPr>
        <w:t>the</w:t>
      </w:r>
      <w:r w:rsidR="00F6576D" w:rsidRPr="00C33BA8">
        <w:rPr>
          <w:rFonts w:ascii="Book Antiqua" w:hAnsi="Book Antiqua"/>
          <w:color w:val="000000" w:themeColor="text1"/>
        </w:rPr>
        <w:t xml:space="preserve"> </w:t>
      </w:r>
      <w:r w:rsidR="00E815E9" w:rsidRPr="00C33BA8">
        <w:rPr>
          <w:rFonts w:ascii="Book Antiqua" w:hAnsi="Book Antiqua"/>
          <w:color w:val="000000" w:themeColor="text1"/>
        </w:rPr>
        <w:t>preparation of these antibodies. At this point the nature of these Cdt cross-reactive antibodies is not clear, and more research is needed in order to examine their roles in IBS, SIBO and autoimmune disorders.</w:t>
      </w:r>
    </w:p>
    <w:p w14:paraId="51C5D221" w14:textId="79D8D3FD" w:rsidR="00920C46" w:rsidRPr="00C33BA8" w:rsidRDefault="00E815E9" w:rsidP="002060B6">
      <w:pPr>
        <w:pStyle w:val="BodyText"/>
        <w:adjustRightInd w:val="0"/>
        <w:snapToGrid w:val="0"/>
        <w:spacing w:line="360" w:lineRule="auto"/>
        <w:ind w:left="0" w:firstLineChars="100" w:firstLine="240"/>
        <w:jc w:val="both"/>
        <w:rPr>
          <w:rFonts w:ascii="Book Antiqua" w:hAnsi="Book Antiqua"/>
          <w:color w:val="000000" w:themeColor="text1"/>
        </w:rPr>
      </w:pPr>
      <w:r w:rsidRPr="00C33BA8">
        <w:rPr>
          <w:rFonts w:ascii="Book Antiqua" w:hAnsi="Book Antiqua"/>
          <w:color w:val="000000" w:themeColor="text1"/>
        </w:rPr>
        <w:t xml:space="preserve">The enteric nerve system (ENS) consists of a mesh-like network of neurons that governs the function of the </w:t>
      </w:r>
      <w:r w:rsidR="00946B9F" w:rsidRPr="00C33BA8">
        <w:rPr>
          <w:rFonts w:ascii="Book Antiqua" w:hAnsi="Book Antiqua"/>
          <w:color w:val="000000" w:themeColor="text1"/>
        </w:rPr>
        <w:t>GI</w:t>
      </w:r>
      <w:r w:rsidRPr="00C33BA8">
        <w:rPr>
          <w:rFonts w:ascii="Book Antiqua" w:hAnsi="Book Antiqua"/>
          <w:color w:val="000000" w:themeColor="text1"/>
        </w:rPr>
        <w:t xml:space="preserve"> tract and is capable of autonomous functions such </w:t>
      </w:r>
      <w:r w:rsidR="00014A84" w:rsidRPr="00C33BA8">
        <w:rPr>
          <w:rFonts w:ascii="Book Antiqua" w:hAnsi="Book Antiqua"/>
          <w:color w:val="000000" w:themeColor="text1"/>
        </w:rPr>
        <w:t>as coordination of the reflexes</w:t>
      </w:r>
      <w:r w:rsidRPr="00C33BA8">
        <w:rPr>
          <w:rFonts w:ascii="Book Antiqua" w:hAnsi="Book Antiqua"/>
          <w:color w:val="000000" w:themeColor="text1"/>
          <w:vertAlign w:val="superscript"/>
        </w:rPr>
        <w:t>[49]</w:t>
      </w:r>
      <w:r w:rsidRPr="00C33BA8">
        <w:rPr>
          <w:rFonts w:ascii="Book Antiqua" w:hAnsi="Book Antiqua"/>
          <w:color w:val="000000" w:themeColor="text1"/>
        </w:rPr>
        <w:t xml:space="preserve">. The main antigen of the ENS is the enteric nerve neuronal nuclear antigen </w:t>
      </w:r>
      <w:r w:rsidRPr="00C33BA8">
        <w:rPr>
          <w:rFonts w:ascii="Book Antiqua" w:hAnsi="Book Antiqua"/>
          <w:color w:val="000000" w:themeColor="text1"/>
        </w:rPr>
        <w:lastRenderedPageBreak/>
        <w:t>(enteric nerve NNA); antibodies against this antigen</w:t>
      </w:r>
      <w:r w:rsidRPr="00C33BA8">
        <w:rPr>
          <w:rFonts w:ascii="Book Antiqua" w:hAnsi="Book Antiqua"/>
          <w:color w:val="000000" w:themeColor="text1"/>
          <w:spacing w:val="-6"/>
        </w:rPr>
        <w:t xml:space="preserve"> </w:t>
      </w:r>
      <w:r w:rsidRPr="00C33BA8">
        <w:rPr>
          <w:rFonts w:ascii="Book Antiqua" w:hAnsi="Book Antiqua"/>
          <w:color w:val="000000" w:themeColor="text1"/>
        </w:rPr>
        <w:t>are</w:t>
      </w:r>
      <w:r w:rsidRPr="00C33BA8">
        <w:rPr>
          <w:rFonts w:ascii="Book Antiqua" w:hAnsi="Book Antiqua"/>
          <w:color w:val="000000" w:themeColor="text1"/>
          <w:spacing w:val="-5"/>
        </w:rPr>
        <w:t xml:space="preserve"> </w:t>
      </w:r>
      <w:r w:rsidRPr="00C33BA8">
        <w:rPr>
          <w:rFonts w:ascii="Book Antiqua" w:hAnsi="Book Antiqua"/>
          <w:color w:val="000000" w:themeColor="text1"/>
        </w:rPr>
        <w:t>detected</w:t>
      </w:r>
      <w:r w:rsidRPr="00C33BA8">
        <w:rPr>
          <w:rFonts w:ascii="Book Antiqua" w:hAnsi="Book Antiqua"/>
          <w:color w:val="000000" w:themeColor="text1"/>
          <w:spacing w:val="-6"/>
        </w:rPr>
        <w:t xml:space="preserve"> </w:t>
      </w:r>
      <w:r w:rsidRPr="00C33BA8">
        <w:rPr>
          <w:rFonts w:ascii="Book Antiqua" w:hAnsi="Book Antiqua"/>
          <w:color w:val="000000" w:themeColor="text1"/>
        </w:rPr>
        <w:t>in</w:t>
      </w:r>
      <w:r w:rsidRPr="00C33BA8">
        <w:rPr>
          <w:rFonts w:ascii="Book Antiqua" w:hAnsi="Book Antiqua"/>
          <w:color w:val="000000" w:themeColor="text1"/>
          <w:spacing w:val="-5"/>
        </w:rPr>
        <w:t xml:space="preserve"> </w:t>
      </w:r>
      <w:r w:rsidRPr="00C33BA8">
        <w:rPr>
          <w:rFonts w:ascii="Book Antiqua" w:hAnsi="Book Antiqua"/>
          <w:color w:val="000000" w:themeColor="text1"/>
        </w:rPr>
        <w:t>patients</w:t>
      </w:r>
      <w:r w:rsidRPr="00C33BA8">
        <w:rPr>
          <w:rFonts w:ascii="Book Antiqua" w:hAnsi="Book Antiqua"/>
          <w:color w:val="000000" w:themeColor="text1"/>
          <w:spacing w:val="-6"/>
        </w:rPr>
        <w:t xml:space="preserve"> </w:t>
      </w:r>
      <w:r w:rsidRPr="00C33BA8">
        <w:rPr>
          <w:rFonts w:ascii="Book Antiqua" w:hAnsi="Book Antiqua"/>
          <w:color w:val="000000" w:themeColor="text1"/>
        </w:rPr>
        <w:t>with</w:t>
      </w:r>
      <w:r w:rsidRPr="00C33BA8">
        <w:rPr>
          <w:rFonts w:ascii="Book Antiqua" w:hAnsi="Book Antiqua"/>
          <w:color w:val="000000" w:themeColor="text1"/>
          <w:spacing w:val="-5"/>
        </w:rPr>
        <w:t xml:space="preserve"> </w:t>
      </w:r>
      <w:r w:rsidRPr="00C33BA8">
        <w:rPr>
          <w:rFonts w:ascii="Book Antiqua" w:hAnsi="Book Antiqua"/>
          <w:color w:val="000000" w:themeColor="text1"/>
        </w:rPr>
        <w:t>irritable</w:t>
      </w:r>
      <w:r w:rsidRPr="00C33BA8">
        <w:rPr>
          <w:rFonts w:ascii="Book Antiqua" w:hAnsi="Book Antiqua"/>
          <w:color w:val="000000" w:themeColor="text1"/>
          <w:spacing w:val="-6"/>
        </w:rPr>
        <w:t xml:space="preserve"> </w:t>
      </w:r>
      <w:r w:rsidRPr="00C33BA8">
        <w:rPr>
          <w:rFonts w:ascii="Book Antiqua" w:hAnsi="Book Antiqua"/>
          <w:color w:val="000000" w:themeColor="text1"/>
        </w:rPr>
        <w:t>bowel</w:t>
      </w:r>
      <w:r w:rsidRPr="00C33BA8">
        <w:rPr>
          <w:rFonts w:ascii="Book Antiqua" w:hAnsi="Book Antiqua"/>
          <w:color w:val="000000" w:themeColor="text1"/>
          <w:spacing w:val="-5"/>
        </w:rPr>
        <w:t xml:space="preserve"> </w:t>
      </w:r>
      <w:r w:rsidRPr="00C33BA8">
        <w:rPr>
          <w:rFonts w:ascii="Book Antiqua" w:hAnsi="Book Antiqua"/>
          <w:color w:val="000000" w:themeColor="text1"/>
        </w:rPr>
        <w:t>syndrome</w:t>
      </w:r>
      <w:r w:rsidRPr="00C33BA8">
        <w:rPr>
          <w:rFonts w:ascii="Book Antiqua" w:hAnsi="Book Antiqua"/>
          <w:color w:val="000000" w:themeColor="text1"/>
          <w:vertAlign w:val="superscript"/>
        </w:rPr>
        <w:t>[50]</w:t>
      </w:r>
      <w:r w:rsidRPr="00C33BA8">
        <w:rPr>
          <w:rFonts w:ascii="Book Antiqua" w:hAnsi="Book Antiqua"/>
          <w:color w:val="000000" w:themeColor="text1"/>
        </w:rPr>
        <w:t>.</w:t>
      </w:r>
      <w:r w:rsidRPr="00C33BA8">
        <w:rPr>
          <w:rFonts w:ascii="Book Antiqua" w:hAnsi="Book Antiqua"/>
          <w:color w:val="000000" w:themeColor="text1"/>
          <w:spacing w:val="-5"/>
        </w:rPr>
        <w:t xml:space="preserve"> </w:t>
      </w:r>
      <w:r w:rsidRPr="00C33BA8">
        <w:rPr>
          <w:rFonts w:ascii="Book Antiqua" w:hAnsi="Book Antiqua"/>
          <w:color w:val="000000" w:themeColor="text1"/>
        </w:rPr>
        <w:t>Rabbit</w:t>
      </w:r>
      <w:r w:rsidRPr="00C33BA8">
        <w:rPr>
          <w:rFonts w:ascii="Book Antiqua" w:hAnsi="Book Antiqua"/>
          <w:color w:val="000000" w:themeColor="text1"/>
          <w:spacing w:val="-6"/>
        </w:rPr>
        <w:t xml:space="preserve"> </w:t>
      </w:r>
      <w:r w:rsidRPr="00C33BA8">
        <w:rPr>
          <w:rFonts w:ascii="Book Antiqua" w:hAnsi="Book Antiqua"/>
          <w:color w:val="000000" w:themeColor="text1"/>
        </w:rPr>
        <w:t xml:space="preserve">anti-bacterial cytotoxin antibody has been found to exhibit affinity to enteric ganglia and </w:t>
      </w:r>
      <w:r w:rsidR="00014A84" w:rsidRPr="00C33BA8">
        <w:rPr>
          <w:rFonts w:ascii="Book Antiqua" w:hAnsi="Book Antiqua"/>
          <w:color w:val="000000" w:themeColor="text1"/>
        </w:rPr>
        <w:t>ICC</w:t>
      </w:r>
      <w:r w:rsidRPr="00C33BA8">
        <w:rPr>
          <w:rFonts w:ascii="Book Antiqua" w:hAnsi="Book Antiqua"/>
          <w:color w:val="000000" w:themeColor="text1"/>
        </w:rPr>
        <w:t xml:space="preserve"> through molecular mimicry and the production of cross-reactive antibodies. In previous studies, a single exposure of rats to </w:t>
      </w:r>
      <w:r w:rsidRPr="00C33BA8">
        <w:rPr>
          <w:rFonts w:ascii="Book Antiqua" w:hAnsi="Book Antiqua"/>
          <w:i/>
          <w:color w:val="000000" w:themeColor="text1"/>
        </w:rPr>
        <w:t xml:space="preserve">C. jejuni </w:t>
      </w:r>
      <w:r w:rsidRPr="00C33BA8">
        <w:rPr>
          <w:rFonts w:ascii="Book Antiqua" w:hAnsi="Book Antiqua"/>
          <w:color w:val="000000" w:themeColor="text1"/>
        </w:rPr>
        <w:t>resulted in SIBO in 26% of the rats. In double-exposed rats SIBO was detected in 46% (</w:t>
      </w:r>
      <w:r w:rsidR="008042CE" w:rsidRPr="00C33BA8">
        <w:rPr>
          <w:rFonts w:ascii="Book Antiqua" w:hAnsi="Book Antiqua"/>
          <w:i/>
          <w:color w:val="000000" w:themeColor="text1"/>
        </w:rPr>
        <w:t>P</w:t>
      </w:r>
      <w:r w:rsidRPr="00C33BA8">
        <w:rPr>
          <w:rFonts w:ascii="Book Antiqua" w:hAnsi="Book Antiqua"/>
          <w:i/>
          <w:color w:val="000000" w:themeColor="text1"/>
        </w:rPr>
        <w:t xml:space="preserve"> </w:t>
      </w:r>
      <w:r w:rsidRPr="00C33BA8">
        <w:rPr>
          <w:rFonts w:ascii="Book Antiqua" w:hAnsi="Book Antiqua"/>
          <w:color w:val="000000" w:themeColor="text1"/>
        </w:rPr>
        <w:t xml:space="preserve">&lt; 0.05). Anti- bacterial cytotoxins and cytoskeletal proteins were detected in all rats exposed to </w:t>
      </w:r>
      <w:r w:rsidRPr="00C33BA8">
        <w:rPr>
          <w:rFonts w:ascii="Book Antiqua" w:hAnsi="Book Antiqua"/>
          <w:i/>
          <w:color w:val="000000" w:themeColor="text1"/>
        </w:rPr>
        <w:t>C. jejuni</w:t>
      </w:r>
      <w:r w:rsidR="008042CE" w:rsidRPr="00C33BA8">
        <w:rPr>
          <w:rFonts w:ascii="Book Antiqua" w:hAnsi="Book Antiqua"/>
          <w:color w:val="000000" w:themeColor="text1"/>
          <w:vertAlign w:val="superscript"/>
        </w:rPr>
        <w:t>[22,</w:t>
      </w:r>
      <w:r w:rsidRPr="00C33BA8">
        <w:rPr>
          <w:rFonts w:ascii="Book Antiqua" w:hAnsi="Book Antiqua"/>
          <w:color w:val="000000" w:themeColor="text1"/>
          <w:vertAlign w:val="superscript"/>
        </w:rPr>
        <w:t>23]</w:t>
      </w:r>
      <w:r w:rsidRPr="00C33BA8">
        <w:rPr>
          <w:rFonts w:ascii="Book Antiqua" w:hAnsi="Book Antiqua"/>
          <w:color w:val="000000" w:themeColor="text1"/>
        </w:rPr>
        <w:t>.</w:t>
      </w:r>
    </w:p>
    <w:p w14:paraId="04A8261A" w14:textId="0E4997B6" w:rsidR="00920C46" w:rsidRPr="00C33BA8" w:rsidRDefault="00E815E9" w:rsidP="002060B6">
      <w:pPr>
        <w:pStyle w:val="BodyText"/>
        <w:adjustRightInd w:val="0"/>
        <w:snapToGrid w:val="0"/>
        <w:spacing w:line="360" w:lineRule="auto"/>
        <w:ind w:left="0" w:firstLineChars="100" w:firstLine="240"/>
        <w:jc w:val="both"/>
        <w:rPr>
          <w:rFonts w:ascii="Book Antiqua" w:hAnsi="Book Antiqua"/>
          <w:color w:val="000000" w:themeColor="text1"/>
        </w:rPr>
      </w:pPr>
      <w:r w:rsidRPr="00C33BA8">
        <w:rPr>
          <w:rFonts w:ascii="Book Antiqua" w:hAnsi="Book Antiqua"/>
          <w:color w:val="000000" w:themeColor="text1"/>
        </w:rPr>
        <w:t>Based on the affinity of bacterial cytotoxin antibodies to ICC and ganglia, it was concluded that these antibodies play a role in the pathophysiology of IBS by affecting gut motor function, leading to SIBO</w:t>
      </w:r>
      <w:r w:rsidRPr="00C33BA8">
        <w:rPr>
          <w:rFonts w:ascii="Book Antiqua" w:hAnsi="Book Antiqua"/>
          <w:color w:val="000000" w:themeColor="text1"/>
          <w:vertAlign w:val="superscript"/>
        </w:rPr>
        <w:t>[23]</w:t>
      </w:r>
      <w:r w:rsidRPr="00C33BA8">
        <w:rPr>
          <w:rFonts w:ascii="Book Antiqua" w:hAnsi="Book Antiqua"/>
          <w:color w:val="000000" w:themeColor="text1"/>
        </w:rPr>
        <w:t>. As shown in Figure 3, the anti-</w:t>
      </w:r>
      <w:r w:rsidRPr="00C33BA8">
        <w:rPr>
          <w:rFonts w:ascii="Book Antiqua" w:hAnsi="Book Antiqua"/>
          <w:i/>
          <w:color w:val="000000" w:themeColor="text1"/>
        </w:rPr>
        <w:t xml:space="preserve">C. jejuni </w:t>
      </w:r>
      <w:r w:rsidRPr="00C33BA8">
        <w:rPr>
          <w:rFonts w:ascii="Book Antiqua" w:hAnsi="Book Antiqua"/>
          <w:color w:val="000000" w:themeColor="text1"/>
        </w:rPr>
        <w:t>and anti-Cdt reacted moderately with enteric nerve antigens. This may indicate that</w:t>
      </w:r>
      <w:r w:rsidR="008042CE" w:rsidRPr="00C33BA8">
        <w:rPr>
          <w:rFonts w:ascii="Book Antiqua" w:hAnsi="Book Antiqua"/>
          <w:color w:val="000000" w:themeColor="text1"/>
        </w:rPr>
        <w:t xml:space="preserve"> </w:t>
      </w:r>
      <w:r w:rsidRPr="00C33BA8">
        <w:rPr>
          <w:rFonts w:ascii="Book Antiqua" w:hAnsi="Book Antiqua"/>
          <w:color w:val="000000" w:themeColor="text1"/>
        </w:rPr>
        <w:t xml:space="preserve">mimicry between Cdt and enteric nerve NNA plays a role in the pathophysiology of IBS. We also found that </w:t>
      </w:r>
      <w:r w:rsidRPr="00C33BA8">
        <w:rPr>
          <w:rFonts w:ascii="Book Antiqua" w:hAnsi="Book Antiqua"/>
          <w:i/>
          <w:color w:val="000000" w:themeColor="text1"/>
        </w:rPr>
        <w:t xml:space="preserve">C. jejuni </w:t>
      </w:r>
      <w:r w:rsidRPr="00C33BA8">
        <w:rPr>
          <w:rFonts w:ascii="Book Antiqua" w:hAnsi="Book Antiqua"/>
          <w:color w:val="000000" w:themeColor="text1"/>
        </w:rPr>
        <w:t>antibodies reacted from moderately to strongly with tissue and microbial transglutaminases.</w:t>
      </w:r>
    </w:p>
    <w:p w14:paraId="632BD6F5" w14:textId="384DCBE7" w:rsidR="00920C46" w:rsidRPr="00C33BA8" w:rsidRDefault="008042CE" w:rsidP="002060B6">
      <w:pPr>
        <w:pStyle w:val="BodyText"/>
        <w:adjustRightInd w:val="0"/>
        <w:snapToGrid w:val="0"/>
        <w:spacing w:line="360" w:lineRule="auto"/>
        <w:ind w:left="0" w:firstLineChars="100" w:firstLine="240"/>
        <w:jc w:val="both"/>
        <w:rPr>
          <w:rFonts w:ascii="Book Antiqua" w:hAnsi="Book Antiqua"/>
          <w:color w:val="000000" w:themeColor="text1"/>
        </w:rPr>
      </w:pPr>
      <w:r w:rsidRPr="00C33BA8">
        <w:rPr>
          <w:rFonts w:ascii="Book Antiqua" w:hAnsi="Book Antiqua"/>
          <w:color w:val="000000" w:themeColor="text1"/>
        </w:rPr>
        <w:t>tTGs</w:t>
      </w:r>
      <w:r w:rsidR="00E815E9" w:rsidRPr="00C33BA8">
        <w:rPr>
          <w:rFonts w:ascii="Book Antiqua" w:hAnsi="Book Antiqua"/>
          <w:color w:val="000000" w:themeColor="text1"/>
        </w:rPr>
        <w:t xml:space="preserve"> are a group of enzymes that catalyze various posttranslational modifications of glutamine residu</w:t>
      </w:r>
      <w:r w:rsidRPr="00C33BA8">
        <w:rPr>
          <w:rFonts w:ascii="Book Antiqua" w:hAnsi="Book Antiqua"/>
          <w:color w:val="000000" w:themeColor="text1"/>
        </w:rPr>
        <w:t>es in proteins and peptides</w:t>
      </w:r>
      <w:r w:rsidRPr="00C33BA8">
        <w:rPr>
          <w:rFonts w:ascii="Book Antiqua" w:hAnsi="Book Antiqua"/>
          <w:color w:val="000000" w:themeColor="text1"/>
          <w:vertAlign w:val="superscript"/>
        </w:rPr>
        <w:t>[51]</w:t>
      </w:r>
      <w:r w:rsidR="00E815E9" w:rsidRPr="00C33BA8">
        <w:rPr>
          <w:rFonts w:ascii="Book Antiqua" w:hAnsi="Book Antiqua"/>
          <w:color w:val="000000" w:themeColor="text1"/>
        </w:rPr>
        <w:t>. Tissue transglutaminases such as tTG-2 and tTG-3 are known as endogenous transglutaminases. Antibodies against tTG-2, tTG-3 and tTG-6 are detected in patients with celiac disease (CD), dermatitis herpetiformis, and g</w:t>
      </w:r>
      <w:r w:rsidRPr="00C33BA8">
        <w:rPr>
          <w:rFonts w:ascii="Book Antiqua" w:hAnsi="Book Antiqua"/>
          <w:color w:val="000000" w:themeColor="text1"/>
        </w:rPr>
        <w:t>luten ataxia</w:t>
      </w:r>
      <w:r w:rsidRPr="00C33BA8">
        <w:rPr>
          <w:rFonts w:ascii="Book Antiqua" w:hAnsi="Book Antiqua"/>
          <w:color w:val="000000" w:themeColor="text1"/>
          <w:vertAlign w:val="superscript"/>
        </w:rPr>
        <w:t>[52,</w:t>
      </w:r>
      <w:r w:rsidR="00E815E9" w:rsidRPr="00C33BA8">
        <w:rPr>
          <w:rFonts w:ascii="Book Antiqua" w:hAnsi="Book Antiqua"/>
          <w:color w:val="000000" w:themeColor="text1"/>
          <w:vertAlign w:val="superscript"/>
        </w:rPr>
        <w:t>53-55]</w:t>
      </w:r>
      <w:r w:rsidR="00E815E9" w:rsidRPr="00C33BA8">
        <w:rPr>
          <w:rFonts w:ascii="Book Antiqua" w:hAnsi="Book Antiqua"/>
          <w:color w:val="000000" w:themeColor="text1"/>
        </w:rPr>
        <w:t xml:space="preserve">. The exogenous </w:t>
      </w:r>
      <w:r w:rsidR="000E6C6A" w:rsidRPr="00C33BA8">
        <w:rPr>
          <w:rFonts w:ascii="Book Antiqua" w:hAnsi="Book Antiqua"/>
          <w:color w:val="000000" w:themeColor="text1"/>
        </w:rPr>
        <w:t>mTG</w:t>
      </w:r>
      <w:r w:rsidR="00E815E9" w:rsidRPr="00C33BA8">
        <w:rPr>
          <w:rFonts w:ascii="Book Antiqua" w:hAnsi="Book Antiqua"/>
          <w:color w:val="000000" w:themeColor="text1"/>
        </w:rPr>
        <w:t xml:space="preserve"> is a universal protein cross-linker and translational modifier of peptides made from </w:t>
      </w:r>
      <w:r w:rsidR="00E815E9" w:rsidRPr="00C33BA8">
        <w:rPr>
          <w:rFonts w:ascii="Book Antiqua" w:hAnsi="Book Antiqua"/>
          <w:i/>
          <w:color w:val="000000" w:themeColor="text1"/>
        </w:rPr>
        <w:t xml:space="preserve">Streptoverticillium mobaraense </w:t>
      </w:r>
      <w:r w:rsidR="00E815E9" w:rsidRPr="00C33BA8">
        <w:rPr>
          <w:rFonts w:ascii="Book Antiqua" w:hAnsi="Book Antiqua"/>
          <w:color w:val="000000" w:themeColor="text1"/>
        </w:rPr>
        <w:t>that imitates the function of endogenous tTGs</w:t>
      </w:r>
      <w:r w:rsidR="00E815E9" w:rsidRPr="00C33BA8">
        <w:rPr>
          <w:rFonts w:ascii="Book Antiqua" w:hAnsi="Book Antiqua"/>
          <w:color w:val="000000" w:themeColor="text1"/>
          <w:vertAlign w:val="superscript"/>
        </w:rPr>
        <w:t>[56]</w:t>
      </w:r>
      <w:r w:rsidR="00E815E9" w:rsidRPr="00C33BA8">
        <w:rPr>
          <w:rFonts w:ascii="Book Antiqua" w:hAnsi="Book Antiqua"/>
          <w:color w:val="000000" w:themeColor="text1"/>
        </w:rPr>
        <w:t>. It is used industrially as meat glue to bind lesser cuts of meat and other kinds of food together. Studies indicate that the widespread use</w:t>
      </w:r>
      <w:r w:rsidRPr="00C33BA8">
        <w:rPr>
          <w:rFonts w:ascii="Book Antiqua" w:hAnsi="Book Antiqua"/>
          <w:color w:val="000000" w:themeColor="text1"/>
        </w:rPr>
        <w:t xml:space="preserve"> </w:t>
      </w:r>
      <w:r w:rsidR="00E815E9" w:rsidRPr="00C33BA8">
        <w:rPr>
          <w:rFonts w:ascii="Book Antiqua" w:hAnsi="Book Antiqua"/>
          <w:color w:val="000000" w:themeColor="text1"/>
        </w:rPr>
        <w:t>of mTG in different industries has contributed to the surge of CD and nonceliac</w:t>
      </w:r>
      <w:r w:rsidR="00B86781" w:rsidRPr="00C33BA8">
        <w:rPr>
          <w:rFonts w:ascii="Book Antiqua" w:hAnsi="Book Antiqua"/>
          <w:color w:val="000000" w:themeColor="text1"/>
        </w:rPr>
        <w:t xml:space="preserve"> gluten sensitivity (NCGS)</w:t>
      </w:r>
      <w:r w:rsidR="00B86781" w:rsidRPr="00C33BA8">
        <w:rPr>
          <w:rFonts w:ascii="Book Antiqua" w:hAnsi="Book Antiqua"/>
          <w:color w:val="000000" w:themeColor="text1"/>
          <w:vertAlign w:val="superscript"/>
        </w:rPr>
        <w:t>[56,</w:t>
      </w:r>
      <w:r w:rsidR="00E815E9" w:rsidRPr="00C33BA8">
        <w:rPr>
          <w:rFonts w:ascii="Book Antiqua" w:hAnsi="Book Antiqua"/>
          <w:color w:val="000000" w:themeColor="text1"/>
          <w:vertAlign w:val="superscript"/>
        </w:rPr>
        <w:t>57]</w:t>
      </w:r>
      <w:r w:rsidR="00E815E9" w:rsidRPr="00C33BA8">
        <w:rPr>
          <w:rFonts w:ascii="Book Antiqua" w:hAnsi="Book Antiqua"/>
          <w:color w:val="000000" w:themeColor="text1"/>
        </w:rPr>
        <w:t>.</w:t>
      </w:r>
    </w:p>
    <w:p w14:paraId="23E2658C" w14:textId="1B942BE5" w:rsidR="00920C46" w:rsidRPr="00C33BA8" w:rsidRDefault="00E815E9" w:rsidP="002060B6">
      <w:pPr>
        <w:pStyle w:val="BodyText"/>
        <w:adjustRightInd w:val="0"/>
        <w:snapToGrid w:val="0"/>
        <w:spacing w:line="360" w:lineRule="auto"/>
        <w:ind w:left="0" w:firstLineChars="100" w:firstLine="240"/>
        <w:jc w:val="both"/>
        <w:rPr>
          <w:rFonts w:ascii="Book Antiqua" w:hAnsi="Book Antiqua"/>
          <w:color w:val="000000" w:themeColor="text1"/>
        </w:rPr>
      </w:pPr>
      <w:r w:rsidRPr="00C33BA8">
        <w:rPr>
          <w:rFonts w:ascii="Book Antiqua" w:hAnsi="Book Antiqua"/>
          <w:color w:val="000000" w:themeColor="text1"/>
        </w:rPr>
        <w:t xml:space="preserve">Cross-reaction between </w:t>
      </w:r>
      <w:r w:rsidRPr="00C33BA8">
        <w:rPr>
          <w:rFonts w:ascii="Book Antiqua" w:hAnsi="Book Antiqua"/>
          <w:i/>
          <w:color w:val="000000" w:themeColor="text1"/>
        </w:rPr>
        <w:t xml:space="preserve">C. jejuni </w:t>
      </w:r>
      <w:r w:rsidRPr="00C33BA8">
        <w:rPr>
          <w:rFonts w:ascii="Book Antiqua" w:hAnsi="Book Antiqua"/>
          <w:color w:val="000000" w:themeColor="text1"/>
        </w:rPr>
        <w:t xml:space="preserve">antigens and different transglutaminases may indicate the involvement of </w:t>
      </w:r>
      <w:r w:rsidRPr="00C33BA8">
        <w:rPr>
          <w:rFonts w:ascii="Book Antiqua" w:hAnsi="Book Antiqua"/>
          <w:i/>
          <w:color w:val="000000" w:themeColor="text1"/>
        </w:rPr>
        <w:t xml:space="preserve">C. jejuni </w:t>
      </w:r>
      <w:r w:rsidRPr="00C33BA8">
        <w:rPr>
          <w:rFonts w:ascii="Book Antiqua" w:hAnsi="Book Antiqua"/>
          <w:color w:val="000000" w:themeColor="text1"/>
        </w:rPr>
        <w:t xml:space="preserve">not only in the induction of SIBO/IBS but of CD and NCGS as well. Guillain-Barré syndrome-related </w:t>
      </w:r>
      <w:r w:rsidRPr="00C33BA8">
        <w:rPr>
          <w:rFonts w:ascii="Book Antiqua" w:hAnsi="Book Antiqua"/>
          <w:i/>
          <w:color w:val="000000" w:themeColor="text1"/>
        </w:rPr>
        <w:t xml:space="preserve">C. jejuni </w:t>
      </w:r>
      <w:r w:rsidRPr="00C33BA8">
        <w:rPr>
          <w:rFonts w:ascii="Book Antiqua" w:hAnsi="Book Antiqua"/>
          <w:color w:val="000000" w:themeColor="text1"/>
        </w:rPr>
        <w:t>is very often used for the demonstration of the bi-directional signaling that exis</w:t>
      </w:r>
      <w:r w:rsidR="00B86781" w:rsidRPr="00C33BA8">
        <w:rPr>
          <w:rFonts w:ascii="Book Antiqua" w:hAnsi="Book Antiqua"/>
          <w:color w:val="000000" w:themeColor="text1"/>
        </w:rPr>
        <w:t>ts between the GI and the brain</w:t>
      </w:r>
      <w:r w:rsidRPr="00C33BA8">
        <w:rPr>
          <w:rFonts w:ascii="Book Antiqua" w:hAnsi="Book Antiqua"/>
          <w:color w:val="000000" w:themeColor="text1"/>
          <w:vertAlign w:val="superscript"/>
        </w:rPr>
        <w:t>[13]</w:t>
      </w:r>
      <w:r w:rsidRPr="00C33BA8">
        <w:rPr>
          <w:rFonts w:ascii="Book Antiqua" w:hAnsi="Book Antiqua"/>
          <w:color w:val="000000" w:themeColor="text1"/>
        </w:rPr>
        <w:t>. This concept of a “gut-brain axis” was covered extensively in the March 2018 issue of Na</w:t>
      </w:r>
      <w:r w:rsidR="00B86781" w:rsidRPr="00C33BA8">
        <w:rPr>
          <w:rFonts w:ascii="Book Antiqua" w:hAnsi="Book Antiqua"/>
          <w:color w:val="000000" w:themeColor="text1"/>
        </w:rPr>
        <w:t>ture Collections by Katrina Ray</w:t>
      </w:r>
      <w:r w:rsidRPr="00C33BA8">
        <w:rPr>
          <w:rFonts w:ascii="Book Antiqua" w:hAnsi="Book Antiqua"/>
          <w:color w:val="000000" w:themeColor="text1"/>
          <w:vertAlign w:val="superscript"/>
        </w:rPr>
        <w:t>[58]</w:t>
      </w:r>
      <w:r w:rsidRPr="00C33BA8">
        <w:rPr>
          <w:rFonts w:ascii="Book Antiqua" w:hAnsi="Book Antiqua"/>
          <w:color w:val="000000" w:themeColor="text1"/>
        </w:rPr>
        <w:t>. In this collection of articles, it was shown</w:t>
      </w:r>
      <w:r w:rsidRPr="00C33BA8">
        <w:rPr>
          <w:rFonts w:ascii="Book Antiqua" w:hAnsi="Book Antiqua"/>
          <w:color w:val="000000" w:themeColor="text1"/>
          <w:spacing w:val="-15"/>
        </w:rPr>
        <w:t xml:space="preserve"> </w:t>
      </w:r>
      <w:r w:rsidRPr="00C33BA8">
        <w:rPr>
          <w:rFonts w:ascii="Book Antiqua" w:hAnsi="Book Antiqua"/>
          <w:color w:val="000000" w:themeColor="text1"/>
        </w:rPr>
        <w:t>that the disruption of the gut-</w:t>
      </w:r>
      <w:r w:rsidRPr="00C33BA8">
        <w:rPr>
          <w:rFonts w:ascii="Book Antiqua" w:hAnsi="Book Antiqua"/>
          <w:color w:val="000000" w:themeColor="text1"/>
        </w:rPr>
        <w:lastRenderedPageBreak/>
        <w:t>brain axis has been implicated in the etiopathogenesis or manifestation of a diverse range of neurodevelopmental, psychiatric, and neurodegenerative diseases, including autism spectrum disorder, depression, Alzheimer’s disease, and Par</w:t>
      </w:r>
      <w:r w:rsidR="00B86781" w:rsidRPr="00C33BA8">
        <w:rPr>
          <w:rFonts w:ascii="Book Antiqua" w:hAnsi="Book Antiqua"/>
          <w:color w:val="000000" w:themeColor="text1"/>
        </w:rPr>
        <w:t>kinson’s disease</w:t>
      </w:r>
      <w:r w:rsidRPr="00C33BA8">
        <w:rPr>
          <w:rFonts w:ascii="Book Antiqua" w:hAnsi="Book Antiqua"/>
          <w:color w:val="000000" w:themeColor="text1"/>
          <w:vertAlign w:val="superscript"/>
        </w:rPr>
        <w:t>[58]</w:t>
      </w:r>
      <w:r w:rsidRPr="00C33BA8">
        <w:rPr>
          <w:rFonts w:ascii="Book Antiqua" w:hAnsi="Book Antiqua"/>
          <w:color w:val="000000" w:themeColor="text1"/>
        </w:rPr>
        <w:t xml:space="preserve">. In turn, common pathophysiological mechanisms have been associated with </w:t>
      </w:r>
      <w:r w:rsidR="00946B9F" w:rsidRPr="00C33BA8">
        <w:rPr>
          <w:rFonts w:ascii="Book Antiqua" w:hAnsi="Book Antiqua"/>
          <w:color w:val="000000" w:themeColor="text1"/>
        </w:rPr>
        <w:t>GI</w:t>
      </w:r>
      <w:r w:rsidRPr="00C33BA8">
        <w:rPr>
          <w:rFonts w:ascii="Book Antiqua" w:hAnsi="Book Antiqua"/>
          <w:color w:val="000000" w:themeColor="text1"/>
        </w:rPr>
        <w:t xml:space="preserve"> comorbidity</w:t>
      </w:r>
      <w:r w:rsidRPr="00C33BA8">
        <w:rPr>
          <w:rFonts w:ascii="Book Antiqua" w:hAnsi="Book Antiqua"/>
          <w:color w:val="000000" w:themeColor="text1"/>
          <w:vertAlign w:val="superscript"/>
        </w:rPr>
        <w:t>[58]</w:t>
      </w:r>
      <w:r w:rsidRPr="00C33BA8">
        <w:rPr>
          <w:rFonts w:ascii="Book Antiqua" w:hAnsi="Book Antiqua"/>
          <w:color w:val="000000" w:themeColor="text1"/>
        </w:rPr>
        <w:t>. Everything is interconnected: the gut can influence the brain, the brain can influence the gut, and</w:t>
      </w:r>
      <w:r w:rsidRPr="00C33BA8">
        <w:rPr>
          <w:rFonts w:ascii="Book Antiqua" w:hAnsi="Book Antiqua"/>
          <w:color w:val="000000" w:themeColor="text1"/>
          <w:spacing w:val="-31"/>
        </w:rPr>
        <w:t xml:space="preserve"> </w:t>
      </w:r>
      <w:r w:rsidRPr="00C33BA8">
        <w:rPr>
          <w:rFonts w:ascii="Book Antiqua" w:hAnsi="Book Antiqua"/>
          <w:color w:val="000000" w:themeColor="text1"/>
        </w:rPr>
        <w:t>they both can influence and be influenced by the immune</w:t>
      </w:r>
      <w:r w:rsidRPr="00C33BA8">
        <w:rPr>
          <w:rFonts w:ascii="Book Antiqua" w:hAnsi="Book Antiqua"/>
          <w:color w:val="000000" w:themeColor="text1"/>
          <w:spacing w:val="19"/>
        </w:rPr>
        <w:t xml:space="preserve"> </w:t>
      </w:r>
      <w:r w:rsidRPr="00C33BA8">
        <w:rPr>
          <w:rFonts w:ascii="Book Antiqua" w:hAnsi="Book Antiqua"/>
          <w:color w:val="000000" w:themeColor="text1"/>
        </w:rPr>
        <w:t>system.</w:t>
      </w:r>
    </w:p>
    <w:p w14:paraId="27394157" w14:textId="1E64B4E7" w:rsidR="00920C46" w:rsidRPr="00C33BA8" w:rsidRDefault="00E815E9" w:rsidP="002060B6">
      <w:pPr>
        <w:pStyle w:val="BodyText"/>
        <w:adjustRightInd w:val="0"/>
        <w:snapToGrid w:val="0"/>
        <w:spacing w:line="360" w:lineRule="auto"/>
        <w:ind w:left="0" w:firstLineChars="100" w:firstLine="240"/>
        <w:jc w:val="both"/>
        <w:rPr>
          <w:rFonts w:ascii="Book Antiqua" w:hAnsi="Book Antiqua"/>
          <w:color w:val="000000" w:themeColor="text1"/>
        </w:rPr>
      </w:pPr>
      <w:r w:rsidRPr="00C33BA8">
        <w:rPr>
          <w:rFonts w:ascii="Book Antiqua" w:hAnsi="Book Antiqua"/>
          <w:color w:val="000000" w:themeColor="text1"/>
        </w:rPr>
        <w:t>In view of this, we set out to study the immune reactivity of anti-</w:t>
      </w:r>
      <w:r w:rsidRPr="00C33BA8">
        <w:rPr>
          <w:rFonts w:ascii="Book Antiqua" w:hAnsi="Book Antiqua"/>
          <w:i/>
          <w:color w:val="000000" w:themeColor="text1"/>
        </w:rPr>
        <w:t xml:space="preserve">C. jejuni </w:t>
      </w:r>
      <w:r w:rsidRPr="00C33BA8">
        <w:rPr>
          <w:rFonts w:ascii="Book Antiqua" w:hAnsi="Book Antiqua"/>
          <w:color w:val="000000" w:themeColor="text1"/>
        </w:rPr>
        <w:t>antibodies with a variety of neuronal antigens that have been associated with various neuroimmune and n</w:t>
      </w:r>
      <w:r w:rsidR="00B86781" w:rsidRPr="00C33BA8">
        <w:rPr>
          <w:rFonts w:ascii="Book Antiqua" w:hAnsi="Book Antiqua"/>
          <w:color w:val="000000" w:themeColor="text1"/>
        </w:rPr>
        <w:t>eurodegenerative disorders</w:t>
      </w:r>
      <w:r w:rsidR="00B86781" w:rsidRPr="00C33BA8">
        <w:rPr>
          <w:rFonts w:ascii="Book Antiqua" w:hAnsi="Book Antiqua"/>
          <w:color w:val="000000" w:themeColor="text1"/>
          <w:vertAlign w:val="superscript"/>
        </w:rPr>
        <w:t>[59,</w:t>
      </w:r>
      <w:r w:rsidRPr="00C33BA8">
        <w:rPr>
          <w:rFonts w:ascii="Book Antiqua" w:hAnsi="Book Antiqua"/>
          <w:color w:val="000000" w:themeColor="text1"/>
          <w:vertAlign w:val="superscript"/>
        </w:rPr>
        <w:t>60]</w:t>
      </w:r>
      <w:r w:rsidRPr="00C33BA8">
        <w:rPr>
          <w:rFonts w:ascii="Book Antiqua" w:hAnsi="Book Antiqua"/>
          <w:color w:val="000000" w:themeColor="text1"/>
        </w:rPr>
        <w:t>. The antibodies used in our study reacted from moderate to high wi</w:t>
      </w:r>
      <w:r w:rsidR="00B86781" w:rsidRPr="00C33BA8">
        <w:rPr>
          <w:rFonts w:ascii="Book Antiqua" w:hAnsi="Book Antiqua"/>
          <w:color w:val="000000" w:themeColor="text1"/>
        </w:rPr>
        <w:t xml:space="preserve">th these neural antigens: MBP, </w:t>
      </w:r>
      <w:r w:rsidRPr="00C33BA8">
        <w:rPr>
          <w:rFonts w:ascii="Book Antiqua" w:hAnsi="Book Antiqua"/>
          <w:color w:val="000000" w:themeColor="text1"/>
        </w:rPr>
        <w:t>asialoganglioside GM1, S100B, GFAP, AQP4, glutamate receptor, acetylcholine</w:t>
      </w:r>
      <w:r w:rsidRPr="00C33BA8">
        <w:rPr>
          <w:rFonts w:ascii="Book Antiqua" w:hAnsi="Book Antiqua"/>
          <w:color w:val="000000" w:themeColor="text1"/>
          <w:spacing w:val="15"/>
        </w:rPr>
        <w:t xml:space="preserve"> </w:t>
      </w:r>
      <w:r w:rsidRPr="00C33BA8">
        <w:rPr>
          <w:rFonts w:ascii="Book Antiqua" w:hAnsi="Book Antiqua"/>
          <w:color w:val="000000" w:themeColor="text1"/>
        </w:rPr>
        <w:t>receptor,</w:t>
      </w:r>
      <w:r w:rsidR="00B86781" w:rsidRPr="00C33BA8">
        <w:rPr>
          <w:rFonts w:ascii="Book Antiqua" w:hAnsi="Book Antiqua"/>
          <w:color w:val="000000" w:themeColor="text1"/>
        </w:rPr>
        <w:t xml:space="preserve"> </w:t>
      </w:r>
      <w:r w:rsidR="00B85FCF" w:rsidRPr="00C33BA8">
        <w:rPr>
          <w:rFonts w:ascii="Book Antiqua" w:hAnsi="Book Antiqua"/>
          <w:color w:val="000000" w:themeColor="text1"/>
        </w:rPr>
        <w:t>β</w:t>
      </w:r>
      <w:r w:rsidRPr="00C33BA8">
        <w:rPr>
          <w:rFonts w:ascii="Book Antiqua" w:hAnsi="Book Antiqua"/>
          <w:color w:val="000000" w:themeColor="text1"/>
        </w:rPr>
        <w:t>-amyloid and presenilin (Figure</w:t>
      </w:r>
      <w:r w:rsidR="00B86781" w:rsidRPr="00C33BA8">
        <w:rPr>
          <w:rFonts w:ascii="Book Antiqua" w:hAnsi="Book Antiqua"/>
          <w:color w:val="000000" w:themeColor="text1"/>
        </w:rPr>
        <w:t xml:space="preserve">s 1 and </w:t>
      </w:r>
      <w:r w:rsidRPr="00C33BA8">
        <w:rPr>
          <w:rFonts w:ascii="Book Antiqua" w:hAnsi="Book Antiqua"/>
          <w:color w:val="000000" w:themeColor="text1"/>
        </w:rPr>
        <w:t>3). Antibodies against some of these antigens and peptides are detected in the sera and cerebrospinal fluids (CSF) of patients with neuroimmune and n</w:t>
      </w:r>
      <w:r w:rsidR="00B86781" w:rsidRPr="00C33BA8">
        <w:rPr>
          <w:rFonts w:ascii="Book Antiqua" w:hAnsi="Book Antiqua"/>
          <w:color w:val="000000" w:themeColor="text1"/>
        </w:rPr>
        <w:t>eurodegenerative disorders</w:t>
      </w:r>
      <w:r w:rsidR="00B86781" w:rsidRPr="00C33BA8">
        <w:rPr>
          <w:rFonts w:ascii="Book Antiqua" w:hAnsi="Book Antiqua"/>
          <w:color w:val="000000" w:themeColor="text1"/>
          <w:vertAlign w:val="superscript"/>
        </w:rPr>
        <w:t>[60,</w:t>
      </w:r>
      <w:r w:rsidRPr="00C33BA8">
        <w:rPr>
          <w:rFonts w:ascii="Book Antiqua" w:hAnsi="Book Antiqua"/>
          <w:color w:val="000000" w:themeColor="text1"/>
          <w:vertAlign w:val="superscript"/>
        </w:rPr>
        <w:t>61]</w:t>
      </w:r>
      <w:r w:rsidRPr="00C33BA8">
        <w:rPr>
          <w:rFonts w:ascii="Book Antiqua" w:hAnsi="Book Antiqua"/>
          <w:color w:val="000000" w:themeColor="text1"/>
        </w:rPr>
        <w:t xml:space="preserve">. These antibodies are also found but at much lower levels in the blood of </w:t>
      </w:r>
      <w:r w:rsidR="00B86781" w:rsidRPr="00C33BA8">
        <w:rPr>
          <w:rFonts w:ascii="Book Antiqua" w:hAnsi="Book Antiqua"/>
          <w:color w:val="000000" w:themeColor="text1"/>
        </w:rPr>
        <w:t>many healthy individuals</w:t>
      </w:r>
      <w:r w:rsidRPr="00C33BA8">
        <w:rPr>
          <w:rFonts w:ascii="Book Antiqua" w:hAnsi="Book Antiqua"/>
          <w:color w:val="000000" w:themeColor="text1"/>
          <w:vertAlign w:val="superscript"/>
        </w:rPr>
        <w:t>[62]</w:t>
      </w:r>
      <w:r w:rsidRPr="00C33BA8">
        <w:rPr>
          <w:rFonts w:ascii="Book Antiqua" w:hAnsi="Book Antiqua"/>
          <w:color w:val="000000" w:themeColor="text1"/>
        </w:rPr>
        <w:t>. Overall, high levels of A</w:t>
      </w:r>
      <w:r w:rsidR="00B85FCF" w:rsidRPr="00C33BA8">
        <w:rPr>
          <w:rFonts w:ascii="Book Antiqua" w:hAnsi="Book Antiqua"/>
          <w:color w:val="000000" w:themeColor="text1"/>
        </w:rPr>
        <w:t>β</w:t>
      </w:r>
      <w:r w:rsidRPr="00C33BA8">
        <w:rPr>
          <w:rFonts w:ascii="Book Antiqua" w:hAnsi="Book Antiqua"/>
          <w:color w:val="000000" w:themeColor="text1"/>
        </w:rPr>
        <w:t xml:space="preserve"> protein, presenilin, GFAP and MBP have been linked with neurodegeneration and diseases such as AD, Parkinson’s disease (P</w:t>
      </w:r>
      <w:r w:rsidR="00B86781" w:rsidRPr="00C33BA8">
        <w:rPr>
          <w:rFonts w:ascii="Book Antiqua" w:hAnsi="Book Antiqua"/>
          <w:color w:val="000000" w:themeColor="text1"/>
        </w:rPr>
        <w:t>D), and multiple sclerosis (MS)</w:t>
      </w:r>
      <w:r w:rsidRPr="00C33BA8">
        <w:rPr>
          <w:rFonts w:ascii="Book Antiqua" w:hAnsi="Book Antiqua"/>
          <w:color w:val="000000" w:themeColor="text1"/>
          <w:vertAlign w:val="superscript"/>
        </w:rPr>
        <w:t>[61-67]</w:t>
      </w:r>
      <w:r w:rsidRPr="00C33BA8">
        <w:rPr>
          <w:rFonts w:ascii="Book Antiqua" w:hAnsi="Book Antiqua"/>
          <w:color w:val="000000" w:themeColor="text1"/>
        </w:rPr>
        <w:t xml:space="preserve">. Since we have shown that </w:t>
      </w:r>
      <w:r w:rsidRPr="00C33BA8">
        <w:rPr>
          <w:rFonts w:ascii="Book Antiqua" w:hAnsi="Book Antiqua"/>
          <w:i/>
          <w:color w:val="000000" w:themeColor="text1"/>
        </w:rPr>
        <w:t xml:space="preserve">C. jejuni </w:t>
      </w:r>
      <w:r w:rsidRPr="00C33BA8">
        <w:rPr>
          <w:rFonts w:ascii="Book Antiqua" w:hAnsi="Book Antiqua"/>
          <w:color w:val="000000" w:themeColor="text1"/>
        </w:rPr>
        <w:t xml:space="preserve">antibodies react with these neural antigens, </w:t>
      </w:r>
      <w:r w:rsidRPr="00C33BA8">
        <w:rPr>
          <w:rFonts w:ascii="Book Antiqua" w:hAnsi="Book Antiqua"/>
          <w:i/>
          <w:color w:val="000000" w:themeColor="text1"/>
        </w:rPr>
        <w:t xml:space="preserve">C. jejuni </w:t>
      </w:r>
      <w:r w:rsidRPr="00C33BA8">
        <w:rPr>
          <w:rFonts w:ascii="Book Antiqua" w:hAnsi="Book Antiqua"/>
          <w:color w:val="000000" w:themeColor="text1"/>
        </w:rPr>
        <w:t>and its toxin may therefore play a role in neurodegenerative disorders including AD through molecular mimicry.</w:t>
      </w:r>
    </w:p>
    <w:p w14:paraId="592E7DD9" w14:textId="187CCB0D" w:rsidR="00920C46" w:rsidRPr="00C33BA8" w:rsidRDefault="00E815E9" w:rsidP="002060B6">
      <w:pPr>
        <w:pStyle w:val="BodyText"/>
        <w:adjustRightInd w:val="0"/>
        <w:snapToGrid w:val="0"/>
        <w:spacing w:line="360" w:lineRule="auto"/>
        <w:ind w:left="0" w:firstLineChars="100" w:firstLine="240"/>
        <w:jc w:val="both"/>
        <w:rPr>
          <w:rFonts w:ascii="Book Antiqua" w:hAnsi="Book Antiqua"/>
          <w:color w:val="000000" w:themeColor="text1"/>
        </w:rPr>
      </w:pPr>
      <w:r w:rsidRPr="00C33BA8">
        <w:rPr>
          <w:rFonts w:ascii="Book Antiqua" w:hAnsi="Book Antiqua"/>
          <w:color w:val="000000" w:themeColor="text1"/>
        </w:rPr>
        <w:t xml:space="preserve">Aquaporin 4 (AQP4) and S100B have been linked to increased permeability of the blood-brain barrier (BBB), neuromyelitis optica (NMO), </w:t>
      </w:r>
      <w:r w:rsidR="00517F9E" w:rsidRPr="00C33BA8">
        <w:rPr>
          <w:rFonts w:ascii="Book Antiqua" w:hAnsi="Book Antiqua"/>
          <w:color w:val="000000" w:themeColor="text1"/>
        </w:rPr>
        <w:t>and dementia, among others</w:t>
      </w:r>
      <w:r w:rsidR="00517F9E" w:rsidRPr="00C33BA8">
        <w:rPr>
          <w:rFonts w:ascii="Book Antiqua" w:hAnsi="Book Antiqua"/>
          <w:color w:val="000000" w:themeColor="text1"/>
          <w:vertAlign w:val="superscript"/>
        </w:rPr>
        <w:t>[66,</w:t>
      </w:r>
      <w:r w:rsidRPr="00C33BA8">
        <w:rPr>
          <w:rFonts w:ascii="Book Antiqua" w:hAnsi="Book Antiqua"/>
          <w:color w:val="000000" w:themeColor="text1"/>
          <w:vertAlign w:val="superscript"/>
        </w:rPr>
        <w:t>67]</w:t>
      </w:r>
      <w:r w:rsidRPr="00C33BA8">
        <w:rPr>
          <w:rFonts w:ascii="Book Antiqua" w:hAnsi="Book Antiqua"/>
          <w:color w:val="000000" w:themeColor="text1"/>
        </w:rPr>
        <w:t>. Glutamate receptor (glutamate-R), dopamine receptors and glutamic acid decarboxylase 65 (GAD-65) are associated with neuroautoimmunity, including Sydenham’s</w:t>
      </w:r>
      <w:r w:rsidRPr="00C33BA8">
        <w:rPr>
          <w:rFonts w:ascii="Book Antiqua" w:hAnsi="Book Antiqua"/>
          <w:color w:val="000000" w:themeColor="text1"/>
          <w:spacing w:val="-5"/>
        </w:rPr>
        <w:t xml:space="preserve"> </w:t>
      </w:r>
      <w:r w:rsidRPr="00C33BA8">
        <w:rPr>
          <w:rFonts w:ascii="Book Antiqua" w:hAnsi="Book Antiqua"/>
          <w:color w:val="000000" w:themeColor="text1"/>
        </w:rPr>
        <w:t>chorea</w:t>
      </w:r>
      <w:r w:rsidRPr="00C33BA8">
        <w:rPr>
          <w:rFonts w:ascii="Book Antiqua" w:hAnsi="Book Antiqua"/>
          <w:color w:val="000000" w:themeColor="text1"/>
          <w:spacing w:val="-5"/>
        </w:rPr>
        <w:t xml:space="preserve"> </w:t>
      </w:r>
      <w:r w:rsidRPr="00C33BA8">
        <w:rPr>
          <w:rFonts w:ascii="Book Antiqua" w:hAnsi="Book Antiqua"/>
          <w:color w:val="000000" w:themeColor="text1"/>
        </w:rPr>
        <w:t>and</w:t>
      </w:r>
      <w:r w:rsidRPr="00C33BA8">
        <w:rPr>
          <w:rFonts w:ascii="Book Antiqua" w:hAnsi="Book Antiqua"/>
          <w:color w:val="000000" w:themeColor="text1"/>
          <w:spacing w:val="-4"/>
        </w:rPr>
        <w:t xml:space="preserve"> </w:t>
      </w:r>
      <w:r w:rsidRPr="00C33BA8">
        <w:rPr>
          <w:rFonts w:ascii="Book Antiqua" w:hAnsi="Book Antiqua"/>
          <w:color w:val="000000" w:themeColor="text1"/>
        </w:rPr>
        <w:t>gluten</w:t>
      </w:r>
      <w:r w:rsidRPr="00C33BA8">
        <w:rPr>
          <w:rFonts w:ascii="Book Antiqua" w:hAnsi="Book Antiqua"/>
          <w:color w:val="000000" w:themeColor="text1"/>
          <w:spacing w:val="-5"/>
        </w:rPr>
        <w:t xml:space="preserve"> </w:t>
      </w:r>
      <w:r w:rsidRPr="00C33BA8">
        <w:rPr>
          <w:rFonts w:ascii="Book Antiqua" w:hAnsi="Book Antiqua"/>
          <w:color w:val="000000" w:themeColor="text1"/>
        </w:rPr>
        <w:t>ataxia</w:t>
      </w:r>
      <w:r w:rsidRPr="00C33BA8">
        <w:rPr>
          <w:rFonts w:ascii="Book Antiqua" w:hAnsi="Book Antiqua"/>
          <w:color w:val="000000" w:themeColor="text1"/>
          <w:vertAlign w:val="superscript"/>
        </w:rPr>
        <w:t>[68,</w:t>
      </w:r>
      <w:r w:rsidR="00B86781" w:rsidRPr="00C33BA8">
        <w:rPr>
          <w:rFonts w:ascii="Book Antiqua" w:hAnsi="Book Antiqua"/>
          <w:color w:val="000000" w:themeColor="text1"/>
          <w:vertAlign w:val="superscript"/>
        </w:rPr>
        <w:t>69</w:t>
      </w:r>
      <w:r w:rsidRPr="00C33BA8">
        <w:rPr>
          <w:rFonts w:ascii="Book Antiqua" w:hAnsi="Book Antiqua"/>
          <w:color w:val="000000" w:themeColor="text1"/>
          <w:vertAlign w:val="superscript"/>
        </w:rPr>
        <w:t>]</w:t>
      </w:r>
      <w:r w:rsidRPr="00C33BA8">
        <w:rPr>
          <w:rFonts w:ascii="Book Antiqua" w:hAnsi="Book Antiqua"/>
          <w:color w:val="000000" w:themeColor="text1"/>
        </w:rPr>
        <w:t>.</w:t>
      </w:r>
      <w:r w:rsidRPr="00C33BA8">
        <w:rPr>
          <w:rFonts w:ascii="Book Antiqua" w:hAnsi="Book Antiqua"/>
          <w:color w:val="000000" w:themeColor="text1"/>
          <w:spacing w:val="-4"/>
        </w:rPr>
        <w:t xml:space="preserve"> </w:t>
      </w:r>
      <w:r w:rsidRPr="00C33BA8">
        <w:rPr>
          <w:rFonts w:ascii="Book Antiqua" w:hAnsi="Book Antiqua"/>
          <w:color w:val="000000" w:themeColor="text1"/>
        </w:rPr>
        <w:t>Finally,</w:t>
      </w:r>
      <w:r w:rsidRPr="00C33BA8">
        <w:rPr>
          <w:rFonts w:ascii="Book Antiqua" w:hAnsi="Book Antiqua"/>
          <w:color w:val="000000" w:themeColor="text1"/>
          <w:spacing w:val="-5"/>
        </w:rPr>
        <w:t xml:space="preserve"> </w:t>
      </w:r>
      <w:r w:rsidRPr="00C33BA8">
        <w:rPr>
          <w:rFonts w:ascii="Book Antiqua" w:hAnsi="Book Antiqua"/>
          <w:color w:val="000000" w:themeColor="text1"/>
        </w:rPr>
        <w:t>application</w:t>
      </w:r>
      <w:r w:rsidRPr="00C33BA8">
        <w:rPr>
          <w:rFonts w:ascii="Book Antiqua" w:hAnsi="Book Antiqua"/>
          <w:color w:val="000000" w:themeColor="text1"/>
          <w:spacing w:val="-5"/>
        </w:rPr>
        <w:t xml:space="preserve"> </w:t>
      </w:r>
      <w:r w:rsidRPr="00C33BA8">
        <w:rPr>
          <w:rFonts w:ascii="Book Antiqua" w:hAnsi="Book Antiqua"/>
          <w:color w:val="000000" w:themeColor="text1"/>
        </w:rPr>
        <w:t>of</w:t>
      </w:r>
      <w:r w:rsidRPr="00C33BA8">
        <w:rPr>
          <w:rFonts w:ascii="Book Antiqua" w:hAnsi="Book Antiqua"/>
          <w:color w:val="000000" w:themeColor="text1"/>
          <w:spacing w:val="-4"/>
        </w:rPr>
        <w:t xml:space="preserve"> </w:t>
      </w:r>
      <w:r w:rsidRPr="00C33BA8">
        <w:rPr>
          <w:rFonts w:ascii="Book Antiqua" w:hAnsi="Book Antiqua"/>
          <w:color w:val="000000" w:themeColor="text1"/>
        </w:rPr>
        <w:t>the</w:t>
      </w:r>
      <w:r w:rsidRPr="00C33BA8">
        <w:rPr>
          <w:rFonts w:ascii="Book Antiqua" w:hAnsi="Book Antiqua"/>
          <w:color w:val="000000" w:themeColor="text1"/>
          <w:spacing w:val="-5"/>
        </w:rPr>
        <w:t xml:space="preserve"> </w:t>
      </w:r>
      <w:r w:rsidRPr="00C33BA8">
        <w:rPr>
          <w:rFonts w:ascii="Book Antiqua" w:hAnsi="Book Antiqua"/>
          <w:color w:val="000000" w:themeColor="text1"/>
        </w:rPr>
        <w:t>anti-</w:t>
      </w:r>
      <w:r w:rsidRPr="00C33BA8">
        <w:rPr>
          <w:rFonts w:ascii="Book Antiqua" w:hAnsi="Book Antiqua"/>
          <w:color w:val="000000" w:themeColor="text1"/>
          <w:spacing w:val="-4"/>
        </w:rPr>
        <w:t xml:space="preserve"> </w:t>
      </w:r>
      <w:r w:rsidRPr="00C33BA8">
        <w:rPr>
          <w:rFonts w:ascii="Book Antiqua" w:hAnsi="Book Antiqua"/>
          <w:i/>
          <w:color w:val="000000" w:themeColor="text1"/>
        </w:rPr>
        <w:t>C.</w:t>
      </w:r>
      <w:r w:rsidRPr="00C33BA8">
        <w:rPr>
          <w:rFonts w:ascii="Book Antiqua" w:hAnsi="Book Antiqua"/>
          <w:i/>
          <w:color w:val="000000" w:themeColor="text1"/>
          <w:spacing w:val="-7"/>
        </w:rPr>
        <w:t xml:space="preserve"> </w:t>
      </w:r>
      <w:r w:rsidRPr="00C33BA8">
        <w:rPr>
          <w:rFonts w:ascii="Book Antiqua" w:hAnsi="Book Antiqua"/>
          <w:i/>
          <w:color w:val="000000" w:themeColor="text1"/>
        </w:rPr>
        <w:t>jejuni</w:t>
      </w:r>
      <w:r w:rsidRPr="00C33BA8">
        <w:rPr>
          <w:rFonts w:ascii="Book Antiqua" w:hAnsi="Book Antiqua"/>
          <w:i/>
          <w:color w:val="000000" w:themeColor="text1"/>
          <w:spacing w:val="-7"/>
        </w:rPr>
        <w:t xml:space="preserve"> </w:t>
      </w:r>
      <w:r w:rsidRPr="00C33BA8">
        <w:rPr>
          <w:rFonts w:ascii="Book Antiqua" w:hAnsi="Book Antiqua"/>
          <w:color w:val="000000" w:themeColor="text1"/>
        </w:rPr>
        <w:t>to TPO, a-enolase and somatotropin resulted in moderate to strong reactions (Figures 1</w:t>
      </w:r>
      <w:r w:rsidR="00B86781" w:rsidRPr="00C33BA8">
        <w:rPr>
          <w:rFonts w:ascii="Book Antiqua" w:hAnsi="Book Antiqua"/>
          <w:color w:val="000000" w:themeColor="text1"/>
        </w:rPr>
        <w:t xml:space="preserve"> and</w:t>
      </w:r>
      <w:r w:rsidR="00517F9E" w:rsidRPr="00C33BA8">
        <w:rPr>
          <w:rFonts w:ascii="Book Antiqua" w:hAnsi="Book Antiqua"/>
          <w:color w:val="000000" w:themeColor="text1"/>
        </w:rPr>
        <w:t xml:space="preserve"> </w:t>
      </w:r>
      <w:r w:rsidRPr="00C33BA8">
        <w:rPr>
          <w:rFonts w:ascii="Book Antiqua" w:hAnsi="Book Antiqua"/>
          <w:color w:val="000000" w:themeColor="text1"/>
        </w:rPr>
        <w:t>3).</w:t>
      </w:r>
    </w:p>
    <w:p w14:paraId="50C3AA24" w14:textId="06866FFE" w:rsidR="00920C46" w:rsidRPr="00C33BA8" w:rsidRDefault="00E815E9" w:rsidP="002060B6">
      <w:pPr>
        <w:pStyle w:val="BodyText"/>
        <w:adjustRightInd w:val="0"/>
        <w:snapToGrid w:val="0"/>
        <w:spacing w:line="360" w:lineRule="auto"/>
        <w:ind w:left="0" w:firstLineChars="100" w:firstLine="240"/>
        <w:jc w:val="both"/>
        <w:rPr>
          <w:rFonts w:ascii="Book Antiqua" w:hAnsi="Book Antiqua"/>
          <w:i/>
          <w:color w:val="000000" w:themeColor="text1"/>
        </w:rPr>
      </w:pPr>
      <w:r w:rsidRPr="00C33BA8">
        <w:rPr>
          <w:rFonts w:ascii="Book Antiqua" w:hAnsi="Book Antiqua"/>
          <w:color w:val="000000" w:themeColor="text1"/>
        </w:rPr>
        <w:t>Although thyroid autoantibodies are used for confirming the diag</w:t>
      </w:r>
      <w:r w:rsidR="00B86781" w:rsidRPr="00C33BA8">
        <w:rPr>
          <w:rFonts w:ascii="Book Antiqua" w:hAnsi="Book Antiqua"/>
          <w:color w:val="000000" w:themeColor="text1"/>
        </w:rPr>
        <w:t xml:space="preserve">nosis of </w:t>
      </w:r>
      <w:r w:rsidRPr="00C33BA8">
        <w:rPr>
          <w:rFonts w:ascii="Book Antiqua" w:hAnsi="Book Antiqua"/>
          <w:color w:val="000000" w:themeColor="text1"/>
        </w:rPr>
        <w:t>thyroid</w:t>
      </w:r>
      <w:r w:rsidRPr="00C33BA8">
        <w:rPr>
          <w:rFonts w:ascii="Book Antiqua" w:hAnsi="Book Antiqua"/>
          <w:color w:val="000000" w:themeColor="text1"/>
          <w:spacing w:val="-7"/>
        </w:rPr>
        <w:t xml:space="preserve"> </w:t>
      </w:r>
      <w:r w:rsidRPr="00C33BA8">
        <w:rPr>
          <w:rFonts w:ascii="Book Antiqua" w:hAnsi="Book Antiqua"/>
          <w:color w:val="000000" w:themeColor="text1"/>
        </w:rPr>
        <w:t>autoimmunities</w:t>
      </w:r>
      <w:r w:rsidRPr="00C33BA8">
        <w:rPr>
          <w:rFonts w:ascii="Book Antiqua" w:hAnsi="Book Antiqua"/>
          <w:color w:val="000000" w:themeColor="text1"/>
          <w:vertAlign w:val="superscript"/>
        </w:rPr>
        <w:t>[70-72]</w:t>
      </w:r>
      <w:r w:rsidRPr="00C33BA8">
        <w:rPr>
          <w:rFonts w:ascii="Book Antiqua" w:hAnsi="Book Antiqua"/>
          <w:color w:val="000000" w:themeColor="text1"/>
        </w:rPr>
        <w:t>,</w:t>
      </w:r>
      <w:r w:rsidRPr="00C33BA8">
        <w:rPr>
          <w:rFonts w:ascii="Book Antiqua" w:hAnsi="Book Antiqua"/>
          <w:color w:val="000000" w:themeColor="text1"/>
          <w:spacing w:val="-6"/>
        </w:rPr>
        <w:t xml:space="preserve"> </w:t>
      </w:r>
      <w:r w:rsidRPr="00C33BA8">
        <w:rPr>
          <w:rFonts w:ascii="Book Antiqua" w:hAnsi="Book Antiqua"/>
          <w:color w:val="000000" w:themeColor="text1"/>
        </w:rPr>
        <w:t>many</w:t>
      </w:r>
      <w:r w:rsidRPr="00C33BA8">
        <w:rPr>
          <w:rFonts w:ascii="Book Antiqua" w:hAnsi="Book Antiqua"/>
          <w:color w:val="000000" w:themeColor="text1"/>
          <w:spacing w:val="-6"/>
        </w:rPr>
        <w:t xml:space="preserve"> </w:t>
      </w:r>
      <w:r w:rsidRPr="00C33BA8">
        <w:rPr>
          <w:rFonts w:ascii="Book Antiqua" w:hAnsi="Book Antiqua"/>
          <w:color w:val="000000" w:themeColor="text1"/>
        </w:rPr>
        <w:t>infectious</w:t>
      </w:r>
      <w:r w:rsidRPr="00C33BA8">
        <w:rPr>
          <w:rFonts w:ascii="Book Antiqua" w:hAnsi="Book Antiqua"/>
          <w:color w:val="000000" w:themeColor="text1"/>
          <w:spacing w:val="-7"/>
        </w:rPr>
        <w:t xml:space="preserve"> </w:t>
      </w:r>
      <w:r w:rsidRPr="00C33BA8">
        <w:rPr>
          <w:rFonts w:ascii="Book Antiqua" w:hAnsi="Book Antiqua"/>
          <w:color w:val="000000" w:themeColor="text1"/>
        </w:rPr>
        <w:t>agents</w:t>
      </w:r>
      <w:r w:rsidRPr="00C33BA8">
        <w:rPr>
          <w:rFonts w:ascii="Book Antiqua" w:hAnsi="Book Antiqua"/>
          <w:color w:val="000000" w:themeColor="text1"/>
          <w:spacing w:val="-6"/>
        </w:rPr>
        <w:t xml:space="preserve"> </w:t>
      </w:r>
      <w:r w:rsidRPr="00C33BA8">
        <w:rPr>
          <w:rFonts w:ascii="Book Antiqua" w:hAnsi="Book Antiqua"/>
          <w:color w:val="000000" w:themeColor="text1"/>
        </w:rPr>
        <w:t>such</w:t>
      </w:r>
      <w:r w:rsidRPr="00C33BA8">
        <w:rPr>
          <w:rFonts w:ascii="Book Antiqua" w:hAnsi="Book Antiqua"/>
          <w:color w:val="000000" w:themeColor="text1"/>
          <w:spacing w:val="-6"/>
        </w:rPr>
        <w:t xml:space="preserve"> </w:t>
      </w:r>
      <w:r w:rsidRPr="00C33BA8">
        <w:rPr>
          <w:rFonts w:ascii="Book Antiqua" w:hAnsi="Book Antiqua"/>
          <w:color w:val="000000" w:themeColor="text1"/>
        </w:rPr>
        <w:t>as</w:t>
      </w:r>
      <w:r w:rsidRPr="00C33BA8">
        <w:rPr>
          <w:rFonts w:ascii="Book Antiqua" w:hAnsi="Book Antiqua"/>
          <w:color w:val="000000" w:themeColor="text1"/>
          <w:spacing w:val="-6"/>
        </w:rPr>
        <w:t xml:space="preserve"> </w:t>
      </w:r>
      <w:r w:rsidRPr="00C33BA8">
        <w:rPr>
          <w:rFonts w:ascii="Book Antiqua" w:hAnsi="Book Antiqua"/>
          <w:i/>
          <w:color w:val="000000" w:themeColor="text1"/>
        </w:rPr>
        <w:t>Yersinia</w:t>
      </w:r>
      <w:r w:rsidRPr="00C33BA8">
        <w:rPr>
          <w:rFonts w:ascii="Book Antiqua" w:hAnsi="Book Antiqua"/>
          <w:i/>
          <w:color w:val="000000" w:themeColor="text1"/>
          <w:spacing w:val="-9"/>
        </w:rPr>
        <w:t xml:space="preserve"> </w:t>
      </w:r>
      <w:r w:rsidRPr="00C33BA8">
        <w:rPr>
          <w:rFonts w:ascii="Book Antiqua" w:hAnsi="Book Antiqua"/>
          <w:i/>
          <w:color w:val="000000" w:themeColor="text1"/>
        </w:rPr>
        <w:t>enterocolitica</w:t>
      </w:r>
      <w:r w:rsidRPr="00C33BA8">
        <w:rPr>
          <w:rFonts w:ascii="Book Antiqua" w:hAnsi="Book Antiqua"/>
          <w:color w:val="000000" w:themeColor="text1"/>
        </w:rPr>
        <w:t>,</w:t>
      </w:r>
      <w:r w:rsidRPr="00C33BA8">
        <w:rPr>
          <w:rFonts w:ascii="Book Antiqua" w:hAnsi="Book Antiqua"/>
          <w:color w:val="000000" w:themeColor="text1"/>
          <w:spacing w:val="-7"/>
        </w:rPr>
        <w:t xml:space="preserve"> </w:t>
      </w:r>
      <w:r w:rsidR="00B86781" w:rsidRPr="00C33BA8">
        <w:rPr>
          <w:rFonts w:ascii="Book Antiqua" w:hAnsi="Book Antiqua"/>
          <w:i/>
          <w:color w:val="000000" w:themeColor="text1"/>
          <w:spacing w:val="-7"/>
        </w:rPr>
        <w:t>Helicobacter pylori</w:t>
      </w:r>
      <w:r w:rsidR="00B86781" w:rsidRPr="00C33BA8">
        <w:rPr>
          <w:rFonts w:ascii="Book Antiqua" w:hAnsi="Book Antiqua"/>
          <w:color w:val="000000" w:themeColor="text1"/>
          <w:spacing w:val="-7"/>
        </w:rPr>
        <w:t xml:space="preserve"> (</w:t>
      </w:r>
      <w:r w:rsidRPr="00C33BA8">
        <w:rPr>
          <w:rFonts w:ascii="Book Antiqua" w:hAnsi="Book Antiqua"/>
          <w:i/>
          <w:color w:val="000000" w:themeColor="text1"/>
        </w:rPr>
        <w:t>H.</w:t>
      </w:r>
      <w:r w:rsidR="00B86781" w:rsidRPr="00C33BA8">
        <w:rPr>
          <w:rFonts w:ascii="Book Antiqua" w:hAnsi="Book Antiqua"/>
          <w:i/>
          <w:color w:val="000000" w:themeColor="text1"/>
        </w:rPr>
        <w:t xml:space="preserve"> </w:t>
      </w:r>
      <w:r w:rsidRPr="00C33BA8">
        <w:rPr>
          <w:rFonts w:ascii="Book Antiqua" w:hAnsi="Book Antiqua"/>
          <w:i/>
          <w:color w:val="000000" w:themeColor="text1"/>
        </w:rPr>
        <w:t>pylori</w:t>
      </w:r>
      <w:r w:rsidR="00B86781" w:rsidRPr="00C33BA8">
        <w:rPr>
          <w:rFonts w:ascii="Book Antiqua" w:hAnsi="Book Antiqua"/>
          <w:color w:val="000000" w:themeColor="text1"/>
        </w:rPr>
        <w:t>)</w:t>
      </w:r>
      <w:r w:rsidRPr="00C33BA8">
        <w:rPr>
          <w:rFonts w:ascii="Book Antiqua" w:hAnsi="Book Antiqua"/>
          <w:i/>
          <w:color w:val="000000" w:themeColor="text1"/>
        </w:rPr>
        <w:t xml:space="preserve">, Candida albicans, </w:t>
      </w:r>
      <w:bookmarkStart w:id="32" w:name="OLE_LINK62"/>
      <w:bookmarkStart w:id="33" w:name="OLE_LINK63"/>
      <w:r w:rsidRPr="00C33BA8">
        <w:rPr>
          <w:rFonts w:ascii="Book Antiqua" w:hAnsi="Book Antiqua"/>
          <w:i/>
          <w:color w:val="000000" w:themeColor="text1"/>
        </w:rPr>
        <w:t>B. burgdorferi</w:t>
      </w:r>
      <w:bookmarkEnd w:id="32"/>
      <w:bookmarkEnd w:id="33"/>
      <w:r w:rsidRPr="00C33BA8">
        <w:rPr>
          <w:rFonts w:ascii="Book Antiqua" w:hAnsi="Book Antiqua"/>
          <w:i/>
          <w:color w:val="000000" w:themeColor="text1"/>
        </w:rPr>
        <w:t xml:space="preserve">, </w:t>
      </w:r>
      <w:r w:rsidRPr="00C33BA8">
        <w:rPr>
          <w:rFonts w:ascii="Book Antiqua" w:hAnsi="Book Antiqua"/>
          <w:color w:val="000000" w:themeColor="text1"/>
        </w:rPr>
        <w:t xml:space="preserve">and, as our own study now demonstrates, </w:t>
      </w:r>
      <w:r w:rsidRPr="00C33BA8">
        <w:rPr>
          <w:rFonts w:ascii="Book Antiqua" w:hAnsi="Book Antiqua"/>
          <w:i/>
          <w:color w:val="000000" w:themeColor="text1"/>
        </w:rPr>
        <w:t xml:space="preserve">C. jejuni, </w:t>
      </w:r>
      <w:r w:rsidRPr="00C33BA8">
        <w:rPr>
          <w:rFonts w:ascii="Book Antiqua" w:hAnsi="Book Antiqua"/>
          <w:color w:val="000000" w:themeColor="text1"/>
        </w:rPr>
        <w:t>may contribute to the presen</w:t>
      </w:r>
      <w:r w:rsidR="00B86781" w:rsidRPr="00C33BA8">
        <w:rPr>
          <w:rFonts w:ascii="Book Antiqua" w:hAnsi="Book Antiqua"/>
          <w:color w:val="000000" w:themeColor="text1"/>
        </w:rPr>
        <w:t>ce of these antibodies in blood</w:t>
      </w:r>
      <w:r w:rsidRPr="00C33BA8">
        <w:rPr>
          <w:rFonts w:ascii="Book Antiqua" w:hAnsi="Book Antiqua"/>
          <w:color w:val="000000" w:themeColor="text1"/>
          <w:vertAlign w:val="superscript"/>
        </w:rPr>
        <w:t>[73-75]</w:t>
      </w:r>
      <w:r w:rsidRPr="00C33BA8">
        <w:rPr>
          <w:rFonts w:ascii="Book Antiqua" w:hAnsi="Book Antiqua"/>
          <w:color w:val="000000" w:themeColor="text1"/>
        </w:rPr>
        <w:t xml:space="preserve">. a-enolase or non- neuronal enolase, in addition to its enzymatic activity, performs many physiological </w:t>
      </w:r>
      <w:r w:rsidRPr="00C33BA8">
        <w:rPr>
          <w:rFonts w:ascii="Book Antiqua" w:hAnsi="Book Antiqua"/>
          <w:color w:val="000000" w:themeColor="text1"/>
        </w:rPr>
        <w:lastRenderedPageBreak/>
        <w:t>function</w:t>
      </w:r>
      <w:r w:rsidR="00B86781" w:rsidRPr="00C33BA8">
        <w:rPr>
          <w:rFonts w:ascii="Book Antiqua" w:hAnsi="Book Antiqua"/>
          <w:color w:val="000000" w:themeColor="text1"/>
        </w:rPr>
        <w:t>s in eukaryotes and prokaryotes</w:t>
      </w:r>
      <w:r w:rsidRPr="00C33BA8">
        <w:rPr>
          <w:rFonts w:ascii="Book Antiqua" w:hAnsi="Book Antiqua"/>
          <w:color w:val="000000" w:themeColor="text1"/>
          <w:vertAlign w:val="superscript"/>
        </w:rPr>
        <w:t>[76]</w:t>
      </w:r>
      <w:r w:rsidRPr="00C33BA8">
        <w:rPr>
          <w:rFonts w:ascii="Book Antiqua" w:hAnsi="Book Antiqua"/>
          <w:color w:val="000000" w:themeColor="text1"/>
        </w:rPr>
        <w:t>. Antibodies against this enzyme have been detected in a variety of infections and autoimmune diseases. In infections</w:t>
      </w:r>
      <w:r w:rsidR="00B86781" w:rsidRPr="00C33BA8">
        <w:rPr>
          <w:rFonts w:ascii="Book Antiqua" w:hAnsi="Book Antiqua"/>
          <w:color w:val="000000" w:themeColor="text1"/>
        </w:rPr>
        <w:t>,</w:t>
      </w:r>
      <w:r w:rsidRPr="00C33BA8">
        <w:rPr>
          <w:rFonts w:ascii="Book Antiqua" w:hAnsi="Book Antiqua"/>
          <w:color w:val="000000" w:themeColor="text1"/>
        </w:rPr>
        <w:t xml:space="preserve"> it seems that anti-a-enolase could play a role in limiting microbial tissue invasion by bindi</w:t>
      </w:r>
      <w:r w:rsidR="00B86781" w:rsidRPr="00C33BA8">
        <w:rPr>
          <w:rFonts w:ascii="Book Antiqua" w:hAnsi="Book Antiqua"/>
          <w:color w:val="000000" w:themeColor="text1"/>
        </w:rPr>
        <w:t>ng to bacterial surface enolase</w:t>
      </w:r>
      <w:r w:rsidRPr="00C33BA8">
        <w:rPr>
          <w:rFonts w:ascii="Book Antiqua" w:hAnsi="Book Antiqua"/>
          <w:color w:val="000000" w:themeColor="text1"/>
          <w:vertAlign w:val="superscript"/>
        </w:rPr>
        <w:t>[77-78]</w:t>
      </w:r>
      <w:r w:rsidRPr="00C33BA8">
        <w:rPr>
          <w:rFonts w:ascii="Book Antiqua" w:hAnsi="Book Antiqua"/>
          <w:color w:val="000000" w:themeColor="text1"/>
        </w:rPr>
        <w:t>, while in autoimmunities the a-enolase antibody could induce tissue injury through the initiation of immune complex formation and the activation of complement cascade</w:t>
      </w:r>
      <w:r w:rsidRPr="00C33BA8">
        <w:rPr>
          <w:rFonts w:ascii="Book Antiqua" w:hAnsi="Book Antiqua"/>
          <w:color w:val="000000" w:themeColor="text1"/>
          <w:vertAlign w:val="superscript"/>
        </w:rPr>
        <w:t>[79-82]</w:t>
      </w:r>
      <w:r w:rsidRPr="00C33BA8">
        <w:rPr>
          <w:rFonts w:ascii="Book Antiqua" w:hAnsi="Book Antiqua"/>
          <w:color w:val="000000" w:themeColor="text1"/>
        </w:rPr>
        <w:t>.</w:t>
      </w:r>
    </w:p>
    <w:p w14:paraId="20DE1859" w14:textId="6E831493" w:rsidR="00920C46" w:rsidRPr="00C33BA8" w:rsidRDefault="00E815E9" w:rsidP="002060B6">
      <w:pPr>
        <w:pStyle w:val="BodyText"/>
        <w:adjustRightInd w:val="0"/>
        <w:snapToGrid w:val="0"/>
        <w:spacing w:line="360" w:lineRule="auto"/>
        <w:ind w:left="0" w:firstLineChars="100" w:firstLine="240"/>
        <w:jc w:val="both"/>
        <w:rPr>
          <w:rFonts w:ascii="Book Antiqua" w:hAnsi="Book Antiqua"/>
          <w:color w:val="000000" w:themeColor="text1"/>
        </w:rPr>
      </w:pPr>
      <w:r w:rsidRPr="00C33BA8">
        <w:rPr>
          <w:rFonts w:ascii="Book Antiqua" w:hAnsi="Book Antiqua"/>
          <w:color w:val="000000" w:themeColor="text1"/>
        </w:rPr>
        <w:t xml:space="preserve">Finally, as shown in Figures 1 and 3, both </w:t>
      </w:r>
      <w:r w:rsidRPr="00C33BA8">
        <w:rPr>
          <w:rFonts w:ascii="Book Antiqua" w:hAnsi="Book Antiqua"/>
          <w:i/>
          <w:color w:val="000000" w:themeColor="text1"/>
        </w:rPr>
        <w:t xml:space="preserve">C. jejuni </w:t>
      </w:r>
      <w:r w:rsidRPr="00C33BA8">
        <w:rPr>
          <w:rFonts w:ascii="Book Antiqua" w:hAnsi="Book Antiqua"/>
          <w:color w:val="000000" w:themeColor="text1"/>
        </w:rPr>
        <w:t xml:space="preserve">and </w:t>
      </w:r>
      <w:r w:rsidRPr="00C33BA8">
        <w:rPr>
          <w:rFonts w:ascii="Book Antiqua" w:hAnsi="Book Antiqua"/>
          <w:i/>
          <w:color w:val="000000" w:themeColor="text1"/>
        </w:rPr>
        <w:t xml:space="preserve">C. jejuni </w:t>
      </w:r>
      <w:r w:rsidRPr="00C33BA8">
        <w:rPr>
          <w:rFonts w:ascii="Book Antiqua" w:hAnsi="Book Antiqua"/>
          <w:color w:val="000000" w:themeColor="text1"/>
        </w:rPr>
        <w:t>Cdt antibodies reacted strongly with somatotropin or human growth hormone (HGH). In addition to growth promotion, other significant effects of HGH are stimulation of protein synthesis, enhancement of immune function, and activation of lipolysis. In a recent review article, it was shown that the gut microbiota communicates with the host’s tissue and cells, including adipocytes</w:t>
      </w:r>
      <w:r w:rsidRPr="00C33BA8">
        <w:rPr>
          <w:rFonts w:ascii="Book Antiqua" w:hAnsi="Book Antiqua"/>
          <w:color w:val="000000" w:themeColor="text1"/>
          <w:vertAlign w:val="superscript"/>
        </w:rPr>
        <w:t>[83]</w:t>
      </w:r>
      <w:r w:rsidRPr="00C33BA8">
        <w:rPr>
          <w:rFonts w:ascii="Book Antiqua" w:hAnsi="Book Antiqua"/>
          <w:color w:val="000000" w:themeColor="text1"/>
        </w:rPr>
        <w:t>. Thus, alteration in the composition of the gut microbiota and their metabolites can affect not only the serum level of HGH but also dif</w:t>
      </w:r>
      <w:r w:rsidR="00B86781" w:rsidRPr="00C33BA8">
        <w:rPr>
          <w:rFonts w:ascii="Book Antiqua" w:hAnsi="Book Antiqua"/>
          <w:color w:val="000000" w:themeColor="text1"/>
        </w:rPr>
        <w:t>ferent organs of the human body</w:t>
      </w:r>
      <w:r w:rsidRPr="00C33BA8">
        <w:rPr>
          <w:rFonts w:ascii="Book Antiqua" w:hAnsi="Book Antiqua"/>
          <w:color w:val="000000" w:themeColor="text1"/>
          <w:vertAlign w:val="superscript"/>
        </w:rPr>
        <w:t>[84-87]</w:t>
      </w:r>
      <w:r w:rsidRPr="00C33BA8">
        <w:rPr>
          <w:rFonts w:ascii="Book Antiqua" w:hAnsi="Book Antiqua"/>
          <w:color w:val="000000" w:themeColor="text1"/>
        </w:rPr>
        <w:t xml:space="preserve">. Although the underlying molecular mechanisms are unknown, the production of antibodies against </w:t>
      </w:r>
      <w:r w:rsidRPr="00C33BA8">
        <w:rPr>
          <w:rFonts w:ascii="Book Antiqua" w:hAnsi="Book Antiqua"/>
          <w:i/>
          <w:color w:val="000000" w:themeColor="text1"/>
        </w:rPr>
        <w:t xml:space="preserve">C. jejuni </w:t>
      </w:r>
      <w:r w:rsidRPr="00C33BA8">
        <w:rPr>
          <w:rFonts w:ascii="Book Antiqua" w:hAnsi="Book Antiqua"/>
          <w:color w:val="000000" w:themeColor="text1"/>
        </w:rPr>
        <w:t>and their strong reaction with somatotropin may result in the binding of these antibodies to HGH, thus preventing its binding to the HGH receptor and inhibiting its potent pleiotropic biological effects. In our earlier st</w:t>
      </w:r>
      <w:r w:rsidR="00B86781" w:rsidRPr="00C33BA8">
        <w:rPr>
          <w:rFonts w:ascii="Book Antiqua" w:hAnsi="Book Antiqua"/>
          <w:color w:val="000000" w:themeColor="text1"/>
        </w:rPr>
        <w:t>udies</w:t>
      </w:r>
      <w:r w:rsidR="00B86781" w:rsidRPr="00C33BA8">
        <w:rPr>
          <w:rFonts w:ascii="Book Antiqua" w:hAnsi="Book Antiqua"/>
          <w:color w:val="000000" w:themeColor="text1"/>
          <w:vertAlign w:val="superscript"/>
        </w:rPr>
        <w:t>[40,</w:t>
      </w:r>
      <w:r w:rsidRPr="00C33BA8">
        <w:rPr>
          <w:rFonts w:ascii="Book Antiqua" w:hAnsi="Book Antiqua"/>
          <w:color w:val="000000" w:themeColor="text1"/>
          <w:vertAlign w:val="superscript"/>
        </w:rPr>
        <w:t>88]</w:t>
      </w:r>
      <w:r w:rsidRPr="00C33BA8">
        <w:rPr>
          <w:rFonts w:ascii="Book Antiqua" w:hAnsi="Book Antiqua"/>
          <w:color w:val="000000" w:themeColor="text1"/>
        </w:rPr>
        <w:t>, we showed that in addition to infections, many food antigens or peptides contribute to the increased levels of antibodies that are detected</w:t>
      </w:r>
      <w:r w:rsidRPr="00C33BA8">
        <w:rPr>
          <w:rFonts w:ascii="Book Antiqua" w:hAnsi="Book Antiqua"/>
          <w:color w:val="000000" w:themeColor="text1"/>
          <w:spacing w:val="6"/>
        </w:rPr>
        <w:t xml:space="preserve"> </w:t>
      </w:r>
      <w:r w:rsidRPr="00C33BA8">
        <w:rPr>
          <w:rFonts w:ascii="Book Antiqua" w:hAnsi="Book Antiqua"/>
          <w:color w:val="000000" w:themeColor="text1"/>
        </w:rPr>
        <w:t>in</w:t>
      </w:r>
      <w:r w:rsidR="00B86781" w:rsidRPr="00C33BA8">
        <w:rPr>
          <w:rFonts w:ascii="Book Antiqua" w:hAnsi="Book Antiqua"/>
          <w:color w:val="000000" w:themeColor="text1"/>
        </w:rPr>
        <w:t xml:space="preserve"> </w:t>
      </w:r>
      <w:r w:rsidRPr="00C33BA8">
        <w:rPr>
          <w:rFonts w:ascii="Book Antiqua" w:hAnsi="Book Antiqua"/>
          <w:color w:val="000000" w:themeColor="text1"/>
        </w:rPr>
        <w:t>patients with type 1 diabetes, thyroid autoi</w:t>
      </w:r>
      <w:r w:rsidR="00B86781" w:rsidRPr="00C33BA8">
        <w:rPr>
          <w:rFonts w:ascii="Book Antiqua" w:hAnsi="Book Antiqua"/>
          <w:color w:val="000000" w:themeColor="text1"/>
        </w:rPr>
        <w:t>mmunity and Alzheimer’s disease</w:t>
      </w:r>
      <w:r w:rsidRPr="00C33BA8">
        <w:rPr>
          <w:rFonts w:ascii="Book Antiqua" w:hAnsi="Book Antiqua"/>
          <w:color w:val="000000" w:themeColor="text1"/>
          <w:vertAlign w:val="superscript"/>
        </w:rPr>
        <w:t>[40,</w:t>
      </w:r>
      <w:r w:rsidR="009C3AEB" w:rsidRPr="00C33BA8">
        <w:rPr>
          <w:rFonts w:ascii="Book Antiqua" w:hAnsi="Book Antiqua"/>
          <w:color w:val="000000" w:themeColor="text1"/>
          <w:vertAlign w:val="superscript"/>
        </w:rPr>
        <w:t>59,88,89</w:t>
      </w:r>
      <w:r w:rsidRPr="00C33BA8">
        <w:rPr>
          <w:rFonts w:ascii="Book Antiqua" w:hAnsi="Book Antiqua"/>
          <w:color w:val="000000" w:themeColor="text1"/>
          <w:vertAlign w:val="superscript"/>
        </w:rPr>
        <w:t>]</w:t>
      </w:r>
      <w:r w:rsidRPr="00C33BA8">
        <w:rPr>
          <w:rFonts w:ascii="Book Antiqua" w:hAnsi="Book Antiqua"/>
          <w:color w:val="000000" w:themeColor="text1"/>
        </w:rPr>
        <w:t xml:space="preserve">. Therefore, similar to these other studies, we measured the immunoreactivities of </w:t>
      </w:r>
      <w:r w:rsidRPr="00C33BA8">
        <w:rPr>
          <w:rFonts w:ascii="Book Antiqua" w:hAnsi="Book Antiqua"/>
          <w:i/>
          <w:color w:val="000000" w:themeColor="text1"/>
        </w:rPr>
        <w:t>C.</w:t>
      </w:r>
      <w:r w:rsidR="00517F9E" w:rsidRPr="00C33BA8">
        <w:rPr>
          <w:rFonts w:ascii="Book Antiqua" w:hAnsi="Book Antiqua"/>
          <w:i/>
          <w:color w:val="000000" w:themeColor="text1"/>
        </w:rPr>
        <w:t xml:space="preserve"> </w:t>
      </w:r>
      <w:r w:rsidRPr="00C33BA8">
        <w:rPr>
          <w:rFonts w:ascii="Book Antiqua" w:hAnsi="Book Antiqua"/>
          <w:i/>
          <w:color w:val="000000" w:themeColor="text1"/>
        </w:rPr>
        <w:t xml:space="preserve">jejuni </w:t>
      </w:r>
      <w:r w:rsidRPr="00C33BA8">
        <w:rPr>
          <w:rFonts w:ascii="Book Antiqua" w:hAnsi="Book Antiqua"/>
          <w:color w:val="000000" w:themeColor="text1"/>
        </w:rPr>
        <w:t xml:space="preserve">antibodies with 180 different food antigens. Results depicted in Figures 3 and 4 show that although the </w:t>
      </w:r>
      <w:r w:rsidRPr="00C33BA8">
        <w:rPr>
          <w:rFonts w:ascii="Book Antiqua" w:hAnsi="Book Antiqua"/>
          <w:i/>
          <w:color w:val="000000" w:themeColor="text1"/>
        </w:rPr>
        <w:t xml:space="preserve">C. jejuni </w:t>
      </w:r>
      <w:r w:rsidRPr="00C33BA8">
        <w:rPr>
          <w:rFonts w:ascii="Book Antiqua" w:hAnsi="Book Antiqua"/>
          <w:color w:val="000000" w:themeColor="text1"/>
        </w:rPr>
        <w:t xml:space="preserve">bacterial antibody had low reactions with 17 out of 180 foods, the </w:t>
      </w:r>
      <w:r w:rsidRPr="00C33BA8">
        <w:rPr>
          <w:rFonts w:ascii="Book Antiqua" w:hAnsi="Book Antiqua"/>
          <w:i/>
          <w:color w:val="000000" w:themeColor="text1"/>
        </w:rPr>
        <w:t xml:space="preserve">C. jejuni </w:t>
      </w:r>
      <w:r w:rsidRPr="00C33BA8">
        <w:rPr>
          <w:rFonts w:ascii="Book Antiqua" w:hAnsi="Book Antiqua"/>
          <w:color w:val="000000" w:themeColor="text1"/>
        </w:rPr>
        <w:t>Cdt antibody reactions were from mo</w:t>
      </w:r>
      <w:r w:rsidR="00B86781" w:rsidRPr="00C33BA8">
        <w:rPr>
          <w:rFonts w:ascii="Book Antiqua" w:hAnsi="Book Antiqua"/>
          <w:color w:val="000000" w:themeColor="text1"/>
        </w:rPr>
        <w:t xml:space="preserve">derate to high with 19 out of </w:t>
      </w:r>
      <w:r w:rsidRPr="00C33BA8">
        <w:rPr>
          <w:rFonts w:ascii="Book Antiqua" w:hAnsi="Book Antiqua"/>
          <w:color w:val="000000" w:themeColor="text1"/>
        </w:rPr>
        <w:t xml:space="preserve">180 food antigens or peptides (Figure 4). Detection in the blood of these </w:t>
      </w:r>
      <w:r w:rsidRPr="00C33BA8">
        <w:rPr>
          <w:rFonts w:ascii="Book Antiqua" w:hAnsi="Book Antiqua"/>
          <w:i/>
          <w:color w:val="000000" w:themeColor="text1"/>
        </w:rPr>
        <w:t xml:space="preserve">C. jejuni </w:t>
      </w:r>
      <w:r w:rsidRPr="00C33BA8">
        <w:rPr>
          <w:rFonts w:ascii="Book Antiqua" w:hAnsi="Book Antiqua"/>
          <w:color w:val="000000" w:themeColor="text1"/>
        </w:rPr>
        <w:t xml:space="preserve">antibodies that cross-react with different food antigens such as watermelon, pumpkin, squash, carrots, peanut agglutinin, wheat, milk, and gums is clinically significant if macromolecules from food escape enzymatic digestion due to </w:t>
      </w:r>
      <w:r w:rsidRPr="00C33BA8">
        <w:rPr>
          <w:rFonts w:ascii="Book Antiqua" w:hAnsi="Book Antiqua"/>
          <w:i/>
          <w:color w:val="000000" w:themeColor="text1"/>
        </w:rPr>
        <w:t xml:space="preserve">C. jejuni </w:t>
      </w:r>
      <w:r w:rsidRPr="00C33BA8">
        <w:rPr>
          <w:rFonts w:ascii="Book Antiqua" w:hAnsi="Book Antiqua"/>
          <w:color w:val="000000" w:themeColor="text1"/>
        </w:rPr>
        <w:t xml:space="preserve">and its toxins. In the state of altered intestinal permeability, a heightened rate of food antigens is detected in the systemic circulation. The reaction of </w:t>
      </w:r>
      <w:r w:rsidRPr="00C33BA8">
        <w:rPr>
          <w:rFonts w:ascii="Book Antiqua" w:hAnsi="Book Antiqua"/>
          <w:i/>
          <w:color w:val="000000" w:themeColor="text1"/>
        </w:rPr>
        <w:t xml:space="preserve">C. jejuni </w:t>
      </w:r>
      <w:r w:rsidRPr="00C33BA8">
        <w:rPr>
          <w:rFonts w:ascii="Book Antiqua" w:hAnsi="Book Antiqua"/>
          <w:color w:val="000000" w:themeColor="text1"/>
        </w:rPr>
        <w:t xml:space="preserve">cross-reactive antibodies in the presence of C1q complement results in the formation of food </w:t>
      </w:r>
      <w:r w:rsidRPr="00C33BA8">
        <w:rPr>
          <w:rFonts w:ascii="Book Antiqua" w:hAnsi="Book Antiqua"/>
          <w:color w:val="000000" w:themeColor="text1"/>
        </w:rPr>
        <w:lastRenderedPageBreak/>
        <w:t>immune complexes. It has been suggested that if these circulating soluble immune complexes are not removed by the liver, they may then play a significant role in allergies and a variety of inflammator</w:t>
      </w:r>
      <w:r w:rsidR="00B86781" w:rsidRPr="00C33BA8">
        <w:rPr>
          <w:rFonts w:ascii="Book Antiqua" w:hAnsi="Book Antiqua"/>
          <w:color w:val="000000" w:themeColor="text1"/>
        </w:rPr>
        <w:t>y and autoimmune disorders</w:t>
      </w:r>
      <w:r w:rsidR="009C3AEB" w:rsidRPr="00C33BA8">
        <w:rPr>
          <w:rFonts w:ascii="Book Antiqua" w:hAnsi="Book Antiqua"/>
          <w:color w:val="000000" w:themeColor="text1"/>
          <w:vertAlign w:val="superscript"/>
        </w:rPr>
        <w:t>[31,90</w:t>
      </w:r>
      <w:r w:rsidR="00B86781" w:rsidRPr="00C33BA8">
        <w:rPr>
          <w:rFonts w:ascii="Book Antiqua" w:hAnsi="Book Antiqua"/>
          <w:color w:val="000000" w:themeColor="text1"/>
          <w:vertAlign w:val="superscript"/>
        </w:rPr>
        <w:t>,</w:t>
      </w:r>
      <w:r w:rsidR="009C3AEB" w:rsidRPr="00C33BA8">
        <w:rPr>
          <w:rFonts w:ascii="Book Antiqua" w:hAnsi="Book Antiqua"/>
          <w:color w:val="000000" w:themeColor="text1"/>
          <w:vertAlign w:val="superscript"/>
        </w:rPr>
        <w:t>91</w:t>
      </w:r>
      <w:r w:rsidRPr="00C33BA8">
        <w:rPr>
          <w:rFonts w:ascii="Book Antiqua" w:hAnsi="Book Antiqua"/>
          <w:color w:val="000000" w:themeColor="text1"/>
          <w:vertAlign w:val="superscript"/>
        </w:rPr>
        <w:t>]</w:t>
      </w:r>
      <w:r w:rsidRPr="00C33BA8">
        <w:rPr>
          <w:rFonts w:ascii="Book Antiqua" w:hAnsi="Book Antiqua"/>
          <w:color w:val="000000" w:themeColor="text1"/>
        </w:rPr>
        <w:t xml:space="preserve">. Furthermore, our findings may provide new insight into the diversity of </w:t>
      </w:r>
      <w:r w:rsidRPr="00C33BA8">
        <w:rPr>
          <w:rFonts w:ascii="Book Antiqua" w:hAnsi="Book Antiqua"/>
          <w:i/>
          <w:color w:val="000000" w:themeColor="text1"/>
        </w:rPr>
        <w:t xml:space="preserve">C. jejuni </w:t>
      </w:r>
      <w:r w:rsidRPr="00C33BA8">
        <w:rPr>
          <w:rFonts w:ascii="Book Antiqua" w:hAnsi="Book Antiqua"/>
          <w:color w:val="000000" w:themeColor="text1"/>
        </w:rPr>
        <w:t xml:space="preserve">toxins that mimic mammalian tissue antigens, as well as the ways by which </w:t>
      </w:r>
      <w:r w:rsidRPr="00C33BA8">
        <w:rPr>
          <w:rFonts w:ascii="Book Antiqua" w:hAnsi="Book Antiqua"/>
          <w:i/>
          <w:color w:val="000000" w:themeColor="text1"/>
        </w:rPr>
        <w:t xml:space="preserve">C. jejuni </w:t>
      </w:r>
      <w:r w:rsidRPr="00C33BA8">
        <w:rPr>
          <w:rFonts w:ascii="Book Antiqua" w:hAnsi="Book Antiqua"/>
          <w:color w:val="000000" w:themeColor="text1"/>
        </w:rPr>
        <w:t xml:space="preserve">can bind with cell surface glycans on different foods and then use them as vehicles for </w:t>
      </w:r>
      <w:r w:rsidRPr="00C33BA8">
        <w:rPr>
          <w:rFonts w:ascii="Book Antiqua" w:hAnsi="Book Antiqua"/>
          <w:i/>
          <w:color w:val="000000" w:themeColor="text1"/>
        </w:rPr>
        <w:t xml:space="preserve">C. jejuni </w:t>
      </w:r>
      <w:r w:rsidRPr="00C33BA8">
        <w:rPr>
          <w:rFonts w:ascii="Book Antiqua" w:hAnsi="Book Antiqua"/>
          <w:color w:val="000000" w:themeColor="text1"/>
        </w:rPr>
        <w:t>toxic invasion into the blood. This could initiate not only autoimmunities but also neurodegenerative disorders such as Alzheimer’s disease and Parkinson’s</w:t>
      </w:r>
      <w:r w:rsidRPr="00C33BA8">
        <w:rPr>
          <w:rFonts w:ascii="Book Antiqua" w:hAnsi="Book Antiqua"/>
          <w:color w:val="000000" w:themeColor="text1"/>
          <w:spacing w:val="10"/>
        </w:rPr>
        <w:t xml:space="preserve"> </w:t>
      </w:r>
      <w:r w:rsidRPr="00C33BA8">
        <w:rPr>
          <w:rFonts w:ascii="Book Antiqua" w:hAnsi="Book Antiqua"/>
          <w:color w:val="000000" w:themeColor="text1"/>
        </w:rPr>
        <w:t>disease.</w:t>
      </w:r>
    </w:p>
    <w:p w14:paraId="6CDEC912" w14:textId="5EAD9AB4" w:rsidR="00920C46" w:rsidRPr="00C33BA8" w:rsidRDefault="00B86781" w:rsidP="00686B93">
      <w:pPr>
        <w:pStyle w:val="BodyText"/>
        <w:adjustRightInd w:val="0"/>
        <w:snapToGrid w:val="0"/>
        <w:spacing w:line="360" w:lineRule="auto"/>
        <w:ind w:left="0"/>
        <w:jc w:val="both"/>
        <w:rPr>
          <w:rFonts w:ascii="Book Antiqua" w:hAnsi="Book Antiqua"/>
          <w:color w:val="000000" w:themeColor="text1"/>
        </w:rPr>
      </w:pPr>
      <w:r w:rsidRPr="00C33BA8">
        <w:rPr>
          <w:rFonts w:ascii="Book Antiqua" w:hAnsi="Book Antiqua"/>
          <w:color w:val="000000" w:themeColor="text1"/>
        </w:rPr>
        <w:t xml:space="preserve">  </w:t>
      </w:r>
      <w:r w:rsidR="00E815E9" w:rsidRPr="00C33BA8">
        <w:rPr>
          <w:rFonts w:ascii="Book Antiqua" w:hAnsi="Book Antiqua"/>
          <w:color w:val="000000" w:themeColor="text1"/>
        </w:rPr>
        <w:t>While the presence of antibodies in the blood is not by itself an indication of specific autoimmune disease, the binding of anti-</w:t>
      </w:r>
      <w:r w:rsidR="00E815E9" w:rsidRPr="00C33BA8">
        <w:rPr>
          <w:rFonts w:ascii="Book Antiqua" w:hAnsi="Book Antiqua"/>
          <w:i/>
          <w:color w:val="000000" w:themeColor="text1"/>
        </w:rPr>
        <w:t xml:space="preserve">C. jejuni </w:t>
      </w:r>
      <w:r w:rsidR="00E815E9" w:rsidRPr="00C33BA8">
        <w:rPr>
          <w:rFonts w:ascii="Book Antiqua" w:hAnsi="Book Antiqua"/>
          <w:color w:val="000000" w:themeColor="text1"/>
        </w:rPr>
        <w:t xml:space="preserve">and its Cdt to a variety of tissue antigens may contribute to the molecular mechanism that is involved in the induction of not only IBS, SIBO, and GBS but many other autoimmune and neurodegenerative disorders with which these tissue antibodies are associated. The reaction of </w:t>
      </w:r>
      <w:r w:rsidR="00E815E9" w:rsidRPr="00C33BA8">
        <w:rPr>
          <w:rFonts w:ascii="Book Antiqua" w:hAnsi="Book Antiqua"/>
          <w:i/>
          <w:color w:val="000000" w:themeColor="text1"/>
        </w:rPr>
        <w:t xml:space="preserve">C. jejuni </w:t>
      </w:r>
      <w:r w:rsidR="00E815E9" w:rsidRPr="00C33BA8">
        <w:rPr>
          <w:rFonts w:ascii="Book Antiqua" w:hAnsi="Book Antiqua"/>
          <w:color w:val="000000" w:themeColor="text1"/>
        </w:rPr>
        <w:t xml:space="preserve">and </w:t>
      </w:r>
      <w:r w:rsidR="00E815E9" w:rsidRPr="00C33BA8">
        <w:rPr>
          <w:rFonts w:ascii="Book Antiqua" w:hAnsi="Book Antiqua"/>
          <w:i/>
          <w:color w:val="000000" w:themeColor="text1"/>
        </w:rPr>
        <w:t xml:space="preserve">C. jejuni </w:t>
      </w:r>
      <w:r w:rsidR="00E815E9" w:rsidRPr="00C33BA8">
        <w:rPr>
          <w:rFonts w:ascii="Book Antiqua" w:hAnsi="Book Antiqua"/>
          <w:color w:val="000000" w:themeColor="text1"/>
        </w:rPr>
        <w:t xml:space="preserve">Cdt antibody with neural antigens and growth factors such as </w:t>
      </w:r>
      <w:r w:rsidRPr="00C33BA8">
        <w:rPr>
          <w:rFonts w:ascii="Book Antiqua" w:hAnsi="Book Antiqua"/>
          <w:color w:val="000000" w:themeColor="text1"/>
        </w:rPr>
        <w:t>α</w:t>
      </w:r>
      <w:r w:rsidR="00E815E9" w:rsidRPr="00C33BA8">
        <w:rPr>
          <w:rFonts w:ascii="Book Antiqua" w:hAnsi="Book Antiqua"/>
          <w:color w:val="000000" w:themeColor="text1"/>
        </w:rPr>
        <w:t xml:space="preserve">-amyloid, presenilin, S100B, GFAP, AQP4, somatotropin, enteric nerve and more justifies the addition of </w:t>
      </w:r>
      <w:r w:rsidR="00E815E9" w:rsidRPr="00C33BA8">
        <w:rPr>
          <w:rFonts w:ascii="Book Antiqua" w:hAnsi="Book Antiqua"/>
          <w:i/>
          <w:color w:val="000000" w:themeColor="text1"/>
        </w:rPr>
        <w:t xml:space="preserve">C. jejuni </w:t>
      </w:r>
      <w:r w:rsidR="00E815E9" w:rsidRPr="00C33BA8">
        <w:rPr>
          <w:rFonts w:ascii="Book Antiqua" w:hAnsi="Book Antiqua"/>
          <w:color w:val="000000" w:themeColor="text1"/>
        </w:rPr>
        <w:t>and its toxins to the list of microbes that are implicated in the etiology of Alzheimer’s disease. This suggestion is further supported by our recent study, where we show that anti-A</w:t>
      </w:r>
      <w:r w:rsidR="00B85FCF" w:rsidRPr="00C33BA8">
        <w:rPr>
          <w:rFonts w:ascii="Book Antiqua" w:hAnsi="Book Antiqua"/>
          <w:color w:val="000000" w:themeColor="text1"/>
        </w:rPr>
        <w:t>β</w:t>
      </w:r>
      <w:r w:rsidR="00E815E9" w:rsidRPr="00C33BA8">
        <w:rPr>
          <w:rFonts w:ascii="Book Antiqua" w:hAnsi="Book Antiqua"/>
          <w:color w:val="000000" w:themeColor="text1"/>
        </w:rPr>
        <w:t>-42 antibody not only reacted</w:t>
      </w:r>
      <w:r w:rsidRPr="00C33BA8">
        <w:rPr>
          <w:rFonts w:ascii="Book Antiqua" w:hAnsi="Book Antiqua"/>
          <w:color w:val="000000" w:themeColor="text1"/>
        </w:rPr>
        <w:t xml:space="preserve"> </w:t>
      </w:r>
      <w:r w:rsidR="00E815E9" w:rsidRPr="00C33BA8">
        <w:rPr>
          <w:rFonts w:ascii="Book Antiqua" w:hAnsi="Book Antiqua"/>
          <w:color w:val="000000" w:themeColor="text1"/>
        </w:rPr>
        <w:t xml:space="preserve">moderately with </w:t>
      </w:r>
      <w:r w:rsidR="00E815E9" w:rsidRPr="00C33BA8">
        <w:rPr>
          <w:rFonts w:ascii="Book Antiqua" w:hAnsi="Book Antiqua"/>
          <w:i/>
          <w:color w:val="000000" w:themeColor="text1"/>
        </w:rPr>
        <w:t>E. coli</w:t>
      </w:r>
      <w:r w:rsidR="00E815E9" w:rsidRPr="00C33BA8">
        <w:rPr>
          <w:rFonts w:ascii="Book Antiqua" w:hAnsi="Book Antiqua"/>
          <w:color w:val="000000" w:themeColor="text1"/>
        </w:rPr>
        <w:t xml:space="preserve">, </w:t>
      </w:r>
      <w:r w:rsidR="00E815E9" w:rsidRPr="00C33BA8">
        <w:rPr>
          <w:rFonts w:ascii="Book Antiqua" w:hAnsi="Book Antiqua"/>
          <w:i/>
          <w:color w:val="000000" w:themeColor="text1"/>
        </w:rPr>
        <w:t>Salmonella</w:t>
      </w:r>
      <w:r w:rsidR="00E815E9" w:rsidRPr="00C33BA8">
        <w:rPr>
          <w:rFonts w:ascii="Book Antiqua" w:hAnsi="Book Antiqua"/>
          <w:color w:val="000000" w:themeColor="text1"/>
        </w:rPr>
        <w:t xml:space="preserve">, and </w:t>
      </w:r>
      <w:r w:rsidR="00E815E9" w:rsidRPr="00C33BA8">
        <w:rPr>
          <w:rFonts w:ascii="Book Antiqua" w:hAnsi="Book Antiqua"/>
          <w:i/>
          <w:color w:val="000000" w:themeColor="text1"/>
        </w:rPr>
        <w:t>C. jejuni</w:t>
      </w:r>
      <w:r w:rsidR="00E815E9" w:rsidRPr="00C33BA8">
        <w:rPr>
          <w:rFonts w:ascii="Book Antiqua" w:hAnsi="Book Antiqua"/>
          <w:color w:val="000000" w:themeColor="text1"/>
        </w:rPr>
        <w:t xml:space="preserve">, but also reacted very strongly with </w:t>
      </w:r>
      <w:r w:rsidR="00E815E9" w:rsidRPr="00C33BA8">
        <w:rPr>
          <w:rFonts w:ascii="Book Antiqua" w:hAnsi="Book Antiqua"/>
          <w:i/>
          <w:color w:val="000000" w:themeColor="text1"/>
        </w:rPr>
        <w:t xml:space="preserve">C. jejuni </w:t>
      </w:r>
      <w:r w:rsidR="00E815E9" w:rsidRPr="00C33BA8">
        <w:rPr>
          <w:rFonts w:ascii="Book Antiqua" w:hAnsi="Book Antiqua"/>
          <w:color w:val="000000" w:themeColor="text1"/>
        </w:rPr>
        <w:t xml:space="preserve">Cdt, and, in decreasing degrees, with </w:t>
      </w:r>
      <w:r w:rsidR="00E815E9" w:rsidRPr="00C33BA8">
        <w:rPr>
          <w:rFonts w:ascii="Book Antiqua" w:hAnsi="Book Antiqua"/>
          <w:i/>
          <w:color w:val="000000" w:themeColor="text1"/>
        </w:rPr>
        <w:t xml:space="preserve">E. coli </w:t>
      </w:r>
      <w:r w:rsidR="00E815E9" w:rsidRPr="00C33BA8">
        <w:rPr>
          <w:rFonts w:ascii="Book Antiqua" w:hAnsi="Book Antiqua"/>
          <w:color w:val="000000" w:themeColor="text1"/>
        </w:rPr>
        <w:t xml:space="preserve">and </w:t>
      </w:r>
      <w:r w:rsidR="00E815E9" w:rsidRPr="00C33BA8">
        <w:rPr>
          <w:rFonts w:ascii="Book Antiqua" w:hAnsi="Book Antiqua"/>
          <w:i/>
          <w:color w:val="000000" w:themeColor="text1"/>
        </w:rPr>
        <w:t xml:space="preserve">Salmonella </w:t>
      </w:r>
      <w:r w:rsidRPr="00C33BA8">
        <w:rPr>
          <w:rFonts w:ascii="Book Antiqua" w:hAnsi="Book Antiqua"/>
          <w:color w:val="000000" w:themeColor="text1"/>
        </w:rPr>
        <w:t>Cdts</w:t>
      </w:r>
      <w:r w:rsidR="009C3AEB" w:rsidRPr="00C33BA8">
        <w:rPr>
          <w:rFonts w:ascii="Book Antiqua" w:hAnsi="Book Antiqua"/>
          <w:color w:val="000000" w:themeColor="text1"/>
          <w:vertAlign w:val="superscript"/>
        </w:rPr>
        <w:t>[59</w:t>
      </w:r>
      <w:r w:rsidRPr="00C33BA8">
        <w:rPr>
          <w:rFonts w:ascii="Book Antiqua" w:hAnsi="Book Antiqua"/>
          <w:color w:val="000000" w:themeColor="text1"/>
          <w:vertAlign w:val="superscript"/>
        </w:rPr>
        <w:t>]</w:t>
      </w:r>
      <w:r w:rsidR="00E815E9" w:rsidRPr="00C33BA8">
        <w:rPr>
          <w:rFonts w:ascii="Book Antiqua" w:hAnsi="Book Antiqua"/>
          <w:color w:val="000000" w:themeColor="text1"/>
        </w:rPr>
        <w:t xml:space="preserve">. Therefore, by identifying the triggers such as </w:t>
      </w:r>
      <w:r w:rsidR="00E815E9" w:rsidRPr="00C33BA8">
        <w:rPr>
          <w:rFonts w:ascii="Book Antiqua" w:hAnsi="Book Antiqua"/>
          <w:i/>
          <w:color w:val="000000" w:themeColor="text1"/>
        </w:rPr>
        <w:t xml:space="preserve">C. jejuni </w:t>
      </w:r>
      <w:r w:rsidR="00E815E9" w:rsidRPr="00C33BA8">
        <w:rPr>
          <w:rFonts w:ascii="Book Antiqua" w:hAnsi="Book Antiqua"/>
          <w:color w:val="000000" w:themeColor="text1"/>
        </w:rPr>
        <w:t xml:space="preserve">and its toxin that induce the production of cross-reactive tissue antibodies, it may be possible to develop therapeutic protocols to treat patients with autoimmune disease. In this particular case, the treatment for toxin- producing </w:t>
      </w:r>
      <w:r w:rsidR="00E815E9" w:rsidRPr="00C33BA8">
        <w:rPr>
          <w:rFonts w:ascii="Book Antiqua" w:hAnsi="Book Antiqua"/>
          <w:i/>
          <w:color w:val="000000" w:themeColor="text1"/>
        </w:rPr>
        <w:t xml:space="preserve">C. jejuni </w:t>
      </w:r>
      <w:r w:rsidR="00E815E9" w:rsidRPr="00C33BA8">
        <w:rPr>
          <w:rFonts w:ascii="Book Antiqua" w:hAnsi="Book Antiqua"/>
          <w:color w:val="000000" w:themeColor="text1"/>
        </w:rPr>
        <w:t>could result first in the reduction of the antigenic load, followed by the reduction of tissue antibodies in the blood. This offers some hope for alleviating the symptoms of patients with autoimmune disorders. Otherwise, the release of bacterial antigens and toxins into the blood and their binding to the formed antibodies can result in the generation of immune complexes and activation of the C1q complement that may induce tissue damage and cell death through an apoptotic process.</w:t>
      </w:r>
    </w:p>
    <w:p w14:paraId="39D4AD41" w14:textId="12AB6ED2" w:rsidR="00920C46" w:rsidRPr="00C33BA8" w:rsidRDefault="00B86781" w:rsidP="00686B93">
      <w:pPr>
        <w:pStyle w:val="BodyText"/>
        <w:adjustRightInd w:val="0"/>
        <w:snapToGrid w:val="0"/>
        <w:spacing w:line="360" w:lineRule="auto"/>
        <w:ind w:left="0"/>
        <w:jc w:val="both"/>
        <w:rPr>
          <w:rFonts w:ascii="Book Antiqua" w:hAnsi="Book Antiqua"/>
          <w:color w:val="000000" w:themeColor="text1"/>
        </w:rPr>
      </w:pPr>
      <w:r w:rsidRPr="00C33BA8">
        <w:rPr>
          <w:rFonts w:ascii="Book Antiqua" w:hAnsi="Book Antiqua"/>
          <w:color w:val="000000" w:themeColor="text1"/>
        </w:rPr>
        <w:t xml:space="preserve">  </w:t>
      </w:r>
      <w:r w:rsidR="00E815E9" w:rsidRPr="00C33BA8">
        <w:rPr>
          <w:rFonts w:ascii="Book Antiqua" w:hAnsi="Book Antiqua"/>
          <w:color w:val="000000" w:themeColor="text1"/>
        </w:rPr>
        <w:t>Given that the intestinal microbiome has been shown t</w:t>
      </w:r>
      <w:r w:rsidRPr="00C33BA8">
        <w:rPr>
          <w:rFonts w:ascii="Book Antiqua" w:hAnsi="Book Antiqua"/>
          <w:color w:val="000000" w:themeColor="text1"/>
        </w:rPr>
        <w:t>o signal extraintestinal organs</w:t>
      </w:r>
      <w:r w:rsidR="00E815E9" w:rsidRPr="00C33BA8">
        <w:rPr>
          <w:rFonts w:ascii="Book Antiqua" w:hAnsi="Book Antiqua"/>
          <w:color w:val="000000" w:themeColor="text1"/>
          <w:vertAlign w:val="superscript"/>
        </w:rPr>
        <w:t>[83]</w:t>
      </w:r>
      <w:r w:rsidR="00E815E9" w:rsidRPr="00C33BA8">
        <w:rPr>
          <w:rFonts w:ascii="Book Antiqua" w:hAnsi="Book Antiqua"/>
          <w:color w:val="000000" w:themeColor="text1"/>
        </w:rPr>
        <w:t>, it is not surprising that alterations in the composition of the gut microbiota due to food-</w:t>
      </w:r>
      <w:r w:rsidR="00E815E9" w:rsidRPr="00C33BA8">
        <w:rPr>
          <w:rFonts w:ascii="Book Antiqua" w:hAnsi="Book Antiqua"/>
          <w:color w:val="000000" w:themeColor="text1"/>
        </w:rPr>
        <w:lastRenderedPageBreak/>
        <w:t xml:space="preserve">borne </w:t>
      </w:r>
      <w:r w:rsidR="00E815E9" w:rsidRPr="00C33BA8">
        <w:rPr>
          <w:rFonts w:ascii="Book Antiqua" w:hAnsi="Book Antiqua"/>
          <w:i/>
          <w:color w:val="000000" w:themeColor="text1"/>
        </w:rPr>
        <w:t xml:space="preserve">C. jejuni </w:t>
      </w:r>
      <w:r w:rsidR="00E815E9" w:rsidRPr="00C33BA8">
        <w:rPr>
          <w:rFonts w:ascii="Book Antiqua" w:hAnsi="Book Antiqua"/>
          <w:color w:val="000000" w:themeColor="text1"/>
        </w:rPr>
        <w:t>has been linked to different diseases. Thus, modulation of the composition of the gut microbiota with medication, prebiotics, probiotics and dietary intervention represents a promising therapeutic avenue for the management of autoimmune disorders that affect ab</w:t>
      </w:r>
      <w:r w:rsidRPr="00C33BA8">
        <w:rPr>
          <w:rFonts w:ascii="Book Antiqua" w:hAnsi="Book Antiqua"/>
          <w:color w:val="000000" w:themeColor="text1"/>
        </w:rPr>
        <w:t>out 10% of the world population</w:t>
      </w:r>
      <w:r w:rsidR="009C3AEB" w:rsidRPr="00C33BA8">
        <w:rPr>
          <w:rFonts w:ascii="Book Antiqua" w:hAnsi="Book Antiqua"/>
          <w:color w:val="000000" w:themeColor="text1"/>
          <w:vertAlign w:val="superscript"/>
        </w:rPr>
        <w:t>[92</w:t>
      </w:r>
      <w:r w:rsidR="00E815E9" w:rsidRPr="00C33BA8">
        <w:rPr>
          <w:rFonts w:ascii="Book Antiqua" w:hAnsi="Book Antiqua"/>
          <w:color w:val="000000" w:themeColor="text1"/>
          <w:vertAlign w:val="superscript"/>
        </w:rPr>
        <w:t>]</w:t>
      </w:r>
      <w:r w:rsidR="00E815E9" w:rsidRPr="00C33BA8">
        <w:rPr>
          <w:rFonts w:ascii="Book Antiqua" w:hAnsi="Book Antiqua"/>
          <w:color w:val="000000" w:themeColor="text1"/>
        </w:rPr>
        <w:t>.</w:t>
      </w:r>
    </w:p>
    <w:p w14:paraId="2F0757E1" w14:textId="77777777" w:rsidR="00920C46" w:rsidRPr="00C33BA8" w:rsidRDefault="00920C46" w:rsidP="00686B93">
      <w:pPr>
        <w:pStyle w:val="BodyText"/>
        <w:adjustRightInd w:val="0"/>
        <w:snapToGrid w:val="0"/>
        <w:spacing w:line="360" w:lineRule="auto"/>
        <w:ind w:left="0"/>
        <w:jc w:val="both"/>
        <w:rPr>
          <w:rFonts w:ascii="Book Antiqua" w:hAnsi="Book Antiqua"/>
          <w:color w:val="000000" w:themeColor="text1"/>
        </w:rPr>
      </w:pPr>
    </w:p>
    <w:p w14:paraId="52D5295E" w14:textId="56A0D3B6" w:rsidR="00B86781" w:rsidRPr="00C33BA8" w:rsidRDefault="00B86781" w:rsidP="00686B93">
      <w:pPr>
        <w:pStyle w:val="BodyText"/>
        <w:adjustRightInd w:val="0"/>
        <w:snapToGrid w:val="0"/>
        <w:spacing w:line="360" w:lineRule="auto"/>
        <w:ind w:left="0"/>
        <w:jc w:val="both"/>
        <w:rPr>
          <w:rFonts w:ascii="Book Antiqua" w:hAnsi="Book Antiqua"/>
          <w:b/>
          <w:color w:val="000000" w:themeColor="text1"/>
        </w:rPr>
      </w:pPr>
      <w:r w:rsidRPr="00C33BA8">
        <w:rPr>
          <w:rFonts w:ascii="Book Antiqua" w:hAnsi="Book Antiqua"/>
          <w:b/>
          <w:color w:val="000000" w:themeColor="text1"/>
        </w:rPr>
        <w:t>ARTICLE HIGHLIGHTS</w:t>
      </w:r>
    </w:p>
    <w:p w14:paraId="2105CFD1" w14:textId="77777777" w:rsidR="00920C46" w:rsidRPr="00C33BA8" w:rsidRDefault="00E815E9" w:rsidP="00686B93">
      <w:pPr>
        <w:pStyle w:val="Heading2"/>
        <w:adjustRightInd w:val="0"/>
        <w:snapToGrid w:val="0"/>
        <w:spacing w:before="0" w:line="360" w:lineRule="auto"/>
        <w:ind w:left="0"/>
        <w:jc w:val="both"/>
        <w:rPr>
          <w:rFonts w:ascii="Book Antiqua" w:hAnsi="Book Antiqua"/>
          <w:color w:val="000000" w:themeColor="text1"/>
        </w:rPr>
      </w:pPr>
      <w:r w:rsidRPr="00C33BA8">
        <w:rPr>
          <w:rFonts w:ascii="Book Antiqua" w:hAnsi="Book Antiqua"/>
          <w:color w:val="000000" w:themeColor="text1"/>
          <w:w w:val="105"/>
        </w:rPr>
        <w:t>Research background</w:t>
      </w:r>
    </w:p>
    <w:p w14:paraId="789BF0C8" w14:textId="6114758B" w:rsidR="00920C46" w:rsidRPr="00C33BA8" w:rsidRDefault="00E815E9" w:rsidP="00B86781">
      <w:pPr>
        <w:pStyle w:val="BodyText"/>
        <w:adjustRightInd w:val="0"/>
        <w:snapToGrid w:val="0"/>
        <w:spacing w:line="360" w:lineRule="auto"/>
        <w:ind w:left="0"/>
        <w:jc w:val="both"/>
        <w:rPr>
          <w:rFonts w:ascii="Book Antiqua" w:hAnsi="Book Antiqua"/>
          <w:color w:val="000000" w:themeColor="text1"/>
        </w:rPr>
      </w:pPr>
      <w:r w:rsidRPr="00C33BA8">
        <w:rPr>
          <w:rFonts w:ascii="Book Antiqua" w:hAnsi="Book Antiqua"/>
          <w:color w:val="000000" w:themeColor="text1"/>
        </w:rPr>
        <w:t xml:space="preserve">The bacteria </w:t>
      </w:r>
      <w:r w:rsidR="00B86781" w:rsidRPr="00C33BA8">
        <w:rPr>
          <w:rFonts w:ascii="Book Antiqua" w:hAnsi="Book Antiqua"/>
          <w:i/>
          <w:color w:val="000000" w:themeColor="text1"/>
        </w:rPr>
        <w:t xml:space="preserve">Campylobacter jejuni </w:t>
      </w:r>
      <w:r w:rsidR="00B86781" w:rsidRPr="00C33BA8">
        <w:rPr>
          <w:rFonts w:ascii="Book Antiqua" w:hAnsi="Book Antiqua"/>
          <w:color w:val="000000" w:themeColor="text1"/>
        </w:rPr>
        <w:t>(</w:t>
      </w:r>
      <w:r w:rsidR="00B86781" w:rsidRPr="00C33BA8">
        <w:rPr>
          <w:rFonts w:ascii="Book Antiqua" w:hAnsi="Book Antiqua"/>
          <w:i/>
          <w:color w:val="000000" w:themeColor="text1"/>
        </w:rPr>
        <w:t>C. jejuni</w:t>
      </w:r>
      <w:r w:rsidR="00B86781" w:rsidRPr="00C33BA8">
        <w:rPr>
          <w:rFonts w:ascii="Book Antiqua" w:hAnsi="Book Antiqua"/>
          <w:color w:val="000000" w:themeColor="text1"/>
        </w:rPr>
        <w:t>)</w:t>
      </w:r>
      <w:r w:rsidRPr="00C33BA8">
        <w:rPr>
          <w:rFonts w:ascii="Book Antiqua" w:hAnsi="Book Antiqua"/>
          <w:i/>
          <w:color w:val="000000" w:themeColor="text1"/>
        </w:rPr>
        <w:t xml:space="preserve"> </w:t>
      </w:r>
      <w:r w:rsidRPr="00C33BA8">
        <w:rPr>
          <w:rFonts w:ascii="Book Antiqua" w:hAnsi="Book Antiqua"/>
          <w:color w:val="000000" w:themeColor="text1"/>
        </w:rPr>
        <w:t xml:space="preserve">is commonly associated with GBS and IBS, but studies have also linked it with Miller Fisher syndrome, reactive arthritis and other disorders, some of which are autoimmune. It is possible that </w:t>
      </w:r>
      <w:r w:rsidRPr="00C33BA8">
        <w:rPr>
          <w:rFonts w:ascii="Book Antiqua" w:hAnsi="Book Antiqua"/>
          <w:i/>
          <w:color w:val="000000" w:themeColor="text1"/>
        </w:rPr>
        <w:t xml:space="preserve">C. jejuni </w:t>
      </w:r>
      <w:r w:rsidRPr="00C33BA8">
        <w:rPr>
          <w:rFonts w:ascii="Book Antiqua" w:hAnsi="Book Antiqua"/>
          <w:color w:val="000000" w:themeColor="text1"/>
        </w:rPr>
        <w:t xml:space="preserve">and its toxins may be cross-reactive with some human tissues and food antigens, potentially leading to autoimmune responses. Cross-reaction between </w:t>
      </w:r>
      <w:r w:rsidRPr="00C33BA8">
        <w:rPr>
          <w:rFonts w:ascii="Book Antiqua" w:hAnsi="Book Antiqua"/>
          <w:i/>
          <w:color w:val="000000" w:themeColor="text1"/>
        </w:rPr>
        <w:t xml:space="preserve">C. jejuni </w:t>
      </w:r>
      <w:r w:rsidRPr="00C33BA8">
        <w:rPr>
          <w:rFonts w:ascii="Book Antiqua" w:hAnsi="Book Antiqua"/>
          <w:color w:val="000000" w:themeColor="text1"/>
        </w:rPr>
        <w:t xml:space="preserve">antigens and different transglutaminases may indicate the involvement of </w:t>
      </w:r>
      <w:r w:rsidRPr="00C33BA8">
        <w:rPr>
          <w:rFonts w:ascii="Book Antiqua" w:hAnsi="Book Antiqua"/>
          <w:i/>
          <w:color w:val="000000" w:themeColor="text1"/>
        </w:rPr>
        <w:t xml:space="preserve">C. jejuni </w:t>
      </w:r>
      <w:r w:rsidRPr="00C33BA8">
        <w:rPr>
          <w:rFonts w:ascii="Book Antiqua" w:hAnsi="Book Antiqua"/>
          <w:color w:val="000000" w:themeColor="text1"/>
        </w:rPr>
        <w:t xml:space="preserve">not only in the induction of </w:t>
      </w:r>
      <w:r w:rsidR="00B86781" w:rsidRPr="00C33BA8">
        <w:rPr>
          <w:rFonts w:ascii="Book Antiqua" w:hAnsi="Book Antiqua"/>
          <w:color w:val="000000" w:themeColor="text1"/>
        </w:rPr>
        <w:t>small intestine bacterial overgrowth (</w:t>
      </w:r>
      <w:r w:rsidRPr="00C33BA8">
        <w:rPr>
          <w:rFonts w:ascii="Book Antiqua" w:hAnsi="Book Antiqua"/>
          <w:color w:val="000000" w:themeColor="text1"/>
        </w:rPr>
        <w:t>SIBO</w:t>
      </w:r>
      <w:r w:rsidR="00B86781" w:rsidRPr="00C33BA8">
        <w:rPr>
          <w:rFonts w:ascii="Book Antiqua" w:hAnsi="Book Antiqua"/>
          <w:color w:val="000000" w:themeColor="text1"/>
        </w:rPr>
        <w:t>)</w:t>
      </w:r>
      <w:r w:rsidRPr="00C33BA8">
        <w:rPr>
          <w:rFonts w:ascii="Book Antiqua" w:hAnsi="Book Antiqua"/>
          <w:color w:val="000000" w:themeColor="text1"/>
        </w:rPr>
        <w:t>/</w:t>
      </w:r>
      <w:r w:rsidR="00B86781" w:rsidRPr="00C33BA8">
        <w:rPr>
          <w:rFonts w:ascii="Book Antiqua" w:hAnsi="Book Antiqua"/>
          <w:color w:val="000000" w:themeColor="text1"/>
        </w:rPr>
        <w:t>irritable bowel syndrome (</w:t>
      </w:r>
      <w:r w:rsidRPr="00C33BA8">
        <w:rPr>
          <w:rFonts w:ascii="Book Antiqua" w:hAnsi="Book Antiqua"/>
          <w:color w:val="000000" w:themeColor="text1"/>
        </w:rPr>
        <w:t>IBS</w:t>
      </w:r>
      <w:r w:rsidR="00B86781" w:rsidRPr="00C33BA8">
        <w:rPr>
          <w:rFonts w:ascii="Book Antiqua" w:hAnsi="Book Antiqua"/>
          <w:color w:val="000000" w:themeColor="text1"/>
        </w:rPr>
        <w:t>)</w:t>
      </w:r>
      <w:r w:rsidRPr="00C33BA8">
        <w:rPr>
          <w:rFonts w:ascii="Book Antiqua" w:hAnsi="Book Antiqua"/>
          <w:color w:val="000000" w:themeColor="text1"/>
        </w:rPr>
        <w:t xml:space="preserve"> but of </w:t>
      </w:r>
      <w:r w:rsidR="00B86781" w:rsidRPr="00C33BA8">
        <w:rPr>
          <w:rFonts w:ascii="Book Antiqua" w:hAnsi="Book Antiqua"/>
          <w:color w:val="000000" w:themeColor="text1"/>
        </w:rPr>
        <w:t>celiac disease (</w:t>
      </w:r>
      <w:r w:rsidRPr="00C33BA8">
        <w:rPr>
          <w:rFonts w:ascii="Book Antiqua" w:hAnsi="Book Antiqua"/>
          <w:color w:val="000000" w:themeColor="text1"/>
        </w:rPr>
        <w:t>CD</w:t>
      </w:r>
      <w:r w:rsidR="00B86781" w:rsidRPr="00C33BA8">
        <w:rPr>
          <w:rFonts w:ascii="Book Antiqua" w:hAnsi="Book Antiqua"/>
          <w:color w:val="000000" w:themeColor="text1"/>
        </w:rPr>
        <w:t>)</w:t>
      </w:r>
      <w:r w:rsidRPr="00C33BA8">
        <w:rPr>
          <w:rFonts w:ascii="Book Antiqua" w:hAnsi="Book Antiqua"/>
          <w:color w:val="000000" w:themeColor="text1"/>
        </w:rPr>
        <w:t xml:space="preserve"> and </w:t>
      </w:r>
      <w:r w:rsidR="00B86781" w:rsidRPr="00C33BA8">
        <w:rPr>
          <w:rFonts w:ascii="Book Antiqua" w:hAnsi="Book Antiqua"/>
          <w:color w:val="000000" w:themeColor="text1"/>
        </w:rPr>
        <w:t>nonceliac gluten sensitivity (</w:t>
      </w:r>
      <w:r w:rsidRPr="00C33BA8">
        <w:rPr>
          <w:rFonts w:ascii="Book Antiqua" w:hAnsi="Book Antiqua"/>
          <w:color w:val="000000" w:themeColor="text1"/>
        </w:rPr>
        <w:t>NCGS</w:t>
      </w:r>
      <w:r w:rsidR="00B86781" w:rsidRPr="00C33BA8">
        <w:rPr>
          <w:rFonts w:ascii="Book Antiqua" w:hAnsi="Book Antiqua"/>
          <w:color w:val="000000" w:themeColor="text1"/>
        </w:rPr>
        <w:t>)</w:t>
      </w:r>
      <w:r w:rsidRPr="00C33BA8">
        <w:rPr>
          <w:rFonts w:ascii="Book Antiqua" w:hAnsi="Book Antiqua"/>
          <w:color w:val="000000" w:themeColor="text1"/>
        </w:rPr>
        <w:t xml:space="preserve"> as well. </w:t>
      </w:r>
      <w:r w:rsidRPr="00C33BA8">
        <w:rPr>
          <w:rFonts w:ascii="Book Antiqua" w:hAnsi="Book Antiqua"/>
          <w:i/>
          <w:color w:val="000000" w:themeColor="text1"/>
        </w:rPr>
        <w:t xml:space="preserve">C. jejuni </w:t>
      </w:r>
      <w:r w:rsidRPr="00C33BA8">
        <w:rPr>
          <w:rFonts w:ascii="Book Antiqua" w:hAnsi="Book Antiqua"/>
          <w:color w:val="000000" w:themeColor="text1"/>
        </w:rPr>
        <w:t>is very often used f</w:t>
      </w:r>
      <w:r w:rsidR="00B86781" w:rsidRPr="00C33BA8">
        <w:rPr>
          <w:rFonts w:ascii="Book Antiqua" w:hAnsi="Book Antiqua"/>
          <w:color w:val="000000" w:themeColor="text1"/>
        </w:rPr>
        <w:t>or the demonstration of the bi-</w:t>
      </w:r>
      <w:r w:rsidRPr="00C33BA8">
        <w:rPr>
          <w:rFonts w:ascii="Book Antiqua" w:hAnsi="Book Antiqua"/>
          <w:color w:val="000000" w:themeColor="text1"/>
        </w:rPr>
        <w:t xml:space="preserve">directional signaling that exists between the </w:t>
      </w:r>
      <w:r w:rsidR="00B86781" w:rsidRPr="00C33BA8">
        <w:rPr>
          <w:rFonts w:ascii="Book Antiqua" w:hAnsi="Book Antiqua"/>
          <w:color w:val="000000" w:themeColor="text1"/>
        </w:rPr>
        <w:t xml:space="preserve">gastrointestinal </w:t>
      </w:r>
      <w:r w:rsidR="00D67A2D" w:rsidRPr="00C33BA8">
        <w:rPr>
          <w:rFonts w:ascii="Book Antiqua" w:hAnsi="Book Antiqua"/>
          <w:color w:val="000000" w:themeColor="text1"/>
        </w:rPr>
        <w:t xml:space="preserve">tract </w:t>
      </w:r>
      <w:r w:rsidRPr="00C33BA8">
        <w:rPr>
          <w:rFonts w:ascii="Book Antiqua" w:hAnsi="Book Antiqua"/>
          <w:color w:val="000000" w:themeColor="text1"/>
        </w:rPr>
        <w:t>and the brain. The disruption of the</w:t>
      </w:r>
      <w:r w:rsidRPr="00C33BA8">
        <w:rPr>
          <w:rFonts w:ascii="Book Antiqua" w:hAnsi="Book Antiqua"/>
          <w:color w:val="000000" w:themeColor="text1"/>
          <w:spacing w:val="51"/>
        </w:rPr>
        <w:t xml:space="preserve"> </w:t>
      </w:r>
      <w:r w:rsidRPr="00C33BA8">
        <w:rPr>
          <w:rFonts w:ascii="Book Antiqua" w:hAnsi="Book Antiqua"/>
          <w:color w:val="000000" w:themeColor="text1"/>
        </w:rPr>
        <w:t>gut-brain axis has been implicated in the etiopathogenesis or manifestation of a diverse range of neurodevelopmental, psychiatric, and neurodegenerative diseases. In turn, common pathophysiological mechanisms have been associated with gastrointestinal comorbidity. Everything is interconnected.</w:t>
      </w:r>
    </w:p>
    <w:p w14:paraId="78EB9E0C" w14:textId="77777777" w:rsidR="00B86781" w:rsidRPr="00C33BA8" w:rsidRDefault="00B86781" w:rsidP="00B86781">
      <w:pPr>
        <w:pStyle w:val="Heading2"/>
        <w:adjustRightInd w:val="0"/>
        <w:snapToGrid w:val="0"/>
        <w:spacing w:before="0" w:line="360" w:lineRule="auto"/>
        <w:ind w:left="0"/>
        <w:jc w:val="both"/>
        <w:rPr>
          <w:rFonts w:ascii="Book Antiqua" w:eastAsia="Georgia" w:hAnsi="Book Antiqua" w:cs="Georgia"/>
          <w:b w:val="0"/>
          <w:bCs w:val="0"/>
          <w:i w:val="0"/>
          <w:color w:val="000000" w:themeColor="text1"/>
        </w:rPr>
      </w:pPr>
    </w:p>
    <w:p w14:paraId="3939FFB6" w14:textId="77777777" w:rsidR="00920C46" w:rsidRPr="00C33BA8" w:rsidRDefault="00E815E9" w:rsidP="00B86781">
      <w:pPr>
        <w:pStyle w:val="Heading2"/>
        <w:adjustRightInd w:val="0"/>
        <w:snapToGrid w:val="0"/>
        <w:spacing w:before="0" w:line="360" w:lineRule="auto"/>
        <w:ind w:left="0"/>
        <w:jc w:val="both"/>
        <w:rPr>
          <w:rFonts w:ascii="Book Antiqua" w:hAnsi="Book Antiqua"/>
          <w:color w:val="000000" w:themeColor="text1"/>
        </w:rPr>
      </w:pPr>
      <w:r w:rsidRPr="00C33BA8">
        <w:rPr>
          <w:rFonts w:ascii="Book Antiqua" w:hAnsi="Book Antiqua"/>
          <w:color w:val="000000" w:themeColor="text1"/>
          <w:w w:val="115"/>
        </w:rPr>
        <w:t>Research motivation</w:t>
      </w:r>
    </w:p>
    <w:p w14:paraId="6AC9C99A" w14:textId="697CB9FD" w:rsidR="00920C46" w:rsidRPr="00C33BA8" w:rsidRDefault="00E815E9" w:rsidP="00686B93">
      <w:pPr>
        <w:pStyle w:val="BodyText"/>
        <w:adjustRightInd w:val="0"/>
        <w:snapToGrid w:val="0"/>
        <w:spacing w:line="360" w:lineRule="auto"/>
        <w:ind w:left="0"/>
        <w:jc w:val="both"/>
        <w:rPr>
          <w:rFonts w:ascii="Book Antiqua" w:hAnsi="Book Antiqua"/>
          <w:color w:val="000000" w:themeColor="text1"/>
        </w:rPr>
      </w:pPr>
      <w:r w:rsidRPr="00C33BA8">
        <w:rPr>
          <w:rFonts w:ascii="Book Antiqua" w:hAnsi="Book Antiqua"/>
          <w:color w:val="000000" w:themeColor="text1"/>
        </w:rPr>
        <w:t>Our earlier research showed that antibodies against amyloid-beta peptide reacted strongly with different tissue and food antigens. Infections have been shown to be involved in the pathogenesis of various disorders. Our earlier study showed tha</w:t>
      </w:r>
      <w:r w:rsidR="00126085" w:rsidRPr="00C33BA8">
        <w:rPr>
          <w:rFonts w:ascii="Book Antiqua" w:hAnsi="Book Antiqua"/>
          <w:color w:val="000000" w:themeColor="text1"/>
        </w:rPr>
        <w:t>t anti-</w:t>
      </w:r>
      <w:r w:rsidRPr="00C33BA8">
        <w:rPr>
          <w:rFonts w:ascii="Book Antiqua" w:hAnsi="Book Antiqua"/>
          <w:color w:val="000000" w:themeColor="text1"/>
        </w:rPr>
        <w:t xml:space="preserve">amyloid-beta-42 antibody reacted very strongly with </w:t>
      </w:r>
      <w:r w:rsidRPr="00C33BA8">
        <w:rPr>
          <w:rFonts w:ascii="Book Antiqua" w:hAnsi="Book Antiqua"/>
          <w:i/>
          <w:color w:val="000000" w:themeColor="text1"/>
        </w:rPr>
        <w:t xml:space="preserve">C. jejuni </w:t>
      </w:r>
      <w:r w:rsidR="00126085" w:rsidRPr="00C33BA8">
        <w:rPr>
          <w:rFonts w:ascii="Book Antiqua" w:hAnsi="Book Antiqua"/>
          <w:color w:val="000000" w:themeColor="text1"/>
        </w:rPr>
        <w:t>cytolethal distending toxin (</w:t>
      </w:r>
      <w:r w:rsidRPr="00C33BA8">
        <w:rPr>
          <w:rFonts w:ascii="Book Antiqua" w:hAnsi="Book Antiqua"/>
          <w:color w:val="000000" w:themeColor="text1"/>
        </w:rPr>
        <w:t>Cdt</w:t>
      </w:r>
      <w:r w:rsidR="00126085" w:rsidRPr="00C33BA8">
        <w:rPr>
          <w:rFonts w:ascii="Book Antiqua" w:hAnsi="Book Antiqua"/>
          <w:color w:val="000000" w:themeColor="text1"/>
        </w:rPr>
        <w:t>)</w:t>
      </w:r>
      <w:r w:rsidRPr="00C33BA8">
        <w:rPr>
          <w:rFonts w:ascii="Book Antiqua" w:hAnsi="Book Antiqua"/>
          <w:color w:val="000000" w:themeColor="text1"/>
        </w:rPr>
        <w:t xml:space="preserve">. </w:t>
      </w:r>
      <w:r w:rsidR="00D67A2D" w:rsidRPr="00C33BA8">
        <w:rPr>
          <w:rFonts w:ascii="Book Antiqua" w:hAnsi="Book Antiqua"/>
          <w:i/>
          <w:color w:val="000000" w:themeColor="text1"/>
        </w:rPr>
        <w:t>C. jejuni</w:t>
      </w:r>
      <w:r w:rsidR="00126085" w:rsidRPr="00C33BA8">
        <w:rPr>
          <w:rFonts w:ascii="Book Antiqua" w:hAnsi="Book Antiqua"/>
          <w:i/>
          <w:color w:val="000000" w:themeColor="text1"/>
        </w:rPr>
        <w:t xml:space="preserve"> </w:t>
      </w:r>
      <w:r w:rsidR="00126085" w:rsidRPr="00C33BA8">
        <w:rPr>
          <w:rFonts w:ascii="Book Antiqua" w:hAnsi="Book Antiqua"/>
          <w:color w:val="000000" w:themeColor="text1"/>
        </w:rPr>
        <w:t xml:space="preserve">and </w:t>
      </w:r>
      <w:r w:rsidRPr="00C33BA8">
        <w:rPr>
          <w:rFonts w:ascii="Book Antiqua" w:hAnsi="Book Antiqua"/>
          <w:color w:val="000000" w:themeColor="text1"/>
        </w:rPr>
        <w:t xml:space="preserve">its toxins have been shown to be involved not only in IBS, </w:t>
      </w:r>
      <w:r w:rsidR="00126085" w:rsidRPr="00C33BA8">
        <w:rPr>
          <w:rFonts w:ascii="Book Antiqua" w:hAnsi="Book Antiqua"/>
          <w:color w:val="000000" w:themeColor="text1"/>
        </w:rPr>
        <w:t>Guillain-Barré syndrome (GBS)</w:t>
      </w:r>
      <w:r w:rsidRPr="00C33BA8">
        <w:rPr>
          <w:rFonts w:ascii="Book Antiqua" w:hAnsi="Book Antiqua"/>
          <w:color w:val="000000" w:themeColor="text1"/>
        </w:rPr>
        <w:t xml:space="preserve">, SIBO, Miller Fisher syndrome and the like, but in various extragastrointestinal conditions as well, including some that involve the brain. This inspired us to investigate </w:t>
      </w:r>
      <w:r w:rsidRPr="00C33BA8">
        <w:rPr>
          <w:rFonts w:ascii="Book Antiqua" w:hAnsi="Book Antiqua"/>
          <w:color w:val="000000" w:themeColor="text1"/>
        </w:rPr>
        <w:lastRenderedPageBreak/>
        <w:t xml:space="preserve">whether perhaps </w:t>
      </w:r>
      <w:r w:rsidRPr="00C33BA8">
        <w:rPr>
          <w:rFonts w:ascii="Book Antiqua" w:hAnsi="Book Antiqua"/>
          <w:i/>
          <w:color w:val="000000" w:themeColor="text1"/>
        </w:rPr>
        <w:t xml:space="preserve">C. jejuni </w:t>
      </w:r>
      <w:r w:rsidRPr="00C33BA8">
        <w:rPr>
          <w:rFonts w:ascii="Book Antiqua" w:hAnsi="Book Antiqua"/>
          <w:color w:val="000000" w:themeColor="text1"/>
        </w:rPr>
        <w:t xml:space="preserve">and its toxins were reacting to certain tissues or foods, resulting in food reactivity, molecular mimicry, or even autoimmunity and neurodegenerative disorders. One of the most crucial problems was finding reagents of sufficient quality and purity in order to achieve accurate and reliable results in our study’s </w:t>
      </w:r>
      <w:r w:rsidR="00126085" w:rsidRPr="00C33BA8">
        <w:rPr>
          <w:rFonts w:ascii="Book Antiqua" w:hAnsi="Book Antiqua"/>
          <w:color w:val="000000" w:themeColor="text1"/>
        </w:rPr>
        <w:t>testing, and we tried different</w:t>
      </w:r>
      <w:r w:rsidRPr="00C33BA8">
        <w:rPr>
          <w:rFonts w:ascii="Book Antiqua" w:hAnsi="Book Antiqua"/>
          <w:color w:val="000000" w:themeColor="text1"/>
        </w:rPr>
        <w:t xml:space="preserve"> sources before finally finding and using mouse monoclonal anti-</w:t>
      </w:r>
      <w:r w:rsidRPr="00C33BA8">
        <w:rPr>
          <w:rFonts w:ascii="Book Antiqua" w:hAnsi="Book Antiqua"/>
          <w:i/>
          <w:color w:val="000000" w:themeColor="text1"/>
        </w:rPr>
        <w:t xml:space="preserve">C. jejuni </w:t>
      </w:r>
      <w:r w:rsidRPr="00C33BA8">
        <w:rPr>
          <w:rFonts w:ascii="Book Antiqua" w:hAnsi="Book Antiqua"/>
          <w:color w:val="000000" w:themeColor="text1"/>
        </w:rPr>
        <w:t>and rabbit affinity-purified anti-</w:t>
      </w:r>
      <w:r w:rsidRPr="00C33BA8">
        <w:rPr>
          <w:rFonts w:ascii="Book Antiqua" w:hAnsi="Book Antiqua"/>
          <w:i/>
          <w:color w:val="000000" w:themeColor="text1"/>
        </w:rPr>
        <w:t xml:space="preserve">C. jejuni </w:t>
      </w:r>
      <w:r w:rsidRPr="00C33BA8">
        <w:rPr>
          <w:rFonts w:ascii="Book Antiqua" w:hAnsi="Book Antiqua"/>
          <w:color w:val="000000" w:themeColor="text1"/>
        </w:rPr>
        <w:t xml:space="preserve">Cdt isotypes. This enabled our study to accurately detect and measure antibody levels to a degree that had not previously been possible, and the employment of high quality highly-purified reagents should greatly increase the accuracy of similar lab testing or even lab testing in general in future research. The findings of our study regarding immunoreactivity of </w:t>
      </w:r>
      <w:r w:rsidRPr="00C33BA8">
        <w:rPr>
          <w:rFonts w:ascii="Book Antiqua" w:hAnsi="Book Antiqua"/>
          <w:i/>
          <w:color w:val="000000" w:themeColor="text1"/>
        </w:rPr>
        <w:t xml:space="preserve">C. jejuni </w:t>
      </w:r>
      <w:r w:rsidR="00126085" w:rsidRPr="00C33BA8">
        <w:rPr>
          <w:rFonts w:ascii="Book Antiqua" w:hAnsi="Book Antiqua"/>
          <w:color w:val="000000" w:themeColor="text1"/>
        </w:rPr>
        <w:t xml:space="preserve">and its </w:t>
      </w:r>
      <w:r w:rsidRPr="00C33BA8">
        <w:rPr>
          <w:rFonts w:ascii="Book Antiqua" w:hAnsi="Book Antiqua"/>
          <w:color w:val="000000" w:themeColor="text1"/>
        </w:rPr>
        <w:t>Cdt</w:t>
      </w:r>
      <w:r w:rsidR="00517F9E" w:rsidRPr="00C33BA8">
        <w:rPr>
          <w:rFonts w:ascii="Book Antiqua" w:hAnsi="Book Antiqua"/>
          <w:color w:val="000000" w:themeColor="text1"/>
        </w:rPr>
        <w:t xml:space="preserve"> </w:t>
      </w:r>
      <w:r w:rsidRPr="00C33BA8">
        <w:rPr>
          <w:rFonts w:ascii="Book Antiqua" w:hAnsi="Book Antiqua"/>
          <w:color w:val="000000" w:themeColor="text1"/>
        </w:rPr>
        <w:t>antibodies with many human tissues and food antigens may indicate a more widespread role of</w:t>
      </w:r>
      <w:r w:rsidR="00517F9E" w:rsidRPr="00C33BA8">
        <w:rPr>
          <w:rFonts w:ascii="Book Antiqua" w:hAnsi="Book Antiqua"/>
          <w:color w:val="000000" w:themeColor="text1"/>
        </w:rPr>
        <w:t xml:space="preserve"> </w:t>
      </w:r>
      <w:r w:rsidRPr="00C33BA8">
        <w:rPr>
          <w:rFonts w:ascii="Book Antiqua" w:hAnsi="Book Antiqua"/>
          <w:color w:val="000000" w:themeColor="text1"/>
        </w:rPr>
        <w:t>this bacteria in many autoimmune and neurodegenerative disorders. This deserves the initiation of further</w:t>
      </w:r>
      <w:r w:rsidRPr="00C33BA8">
        <w:rPr>
          <w:rFonts w:ascii="Book Antiqua" w:hAnsi="Book Antiqua"/>
          <w:color w:val="000000" w:themeColor="text1"/>
          <w:spacing w:val="5"/>
        </w:rPr>
        <w:t xml:space="preserve"> </w:t>
      </w:r>
      <w:r w:rsidRPr="00C33BA8">
        <w:rPr>
          <w:rFonts w:ascii="Book Antiqua" w:hAnsi="Book Antiqua"/>
          <w:color w:val="000000" w:themeColor="text1"/>
        </w:rPr>
        <w:t>studies.</w:t>
      </w:r>
    </w:p>
    <w:p w14:paraId="5A47FF26" w14:textId="77777777" w:rsidR="00920C46" w:rsidRPr="00C33BA8" w:rsidRDefault="00920C46" w:rsidP="00686B93">
      <w:pPr>
        <w:pStyle w:val="BodyText"/>
        <w:adjustRightInd w:val="0"/>
        <w:snapToGrid w:val="0"/>
        <w:spacing w:line="360" w:lineRule="auto"/>
        <w:ind w:left="0"/>
        <w:jc w:val="both"/>
        <w:rPr>
          <w:rFonts w:ascii="Book Antiqua" w:hAnsi="Book Antiqua"/>
          <w:color w:val="000000" w:themeColor="text1"/>
        </w:rPr>
      </w:pPr>
    </w:p>
    <w:p w14:paraId="171430E5" w14:textId="77777777" w:rsidR="00920C46" w:rsidRPr="00C33BA8" w:rsidRDefault="00E815E9" w:rsidP="00686B93">
      <w:pPr>
        <w:pStyle w:val="Heading2"/>
        <w:adjustRightInd w:val="0"/>
        <w:snapToGrid w:val="0"/>
        <w:spacing w:before="0" w:line="360" w:lineRule="auto"/>
        <w:ind w:left="0"/>
        <w:jc w:val="both"/>
        <w:rPr>
          <w:rFonts w:ascii="Book Antiqua" w:hAnsi="Book Antiqua"/>
          <w:color w:val="000000" w:themeColor="text1"/>
        </w:rPr>
      </w:pPr>
      <w:r w:rsidRPr="00C33BA8">
        <w:rPr>
          <w:rFonts w:ascii="Book Antiqua" w:hAnsi="Book Antiqua"/>
          <w:color w:val="000000" w:themeColor="text1"/>
          <w:w w:val="110"/>
        </w:rPr>
        <w:t>Research objectives</w:t>
      </w:r>
    </w:p>
    <w:p w14:paraId="1EF372FC" w14:textId="3D160B52" w:rsidR="00920C46" w:rsidRPr="00C33BA8" w:rsidRDefault="00126085" w:rsidP="00126085">
      <w:pPr>
        <w:pStyle w:val="BodyText"/>
        <w:adjustRightInd w:val="0"/>
        <w:snapToGrid w:val="0"/>
        <w:spacing w:line="360" w:lineRule="auto"/>
        <w:ind w:left="0"/>
        <w:jc w:val="both"/>
        <w:rPr>
          <w:rFonts w:ascii="Book Antiqua" w:hAnsi="Book Antiqua"/>
          <w:color w:val="000000" w:themeColor="text1"/>
        </w:rPr>
      </w:pPr>
      <w:r w:rsidRPr="00C33BA8">
        <w:rPr>
          <w:rFonts w:ascii="Book Antiqua" w:hAnsi="Book Antiqua"/>
          <w:color w:val="000000" w:themeColor="text1"/>
        </w:rPr>
        <w:t xml:space="preserve">To measure the immune reactivity of </w:t>
      </w:r>
      <w:r w:rsidRPr="00C33BA8">
        <w:rPr>
          <w:rFonts w:ascii="Book Antiqua" w:hAnsi="Book Antiqua"/>
          <w:i/>
          <w:color w:val="000000" w:themeColor="text1"/>
        </w:rPr>
        <w:t>C. jejuni</w:t>
      </w:r>
      <w:r w:rsidRPr="00C33BA8">
        <w:rPr>
          <w:rFonts w:ascii="Book Antiqua" w:hAnsi="Book Antiqua"/>
          <w:color w:val="000000" w:themeColor="text1"/>
        </w:rPr>
        <w:t xml:space="preserve"> and </w:t>
      </w:r>
      <w:r w:rsidRPr="00C33BA8">
        <w:rPr>
          <w:rFonts w:ascii="Book Antiqua" w:hAnsi="Book Antiqua"/>
          <w:i/>
          <w:color w:val="000000" w:themeColor="text1"/>
        </w:rPr>
        <w:t>C. jejuni</w:t>
      </w:r>
      <w:r w:rsidRPr="00C33BA8">
        <w:rPr>
          <w:rFonts w:ascii="Book Antiqua" w:hAnsi="Book Antiqua"/>
          <w:color w:val="000000" w:themeColor="text1"/>
        </w:rPr>
        <w:t xml:space="preserve"> Cdt antibodies with tissue and food antigens to examine their role in autoimmunities.</w:t>
      </w:r>
    </w:p>
    <w:p w14:paraId="11BD0F60" w14:textId="77777777" w:rsidR="00126085" w:rsidRPr="00C33BA8" w:rsidRDefault="00126085" w:rsidP="00126085">
      <w:pPr>
        <w:pStyle w:val="BodyText"/>
        <w:adjustRightInd w:val="0"/>
        <w:snapToGrid w:val="0"/>
        <w:spacing w:line="360" w:lineRule="auto"/>
        <w:ind w:left="0"/>
        <w:jc w:val="both"/>
        <w:rPr>
          <w:rFonts w:ascii="Book Antiqua" w:hAnsi="Book Antiqua"/>
          <w:color w:val="000000" w:themeColor="text1"/>
        </w:rPr>
      </w:pPr>
    </w:p>
    <w:p w14:paraId="1D038D66" w14:textId="2C544C63" w:rsidR="00126085" w:rsidRPr="00C33BA8" w:rsidRDefault="00126085" w:rsidP="00126085">
      <w:pPr>
        <w:pStyle w:val="BodyText"/>
        <w:adjustRightInd w:val="0"/>
        <w:snapToGrid w:val="0"/>
        <w:spacing w:line="360" w:lineRule="auto"/>
        <w:ind w:left="0"/>
        <w:jc w:val="both"/>
        <w:rPr>
          <w:rFonts w:ascii="Book Antiqua" w:hAnsi="Book Antiqua"/>
          <w:b/>
          <w:i/>
          <w:color w:val="000000" w:themeColor="text1"/>
        </w:rPr>
      </w:pPr>
      <w:r w:rsidRPr="00C33BA8">
        <w:rPr>
          <w:rFonts w:ascii="Book Antiqua" w:hAnsi="Book Antiqua"/>
          <w:b/>
          <w:i/>
          <w:color w:val="000000" w:themeColor="text1"/>
        </w:rPr>
        <w:t>Research methods</w:t>
      </w:r>
    </w:p>
    <w:p w14:paraId="7A257B44" w14:textId="760711BA" w:rsidR="00920C46" w:rsidRPr="00C33BA8" w:rsidRDefault="00E815E9" w:rsidP="00686B93">
      <w:pPr>
        <w:pStyle w:val="BodyText"/>
        <w:adjustRightInd w:val="0"/>
        <w:snapToGrid w:val="0"/>
        <w:spacing w:line="360" w:lineRule="auto"/>
        <w:ind w:left="0"/>
        <w:jc w:val="both"/>
        <w:rPr>
          <w:rFonts w:ascii="Book Antiqua" w:hAnsi="Book Antiqua"/>
          <w:color w:val="000000" w:themeColor="text1"/>
        </w:rPr>
      </w:pPr>
      <w:r w:rsidRPr="00C33BA8">
        <w:rPr>
          <w:rFonts w:ascii="Book Antiqua" w:hAnsi="Book Antiqua"/>
          <w:color w:val="000000" w:themeColor="text1"/>
        </w:rPr>
        <w:t xml:space="preserve">Using </w:t>
      </w:r>
      <w:r w:rsidR="00126085" w:rsidRPr="00C33BA8">
        <w:rPr>
          <w:rFonts w:ascii="Book Antiqua" w:hAnsi="Book Antiqua"/>
          <w:color w:val="000000" w:themeColor="text1"/>
        </w:rPr>
        <w:t>enzyme-linked immunosorbent assay (</w:t>
      </w:r>
      <w:r w:rsidRPr="00C33BA8">
        <w:rPr>
          <w:rFonts w:ascii="Book Antiqua" w:hAnsi="Book Antiqua"/>
          <w:color w:val="000000" w:themeColor="text1"/>
        </w:rPr>
        <w:t>ELISA</w:t>
      </w:r>
      <w:r w:rsidR="00126085" w:rsidRPr="00C33BA8">
        <w:rPr>
          <w:rFonts w:ascii="Book Antiqua" w:hAnsi="Book Antiqua"/>
          <w:color w:val="000000" w:themeColor="text1"/>
        </w:rPr>
        <w:t>)</w:t>
      </w:r>
      <w:r w:rsidRPr="00C33BA8">
        <w:rPr>
          <w:rFonts w:ascii="Book Antiqua" w:hAnsi="Book Antiqua"/>
          <w:color w:val="000000" w:themeColor="text1"/>
        </w:rPr>
        <w:t xml:space="preserve"> methodology, specific antibodies made against </w:t>
      </w:r>
      <w:r w:rsidRPr="00C33BA8">
        <w:rPr>
          <w:rFonts w:ascii="Book Antiqua" w:hAnsi="Book Antiqua"/>
          <w:i/>
          <w:color w:val="000000" w:themeColor="text1"/>
        </w:rPr>
        <w:t xml:space="preserve">C. jejuni </w:t>
      </w:r>
      <w:r w:rsidRPr="00C33BA8">
        <w:rPr>
          <w:rFonts w:ascii="Book Antiqua" w:hAnsi="Book Antiqua"/>
          <w:color w:val="000000" w:themeColor="text1"/>
        </w:rPr>
        <w:t xml:space="preserve">and </w:t>
      </w:r>
      <w:r w:rsidRPr="00C33BA8">
        <w:rPr>
          <w:rFonts w:ascii="Book Antiqua" w:hAnsi="Book Antiqua"/>
          <w:i/>
          <w:color w:val="000000" w:themeColor="text1"/>
        </w:rPr>
        <w:t xml:space="preserve">C. jejuni </w:t>
      </w:r>
      <w:r w:rsidRPr="00C33BA8">
        <w:rPr>
          <w:rFonts w:ascii="Book Antiqua" w:hAnsi="Book Antiqua"/>
          <w:color w:val="000000" w:themeColor="text1"/>
        </w:rPr>
        <w:t xml:space="preserve">Cdt were applied to a variety of microwell plates coated with 45 tissues and 180 food antigens. The resulting immunoreactivities were compared to reactions with control wells coated with human serum albumin (HSA) which were used as negative controls and with wells coated with </w:t>
      </w:r>
      <w:r w:rsidRPr="00C33BA8">
        <w:rPr>
          <w:rFonts w:ascii="Book Antiqua" w:hAnsi="Book Antiqua"/>
          <w:i/>
          <w:color w:val="000000" w:themeColor="text1"/>
        </w:rPr>
        <w:t xml:space="preserve">C. jejuni </w:t>
      </w:r>
      <w:r w:rsidRPr="00C33BA8">
        <w:rPr>
          <w:rFonts w:ascii="Book Antiqua" w:hAnsi="Book Antiqua"/>
          <w:color w:val="000000" w:themeColor="text1"/>
        </w:rPr>
        <w:t xml:space="preserve">lysate or </w:t>
      </w:r>
      <w:r w:rsidRPr="00C33BA8">
        <w:rPr>
          <w:rFonts w:ascii="Book Antiqua" w:hAnsi="Book Antiqua"/>
          <w:i/>
          <w:color w:val="000000" w:themeColor="text1"/>
        </w:rPr>
        <w:t xml:space="preserve">C. jejuni </w:t>
      </w:r>
      <w:r w:rsidRPr="00C33BA8">
        <w:rPr>
          <w:rFonts w:ascii="Book Antiqua" w:hAnsi="Book Antiqua"/>
          <w:color w:val="000000" w:themeColor="text1"/>
        </w:rPr>
        <w:t>Cdt which served as positive controls.</w:t>
      </w:r>
    </w:p>
    <w:p w14:paraId="0AF6E6E1" w14:textId="77777777" w:rsidR="00920C46" w:rsidRPr="00C33BA8" w:rsidRDefault="00920C46" w:rsidP="00686B93">
      <w:pPr>
        <w:pStyle w:val="BodyText"/>
        <w:adjustRightInd w:val="0"/>
        <w:snapToGrid w:val="0"/>
        <w:spacing w:line="360" w:lineRule="auto"/>
        <w:ind w:left="0"/>
        <w:jc w:val="both"/>
        <w:rPr>
          <w:rFonts w:ascii="Book Antiqua" w:hAnsi="Book Antiqua"/>
          <w:color w:val="000000" w:themeColor="text1"/>
        </w:rPr>
      </w:pPr>
    </w:p>
    <w:p w14:paraId="0840134C" w14:textId="1D30EE81" w:rsidR="00126085" w:rsidRPr="00C33BA8" w:rsidRDefault="00126085" w:rsidP="00686B93">
      <w:pPr>
        <w:pStyle w:val="BodyText"/>
        <w:adjustRightInd w:val="0"/>
        <w:snapToGrid w:val="0"/>
        <w:spacing w:line="360" w:lineRule="auto"/>
        <w:ind w:left="0"/>
        <w:jc w:val="both"/>
        <w:rPr>
          <w:rFonts w:ascii="Book Antiqua" w:hAnsi="Book Antiqua"/>
          <w:b/>
          <w:i/>
          <w:color w:val="000000" w:themeColor="text1"/>
        </w:rPr>
      </w:pPr>
      <w:r w:rsidRPr="00C33BA8">
        <w:rPr>
          <w:rFonts w:ascii="Book Antiqua" w:hAnsi="Book Antiqua"/>
          <w:b/>
          <w:i/>
          <w:color w:val="000000" w:themeColor="text1"/>
        </w:rPr>
        <w:t>Research results</w:t>
      </w:r>
    </w:p>
    <w:p w14:paraId="352DED16" w14:textId="2405C8A8" w:rsidR="00920C46" w:rsidRPr="00C33BA8" w:rsidRDefault="00E815E9" w:rsidP="00686B93">
      <w:pPr>
        <w:pStyle w:val="BodyText"/>
        <w:adjustRightInd w:val="0"/>
        <w:snapToGrid w:val="0"/>
        <w:spacing w:line="360" w:lineRule="auto"/>
        <w:ind w:left="0"/>
        <w:jc w:val="both"/>
        <w:rPr>
          <w:rFonts w:ascii="Book Antiqua" w:hAnsi="Book Antiqua"/>
          <w:color w:val="000000" w:themeColor="text1"/>
        </w:rPr>
      </w:pPr>
      <w:r w:rsidRPr="00C33BA8">
        <w:rPr>
          <w:rFonts w:ascii="Book Antiqua" w:hAnsi="Book Antiqua"/>
          <w:color w:val="000000" w:themeColor="text1"/>
        </w:rPr>
        <w:t xml:space="preserve">Monoclonal antibody made against </w:t>
      </w:r>
      <w:r w:rsidRPr="00C33BA8">
        <w:rPr>
          <w:rFonts w:ascii="Book Antiqua" w:hAnsi="Book Antiqua"/>
          <w:i/>
          <w:color w:val="000000" w:themeColor="text1"/>
        </w:rPr>
        <w:t xml:space="preserve">C. jejuni </w:t>
      </w:r>
      <w:r w:rsidRPr="00C33BA8">
        <w:rPr>
          <w:rFonts w:ascii="Book Antiqua" w:hAnsi="Book Antiqua"/>
          <w:color w:val="000000" w:themeColor="text1"/>
        </w:rPr>
        <w:t xml:space="preserve">showed moderate to high reactions with zonulin, somatotropin, acetylcholine receptor, </w:t>
      </w:r>
      <w:r w:rsidR="00B85FCF" w:rsidRPr="00C33BA8">
        <w:rPr>
          <w:rFonts w:ascii="Book Antiqua" w:hAnsi="Book Antiqua"/>
          <w:color w:val="000000" w:themeColor="text1"/>
        </w:rPr>
        <w:t>β</w:t>
      </w:r>
      <w:r w:rsidRPr="00C33BA8">
        <w:rPr>
          <w:rFonts w:ascii="Book Antiqua" w:hAnsi="Book Antiqua"/>
          <w:color w:val="000000" w:themeColor="text1"/>
        </w:rPr>
        <w:t xml:space="preserve">-amyloid and presenilin. This immune reaction was low with an additional 25 tissue antigens, and the same antibody did not </w:t>
      </w:r>
      <w:r w:rsidRPr="00C33BA8">
        <w:rPr>
          <w:rFonts w:ascii="Book Antiqua" w:hAnsi="Book Antiqua"/>
          <w:color w:val="000000" w:themeColor="text1"/>
        </w:rPr>
        <w:lastRenderedPageBreak/>
        <w:t xml:space="preserve">react at all with another 15 tissue antigens. Examining the reaction between </w:t>
      </w:r>
      <w:r w:rsidRPr="00C33BA8">
        <w:rPr>
          <w:rFonts w:ascii="Book Antiqua" w:hAnsi="Book Antiqua"/>
          <w:i/>
          <w:color w:val="000000" w:themeColor="text1"/>
        </w:rPr>
        <w:t xml:space="preserve">C. jejuni </w:t>
      </w:r>
      <w:r w:rsidRPr="00C33BA8">
        <w:rPr>
          <w:rFonts w:ascii="Book Antiqua" w:hAnsi="Book Antiqua"/>
          <w:color w:val="000000" w:themeColor="text1"/>
        </w:rPr>
        <w:t>antibody and 180 food antigens, we found insignificant reactions with 163 foods but</w:t>
      </w:r>
      <w:r w:rsidR="00517F9E" w:rsidRPr="00C33BA8">
        <w:rPr>
          <w:rFonts w:ascii="Book Antiqua" w:hAnsi="Book Antiqua"/>
          <w:color w:val="000000" w:themeColor="text1"/>
        </w:rPr>
        <w:t xml:space="preserve"> </w:t>
      </w:r>
      <w:r w:rsidRPr="00C33BA8">
        <w:rPr>
          <w:rFonts w:ascii="Book Antiqua" w:hAnsi="Book Antiqua"/>
          <w:color w:val="000000" w:themeColor="text1"/>
        </w:rPr>
        <w:t xml:space="preserve">low to high immune reactions with 17 food antigens. Similarly, with </w:t>
      </w:r>
      <w:r w:rsidRPr="00C33BA8">
        <w:rPr>
          <w:rFonts w:ascii="Book Antiqua" w:hAnsi="Book Antiqua"/>
          <w:i/>
          <w:color w:val="000000" w:themeColor="text1"/>
        </w:rPr>
        <w:t xml:space="preserve">C. jejuni </w:t>
      </w:r>
      <w:r w:rsidRPr="00C33BA8">
        <w:rPr>
          <w:rFonts w:ascii="Book Antiqua" w:hAnsi="Book Antiqua"/>
          <w:color w:val="000000" w:themeColor="text1"/>
        </w:rPr>
        <w:t xml:space="preserve">Cdt antibody, the reactions with tissues were strongest with zonulin, intrinsic factor and somatotropin, moderate with 9 different tissue antigens including thyroid peroxidase, low with another 10 different antigens, including neuronal antigens, and insignificant with an additional 23 tissue antigens. Between </w:t>
      </w:r>
      <w:r w:rsidRPr="00C33BA8">
        <w:rPr>
          <w:rFonts w:ascii="Book Antiqua" w:hAnsi="Book Antiqua"/>
          <w:i/>
          <w:color w:val="000000" w:themeColor="text1"/>
        </w:rPr>
        <w:t xml:space="preserve">C. jejuni </w:t>
      </w:r>
      <w:r w:rsidRPr="00C33BA8">
        <w:rPr>
          <w:rFonts w:ascii="Book Antiqua" w:hAnsi="Book Antiqua"/>
          <w:color w:val="000000" w:themeColor="text1"/>
        </w:rPr>
        <w:t>Cdt antibody and different food antigens, 160 out of 180 foods showed insignificant reactions, while 20 foods showed reactions ranging from low to high. Further research with the proper reagents</w:t>
      </w:r>
      <w:r w:rsidRPr="00C33BA8">
        <w:rPr>
          <w:rFonts w:ascii="Book Antiqua" w:hAnsi="Book Antiqua"/>
          <w:color w:val="000000" w:themeColor="text1"/>
          <w:spacing w:val="30"/>
        </w:rPr>
        <w:t xml:space="preserve"> </w:t>
      </w:r>
      <w:r w:rsidRPr="00C33BA8">
        <w:rPr>
          <w:rFonts w:ascii="Book Antiqua" w:hAnsi="Book Antiqua"/>
          <w:color w:val="000000" w:themeColor="text1"/>
        </w:rPr>
        <w:t>and</w:t>
      </w:r>
      <w:r w:rsidR="00126085" w:rsidRPr="00C33BA8">
        <w:rPr>
          <w:rFonts w:ascii="Book Antiqua" w:hAnsi="Book Antiqua"/>
          <w:color w:val="000000" w:themeColor="text1"/>
        </w:rPr>
        <w:t xml:space="preserve"> </w:t>
      </w:r>
      <w:r w:rsidRPr="00C33BA8">
        <w:rPr>
          <w:rFonts w:ascii="Book Antiqua" w:hAnsi="Book Antiqua"/>
          <w:color w:val="000000" w:themeColor="text1"/>
        </w:rPr>
        <w:t>samples from patients with autoimmune and neurodegenerative disorders can lead to the clinical application of the methods and specific antibody tests used in this study.</w:t>
      </w:r>
    </w:p>
    <w:p w14:paraId="3DED3445" w14:textId="77777777" w:rsidR="00920C46" w:rsidRPr="00C33BA8" w:rsidRDefault="00920C46" w:rsidP="00686B93">
      <w:pPr>
        <w:pStyle w:val="BodyText"/>
        <w:adjustRightInd w:val="0"/>
        <w:snapToGrid w:val="0"/>
        <w:spacing w:line="360" w:lineRule="auto"/>
        <w:ind w:left="0"/>
        <w:jc w:val="both"/>
        <w:rPr>
          <w:rFonts w:ascii="Book Antiqua" w:hAnsi="Book Antiqua"/>
          <w:color w:val="000000" w:themeColor="text1"/>
        </w:rPr>
      </w:pPr>
    </w:p>
    <w:p w14:paraId="26A27BC8" w14:textId="427364B9" w:rsidR="00126085" w:rsidRPr="00C33BA8" w:rsidRDefault="00126085" w:rsidP="00686B93">
      <w:pPr>
        <w:pStyle w:val="BodyText"/>
        <w:adjustRightInd w:val="0"/>
        <w:snapToGrid w:val="0"/>
        <w:spacing w:line="360" w:lineRule="auto"/>
        <w:ind w:left="0"/>
        <w:jc w:val="both"/>
        <w:rPr>
          <w:rFonts w:ascii="Book Antiqua" w:hAnsi="Book Antiqua"/>
          <w:b/>
          <w:i/>
          <w:color w:val="000000" w:themeColor="text1"/>
        </w:rPr>
      </w:pPr>
      <w:r w:rsidRPr="00C33BA8">
        <w:rPr>
          <w:rFonts w:ascii="Book Antiqua" w:hAnsi="Book Antiqua"/>
          <w:b/>
          <w:i/>
          <w:color w:val="000000" w:themeColor="text1"/>
        </w:rPr>
        <w:t>Research conclusions</w:t>
      </w:r>
    </w:p>
    <w:p w14:paraId="7424E598" w14:textId="6F27BF4A" w:rsidR="00920C46" w:rsidRPr="00C33BA8" w:rsidRDefault="00E815E9" w:rsidP="00126085">
      <w:pPr>
        <w:pStyle w:val="BodyText"/>
        <w:adjustRightInd w:val="0"/>
        <w:snapToGrid w:val="0"/>
        <w:spacing w:line="360" w:lineRule="auto"/>
        <w:ind w:left="0"/>
        <w:jc w:val="both"/>
        <w:rPr>
          <w:rFonts w:ascii="Book Antiqua" w:hAnsi="Book Antiqua"/>
          <w:color w:val="000000" w:themeColor="text1"/>
        </w:rPr>
      </w:pPr>
      <w:r w:rsidRPr="00C33BA8">
        <w:rPr>
          <w:rFonts w:ascii="Book Antiqua" w:hAnsi="Book Antiqua"/>
          <w:i/>
          <w:color w:val="000000" w:themeColor="text1"/>
        </w:rPr>
        <w:t xml:space="preserve">C. jejuni </w:t>
      </w:r>
      <w:r w:rsidRPr="00C33BA8">
        <w:rPr>
          <w:rFonts w:ascii="Book Antiqua" w:hAnsi="Book Antiqua"/>
          <w:color w:val="000000" w:themeColor="text1"/>
        </w:rPr>
        <w:t>and its toxins are involved in different autoimmune and neurodegenerative disorders beyond the gut.</w:t>
      </w:r>
      <w:r w:rsidR="00126085" w:rsidRPr="00C33BA8">
        <w:rPr>
          <w:rFonts w:ascii="Book Antiqua" w:hAnsi="Book Antiqua"/>
          <w:color w:val="000000" w:themeColor="text1"/>
        </w:rPr>
        <w:t xml:space="preserve"> </w:t>
      </w:r>
      <w:r w:rsidRPr="00C33BA8">
        <w:rPr>
          <w:rFonts w:ascii="Book Antiqua" w:hAnsi="Book Antiqua"/>
          <w:i/>
          <w:color w:val="000000" w:themeColor="text1"/>
        </w:rPr>
        <w:t xml:space="preserve">C. jejuni </w:t>
      </w:r>
      <w:r w:rsidRPr="00C33BA8">
        <w:rPr>
          <w:rFonts w:ascii="Book Antiqua" w:hAnsi="Book Antiqua"/>
          <w:color w:val="000000" w:themeColor="text1"/>
        </w:rPr>
        <w:t>and its toxins play a major role in a variety of autoimmune and neurodegenerative disorders through molecular mimicry.</w:t>
      </w:r>
      <w:r w:rsidR="00126085" w:rsidRPr="00C33BA8">
        <w:rPr>
          <w:rFonts w:ascii="Book Antiqua" w:hAnsi="Book Antiqua"/>
          <w:color w:val="000000" w:themeColor="text1"/>
        </w:rPr>
        <w:t xml:space="preserve"> </w:t>
      </w:r>
      <w:r w:rsidRPr="00C33BA8">
        <w:rPr>
          <w:rFonts w:ascii="Book Antiqua" w:hAnsi="Book Antiqua"/>
          <w:color w:val="000000" w:themeColor="text1"/>
        </w:rPr>
        <w:t xml:space="preserve">Many investigators have clearly established </w:t>
      </w:r>
      <w:r w:rsidRPr="00C33BA8">
        <w:rPr>
          <w:rFonts w:ascii="Book Antiqua" w:hAnsi="Book Antiqua"/>
          <w:i/>
          <w:color w:val="000000" w:themeColor="text1"/>
        </w:rPr>
        <w:t xml:space="preserve">C. jejuni </w:t>
      </w:r>
      <w:r w:rsidRPr="00C33BA8">
        <w:rPr>
          <w:rFonts w:ascii="Book Antiqua" w:hAnsi="Book Antiqua"/>
          <w:color w:val="000000" w:themeColor="text1"/>
        </w:rPr>
        <w:t xml:space="preserve">as the most prevalent cause of food-related enteritis worldwide. It has been associated with a range of gastrointestinal conditions, including </w:t>
      </w:r>
      <w:r w:rsidR="00126085" w:rsidRPr="00C33BA8">
        <w:rPr>
          <w:rFonts w:ascii="Book Antiqua" w:hAnsi="Book Antiqua"/>
          <w:color w:val="000000" w:themeColor="text1"/>
        </w:rPr>
        <w:t>inflammatory bowel disease (</w:t>
      </w:r>
      <w:r w:rsidRPr="00C33BA8">
        <w:rPr>
          <w:rFonts w:ascii="Book Antiqua" w:hAnsi="Book Antiqua"/>
          <w:color w:val="000000" w:themeColor="text1"/>
        </w:rPr>
        <w:t>IBD</w:t>
      </w:r>
      <w:r w:rsidR="00126085" w:rsidRPr="00C33BA8">
        <w:rPr>
          <w:rFonts w:ascii="Book Antiqua" w:hAnsi="Book Antiqua"/>
          <w:color w:val="000000" w:themeColor="text1"/>
        </w:rPr>
        <w:t>)</w:t>
      </w:r>
      <w:r w:rsidRPr="00C33BA8">
        <w:rPr>
          <w:rFonts w:ascii="Book Antiqua" w:hAnsi="Book Antiqua"/>
          <w:color w:val="000000" w:themeColor="text1"/>
        </w:rPr>
        <w:t>, Barrett’s esophagus, and colorectal cancer, and has also been reported to be involved in extra</w:t>
      </w:r>
      <w:bookmarkStart w:id="34" w:name="OLE_LINK38"/>
      <w:bookmarkStart w:id="35" w:name="OLE_LINK39"/>
      <w:r w:rsidRPr="00C33BA8">
        <w:rPr>
          <w:rFonts w:ascii="Book Antiqua" w:hAnsi="Book Antiqua"/>
          <w:color w:val="000000" w:themeColor="text1"/>
        </w:rPr>
        <w:t>gastrointestinal</w:t>
      </w:r>
      <w:bookmarkEnd w:id="34"/>
      <w:bookmarkEnd w:id="35"/>
      <w:r w:rsidRPr="00C33BA8">
        <w:rPr>
          <w:rFonts w:ascii="Book Antiqua" w:hAnsi="Book Antiqua"/>
          <w:color w:val="000000" w:themeColor="text1"/>
        </w:rPr>
        <w:t xml:space="preserve"> manifestations, including bacteremia, lung infections, brain abscesses, meningitis, and reactive arthritis.</w:t>
      </w:r>
      <w:r w:rsidR="00126085" w:rsidRPr="00C33BA8">
        <w:rPr>
          <w:rFonts w:ascii="Book Antiqua" w:hAnsi="Book Antiqua"/>
          <w:color w:val="000000" w:themeColor="text1"/>
        </w:rPr>
        <w:t xml:space="preserve"> </w:t>
      </w:r>
      <w:r w:rsidRPr="00C33BA8">
        <w:rPr>
          <w:rFonts w:ascii="Book Antiqua" w:hAnsi="Book Antiqua"/>
          <w:color w:val="000000" w:themeColor="text1"/>
        </w:rPr>
        <w:t xml:space="preserve">Monoclonal and affinity-purified antibodies against </w:t>
      </w:r>
      <w:r w:rsidRPr="00C33BA8">
        <w:rPr>
          <w:rFonts w:ascii="Book Antiqua" w:hAnsi="Book Antiqua"/>
          <w:i/>
          <w:color w:val="000000" w:themeColor="text1"/>
        </w:rPr>
        <w:t xml:space="preserve">C. jejuni </w:t>
      </w:r>
      <w:r w:rsidRPr="00C33BA8">
        <w:rPr>
          <w:rFonts w:ascii="Book Antiqua" w:hAnsi="Book Antiqua"/>
          <w:color w:val="000000" w:themeColor="text1"/>
        </w:rPr>
        <w:t>and its toxins have moderate to strong reactions with a variety of tissue and food antigens.</w:t>
      </w:r>
      <w:r w:rsidR="00126085" w:rsidRPr="00C33BA8">
        <w:rPr>
          <w:rFonts w:ascii="Book Antiqua" w:hAnsi="Book Antiqua"/>
          <w:color w:val="000000" w:themeColor="text1"/>
        </w:rPr>
        <w:t xml:space="preserve"> </w:t>
      </w:r>
      <w:r w:rsidRPr="00C33BA8">
        <w:rPr>
          <w:rFonts w:ascii="Book Antiqua" w:hAnsi="Book Antiqua"/>
          <w:color w:val="000000" w:themeColor="text1"/>
        </w:rPr>
        <w:t xml:space="preserve">Studies have shown that chronic exposure to </w:t>
      </w:r>
      <w:r w:rsidRPr="00C33BA8">
        <w:rPr>
          <w:rFonts w:ascii="Book Antiqua" w:hAnsi="Book Antiqua"/>
          <w:i/>
          <w:color w:val="000000" w:themeColor="text1"/>
        </w:rPr>
        <w:t xml:space="preserve">C. jejuni </w:t>
      </w:r>
      <w:r w:rsidRPr="00C33BA8">
        <w:rPr>
          <w:rFonts w:ascii="Book Antiqua" w:hAnsi="Book Antiqua"/>
          <w:color w:val="000000" w:themeColor="text1"/>
        </w:rPr>
        <w:t>and its toxin Cdt could induce epithelial cell damage, facilitating not only bacterial invasion but also the penetration of undigested food antigens into the submucosa and into the circulation. This body exposure to these external triggers may initiate an immune response in which antibody production against the bacterial food toxins and food antigens may result in</w:t>
      </w:r>
      <w:r w:rsidRPr="00C33BA8">
        <w:rPr>
          <w:rFonts w:ascii="Book Antiqua" w:hAnsi="Book Antiqua"/>
          <w:color w:val="000000" w:themeColor="text1"/>
          <w:spacing w:val="9"/>
        </w:rPr>
        <w:t xml:space="preserve"> </w:t>
      </w:r>
      <w:r w:rsidR="00126085" w:rsidRPr="00C33BA8">
        <w:rPr>
          <w:rFonts w:ascii="Book Antiqua" w:hAnsi="Book Antiqua"/>
          <w:color w:val="000000" w:themeColor="text1"/>
        </w:rPr>
        <w:t>cross-</w:t>
      </w:r>
      <w:r w:rsidRPr="00C33BA8">
        <w:rPr>
          <w:rFonts w:ascii="Book Antiqua" w:hAnsi="Book Antiqua"/>
          <w:color w:val="000000" w:themeColor="text1"/>
        </w:rPr>
        <w:t>immunoreactivity with a variety of tissue antig</w:t>
      </w:r>
      <w:r w:rsidR="00126085" w:rsidRPr="00C33BA8">
        <w:rPr>
          <w:rFonts w:ascii="Book Antiqua" w:hAnsi="Book Antiqua"/>
          <w:color w:val="000000" w:themeColor="text1"/>
        </w:rPr>
        <w:t xml:space="preserve">ens, thereby setting the stage for </w:t>
      </w:r>
      <w:r w:rsidRPr="00C33BA8">
        <w:rPr>
          <w:rFonts w:ascii="Book Antiqua" w:hAnsi="Book Antiqua"/>
          <w:color w:val="000000" w:themeColor="text1"/>
        </w:rPr>
        <w:t>multiple autoimmune reactivities beyond the</w:t>
      </w:r>
      <w:r w:rsidRPr="00C33BA8">
        <w:rPr>
          <w:rFonts w:ascii="Book Antiqua" w:hAnsi="Book Antiqua"/>
          <w:color w:val="000000" w:themeColor="text1"/>
          <w:spacing w:val="12"/>
        </w:rPr>
        <w:t xml:space="preserve"> </w:t>
      </w:r>
      <w:r w:rsidRPr="00C33BA8">
        <w:rPr>
          <w:rFonts w:ascii="Book Antiqua" w:hAnsi="Book Antiqua"/>
          <w:color w:val="000000" w:themeColor="text1"/>
        </w:rPr>
        <w:t>gut.</w:t>
      </w:r>
      <w:r w:rsidR="00126085" w:rsidRPr="00C33BA8">
        <w:rPr>
          <w:rFonts w:ascii="Book Antiqua" w:hAnsi="Book Antiqua"/>
          <w:color w:val="000000" w:themeColor="text1"/>
        </w:rPr>
        <w:t xml:space="preserve"> </w:t>
      </w:r>
      <w:r w:rsidRPr="00C33BA8">
        <w:rPr>
          <w:rFonts w:ascii="Book Antiqua" w:hAnsi="Book Antiqua"/>
          <w:color w:val="000000" w:themeColor="text1"/>
        </w:rPr>
        <w:t xml:space="preserve">Reaction of antibodies against </w:t>
      </w:r>
      <w:r w:rsidRPr="00C33BA8">
        <w:rPr>
          <w:rFonts w:ascii="Book Antiqua" w:hAnsi="Book Antiqua"/>
          <w:i/>
          <w:color w:val="000000" w:themeColor="text1"/>
        </w:rPr>
        <w:t xml:space="preserve">C. jejuni </w:t>
      </w:r>
      <w:r w:rsidRPr="00C33BA8">
        <w:rPr>
          <w:rFonts w:ascii="Book Antiqua" w:hAnsi="Book Antiqua"/>
          <w:color w:val="000000" w:themeColor="text1"/>
        </w:rPr>
        <w:t xml:space="preserve">and its toxins with tissue and food antigens, which </w:t>
      </w:r>
      <w:r w:rsidRPr="00C33BA8">
        <w:rPr>
          <w:rFonts w:ascii="Book Antiqua" w:hAnsi="Book Antiqua"/>
          <w:color w:val="000000" w:themeColor="text1"/>
        </w:rPr>
        <w:lastRenderedPageBreak/>
        <w:t>has not previously been studied.</w:t>
      </w:r>
      <w:r w:rsidR="00126085" w:rsidRPr="00C33BA8">
        <w:rPr>
          <w:rFonts w:ascii="Book Antiqua" w:hAnsi="Book Antiqua"/>
          <w:color w:val="000000" w:themeColor="text1"/>
        </w:rPr>
        <w:t xml:space="preserve"> </w:t>
      </w:r>
      <w:r w:rsidRPr="00C33BA8">
        <w:rPr>
          <w:rFonts w:ascii="Book Antiqua" w:hAnsi="Book Antiqua"/>
          <w:color w:val="000000" w:themeColor="text1"/>
        </w:rPr>
        <w:t xml:space="preserve">The reaction of </w:t>
      </w:r>
      <w:r w:rsidRPr="00C33BA8">
        <w:rPr>
          <w:rFonts w:ascii="Book Antiqua" w:hAnsi="Book Antiqua"/>
          <w:i/>
          <w:color w:val="000000" w:themeColor="text1"/>
        </w:rPr>
        <w:t xml:space="preserve">C. jejuni </w:t>
      </w:r>
      <w:r w:rsidRPr="00C33BA8">
        <w:rPr>
          <w:rFonts w:ascii="Book Antiqua" w:hAnsi="Book Antiqua"/>
          <w:color w:val="000000" w:themeColor="text1"/>
        </w:rPr>
        <w:t xml:space="preserve">and </w:t>
      </w:r>
      <w:r w:rsidRPr="00C33BA8">
        <w:rPr>
          <w:rFonts w:ascii="Book Antiqua" w:hAnsi="Book Antiqua"/>
          <w:i/>
          <w:color w:val="000000" w:themeColor="text1"/>
        </w:rPr>
        <w:t xml:space="preserve">C. jejuni </w:t>
      </w:r>
      <w:r w:rsidRPr="00C33BA8">
        <w:rPr>
          <w:rFonts w:ascii="Book Antiqua" w:hAnsi="Book Antiqua"/>
          <w:color w:val="000000" w:themeColor="text1"/>
        </w:rPr>
        <w:t>Cdt with different tissue antigens, including neural tissues, and different food antigens were made possible by finding the proper reagents of high quality and</w:t>
      </w:r>
      <w:r w:rsidRPr="00C33BA8">
        <w:rPr>
          <w:rFonts w:ascii="Book Antiqua" w:hAnsi="Book Antiqua"/>
          <w:color w:val="000000" w:themeColor="text1"/>
          <w:spacing w:val="9"/>
        </w:rPr>
        <w:t xml:space="preserve"> </w:t>
      </w:r>
      <w:r w:rsidRPr="00C33BA8">
        <w:rPr>
          <w:rFonts w:ascii="Book Antiqua" w:hAnsi="Book Antiqua"/>
          <w:color w:val="000000" w:themeColor="text1"/>
        </w:rPr>
        <w:t>purity.</w:t>
      </w:r>
      <w:r w:rsidR="00126085" w:rsidRPr="00C33BA8">
        <w:rPr>
          <w:rFonts w:ascii="Book Antiqua" w:hAnsi="Book Antiqua"/>
          <w:color w:val="000000" w:themeColor="text1"/>
        </w:rPr>
        <w:t xml:space="preserve"> </w:t>
      </w:r>
      <w:r w:rsidRPr="00C33BA8">
        <w:rPr>
          <w:rFonts w:ascii="Book Antiqua" w:hAnsi="Book Antiqua"/>
          <w:color w:val="000000" w:themeColor="text1"/>
        </w:rPr>
        <w:t xml:space="preserve">The results of our study confirmed that there is cross-reactivity between </w:t>
      </w:r>
      <w:r w:rsidRPr="00C33BA8">
        <w:rPr>
          <w:rFonts w:ascii="Book Antiqua" w:hAnsi="Book Antiqua"/>
          <w:i/>
          <w:color w:val="000000" w:themeColor="text1"/>
        </w:rPr>
        <w:t xml:space="preserve">C. jejuni </w:t>
      </w:r>
      <w:r w:rsidRPr="00C33BA8">
        <w:rPr>
          <w:rFonts w:ascii="Book Antiqua" w:hAnsi="Book Antiqua"/>
          <w:color w:val="000000" w:themeColor="text1"/>
        </w:rPr>
        <w:t>and its toxins with other tissue antigens as well as food proteins to which the human body is exposed on a daily basis. This reaction may be due to molecular mimicry and may contribute to the pathogenesis of autoimmune and neurodegenerative disorders.</w:t>
      </w:r>
      <w:r w:rsidR="00126085" w:rsidRPr="00C33BA8">
        <w:rPr>
          <w:rFonts w:ascii="Book Antiqua" w:hAnsi="Book Antiqua"/>
          <w:color w:val="000000" w:themeColor="text1"/>
        </w:rPr>
        <w:t xml:space="preserve"> </w:t>
      </w:r>
      <w:r w:rsidRPr="00C33BA8">
        <w:rPr>
          <w:rFonts w:ascii="Book Antiqua" w:hAnsi="Book Antiqua"/>
          <w:color w:val="000000" w:themeColor="text1"/>
        </w:rPr>
        <w:t>Treatment for</w:t>
      </w:r>
      <w:r w:rsidR="00126085" w:rsidRPr="00C33BA8">
        <w:rPr>
          <w:rFonts w:ascii="Book Antiqua" w:hAnsi="Book Antiqua"/>
          <w:color w:val="000000" w:themeColor="text1"/>
        </w:rPr>
        <w:t xml:space="preserve"> </w:t>
      </w:r>
      <w:r w:rsidR="00126085" w:rsidRPr="00C33BA8">
        <w:rPr>
          <w:rFonts w:ascii="Book Antiqua" w:hAnsi="Book Antiqua"/>
          <w:i/>
          <w:color w:val="000000" w:themeColor="text1"/>
        </w:rPr>
        <w:t>C</w:t>
      </w:r>
      <w:r w:rsidR="00126085" w:rsidRPr="00C33BA8">
        <w:rPr>
          <w:rFonts w:ascii="Book Antiqua" w:hAnsi="Book Antiqua"/>
          <w:color w:val="000000" w:themeColor="text1"/>
        </w:rPr>
        <w:t xml:space="preserve">. </w:t>
      </w:r>
      <w:r w:rsidRPr="00C33BA8">
        <w:rPr>
          <w:rFonts w:ascii="Book Antiqua" w:hAnsi="Book Antiqua"/>
          <w:i/>
          <w:color w:val="000000" w:themeColor="text1"/>
        </w:rPr>
        <w:t xml:space="preserve">jejuni </w:t>
      </w:r>
      <w:r w:rsidRPr="00C33BA8">
        <w:rPr>
          <w:rFonts w:ascii="Book Antiqua" w:hAnsi="Book Antiqua"/>
          <w:color w:val="000000" w:themeColor="text1"/>
        </w:rPr>
        <w:t>should therefore be a part of the strategy for prevention and treatment of autoimmune and neurodegenerative</w:t>
      </w:r>
      <w:r w:rsidRPr="00C33BA8">
        <w:rPr>
          <w:rFonts w:ascii="Book Antiqua" w:hAnsi="Book Antiqua"/>
          <w:color w:val="000000" w:themeColor="text1"/>
          <w:spacing w:val="7"/>
        </w:rPr>
        <w:t xml:space="preserve"> </w:t>
      </w:r>
      <w:r w:rsidRPr="00C33BA8">
        <w:rPr>
          <w:rFonts w:ascii="Book Antiqua" w:hAnsi="Book Antiqua"/>
          <w:color w:val="000000" w:themeColor="text1"/>
        </w:rPr>
        <w:t>disorders.</w:t>
      </w:r>
    </w:p>
    <w:p w14:paraId="4688F19A" w14:textId="77777777" w:rsidR="00920C46" w:rsidRPr="00C33BA8" w:rsidRDefault="00920C46" w:rsidP="00686B93">
      <w:pPr>
        <w:pStyle w:val="BodyText"/>
        <w:adjustRightInd w:val="0"/>
        <w:snapToGrid w:val="0"/>
        <w:spacing w:line="360" w:lineRule="auto"/>
        <w:ind w:left="0"/>
        <w:jc w:val="both"/>
        <w:rPr>
          <w:rFonts w:ascii="Book Antiqua" w:hAnsi="Book Antiqua"/>
          <w:color w:val="000000" w:themeColor="text1"/>
        </w:rPr>
      </w:pPr>
    </w:p>
    <w:p w14:paraId="72187A61" w14:textId="301BDAFE" w:rsidR="00126085" w:rsidRPr="00C33BA8" w:rsidRDefault="00126085" w:rsidP="00686B93">
      <w:pPr>
        <w:pStyle w:val="BodyText"/>
        <w:adjustRightInd w:val="0"/>
        <w:snapToGrid w:val="0"/>
        <w:spacing w:line="360" w:lineRule="auto"/>
        <w:ind w:left="0"/>
        <w:jc w:val="both"/>
        <w:rPr>
          <w:rFonts w:ascii="Book Antiqua" w:hAnsi="Book Antiqua"/>
          <w:b/>
          <w:i/>
          <w:color w:val="000000" w:themeColor="text1"/>
        </w:rPr>
      </w:pPr>
      <w:r w:rsidRPr="00C33BA8">
        <w:rPr>
          <w:rFonts w:ascii="Book Antiqua" w:hAnsi="Book Antiqua"/>
          <w:b/>
          <w:i/>
          <w:color w:val="000000" w:themeColor="text1"/>
        </w:rPr>
        <w:t>Research perspectives</w:t>
      </w:r>
    </w:p>
    <w:p w14:paraId="3B436A43" w14:textId="29CD38AC" w:rsidR="00920C46" w:rsidRPr="00C33BA8" w:rsidRDefault="00E815E9" w:rsidP="00686B93">
      <w:pPr>
        <w:pStyle w:val="BodyText"/>
        <w:adjustRightInd w:val="0"/>
        <w:snapToGrid w:val="0"/>
        <w:spacing w:line="360" w:lineRule="auto"/>
        <w:ind w:left="0"/>
        <w:jc w:val="both"/>
        <w:rPr>
          <w:rFonts w:ascii="Book Antiqua" w:hAnsi="Book Antiqua"/>
          <w:color w:val="000000" w:themeColor="text1"/>
        </w:rPr>
      </w:pPr>
      <w:r w:rsidRPr="00C33BA8">
        <w:rPr>
          <w:rFonts w:ascii="Book Antiqua" w:hAnsi="Book Antiqua"/>
          <w:color w:val="000000" w:themeColor="text1"/>
        </w:rPr>
        <w:t>The availability and use of excellent and highly purified reagents such as monoclonal mouse and affinity-purified rabbit antibodies can help us to accurately detect and measure in the blood levels of antibodies that had previously been overlooked or ignored but which may actually have important roles in devastating diseases.</w:t>
      </w:r>
      <w:r w:rsidR="006B3263" w:rsidRPr="00C33BA8">
        <w:rPr>
          <w:rFonts w:ascii="Book Antiqua" w:hAnsi="Book Antiqua"/>
          <w:color w:val="000000" w:themeColor="text1"/>
        </w:rPr>
        <w:t xml:space="preserve"> </w:t>
      </w:r>
      <w:r w:rsidRPr="00C33BA8">
        <w:rPr>
          <w:rFonts w:ascii="Book Antiqua" w:hAnsi="Book Antiqua"/>
          <w:color w:val="000000" w:themeColor="text1"/>
        </w:rPr>
        <w:t xml:space="preserve">The reaction of antibodies made against </w:t>
      </w:r>
      <w:r w:rsidRPr="00C33BA8">
        <w:rPr>
          <w:rFonts w:ascii="Book Antiqua" w:hAnsi="Book Antiqua"/>
          <w:i/>
          <w:color w:val="000000" w:themeColor="text1"/>
        </w:rPr>
        <w:t xml:space="preserve">Campylobacter jejuni </w:t>
      </w:r>
      <w:r w:rsidRPr="00C33BA8">
        <w:rPr>
          <w:rFonts w:ascii="Book Antiqua" w:hAnsi="Book Antiqua"/>
          <w:color w:val="000000" w:themeColor="text1"/>
        </w:rPr>
        <w:t xml:space="preserve">with so many human tissues and food antigens encourages future research in the role that this organism may play in multiple autoimmune diseases. Future research should seek to further confirm the involvement of </w:t>
      </w:r>
      <w:r w:rsidRPr="00C33BA8">
        <w:rPr>
          <w:rFonts w:ascii="Book Antiqua" w:hAnsi="Book Antiqua"/>
          <w:i/>
          <w:color w:val="000000" w:themeColor="text1"/>
        </w:rPr>
        <w:t xml:space="preserve">C. jejuni </w:t>
      </w:r>
      <w:r w:rsidRPr="00C33BA8">
        <w:rPr>
          <w:rFonts w:ascii="Book Antiqua" w:hAnsi="Book Antiqua"/>
          <w:color w:val="000000" w:themeColor="text1"/>
        </w:rPr>
        <w:t>and its toxins in autoimmune and neurodegenerative disorders, and then expand the search to examine the possible involvement of other pathogens.</w:t>
      </w:r>
      <w:r w:rsidR="006B3263" w:rsidRPr="00C33BA8">
        <w:rPr>
          <w:rFonts w:ascii="Book Antiqua" w:hAnsi="Book Antiqua"/>
          <w:color w:val="000000" w:themeColor="text1"/>
        </w:rPr>
        <w:t xml:space="preserve"> </w:t>
      </w:r>
      <w:r w:rsidRPr="00C33BA8">
        <w:rPr>
          <w:rFonts w:ascii="Book Antiqua" w:hAnsi="Book Antiqua"/>
          <w:color w:val="000000" w:themeColor="text1"/>
        </w:rPr>
        <w:t xml:space="preserve">The best method for ensuring the most accurate and reliable results in testing for </w:t>
      </w:r>
      <w:r w:rsidRPr="00C33BA8">
        <w:rPr>
          <w:rFonts w:ascii="Book Antiqua" w:hAnsi="Book Antiqua"/>
          <w:i/>
          <w:color w:val="000000" w:themeColor="text1"/>
        </w:rPr>
        <w:t xml:space="preserve">C. jejuni </w:t>
      </w:r>
      <w:r w:rsidRPr="00C33BA8">
        <w:rPr>
          <w:rFonts w:ascii="Book Antiqua" w:hAnsi="Book Antiqua"/>
          <w:color w:val="000000" w:themeColor="text1"/>
        </w:rPr>
        <w:t>and other pathogens is to use only specific antibodies that are of high quality and high purity.</w:t>
      </w:r>
    </w:p>
    <w:p w14:paraId="245070BF" w14:textId="77777777" w:rsidR="00920C46" w:rsidRPr="00C33BA8" w:rsidRDefault="00920C46" w:rsidP="00686B93">
      <w:pPr>
        <w:pStyle w:val="BodyText"/>
        <w:adjustRightInd w:val="0"/>
        <w:snapToGrid w:val="0"/>
        <w:spacing w:line="360" w:lineRule="auto"/>
        <w:ind w:left="0"/>
        <w:jc w:val="both"/>
        <w:rPr>
          <w:rFonts w:ascii="Book Antiqua" w:hAnsi="Book Antiqua"/>
          <w:color w:val="000000" w:themeColor="text1"/>
        </w:rPr>
      </w:pPr>
    </w:p>
    <w:p w14:paraId="0C855718" w14:textId="4E4F315C" w:rsidR="00920C46" w:rsidRPr="00C33BA8" w:rsidRDefault="006B3263" w:rsidP="00686B93">
      <w:pPr>
        <w:pStyle w:val="Heading1"/>
        <w:adjustRightInd w:val="0"/>
        <w:snapToGrid w:val="0"/>
        <w:spacing w:line="360" w:lineRule="auto"/>
        <w:ind w:left="0"/>
        <w:jc w:val="both"/>
        <w:rPr>
          <w:rFonts w:ascii="Book Antiqua" w:hAnsi="Book Antiqua"/>
          <w:color w:val="000000" w:themeColor="text1"/>
        </w:rPr>
      </w:pPr>
      <w:r w:rsidRPr="00C33BA8">
        <w:rPr>
          <w:rFonts w:ascii="Book Antiqua" w:hAnsi="Book Antiqua"/>
          <w:color w:val="000000" w:themeColor="text1"/>
          <w:w w:val="110"/>
        </w:rPr>
        <w:t>ACKNOWLEDGMENTS</w:t>
      </w:r>
    </w:p>
    <w:p w14:paraId="086B2F67" w14:textId="4B7070E8" w:rsidR="00920C46" w:rsidRPr="00C33BA8" w:rsidRDefault="00E815E9" w:rsidP="00686B93">
      <w:pPr>
        <w:pStyle w:val="BodyText"/>
        <w:adjustRightInd w:val="0"/>
        <w:snapToGrid w:val="0"/>
        <w:spacing w:line="360" w:lineRule="auto"/>
        <w:ind w:left="0"/>
        <w:jc w:val="both"/>
        <w:rPr>
          <w:rFonts w:ascii="Book Antiqua" w:hAnsi="Book Antiqua"/>
          <w:color w:val="000000" w:themeColor="text1"/>
          <w:lang w:eastAsia="zh-CN"/>
        </w:rPr>
      </w:pPr>
      <w:r w:rsidRPr="00C33BA8">
        <w:rPr>
          <w:rFonts w:ascii="Book Antiqua" w:hAnsi="Book Antiqua"/>
          <w:color w:val="000000" w:themeColor="text1"/>
        </w:rPr>
        <w:t>The authors wish to thank Joel Bautista for the preparation of this manuscript for publication.</w:t>
      </w:r>
    </w:p>
    <w:p w14:paraId="7F21B6D8" w14:textId="77777777" w:rsidR="006B3263" w:rsidRPr="00C33BA8" w:rsidRDefault="006B3263">
      <w:pPr>
        <w:rPr>
          <w:rFonts w:ascii="Book Antiqua" w:hAnsi="Book Antiqua"/>
          <w:b/>
          <w:color w:val="000000" w:themeColor="text1"/>
          <w:sz w:val="24"/>
          <w:szCs w:val="24"/>
        </w:rPr>
      </w:pPr>
      <w:r w:rsidRPr="00C33BA8">
        <w:rPr>
          <w:rFonts w:ascii="Book Antiqua" w:hAnsi="Book Antiqua"/>
          <w:b/>
          <w:color w:val="000000" w:themeColor="text1"/>
          <w:sz w:val="24"/>
          <w:szCs w:val="24"/>
        </w:rPr>
        <w:br w:type="page"/>
      </w:r>
    </w:p>
    <w:p w14:paraId="28F7E8DE" w14:textId="17A7101C" w:rsidR="006B3263" w:rsidRPr="00C33BA8" w:rsidRDefault="006B3263" w:rsidP="00D43E0D">
      <w:pPr>
        <w:pStyle w:val="BodyText"/>
        <w:adjustRightInd w:val="0"/>
        <w:snapToGrid w:val="0"/>
        <w:spacing w:line="360" w:lineRule="auto"/>
        <w:ind w:left="0"/>
        <w:jc w:val="both"/>
        <w:rPr>
          <w:rFonts w:ascii="Book Antiqua" w:hAnsi="Book Antiqua"/>
          <w:b/>
          <w:color w:val="000000" w:themeColor="text1"/>
        </w:rPr>
      </w:pPr>
      <w:r w:rsidRPr="00C33BA8">
        <w:rPr>
          <w:rFonts w:ascii="Book Antiqua" w:hAnsi="Book Antiqua"/>
          <w:b/>
          <w:color w:val="000000" w:themeColor="text1"/>
        </w:rPr>
        <w:lastRenderedPageBreak/>
        <w:t>REFERENCES</w:t>
      </w:r>
    </w:p>
    <w:p w14:paraId="4B25B89B" w14:textId="77777777" w:rsidR="00D43E0D" w:rsidRPr="00C33BA8" w:rsidRDefault="00D43E0D" w:rsidP="00D43E0D">
      <w:pPr>
        <w:pStyle w:val="ListParagraph"/>
        <w:tabs>
          <w:tab w:val="left" w:pos="480"/>
        </w:tabs>
        <w:adjustRightInd w:val="0"/>
        <w:snapToGrid w:val="0"/>
        <w:spacing w:line="360" w:lineRule="auto"/>
        <w:ind w:left="0" w:firstLine="0"/>
        <w:jc w:val="both"/>
        <w:rPr>
          <w:rFonts w:ascii="Book Antiqua" w:hAnsi="Book Antiqua"/>
          <w:color w:val="000000" w:themeColor="text1"/>
          <w:sz w:val="24"/>
          <w:szCs w:val="24"/>
        </w:rPr>
      </w:pPr>
      <w:r w:rsidRPr="00C33BA8">
        <w:rPr>
          <w:rFonts w:ascii="Book Antiqua" w:hAnsi="Book Antiqua"/>
          <w:color w:val="000000" w:themeColor="text1"/>
          <w:sz w:val="24"/>
          <w:szCs w:val="24"/>
        </w:rPr>
        <w:t>1 </w:t>
      </w:r>
      <w:r w:rsidRPr="00C33BA8">
        <w:rPr>
          <w:rFonts w:ascii="Book Antiqua" w:hAnsi="Book Antiqua"/>
          <w:b/>
          <w:bCs/>
          <w:color w:val="000000" w:themeColor="text1"/>
          <w:sz w:val="24"/>
          <w:szCs w:val="24"/>
        </w:rPr>
        <w:t>Bücker R</w:t>
      </w:r>
      <w:r w:rsidRPr="00C33BA8">
        <w:rPr>
          <w:rFonts w:ascii="Book Antiqua" w:hAnsi="Book Antiqua"/>
          <w:color w:val="000000" w:themeColor="text1"/>
          <w:sz w:val="24"/>
          <w:szCs w:val="24"/>
        </w:rPr>
        <w:t>, Krug SM, Moos V, Bojarski C, Schweiger MR, Kerick M, Fromm A, Janßen S, Fromm M, Hering NA, Siegmund B, Schneider T, Barmeyer C, Schulzke JD. Campylobacter jejuni impairs sodium transport and epithelial barrier function via cytokine release in human colon. </w:t>
      </w:r>
      <w:r w:rsidRPr="00C33BA8">
        <w:rPr>
          <w:rFonts w:ascii="Book Antiqua" w:hAnsi="Book Antiqua"/>
          <w:i/>
          <w:iCs/>
          <w:color w:val="000000" w:themeColor="text1"/>
          <w:sz w:val="24"/>
          <w:szCs w:val="24"/>
        </w:rPr>
        <w:t>Mucosal Immunol</w:t>
      </w:r>
      <w:r w:rsidRPr="00C33BA8">
        <w:rPr>
          <w:rFonts w:ascii="Book Antiqua" w:hAnsi="Book Antiqua"/>
          <w:color w:val="000000" w:themeColor="text1"/>
          <w:sz w:val="24"/>
          <w:szCs w:val="24"/>
        </w:rPr>
        <w:t> 2018; </w:t>
      </w:r>
      <w:r w:rsidRPr="00C33BA8">
        <w:rPr>
          <w:rFonts w:ascii="Book Antiqua" w:hAnsi="Book Antiqua"/>
          <w:b/>
          <w:bCs/>
          <w:color w:val="000000" w:themeColor="text1"/>
          <w:sz w:val="24"/>
          <w:szCs w:val="24"/>
        </w:rPr>
        <w:t>11</w:t>
      </w:r>
      <w:r w:rsidRPr="00C33BA8">
        <w:rPr>
          <w:rFonts w:ascii="Book Antiqua" w:hAnsi="Book Antiqua"/>
          <w:color w:val="000000" w:themeColor="text1"/>
          <w:sz w:val="24"/>
          <w:szCs w:val="24"/>
        </w:rPr>
        <w:t>: 474-485 [PMID: 28766554 DOI: 10.1038/mi.2017.78]</w:t>
      </w:r>
    </w:p>
    <w:p w14:paraId="0128027B" w14:textId="77777777" w:rsidR="00D43E0D" w:rsidRPr="00C33BA8" w:rsidRDefault="00D43E0D" w:rsidP="00D43E0D">
      <w:pPr>
        <w:pStyle w:val="ListParagraph"/>
        <w:tabs>
          <w:tab w:val="left" w:pos="480"/>
        </w:tabs>
        <w:adjustRightInd w:val="0"/>
        <w:snapToGrid w:val="0"/>
        <w:spacing w:line="360" w:lineRule="auto"/>
        <w:ind w:left="0" w:firstLine="0"/>
        <w:jc w:val="both"/>
        <w:rPr>
          <w:rFonts w:ascii="Book Antiqua" w:hAnsi="Book Antiqua"/>
          <w:color w:val="000000" w:themeColor="text1"/>
          <w:sz w:val="24"/>
          <w:szCs w:val="24"/>
        </w:rPr>
      </w:pPr>
      <w:r w:rsidRPr="00C33BA8">
        <w:rPr>
          <w:rFonts w:ascii="Book Antiqua" w:hAnsi="Book Antiqua"/>
          <w:color w:val="000000" w:themeColor="text1"/>
          <w:sz w:val="24"/>
          <w:szCs w:val="24"/>
        </w:rPr>
        <w:t>2 </w:t>
      </w:r>
      <w:r w:rsidRPr="00C33BA8">
        <w:rPr>
          <w:rFonts w:ascii="Book Antiqua" w:hAnsi="Book Antiqua"/>
          <w:b/>
          <w:bCs/>
          <w:color w:val="000000" w:themeColor="text1"/>
          <w:sz w:val="24"/>
          <w:szCs w:val="24"/>
        </w:rPr>
        <w:t>Jones MA</w:t>
      </w:r>
      <w:r w:rsidRPr="00C33BA8">
        <w:rPr>
          <w:rFonts w:ascii="Book Antiqua" w:hAnsi="Book Antiqua"/>
          <w:color w:val="000000" w:themeColor="text1"/>
          <w:sz w:val="24"/>
          <w:szCs w:val="24"/>
        </w:rPr>
        <w:t>, Marston KL, Woodall CA, Maskell DJ, Linton D, Karlyshev AV, Dorrell N, Wren BW, Barrow PA. Adaptation of Campylobacter jejuni NCTC11168 to high-level colonization of the avian gastrointestinal tract. </w:t>
      </w:r>
      <w:r w:rsidRPr="00C33BA8">
        <w:rPr>
          <w:rFonts w:ascii="Book Antiqua" w:hAnsi="Book Antiqua"/>
          <w:i/>
          <w:iCs/>
          <w:color w:val="000000" w:themeColor="text1"/>
          <w:sz w:val="24"/>
          <w:szCs w:val="24"/>
        </w:rPr>
        <w:t>Infect Immun</w:t>
      </w:r>
      <w:r w:rsidRPr="00C33BA8">
        <w:rPr>
          <w:rFonts w:ascii="Book Antiqua" w:hAnsi="Book Antiqua"/>
          <w:color w:val="000000" w:themeColor="text1"/>
          <w:sz w:val="24"/>
          <w:szCs w:val="24"/>
        </w:rPr>
        <w:t> 2004; </w:t>
      </w:r>
      <w:r w:rsidRPr="00C33BA8">
        <w:rPr>
          <w:rFonts w:ascii="Book Antiqua" w:hAnsi="Book Antiqua"/>
          <w:b/>
          <w:bCs/>
          <w:color w:val="000000" w:themeColor="text1"/>
          <w:sz w:val="24"/>
          <w:szCs w:val="24"/>
        </w:rPr>
        <w:t>72</w:t>
      </w:r>
      <w:r w:rsidRPr="00C33BA8">
        <w:rPr>
          <w:rFonts w:ascii="Book Antiqua" w:hAnsi="Book Antiqua"/>
          <w:color w:val="000000" w:themeColor="text1"/>
          <w:sz w:val="24"/>
          <w:szCs w:val="24"/>
        </w:rPr>
        <w:t>: 3769-3776 [PMID: 15213117 DOI: 10.1128/IAI.72.7.3769-3776.2004]</w:t>
      </w:r>
    </w:p>
    <w:p w14:paraId="76F3D8EF" w14:textId="77777777" w:rsidR="00D43E0D" w:rsidRPr="00C33BA8" w:rsidRDefault="00D43E0D" w:rsidP="00D43E0D">
      <w:pPr>
        <w:pStyle w:val="ListParagraph"/>
        <w:tabs>
          <w:tab w:val="left" w:pos="480"/>
        </w:tabs>
        <w:adjustRightInd w:val="0"/>
        <w:snapToGrid w:val="0"/>
        <w:spacing w:line="360" w:lineRule="auto"/>
        <w:ind w:left="0" w:firstLine="0"/>
        <w:jc w:val="both"/>
        <w:rPr>
          <w:rFonts w:ascii="Book Antiqua" w:hAnsi="Book Antiqua"/>
          <w:color w:val="000000" w:themeColor="text1"/>
          <w:sz w:val="24"/>
          <w:szCs w:val="24"/>
        </w:rPr>
      </w:pPr>
      <w:r w:rsidRPr="00C33BA8">
        <w:rPr>
          <w:rFonts w:ascii="Book Antiqua" w:hAnsi="Book Antiqua"/>
          <w:color w:val="000000" w:themeColor="text1"/>
          <w:sz w:val="24"/>
          <w:szCs w:val="24"/>
        </w:rPr>
        <w:t>3 </w:t>
      </w:r>
      <w:r w:rsidRPr="00C33BA8">
        <w:rPr>
          <w:rFonts w:ascii="Book Antiqua" w:hAnsi="Book Antiqua"/>
          <w:b/>
          <w:bCs/>
          <w:color w:val="000000" w:themeColor="text1"/>
          <w:sz w:val="24"/>
          <w:szCs w:val="24"/>
        </w:rPr>
        <w:t>Kaakoush NO</w:t>
      </w:r>
      <w:r w:rsidRPr="00C33BA8">
        <w:rPr>
          <w:rFonts w:ascii="Book Antiqua" w:hAnsi="Book Antiqua"/>
          <w:color w:val="000000" w:themeColor="text1"/>
          <w:sz w:val="24"/>
          <w:szCs w:val="24"/>
        </w:rPr>
        <w:t>, Castaño-Rodríguez N, Mitchell HM, Man SM. Global Epidemiology of Campylobacter Infection. </w:t>
      </w:r>
      <w:r w:rsidRPr="00C33BA8">
        <w:rPr>
          <w:rFonts w:ascii="Book Antiqua" w:hAnsi="Book Antiqua"/>
          <w:i/>
          <w:iCs/>
          <w:color w:val="000000" w:themeColor="text1"/>
          <w:sz w:val="24"/>
          <w:szCs w:val="24"/>
        </w:rPr>
        <w:t>Clin Microbiol Rev</w:t>
      </w:r>
      <w:r w:rsidRPr="00C33BA8">
        <w:rPr>
          <w:rFonts w:ascii="Book Antiqua" w:hAnsi="Book Antiqua"/>
          <w:color w:val="000000" w:themeColor="text1"/>
          <w:sz w:val="24"/>
          <w:szCs w:val="24"/>
        </w:rPr>
        <w:t> 2015; </w:t>
      </w:r>
      <w:r w:rsidRPr="00C33BA8">
        <w:rPr>
          <w:rFonts w:ascii="Book Antiqua" w:hAnsi="Book Antiqua"/>
          <w:b/>
          <w:bCs/>
          <w:color w:val="000000" w:themeColor="text1"/>
          <w:sz w:val="24"/>
          <w:szCs w:val="24"/>
        </w:rPr>
        <w:t>28</w:t>
      </w:r>
      <w:r w:rsidRPr="00C33BA8">
        <w:rPr>
          <w:rFonts w:ascii="Book Antiqua" w:hAnsi="Book Antiqua"/>
          <w:color w:val="000000" w:themeColor="text1"/>
          <w:sz w:val="24"/>
          <w:szCs w:val="24"/>
        </w:rPr>
        <w:t>: 687-720 [PMID: 26062576 DOI: 10.1128/CMR.00006-15]</w:t>
      </w:r>
    </w:p>
    <w:p w14:paraId="03D64822" w14:textId="77777777" w:rsidR="00D43E0D" w:rsidRPr="00C33BA8" w:rsidRDefault="00D43E0D" w:rsidP="00D43E0D">
      <w:pPr>
        <w:pStyle w:val="ListParagraph"/>
        <w:tabs>
          <w:tab w:val="left" w:pos="480"/>
        </w:tabs>
        <w:adjustRightInd w:val="0"/>
        <w:snapToGrid w:val="0"/>
        <w:spacing w:line="360" w:lineRule="auto"/>
        <w:ind w:left="0" w:firstLine="0"/>
        <w:jc w:val="both"/>
        <w:rPr>
          <w:rFonts w:ascii="Book Antiqua" w:hAnsi="Book Antiqua"/>
          <w:color w:val="000000" w:themeColor="text1"/>
          <w:sz w:val="24"/>
          <w:szCs w:val="24"/>
        </w:rPr>
      </w:pPr>
      <w:r w:rsidRPr="00C33BA8">
        <w:rPr>
          <w:rFonts w:ascii="Book Antiqua" w:hAnsi="Book Antiqua"/>
          <w:color w:val="000000" w:themeColor="text1"/>
          <w:sz w:val="24"/>
          <w:szCs w:val="24"/>
        </w:rPr>
        <w:t>4 </w:t>
      </w:r>
      <w:r w:rsidRPr="00C33BA8">
        <w:rPr>
          <w:rFonts w:ascii="Book Antiqua" w:hAnsi="Book Antiqua"/>
          <w:b/>
          <w:bCs/>
          <w:color w:val="000000" w:themeColor="text1"/>
          <w:sz w:val="24"/>
          <w:szCs w:val="24"/>
        </w:rPr>
        <w:t>Blaser MJ</w:t>
      </w:r>
      <w:r w:rsidRPr="00C33BA8">
        <w:rPr>
          <w:rFonts w:ascii="Book Antiqua" w:hAnsi="Book Antiqua"/>
          <w:color w:val="000000" w:themeColor="text1"/>
          <w:sz w:val="24"/>
          <w:szCs w:val="24"/>
        </w:rPr>
        <w:t>, Duncan DJ, Warren GH, Wang WL. Experimental Campylobacter jejuni infection of adult mice. </w:t>
      </w:r>
      <w:r w:rsidRPr="00C33BA8">
        <w:rPr>
          <w:rFonts w:ascii="Book Antiqua" w:hAnsi="Book Antiqua"/>
          <w:i/>
          <w:iCs/>
          <w:color w:val="000000" w:themeColor="text1"/>
          <w:sz w:val="24"/>
          <w:szCs w:val="24"/>
        </w:rPr>
        <w:t>Infect Immun</w:t>
      </w:r>
      <w:r w:rsidRPr="00C33BA8">
        <w:rPr>
          <w:rFonts w:ascii="Book Antiqua" w:hAnsi="Book Antiqua"/>
          <w:color w:val="000000" w:themeColor="text1"/>
          <w:sz w:val="24"/>
          <w:szCs w:val="24"/>
        </w:rPr>
        <w:t> 1983; </w:t>
      </w:r>
      <w:r w:rsidRPr="00C33BA8">
        <w:rPr>
          <w:rFonts w:ascii="Book Antiqua" w:hAnsi="Book Antiqua"/>
          <w:b/>
          <w:bCs/>
          <w:color w:val="000000" w:themeColor="text1"/>
          <w:sz w:val="24"/>
          <w:szCs w:val="24"/>
        </w:rPr>
        <w:t>39</w:t>
      </w:r>
      <w:r w:rsidRPr="00C33BA8">
        <w:rPr>
          <w:rFonts w:ascii="Book Antiqua" w:hAnsi="Book Antiqua"/>
          <w:color w:val="000000" w:themeColor="text1"/>
          <w:sz w:val="24"/>
          <w:szCs w:val="24"/>
        </w:rPr>
        <w:t>: 908-916 [PMID: 6832823]</w:t>
      </w:r>
    </w:p>
    <w:p w14:paraId="4E99F061" w14:textId="77777777" w:rsidR="00D43E0D" w:rsidRPr="00C33BA8" w:rsidRDefault="00D43E0D" w:rsidP="00D43E0D">
      <w:pPr>
        <w:pStyle w:val="ListParagraph"/>
        <w:tabs>
          <w:tab w:val="left" w:pos="480"/>
        </w:tabs>
        <w:adjustRightInd w:val="0"/>
        <w:snapToGrid w:val="0"/>
        <w:spacing w:line="360" w:lineRule="auto"/>
        <w:ind w:left="0" w:firstLine="0"/>
        <w:jc w:val="both"/>
        <w:rPr>
          <w:rFonts w:ascii="Book Antiqua" w:hAnsi="Book Antiqua"/>
          <w:color w:val="000000" w:themeColor="text1"/>
          <w:sz w:val="24"/>
          <w:szCs w:val="24"/>
        </w:rPr>
      </w:pPr>
      <w:r w:rsidRPr="00C33BA8">
        <w:rPr>
          <w:rFonts w:ascii="Book Antiqua" w:hAnsi="Book Antiqua"/>
          <w:color w:val="000000" w:themeColor="text1"/>
          <w:sz w:val="24"/>
          <w:szCs w:val="24"/>
        </w:rPr>
        <w:t>5 </w:t>
      </w:r>
      <w:r w:rsidRPr="00C33BA8">
        <w:rPr>
          <w:rFonts w:ascii="Book Antiqua" w:hAnsi="Book Antiqua"/>
          <w:b/>
          <w:bCs/>
          <w:color w:val="000000" w:themeColor="text1"/>
          <w:sz w:val="24"/>
          <w:szCs w:val="24"/>
        </w:rPr>
        <w:t>Louwen R</w:t>
      </w:r>
      <w:r w:rsidRPr="00C33BA8">
        <w:rPr>
          <w:rFonts w:ascii="Book Antiqua" w:hAnsi="Book Antiqua"/>
          <w:color w:val="000000" w:themeColor="text1"/>
          <w:sz w:val="24"/>
          <w:szCs w:val="24"/>
        </w:rPr>
        <w:t>, van Baarlen P, van Vliet AH, van Belkum A, Hays JP, Endtz HP. Campylobacter bacteremia: a rare and under-reported event? </w:t>
      </w:r>
      <w:r w:rsidRPr="00C33BA8">
        <w:rPr>
          <w:rFonts w:ascii="Book Antiqua" w:hAnsi="Book Antiqua"/>
          <w:i/>
          <w:iCs/>
          <w:color w:val="000000" w:themeColor="text1"/>
          <w:sz w:val="24"/>
          <w:szCs w:val="24"/>
        </w:rPr>
        <w:t xml:space="preserve">Eur J Microbiol Immunol </w:t>
      </w:r>
      <w:r w:rsidRPr="00C33BA8">
        <w:rPr>
          <w:rFonts w:ascii="Book Antiqua" w:hAnsi="Book Antiqua"/>
          <w:iCs/>
          <w:color w:val="000000" w:themeColor="text1"/>
          <w:sz w:val="24"/>
          <w:szCs w:val="24"/>
        </w:rPr>
        <w:t>(Bp)</w:t>
      </w:r>
      <w:r w:rsidRPr="00C33BA8">
        <w:rPr>
          <w:rFonts w:ascii="Book Antiqua" w:hAnsi="Book Antiqua"/>
          <w:color w:val="000000" w:themeColor="text1"/>
          <w:sz w:val="24"/>
          <w:szCs w:val="24"/>
        </w:rPr>
        <w:t> 2012; </w:t>
      </w:r>
      <w:r w:rsidRPr="00C33BA8">
        <w:rPr>
          <w:rFonts w:ascii="Book Antiqua" w:hAnsi="Book Antiqua"/>
          <w:b/>
          <w:bCs/>
          <w:color w:val="000000" w:themeColor="text1"/>
          <w:sz w:val="24"/>
          <w:szCs w:val="24"/>
        </w:rPr>
        <w:t>2</w:t>
      </w:r>
      <w:r w:rsidRPr="00C33BA8">
        <w:rPr>
          <w:rFonts w:ascii="Book Antiqua" w:hAnsi="Book Antiqua"/>
          <w:color w:val="000000" w:themeColor="text1"/>
          <w:sz w:val="24"/>
          <w:szCs w:val="24"/>
        </w:rPr>
        <w:t>: 76-87 [PMID: 24611124 DOI: 10.1556/EuJMI.2.2012.1.11]</w:t>
      </w:r>
    </w:p>
    <w:p w14:paraId="02A7A3A4" w14:textId="77777777" w:rsidR="00D43E0D" w:rsidRPr="00C33BA8" w:rsidRDefault="00D43E0D" w:rsidP="00D43E0D">
      <w:pPr>
        <w:pStyle w:val="ListParagraph"/>
        <w:tabs>
          <w:tab w:val="left" w:pos="480"/>
        </w:tabs>
        <w:adjustRightInd w:val="0"/>
        <w:snapToGrid w:val="0"/>
        <w:spacing w:line="360" w:lineRule="auto"/>
        <w:ind w:left="0" w:firstLine="0"/>
        <w:jc w:val="both"/>
        <w:rPr>
          <w:rFonts w:ascii="Book Antiqua" w:hAnsi="Book Antiqua"/>
          <w:color w:val="000000" w:themeColor="text1"/>
          <w:sz w:val="24"/>
          <w:szCs w:val="24"/>
        </w:rPr>
      </w:pPr>
      <w:r w:rsidRPr="00C33BA8">
        <w:rPr>
          <w:rFonts w:ascii="Book Antiqua" w:hAnsi="Book Antiqua"/>
          <w:color w:val="000000" w:themeColor="text1"/>
          <w:sz w:val="24"/>
          <w:szCs w:val="24"/>
        </w:rPr>
        <w:t>6 </w:t>
      </w:r>
      <w:r w:rsidRPr="00C33BA8">
        <w:rPr>
          <w:rFonts w:ascii="Book Antiqua" w:hAnsi="Book Antiqua"/>
          <w:b/>
          <w:bCs/>
          <w:color w:val="000000" w:themeColor="text1"/>
          <w:sz w:val="24"/>
          <w:szCs w:val="24"/>
        </w:rPr>
        <w:t>Fox JG</w:t>
      </w:r>
      <w:r w:rsidRPr="00C33BA8">
        <w:rPr>
          <w:rFonts w:ascii="Book Antiqua" w:hAnsi="Book Antiqua"/>
          <w:color w:val="000000" w:themeColor="text1"/>
          <w:sz w:val="24"/>
          <w:szCs w:val="24"/>
        </w:rPr>
        <w:t>, Rogers AB, Whary MT, Ge Z, Taylor NS, Xu S, Horwitz BH, Erdman SE. Gastroenteritis in NF-kappaB-deficient mice is produced with wild-type Camplyobacter jejuni but not with C. jejuni lacking cytolethal distending toxin despite persistent colonization with both strains. </w:t>
      </w:r>
      <w:r w:rsidRPr="00C33BA8">
        <w:rPr>
          <w:rFonts w:ascii="Book Antiqua" w:hAnsi="Book Antiqua"/>
          <w:i/>
          <w:iCs/>
          <w:color w:val="000000" w:themeColor="text1"/>
          <w:sz w:val="24"/>
          <w:szCs w:val="24"/>
        </w:rPr>
        <w:t>Infect Immun</w:t>
      </w:r>
      <w:r w:rsidRPr="00C33BA8">
        <w:rPr>
          <w:rFonts w:ascii="Book Antiqua" w:hAnsi="Book Antiqua"/>
          <w:color w:val="000000" w:themeColor="text1"/>
          <w:sz w:val="24"/>
          <w:szCs w:val="24"/>
        </w:rPr>
        <w:t> 2004; </w:t>
      </w:r>
      <w:r w:rsidRPr="00C33BA8">
        <w:rPr>
          <w:rFonts w:ascii="Book Antiqua" w:hAnsi="Book Antiqua"/>
          <w:b/>
          <w:bCs/>
          <w:color w:val="000000" w:themeColor="text1"/>
          <w:sz w:val="24"/>
          <w:szCs w:val="24"/>
        </w:rPr>
        <w:t>72</w:t>
      </w:r>
      <w:r w:rsidRPr="00C33BA8">
        <w:rPr>
          <w:rFonts w:ascii="Book Antiqua" w:hAnsi="Book Antiqua"/>
          <w:color w:val="000000" w:themeColor="text1"/>
          <w:sz w:val="24"/>
          <w:szCs w:val="24"/>
        </w:rPr>
        <w:t>: 1116-1125 [PMID: 14742559]</w:t>
      </w:r>
    </w:p>
    <w:p w14:paraId="743D7B5B" w14:textId="77777777" w:rsidR="00D43E0D" w:rsidRPr="00C33BA8" w:rsidRDefault="00D43E0D" w:rsidP="00D43E0D">
      <w:pPr>
        <w:pStyle w:val="ListParagraph"/>
        <w:tabs>
          <w:tab w:val="left" w:pos="480"/>
        </w:tabs>
        <w:adjustRightInd w:val="0"/>
        <w:snapToGrid w:val="0"/>
        <w:spacing w:line="360" w:lineRule="auto"/>
        <w:ind w:left="0" w:firstLine="0"/>
        <w:jc w:val="both"/>
        <w:rPr>
          <w:rFonts w:ascii="Book Antiqua" w:hAnsi="Book Antiqua"/>
          <w:color w:val="000000" w:themeColor="text1"/>
          <w:sz w:val="24"/>
          <w:szCs w:val="24"/>
        </w:rPr>
      </w:pPr>
      <w:r w:rsidRPr="00C33BA8">
        <w:rPr>
          <w:rFonts w:ascii="Book Antiqua" w:hAnsi="Book Antiqua"/>
          <w:color w:val="000000" w:themeColor="text1"/>
          <w:sz w:val="24"/>
          <w:szCs w:val="24"/>
        </w:rPr>
        <w:t>7 </w:t>
      </w:r>
      <w:r w:rsidRPr="00C33BA8">
        <w:rPr>
          <w:rFonts w:ascii="Book Antiqua" w:hAnsi="Book Antiqua"/>
          <w:b/>
          <w:bCs/>
          <w:color w:val="000000" w:themeColor="text1"/>
          <w:sz w:val="24"/>
          <w:szCs w:val="24"/>
        </w:rPr>
        <w:t>Hickey TE</w:t>
      </w:r>
      <w:r w:rsidRPr="00C33BA8">
        <w:rPr>
          <w:rFonts w:ascii="Book Antiqua" w:hAnsi="Book Antiqua"/>
          <w:color w:val="000000" w:themeColor="text1"/>
          <w:sz w:val="24"/>
          <w:szCs w:val="24"/>
        </w:rPr>
        <w:t>, Majam G, Guerry P. Intracellular survival of Campylobacter jejuni in human monocytic cells and induction of apoptotic death by cytholethal distending toxin. </w:t>
      </w:r>
      <w:r w:rsidRPr="00C33BA8">
        <w:rPr>
          <w:rFonts w:ascii="Book Antiqua" w:hAnsi="Book Antiqua"/>
          <w:i/>
          <w:iCs/>
          <w:color w:val="000000" w:themeColor="text1"/>
          <w:sz w:val="24"/>
          <w:szCs w:val="24"/>
        </w:rPr>
        <w:t>Infect Immun</w:t>
      </w:r>
      <w:r w:rsidRPr="00C33BA8">
        <w:rPr>
          <w:rFonts w:ascii="Book Antiqua" w:hAnsi="Book Antiqua"/>
          <w:color w:val="000000" w:themeColor="text1"/>
          <w:sz w:val="24"/>
          <w:szCs w:val="24"/>
        </w:rPr>
        <w:t> 2005; </w:t>
      </w:r>
      <w:r w:rsidRPr="00C33BA8">
        <w:rPr>
          <w:rFonts w:ascii="Book Antiqua" w:hAnsi="Book Antiqua"/>
          <w:b/>
          <w:bCs/>
          <w:color w:val="000000" w:themeColor="text1"/>
          <w:sz w:val="24"/>
          <w:szCs w:val="24"/>
        </w:rPr>
        <w:t>73</w:t>
      </w:r>
      <w:r w:rsidRPr="00C33BA8">
        <w:rPr>
          <w:rFonts w:ascii="Book Antiqua" w:hAnsi="Book Antiqua"/>
          <w:color w:val="000000" w:themeColor="text1"/>
          <w:sz w:val="24"/>
          <w:szCs w:val="24"/>
        </w:rPr>
        <w:t>: 5194-5197 [PMID: 16041038 DOI: 10.1128/IAI.73.8.5194-5197.2005]</w:t>
      </w:r>
    </w:p>
    <w:p w14:paraId="75B2356A" w14:textId="77777777" w:rsidR="00D43E0D" w:rsidRPr="00C33BA8" w:rsidRDefault="00D43E0D" w:rsidP="00D43E0D">
      <w:pPr>
        <w:pStyle w:val="ListParagraph"/>
        <w:tabs>
          <w:tab w:val="left" w:pos="480"/>
        </w:tabs>
        <w:adjustRightInd w:val="0"/>
        <w:snapToGrid w:val="0"/>
        <w:spacing w:line="360" w:lineRule="auto"/>
        <w:ind w:left="0" w:firstLine="0"/>
        <w:jc w:val="both"/>
        <w:rPr>
          <w:rFonts w:ascii="Book Antiqua" w:hAnsi="Book Antiqua"/>
          <w:color w:val="000000" w:themeColor="text1"/>
          <w:sz w:val="24"/>
          <w:szCs w:val="24"/>
        </w:rPr>
      </w:pPr>
      <w:r w:rsidRPr="00C33BA8">
        <w:rPr>
          <w:rFonts w:ascii="Book Antiqua" w:hAnsi="Book Antiqua"/>
          <w:color w:val="000000" w:themeColor="text1"/>
          <w:sz w:val="24"/>
          <w:szCs w:val="24"/>
        </w:rPr>
        <w:t>8 </w:t>
      </w:r>
      <w:r w:rsidRPr="00C33BA8">
        <w:rPr>
          <w:rFonts w:ascii="Book Antiqua" w:hAnsi="Book Antiqua"/>
          <w:b/>
          <w:bCs/>
          <w:color w:val="000000" w:themeColor="text1"/>
          <w:sz w:val="24"/>
          <w:szCs w:val="24"/>
        </w:rPr>
        <w:t>van Doorn PA</w:t>
      </w:r>
      <w:r w:rsidRPr="00C33BA8">
        <w:rPr>
          <w:rFonts w:ascii="Book Antiqua" w:hAnsi="Book Antiqua"/>
          <w:color w:val="000000" w:themeColor="text1"/>
          <w:sz w:val="24"/>
          <w:szCs w:val="24"/>
        </w:rPr>
        <w:t>, Ruts L, Jacobs BC. Clinical features, pathogenesis, and treatment of Guillain-Barré syndrome. </w:t>
      </w:r>
      <w:r w:rsidRPr="00C33BA8">
        <w:rPr>
          <w:rFonts w:ascii="Book Antiqua" w:hAnsi="Book Antiqua"/>
          <w:i/>
          <w:iCs/>
          <w:color w:val="000000" w:themeColor="text1"/>
          <w:sz w:val="24"/>
          <w:szCs w:val="24"/>
        </w:rPr>
        <w:t>Lancet Neurol</w:t>
      </w:r>
      <w:r w:rsidRPr="00C33BA8">
        <w:rPr>
          <w:rFonts w:ascii="Book Antiqua" w:hAnsi="Book Antiqua"/>
          <w:color w:val="000000" w:themeColor="text1"/>
          <w:sz w:val="24"/>
          <w:szCs w:val="24"/>
        </w:rPr>
        <w:t> 2008; </w:t>
      </w:r>
      <w:r w:rsidRPr="00C33BA8">
        <w:rPr>
          <w:rFonts w:ascii="Book Antiqua" w:hAnsi="Book Antiqua"/>
          <w:b/>
          <w:bCs/>
          <w:color w:val="000000" w:themeColor="text1"/>
          <w:sz w:val="24"/>
          <w:szCs w:val="24"/>
        </w:rPr>
        <w:t>7</w:t>
      </w:r>
      <w:r w:rsidRPr="00C33BA8">
        <w:rPr>
          <w:rFonts w:ascii="Book Antiqua" w:hAnsi="Book Antiqua"/>
          <w:color w:val="000000" w:themeColor="text1"/>
          <w:sz w:val="24"/>
          <w:szCs w:val="24"/>
        </w:rPr>
        <w:t>: 939-950 [PMID: 18848313 DOI: 10.1016/S1474-4422(08)70215-1]</w:t>
      </w:r>
    </w:p>
    <w:p w14:paraId="50B80EE1" w14:textId="77777777" w:rsidR="00D43E0D" w:rsidRPr="00C33BA8" w:rsidRDefault="00D43E0D" w:rsidP="00D43E0D">
      <w:pPr>
        <w:pStyle w:val="ListParagraph"/>
        <w:tabs>
          <w:tab w:val="left" w:pos="480"/>
        </w:tabs>
        <w:adjustRightInd w:val="0"/>
        <w:snapToGrid w:val="0"/>
        <w:spacing w:line="360" w:lineRule="auto"/>
        <w:ind w:left="0" w:firstLine="0"/>
        <w:jc w:val="both"/>
        <w:rPr>
          <w:rFonts w:ascii="Book Antiqua" w:hAnsi="Book Antiqua"/>
          <w:color w:val="000000" w:themeColor="text1"/>
          <w:sz w:val="24"/>
          <w:szCs w:val="24"/>
        </w:rPr>
      </w:pPr>
      <w:r w:rsidRPr="00C33BA8">
        <w:rPr>
          <w:rFonts w:ascii="Book Antiqua" w:hAnsi="Book Antiqua"/>
          <w:color w:val="000000" w:themeColor="text1"/>
          <w:sz w:val="24"/>
          <w:szCs w:val="24"/>
        </w:rPr>
        <w:t>9 </w:t>
      </w:r>
      <w:r w:rsidRPr="00C33BA8">
        <w:rPr>
          <w:rFonts w:ascii="Book Antiqua" w:hAnsi="Book Antiqua"/>
          <w:b/>
          <w:bCs/>
          <w:color w:val="000000" w:themeColor="text1"/>
          <w:sz w:val="24"/>
          <w:szCs w:val="24"/>
        </w:rPr>
        <w:t>Ang CW</w:t>
      </w:r>
      <w:r w:rsidRPr="00C33BA8">
        <w:rPr>
          <w:rFonts w:ascii="Book Antiqua" w:hAnsi="Book Antiqua"/>
          <w:color w:val="000000" w:themeColor="text1"/>
          <w:sz w:val="24"/>
          <w:szCs w:val="24"/>
        </w:rPr>
        <w:t>, Jacobs BC, Laman JD. The Guillain-Barré syndrome: a true case of molecular mimicry. </w:t>
      </w:r>
      <w:r w:rsidRPr="00C33BA8">
        <w:rPr>
          <w:rFonts w:ascii="Book Antiqua" w:hAnsi="Book Antiqua"/>
          <w:i/>
          <w:iCs/>
          <w:color w:val="000000" w:themeColor="text1"/>
          <w:sz w:val="24"/>
          <w:szCs w:val="24"/>
        </w:rPr>
        <w:t>Trends Immunol</w:t>
      </w:r>
      <w:r w:rsidRPr="00C33BA8">
        <w:rPr>
          <w:rFonts w:ascii="Book Antiqua" w:hAnsi="Book Antiqua"/>
          <w:color w:val="000000" w:themeColor="text1"/>
          <w:sz w:val="24"/>
          <w:szCs w:val="24"/>
        </w:rPr>
        <w:t> 2004; </w:t>
      </w:r>
      <w:r w:rsidRPr="00C33BA8">
        <w:rPr>
          <w:rFonts w:ascii="Book Antiqua" w:hAnsi="Book Antiqua"/>
          <w:b/>
          <w:bCs/>
          <w:color w:val="000000" w:themeColor="text1"/>
          <w:sz w:val="24"/>
          <w:szCs w:val="24"/>
        </w:rPr>
        <w:t>25</w:t>
      </w:r>
      <w:r w:rsidRPr="00C33BA8">
        <w:rPr>
          <w:rFonts w:ascii="Book Antiqua" w:hAnsi="Book Antiqua"/>
          <w:color w:val="000000" w:themeColor="text1"/>
          <w:sz w:val="24"/>
          <w:szCs w:val="24"/>
        </w:rPr>
        <w:t>: 61-66 [PMID: 15102364 DOI: 10.1016/j.it.2003.12.004]</w:t>
      </w:r>
    </w:p>
    <w:p w14:paraId="401FB2D1" w14:textId="77777777" w:rsidR="00D43E0D" w:rsidRPr="00C33BA8" w:rsidRDefault="00D43E0D" w:rsidP="00D43E0D">
      <w:pPr>
        <w:pStyle w:val="ListParagraph"/>
        <w:tabs>
          <w:tab w:val="left" w:pos="480"/>
        </w:tabs>
        <w:adjustRightInd w:val="0"/>
        <w:snapToGrid w:val="0"/>
        <w:spacing w:line="360" w:lineRule="auto"/>
        <w:ind w:left="0" w:firstLine="0"/>
        <w:jc w:val="both"/>
        <w:rPr>
          <w:rFonts w:ascii="Book Antiqua" w:hAnsi="Book Antiqua"/>
          <w:color w:val="000000" w:themeColor="text1"/>
          <w:sz w:val="24"/>
          <w:szCs w:val="24"/>
        </w:rPr>
      </w:pPr>
      <w:r w:rsidRPr="00C33BA8">
        <w:rPr>
          <w:rFonts w:ascii="Book Antiqua" w:hAnsi="Book Antiqua"/>
          <w:color w:val="000000" w:themeColor="text1"/>
          <w:sz w:val="24"/>
          <w:szCs w:val="24"/>
        </w:rPr>
        <w:lastRenderedPageBreak/>
        <w:t>10 </w:t>
      </w:r>
      <w:r w:rsidRPr="00C33BA8">
        <w:rPr>
          <w:rFonts w:ascii="Book Antiqua" w:hAnsi="Book Antiqua"/>
          <w:b/>
          <w:bCs/>
          <w:color w:val="000000" w:themeColor="text1"/>
          <w:sz w:val="24"/>
          <w:szCs w:val="24"/>
        </w:rPr>
        <w:t>Yuki N</w:t>
      </w:r>
      <w:r w:rsidRPr="00C33BA8">
        <w:rPr>
          <w:rFonts w:ascii="Book Antiqua" w:hAnsi="Book Antiqua"/>
          <w:color w:val="000000" w:themeColor="text1"/>
          <w:sz w:val="24"/>
          <w:szCs w:val="24"/>
        </w:rPr>
        <w:t>. Molecular mimicry between gangliosides and lipopolysaccharides of Campylobacter jejuni isolated from patients with Guillain-Barré syndrome and Miller Fisher syndrome. </w:t>
      </w:r>
      <w:r w:rsidRPr="00C33BA8">
        <w:rPr>
          <w:rFonts w:ascii="Book Antiqua" w:hAnsi="Book Antiqua"/>
          <w:i/>
          <w:iCs/>
          <w:color w:val="000000" w:themeColor="text1"/>
          <w:sz w:val="24"/>
          <w:szCs w:val="24"/>
        </w:rPr>
        <w:t>J Infect Dis</w:t>
      </w:r>
      <w:r w:rsidRPr="00C33BA8">
        <w:rPr>
          <w:rFonts w:ascii="Book Antiqua" w:hAnsi="Book Antiqua"/>
          <w:color w:val="000000" w:themeColor="text1"/>
          <w:sz w:val="24"/>
          <w:szCs w:val="24"/>
        </w:rPr>
        <w:t> 1997; </w:t>
      </w:r>
      <w:r w:rsidRPr="00C33BA8">
        <w:rPr>
          <w:rFonts w:ascii="Book Antiqua" w:hAnsi="Book Antiqua"/>
          <w:b/>
          <w:bCs/>
          <w:color w:val="000000" w:themeColor="text1"/>
          <w:sz w:val="24"/>
          <w:szCs w:val="24"/>
        </w:rPr>
        <w:t xml:space="preserve">176 </w:t>
      </w:r>
      <w:r w:rsidRPr="00C33BA8">
        <w:rPr>
          <w:rFonts w:ascii="Book Antiqua" w:hAnsi="Book Antiqua"/>
          <w:bCs/>
          <w:color w:val="000000" w:themeColor="text1"/>
          <w:sz w:val="24"/>
          <w:szCs w:val="24"/>
        </w:rPr>
        <w:t>Suppl 2</w:t>
      </w:r>
      <w:r w:rsidRPr="00C33BA8">
        <w:rPr>
          <w:rFonts w:ascii="Book Antiqua" w:hAnsi="Book Antiqua"/>
          <w:color w:val="000000" w:themeColor="text1"/>
          <w:sz w:val="24"/>
          <w:szCs w:val="24"/>
        </w:rPr>
        <w:t>: S150-S153 [PMID: 9396700]</w:t>
      </w:r>
    </w:p>
    <w:p w14:paraId="1B1BD70B" w14:textId="77777777" w:rsidR="00D43E0D" w:rsidRPr="00C33BA8" w:rsidRDefault="00D43E0D" w:rsidP="00D43E0D">
      <w:pPr>
        <w:pStyle w:val="ListParagraph"/>
        <w:tabs>
          <w:tab w:val="left" w:pos="480"/>
        </w:tabs>
        <w:adjustRightInd w:val="0"/>
        <w:snapToGrid w:val="0"/>
        <w:spacing w:line="360" w:lineRule="auto"/>
        <w:ind w:left="0" w:firstLine="0"/>
        <w:jc w:val="both"/>
        <w:rPr>
          <w:rFonts w:ascii="Book Antiqua" w:hAnsi="Book Antiqua"/>
          <w:color w:val="000000" w:themeColor="text1"/>
          <w:sz w:val="24"/>
          <w:szCs w:val="24"/>
        </w:rPr>
      </w:pPr>
      <w:r w:rsidRPr="00C33BA8">
        <w:rPr>
          <w:rFonts w:ascii="Book Antiqua" w:hAnsi="Book Antiqua"/>
          <w:color w:val="000000" w:themeColor="text1"/>
          <w:sz w:val="24"/>
          <w:szCs w:val="24"/>
        </w:rPr>
        <w:t>11 </w:t>
      </w:r>
      <w:r w:rsidRPr="00C33BA8">
        <w:rPr>
          <w:rFonts w:ascii="Book Antiqua" w:hAnsi="Book Antiqua"/>
          <w:b/>
          <w:bCs/>
          <w:color w:val="000000" w:themeColor="text1"/>
          <w:sz w:val="24"/>
          <w:szCs w:val="24"/>
        </w:rPr>
        <w:t>Godschalk PC</w:t>
      </w:r>
      <w:r w:rsidRPr="00C33BA8">
        <w:rPr>
          <w:rFonts w:ascii="Book Antiqua" w:hAnsi="Book Antiqua"/>
          <w:color w:val="000000" w:themeColor="text1"/>
          <w:sz w:val="24"/>
          <w:szCs w:val="24"/>
        </w:rPr>
        <w:t>, Kuijf ML, Li J, St Michael F, Ang CW, Jacobs BC, Karwaski MF, Brochu D, Moterassed A, Endtz HP, van Belkum A, Gilbert M. Structural characterization of Campylobacter jejuni lipooligosaccharide outer cores associated with Guillain-Barre and Miller Fisher syndromes. </w:t>
      </w:r>
      <w:r w:rsidRPr="00C33BA8">
        <w:rPr>
          <w:rFonts w:ascii="Book Antiqua" w:hAnsi="Book Antiqua"/>
          <w:i/>
          <w:iCs/>
          <w:color w:val="000000" w:themeColor="text1"/>
          <w:sz w:val="24"/>
          <w:szCs w:val="24"/>
        </w:rPr>
        <w:t>Infect Immun</w:t>
      </w:r>
      <w:r w:rsidRPr="00C33BA8">
        <w:rPr>
          <w:rFonts w:ascii="Book Antiqua" w:hAnsi="Book Antiqua"/>
          <w:color w:val="000000" w:themeColor="text1"/>
          <w:sz w:val="24"/>
          <w:szCs w:val="24"/>
        </w:rPr>
        <w:t> 2007; </w:t>
      </w:r>
      <w:r w:rsidRPr="00C33BA8">
        <w:rPr>
          <w:rFonts w:ascii="Book Antiqua" w:hAnsi="Book Antiqua"/>
          <w:b/>
          <w:bCs/>
          <w:color w:val="000000" w:themeColor="text1"/>
          <w:sz w:val="24"/>
          <w:szCs w:val="24"/>
        </w:rPr>
        <w:t>75</w:t>
      </w:r>
      <w:r w:rsidRPr="00C33BA8">
        <w:rPr>
          <w:rFonts w:ascii="Book Antiqua" w:hAnsi="Book Antiqua"/>
          <w:color w:val="000000" w:themeColor="text1"/>
          <w:sz w:val="24"/>
          <w:szCs w:val="24"/>
        </w:rPr>
        <w:t>: 1245-1254 [PMID: 17261613 DOI: 10.1128/IAI.00872-06]</w:t>
      </w:r>
    </w:p>
    <w:p w14:paraId="16156FAE" w14:textId="77777777" w:rsidR="00D43E0D" w:rsidRPr="00C33BA8" w:rsidRDefault="00D43E0D" w:rsidP="00D43E0D">
      <w:pPr>
        <w:pStyle w:val="ListParagraph"/>
        <w:tabs>
          <w:tab w:val="left" w:pos="480"/>
        </w:tabs>
        <w:adjustRightInd w:val="0"/>
        <w:snapToGrid w:val="0"/>
        <w:spacing w:line="360" w:lineRule="auto"/>
        <w:ind w:left="0" w:firstLine="0"/>
        <w:jc w:val="both"/>
        <w:rPr>
          <w:rFonts w:ascii="Book Antiqua" w:hAnsi="Book Antiqua"/>
          <w:color w:val="000000" w:themeColor="text1"/>
          <w:sz w:val="24"/>
          <w:szCs w:val="24"/>
        </w:rPr>
      </w:pPr>
      <w:r w:rsidRPr="00C33BA8">
        <w:rPr>
          <w:rFonts w:ascii="Book Antiqua" w:hAnsi="Book Antiqua"/>
          <w:color w:val="000000" w:themeColor="text1"/>
          <w:sz w:val="24"/>
          <w:szCs w:val="24"/>
        </w:rPr>
        <w:t>12 </w:t>
      </w:r>
      <w:r w:rsidRPr="00C33BA8">
        <w:rPr>
          <w:rFonts w:ascii="Book Antiqua" w:hAnsi="Book Antiqua"/>
          <w:b/>
          <w:bCs/>
          <w:color w:val="000000" w:themeColor="text1"/>
          <w:sz w:val="24"/>
          <w:szCs w:val="24"/>
        </w:rPr>
        <w:t>Ang CW</w:t>
      </w:r>
      <w:r w:rsidRPr="00C33BA8">
        <w:rPr>
          <w:rFonts w:ascii="Book Antiqua" w:hAnsi="Book Antiqua"/>
          <w:color w:val="000000" w:themeColor="text1"/>
          <w:sz w:val="24"/>
          <w:szCs w:val="24"/>
        </w:rPr>
        <w:t>, Laman JD, Willison HJ, Wagner ER, Endtz HP, De Klerk MA, Tio-Gillen AP, Van den Braak N, Jacobs BC, Van Doorn PA. Structure of Campylobacter jejuni lipopolysaccharides determines antiganglioside specificity and clinical features of Guillain-Barré and Miller Fisher patients. </w:t>
      </w:r>
      <w:r w:rsidRPr="00C33BA8">
        <w:rPr>
          <w:rFonts w:ascii="Book Antiqua" w:hAnsi="Book Antiqua"/>
          <w:i/>
          <w:iCs/>
          <w:color w:val="000000" w:themeColor="text1"/>
          <w:sz w:val="24"/>
          <w:szCs w:val="24"/>
        </w:rPr>
        <w:t>Infect Immun</w:t>
      </w:r>
      <w:r w:rsidRPr="00C33BA8">
        <w:rPr>
          <w:rFonts w:ascii="Book Antiqua" w:hAnsi="Book Antiqua"/>
          <w:color w:val="000000" w:themeColor="text1"/>
          <w:sz w:val="24"/>
          <w:szCs w:val="24"/>
        </w:rPr>
        <w:t> 2002; </w:t>
      </w:r>
      <w:r w:rsidRPr="00C33BA8">
        <w:rPr>
          <w:rFonts w:ascii="Book Antiqua" w:hAnsi="Book Antiqua"/>
          <w:b/>
          <w:bCs/>
          <w:color w:val="000000" w:themeColor="text1"/>
          <w:sz w:val="24"/>
          <w:szCs w:val="24"/>
        </w:rPr>
        <w:t>70</w:t>
      </w:r>
      <w:r w:rsidRPr="00C33BA8">
        <w:rPr>
          <w:rFonts w:ascii="Book Antiqua" w:hAnsi="Book Antiqua"/>
          <w:color w:val="000000" w:themeColor="text1"/>
          <w:sz w:val="24"/>
          <w:szCs w:val="24"/>
        </w:rPr>
        <w:t>: 1202-1208 [PMID: 11854201 DOI: 10.1128/IAI.70.3.1202-1208.2002]</w:t>
      </w:r>
    </w:p>
    <w:p w14:paraId="4F6A1FE8" w14:textId="77777777" w:rsidR="00D43E0D" w:rsidRPr="00C33BA8" w:rsidRDefault="00D43E0D" w:rsidP="00D43E0D">
      <w:pPr>
        <w:pStyle w:val="ListParagraph"/>
        <w:tabs>
          <w:tab w:val="left" w:pos="480"/>
        </w:tabs>
        <w:adjustRightInd w:val="0"/>
        <w:snapToGrid w:val="0"/>
        <w:spacing w:line="360" w:lineRule="auto"/>
        <w:ind w:left="0" w:firstLine="0"/>
        <w:jc w:val="both"/>
        <w:rPr>
          <w:rFonts w:ascii="Book Antiqua" w:hAnsi="Book Antiqua"/>
          <w:color w:val="000000" w:themeColor="text1"/>
          <w:sz w:val="24"/>
          <w:szCs w:val="24"/>
        </w:rPr>
      </w:pPr>
      <w:r w:rsidRPr="00C33BA8">
        <w:rPr>
          <w:rFonts w:ascii="Book Antiqua" w:hAnsi="Book Antiqua"/>
          <w:color w:val="000000" w:themeColor="text1"/>
          <w:sz w:val="24"/>
          <w:szCs w:val="24"/>
        </w:rPr>
        <w:t>13 </w:t>
      </w:r>
      <w:r w:rsidRPr="00C33BA8">
        <w:rPr>
          <w:rFonts w:ascii="Book Antiqua" w:hAnsi="Book Antiqua"/>
          <w:b/>
          <w:bCs/>
          <w:color w:val="000000" w:themeColor="text1"/>
          <w:sz w:val="24"/>
          <w:szCs w:val="24"/>
        </w:rPr>
        <w:t>Islam Z</w:t>
      </w:r>
      <w:r w:rsidRPr="00C33BA8">
        <w:rPr>
          <w:rFonts w:ascii="Book Antiqua" w:hAnsi="Book Antiqua"/>
          <w:color w:val="000000" w:themeColor="text1"/>
          <w:sz w:val="24"/>
          <w:szCs w:val="24"/>
        </w:rPr>
        <w:t>, Gilbert M, Mohammad QD, Klaij K, Li J, van Rijs W, Tio-Gillen AP, Talukder KA, Willison HJ, van Belkum A, Endtz HP, Jacobs BC. Guillain-Barré syndrome-related Campylobacter jejuni in Bangladesh: ganglioside mimicry and cross-reactive antibodies. </w:t>
      </w:r>
      <w:r w:rsidRPr="00C33BA8">
        <w:rPr>
          <w:rFonts w:ascii="Book Antiqua" w:hAnsi="Book Antiqua"/>
          <w:i/>
          <w:iCs/>
          <w:color w:val="000000" w:themeColor="text1"/>
          <w:sz w:val="24"/>
          <w:szCs w:val="24"/>
        </w:rPr>
        <w:t>PLoS One</w:t>
      </w:r>
      <w:r w:rsidRPr="00C33BA8">
        <w:rPr>
          <w:rFonts w:ascii="Book Antiqua" w:hAnsi="Book Antiqua"/>
          <w:color w:val="000000" w:themeColor="text1"/>
          <w:sz w:val="24"/>
          <w:szCs w:val="24"/>
        </w:rPr>
        <w:t> 2012; </w:t>
      </w:r>
      <w:r w:rsidRPr="00C33BA8">
        <w:rPr>
          <w:rFonts w:ascii="Book Antiqua" w:hAnsi="Book Antiqua"/>
          <w:b/>
          <w:bCs/>
          <w:color w:val="000000" w:themeColor="text1"/>
          <w:sz w:val="24"/>
          <w:szCs w:val="24"/>
        </w:rPr>
        <w:t>7</w:t>
      </w:r>
      <w:r w:rsidRPr="00C33BA8">
        <w:rPr>
          <w:rFonts w:ascii="Book Antiqua" w:hAnsi="Book Antiqua"/>
          <w:color w:val="000000" w:themeColor="text1"/>
          <w:sz w:val="24"/>
          <w:szCs w:val="24"/>
        </w:rPr>
        <w:t>: e43976 [PMID: 22952833 DOI: 10.1371/journal.pone.0043976]</w:t>
      </w:r>
    </w:p>
    <w:p w14:paraId="3556DBE0" w14:textId="77777777" w:rsidR="00D43E0D" w:rsidRPr="00C33BA8" w:rsidRDefault="00D43E0D" w:rsidP="00D43E0D">
      <w:pPr>
        <w:pStyle w:val="ListParagraph"/>
        <w:tabs>
          <w:tab w:val="left" w:pos="480"/>
        </w:tabs>
        <w:adjustRightInd w:val="0"/>
        <w:snapToGrid w:val="0"/>
        <w:spacing w:line="360" w:lineRule="auto"/>
        <w:ind w:left="0" w:firstLine="0"/>
        <w:jc w:val="both"/>
        <w:rPr>
          <w:rFonts w:ascii="Book Antiqua" w:hAnsi="Book Antiqua"/>
          <w:color w:val="000000" w:themeColor="text1"/>
          <w:sz w:val="24"/>
          <w:szCs w:val="24"/>
        </w:rPr>
      </w:pPr>
      <w:r w:rsidRPr="00C33BA8">
        <w:rPr>
          <w:rFonts w:ascii="Book Antiqua" w:hAnsi="Book Antiqua"/>
          <w:color w:val="000000" w:themeColor="text1"/>
          <w:sz w:val="24"/>
          <w:szCs w:val="24"/>
        </w:rPr>
        <w:t>14 </w:t>
      </w:r>
      <w:r w:rsidRPr="00C33BA8">
        <w:rPr>
          <w:rFonts w:ascii="Book Antiqua" w:hAnsi="Book Antiqua"/>
          <w:b/>
          <w:bCs/>
          <w:color w:val="000000" w:themeColor="text1"/>
          <w:sz w:val="24"/>
          <w:szCs w:val="24"/>
        </w:rPr>
        <w:t>Chen ML</w:t>
      </w:r>
      <w:r w:rsidRPr="00C33BA8">
        <w:rPr>
          <w:rFonts w:ascii="Book Antiqua" w:hAnsi="Book Antiqua"/>
          <w:color w:val="000000" w:themeColor="text1"/>
          <w:sz w:val="24"/>
          <w:szCs w:val="24"/>
        </w:rPr>
        <w:t>, Ge Z, Fox JG, Schauer DB. Disruption of tight junctions and induction of proinflammatory cytokine responses in colonic epithelial cells by Campylobacter jejuni. </w:t>
      </w:r>
      <w:r w:rsidRPr="00C33BA8">
        <w:rPr>
          <w:rFonts w:ascii="Book Antiqua" w:hAnsi="Book Antiqua"/>
          <w:i/>
          <w:iCs/>
          <w:color w:val="000000" w:themeColor="text1"/>
          <w:sz w:val="24"/>
          <w:szCs w:val="24"/>
        </w:rPr>
        <w:t>Infect Immun</w:t>
      </w:r>
      <w:r w:rsidRPr="00C33BA8">
        <w:rPr>
          <w:rFonts w:ascii="Book Antiqua" w:hAnsi="Book Antiqua"/>
          <w:color w:val="000000" w:themeColor="text1"/>
          <w:sz w:val="24"/>
          <w:szCs w:val="24"/>
        </w:rPr>
        <w:t> 2006; </w:t>
      </w:r>
      <w:r w:rsidRPr="00C33BA8">
        <w:rPr>
          <w:rFonts w:ascii="Book Antiqua" w:hAnsi="Book Antiqua"/>
          <w:b/>
          <w:bCs/>
          <w:color w:val="000000" w:themeColor="text1"/>
          <w:sz w:val="24"/>
          <w:szCs w:val="24"/>
        </w:rPr>
        <w:t>74</w:t>
      </w:r>
      <w:r w:rsidRPr="00C33BA8">
        <w:rPr>
          <w:rFonts w:ascii="Book Antiqua" w:hAnsi="Book Antiqua"/>
          <w:color w:val="000000" w:themeColor="text1"/>
          <w:sz w:val="24"/>
          <w:szCs w:val="24"/>
        </w:rPr>
        <w:t>: 6581-6589 [PMID: 17015453 DOI: 10.1128/IAI.00958-06]</w:t>
      </w:r>
    </w:p>
    <w:p w14:paraId="603DFCFC" w14:textId="77777777" w:rsidR="00D43E0D" w:rsidRPr="00C33BA8" w:rsidRDefault="00D43E0D" w:rsidP="00D43E0D">
      <w:pPr>
        <w:pStyle w:val="ListParagraph"/>
        <w:tabs>
          <w:tab w:val="left" w:pos="480"/>
        </w:tabs>
        <w:adjustRightInd w:val="0"/>
        <w:snapToGrid w:val="0"/>
        <w:spacing w:line="360" w:lineRule="auto"/>
        <w:ind w:left="0" w:firstLine="0"/>
        <w:jc w:val="both"/>
        <w:rPr>
          <w:rFonts w:ascii="Book Antiqua" w:hAnsi="Book Antiqua"/>
          <w:color w:val="000000" w:themeColor="text1"/>
          <w:sz w:val="24"/>
          <w:szCs w:val="24"/>
        </w:rPr>
      </w:pPr>
      <w:r w:rsidRPr="00C33BA8">
        <w:rPr>
          <w:rFonts w:ascii="Book Antiqua" w:hAnsi="Book Antiqua"/>
          <w:color w:val="000000" w:themeColor="text1"/>
          <w:sz w:val="24"/>
          <w:szCs w:val="24"/>
        </w:rPr>
        <w:t>15 </w:t>
      </w:r>
      <w:r w:rsidRPr="00C33BA8">
        <w:rPr>
          <w:rFonts w:ascii="Book Antiqua" w:hAnsi="Book Antiqua"/>
          <w:b/>
          <w:bCs/>
          <w:color w:val="000000" w:themeColor="text1"/>
          <w:sz w:val="24"/>
          <w:szCs w:val="24"/>
        </w:rPr>
        <w:t>Zeissig S</w:t>
      </w:r>
      <w:r w:rsidRPr="00C33BA8">
        <w:rPr>
          <w:rFonts w:ascii="Book Antiqua" w:hAnsi="Book Antiqua"/>
          <w:color w:val="000000" w:themeColor="text1"/>
          <w:sz w:val="24"/>
          <w:szCs w:val="24"/>
        </w:rPr>
        <w:t>, Bürgel N, Günzel D, Richter J, Mankertz J, Wahnschaffe U, Kroesen AJ, Zeitz M, Fromm M, Schulzke JD. Changes in expression and distribution of claudin 2, 5 and 8 lead to discontinuous tight junctions and barrier dysfunction in active Crohn's disease. </w:t>
      </w:r>
      <w:r w:rsidRPr="00C33BA8">
        <w:rPr>
          <w:rFonts w:ascii="Book Antiqua" w:hAnsi="Book Antiqua"/>
          <w:i/>
          <w:iCs/>
          <w:color w:val="000000" w:themeColor="text1"/>
          <w:sz w:val="24"/>
          <w:szCs w:val="24"/>
        </w:rPr>
        <w:t>Gut</w:t>
      </w:r>
      <w:r w:rsidRPr="00C33BA8">
        <w:rPr>
          <w:rFonts w:ascii="Book Antiqua" w:hAnsi="Book Antiqua"/>
          <w:color w:val="000000" w:themeColor="text1"/>
          <w:sz w:val="24"/>
          <w:szCs w:val="24"/>
        </w:rPr>
        <w:t> 2007; </w:t>
      </w:r>
      <w:r w:rsidRPr="00C33BA8">
        <w:rPr>
          <w:rFonts w:ascii="Book Antiqua" w:hAnsi="Book Antiqua"/>
          <w:b/>
          <w:bCs/>
          <w:color w:val="000000" w:themeColor="text1"/>
          <w:sz w:val="24"/>
          <w:szCs w:val="24"/>
        </w:rPr>
        <w:t>56</w:t>
      </w:r>
      <w:r w:rsidRPr="00C33BA8">
        <w:rPr>
          <w:rFonts w:ascii="Book Antiqua" w:hAnsi="Book Antiqua"/>
          <w:color w:val="000000" w:themeColor="text1"/>
          <w:sz w:val="24"/>
          <w:szCs w:val="24"/>
        </w:rPr>
        <w:t>: 61-72 [PMID: 16822808 DOI: 10.1136/gut.2006.094375]</w:t>
      </w:r>
    </w:p>
    <w:p w14:paraId="451F3CDE" w14:textId="77777777" w:rsidR="00D43E0D" w:rsidRPr="00C33BA8" w:rsidRDefault="00D43E0D" w:rsidP="00D43E0D">
      <w:pPr>
        <w:pStyle w:val="ListParagraph"/>
        <w:tabs>
          <w:tab w:val="left" w:pos="480"/>
        </w:tabs>
        <w:adjustRightInd w:val="0"/>
        <w:snapToGrid w:val="0"/>
        <w:spacing w:line="360" w:lineRule="auto"/>
        <w:ind w:left="0" w:firstLine="0"/>
        <w:jc w:val="both"/>
        <w:rPr>
          <w:rFonts w:ascii="Book Antiqua" w:hAnsi="Book Antiqua"/>
          <w:color w:val="000000" w:themeColor="text1"/>
          <w:sz w:val="24"/>
          <w:szCs w:val="24"/>
        </w:rPr>
      </w:pPr>
      <w:r w:rsidRPr="00C33BA8">
        <w:rPr>
          <w:rFonts w:ascii="Book Antiqua" w:hAnsi="Book Antiqua"/>
          <w:color w:val="000000" w:themeColor="text1"/>
          <w:sz w:val="24"/>
          <w:szCs w:val="24"/>
        </w:rPr>
        <w:t>16 </w:t>
      </w:r>
      <w:r w:rsidRPr="00C33BA8">
        <w:rPr>
          <w:rFonts w:ascii="Book Antiqua" w:hAnsi="Book Antiqua"/>
          <w:b/>
          <w:bCs/>
          <w:color w:val="000000" w:themeColor="text1"/>
          <w:sz w:val="24"/>
          <w:szCs w:val="24"/>
        </w:rPr>
        <w:t>Backert S</w:t>
      </w:r>
      <w:r w:rsidRPr="00C33BA8">
        <w:rPr>
          <w:rFonts w:ascii="Book Antiqua" w:hAnsi="Book Antiqua"/>
          <w:color w:val="000000" w:themeColor="text1"/>
          <w:sz w:val="24"/>
          <w:szCs w:val="24"/>
        </w:rPr>
        <w:t>, Boehm M, Wessler S, Tegtmeyer N. Transmigration route of Campylobacter jejuni across polarized intestinal epithelial cells: paracellular, transcellular or both? </w:t>
      </w:r>
      <w:r w:rsidRPr="00C33BA8">
        <w:rPr>
          <w:rFonts w:ascii="Book Antiqua" w:hAnsi="Book Antiqua"/>
          <w:i/>
          <w:iCs/>
          <w:color w:val="000000" w:themeColor="text1"/>
          <w:sz w:val="24"/>
          <w:szCs w:val="24"/>
        </w:rPr>
        <w:t>Cell Commun Signal</w:t>
      </w:r>
      <w:r w:rsidRPr="00C33BA8">
        <w:rPr>
          <w:rFonts w:ascii="Book Antiqua" w:hAnsi="Book Antiqua"/>
          <w:color w:val="000000" w:themeColor="text1"/>
          <w:sz w:val="24"/>
          <w:szCs w:val="24"/>
        </w:rPr>
        <w:t> 2013; </w:t>
      </w:r>
      <w:r w:rsidRPr="00C33BA8">
        <w:rPr>
          <w:rFonts w:ascii="Book Antiqua" w:hAnsi="Book Antiqua"/>
          <w:b/>
          <w:bCs/>
          <w:color w:val="000000" w:themeColor="text1"/>
          <w:sz w:val="24"/>
          <w:szCs w:val="24"/>
        </w:rPr>
        <w:t>11</w:t>
      </w:r>
      <w:r w:rsidRPr="00C33BA8">
        <w:rPr>
          <w:rFonts w:ascii="Book Antiqua" w:hAnsi="Book Antiqua"/>
          <w:color w:val="000000" w:themeColor="text1"/>
          <w:sz w:val="24"/>
          <w:szCs w:val="24"/>
        </w:rPr>
        <w:t>: 72 [PMID: 24079544 DOI: 10.1186/1478-811X-11-72]</w:t>
      </w:r>
    </w:p>
    <w:p w14:paraId="5A6EEB03" w14:textId="77777777" w:rsidR="00D43E0D" w:rsidRPr="00C33BA8" w:rsidRDefault="00D43E0D" w:rsidP="00D43E0D">
      <w:pPr>
        <w:pStyle w:val="ListParagraph"/>
        <w:tabs>
          <w:tab w:val="left" w:pos="480"/>
        </w:tabs>
        <w:adjustRightInd w:val="0"/>
        <w:snapToGrid w:val="0"/>
        <w:spacing w:line="360" w:lineRule="auto"/>
        <w:ind w:left="0" w:firstLine="0"/>
        <w:jc w:val="both"/>
        <w:rPr>
          <w:rFonts w:ascii="Book Antiqua" w:hAnsi="Book Antiqua"/>
          <w:color w:val="000000" w:themeColor="text1"/>
          <w:sz w:val="24"/>
          <w:szCs w:val="24"/>
        </w:rPr>
      </w:pPr>
      <w:r w:rsidRPr="00C33BA8">
        <w:rPr>
          <w:rFonts w:ascii="Book Antiqua" w:hAnsi="Book Antiqua"/>
          <w:color w:val="000000" w:themeColor="text1"/>
          <w:sz w:val="24"/>
          <w:szCs w:val="24"/>
        </w:rPr>
        <w:t>17 </w:t>
      </w:r>
      <w:r w:rsidRPr="00C33BA8">
        <w:rPr>
          <w:rFonts w:ascii="Book Antiqua" w:hAnsi="Book Antiqua"/>
          <w:b/>
          <w:bCs/>
          <w:color w:val="000000" w:themeColor="text1"/>
          <w:sz w:val="24"/>
          <w:szCs w:val="24"/>
        </w:rPr>
        <w:t>Okhuysen PC</w:t>
      </w:r>
      <w:r w:rsidRPr="00C33BA8">
        <w:rPr>
          <w:rFonts w:ascii="Book Antiqua" w:hAnsi="Book Antiqua"/>
          <w:color w:val="000000" w:themeColor="text1"/>
          <w:sz w:val="24"/>
          <w:szCs w:val="24"/>
        </w:rPr>
        <w:t>, Jiang ZD, Carlin L, Forbes C, DuPont HL. Post-diarrhea chronic intestinal symptoms and irritable bowel syndrome in North American travelers to Mexico. </w:t>
      </w:r>
      <w:r w:rsidRPr="00C33BA8">
        <w:rPr>
          <w:rFonts w:ascii="Book Antiqua" w:hAnsi="Book Antiqua"/>
          <w:i/>
          <w:iCs/>
          <w:color w:val="000000" w:themeColor="text1"/>
          <w:sz w:val="24"/>
          <w:szCs w:val="24"/>
        </w:rPr>
        <w:t>Am J Gastroenterol</w:t>
      </w:r>
      <w:r w:rsidRPr="00C33BA8">
        <w:rPr>
          <w:rFonts w:ascii="Book Antiqua" w:hAnsi="Book Antiqua"/>
          <w:color w:val="000000" w:themeColor="text1"/>
          <w:sz w:val="24"/>
          <w:szCs w:val="24"/>
        </w:rPr>
        <w:t> 2004; </w:t>
      </w:r>
      <w:r w:rsidRPr="00C33BA8">
        <w:rPr>
          <w:rFonts w:ascii="Book Antiqua" w:hAnsi="Book Antiqua"/>
          <w:b/>
          <w:bCs/>
          <w:color w:val="000000" w:themeColor="text1"/>
          <w:sz w:val="24"/>
          <w:szCs w:val="24"/>
        </w:rPr>
        <w:t>99</w:t>
      </w:r>
      <w:r w:rsidRPr="00C33BA8">
        <w:rPr>
          <w:rFonts w:ascii="Book Antiqua" w:hAnsi="Book Antiqua"/>
          <w:color w:val="000000" w:themeColor="text1"/>
          <w:sz w:val="24"/>
          <w:szCs w:val="24"/>
        </w:rPr>
        <w:t>: 1774-1778 [PMID: 15330917 DOI: 10.1111/j.1572-</w:t>
      </w:r>
      <w:r w:rsidRPr="00C33BA8">
        <w:rPr>
          <w:rFonts w:ascii="Book Antiqua" w:hAnsi="Book Antiqua"/>
          <w:color w:val="000000" w:themeColor="text1"/>
          <w:sz w:val="24"/>
          <w:szCs w:val="24"/>
        </w:rPr>
        <w:lastRenderedPageBreak/>
        <w:t>0241.2004.30435.x]</w:t>
      </w:r>
    </w:p>
    <w:p w14:paraId="6C3AAE2D" w14:textId="77777777" w:rsidR="00D43E0D" w:rsidRPr="00C33BA8" w:rsidRDefault="00D43E0D" w:rsidP="00D43E0D">
      <w:pPr>
        <w:pStyle w:val="ListParagraph"/>
        <w:tabs>
          <w:tab w:val="left" w:pos="480"/>
        </w:tabs>
        <w:adjustRightInd w:val="0"/>
        <w:snapToGrid w:val="0"/>
        <w:spacing w:line="360" w:lineRule="auto"/>
        <w:ind w:left="0" w:firstLine="0"/>
        <w:jc w:val="both"/>
        <w:rPr>
          <w:rFonts w:ascii="Book Antiqua" w:hAnsi="Book Antiqua"/>
          <w:color w:val="000000" w:themeColor="text1"/>
          <w:sz w:val="24"/>
          <w:szCs w:val="24"/>
        </w:rPr>
      </w:pPr>
      <w:r w:rsidRPr="00C33BA8">
        <w:rPr>
          <w:rFonts w:ascii="Book Antiqua" w:hAnsi="Book Antiqua"/>
          <w:color w:val="000000" w:themeColor="text1"/>
          <w:sz w:val="24"/>
          <w:szCs w:val="24"/>
        </w:rPr>
        <w:t>18 </w:t>
      </w:r>
      <w:r w:rsidRPr="00C33BA8">
        <w:rPr>
          <w:rFonts w:ascii="Book Antiqua" w:hAnsi="Book Antiqua"/>
          <w:b/>
          <w:bCs/>
          <w:color w:val="000000" w:themeColor="text1"/>
          <w:sz w:val="24"/>
          <w:szCs w:val="24"/>
        </w:rPr>
        <w:t>Smith JL</w:t>
      </w:r>
      <w:r w:rsidRPr="00C33BA8">
        <w:rPr>
          <w:rFonts w:ascii="Book Antiqua" w:hAnsi="Book Antiqua"/>
          <w:color w:val="000000" w:themeColor="text1"/>
          <w:sz w:val="24"/>
          <w:szCs w:val="24"/>
        </w:rPr>
        <w:t>, Bayles DO. The contribution of cytolethal distending toxin to bacterial pathogenesis. </w:t>
      </w:r>
      <w:r w:rsidRPr="00C33BA8">
        <w:rPr>
          <w:rFonts w:ascii="Book Antiqua" w:hAnsi="Book Antiqua"/>
          <w:i/>
          <w:iCs/>
          <w:color w:val="000000" w:themeColor="text1"/>
          <w:sz w:val="24"/>
          <w:szCs w:val="24"/>
        </w:rPr>
        <w:t>Crit Rev Microbiol</w:t>
      </w:r>
      <w:r w:rsidRPr="00C33BA8">
        <w:rPr>
          <w:rFonts w:ascii="Book Antiqua" w:hAnsi="Book Antiqua"/>
          <w:color w:val="000000" w:themeColor="text1"/>
          <w:sz w:val="24"/>
          <w:szCs w:val="24"/>
        </w:rPr>
        <w:t> 2006; </w:t>
      </w:r>
      <w:r w:rsidRPr="00C33BA8">
        <w:rPr>
          <w:rFonts w:ascii="Book Antiqua" w:hAnsi="Book Antiqua"/>
          <w:b/>
          <w:bCs/>
          <w:color w:val="000000" w:themeColor="text1"/>
          <w:sz w:val="24"/>
          <w:szCs w:val="24"/>
        </w:rPr>
        <w:t>32</w:t>
      </w:r>
      <w:r w:rsidRPr="00C33BA8">
        <w:rPr>
          <w:rFonts w:ascii="Book Antiqua" w:hAnsi="Book Antiqua"/>
          <w:color w:val="000000" w:themeColor="text1"/>
          <w:sz w:val="24"/>
          <w:szCs w:val="24"/>
        </w:rPr>
        <w:t>: 227-248 [PMID: 17123907 DOI: 10.1080/10408410601023557]</w:t>
      </w:r>
    </w:p>
    <w:p w14:paraId="2238D741" w14:textId="77777777" w:rsidR="00D43E0D" w:rsidRPr="00C33BA8" w:rsidRDefault="00D43E0D" w:rsidP="00D43E0D">
      <w:pPr>
        <w:pStyle w:val="ListParagraph"/>
        <w:tabs>
          <w:tab w:val="left" w:pos="480"/>
        </w:tabs>
        <w:adjustRightInd w:val="0"/>
        <w:snapToGrid w:val="0"/>
        <w:spacing w:line="360" w:lineRule="auto"/>
        <w:ind w:left="0" w:firstLine="0"/>
        <w:jc w:val="both"/>
        <w:rPr>
          <w:rFonts w:ascii="Book Antiqua" w:hAnsi="Book Antiqua"/>
          <w:color w:val="000000" w:themeColor="text1"/>
          <w:sz w:val="24"/>
          <w:szCs w:val="24"/>
        </w:rPr>
      </w:pPr>
      <w:r w:rsidRPr="00C33BA8">
        <w:rPr>
          <w:rFonts w:ascii="Book Antiqua" w:hAnsi="Book Antiqua"/>
          <w:color w:val="000000" w:themeColor="text1"/>
          <w:sz w:val="24"/>
          <w:szCs w:val="24"/>
        </w:rPr>
        <w:t>19 </w:t>
      </w:r>
      <w:r w:rsidRPr="00C33BA8">
        <w:rPr>
          <w:rFonts w:ascii="Book Antiqua" w:hAnsi="Book Antiqua"/>
          <w:b/>
          <w:bCs/>
          <w:color w:val="000000" w:themeColor="text1"/>
          <w:sz w:val="24"/>
          <w:szCs w:val="24"/>
        </w:rPr>
        <w:t>Pimentel M</w:t>
      </w:r>
      <w:r w:rsidRPr="00C33BA8">
        <w:rPr>
          <w:rFonts w:ascii="Book Antiqua" w:hAnsi="Book Antiqua"/>
          <w:color w:val="000000" w:themeColor="text1"/>
          <w:sz w:val="24"/>
          <w:szCs w:val="24"/>
        </w:rPr>
        <w:t>, Chatterjee S, Chang C, Low K, Song Y, Liu C, Morales W, Ali L, Lezcano S, Conklin J, Finegold S. A new rat model links two contemporary theories in irritable bowel syndrome. </w:t>
      </w:r>
      <w:r w:rsidRPr="00C33BA8">
        <w:rPr>
          <w:rFonts w:ascii="Book Antiqua" w:hAnsi="Book Antiqua"/>
          <w:i/>
          <w:iCs/>
          <w:color w:val="000000" w:themeColor="text1"/>
          <w:sz w:val="24"/>
          <w:szCs w:val="24"/>
        </w:rPr>
        <w:t>Dig Dis Sci</w:t>
      </w:r>
      <w:r w:rsidRPr="00C33BA8">
        <w:rPr>
          <w:rFonts w:ascii="Book Antiqua" w:hAnsi="Book Antiqua"/>
          <w:color w:val="000000" w:themeColor="text1"/>
          <w:sz w:val="24"/>
          <w:szCs w:val="24"/>
        </w:rPr>
        <w:t> 2008; </w:t>
      </w:r>
      <w:r w:rsidRPr="00C33BA8">
        <w:rPr>
          <w:rFonts w:ascii="Book Antiqua" w:hAnsi="Book Antiqua"/>
          <w:b/>
          <w:bCs/>
          <w:color w:val="000000" w:themeColor="text1"/>
          <w:sz w:val="24"/>
          <w:szCs w:val="24"/>
        </w:rPr>
        <w:t>53</w:t>
      </w:r>
      <w:r w:rsidRPr="00C33BA8">
        <w:rPr>
          <w:rFonts w:ascii="Book Antiqua" w:hAnsi="Book Antiqua"/>
          <w:color w:val="000000" w:themeColor="text1"/>
          <w:sz w:val="24"/>
          <w:szCs w:val="24"/>
        </w:rPr>
        <w:t>: 982-989 [PMID: 17934822 DOI: 10.1007/s10620-007-9977-z]</w:t>
      </w:r>
    </w:p>
    <w:p w14:paraId="79A6A975" w14:textId="77777777" w:rsidR="00D43E0D" w:rsidRPr="00C33BA8" w:rsidRDefault="00D43E0D" w:rsidP="00D43E0D">
      <w:pPr>
        <w:pStyle w:val="ListParagraph"/>
        <w:tabs>
          <w:tab w:val="left" w:pos="480"/>
        </w:tabs>
        <w:adjustRightInd w:val="0"/>
        <w:snapToGrid w:val="0"/>
        <w:spacing w:line="360" w:lineRule="auto"/>
        <w:ind w:left="0" w:firstLine="0"/>
        <w:jc w:val="both"/>
        <w:rPr>
          <w:rFonts w:ascii="Book Antiqua" w:hAnsi="Book Antiqua"/>
          <w:color w:val="000000" w:themeColor="text1"/>
          <w:sz w:val="24"/>
          <w:szCs w:val="24"/>
        </w:rPr>
      </w:pPr>
      <w:r w:rsidRPr="00C33BA8">
        <w:rPr>
          <w:rFonts w:ascii="Book Antiqua" w:hAnsi="Book Antiqua"/>
          <w:color w:val="000000" w:themeColor="text1"/>
          <w:sz w:val="24"/>
          <w:szCs w:val="24"/>
        </w:rPr>
        <w:t>20 </w:t>
      </w:r>
      <w:r w:rsidRPr="00C33BA8">
        <w:rPr>
          <w:rFonts w:ascii="Book Antiqua" w:hAnsi="Book Antiqua"/>
          <w:b/>
          <w:bCs/>
          <w:color w:val="000000" w:themeColor="text1"/>
          <w:sz w:val="24"/>
          <w:szCs w:val="24"/>
        </w:rPr>
        <w:t>Jee SR</w:t>
      </w:r>
      <w:r w:rsidRPr="00C33BA8">
        <w:rPr>
          <w:rFonts w:ascii="Book Antiqua" w:hAnsi="Book Antiqua"/>
          <w:color w:val="000000" w:themeColor="text1"/>
          <w:sz w:val="24"/>
          <w:szCs w:val="24"/>
        </w:rPr>
        <w:t>, Morales W, Low K, Chang C, Zhu A, Pokkunuri V, Chatterjee S, Soffer E, Conklin JL, Pimentel M. ICC density predicts bacterial overgrowth in a rat model of post-infectious IBS. </w:t>
      </w:r>
      <w:r w:rsidRPr="00C33BA8">
        <w:rPr>
          <w:rFonts w:ascii="Book Antiqua" w:hAnsi="Book Antiqua"/>
          <w:i/>
          <w:iCs/>
          <w:color w:val="000000" w:themeColor="text1"/>
          <w:sz w:val="24"/>
          <w:szCs w:val="24"/>
        </w:rPr>
        <w:t>World J Gastroenterol</w:t>
      </w:r>
      <w:r w:rsidRPr="00C33BA8">
        <w:rPr>
          <w:rFonts w:ascii="Book Antiqua" w:hAnsi="Book Antiqua"/>
          <w:color w:val="000000" w:themeColor="text1"/>
          <w:sz w:val="24"/>
          <w:szCs w:val="24"/>
        </w:rPr>
        <w:t> 2010; </w:t>
      </w:r>
      <w:r w:rsidRPr="00C33BA8">
        <w:rPr>
          <w:rFonts w:ascii="Book Antiqua" w:hAnsi="Book Antiqua"/>
          <w:b/>
          <w:bCs/>
          <w:color w:val="000000" w:themeColor="text1"/>
          <w:sz w:val="24"/>
          <w:szCs w:val="24"/>
        </w:rPr>
        <w:t>16</w:t>
      </w:r>
      <w:r w:rsidRPr="00C33BA8">
        <w:rPr>
          <w:rFonts w:ascii="Book Antiqua" w:hAnsi="Book Antiqua"/>
          <w:color w:val="000000" w:themeColor="text1"/>
          <w:sz w:val="24"/>
          <w:szCs w:val="24"/>
        </w:rPr>
        <w:t>: 3680-3686 [PMID: 20677340 DOI: 10.3748/wjg.v16.i29.3680]</w:t>
      </w:r>
    </w:p>
    <w:p w14:paraId="09BFED56" w14:textId="77777777" w:rsidR="00D43E0D" w:rsidRPr="00C33BA8" w:rsidRDefault="00D43E0D" w:rsidP="00D43E0D">
      <w:pPr>
        <w:pStyle w:val="ListParagraph"/>
        <w:tabs>
          <w:tab w:val="left" w:pos="480"/>
        </w:tabs>
        <w:adjustRightInd w:val="0"/>
        <w:snapToGrid w:val="0"/>
        <w:spacing w:line="360" w:lineRule="auto"/>
        <w:ind w:left="0" w:firstLine="0"/>
        <w:jc w:val="both"/>
        <w:rPr>
          <w:rFonts w:ascii="Book Antiqua" w:hAnsi="Book Antiqua"/>
          <w:color w:val="000000" w:themeColor="text1"/>
          <w:sz w:val="24"/>
          <w:szCs w:val="24"/>
        </w:rPr>
      </w:pPr>
      <w:r w:rsidRPr="00C33BA8">
        <w:rPr>
          <w:rFonts w:ascii="Book Antiqua" w:hAnsi="Book Antiqua"/>
          <w:color w:val="000000" w:themeColor="text1"/>
          <w:sz w:val="24"/>
          <w:szCs w:val="24"/>
        </w:rPr>
        <w:t>21 </w:t>
      </w:r>
      <w:r w:rsidRPr="00C33BA8">
        <w:rPr>
          <w:rFonts w:ascii="Book Antiqua" w:hAnsi="Book Antiqua"/>
          <w:b/>
          <w:bCs/>
          <w:color w:val="000000" w:themeColor="text1"/>
          <w:sz w:val="24"/>
          <w:szCs w:val="24"/>
        </w:rPr>
        <w:t>Morales W</w:t>
      </w:r>
      <w:r w:rsidRPr="00C33BA8">
        <w:rPr>
          <w:rFonts w:ascii="Book Antiqua" w:hAnsi="Book Antiqua"/>
          <w:color w:val="000000" w:themeColor="text1"/>
          <w:sz w:val="24"/>
          <w:szCs w:val="24"/>
        </w:rPr>
        <w:t>, Pimentel M, Hwang L, Kunkel D, Pokkunuri V, Basseri B, Low K, Wang H, Conklin JL, Chang C. Acute and chronic histological changes of the small bowel secondary to C. jejuni infection in a rat model for post-infectious IBS. </w:t>
      </w:r>
      <w:r w:rsidRPr="00C33BA8">
        <w:rPr>
          <w:rFonts w:ascii="Book Antiqua" w:hAnsi="Book Antiqua"/>
          <w:i/>
          <w:iCs/>
          <w:color w:val="000000" w:themeColor="text1"/>
          <w:sz w:val="24"/>
          <w:szCs w:val="24"/>
        </w:rPr>
        <w:t>Dig Dis Sci</w:t>
      </w:r>
      <w:r w:rsidRPr="00C33BA8">
        <w:rPr>
          <w:rFonts w:ascii="Book Antiqua" w:hAnsi="Book Antiqua"/>
          <w:color w:val="000000" w:themeColor="text1"/>
          <w:sz w:val="24"/>
          <w:szCs w:val="24"/>
        </w:rPr>
        <w:t> 2011; </w:t>
      </w:r>
      <w:r w:rsidRPr="00C33BA8">
        <w:rPr>
          <w:rFonts w:ascii="Book Antiqua" w:hAnsi="Book Antiqua"/>
          <w:b/>
          <w:bCs/>
          <w:color w:val="000000" w:themeColor="text1"/>
          <w:sz w:val="24"/>
          <w:szCs w:val="24"/>
        </w:rPr>
        <w:t>56</w:t>
      </w:r>
      <w:r w:rsidRPr="00C33BA8">
        <w:rPr>
          <w:rFonts w:ascii="Book Antiqua" w:hAnsi="Book Antiqua"/>
          <w:color w:val="000000" w:themeColor="text1"/>
          <w:sz w:val="24"/>
          <w:szCs w:val="24"/>
        </w:rPr>
        <w:t>: 2575-2584 [PMID: 21409374 DOI: 10.1007/s10620-011-1662-6]</w:t>
      </w:r>
    </w:p>
    <w:p w14:paraId="2300AB39" w14:textId="1EF69C25" w:rsidR="00D43E0D" w:rsidRPr="00C33BA8" w:rsidRDefault="00D43E0D" w:rsidP="00D43E0D">
      <w:pPr>
        <w:pStyle w:val="ListParagraph"/>
        <w:tabs>
          <w:tab w:val="left" w:pos="480"/>
        </w:tabs>
        <w:adjustRightInd w:val="0"/>
        <w:snapToGrid w:val="0"/>
        <w:spacing w:line="360" w:lineRule="auto"/>
        <w:ind w:left="0" w:firstLine="0"/>
        <w:jc w:val="both"/>
        <w:rPr>
          <w:rFonts w:ascii="Book Antiqua" w:hAnsi="Book Antiqua"/>
          <w:color w:val="000000" w:themeColor="text1"/>
          <w:sz w:val="24"/>
          <w:szCs w:val="24"/>
        </w:rPr>
      </w:pPr>
      <w:r w:rsidRPr="002060B6">
        <w:rPr>
          <w:rFonts w:ascii="Book Antiqua" w:hAnsi="Book Antiqua"/>
          <w:color w:val="000000" w:themeColor="text1"/>
          <w:sz w:val="24"/>
          <w:szCs w:val="24"/>
          <w:highlight w:val="yellow"/>
        </w:rPr>
        <w:t>22 </w:t>
      </w:r>
      <w:r w:rsidRPr="002060B6">
        <w:rPr>
          <w:rFonts w:ascii="Book Antiqua" w:hAnsi="Book Antiqua"/>
          <w:b/>
          <w:bCs/>
          <w:color w:val="000000" w:themeColor="text1"/>
          <w:sz w:val="24"/>
          <w:szCs w:val="24"/>
          <w:highlight w:val="yellow"/>
        </w:rPr>
        <w:t>Morales W</w:t>
      </w:r>
      <w:r w:rsidRPr="002060B6">
        <w:rPr>
          <w:rFonts w:ascii="Book Antiqua" w:hAnsi="Book Antiqua"/>
          <w:bCs/>
          <w:color w:val="000000" w:themeColor="text1"/>
          <w:sz w:val="24"/>
          <w:szCs w:val="24"/>
          <w:highlight w:val="yellow"/>
        </w:rPr>
        <w:t>,</w:t>
      </w:r>
      <w:r w:rsidRPr="002060B6">
        <w:rPr>
          <w:rFonts w:ascii="Book Antiqua" w:hAnsi="Book Antiqua"/>
          <w:color w:val="000000" w:themeColor="text1"/>
          <w:sz w:val="24"/>
          <w:szCs w:val="24"/>
          <w:highlight w:val="yellow"/>
        </w:rPr>
        <w:t> Weitsman S, Kim G</w:t>
      </w:r>
      <w:r w:rsidR="008C294F" w:rsidRPr="002060B6">
        <w:rPr>
          <w:rFonts w:ascii="Book Antiqua" w:hAnsi="Book Antiqua"/>
          <w:color w:val="000000" w:themeColor="text1"/>
          <w:sz w:val="24"/>
          <w:szCs w:val="24"/>
          <w:highlight w:val="yellow"/>
        </w:rPr>
        <w:t>, Marsh E, Chang C, Pimentel M.</w:t>
      </w:r>
      <w:r w:rsidRPr="002060B6">
        <w:rPr>
          <w:rFonts w:ascii="Book Antiqua" w:hAnsi="Book Antiqua"/>
          <w:color w:val="000000" w:themeColor="text1"/>
          <w:sz w:val="24"/>
          <w:szCs w:val="24"/>
          <w:highlight w:val="yellow"/>
        </w:rPr>
        <w:t xml:space="preserve"> </w:t>
      </w:r>
      <w:bookmarkStart w:id="36" w:name="OLE_LINK66"/>
      <w:bookmarkStart w:id="37" w:name="OLE_LINK67"/>
      <w:r w:rsidRPr="002060B6">
        <w:rPr>
          <w:rFonts w:ascii="Book Antiqua" w:hAnsi="Book Antiqua"/>
          <w:color w:val="000000" w:themeColor="text1"/>
          <w:sz w:val="24"/>
          <w:szCs w:val="24"/>
          <w:highlight w:val="yellow"/>
        </w:rPr>
        <w:t>Circulating antibodies to cytolethal distending toxin B correlate with the development of small intestinal bacterial overgrowth in a rat model of post-infectious IBS.</w:t>
      </w:r>
      <w:bookmarkEnd w:id="36"/>
      <w:bookmarkEnd w:id="37"/>
      <w:r w:rsidRPr="002060B6">
        <w:rPr>
          <w:rFonts w:ascii="Book Antiqua" w:hAnsi="Book Antiqua"/>
          <w:color w:val="000000" w:themeColor="text1"/>
          <w:sz w:val="24"/>
          <w:szCs w:val="24"/>
          <w:highlight w:val="yellow"/>
        </w:rPr>
        <w:t xml:space="preserve"> </w:t>
      </w:r>
      <w:r w:rsidR="001C7A47" w:rsidRPr="001C7A47">
        <w:rPr>
          <w:rFonts w:ascii="Book Antiqua" w:hAnsi="Book Antiqua"/>
          <w:i/>
          <w:caps/>
          <w:color w:val="000000" w:themeColor="text1"/>
          <w:sz w:val="24"/>
          <w:szCs w:val="24"/>
          <w:highlight w:val="yellow"/>
        </w:rPr>
        <w:t>g</w:t>
      </w:r>
      <w:r w:rsidR="001C7A47" w:rsidRPr="001C7A47">
        <w:rPr>
          <w:rFonts w:ascii="Book Antiqua" w:hAnsi="Book Antiqua"/>
          <w:i/>
          <w:color w:val="000000" w:themeColor="text1"/>
          <w:sz w:val="24"/>
          <w:szCs w:val="24"/>
          <w:highlight w:val="yellow"/>
        </w:rPr>
        <w:t xml:space="preserve">astroenterology </w:t>
      </w:r>
      <w:r w:rsidRPr="002060B6">
        <w:rPr>
          <w:rFonts w:ascii="Book Antiqua" w:hAnsi="Book Antiqua"/>
          <w:color w:val="000000" w:themeColor="text1"/>
          <w:sz w:val="24"/>
          <w:szCs w:val="24"/>
          <w:highlight w:val="yellow"/>
        </w:rPr>
        <w:t>2013;</w:t>
      </w:r>
      <w:r w:rsidR="008C294F" w:rsidRPr="002060B6">
        <w:rPr>
          <w:rFonts w:ascii="Book Antiqua" w:hAnsi="Book Antiqua"/>
          <w:color w:val="000000" w:themeColor="text1"/>
          <w:sz w:val="24"/>
          <w:szCs w:val="24"/>
          <w:highlight w:val="yellow"/>
        </w:rPr>
        <w:t xml:space="preserve"> </w:t>
      </w:r>
      <w:r w:rsidRPr="002060B6">
        <w:rPr>
          <w:rFonts w:ascii="Book Antiqua" w:hAnsi="Book Antiqua"/>
          <w:b/>
          <w:color w:val="000000" w:themeColor="text1"/>
          <w:sz w:val="24"/>
          <w:szCs w:val="24"/>
          <w:highlight w:val="yellow"/>
        </w:rPr>
        <w:t>144</w:t>
      </w:r>
      <w:r w:rsidRPr="002060B6">
        <w:rPr>
          <w:rFonts w:ascii="Book Antiqua" w:hAnsi="Book Antiqua"/>
          <w:color w:val="000000" w:themeColor="text1"/>
          <w:sz w:val="24"/>
          <w:szCs w:val="24"/>
          <w:highlight w:val="yellow"/>
        </w:rPr>
        <w:t>: S931-</w:t>
      </w:r>
      <w:r w:rsidR="002060B6">
        <w:rPr>
          <w:rFonts w:ascii="Book Antiqua" w:eastAsiaTheme="minorEastAsia" w:hAnsi="Book Antiqua" w:hint="eastAsia"/>
          <w:color w:val="000000" w:themeColor="text1"/>
          <w:sz w:val="24"/>
          <w:szCs w:val="24"/>
          <w:highlight w:val="yellow"/>
          <w:lang w:eastAsia="zh-CN"/>
        </w:rPr>
        <w:t>S</w:t>
      </w:r>
      <w:r w:rsidRPr="002060B6">
        <w:rPr>
          <w:rFonts w:ascii="Book Antiqua" w:hAnsi="Book Antiqua"/>
          <w:color w:val="000000" w:themeColor="text1"/>
          <w:sz w:val="24"/>
          <w:szCs w:val="24"/>
          <w:highlight w:val="yellow"/>
        </w:rPr>
        <w:t>932 [DOI: 10.1016/S0016-5085(13)63465-4]</w:t>
      </w:r>
    </w:p>
    <w:p w14:paraId="6BB57F46" w14:textId="77777777" w:rsidR="00D43E0D" w:rsidRPr="00C33BA8" w:rsidRDefault="00D43E0D" w:rsidP="00D43E0D">
      <w:pPr>
        <w:pStyle w:val="ListParagraph"/>
        <w:tabs>
          <w:tab w:val="left" w:pos="480"/>
        </w:tabs>
        <w:adjustRightInd w:val="0"/>
        <w:snapToGrid w:val="0"/>
        <w:spacing w:line="360" w:lineRule="auto"/>
        <w:ind w:left="0" w:firstLine="0"/>
        <w:jc w:val="both"/>
        <w:rPr>
          <w:rFonts w:ascii="Book Antiqua" w:hAnsi="Book Antiqua"/>
          <w:color w:val="000000" w:themeColor="text1"/>
          <w:sz w:val="24"/>
          <w:szCs w:val="24"/>
        </w:rPr>
      </w:pPr>
      <w:r w:rsidRPr="00C33BA8">
        <w:rPr>
          <w:rFonts w:ascii="Book Antiqua" w:hAnsi="Book Antiqua"/>
          <w:color w:val="000000" w:themeColor="text1"/>
          <w:sz w:val="24"/>
          <w:szCs w:val="24"/>
        </w:rPr>
        <w:t>23 </w:t>
      </w:r>
      <w:r w:rsidRPr="00C33BA8">
        <w:rPr>
          <w:rFonts w:ascii="Book Antiqua" w:hAnsi="Book Antiqua"/>
          <w:b/>
          <w:bCs/>
          <w:color w:val="000000" w:themeColor="text1"/>
          <w:sz w:val="24"/>
          <w:szCs w:val="24"/>
        </w:rPr>
        <w:t>Pimentel M</w:t>
      </w:r>
      <w:r w:rsidRPr="00C33BA8">
        <w:rPr>
          <w:rFonts w:ascii="Book Antiqua" w:hAnsi="Book Antiqua"/>
          <w:color w:val="000000" w:themeColor="text1"/>
          <w:sz w:val="24"/>
          <w:szCs w:val="24"/>
        </w:rPr>
        <w:t>, Morales W, Pokkunuri V, Brikos C, Kim SM, Kim SE, Triantafyllou K, Weitsman S, Marsh Z, Marsh E, Chua KS, Srinivasan S, Barlow GM, Chang C. Autoimmunity Links Vinculin to the Pathophysiology of Chronic Functional Bowel Changes Following Campylobacter jejuni Infection in a Rat Model. </w:t>
      </w:r>
      <w:r w:rsidRPr="00C33BA8">
        <w:rPr>
          <w:rFonts w:ascii="Book Antiqua" w:hAnsi="Book Antiqua"/>
          <w:i/>
          <w:iCs/>
          <w:color w:val="000000" w:themeColor="text1"/>
          <w:sz w:val="24"/>
          <w:szCs w:val="24"/>
        </w:rPr>
        <w:t>Dig Dis Sci</w:t>
      </w:r>
      <w:r w:rsidRPr="00C33BA8">
        <w:rPr>
          <w:rFonts w:ascii="Book Antiqua" w:hAnsi="Book Antiqua"/>
          <w:color w:val="000000" w:themeColor="text1"/>
          <w:sz w:val="24"/>
          <w:szCs w:val="24"/>
        </w:rPr>
        <w:t> 2015; </w:t>
      </w:r>
      <w:r w:rsidRPr="00C33BA8">
        <w:rPr>
          <w:rFonts w:ascii="Book Antiqua" w:hAnsi="Book Antiqua"/>
          <w:b/>
          <w:bCs/>
          <w:color w:val="000000" w:themeColor="text1"/>
          <w:sz w:val="24"/>
          <w:szCs w:val="24"/>
        </w:rPr>
        <w:t>60</w:t>
      </w:r>
      <w:r w:rsidRPr="00C33BA8">
        <w:rPr>
          <w:rFonts w:ascii="Book Antiqua" w:hAnsi="Book Antiqua"/>
          <w:color w:val="000000" w:themeColor="text1"/>
          <w:sz w:val="24"/>
          <w:szCs w:val="24"/>
        </w:rPr>
        <w:t>: 1195-1205 [PMID: 25424202 DOI: 10.1007/s10620-014-3435-5]</w:t>
      </w:r>
    </w:p>
    <w:p w14:paraId="2CE08AE7" w14:textId="77777777" w:rsidR="00D43E0D" w:rsidRPr="00C33BA8" w:rsidRDefault="00D43E0D" w:rsidP="00D43E0D">
      <w:pPr>
        <w:pStyle w:val="ListParagraph"/>
        <w:tabs>
          <w:tab w:val="left" w:pos="480"/>
        </w:tabs>
        <w:adjustRightInd w:val="0"/>
        <w:snapToGrid w:val="0"/>
        <w:spacing w:line="360" w:lineRule="auto"/>
        <w:ind w:left="0" w:firstLine="0"/>
        <w:jc w:val="both"/>
        <w:rPr>
          <w:rFonts w:ascii="Book Antiqua" w:hAnsi="Book Antiqua"/>
          <w:color w:val="000000" w:themeColor="text1"/>
          <w:sz w:val="24"/>
          <w:szCs w:val="24"/>
        </w:rPr>
      </w:pPr>
      <w:r w:rsidRPr="00C33BA8">
        <w:rPr>
          <w:rFonts w:ascii="Book Antiqua" w:hAnsi="Book Antiqua"/>
          <w:color w:val="000000" w:themeColor="text1"/>
          <w:sz w:val="24"/>
          <w:szCs w:val="24"/>
        </w:rPr>
        <w:t>24 </w:t>
      </w:r>
      <w:r w:rsidRPr="00C33BA8">
        <w:rPr>
          <w:rFonts w:ascii="Book Antiqua" w:hAnsi="Book Antiqua"/>
          <w:b/>
          <w:bCs/>
          <w:color w:val="000000" w:themeColor="text1"/>
          <w:sz w:val="24"/>
          <w:szCs w:val="24"/>
        </w:rPr>
        <w:t>Hamiaux C</w:t>
      </w:r>
      <w:r w:rsidRPr="00C33BA8">
        <w:rPr>
          <w:rFonts w:ascii="Book Antiqua" w:hAnsi="Book Antiqua"/>
          <w:color w:val="000000" w:themeColor="text1"/>
          <w:sz w:val="24"/>
          <w:szCs w:val="24"/>
        </w:rPr>
        <w:t>, van Eerde A, Parsot C, Broos J, Dijkstra BW. Structural mimicry for vinculin activation by IpaA, a virulence factor of Shigella flexneri. </w:t>
      </w:r>
      <w:r w:rsidRPr="00C33BA8">
        <w:rPr>
          <w:rFonts w:ascii="Book Antiqua" w:hAnsi="Book Antiqua"/>
          <w:i/>
          <w:iCs/>
          <w:color w:val="000000" w:themeColor="text1"/>
          <w:sz w:val="24"/>
          <w:szCs w:val="24"/>
        </w:rPr>
        <w:t>EMBO Rep</w:t>
      </w:r>
      <w:r w:rsidRPr="00C33BA8">
        <w:rPr>
          <w:rFonts w:ascii="Book Antiqua" w:hAnsi="Book Antiqua"/>
          <w:color w:val="000000" w:themeColor="text1"/>
          <w:sz w:val="24"/>
          <w:szCs w:val="24"/>
        </w:rPr>
        <w:t> 2006; </w:t>
      </w:r>
      <w:r w:rsidRPr="00C33BA8">
        <w:rPr>
          <w:rFonts w:ascii="Book Antiqua" w:hAnsi="Book Antiqua"/>
          <w:b/>
          <w:bCs/>
          <w:color w:val="000000" w:themeColor="text1"/>
          <w:sz w:val="24"/>
          <w:szCs w:val="24"/>
        </w:rPr>
        <w:t>7</w:t>
      </w:r>
      <w:r w:rsidRPr="00C33BA8">
        <w:rPr>
          <w:rFonts w:ascii="Book Antiqua" w:hAnsi="Book Antiqua"/>
          <w:color w:val="000000" w:themeColor="text1"/>
          <w:sz w:val="24"/>
          <w:szCs w:val="24"/>
        </w:rPr>
        <w:t>: 794-799 [PMID: 16826238 DOI: 10.1038/sj.embor.7400753]</w:t>
      </w:r>
    </w:p>
    <w:p w14:paraId="3D3D9E1A" w14:textId="77777777" w:rsidR="00D43E0D" w:rsidRPr="00C33BA8" w:rsidRDefault="00D43E0D" w:rsidP="00D43E0D">
      <w:pPr>
        <w:pStyle w:val="ListParagraph"/>
        <w:tabs>
          <w:tab w:val="left" w:pos="480"/>
        </w:tabs>
        <w:adjustRightInd w:val="0"/>
        <w:snapToGrid w:val="0"/>
        <w:spacing w:line="360" w:lineRule="auto"/>
        <w:ind w:left="0" w:firstLine="0"/>
        <w:jc w:val="both"/>
        <w:rPr>
          <w:rFonts w:ascii="Book Antiqua" w:hAnsi="Book Antiqua"/>
          <w:color w:val="000000" w:themeColor="text1"/>
          <w:sz w:val="24"/>
          <w:szCs w:val="24"/>
        </w:rPr>
      </w:pPr>
      <w:r w:rsidRPr="00C33BA8">
        <w:rPr>
          <w:rFonts w:ascii="Book Antiqua" w:hAnsi="Book Antiqua"/>
          <w:color w:val="000000" w:themeColor="text1"/>
          <w:sz w:val="24"/>
          <w:szCs w:val="24"/>
        </w:rPr>
        <w:t>25 </w:t>
      </w:r>
      <w:r w:rsidRPr="00C33BA8">
        <w:rPr>
          <w:rFonts w:ascii="Book Antiqua" w:hAnsi="Book Antiqua"/>
          <w:b/>
          <w:bCs/>
          <w:color w:val="000000" w:themeColor="text1"/>
          <w:sz w:val="24"/>
          <w:szCs w:val="24"/>
        </w:rPr>
        <w:t>Pimentel M</w:t>
      </w:r>
      <w:r w:rsidRPr="00C33BA8">
        <w:rPr>
          <w:rFonts w:ascii="Book Antiqua" w:hAnsi="Book Antiqua"/>
          <w:color w:val="000000" w:themeColor="text1"/>
          <w:sz w:val="24"/>
          <w:szCs w:val="24"/>
        </w:rPr>
        <w:t xml:space="preserve">, Morales W, Rezaie A, Marsh E, Lembo A, Mirocha J, Leffler DA, Marsh Z, Weitsman S, Chua KS, Barlow GM, Bortey E, Forbes W, Yu A, Chang C. Development and validation of a biomarker for diarrhea-predominant irritable bowel syndrome in human </w:t>
      </w:r>
      <w:r w:rsidRPr="00C33BA8">
        <w:rPr>
          <w:rFonts w:ascii="Book Antiqua" w:hAnsi="Book Antiqua"/>
          <w:color w:val="000000" w:themeColor="text1"/>
          <w:sz w:val="24"/>
          <w:szCs w:val="24"/>
        </w:rPr>
        <w:lastRenderedPageBreak/>
        <w:t>subjects. </w:t>
      </w:r>
      <w:r w:rsidRPr="00C33BA8">
        <w:rPr>
          <w:rFonts w:ascii="Book Antiqua" w:hAnsi="Book Antiqua"/>
          <w:i/>
          <w:iCs/>
          <w:color w:val="000000" w:themeColor="text1"/>
          <w:sz w:val="24"/>
          <w:szCs w:val="24"/>
        </w:rPr>
        <w:t>PLoS One</w:t>
      </w:r>
      <w:r w:rsidRPr="00C33BA8">
        <w:rPr>
          <w:rFonts w:ascii="Book Antiqua" w:hAnsi="Book Antiqua"/>
          <w:color w:val="000000" w:themeColor="text1"/>
          <w:sz w:val="24"/>
          <w:szCs w:val="24"/>
        </w:rPr>
        <w:t> 2015; </w:t>
      </w:r>
      <w:r w:rsidRPr="00C33BA8">
        <w:rPr>
          <w:rFonts w:ascii="Book Antiqua" w:hAnsi="Book Antiqua"/>
          <w:b/>
          <w:bCs/>
          <w:color w:val="000000" w:themeColor="text1"/>
          <w:sz w:val="24"/>
          <w:szCs w:val="24"/>
        </w:rPr>
        <w:t>10</w:t>
      </w:r>
      <w:r w:rsidRPr="00C33BA8">
        <w:rPr>
          <w:rFonts w:ascii="Book Antiqua" w:hAnsi="Book Antiqua"/>
          <w:color w:val="000000" w:themeColor="text1"/>
          <w:sz w:val="24"/>
          <w:szCs w:val="24"/>
        </w:rPr>
        <w:t>: e0126438 [PMID: 25970536 DOI: 10.1371/journal.pone.0126438]</w:t>
      </w:r>
    </w:p>
    <w:p w14:paraId="7FE731A5" w14:textId="77777777" w:rsidR="00D43E0D" w:rsidRPr="00C33BA8" w:rsidRDefault="00D43E0D" w:rsidP="00D43E0D">
      <w:pPr>
        <w:pStyle w:val="ListParagraph"/>
        <w:tabs>
          <w:tab w:val="left" w:pos="480"/>
        </w:tabs>
        <w:adjustRightInd w:val="0"/>
        <w:snapToGrid w:val="0"/>
        <w:spacing w:line="360" w:lineRule="auto"/>
        <w:ind w:left="0" w:firstLine="0"/>
        <w:jc w:val="both"/>
        <w:rPr>
          <w:rFonts w:ascii="Book Antiqua" w:hAnsi="Book Antiqua"/>
          <w:color w:val="000000" w:themeColor="text1"/>
          <w:sz w:val="24"/>
          <w:szCs w:val="24"/>
        </w:rPr>
      </w:pPr>
      <w:r w:rsidRPr="00C33BA8">
        <w:rPr>
          <w:rFonts w:ascii="Book Antiqua" w:hAnsi="Book Antiqua"/>
          <w:color w:val="000000" w:themeColor="text1"/>
          <w:sz w:val="24"/>
          <w:szCs w:val="24"/>
        </w:rPr>
        <w:t>26 </w:t>
      </w:r>
      <w:r w:rsidRPr="00C33BA8">
        <w:rPr>
          <w:rFonts w:ascii="Book Antiqua" w:hAnsi="Book Antiqua"/>
          <w:b/>
          <w:bCs/>
          <w:color w:val="000000" w:themeColor="text1"/>
          <w:sz w:val="24"/>
          <w:szCs w:val="24"/>
        </w:rPr>
        <w:t>Whisstock JC</w:t>
      </w:r>
      <w:r w:rsidRPr="00C33BA8">
        <w:rPr>
          <w:rFonts w:ascii="Book Antiqua" w:hAnsi="Book Antiqua"/>
          <w:color w:val="000000" w:themeColor="text1"/>
          <w:sz w:val="24"/>
          <w:szCs w:val="24"/>
        </w:rPr>
        <w:t>, Romero S, Gurung R, Nandurkar H, Ooms LM, Bottomley SP, Mitchell CA. The inositol polyphosphate 5-phosphatases and the apurinic/apyrimidinic base excision repair endonucleases share a common mechanism for catalysis. </w:t>
      </w:r>
      <w:r w:rsidRPr="00C33BA8">
        <w:rPr>
          <w:rFonts w:ascii="Book Antiqua" w:hAnsi="Book Antiqua"/>
          <w:i/>
          <w:iCs/>
          <w:color w:val="000000" w:themeColor="text1"/>
          <w:sz w:val="24"/>
          <w:szCs w:val="24"/>
        </w:rPr>
        <w:t>J Biol Chem</w:t>
      </w:r>
      <w:r w:rsidRPr="00C33BA8">
        <w:rPr>
          <w:rFonts w:ascii="Book Antiqua" w:hAnsi="Book Antiqua"/>
          <w:color w:val="000000" w:themeColor="text1"/>
          <w:sz w:val="24"/>
          <w:szCs w:val="24"/>
        </w:rPr>
        <w:t> 2000; </w:t>
      </w:r>
      <w:r w:rsidRPr="00C33BA8">
        <w:rPr>
          <w:rFonts w:ascii="Book Antiqua" w:hAnsi="Book Antiqua"/>
          <w:b/>
          <w:bCs/>
          <w:color w:val="000000" w:themeColor="text1"/>
          <w:sz w:val="24"/>
          <w:szCs w:val="24"/>
        </w:rPr>
        <w:t>275</w:t>
      </w:r>
      <w:r w:rsidRPr="00C33BA8">
        <w:rPr>
          <w:rFonts w:ascii="Book Antiqua" w:hAnsi="Book Antiqua"/>
          <w:color w:val="000000" w:themeColor="text1"/>
          <w:sz w:val="24"/>
          <w:szCs w:val="24"/>
        </w:rPr>
        <w:t>: 37055-37061 [PMID: 10962003 DOI: 10.1074/jbc.M006244200]</w:t>
      </w:r>
    </w:p>
    <w:p w14:paraId="63687DDA" w14:textId="77777777" w:rsidR="00D43E0D" w:rsidRPr="00C33BA8" w:rsidRDefault="00D43E0D" w:rsidP="00D43E0D">
      <w:pPr>
        <w:pStyle w:val="ListParagraph"/>
        <w:tabs>
          <w:tab w:val="left" w:pos="480"/>
        </w:tabs>
        <w:adjustRightInd w:val="0"/>
        <w:snapToGrid w:val="0"/>
        <w:spacing w:line="360" w:lineRule="auto"/>
        <w:ind w:left="0" w:firstLine="0"/>
        <w:jc w:val="both"/>
        <w:rPr>
          <w:rFonts w:ascii="Book Antiqua" w:hAnsi="Book Antiqua"/>
          <w:color w:val="000000" w:themeColor="text1"/>
          <w:sz w:val="24"/>
          <w:szCs w:val="24"/>
        </w:rPr>
      </w:pPr>
      <w:r w:rsidRPr="00C33BA8">
        <w:rPr>
          <w:rFonts w:ascii="Book Antiqua" w:hAnsi="Book Antiqua"/>
          <w:color w:val="000000" w:themeColor="text1"/>
          <w:sz w:val="24"/>
          <w:szCs w:val="24"/>
        </w:rPr>
        <w:t>27 </w:t>
      </w:r>
      <w:r w:rsidRPr="00C33BA8">
        <w:rPr>
          <w:rFonts w:ascii="Book Antiqua" w:hAnsi="Book Antiqua"/>
          <w:b/>
          <w:bCs/>
          <w:color w:val="000000" w:themeColor="text1"/>
          <w:sz w:val="24"/>
          <w:szCs w:val="24"/>
        </w:rPr>
        <w:t>Nesic D</w:t>
      </w:r>
      <w:r w:rsidRPr="00C33BA8">
        <w:rPr>
          <w:rFonts w:ascii="Book Antiqua" w:hAnsi="Book Antiqua"/>
          <w:color w:val="000000" w:themeColor="text1"/>
          <w:sz w:val="24"/>
          <w:szCs w:val="24"/>
        </w:rPr>
        <w:t>, Stebbins CE. Mechanisms of assembly and cellular interactions for the bacterial genotoxin CDT. </w:t>
      </w:r>
      <w:r w:rsidRPr="00C33BA8">
        <w:rPr>
          <w:rFonts w:ascii="Book Antiqua" w:hAnsi="Book Antiqua"/>
          <w:i/>
          <w:iCs/>
          <w:color w:val="000000" w:themeColor="text1"/>
          <w:sz w:val="24"/>
          <w:szCs w:val="24"/>
        </w:rPr>
        <w:t>PLoS Pathog</w:t>
      </w:r>
      <w:r w:rsidRPr="00C33BA8">
        <w:rPr>
          <w:rFonts w:ascii="Book Antiqua" w:hAnsi="Book Antiqua"/>
          <w:color w:val="000000" w:themeColor="text1"/>
          <w:sz w:val="24"/>
          <w:szCs w:val="24"/>
        </w:rPr>
        <w:t> 2005; </w:t>
      </w:r>
      <w:r w:rsidRPr="00C33BA8">
        <w:rPr>
          <w:rFonts w:ascii="Book Antiqua" w:hAnsi="Book Antiqua"/>
          <w:b/>
          <w:bCs/>
          <w:color w:val="000000" w:themeColor="text1"/>
          <w:sz w:val="24"/>
          <w:szCs w:val="24"/>
        </w:rPr>
        <w:t>1</w:t>
      </w:r>
      <w:r w:rsidRPr="00C33BA8">
        <w:rPr>
          <w:rFonts w:ascii="Book Antiqua" w:hAnsi="Book Antiqua"/>
          <w:color w:val="000000" w:themeColor="text1"/>
          <w:sz w:val="24"/>
          <w:szCs w:val="24"/>
        </w:rPr>
        <w:t>: e28 [PMID: 16304609 DOI: 10.1371/journal.ppat.0010028]</w:t>
      </w:r>
    </w:p>
    <w:p w14:paraId="3AB0F83A" w14:textId="77A3C0AB" w:rsidR="00D43E0D" w:rsidRPr="00C33BA8" w:rsidRDefault="00D43E0D" w:rsidP="00D43E0D">
      <w:pPr>
        <w:pStyle w:val="ListParagraph"/>
        <w:tabs>
          <w:tab w:val="left" w:pos="480"/>
        </w:tabs>
        <w:adjustRightInd w:val="0"/>
        <w:snapToGrid w:val="0"/>
        <w:spacing w:line="360" w:lineRule="auto"/>
        <w:ind w:left="0" w:firstLine="0"/>
        <w:jc w:val="both"/>
        <w:rPr>
          <w:rFonts w:ascii="Book Antiqua" w:hAnsi="Book Antiqua"/>
          <w:color w:val="000000" w:themeColor="text1"/>
          <w:sz w:val="24"/>
          <w:szCs w:val="24"/>
        </w:rPr>
      </w:pPr>
      <w:r w:rsidRPr="00C33BA8">
        <w:rPr>
          <w:rFonts w:ascii="Book Antiqua" w:hAnsi="Book Antiqua"/>
          <w:color w:val="000000" w:themeColor="text1"/>
          <w:sz w:val="24"/>
          <w:szCs w:val="24"/>
        </w:rPr>
        <w:t>28 </w:t>
      </w:r>
      <w:r w:rsidRPr="00C33BA8">
        <w:rPr>
          <w:rFonts w:ascii="Book Antiqua" w:hAnsi="Book Antiqua"/>
          <w:b/>
          <w:bCs/>
          <w:color w:val="000000" w:themeColor="text1"/>
          <w:sz w:val="24"/>
          <w:szCs w:val="24"/>
        </w:rPr>
        <w:t>DiRienzo JM</w:t>
      </w:r>
      <w:r w:rsidRPr="00C33BA8">
        <w:rPr>
          <w:rFonts w:ascii="Book Antiqua" w:hAnsi="Book Antiqua"/>
          <w:color w:val="000000" w:themeColor="text1"/>
          <w:sz w:val="24"/>
          <w:szCs w:val="24"/>
        </w:rPr>
        <w:t>. Breaking the Gingival Epithelial Barrier: Role of the Aggregatibacter actinomycetemcomitans Cytolethal Distending Toxin in Oral Infectious Disease.</w:t>
      </w:r>
      <w:r w:rsidR="002060B6">
        <w:rPr>
          <w:rFonts w:ascii="Book Antiqua" w:eastAsiaTheme="minorEastAsia" w:hAnsi="Book Antiqua" w:hint="eastAsia"/>
          <w:color w:val="000000" w:themeColor="text1"/>
          <w:sz w:val="24"/>
          <w:szCs w:val="24"/>
          <w:lang w:eastAsia="zh-CN"/>
        </w:rPr>
        <w:t xml:space="preserve"> </w:t>
      </w:r>
      <w:r w:rsidRPr="00C33BA8">
        <w:rPr>
          <w:rFonts w:ascii="Book Antiqua" w:hAnsi="Book Antiqua"/>
          <w:i/>
          <w:iCs/>
          <w:color w:val="000000" w:themeColor="text1"/>
          <w:sz w:val="24"/>
          <w:szCs w:val="24"/>
        </w:rPr>
        <w:t>Cells</w:t>
      </w:r>
      <w:r w:rsidR="002060B6">
        <w:rPr>
          <w:rFonts w:ascii="Book Antiqua" w:eastAsiaTheme="minorEastAsia" w:hAnsi="Book Antiqua" w:hint="eastAsia"/>
          <w:color w:val="000000" w:themeColor="text1"/>
          <w:sz w:val="24"/>
          <w:szCs w:val="24"/>
          <w:lang w:eastAsia="zh-CN"/>
        </w:rPr>
        <w:t xml:space="preserve"> </w:t>
      </w:r>
      <w:r w:rsidRPr="00C33BA8">
        <w:rPr>
          <w:rFonts w:ascii="Book Antiqua" w:hAnsi="Book Antiqua"/>
          <w:color w:val="000000" w:themeColor="text1"/>
          <w:sz w:val="24"/>
          <w:szCs w:val="24"/>
        </w:rPr>
        <w:t>2014; </w:t>
      </w:r>
      <w:r w:rsidRPr="00C33BA8">
        <w:rPr>
          <w:rFonts w:ascii="Book Antiqua" w:hAnsi="Book Antiqua"/>
          <w:b/>
          <w:bCs/>
          <w:color w:val="000000" w:themeColor="text1"/>
          <w:sz w:val="24"/>
          <w:szCs w:val="24"/>
        </w:rPr>
        <w:t>3</w:t>
      </w:r>
      <w:r w:rsidRPr="00C33BA8">
        <w:rPr>
          <w:rFonts w:ascii="Book Antiqua" w:hAnsi="Book Antiqua"/>
          <w:color w:val="000000" w:themeColor="text1"/>
          <w:sz w:val="24"/>
          <w:szCs w:val="24"/>
        </w:rPr>
        <w:t>: 476-499 [PMID: 24861975 DOI: 10.3390/cells3020476]</w:t>
      </w:r>
    </w:p>
    <w:p w14:paraId="322F8F5B" w14:textId="433E98DE" w:rsidR="00D43E0D" w:rsidRPr="00C33BA8" w:rsidRDefault="00D43E0D" w:rsidP="00D43E0D">
      <w:pPr>
        <w:pStyle w:val="ListParagraph"/>
        <w:tabs>
          <w:tab w:val="left" w:pos="480"/>
        </w:tabs>
        <w:adjustRightInd w:val="0"/>
        <w:snapToGrid w:val="0"/>
        <w:spacing w:line="360" w:lineRule="auto"/>
        <w:ind w:left="0" w:firstLine="0"/>
        <w:jc w:val="both"/>
        <w:rPr>
          <w:rFonts w:ascii="Book Antiqua" w:hAnsi="Book Antiqua"/>
          <w:color w:val="000000" w:themeColor="text1"/>
          <w:sz w:val="24"/>
          <w:szCs w:val="24"/>
        </w:rPr>
      </w:pPr>
      <w:r w:rsidRPr="00C33BA8">
        <w:rPr>
          <w:rFonts w:ascii="Book Antiqua" w:hAnsi="Book Antiqua"/>
          <w:color w:val="000000" w:themeColor="text1"/>
          <w:sz w:val="24"/>
          <w:szCs w:val="24"/>
        </w:rPr>
        <w:t>29 </w:t>
      </w:r>
      <w:r w:rsidRPr="00C33BA8">
        <w:rPr>
          <w:rFonts w:ascii="Book Antiqua" w:hAnsi="Book Antiqua"/>
          <w:b/>
          <w:bCs/>
          <w:color w:val="000000" w:themeColor="text1"/>
          <w:sz w:val="24"/>
          <w:szCs w:val="24"/>
        </w:rPr>
        <w:t>Méndez-Olvera ET</w:t>
      </w:r>
      <w:r w:rsidRPr="00C33BA8">
        <w:rPr>
          <w:rFonts w:ascii="Book Antiqua" w:hAnsi="Book Antiqua"/>
          <w:color w:val="000000" w:themeColor="text1"/>
          <w:sz w:val="24"/>
          <w:szCs w:val="24"/>
        </w:rPr>
        <w:t xml:space="preserve">, Bustos-Martínez JA, López-Vidal Y, Verdugo-Rodríguez A, Martínez-Gómez D. Cytolethal Distending Toxin From </w:t>
      </w:r>
      <w:r w:rsidRPr="00C33BA8">
        <w:rPr>
          <w:rFonts w:ascii="Book Antiqua" w:hAnsi="Book Antiqua"/>
          <w:i/>
          <w:color w:val="000000" w:themeColor="text1"/>
          <w:sz w:val="24"/>
          <w:szCs w:val="24"/>
        </w:rPr>
        <w:t>Campylobacter jejuni</w:t>
      </w:r>
      <w:r w:rsidR="008C294F" w:rsidRPr="00C33BA8">
        <w:rPr>
          <w:rFonts w:ascii="Book Antiqua" w:hAnsi="Book Antiqua"/>
          <w:color w:val="000000" w:themeColor="text1"/>
          <w:sz w:val="24"/>
          <w:szCs w:val="24"/>
        </w:rPr>
        <w:t xml:space="preserve"> </w:t>
      </w:r>
      <w:r w:rsidRPr="00C33BA8">
        <w:rPr>
          <w:rFonts w:ascii="Book Antiqua" w:hAnsi="Book Antiqua"/>
          <w:color w:val="000000" w:themeColor="text1"/>
          <w:sz w:val="24"/>
          <w:szCs w:val="24"/>
        </w:rPr>
        <w:t>Requires the Cytoskeleton for Toxic Activity. </w:t>
      </w:r>
      <w:r w:rsidRPr="00C33BA8">
        <w:rPr>
          <w:rFonts w:ascii="Book Antiqua" w:hAnsi="Book Antiqua"/>
          <w:i/>
          <w:iCs/>
          <w:color w:val="000000" w:themeColor="text1"/>
          <w:sz w:val="24"/>
          <w:szCs w:val="24"/>
        </w:rPr>
        <w:t>Jundishapur J Microbiol</w:t>
      </w:r>
      <w:r w:rsidRPr="00C33BA8">
        <w:rPr>
          <w:rFonts w:ascii="Book Antiqua" w:hAnsi="Book Antiqua"/>
          <w:color w:val="000000" w:themeColor="text1"/>
          <w:sz w:val="24"/>
          <w:szCs w:val="24"/>
        </w:rPr>
        <w:t> 2016; </w:t>
      </w:r>
      <w:r w:rsidRPr="00C33BA8">
        <w:rPr>
          <w:rFonts w:ascii="Book Antiqua" w:hAnsi="Book Antiqua"/>
          <w:b/>
          <w:bCs/>
          <w:color w:val="000000" w:themeColor="text1"/>
          <w:sz w:val="24"/>
          <w:szCs w:val="24"/>
        </w:rPr>
        <w:t>9</w:t>
      </w:r>
      <w:r w:rsidRPr="00C33BA8">
        <w:rPr>
          <w:rFonts w:ascii="Book Antiqua" w:hAnsi="Book Antiqua"/>
          <w:color w:val="000000" w:themeColor="text1"/>
          <w:sz w:val="24"/>
          <w:szCs w:val="24"/>
        </w:rPr>
        <w:t>: e35591 [PMID: 27942359 DOI: 10.5812/jjm.35591]</w:t>
      </w:r>
    </w:p>
    <w:p w14:paraId="659B5812" w14:textId="77777777" w:rsidR="00D43E0D" w:rsidRPr="00C33BA8" w:rsidRDefault="00D43E0D" w:rsidP="00D43E0D">
      <w:pPr>
        <w:pStyle w:val="ListParagraph"/>
        <w:tabs>
          <w:tab w:val="left" w:pos="480"/>
        </w:tabs>
        <w:adjustRightInd w:val="0"/>
        <w:snapToGrid w:val="0"/>
        <w:spacing w:line="360" w:lineRule="auto"/>
        <w:ind w:left="0" w:firstLine="0"/>
        <w:jc w:val="both"/>
        <w:rPr>
          <w:rFonts w:ascii="Book Antiqua" w:hAnsi="Book Antiqua"/>
          <w:color w:val="000000" w:themeColor="text1"/>
          <w:sz w:val="24"/>
          <w:szCs w:val="24"/>
        </w:rPr>
      </w:pPr>
      <w:r w:rsidRPr="00C33BA8">
        <w:rPr>
          <w:rFonts w:ascii="Book Antiqua" w:hAnsi="Book Antiqua"/>
          <w:color w:val="000000" w:themeColor="text1"/>
          <w:sz w:val="24"/>
          <w:szCs w:val="24"/>
        </w:rPr>
        <w:t>30 </w:t>
      </w:r>
      <w:r w:rsidRPr="00C33BA8">
        <w:rPr>
          <w:rFonts w:ascii="Book Antiqua" w:hAnsi="Book Antiqua"/>
          <w:b/>
          <w:bCs/>
          <w:color w:val="000000" w:themeColor="text1"/>
          <w:sz w:val="24"/>
          <w:szCs w:val="24"/>
        </w:rPr>
        <w:t>Ivanov AI</w:t>
      </w:r>
      <w:r w:rsidRPr="00C33BA8">
        <w:rPr>
          <w:rFonts w:ascii="Book Antiqua" w:hAnsi="Book Antiqua"/>
          <w:color w:val="000000" w:themeColor="text1"/>
          <w:sz w:val="24"/>
          <w:szCs w:val="24"/>
        </w:rPr>
        <w:t>, Parkos CA, Nusrat A. Cytoskeletal regulation of epithelial barrier function during inflammation. </w:t>
      </w:r>
      <w:r w:rsidRPr="00C33BA8">
        <w:rPr>
          <w:rFonts w:ascii="Book Antiqua" w:hAnsi="Book Antiqua"/>
          <w:i/>
          <w:iCs/>
          <w:color w:val="000000" w:themeColor="text1"/>
          <w:sz w:val="24"/>
          <w:szCs w:val="24"/>
        </w:rPr>
        <w:t>Am J Pathol</w:t>
      </w:r>
      <w:r w:rsidRPr="00C33BA8">
        <w:rPr>
          <w:rFonts w:ascii="Book Antiqua" w:hAnsi="Book Antiqua"/>
          <w:color w:val="000000" w:themeColor="text1"/>
          <w:sz w:val="24"/>
          <w:szCs w:val="24"/>
        </w:rPr>
        <w:t> 2010; </w:t>
      </w:r>
      <w:r w:rsidRPr="00C33BA8">
        <w:rPr>
          <w:rFonts w:ascii="Book Antiqua" w:hAnsi="Book Antiqua"/>
          <w:b/>
          <w:bCs/>
          <w:color w:val="000000" w:themeColor="text1"/>
          <w:sz w:val="24"/>
          <w:szCs w:val="24"/>
        </w:rPr>
        <w:t>177</w:t>
      </w:r>
      <w:r w:rsidRPr="00C33BA8">
        <w:rPr>
          <w:rFonts w:ascii="Book Antiqua" w:hAnsi="Book Antiqua"/>
          <w:color w:val="000000" w:themeColor="text1"/>
          <w:sz w:val="24"/>
          <w:szCs w:val="24"/>
        </w:rPr>
        <w:t>: 512-524 [PMID: 20581053 DOI: 10.2353/ajpath.2010.100168]</w:t>
      </w:r>
    </w:p>
    <w:p w14:paraId="138E855B" w14:textId="77777777" w:rsidR="00D43E0D" w:rsidRPr="00C33BA8" w:rsidRDefault="00D43E0D" w:rsidP="00D43E0D">
      <w:pPr>
        <w:pStyle w:val="ListParagraph"/>
        <w:tabs>
          <w:tab w:val="left" w:pos="480"/>
        </w:tabs>
        <w:adjustRightInd w:val="0"/>
        <w:snapToGrid w:val="0"/>
        <w:spacing w:line="360" w:lineRule="auto"/>
        <w:ind w:left="0" w:firstLine="0"/>
        <w:jc w:val="both"/>
        <w:rPr>
          <w:rFonts w:ascii="Book Antiqua" w:hAnsi="Book Antiqua"/>
          <w:color w:val="000000" w:themeColor="text1"/>
          <w:sz w:val="24"/>
          <w:szCs w:val="24"/>
        </w:rPr>
      </w:pPr>
      <w:r w:rsidRPr="00C33BA8">
        <w:rPr>
          <w:rFonts w:ascii="Book Antiqua" w:hAnsi="Book Antiqua"/>
          <w:color w:val="000000" w:themeColor="text1"/>
          <w:sz w:val="24"/>
          <w:szCs w:val="24"/>
        </w:rPr>
        <w:t>31 </w:t>
      </w:r>
      <w:r w:rsidRPr="00C33BA8">
        <w:rPr>
          <w:rFonts w:ascii="Book Antiqua" w:hAnsi="Book Antiqua"/>
          <w:b/>
          <w:bCs/>
          <w:color w:val="000000" w:themeColor="text1"/>
          <w:sz w:val="24"/>
          <w:szCs w:val="24"/>
        </w:rPr>
        <w:t>Sheffer AL</w:t>
      </w:r>
      <w:r w:rsidRPr="00C33BA8">
        <w:rPr>
          <w:rFonts w:ascii="Book Antiqua" w:hAnsi="Book Antiqua"/>
          <w:color w:val="000000" w:themeColor="text1"/>
          <w:sz w:val="24"/>
          <w:szCs w:val="24"/>
        </w:rPr>
        <w:t>, Lieberman PL, Aaronson DW, Anderson JA, Kaplan AP, Pierson WE, Ellis EF, Lichtenstein LM, Lockey RF, Salvaggio JE. Measurement of circulating IgG and IgE food-immune complexes. </w:t>
      </w:r>
      <w:r w:rsidRPr="00C33BA8">
        <w:rPr>
          <w:rFonts w:ascii="Book Antiqua" w:hAnsi="Book Antiqua"/>
          <w:i/>
          <w:iCs/>
          <w:color w:val="000000" w:themeColor="text1"/>
          <w:sz w:val="24"/>
          <w:szCs w:val="24"/>
        </w:rPr>
        <w:t>J Allergy Clin Immunol</w:t>
      </w:r>
      <w:r w:rsidRPr="00C33BA8">
        <w:rPr>
          <w:rFonts w:ascii="Book Antiqua" w:hAnsi="Book Antiqua"/>
          <w:color w:val="000000" w:themeColor="text1"/>
          <w:sz w:val="24"/>
          <w:szCs w:val="24"/>
        </w:rPr>
        <w:t> 1988; </w:t>
      </w:r>
      <w:r w:rsidRPr="00C33BA8">
        <w:rPr>
          <w:rFonts w:ascii="Book Antiqua" w:hAnsi="Book Antiqua"/>
          <w:b/>
          <w:bCs/>
          <w:color w:val="000000" w:themeColor="text1"/>
          <w:sz w:val="24"/>
          <w:szCs w:val="24"/>
        </w:rPr>
        <w:t>81</w:t>
      </w:r>
      <w:r w:rsidRPr="00C33BA8">
        <w:rPr>
          <w:rFonts w:ascii="Book Antiqua" w:hAnsi="Book Antiqua"/>
          <w:color w:val="000000" w:themeColor="text1"/>
          <w:sz w:val="24"/>
          <w:szCs w:val="24"/>
        </w:rPr>
        <w:t>: 758-760 [PMID: 3356853]</w:t>
      </w:r>
    </w:p>
    <w:p w14:paraId="5D9EAD3A" w14:textId="77777777" w:rsidR="00D43E0D" w:rsidRPr="00C33BA8" w:rsidRDefault="00D43E0D" w:rsidP="00D43E0D">
      <w:pPr>
        <w:pStyle w:val="ListParagraph"/>
        <w:tabs>
          <w:tab w:val="left" w:pos="480"/>
        </w:tabs>
        <w:adjustRightInd w:val="0"/>
        <w:snapToGrid w:val="0"/>
        <w:spacing w:line="360" w:lineRule="auto"/>
        <w:ind w:left="0" w:firstLine="0"/>
        <w:jc w:val="both"/>
        <w:rPr>
          <w:rFonts w:ascii="Book Antiqua" w:hAnsi="Book Antiqua"/>
          <w:color w:val="000000" w:themeColor="text1"/>
          <w:sz w:val="24"/>
          <w:szCs w:val="24"/>
        </w:rPr>
      </w:pPr>
      <w:r w:rsidRPr="00C33BA8">
        <w:rPr>
          <w:rFonts w:ascii="Book Antiqua" w:hAnsi="Book Antiqua"/>
          <w:color w:val="000000" w:themeColor="text1"/>
          <w:sz w:val="24"/>
          <w:szCs w:val="24"/>
        </w:rPr>
        <w:t>32 </w:t>
      </w:r>
      <w:r w:rsidRPr="00C33BA8">
        <w:rPr>
          <w:rFonts w:ascii="Book Antiqua" w:hAnsi="Book Antiqua"/>
          <w:b/>
          <w:bCs/>
          <w:color w:val="000000" w:themeColor="text1"/>
          <w:sz w:val="24"/>
          <w:szCs w:val="24"/>
        </w:rPr>
        <w:t>Critchley DR</w:t>
      </w:r>
      <w:r w:rsidRPr="00C33BA8">
        <w:rPr>
          <w:rFonts w:ascii="Book Antiqua" w:hAnsi="Book Antiqua"/>
          <w:color w:val="000000" w:themeColor="text1"/>
          <w:sz w:val="24"/>
          <w:szCs w:val="24"/>
        </w:rPr>
        <w:t>. Cytoskeletal proteins talin and vinculin in integrin-mediated adhesion. </w:t>
      </w:r>
      <w:r w:rsidRPr="00C33BA8">
        <w:rPr>
          <w:rFonts w:ascii="Book Antiqua" w:hAnsi="Book Antiqua"/>
          <w:i/>
          <w:iCs/>
          <w:color w:val="000000" w:themeColor="text1"/>
          <w:sz w:val="24"/>
          <w:szCs w:val="24"/>
        </w:rPr>
        <w:t>Biochem Soc Trans</w:t>
      </w:r>
      <w:r w:rsidRPr="00C33BA8">
        <w:rPr>
          <w:rFonts w:ascii="Book Antiqua" w:hAnsi="Book Antiqua"/>
          <w:color w:val="000000" w:themeColor="text1"/>
          <w:sz w:val="24"/>
          <w:szCs w:val="24"/>
        </w:rPr>
        <w:t> 2004; </w:t>
      </w:r>
      <w:r w:rsidRPr="00C33BA8">
        <w:rPr>
          <w:rFonts w:ascii="Book Antiqua" w:hAnsi="Book Antiqua"/>
          <w:b/>
          <w:bCs/>
          <w:color w:val="000000" w:themeColor="text1"/>
          <w:sz w:val="24"/>
          <w:szCs w:val="24"/>
        </w:rPr>
        <w:t>32</w:t>
      </w:r>
      <w:r w:rsidRPr="00C33BA8">
        <w:rPr>
          <w:rFonts w:ascii="Book Antiqua" w:hAnsi="Book Antiqua"/>
          <w:color w:val="000000" w:themeColor="text1"/>
          <w:sz w:val="24"/>
          <w:szCs w:val="24"/>
        </w:rPr>
        <w:t>: 831-836 [PMID: 15494027 DOI: 10.1042/BST0320831]</w:t>
      </w:r>
    </w:p>
    <w:p w14:paraId="2B687A9D" w14:textId="77777777" w:rsidR="00D43E0D" w:rsidRPr="00C33BA8" w:rsidRDefault="00D43E0D" w:rsidP="00D43E0D">
      <w:pPr>
        <w:pStyle w:val="ListParagraph"/>
        <w:tabs>
          <w:tab w:val="left" w:pos="480"/>
        </w:tabs>
        <w:adjustRightInd w:val="0"/>
        <w:snapToGrid w:val="0"/>
        <w:spacing w:line="360" w:lineRule="auto"/>
        <w:ind w:left="0" w:firstLine="0"/>
        <w:jc w:val="both"/>
        <w:rPr>
          <w:rFonts w:ascii="Book Antiqua" w:hAnsi="Book Antiqua"/>
          <w:color w:val="000000" w:themeColor="text1"/>
          <w:sz w:val="24"/>
          <w:szCs w:val="24"/>
        </w:rPr>
      </w:pPr>
      <w:r w:rsidRPr="00C33BA8">
        <w:rPr>
          <w:rFonts w:ascii="Book Antiqua" w:hAnsi="Book Antiqua"/>
          <w:color w:val="000000" w:themeColor="text1"/>
          <w:sz w:val="24"/>
          <w:szCs w:val="24"/>
        </w:rPr>
        <w:t>33 </w:t>
      </w:r>
      <w:r w:rsidRPr="00C33BA8">
        <w:rPr>
          <w:rFonts w:ascii="Book Antiqua" w:hAnsi="Book Antiqua"/>
          <w:b/>
          <w:bCs/>
          <w:color w:val="000000" w:themeColor="text1"/>
          <w:sz w:val="24"/>
          <w:szCs w:val="24"/>
        </w:rPr>
        <w:t>Gingras AR</w:t>
      </w:r>
      <w:r w:rsidRPr="00C33BA8">
        <w:rPr>
          <w:rFonts w:ascii="Book Antiqua" w:hAnsi="Book Antiqua"/>
          <w:color w:val="000000" w:themeColor="text1"/>
          <w:sz w:val="24"/>
          <w:szCs w:val="24"/>
        </w:rPr>
        <w:t>, Vogel KP, Steinhoff HJ, Ziegler WH, Patel B, Emsley J, Critchley DR, Roberts GC, Barsukov IL. Structural and dynamic characterization of a vinculin binding site in the talin rod. </w:t>
      </w:r>
      <w:r w:rsidRPr="00C33BA8">
        <w:rPr>
          <w:rFonts w:ascii="Book Antiqua" w:hAnsi="Book Antiqua"/>
          <w:i/>
          <w:iCs/>
          <w:color w:val="000000" w:themeColor="text1"/>
          <w:sz w:val="24"/>
          <w:szCs w:val="24"/>
        </w:rPr>
        <w:t>Biochemistry</w:t>
      </w:r>
      <w:r w:rsidRPr="00C33BA8">
        <w:rPr>
          <w:rFonts w:ascii="Book Antiqua" w:hAnsi="Book Antiqua"/>
          <w:color w:val="000000" w:themeColor="text1"/>
          <w:sz w:val="24"/>
          <w:szCs w:val="24"/>
        </w:rPr>
        <w:t> 2006; </w:t>
      </w:r>
      <w:r w:rsidRPr="00C33BA8">
        <w:rPr>
          <w:rFonts w:ascii="Book Antiqua" w:hAnsi="Book Antiqua"/>
          <w:b/>
          <w:bCs/>
          <w:color w:val="000000" w:themeColor="text1"/>
          <w:sz w:val="24"/>
          <w:szCs w:val="24"/>
        </w:rPr>
        <w:t>45</w:t>
      </w:r>
      <w:r w:rsidRPr="00C33BA8">
        <w:rPr>
          <w:rFonts w:ascii="Book Antiqua" w:hAnsi="Book Antiqua"/>
          <w:color w:val="000000" w:themeColor="text1"/>
          <w:sz w:val="24"/>
          <w:szCs w:val="24"/>
        </w:rPr>
        <w:t>: 1805-1817 [PMID: 16460027 DOI: 10.1021/bi052136l]</w:t>
      </w:r>
    </w:p>
    <w:p w14:paraId="6234AC21" w14:textId="77777777" w:rsidR="00D43E0D" w:rsidRPr="00C33BA8" w:rsidRDefault="00D43E0D" w:rsidP="00D43E0D">
      <w:pPr>
        <w:pStyle w:val="ListParagraph"/>
        <w:tabs>
          <w:tab w:val="left" w:pos="480"/>
        </w:tabs>
        <w:adjustRightInd w:val="0"/>
        <w:snapToGrid w:val="0"/>
        <w:spacing w:line="360" w:lineRule="auto"/>
        <w:ind w:left="0" w:firstLine="0"/>
        <w:jc w:val="both"/>
        <w:rPr>
          <w:rFonts w:ascii="Book Antiqua" w:hAnsi="Book Antiqua"/>
          <w:color w:val="000000" w:themeColor="text1"/>
          <w:sz w:val="24"/>
          <w:szCs w:val="24"/>
        </w:rPr>
      </w:pPr>
      <w:r w:rsidRPr="00C33BA8">
        <w:rPr>
          <w:rFonts w:ascii="Book Antiqua" w:hAnsi="Book Antiqua"/>
          <w:color w:val="000000" w:themeColor="text1"/>
          <w:sz w:val="24"/>
          <w:szCs w:val="24"/>
        </w:rPr>
        <w:t>34 </w:t>
      </w:r>
      <w:r w:rsidRPr="00C33BA8">
        <w:rPr>
          <w:rFonts w:ascii="Book Antiqua" w:hAnsi="Book Antiqua"/>
          <w:b/>
          <w:bCs/>
          <w:color w:val="000000" w:themeColor="text1"/>
          <w:sz w:val="24"/>
          <w:szCs w:val="24"/>
        </w:rPr>
        <w:t>Klapholz B</w:t>
      </w:r>
      <w:r w:rsidRPr="00C33BA8">
        <w:rPr>
          <w:rFonts w:ascii="Book Antiqua" w:hAnsi="Book Antiqua"/>
          <w:color w:val="000000" w:themeColor="text1"/>
          <w:sz w:val="24"/>
          <w:szCs w:val="24"/>
        </w:rPr>
        <w:t>, Herbert SL, Wellmann J, Johnson R, Parsons M, Brown NH. Alternative mechanisms for talin to mediate integrin function. </w:t>
      </w:r>
      <w:r w:rsidRPr="00C33BA8">
        <w:rPr>
          <w:rFonts w:ascii="Book Antiqua" w:hAnsi="Book Antiqua"/>
          <w:i/>
          <w:iCs/>
          <w:color w:val="000000" w:themeColor="text1"/>
          <w:sz w:val="24"/>
          <w:szCs w:val="24"/>
        </w:rPr>
        <w:t>Curr Biol</w:t>
      </w:r>
      <w:r w:rsidRPr="00C33BA8">
        <w:rPr>
          <w:rFonts w:ascii="Book Antiqua" w:hAnsi="Book Antiqua"/>
          <w:color w:val="000000" w:themeColor="text1"/>
          <w:sz w:val="24"/>
          <w:szCs w:val="24"/>
        </w:rPr>
        <w:t> 2015; </w:t>
      </w:r>
      <w:r w:rsidRPr="00C33BA8">
        <w:rPr>
          <w:rFonts w:ascii="Book Antiqua" w:hAnsi="Book Antiqua"/>
          <w:b/>
          <w:bCs/>
          <w:color w:val="000000" w:themeColor="text1"/>
          <w:sz w:val="24"/>
          <w:szCs w:val="24"/>
        </w:rPr>
        <w:t>25</w:t>
      </w:r>
      <w:r w:rsidRPr="00C33BA8">
        <w:rPr>
          <w:rFonts w:ascii="Book Antiqua" w:hAnsi="Book Antiqua"/>
          <w:color w:val="000000" w:themeColor="text1"/>
          <w:sz w:val="24"/>
          <w:szCs w:val="24"/>
        </w:rPr>
        <w:t xml:space="preserve">: 847-857 [PMID: </w:t>
      </w:r>
      <w:r w:rsidRPr="00C33BA8">
        <w:rPr>
          <w:rFonts w:ascii="Book Antiqua" w:hAnsi="Book Antiqua"/>
          <w:color w:val="000000" w:themeColor="text1"/>
          <w:sz w:val="24"/>
          <w:szCs w:val="24"/>
        </w:rPr>
        <w:lastRenderedPageBreak/>
        <w:t>25754646 DOI: 10.1016/j.cub.2015.01.043]</w:t>
      </w:r>
    </w:p>
    <w:p w14:paraId="19BC58B0" w14:textId="77777777" w:rsidR="00D43E0D" w:rsidRPr="00C33BA8" w:rsidRDefault="00D43E0D" w:rsidP="00D43E0D">
      <w:pPr>
        <w:pStyle w:val="ListParagraph"/>
        <w:tabs>
          <w:tab w:val="left" w:pos="480"/>
        </w:tabs>
        <w:adjustRightInd w:val="0"/>
        <w:snapToGrid w:val="0"/>
        <w:spacing w:line="360" w:lineRule="auto"/>
        <w:ind w:left="0" w:firstLine="0"/>
        <w:jc w:val="both"/>
        <w:rPr>
          <w:rFonts w:ascii="Book Antiqua" w:hAnsi="Book Antiqua"/>
          <w:color w:val="000000" w:themeColor="text1"/>
          <w:sz w:val="24"/>
          <w:szCs w:val="24"/>
        </w:rPr>
      </w:pPr>
      <w:r w:rsidRPr="00C33BA8">
        <w:rPr>
          <w:rFonts w:ascii="Book Antiqua" w:hAnsi="Book Antiqua"/>
          <w:color w:val="000000" w:themeColor="text1"/>
          <w:sz w:val="24"/>
          <w:szCs w:val="24"/>
        </w:rPr>
        <w:t>35 </w:t>
      </w:r>
      <w:r w:rsidRPr="00C33BA8">
        <w:rPr>
          <w:rFonts w:ascii="Book Antiqua" w:hAnsi="Book Antiqua"/>
          <w:b/>
          <w:bCs/>
          <w:color w:val="000000" w:themeColor="text1"/>
          <w:sz w:val="24"/>
          <w:szCs w:val="24"/>
        </w:rPr>
        <w:t>Bourdet-Sicard R</w:t>
      </w:r>
      <w:r w:rsidRPr="00C33BA8">
        <w:rPr>
          <w:rFonts w:ascii="Book Antiqua" w:hAnsi="Book Antiqua"/>
          <w:color w:val="000000" w:themeColor="text1"/>
          <w:sz w:val="24"/>
          <w:szCs w:val="24"/>
        </w:rPr>
        <w:t>, Rüdiger M, Jockusch BM, Gounon P, Sansonetti PJ, Nhieu GT. Binding of the Shigella protein IpaA to vinculin induces F-actin depolymerization. </w:t>
      </w:r>
      <w:r w:rsidRPr="00C33BA8">
        <w:rPr>
          <w:rFonts w:ascii="Book Antiqua" w:hAnsi="Book Antiqua"/>
          <w:i/>
          <w:iCs/>
          <w:color w:val="000000" w:themeColor="text1"/>
          <w:sz w:val="24"/>
          <w:szCs w:val="24"/>
        </w:rPr>
        <w:t>EMBO J</w:t>
      </w:r>
      <w:r w:rsidRPr="00C33BA8">
        <w:rPr>
          <w:rFonts w:ascii="Book Antiqua" w:hAnsi="Book Antiqua"/>
          <w:color w:val="000000" w:themeColor="text1"/>
          <w:sz w:val="24"/>
          <w:szCs w:val="24"/>
        </w:rPr>
        <w:t>1999; </w:t>
      </w:r>
      <w:r w:rsidRPr="00C33BA8">
        <w:rPr>
          <w:rFonts w:ascii="Book Antiqua" w:hAnsi="Book Antiqua"/>
          <w:b/>
          <w:bCs/>
          <w:color w:val="000000" w:themeColor="text1"/>
          <w:sz w:val="24"/>
          <w:szCs w:val="24"/>
        </w:rPr>
        <w:t>18</w:t>
      </w:r>
      <w:r w:rsidRPr="00C33BA8">
        <w:rPr>
          <w:rFonts w:ascii="Book Antiqua" w:hAnsi="Book Antiqua"/>
          <w:color w:val="000000" w:themeColor="text1"/>
          <w:sz w:val="24"/>
          <w:szCs w:val="24"/>
        </w:rPr>
        <w:t>: 5853-5862 [PMID: 10545097 DOI: 10.1093/emboj/18.21.5853]</w:t>
      </w:r>
    </w:p>
    <w:p w14:paraId="69A32496" w14:textId="77777777" w:rsidR="00D43E0D" w:rsidRPr="00C33BA8" w:rsidRDefault="00D43E0D" w:rsidP="00D43E0D">
      <w:pPr>
        <w:pStyle w:val="ListParagraph"/>
        <w:tabs>
          <w:tab w:val="left" w:pos="480"/>
        </w:tabs>
        <w:adjustRightInd w:val="0"/>
        <w:snapToGrid w:val="0"/>
        <w:spacing w:line="360" w:lineRule="auto"/>
        <w:ind w:left="0" w:firstLine="0"/>
        <w:jc w:val="both"/>
        <w:rPr>
          <w:rFonts w:ascii="Book Antiqua" w:hAnsi="Book Antiqua"/>
          <w:color w:val="000000" w:themeColor="text1"/>
          <w:sz w:val="24"/>
          <w:szCs w:val="24"/>
        </w:rPr>
      </w:pPr>
      <w:r w:rsidRPr="00C33BA8">
        <w:rPr>
          <w:rFonts w:ascii="Book Antiqua" w:hAnsi="Book Antiqua"/>
          <w:color w:val="000000" w:themeColor="text1"/>
          <w:sz w:val="24"/>
          <w:szCs w:val="24"/>
        </w:rPr>
        <w:t>36 </w:t>
      </w:r>
      <w:r w:rsidRPr="00C33BA8">
        <w:rPr>
          <w:rFonts w:ascii="Book Antiqua" w:hAnsi="Book Antiqua"/>
          <w:b/>
          <w:bCs/>
          <w:color w:val="000000" w:themeColor="text1"/>
          <w:sz w:val="24"/>
          <w:szCs w:val="24"/>
        </w:rPr>
        <w:t>Izard T</w:t>
      </w:r>
      <w:r w:rsidRPr="00C33BA8">
        <w:rPr>
          <w:rFonts w:ascii="Book Antiqua" w:hAnsi="Book Antiqua"/>
          <w:color w:val="000000" w:themeColor="text1"/>
          <w:sz w:val="24"/>
          <w:szCs w:val="24"/>
        </w:rPr>
        <w:t>, Tran Van Nhieu G, Bois PR. Shigella applies molecular mimicry to subvert vinculin and invade host cells. </w:t>
      </w:r>
      <w:r w:rsidRPr="00C33BA8">
        <w:rPr>
          <w:rFonts w:ascii="Book Antiqua" w:hAnsi="Book Antiqua"/>
          <w:i/>
          <w:iCs/>
          <w:color w:val="000000" w:themeColor="text1"/>
          <w:sz w:val="24"/>
          <w:szCs w:val="24"/>
        </w:rPr>
        <w:t>J Cell Biol</w:t>
      </w:r>
      <w:r w:rsidRPr="00C33BA8">
        <w:rPr>
          <w:rFonts w:ascii="Book Antiqua" w:hAnsi="Book Antiqua"/>
          <w:color w:val="000000" w:themeColor="text1"/>
          <w:sz w:val="24"/>
          <w:szCs w:val="24"/>
        </w:rPr>
        <w:t> 2006; </w:t>
      </w:r>
      <w:r w:rsidRPr="00C33BA8">
        <w:rPr>
          <w:rFonts w:ascii="Book Antiqua" w:hAnsi="Book Antiqua"/>
          <w:b/>
          <w:bCs/>
          <w:color w:val="000000" w:themeColor="text1"/>
          <w:sz w:val="24"/>
          <w:szCs w:val="24"/>
        </w:rPr>
        <w:t>175</w:t>
      </w:r>
      <w:r w:rsidRPr="00C33BA8">
        <w:rPr>
          <w:rFonts w:ascii="Book Antiqua" w:hAnsi="Book Antiqua"/>
          <w:color w:val="000000" w:themeColor="text1"/>
          <w:sz w:val="24"/>
          <w:szCs w:val="24"/>
        </w:rPr>
        <w:t>: 465-475 [PMID: 17088427 DOI: 10.1083/jcb.200605091]</w:t>
      </w:r>
    </w:p>
    <w:p w14:paraId="32BF87BA" w14:textId="7FB4BE4A" w:rsidR="00D43E0D" w:rsidRPr="00C33BA8" w:rsidRDefault="00D43E0D" w:rsidP="00D43E0D">
      <w:pPr>
        <w:pStyle w:val="ListParagraph"/>
        <w:tabs>
          <w:tab w:val="left" w:pos="480"/>
        </w:tabs>
        <w:adjustRightInd w:val="0"/>
        <w:snapToGrid w:val="0"/>
        <w:spacing w:line="360" w:lineRule="auto"/>
        <w:ind w:left="0" w:firstLine="0"/>
        <w:jc w:val="both"/>
        <w:rPr>
          <w:rFonts w:ascii="Book Antiqua" w:hAnsi="Book Antiqua"/>
          <w:color w:val="000000" w:themeColor="text1"/>
          <w:sz w:val="24"/>
          <w:szCs w:val="24"/>
        </w:rPr>
      </w:pPr>
      <w:r w:rsidRPr="00C33BA8">
        <w:rPr>
          <w:rFonts w:ascii="Book Antiqua" w:hAnsi="Book Antiqua"/>
          <w:color w:val="000000" w:themeColor="text1"/>
          <w:sz w:val="24"/>
          <w:szCs w:val="24"/>
        </w:rPr>
        <w:t>37 </w:t>
      </w:r>
      <w:r w:rsidRPr="00C33BA8">
        <w:rPr>
          <w:rFonts w:ascii="Book Antiqua" w:hAnsi="Book Antiqua"/>
          <w:b/>
          <w:bCs/>
          <w:color w:val="000000" w:themeColor="text1"/>
          <w:sz w:val="24"/>
          <w:szCs w:val="24"/>
        </w:rPr>
        <w:t>Groschwitz KR</w:t>
      </w:r>
      <w:r w:rsidRPr="00C33BA8">
        <w:rPr>
          <w:rFonts w:ascii="Book Antiqua" w:hAnsi="Book Antiqua"/>
          <w:color w:val="000000" w:themeColor="text1"/>
          <w:sz w:val="24"/>
          <w:szCs w:val="24"/>
        </w:rPr>
        <w:t>, Hogan SP. Intestinal barrier function: molecular regulation and disease pathogenesis. </w:t>
      </w:r>
      <w:r w:rsidRPr="00C33BA8">
        <w:rPr>
          <w:rFonts w:ascii="Book Antiqua" w:hAnsi="Book Antiqua"/>
          <w:i/>
          <w:iCs/>
          <w:color w:val="000000" w:themeColor="text1"/>
          <w:sz w:val="24"/>
          <w:szCs w:val="24"/>
        </w:rPr>
        <w:t>J Allergy Clin Immunol</w:t>
      </w:r>
      <w:r w:rsidRPr="00C33BA8">
        <w:rPr>
          <w:rFonts w:ascii="Book Antiqua" w:hAnsi="Book Antiqua"/>
          <w:color w:val="000000" w:themeColor="text1"/>
          <w:sz w:val="24"/>
          <w:szCs w:val="24"/>
        </w:rPr>
        <w:t> 2009; </w:t>
      </w:r>
      <w:r w:rsidRPr="00C33BA8">
        <w:rPr>
          <w:rFonts w:ascii="Book Antiqua" w:hAnsi="Book Antiqua"/>
          <w:b/>
          <w:bCs/>
          <w:color w:val="000000" w:themeColor="text1"/>
          <w:sz w:val="24"/>
          <w:szCs w:val="24"/>
        </w:rPr>
        <w:t>124</w:t>
      </w:r>
      <w:r w:rsidRPr="00C33BA8">
        <w:rPr>
          <w:rFonts w:ascii="Book Antiqua" w:hAnsi="Book Antiqua"/>
          <w:color w:val="000000" w:themeColor="text1"/>
          <w:sz w:val="24"/>
          <w:szCs w:val="24"/>
        </w:rPr>
        <w:t>: 3-20; quiz 21-</w:t>
      </w:r>
      <w:r w:rsidR="002B580C">
        <w:rPr>
          <w:rFonts w:ascii="Book Antiqua" w:eastAsiaTheme="minorEastAsia" w:hAnsi="Book Antiqua" w:hint="eastAsia"/>
          <w:color w:val="000000" w:themeColor="text1"/>
          <w:sz w:val="24"/>
          <w:szCs w:val="24"/>
          <w:lang w:eastAsia="zh-CN"/>
        </w:rPr>
        <w:t>2</w:t>
      </w:r>
      <w:r w:rsidRPr="00C33BA8">
        <w:rPr>
          <w:rFonts w:ascii="Book Antiqua" w:hAnsi="Book Antiqua"/>
          <w:color w:val="000000" w:themeColor="text1"/>
          <w:sz w:val="24"/>
          <w:szCs w:val="24"/>
        </w:rPr>
        <w:t>2 [PMID: 19560575 DOI: 10.1016/j.jaci.2009.05.038]</w:t>
      </w:r>
    </w:p>
    <w:p w14:paraId="78C6C05C" w14:textId="77777777" w:rsidR="00D43E0D" w:rsidRPr="00C33BA8" w:rsidRDefault="00D43E0D" w:rsidP="00D43E0D">
      <w:pPr>
        <w:pStyle w:val="ListParagraph"/>
        <w:tabs>
          <w:tab w:val="left" w:pos="480"/>
        </w:tabs>
        <w:adjustRightInd w:val="0"/>
        <w:snapToGrid w:val="0"/>
        <w:spacing w:line="360" w:lineRule="auto"/>
        <w:ind w:left="0" w:firstLine="0"/>
        <w:jc w:val="both"/>
        <w:rPr>
          <w:rFonts w:ascii="Book Antiqua" w:hAnsi="Book Antiqua"/>
          <w:color w:val="000000" w:themeColor="text1"/>
          <w:sz w:val="24"/>
          <w:szCs w:val="24"/>
        </w:rPr>
      </w:pPr>
      <w:r w:rsidRPr="00C33BA8">
        <w:rPr>
          <w:rFonts w:ascii="Book Antiqua" w:hAnsi="Book Antiqua"/>
          <w:color w:val="000000" w:themeColor="text1"/>
          <w:sz w:val="24"/>
          <w:szCs w:val="24"/>
        </w:rPr>
        <w:t>38 </w:t>
      </w:r>
      <w:r w:rsidRPr="00C33BA8">
        <w:rPr>
          <w:rFonts w:ascii="Book Antiqua" w:hAnsi="Book Antiqua"/>
          <w:b/>
          <w:bCs/>
          <w:color w:val="000000" w:themeColor="text1"/>
          <w:sz w:val="24"/>
          <w:szCs w:val="24"/>
        </w:rPr>
        <w:t>O'Hara JR</w:t>
      </w:r>
      <w:r w:rsidRPr="00C33BA8">
        <w:rPr>
          <w:rFonts w:ascii="Book Antiqua" w:hAnsi="Book Antiqua"/>
          <w:color w:val="000000" w:themeColor="text1"/>
          <w:sz w:val="24"/>
          <w:szCs w:val="24"/>
        </w:rPr>
        <w:t>, Buret AG. Mechanisms of intestinal tight junctional disruption during infection. </w:t>
      </w:r>
      <w:r w:rsidRPr="00C33BA8">
        <w:rPr>
          <w:rFonts w:ascii="Book Antiqua" w:hAnsi="Book Antiqua"/>
          <w:i/>
          <w:iCs/>
          <w:color w:val="000000" w:themeColor="text1"/>
          <w:sz w:val="24"/>
          <w:szCs w:val="24"/>
        </w:rPr>
        <w:t>Front Biosci</w:t>
      </w:r>
      <w:r w:rsidRPr="00C33BA8">
        <w:rPr>
          <w:rFonts w:ascii="Book Antiqua" w:hAnsi="Book Antiqua"/>
          <w:color w:val="000000" w:themeColor="text1"/>
          <w:sz w:val="24"/>
          <w:szCs w:val="24"/>
        </w:rPr>
        <w:t> 2008; </w:t>
      </w:r>
      <w:r w:rsidRPr="00C33BA8">
        <w:rPr>
          <w:rFonts w:ascii="Book Antiqua" w:hAnsi="Book Antiqua"/>
          <w:b/>
          <w:bCs/>
          <w:color w:val="000000" w:themeColor="text1"/>
          <w:sz w:val="24"/>
          <w:szCs w:val="24"/>
        </w:rPr>
        <w:t>13</w:t>
      </w:r>
      <w:r w:rsidRPr="00C33BA8">
        <w:rPr>
          <w:rFonts w:ascii="Book Antiqua" w:hAnsi="Book Antiqua"/>
          <w:color w:val="000000" w:themeColor="text1"/>
          <w:sz w:val="24"/>
          <w:szCs w:val="24"/>
        </w:rPr>
        <w:t>: 7008-7021 [PMID: 18508712]</w:t>
      </w:r>
    </w:p>
    <w:p w14:paraId="7BCE88CC" w14:textId="77777777" w:rsidR="00D43E0D" w:rsidRPr="00C33BA8" w:rsidRDefault="00D43E0D" w:rsidP="00D43E0D">
      <w:pPr>
        <w:pStyle w:val="ListParagraph"/>
        <w:tabs>
          <w:tab w:val="left" w:pos="480"/>
        </w:tabs>
        <w:adjustRightInd w:val="0"/>
        <w:snapToGrid w:val="0"/>
        <w:spacing w:line="360" w:lineRule="auto"/>
        <w:ind w:left="0" w:firstLine="0"/>
        <w:jc w:val="both"/>
        <w:rPr>
          <w:rFonts w:ascii="Book Antiqua" w:hAnsi="Book Antiqua"/>
          <w:color w:val="000000" w:themeColor="text1"/>
          <w:sz w:val="24"/>
          <w:szCs w:val="24"/>
        </w:rPr>
      </w:pPr>
      <w:r w:rsidRPr="00C33BA8">
        <w:rPr>
          <w:rFonts w:ascii="Book Antiqua" w:hAnsi="Book Antiqua"/>
          <w:color w:val="000000" w:themeColor="text1"/>
          <w:sz w:val="24"/>
          <w:szCs w:val="24"/>
        </w:rPr>
        <w:t>39 </w:t>
      </w:r>
      <w:r w:rsidRPr="00C33BA8">
        <w:rPr>
          <w:rFonts w:ascii="Book Antiqua" w:hAnsi="Book Antiqua"/>
          <w:b/>
          <w:bCs/>
          <w:color w:val="000000" w:themeColor="text1"/>
          <w:sz w:val="24"/>
          <w:szCs w:val="24"/>
        </w:rPr>
        <w:t>Gassler N</w:t>
      </w:r>
      <w:r w:rsidRPr="00C33BA8">
        <w:rPr>
          <w:rFonts w:ascii="Book Antiqua" w:hAnsi="Book Antiqua"/>
          <w:color w:val="000000" w:themeColor="text1"/>
          <w:sz w:val="24"/>
          <w:szCs w:val="24"/>
        </w:rPr>
        <w:t>, Rohr C, Schneider A, Kartenbeck J, Bach A, Obermüller N, Otto HF, Autschbach F. Inflammatory bowel disease is associated with changes of enterocytic junctions. </w:t>
      </w:r>
      <w:r w:rsidRPr="00C33BA8">
        <w:rPr>
          <w:rFonts w:ascii="Book Antiqua" w:hAnsi="Book Antiqua"/>
          <w:i/>
          <w:iCs/>
          <w:color w:val="000000" w:themeColor="text1"/>
          <w:sz w:val="24"/>
          <w:szCs w:val="24"/>
        </w:rPr>
        <w:t>Am J Physiol Gastrointest Liver Physiol</w:t>
      </w:r>
      <w:r w:rsidRPr="00C33BA8">
        <w:rPr>
          <w:rFonts w:ascii="Book Antiqua" w:hAnsi="Book Antiqua"/>
          <w:color w:val="000000" w:themeColor="text1"/>
          <w:sz w:val="24"/>
          <w:szCs w:val="24"/>
        </w:rPr>
        <w:t> 2001; </w:t>
      </w:r>
      <w:r w:rsidRPr="00C33BA8">
        <w:rPr>
          <w:rFonts w:ascii="Book Antiqua" w:hAnsi="Book Antiqua"/>
          <w:b/>
          <w:bCs/>
          <w:color w:val="000000" w:themeColor="text1"/>
          <w:sz w:val="24"/>
          <w:szCs w:val="24"/>
        </w:rPr>
        <w:t>281</w:t>
      </w:r>
      <w:r w:rsidRPr="00C33BA8">
        <w:rPr>
          <w:rFonts w:ascii="Book Antiqua" w:hAnsi="Book Antiqua"/>
          <w:color w:val="000000" w:themeColor="text1"/>
          <w:sz w:val="24"/>
          <w:szCs w:val="24"/>
        </w:rPr>
        <w:t>: G216-G228 [PMID: 11408275 DOI: 10.1152/ajpgi.2001.281.1.G216]</w:t>
      </w:r>
    </w:p>
    <w:p w14:paraId="3D62F238" w14:textId="77777777" w:rsidR="00D43E0D" w:rsidRPr="00C33BA8" w:rsidRDefault="00D43E0D" w:rsidP="00D43E0D">
      <w:pPr>
        <w:pStyle w:val="ListParagraph"/>
        <w:tabs>
          <w:tab w:val="left" w:pos="480"/>
        </w:tabs>
        <w:adjustRightInd w:val="0"/>
        <w:snapToGrid w:val="0"/>
        <w:spacing w:line="360" w:lineRule="auto"/>
        <w:ind w:left="0" w:firstLine="0"/>
        <w:jc w:val="both"/>
        <w:rPr>
          <w:rFonts w:ascii="Book Antiqua" w:hAnsi="Book Antiqua"/>
          <w:color w:val="000000" w:themeColor="text1"/>
          <w:sz w:val="24"/>
          <w:szCs w:val="24"/>
        </w:rPr>
      </w:pPr>
      <w:r w:rsidRPr="00C33BA8">
        <w:rPr>
          <w:rFonts w:ascii="Book Antiqua" w:hAnsi="Book Antiqua"/>
          <w:color w:val="000000" w:themeColor="text1"/>
          <w:sz w:val="24"/>
          <w:szCs w:val="24"/>
        </w:rPr>
        <w:t>40 </w:t>
      </w:r>
      <w:r w:rsidRPr="00C33BA8">
        <w:rPr>
          <w:rFonts w:ascii="Book Antiqua" w:hAnsi="Book Antiqua"/>
          <w:b/>
          <w:bCs/>
          <w:color w:val="000000" w:themeColor="text1"/>
          <w:sz w:val="24"/>
          <w:szCs w:val="24"/>
        </w:rPr>
        <w:t>Kharrazian D</w:t>
      </w:r>
      <w:r w:rsidRPr="00C33BA8">
        <w:rPr>
          <w:rFonts w:ascii="Book Antiqua" w:hAnsi="Book Antiqua"/>
          <w:color w:val="000000" w:themeColor="text1"/>
          <w:sz w:val="24"/>
          <w:szCs w:val="24"/>
        </w:rPr>
        <w:t>, Herbert M, Vojdani A. Detection of Islet Cell Immune Reactivity with Low Glycemic Index Foods: Is This a Concern for Type 1 Diabetes? </w:t>
      </w:r>
      <w:r w:rsidRPr="00C33BA8">
        <w:rPr>
          <w:rFonts w:ascii="Book Antiqua" w:hAnsi="Book Antiqua"/>
          <w:i/>
          <w:iCs/>
          <w:color w:val="000000" w:themeColor="text1"/>
          <w:sz w:val="24"/>
          <w:szCs w:val="24"/>
        </w:rPr>
        <w:t>J Diabetes Res</w:t>
      </w:r>
      <w:r w:rsidRPr="00C33BA8">
        <w:rPr>
          <w:rFonts w:ascii="Book Antiqua" w:hAnsi="Book Antiqua"/>
          <w:color w:val="000000" w:themeColor="text1"/>
          <w:sz w:val="24"/>
          <w:szCs w:val="24"/>
        </w:rPr>
        <w:t> 2017; </w:t>
      </w:r>
      <w:r w:rsidRPr="00C33BA8">
        <w:rPr>
          <w:rFonts w:ascii="Book Antiqua" w:hAnsi="Book Antiqua"/>
          <w:b/>
          <w:bCs/>
          <w:color w:val="000000" w:themeColor="text1"/>
          <w:sz w:val="24"/>
          <w:szCs w:val="24"/>
        </w:rPr>
        <w:t>2017</w:t>
      </w:r>
      <w:r w:rsidRPr="00C33BA8">
        <w:rPr>
          <w:rFonts w:ascii="Book Antiqua" w:hAnsi="Book Antiqua"/>
          <w:color w:val="000000" w:themeColor="text1"/>
          <w:sz w:val="24"/>
          <w:szCs w:val="24"/>
        </w:rPr>
        <w:t>: 4124967 [PMID: 28819632 DOI: 10.1155/2017/4124967]</w:t>
      </w:r>
    </w:p>
    <w:p w14:paraId="17F32EC7" w14:textId="77777777" w:rsidR="00D43E0D" w:rsidRPr="00C33BA8" w:rsidRDefault="00D43E0D" w:rsidP="00D43E0D">
      <w:pPr>
        <w:pStyle w:val="ListParagraph"/>
        <w:tabs>
          <w:tab w:val="left" w:pos="480"/>
        </w:tabs>
        <w:adjustRightInd w:val="0"/>
        <w:snapToGrid w:val="0"/>
        <w:spacing w:line="360" w:lineRule="auto"/>
        <w:ind w:left="0" w:firstLine="0"/>
        <w:jc w:val="both"/>
        <w:rPr>
          <w:rFonts w:ascii="Book Antiqua" w:hAnsi="Book Antiqua"/>
          <w:color w:val="000000" w:themeColor="text1"/>
          <w:sz w:val="24"/>
          <w:szCs w:val="24"/>
        </w:rPr>
      </w:pPr>
      <w:r w:rsidRPr="00C33BA8">
        <w:rPr>
          <w:rFonts w:ascii="Book Antiqua" w:hAnsi="Book Antiqua"/>
          <w:color w:val="000000" w:themeColor="text1"/>
          <w:sz w:val="24"/>
          <w:szCs w:val="24"/>
        </w:rPr>
        <w:t>41 </w:t>
      </w:r>
      <w:r w:rsidRPr="00C33BA8">
        <w:rPr>
          <w:rFonts w:ascii="Book Antiqua" w:hAnsi="Book Antiqua"/>
          <w:b/>
          <w:bCs/>
          <w:color w:val="000000" w:themeColor="text1"/>
          <w:sz w:val="24"/>
          <w:szCs w:val="24"/>
        </w:rPr>
        <w:t>Yuki N</w:t>
      </w:r>
      <w:r w:rsidRPr="00C33BA8">
        <w:rPr>
          <w:rFonts w:ascii="Book Antiqua" w:hAnsi="Book Antiqua"/>
          <w:color w:val="000000" w:themeColor="text1"/>
          <w:sz w:val="24"/>
          <w:szCs w:val="24"/>
        </w:rPr>
        <w:t>, Susuki K, Koga M, Nishimoto Y, Odaka M, Hirata K, Taguchi K, Miyatake T, Furukawa K, Kobata T, Yamada M. Carbohydrate mimicry between human ganglioside GM1 and Campylobacter jejuni lipooligosaccharide causes Guillain-Barre syndrome. </w:t>
      </w:r>
      <w:r w:rsidRPr="00C33BA8">
        <w:rPr>
          <w:rFonts w:ascii="Book Antiqua" w:hAnsi="Book Antiqua"/>
          <w:i/>
          <w:iCs/>
          <w:color w:val="000000" w:themeColor="text1"/>
          <w:sz w:val="24"/>
          <w:szCs w:val="24"/>
        </w:rPr>
        <w:t>Proc Natl Acad Sci U S A</w:t>
      </w:r>
      <w:r w:rsidRPr="00C33BA8">
        <w:rPr>
          <w:rFonts w:ascii="Book Antiqua" w:hAnsi="Book Antiqua"/>
          <w:color w:val="000000" w:themeColor="text1"/>
          <w:sz w:val="24"/>
          <w:szCs w:val="24"/>
        </w:rPr>
        <w:t> 2004; </w:t>
      </w:r>
      <w:r w:rsidRPr="00C33BA8">
        <w:rPr>
          <w:rFonts w:ascii="Book Antiqua" w:hAnsi="Book Antiqua"/>
          <w:b/>
          <w:bCs/>
          <w:color w:val="000000" w:themeColor="text1"/>
          <w:sz w:val="24"/>
          <w:szCs w:val="24"/>
        </w:rPr>
        <w:t>101</w:t>
      </w:r>
      <w:r w:rsidRPr="00C33BA8">
        <w:rPr>
          <w:rFonts w:ascii="Book Antiqua" w:hAnsi="Book Antiqua"/>
          <w:color w:val="000000" w:themeColor="text1"/>
          <w:sz w:val="24"/>
          <w:szCs w:val="24"/>
        </w:rPr>
        <w:t>: 11404-11409 [PMID: 15277677 DOI: 10.1073/pnas.0402391101]</w:t>
      </w:r>
    </w:p>
    <w:p w14:paraId="6756595D" w14:textId="77777777" w:rsidR="00D43E0D" w:rsidRPr="00C33BA8" w:rsidRDefault="00D43E0D" w:rsidP="00D43E0D">
      <w:pPr>
        <w:pStyle w:val="ListParagraph"/>
        <w:tabs>
          <w:tab w:val="left" w:pos="480"/>
        </w:tabs>
        <w:adjustRightInd w:val="0"/>
        <w:snapToGrid w:val="0"/>
        <w:spacing w:line="360" w:lineRule="auto"/>
        <w:ind w:left="0" w:firstLine="0"/>
        <w:jc w:val="both"/>
        <w:rPr>
          <w:rFonts w:ascii="Book Antiqua" w:hAnsi="Book Antiqua"/>
          <w:color w:val="000000" w:themeColor="text1"/>
          <w:sz w:val="24"/>
          <w:szCs w:val="24"/>
        </w:rPr>
      </w:pPr>
      <w:r w:rsidRPr="00C33BA8">
        <w:rPr>
          <w:rFonts w:ascii="Book Antiqua" w:hAnsi="Book Antiqua"/>
          <w:color w:val="000000" w:themeColor="text1"/>
          <w:sz w:val="24"/>
          <w:szCs w:val="24"/>
        </w:rPr>
        <w:t>42 </w:t>
      </w:r>
      <w:r w:rsidRPr="00C33BA8">
        <w:rPr>
          <w:rFonts w:ascii="Book Antiqua" w:hAnsi="Book Antiqua"/>
          <w:b/>
          <w:bCs/>
          <w:color w:val="000000" w:themeColor="text1"/>
          <w:sz w:val="24"/>
          <w:szCs w:val="24"/>
        </w:rPr>
        <w:t>Man SM</w:t>
      </w:r>
      <w:r w:rsidRPr="00C33BA8">
        <w:rPr>
          <w:rFonts w:ascii="Book Antiqua" w:hAnsi="Book Antiqua"/>
          <w:color w:val="000000" w:themeColor="text1"/>
          <w:sz w:val="24"/>
          <w:szCs w:val="24"/>
        </w:rPr>
        <w:t>. The clinical importance of emerging Campylobacter species. </w:t>
      </w:r>
      <w:r w:rsidRPr="00C33BA8">
        <w:rPr>
          <w:rFonts w:ascii="Book Antiqua" w:hAnsi="Book Antiqua"/>
          <w:i/>
          <w:iCs/>
          <w:color w:val="000000" w:themeColor="text1"/>
          <w:sz w:val="24"/>
          <w:szCs w:val="24"/>
        </w:rPr>
        <w:t>Nat Rev Gastroenterol Hepatol</w:t>
      </w:r>
      <w:r w:rsidRPr="00C33BA8">
        <w:rPr>
          <w:rFonts w:ascii="Book Antiqua" w:hAnsi="Book Antiqua"/>
          <w:color w:val="000000" w:themeColor="text1"/>
          <w:sz w:val="24"/>
          <w:szCs w:val="24"/>
        </w:rPr>
        <w:t> 2011; </w:t>
      </w:r>
      <w:r w:rsidRPr="00C33BA8">
        <w:rPr>
          <w:rFonts w:ascii="Book Antiqua" w:hAnsi="Book Antiqua"/>
          <w:b/>
          <w:bCs/>
          <w:color w:val="000000" w:themeColor="text1"/>
          <w:sz w:val="24"/>
          <w:szCs w:val="24"/>
        </w:rPr>
        <w:t>8</w:t>
      </w:r>
      <w:r w:rsidRPr="00C33BA8">
        <w:rPr>
          <w:rFonts w:ascii="Book Antiqua" w:hAnsi="Book Antiqua"/>
          <w:color w:val="000000" w:themeColor="text1"/>
          <w:sz w:val="24"/>
          <w:szCs w:val="24"/>
        </w:rPr>
        <w:t>: 669-685 [PMID: 22025030 DOI: 10.1038/nrgastro.2011.191]</w:t>
      </w:r>
    </w:p>
    <w:p w14:paraId="76AF3327" w14:textId="77777777" w:rsidR="00D43E0D" w:rsidRPr="00C33BA8" w:rsidRDefault="00D43E0D" w:rsidP="00D43E0D">
      <w:pPr>
        <w:pStyle w:val="ListParagraph"/>
        <w:tabs>
          <w:tab w:val="left" w:pos="480"/>
        </w:tabs>
        <w:adjustRightInd w:val="0"/>
        <w:snapToGrid w:val="0"/>
        <w:spacing w:line="360" w:lineRule="auto"/>
        <w:ind w:left="0" w:firstLine="0"/>
        <w:jc w:val="both"/>
        <w:rPr>
          <w:rFonts w:ascii="Book Antiqua" w:hAnsi="Book Antiqua"/>
          <w:color w:val="000000" w:themeColor="text1"/>
          <w:sz w:val="24"/>
          <w:szCs w:val="24"/>
        </w:rPr>
      </w:pPr>
      <w:r w:rsidRPr="00C33BA8">
        <w:rPr>
          <w:rFonts w:ascii="Book Antiqua" w:hAnsi="Book Antiqua"/>
          <w:color w:val="000000" w:themeColor="text1"/>
          <w:sz w:val="24"/>
          <w:szCs w:val="24"/>
        </w:rPr>
        <w:t>43 </w:t>
      </w:r>
      <w:r w:rsidRPr="00C33BA8">
        <w:rPr>
          <w:rFonts w:ascii="Book Antiqua" w:hAnsi="Book Antiqua"/>
          <w:b/>
          <w:bCs/>
          <w:color w:val="000000" w:themeColor="text1"/>
          <w:sz w:val="24"/>
          <w:szCs w:val="24"/>
        </w:rPr>
        <w:t>Black RE</w:t>
      </w:r>
      <w:r w:rsidRPr="00C33BA8">
        <w:rPr>
          <w:rFonts w:ascii="Book Antiqua" w:hAnsi="Book Antiqua"/>
          <w:color w:val="000000" w:themeColor="text1"/>
          <w:sz w:val="24"/>
          <w:szCs w:val="24"/>
        </w:rPr>
        <w:t>, Levine MM, Clements ML, Hughes TP, Blaser MJ. Experimental Campylobacter jejuni infection in humans. </w:t>
      </w:r>
      <w:r w:rsidRPr="00C33BA8">
        <w:rPr>
          <w:rFonts w:ascii="Book Antiqua" w:hAnsi="Book Antiqua"/>
          <w:i/>
          <w:iCs/>
          <w:color w:val="000000" w:themeColor="text1"/>
          <w:sz w:val="24"/>
          <w:szCs w:val="24"/>
        </w:rPr>
        <w:t>J Infect Dis</w:t>
      </w:r>
      <w:r w:rsidRPr="00C33BA8">
        <w:rPr>
          <w:rFonts w:ascii="Book Antiqua" w:hAnsi="Book Antiqua"/>
          <w:color w:val="000000" w:themeColor="text1"/>
          <w:sz w:val="24"/>
          <w:szCs w:val="24"/>
        </w:rPr>
        <w:t> 1988; </w:t>
      </w:r>
      <w:r w:rsidRPr="00C33BA8">
        <w:rPr>
          <w:rFonts w:ascii="Book Antiqua" w:hAnsi="Book Antiqua"/>
          <w:b/>
          <w:bCs/>
          <w:color w:val="000000" w:themeColor="text1"/>
          <w:sz w:val="24"/>
          <w:szCs w:val="24"/>
        </w:rPr>
        <w:t>157</w:t>
      </w:r>
      <w:r w:rsidRPr="00C33BA8">
        <w:rPr>
          <w:rFonts w:ascii="Book Antiqua" w:hAnsi="Book Antiqua"/>
          <w:color w:val="000000" w:themeColor="text1"/>
          <w:sz w:val="24"/>
          <w:szCs w:val="24"/>
        </w:rPr>
        <w:t>: 472-479 [PMID: 3343522 DOI: 10.1093/infdis/157.3.472]</w:t>
      </w:r>
    </w:p>
    <w:p w14:paraId="3A4A4E5D" w14:textId="77777777" w:rsidR="00D43E0D" w:rsidRPr="00C33BA8" w:rsidRDefault="00D43E0D" w:rsidP="00D43E0D">
      <w:pPr>
        <w:pStyle w:val="ListParagraph"/>
        <w:tabs>
          <w:tab w:val="left" w:pos="480"/>
        </w:tabs>
        <w:adjustRightInd w:val="0"/>
        <w:snapToGrid w:val="0"/>
        <w:spacing w:line="360" w:lineRule="auto"/>
        <w:ind w:left="0" w:firstLine="0"/>
        <w:jc w:val="both"/>
        <w:rPr>
          <w:rFonts w:ascii="Book Antiqua" w:hAnsi="Book Antiqua"/>
          <w:color w:val="000000" w:themeColor="text1"/>
          <w:sz w:val="24"/>
          <w:szCs w:val="24"/>
        </w:rPr>
      </w:pPr>
      <w:r w:rsidRPr="00C33BA8">
        <w:rPr>
          <w:rFonts w:ascii="Book Antiqua" w:hAnsi="Book Antiqua"/>
          <w:color w:val="000000" w:themeColor="text1"/>
          <w:sz w:val="24"/>
          <w:szCs w:val="24"/>
        </w:rPr>
        <w:t>44 </w:t>
      </w:r>
      <w:r w:rsidRPr="00C33BA8">
        <w:rPr>
          <w:rFonts w:ascii="Book Antiqua" w:hAnsi="Book Antiqua"/>
          <w:b/>
          <w:bCs/>
          <w:color w:val="000000" w:themeColor="text1"/>
          <w:sz w:val="24"/>
          <w:szCs w:val="24"/>
        </w:rPr>
        <w:t>Hara-Kudo Y</w:t>
      </w:r>
      <w:r w:rsidRPr="00C33BA8">
        <w:rPr>
          <w:rFonts w:ascii="Book Antiqua" w:hAnsi="Book Antiqua"/>
          <w:color w:val="000000" w:themeColor="text1"/>
          <w:sz w:val="24"/>
          <w:szCs w:val="24"/>
        </w:rPr>
        <w:t xml:space="preserve">, Takatori K. Contamination level and ingestion dose of foodborne </w:t>
      </w:r>
      <w:r w:rsidRPr="00C33BA8">
        <w:rPr>
          <w:rFonts w:ascii="Book Antiqua" w:hAnsi="Book Antiqua"/>
          <w:color w:val="000000" w:themeColor="text1"/>
          <w:sz w:val="24"/>
          <w:szCs w:val="24"/>
        </w:rPr>
        <w:lastRenderedPageBreak/>
        <w:t>pathogens associated with infections. </w:t>
      </w:r>
      <w:r w:rsidRPr="00C33BA8">
        <w:rPr>
          <w:rFonts w:ascii="Book Antiqua" w:hAnsi="Book Antiqua"/>
          <w:i/>
          <w:iCs/>
          <w:color w:val="000000" w:themeColor="text1"/>
          <w:sz w:val="24"/>
          <w:szCs w:val="24"/>
        </w:rPr>
        <w:t>Epidemiol Infect</w:t>
      </w:r>
      <w:r w:rsidRPr="00C33BA8">
        <w:rPr>
          <w:rFonts w:ascii="Book Antiqua" w:hAnsi="Book Antiqua"/>
          <w:color w:val="000000" w:themeColor="text1"/>
          <w:sz w:val="24"/>
          <w:szCs w:val="24"/>
        </w:rPr>
        <w:t> 2011; </w:t>
      </w:r>
      <w:r w:rsidRPr="00C33BA8">
        <w:rPr>
          <w:rFonts w:ascii="Book Antiqua" w:hAnsi="Book Antiqua"/>
          <w:b/>
          <w:bCs/>
          <w:color w:val="000000" w:themeColor="text1"/>
          <w:sz w:val="24"/>
          <w:szCs w:val="24"/>
        </w:rPr>
        <w:t>139</w:t>
      </w:r>
      <w:r w:rsidRPr="00C33BA8">
        <w:rPr>
          <w:rFonts w:ascii="Book Antiqua" w:hAnsi="Book Antiqua"/>
          <w:color w:val="000000" w:themeColor="text1"/>
          <w:sz w:val="24"/>
          <w:szCs w:val="24"/>
        </w:rPr>
        <w:t>: 1505-1510 [PMID: 21205441 DOI: 10.1017/S095026881000292X]</w:t>
      </w:r>
    </w:p>
    <w:p w14:paraId="4FAD0E8A" w14:textId="77777777" w:rsidR="00D43E0D" w:rsidRPr="00C33BA8" w:rsidRDefault="00D43E0D" w:rsidP="00D43E0D">
      <w:pPr>
        <w:pStyle w:val="ListParagraph"/>
        <w:tabs>
          <w:tab w:val="left" w:pos="480"/>
        </w:tabs>
        <w:adjustRightInd w:val="0"/>
        <w:snapToGrid w:val="0"/>
        <w:spacing w:line="360" w:lineRule="auto"/>
        <w:ind w:left="0" w:firstLine="0"/>
        <w:jc w:val="both"/>
        <w:rPr>
          <w:rFonts w:ascii="Book Antiqua" w:hAnsi="Book Antiqua"/>
          <w:color w:val="000000" w:themeColor="text1"/>
          <w:sz w:val="24"/>
          <w:szCs w:val="24"/>
        </w:rPr>
      </w:pPr>
      <w:r w:rsidRPr="00C33BA8">
        <w:rPr>
          <w:rFonts w:ascii="Book Antiqua" w:hAnsi="Book Antiqua"/>
          <w:color w:val="000000" w:themeColor="text1"/>
          <w:sz w:val="24"/>
          <w:szCs w:val="24"/>
        </w:rPr>
        <w:t>45 </w:t>
      </w:r>
      <w:r w:rsidRPr="00C33BA8">
        <w:rPr>
          <w:rFonts w:ascii="Book Antiqua" w:hAnsi="Book Antiqua"/>
          <w:b/>
          <w:bCs/>
          <w:color w:val="000000" w:themeColor="text1"/>
          <w:sz w:val="24"/>
          <w:szCs w:val="24"/>
        </w:rPr>
        <w:t>Medema GJ</w:t>
      </w:r>
      <w:r w:rsidRPr="00C33BA8">
        <w:rPr>
          <w:rFonts w:ascii="Book Antiqua" w:hAnsi="Book Antiqua"/>
          <w:color w:val="000000" w:themeColor="text1"/>
          <w:sz w:val="24"/>
          <w:szCs w:val="24"/>
        </w:rPr>
        <w:t>, Teunis PF, Havelaar AH, Haas CN. Assessment of the dose-response relationship of Campylobacter jejuni. </w:t>
      </w:r>
      <w:r w:rsidRPr="00C33BA8">
        <w:rPr>
          <w:rFonts w:ascii="Book Antiqua" w:hAnsi="Book Antiqua"/>
          <w:i/>
          <w:iCs/>
          <w:color w:val="000000" w:themeColor="text1"/>
          <w:sz w:val="24"/>
          <w:szCs w:val="24"/>
        </w:rPr>
        <w:t>Int J Food Microbiol</w:t>
      </w:r>
      <w:r w:rsidRPr="00C33BA8">
        <w:rPr>
          <w:rFonts w:ascii="Book Antiqua" w:hAnsi="Book Antiqua"/>
          <w:color w:val="000000" w:themeColor="text1"/>
          <w:sz w:val="24"/>
          <w:szCs w:val="24"/>
        </w:rPr>
        <w:t> 1996; </w:t>
      </w:r>
      <w:r w:rsidRPr="00C33BA8">
        <w:rPr>
          <w:rFonts w:ascii="Book Antiqua" w:hAnsi="Book Antiqua"/>
          <w:b/>
          <w:bCs/>
          <w:color w:val="000000" w:themeColor="text1"/>
          <w:sz w:val="24"/>
          <w:szCs w:val="24"/>
        </w:rPr>
        <w:t>30</w:t>
      </w:r>
      <w:r w:rsidRPr="00C33BA8">
        <w:rPr>
          <w:rFonts w:ascii="Book Antiqua" w:hAnsi="Book Antiqua"/>
          <w:color w:val="000000" w:themeColor="text1"/>
          <w:sz w:val="24"/>
          <w:szCs w:val="24"/>
        </w:rPr>
        <w:t>: 101-111 [PMID: 8856377 DOI: 10.1016/0168-1605(96)00994-4]</w:t>
      </w:r>
    </w:p>
    <w:p w14:paraId="3D13AC49" w14:textId="77777777" w:rsidR="00D43E0D" w:rsidRPr="00C33BA8" w:rsidRDefault="00D43E0D" w:rsidP="00D43E0D">
      <w:pPr>
        <w:pStyle w:val="ListParagraph"/>
        <w:tabs>
          <w:tab w:val="left" w:pos="480"/>
        </w:tabs>
        <w:adjustRightInd w:val="0"/>
        <w:snapToGrid w:val="0"/>
        <w:spacing w:line="360" w:lineRule="auto"/>
        <w:ind w:left="0" w:firstLine="0"/>
        <w:jc w:val="both"/>
        <w:rPr>
          <w:rFonts w:ascii="Book Antiqua" w:hAnsi="Book Antiqua"/>
          <w:color w:val="000000" w:themeColor="text1"/>
          <w:sz w:val="24"/>
          <w:szCs w:val="24"/>
        </w:rPr>
      </w:pPr>
      <w:r w:rsidRPr="00C33BA8">
        <w:rPr>
          <w:rFonts w:ascii="Book Antiqua" w:hAnsi="Book Antiqua"/>
          <w:color w:val="000000" w:themeColor="text1"/>
          <w:sz w:val="24"/>
          <w:szCs w:val="24"/>
        </w:rPr>
        <w:t>46 </w:t>
      </w:r>
      <w:r w:rsidRPr="00C33BA8">
        <w:rPr>
          <w:rFonts w:ascii="Book Antiqua" w:hAnsi="Book Antiqua"/>
          <w:b/>
          <w:bCs/>
          <w:color w:val="000000" w:themeColor="text1"/>
          <w:sz w:val="24"/>
          <w:szCs w:val="24"/>
        </w:rPr>
        <w:t>Tribble DR</w:t>
      </w:r>
      <w:r w:rsidRPr="00C33BA8">
        <w:rPr>
          <w:rFonts w:ascii="Book Antiqua" w:hAnsi="Book Antiqua"/>
          <w:color w:val="000000" w:themeColor="text1"/>
          <w:sz w:val="24"/>
          <w:szCs w:val="24"/>
        </w:rPr>
        <w:t>, Baqar S, Scott DA, Oplinger ML, Trespalacios F, Rollins D, Walker RI, Clements JD, Walz S, Gibbs P, Burg EF 3rd, Moran AP, Applebee L, Bourgeois AL. Assessment of the duration of protection in Campylobacter jejuni experimental infection in humans. </w:t>
      </w:r>
      <w:r w:rsidRPr="00C33BA8">
        <w:rPr>
          <w:rFonts w:ascii="Book Antiqua" w:hAnsi="Book Antiqua"/>
          <w:i/>
          <w:iCs/>
          <w:color w:val="000000" w:themeColor="text1"/>
          <w:sz w:val="24"/>
          <w:szCs w:val="24"/>
        </w:rPr>
        <w:t>Infect Immun</w:t>
      </w:r>
      <w:r w:rsidRPr="00C33BA8">
        <w:rPr>
          <w:rFonts w:ascii="Book Antiqua" w:hAnsi="Book Antiqua"/>
          <w:color w:val="000000" w:themeColor="text1"/>
          <w:sz w:val="24"/>
          <w:szCs w:val="24"/>
        </w:rPr>
        <w:t> 2010; </w:t>
      </w:r>
      <w:r w:rsidRPr="00C33BA8">
        <w:rPr>
          <w:rFonts w:ascii="Book Antiqua" w:hAnsi="Book Antiqua"/>
          <w:b/>
          <w:bCs/>
          <w:color w:val="000000" w:themeColor="text1"/>
          <w:sz w:val="24"/>
          <w:szCs w:val="24"/>
        </w:rPr>
        <w:t>78</w:t>
      </w:r>
      <w:r w:rsidRPr="00C33BA8">
        <w:rPr>
          <w:rFonts w:ascii="Book Antiqua" w:hAnsi="Book Antiqua"/>
          <w:color w:val="000000" w:themeColor="text1"/>
          <w:sz w:val="24"/>
          <w:szCs w:val="24"/>
        </w:rPr>
        <w:t>: 1750-1759 [PMID: 20086085 DOI: 10.1128/IAI.01021-09]</w:t>
      </w:r>
    </w:p>
    <w:p w14:paraId="36C5326E" w14:textId="77777777" w:rsidR="00D43E0D" w:rsidRPr="00C33BA8" w:rsidRDefault="00D43E0D" w:rsidP="00D43E0D">
      <w:pPr>
        <w:pStyle w:val="ListParagraph"/>
        <w:tabs>
          <w:tab w:val="left" w:pos="480"/>
        </w:tabs>
        <w:adjustRightInd w:val="0"/>
        <w:snapToGrid w:val="0"/>
        <w:spacing w:line="360" w:lineRule="auto"/>
        <w:ind w:left="0" w:firstLine="0"/>
        <w:jc w:val="both"/>
        <w:rPr>
          <w:rFonts w:ascii="Book Antiqua" w:hAnsi="Book Antiqua"/>
          <w:color w:val="000000" w:themeColor="text1"/>
          <w:sz w:val="24"/>
          <w:szCs w:val="24"/>
        </w:rPr>
      </w:pPr>
      <w:r w:rsidRPr="00C33BA8">
        <w:rPr>
          <w:rFonts w:ascii="Book Antiqua" w:hAnsi="Book Antiqua"/>
          <w:color w:val="000000" w:themeColor="text1"/>
          <w:sz w:val="24"/>
          <w:szCs w:val="24"/>
        </w:rPr>
        <w:t>47 </w:t>
      </w:r>
      <w:r w:rsidRPr="00C33BA8">
        <w:rPr>
          <w:rFonts w:ascii="Book Antiqua" w:hAnsi="Book Antiqua"/>
          <w:b/>
          <w:bCs/>
          <w:color w:val="000000" w:themeColor="text1"/>
          <w:sz w:val="24"/>
          <w:szCs w:val="24"/>
        </w:rPr>
        <w:t>Scuron MD</w:t>
      </w:r>
      <w:r w:rsidRPr="00C33BA8">
        <w:rPr>
          <w:rFonts w:ascii="Book Antiqua" w:hAnsi="Book Antiqua"/>
          <w:color w:val="000000" w:themeColor="text1"/>
          <w:sz w:val="24"/>
          <w:szCs w:val="24"/>
        </w:rPr>
        <w:t>, Boesze-Battaglia K, Dlakić M, Shenker BJ. The Cytolethal Distending Toxin Contributes to Microbial Virulence and Disease Pathogenesis by Acting As a Tri-Perditious Toxin. </w:t>
      </w:r>
      <w:r w:rsidRPr="00C33BA8">
        <w:rPr>
          <w:rFonts w:ascii="Book Antiqua" w:hAnsi="Book Antiqua"/>
          <w:i/>
          <w:iCs/>
          <w:color w:val="000000" w:themeColor="text1"/>
          <w:sz w:val="24"/>
          <w:szCs w:val="24"/>
        </w:rPr>
        <w:t>Front Cell Infect Microbiol</w:t>
      </w:r>
      <w:r w:rsidRPr="00C33BA8">
        <w:rPr>
          <w:rFonts w:ascii="Book Antiqua" w:hAnsi="Book Antiqua"/>
          <w:color w:val="000000" w:themeColor="text1"/>
          <w:sz w:val="24"/>
          <w:szCs w:val="24"/>
        </w:rPr>
        <w:t> 2016; </w:t>
      </w:r>
      <w:r w:rsidRPr="00C33BA8">
        <w:rPr>
          <w:rFonts w:ascii="Book Antiqua" w:hAnsi="Book Antiqua"/>
          <w:b/>
          <w:bCs/>
          <w:color w:val="000000" w:themeColor="text1"/>
          <w:sz w:val="24"/>
          <w:szCs w:val="24"/>
        </w:rPr>
        <w:t>6</w:t>
      </w:r>
      <w:r w:rsidRPr="00C33BA8">
        <w:rPr>
          <w:rFonts w:ascii="Book Antiqua" w:hAnsi="Book Antiqua"/>
          <w:color w:val="000000" w:themeColor="text1"/>
          <w:sz w:val="24"/>
          <w:szCs w:val="24"/>
        </w:rPr>
        <w:t>: 168 [PMID: 27995094 DOI: 10.3389/fcimb.2016.00168]</w:t>
      </w:r>
    </w:p>
    <w:p w14:paraId="462C6B7F" w14:textId="77777777" w:rsidR="00D43E0D" w:rsidRPr="00C33BA8" w:rsidRDefault="00D43E0D" w:rsidP="00D43E0D">
      <w:pPr>
        <w:pStyle w:val="ListParagraph"/>
        <w:tabs>
          <w:tab w:val="left" w:pos="480"/>
        </w:tabs>
        <w:adjustRightInd w:val="0"/>
        <w:snapToGrid w:val="0"/>
        <w:spacing w:line="360" w:lineRule="auto"/>
        <w:ind w:left="0" w:firstLine="0"/>
        <w:jc w:val="both"/>
        <w:rPr>
          <w:rFonts w:ascii="Book Antiqua" w:hAnsi="Book Antiqua"/>
          <w:color w:val="000000" w:themeColor="text1"/>
          <w:sz w:val="24"/>
          <w:szCs w:val="24"/>
        </w:rPr>
      </w:pPr>
      <w:r w:rsidRPr="00C33BA8">
        <w:rPr>
          <w:rFonts w:ascii="Book Antiqua" w:hAnsi="Book Antiqua"/>
          <w:color w:val="000000" w:themeColor="text1"/>
          <w:sz w:val="24"/>
          <w:szCs w:val="24"/>
        </w:rPr>
        <w:t>48 </w:t>
      </w:r>
      <w:r w:rsidRPr="00C33BA8">
        <w:rPr>
          <w:rFonts w:ascii="Book Antiqua" w:hAnsi="Book Antiqua"/>
          <w:b/>
          <w:bCs/>
          <w:color w:val="000000" w:themeColor="text1"/>
          <w:sz w:val="24"/>
          <w:szCs w:val="24"/>
        </w:rPr>
        <w:t>Rees LE</w:t>
      </w:r>
      <w:r w:rsidRPr="00C33BA8">
        <w:rPr>
          <w:rFonts w:ascii="Book Antiqua" w:hAnsi="Book Antiqua"/>
          <w:color w:val="000000" w:themeColor="text1"/>
          <w:sz w:val="24"/>
          <w:szCs w:val="24"/>
        </w:rPr>
        <w:t>, Cogan TA, Dodson AL, Birchall MA, Bailey M, Humphrey TJ. Campylobacter and IFNgamma interact to cause a rapid loss of epithelial barrier integrity. </w:t>
      </w:r>
      <w:r w:rsidRPr="00C33BA8">
        <w:rPr>
          <w:rFonts w:ascii="Book Antiqua" w:hAnsi="Book Antiqua"/>
          <w:i/>
          <w:iCs/>
          <w:color w:val="000000" w:themeColor="text1"/>
          <w:sz w:val="24"/>
          <w:szCs w:val="24"/>
        </w:rPr>
        <w:t>Inflamm Bowel Dis</w:t>
      </w:r>
      <w:r w:rsidRPr="00C33BA8">
        <w:rPr>
          <w:rFonts w:ascii="Book Antiqua" w:hAnsi="Book Antiqua"/>
          <w:color w:val="000000" w:themeColor="text1"/>
          <w:sz w:val="24"/>
          <w:szCs w:val="24"/>
        </w:rPr>
        <w:t> 2008; </w:t>
      </w:r>
      <w:r w:rsidRPr="00C33BA8">
        <w:rPr>
          <w:rFonts w:ascii="Book Antiqua" w:hAnsi="Book Antiqua"/>
          <w:b/>
          <w:bCs/>
          <w:color w:val="000000" w:themeColor="text1"/>
          <w:sz w:val="24"/>
          <w:szCs w:val="24"/>
        </w:rPr>
        <w:t>14</w:t>
      </w:r>
      <w:r w:rsidRPr="00C33BA8">
        <w:rPr>
          <w:rFonts w:ascii="Book Antiqua" w:hAnsi="Book Antiqua"/>
          <w:color w:val="000000" w:themeColor="text1"/>
          <w:sz w:val="24"/>
          <w:szCs w:val="24"/>
        </w:rPr>
        <w:t>: 303-309 [PMID: 18050297 DOI: 10.1002/ibd.20325]</w:t>
      </w:r>
    </w:p>
    <w:p w14:paraId="3124B031" w14:textId="77777777" w:rsidR="00D43E0D" w:rsidRPr="00C33BA8" w:rsidRDefault="00D43E0D" w:rsidP="00D43E0D">
      <w:pPr>
        <w:pStyle w:val="ListParagraph"/>
        <w:tabs>
          <w:tab w:val="left" w:pos="480"/>
        </w:tabs>
        <w:adjustRightInd w:val="0"/>
        <w:snapToGrid w:val="0"/>
        <w:spacing w:line="360" w:lineRule="auto"/>
        <w:ind w:left="0" w:firstLine="0"/>
        <w:jc w:val="both"/>
        <w:rPr>
          <w:rFonts w:ascii="Book Antiqua" w:hAnsi="Book Antiqua"/>
          <w:color w:val="000000" w:themeColor="text1"/>
          <w:sz w:val="24"/>
          <w:szCs w:val="24"/>
        </w:rPr>
      </w:pPr>
      <w:r w:rsidRPr="00C33BA8">
        <w:rPr>
          <w:rFonts w:ascii="Book Antiqua" w:hAnsi="Book Antiqua"/>
          <w:color w:val="000000" w:themeColor="text1"/>
          <w:sz w:val="24"/>
          <w:szCs w:val="24"/>
        </w:rPr>
        <w:t>49 </w:t>
      </w:r>
      <w:r w:rsidRPr="00C33BA8">
        <w:rPr>
          <w:rFonts w:ascii="Book Antiqua" w:hAnsi="Book Antiqua"/>
          <w:b/>
          <w:bCs/>
          <w:color w:val="000000" w:themeColor="text1"/>
          <w:sz w:val="24"/>
          <w:szCs w:val="24"/>
        </w:rPr>
        <w:t>Furness JB</w:t>
      </w:r>
      <w:r w:rsidRPr="00C33BA8">
        <w:rPr>
          <w:rFonts w:ascii="Book Antiqua" w:hAnsi="Book Antiqua"/>
          <w:color w:val="000000" w:themeColor="text1"/>
          <w:sz w:val="24"/>
          <w:szCs w:val="24"/>
        </w:rPr>
        <w:t>. The enteric nervous system: normal functions and enteric neuropathies. </w:t>
      </w:r>
      <w:r w:rsidRPr="00C33BA8">
        <w:rPr>
          <w:rFonts w:ascii="Book Antiqua" w:hAnsi="Book Antiqua"/>
          <w:i/>
          <w:iCs/>
          <w:color w:val="000000" w:themeColor="text1"/>
          <w:sz w:val="24"/>
          <w:szCs w:val="24"/>
        </w:rPr>
        <w:t>Neurogastroenterol Motil</w:t>
      </w:r>
      <w:r w:rsidRPr="00C33BA8">
        <w:rPr>
          <w:rFonts w:ascii="Book Antiqua" w:hAnsi="Book Antiqua"/>
          <w:color w:val="000000" w:themeColor="text1"/>
          <w:sz w:val="24"/>
          <w:szCs w:val="24"/>
        </w:rPr>
        <w:t> 2008; </w:t>
      </w:r>
      <w:r w:rsidRPr="00C33BA8">
        <w:rPr>
          <w:rFonts w:ascii="Book Antiqua" w:hAnsi="Book Antiqua"/>
          <w:b/>
          <w:bCs/>
          <w:color w:val="000000" w:themeColor="text1"/>
          <w:sz w:val="24"/>
          <w:szCs w:val="24"/>
        </w:rPr>
        <w:t xml:space="preserve">20 </w:t>
      </w:r>
      <w:r w:rsidRPr="00C33BA8">
        <w:rPr>
          <w:rFonts w:ascii="Book Antiqua" w:hAnsi="Book Antiqua"/>
          <w:bCs/>
          <w:color w:val="000000" w:themeColor="text1"/>
          <w:sz w:val="24"/>
          <w:szCs w:val="24"/>
        </w:rPr>
        <w:t>Suppl 1</w:t>
      </w:r>
      <w:r w:rsidRPr="00C33BA8">
        <w:rPr>
          <w:rFonts w:ascii="Book Antiqua" w:hAnsi="Book Antiqua"/>
          <w:color w:val="000000" w:themeColor="text1"/>
          <w:sz w:val="24"/>
          <w:szCs w:val="24"/>
        </w:rPr>
        <w:t>: 32-38 [PMID: 18402640 DOI: 10.1111/j.1365-2982.2008.01094.x]</w:t>
      </w:r>
    </w:p>
    <w:p w14:paraId="67882576" w14:textId="77777777" w:rsidR="00D43E0D" w:rsidRPr="00C33BA8" w:rsidRDefault="00D43E0D" w:rsidP="00D43E0D">
      <w:pPr>
        <w:pStyle w:val="ListParagraph"/>
        <w:tabs>
          <w:tab w:val="left" w:pos="480"/>
        </w:tabs>
        <w:adjustRightInd w:val="0"/>
        <w:snapToGrid w:val="0"/>
        <w:spacing w:line="360" w:lineRule="auto"/>
        <w:ind w:left="0" w:firstLine="0"/>
        <w:jc w:val="both"/>
        <w:rPr>
          <w:rFonts w:ascii="Book Antiqua" w:hAnsi="Book Antiqua"/>
          <w:color w:val="000000" w:themeColor="text1"/>
          <w:sz w:val="24"/>
          <w:szCs w:val="24"/>
        </w:rPr>
      </w:pPr>
      <w:r w:rsidRPr="00C33BA8">
        <w:rPr>
          <w:rFonts w:ascii="Book Antiqua" w:hAnsi="Book Antiqua"/>
          <w:color w:val="000000" w:themeColor="text1"/>
          <w:sz w:val="24"/>
          <w:szCs w:val="24"/>
        </w:rPr>
        <w:t>50 </w:t>
      </w:r>
      <w:r w:rsidRPr="00C33BA8">
        <w:rPr>
          <w:rFonts w:ascii="Book Antiqua" w:hAnsi="Book Antiqua"/>
          <w:b/>
          <w:bCs/>
          <w:color w:val="000000" w:themeColor="text1"/>
          <w:sz w:val="24"/>
          <w:szCs w:val="24"/>
        </w:rPr>
        <w:t>Wood JD</w:t>
      </w:r>
      <w:r w:rsidRPr="00C33BA8">
        <w:rPr>
          <w:rFonts w:ascii="Book Antiqua" w:hAnsi="Book Antiqua"/>
          <w:color w:val="000000" w:themeColor="text1"/>
          <w:sz w:val="24"/>
          <w:szCs w:val="24"/>
        </w:rPr>
        <w:t>, Liu S, Drossman DA, Ringel Y, Whitehead WE. Anti-enteric neuronal antibodies and the irritable bowel syndrome. </w:t>
      </w:r>
      <w:r w:rsidRPr="00C33BA8">
        <w:rPr>
          <w:rFonts w:ascii="Book Antiqua" w:hAnsi="Book Antiqua"/>
          <w:i/>
          <w:iCs/>
          <w:color w:val="000000" w:themeColor="text1"/>
          <w:sz w:val="24"/>
          <w:szCs w:val="24"/>
        </w:rPr>
        <w:t>J Neurogastroenterol Motil</w:t>
      </w:r>
      <w:r w:rsidRPr="00C33BA8">
        <w:rPr>
          <w:rFonts w:ascii="Book Antiqua" w:hAnsi="Book Antiqua"/>
          <w:color w:val="000000" w:themeColor="text1"/>
          <w:sz w:val="24"/>
          <w:szCs w:val="24"/>
        </w:rPr>
        <w:t> 2012; </w:t>
      </w:r>
      <w:r w:rsidRPr="00C33BA8">
        <w:rPr>
          <w:rFonts w:ascii="Book Antiqua" w:hAnsi="Book Antiqua"/>
          <w:b/>
          <w:bCs/>
          <w:color w:val="000000" w:themeColor="text1"/>
          <w:sz w:val="24"/>
          <w:szCs w:val="24"/>
        </w:rPr>
        <w:t>18</w:t>
      </w:r>
      <w:r w:rsidRPr="00C33BA8">
        <w:rPr>
          <w:rFonts w:ascii="Book Antiqua" w:hAnsi="Book Antiqua"/>
          <w:color w:val="000000" w:themeColor="text1"/>
          <w:sz w:val="24"/>
          <w:szCs w:val="24"/>
        </w:rPr>
        <w:t>: 78-85 [PMID: 22323991 DOI: 10.5056/jnm.2012.18.1.78]</w:t>
      </w:r>
    </w:p>
    <w:p w14:paraId="6D11FBA7" w14:textId="77777777" w:rsidR="00D43E0D" w:rsidRPr="00C33BA8" w:rsidRDefault="00D43E0D" w:rsidP="00D43E0D">
      <w:pPr>
        <w:pStyle w:val="ListParagraph"/>
        <w:tabs>
          <w:tab w:val="left" w:pos="480"/>
        </w:tabs>
        <w:adjustRightInd w:val="0"/>
        <w:snapToGrid w:val="0"/>
        <w:spacing w:line="360" w:lineRule="auto"/>
        <w:ind w:left="0" w:firstLine="0"/>
        <w:jc w:val="both"/>
        <w:rPr>
          <w:rFonts w:ascii="Book Antiqua" w:hAnsi="Book Antiqua"/>
          <w:color w:val="000000" w:themeColor="text1"/>
          <w:sz w:val="24"/>
          <w:szCs w:val="24"/>
        </w:rPr>
      </w:pPr>
      <w:r w:rsidRPr="00C33BA8">
        <w:rPr>
          <w:rFonts w:ascii="Book Antiqua" w:hAnsi="Book Antiqua"/>
          <w:color w:val="000000" w:themeColor="text1"/>
          <w:sz w:val="24"/>
          <w:szCs w:val="24"/>
        </w:rPr>
        <w:t>51 </w:t>
      </w:r>
      <w:r w:rsidRPr="00C33BA8">
        <w:rPr>
          <w:rFonts w:ascii="Book Antiqua" w:hAnsi="Book Antiqua"/>
          <w:b/>
          <w:bCs/>
          <w:color w:val="000000" w:themeColor="text1"/>
          <w:sz w:val="24"/>
          <w:szCs w:val="24"/>
        </w:rPr>
        <w:t>Thomas H</w:t>
      </w:r>
      <w:r w:rsidRPr="00C33BA8">
        <w:rPr>
          <w:rFonts w:ascii="Book Antiqua" w:hAnsi="Book Antiqua"/>
          <w:color w:val="000000" w:themeColor="text1"/>
          <w:sz w:val="24"/>
          <w:szCs w:val="24"/>
        </w:rPr>
        <w:t>, Beck K, Adamczyk M, Aeschlimann P, Langley M, Oita RC, Thiebach L, Hils M, Aeschlimann D. Transglutaminase 6: a protein associated with central nervous system development and motor function. </w:t>
      </w:r>
      <w:r w:rsidRPr="00C33BA8">
        <w:rPr>
          <w:rFonts w:ascii="Book Antiqua" w:hAnsi="Book Antiqua"/>
          <w:i/>
          <w:iCs/>
          <w:color w:val="000000" w:themeColor="text1"/>
          <w:sz w:val="24"/>
          <w:szCs w:val="24"/>
        </w:rPr>
        <w:t>Amino Acids</w:t>
      </w:r>
      <w:r w:rsidRPr="00C33BA8">
        <w:rPr>
          <w:rFonts w:ascii="Book Antiqua" w:hAnsi="Book Antiqua"/>
          <w:color w:val="000000" w:themeColor="text1"/>
          <w:sz w:val="24"/>
          <w:szCs w:val="24"/>
        </w:rPr>
        <w:t> 2013; </w:t>
      </w:r>
      <w:r w:rsidRPr="00C33BA8">
        <w:rPr>
          <w:rFonts w:ascii="Book Antiqua" w:hAnsi="Book Antiqua"/>
          <w:b/>
          <w:bCs/>
          <w:color w:val="000000" w:themeColor="text1"/>
          <w:sz w:val="24"/>
          <w:szCs w:val="24"/>
        </w:rPr>
        <w:t>44</w:t>
      </w:r>
      <w:r w:rsidRPr="00C33BA8">
        <w:rPr>
          <w:rFonts w:ascii="Book Antiqua" w:hAnsi="Book Antiqua"/>
          <w:color w:val="000000" w:themeColor="text1"/>
          <w:sz w:val="24"/>
          <w:szCs w:val="24"/>
        </w:rPr>
        <w:t>: 161-177 [PMID: 21984379 DOI: 10.1007/s00726-011-1091-z]</w:t>
      </w:r>
    </w:p>
    <w:p w14:paraId="65F02310" w14:textId="77777777" w:rsidR="00D43E0D" w:rsidRPr="00C33BA8" w:rsidRDefault="00D43E0D" w:rsidP="00D43E0D">
      <w:pPr>
        <w:pStyle w:val="ListParagraph"/>
        <w:tabs>
          <w:tab w:val="left" w:pos="480"/>
        </w:tabs>
        <w:adjustRightInd w:val="0"/>
        <w:snapToGrid w:val="0"/>
        <w:spacing w:line="360" w:lineRule="auto"/>
        <w:ind w:left="0" w:firstLine="0"/>
        <w:jc w:val="both"/>
        <w:rPr>
          <w:rFonts w:ascii="Book Antiqua" w:hAnsi="Book Antiqua"/>
          <w:color w:val="000000" w:themeColor="text1"/>
          <w:sz w:val="24"/>
          <w:szCs w:val="24"/>
        </w:rPr>
      </w:pPr>
      <w:r w:rsidRPr="00C33BA8">
        <w:rPr>
          <w:rFonts w:ascii="Book Antiqua" w:hAnsi="Book Antiqua"/>
          <w:color w:val="000000" w:themeColor="text1"/>
          <w:sz w:val="24"/>
          <w:szCs w:val="24"/>
        </w:rPr>
        <w:t>52 </w:t>
      </w:r>
      <w:r w:rsidRPr="00C33BA8">
        <w:rPr>
          <w:rFonts w:ascii="Book Antiqua" w:hAnsi="Book Antiqua"/>
          <w:b/>
          <w:bCs/>
          <w:color w:val="000000" w:themeColor="text1"/>
          <w:sz w:val="24"/>
          <w:szCs w:val="24"/>
        </w:rPr>
        <w:t>Mitoma H</w:t>
      </w:r>
      <w:r w:rsidRPr="00C33BA8">
        <w:rPr>
          <w:rFonts w:ascii="Book Antiqua" w:hAnsi="Book Antiqua"/>
          <w:color w:val="000000" w:themeColor="text1"/>
          <w:sz w:val="24"/>
          <w:szCs w:val="24"/>
        </w:rPr>
        <w:t>, Manto M, Hampe CS. Immune-mediated cerebellar ataxias: from bench to bedside. </w:t>
      </w:r>
      <w:r w:rsidRPr="00C33BA8">
        <w:rPr>
          <w:rFonts w:ascii="Book Antiqua" w:hAnsi="Book Antiqua"/>
          <w:i/>
          <w:iCs/>
          <w:color w:val="000000" w:themeColor="text1"/>
          <w:sz w:val="24"/>
          <w:szCs w:val="24"/>
        </w:rPr>
        <w:t>Cerebellum Ataxias</w:t>
      </w:r>
      <w:r w:rsidRPr="00C33BA8">
        <w:rPr>
          <w:rFonts w:ascii="Book Antiqua" w:hAnsi="Book Antiqua"/>
          <w:color w:val="000000" w:themeColor="text1"/>
          <w:sz w:val="24"/>
          <w:szCs w:val="24"/>
        </w:rPr>
        <w:t> 2017; </w:t>
      </w:r>
      <w:r w:rsidRPr="00C33BA8">
        <w:rPr>
          <w:rFonts w:ascii="Book Antiqua" w:hAnsi="Book Antiqua"/>
          <w:b/>
          <w:bCs/>
          <w:color w:val="000000" w:themeColor="text1"/>
          <w:sz w:val="24"/>
          <w:szCs w:val="24"/>
        </w:rPr>
        <w:t>4</w:t>
      </w:r>
      <w:r w:rsidRPr="00C33BA8">
        <w:rPr>
          <w:rFonts w:ascii="Book Antiqua" w:hAnsi="Book Antiqua"/>
          <w:color w:val="000000" w:themeColor="text1"/>
          <w:sz w:val="24"/>
          <w:szCs w:val="24"/>
        </w:rPr>
        <w:t>: 16 [PMID: 28944066 DOI: 10.1186/s40673-017-0073-7]</w:t>
      </w:r>
    </w:p>
    <w:p w14:paraId="487DFE25" w14:textId="77777777" w:rsidR="00D43E0D" w:rsidRPr="00C33BA8" w:rsidRDefault="00D43E0D" w:rsidP="00D43E0D">
      <w:pPr>
        <w:pStyle w:val="ListParagraph"/>
        <w:tabs>
          <w:tab w:val="left" w:pos="480"/>
        </w:tabs>
        <w:adjustRightInd w:val="0"/>
        <w:snapToGrid w:val="0"/>
        <w:spacing w:line="360" w:lineRule="auto"/>
        <w:ind w:left="0" w:firstLine="0"/>
        <w:jc w:val="both"/>
        <w:rPr>
          <w:rFonts w:ascii="Book Antiqua" w:hAnsi="Book Antiqua"/>
          <w:color w:val="000000" w:themeColor="text1"/>
          <w:sz w:val="24"/>
          <w:szCs w:val="24"/>
        </w:rPr>
      </w:pPr>
      <w:r w:rsidRPr="00C33BA8">
        <w:rPr>
          <w:rFonts w:ascii="Book Antiqua" w:hAnsi="Book Antiqua"/>
          <w:color w:val="000000" w:themeColor="text1"/>
          <w:sz w:val="24"/>
          <w:szCs w:val="24"/>
        </w:rPr>
        <w:t>53 </w:t>
      </w:r>
      <w:r w:rsidRPr="00C33BA8">
        <w:rPr>
          <w:rFonts w:ascii="Book Antiqua" w:hAnsi="Book Antiqua"/>
          <w:b/>
          <w:bCs/>
          <w:color w:val="000000" w:themeColor="text1"/>
          <w:sz w:val="24"/>
          <w:szCs w:val="24"/>
        </w:rPr>
        <w:t>Griffin M</w:t>
      </w:r>
      <w:r w:rsidRPr="00C33BA8">
        <w:rPr>
          <w:rFonts w:ascii="Book Antiqua" w:hAnsi="Book Antiqua"/>
          <w:color w:val="000000" w:themeColor="text1"/>
          <w:sz w:val="24"/>
          <w:szCs w:val="24"/>
        </w:rPr>
        <w:t>, Casadio R, Bergamini CM. Transglutaminases: nature's biological glues. </w:t>
      </w:r>
      <w:r w:rsidRPr="00C33BA8">
        <w:rPr>
          <w:rFonts w:ascii="Book Antiqua" w:hAnsi="Book Antiqua"/>
          <w:i/>
          <w:iCs/>
          <w:color w:val="000000" w:themeColor="text1"/>
          <w:sz w:val="24"/>
          <w:szCs w:val="24"/>
        </w:rPr>
        <w:t>Biochem J</w:t>
      </w:r>
      <w:r w:rsidRPr="00C33BA8">
        <w:rPr>
          <w:rFonts w:ascii="Book Antiqua" w:hAnsi="Book Antiqua"/>
          <w:color w:val="000000" w:themeColor="text1"/>
          <w:sz w:val="24"/>
          <w:szCs w:val="24"/>
        </w:rPr>
        <w:t> 2002; </w:t>
      </w:r>
      <w:r w:rsidRPr="00C33BA8">
        <w:rPr>
          <w:rFonts w:ascii="Book Antiqua" w:hAnsi="Book Antiqua"/>
          <w:b/>
          <w:bCs/>
          <w:color w:val="000000" w:themeColor="text1"/>
          <w:sz w:val="24"/>
          <w:szCs w:val="24"/>
        </w:rPr>
        <w:t>368</w:t>
      </w:r>
      <w:r w:rsidRPr="00C33BA8">
        <w:rPr>
          <w:rFonts w:ascii="Book Antiqua" w:hAnsi="Book Antiqua"/>
          <w:color w:val="000000" w:themeColor="text1"/>
          <w:sz w:val="24"/>
          <w:szCs w:val="24"/>
        </w:rPr>
        <w:t>: 377-396 [PMID: 12366374 DOI: 10.1042/BJ20021234]</w:t>
      </w:r>
    </w:p>
    <w:p w14:paraId="248BA969" w14:textId="77777777" w:rsidR="00D43E0D" w:rsidRPr="00C33BA8" w:rsidRDefault="00D43E0D" w:rsidP="00D43E0D">
      <w:pPr>
        <w:pStyle w:val="ListParagraph"/>
        <w:tabs>
          <w:tab w:val="left" w:pos="480"/>
        </w:tabs>
        <w:adjustRightInd w:val="0"/>
        <w:snapToGrid w:val="0"/>
        <w:spacing w:line="360" w:lineRule="auto"/>
        <w:ind w:left="0" w:firstLine="0"/>
        <w:jc w:val="both"/>
        <w:rPr>
          <w:rFonts w:ascii="Book Antiqua" w:hAnsi="Book Antiqua"/>
          <w:color w:val="000000" w:themeColor="text1"/>
          <w:sz w:val="24"/>
          <w:szCs w:val="24"/>
        </w:rPr>
      </w:pPr>
      <w:r w:rsidRPr="00C33BA8">
        <w:rPr>
          <w:rFonts w:ascii="Book Antiqua" w:hAnsi="Book Antiqua"/>
          <w:color w:val="000000" w:themeColor="text1"/>
          <w:sz w:val="24"/>
          <w:szCs w:val="24"/>
        </w:rPr>
        <w:lastRenderedPageBreak/>
        <w:t>54 </w:t>
      </w:r>
      <w:r w:rsidRPr="00C33BA8">
        <w:rPr>
          <w:rFonts w:ascii="Book Antiqua" w:hAnsi="Book Antiqua"/>
          <w:b/>
          <w:bCs/>
          <w:color w:val="000000" w:themeColor="text1"/>
          <w:sz w:val="24"/>
          <w:szCs w:val="24"/>
        </w:rPr>
        <w:t>Hadjivassiliou M</w:t>
      </w:r>
      <w:r w:rsidRPr="00C33BA8">
        <w:rPr>
          <w:rFonts w:ascii="Book Antiqua" w:hAnsi="Book Antiqua"/>
          <w:color w:val="000000" w:themeColor="text1"/>
          <w:sz w:val="24"/>
          <w:szCs w:val="24"/>
        </w:rPr>
        <w:t>, Aeschlimann P, Strigun A, Sanders DS, Woodroofe N, Aeschlimann D. Autoantibodies in gluten ataxia recognize a novel neuronal transglutaminase. </w:t>
      </w:r>
      <w:r w:rsidRPr="00C33BA8">
        <w:rPr>
          <w:rFonts w:ascii="Book Antiqua" w:hAnsi="Book Antiqua"/>
          <w:i/>
          <w:iCs/>
          <w:color w:val="000000" w:themeColor="text1"/>
          <w:sz w:val="24"/>
          <w:szCs w:val="24"/>
        </w:rPr>
        <w:t>Ann Neurol</w:t>
      </w:r>
      <w:r w:rsidRPr="00C33BA8">
        <w:rPr>
          <w:rFonts w:ascii="Book Antiqua" w:hAnsi="Book Antiqua"/>
          <w:color w:val="000000" w:themeColor="text1"/>
          <w:sz w:val="24"/>
          <w:szCs w:val="24"/>
        </w:rPr>
        <w:t> 2008; </w:t>
      </w:r>
      <w:r w:rsidRPr="00C33BA8">
        <w:rPr>
          <w:rFonts w:ascii="Book Antiqua" w:hAnsi="Book Antiqua"/>
          <w:b/>
          <w:bCs/>
          <w:color w:val="000000" w:themeColor="text1"/>
          <w:sz w:val="24"/>
          <w:szCs w:val="24"/>
        </w:rPr>
        <w:t>64</w:t>
      </w:r>
      <w:r w:rsidRPr="00C33BA8">
        <w:rPr>
          <w:rFonts w:ascii="Book Antiqua" w:hAnsi="Book Antiqua"/>
          <w:color w:val="000000" w:themeColor="text1"/>
          <w:sz w:val="24"/>
          <w:szCs w:val="24"/>
        </w:rPr>
        <w:t>: 332-343 [PMID: 18825674 DOI: 10.1002/ana.21450]</w:t>
      </w:r>
    </w:p>
    <w:p w14:paraId="1CEEDE10" w14:textId="77777777" w:rsidR="00D43E0D" w:rsidRPr="00C33BA8" w:rsidRDefault="00D43E0D" w:rsidP="00D43E0D">
      <w:pPr>
        <w:pStyle w:val="ListParagraph"/>
        <w:tabs>
          <w:tab w:val="left" w:pos="480"/>
        </w:tabs>
        <w:adjustRightInd w:val="0"/>
        <w:snapToGrid w:val="0"/>
        <w:spacing w:line="360" w:lineRule="auto"/>
        <w:ind w:left="0" w:firstLine="0"/>
        <w:jc w:val="both"/>
        <w:rPr>
          <w:rFonts w:ascii="Book Antiqua" w:hAnsi="Book Antiqua"/>
          <w:color w:val="000000" w:themeColor="text1"/>
          <w:sz w:val="24"/>
          <w:szCs w:val="24"/>
        </w:rPr>
      </w:pPr>
      <w:r w:rsidRPr="00C33BA8">
        <w:rPr>
          <w:rFonts w:ascii="Book Antiqua" w:hAnsi="Book Antiqua"/>
          <w:color w:val="000000" w:themeColor="text1"/>
          <w:sz w:val="24"/>
          <w:szCs w:val="24"/>
        </w:rPr>
        <w:t>55 </w:t>
      </w:r>
      <w:r w:rsidRPr="00C33BA8">
        <w:rPr>
          <w:rFonts w:ascii="Book Antiqua" w:hAnsi="Book Antiqua"/>
          <w:b/>
          <w:bCs/>
          <w:color w:val="000000" w:themeColor="text1"/>
          <w:sz w:val="24"/>
          <w:szCs w:val="24"/>
        </w:rPr>
        <w:t>Zone JJ</w:t>
      </w:r>
      <w:r w:rsidRPr="00C33BA8">
        <w:rPr>
          <w:rFonts w:ascii="Book Antiqua" w:hAnsi="Book Antiqua"/>
          <w:color w:val="000000" w:themeColor="text1"/>
          <w:sz w:val="24"/>
          <w:szCs w:val="24"/>
        </w:rPr>
        <w:t>, Schmidt LA, Taylor TB, Hull CM, Sotiriou MC, Jaskowski TD, Hill HR, Meyer LJ. Dermatitis herpetiformis sera or goat anti-transglutaminase-3 transferred to human skin-grafted mice mimics dermatitis herpetiformis immunopathology. </w:t>
      </w:r>
      <w:r w:rsidRPr="00C33BA8">
        <w:rPr>
          <w:rFonts w:ascii="Book Antiqua" w:hAnsi="Book Antiqua"/>
          <w:i/>
          <w:iCs/>
          <w:color w:val="000000" w:themeColor="text1"/>
          <w:sz w:val="24"/>
          <w:szCs w:val="24"/>
        </w:rPr>
        <w:t>J Immunol</w:t>
      </w:r>
      <w:r w:rsidRPr="00C33BA8">
        <w:rPr>
          <w:rFonts w:ascii="Book Antiqua" w:hAnsi="Book Antiqua"/>
          <w:color w:val="000000" w:themeColor="text1"/>
          <w:sz w:val="24"/>
          <w:szCs w:val="24"/>
        </w:rPr>
        <w:t> 2011; </w:t>
      </w:r>
      <w:r w:rsidRPr="00C33BA8">
        <w:rPr>
          <w:rFonts w:ascii="Book Antiqua" w:hAnsi="Book Antiqua"/>
          <w:b/>
          <w:bCs/>
          <w:color w:val="000000" w:themeColor="text1"/>
          <w:sz w:val="24"/>
          <w:szCs w:val="24"/>
        </w:rPr>
        <w:t>186</w:t>
      </w:r>
      <w:r w:rsidRPr="00C33BA8">
        <w:rPr>
          <w:rFonts w:ascii="Book Antiqua" w:hAnsi="Book Antiqua"/>
          <w:color w:val="000000" w:themeColor="text1"/>
          <w:sz w:val="24"/>
          <w:szCs w:val="24"/>
        </w:rPr>
        <w:t>: 4474-4480 [PMID: 21335491 DOI: 10.4049/jimmunol.1003273]</w:t>
      </w:r>
    </w:p>
    <w:p w14:paraId="12C9D924" w14:textId="3F07DBB1" w:rsidR="00D43E0D" w:rsidRPr="00C33BA8" w:rsidRDefault="00D43E0D" w:rsidP="00D43E0D">
      <w:pPr>
        <w:pStyle w:val="ListParagraph"/>
        <w:tabs>
          <w:tab w:val="left" w:pos="480"/>
        </w:tabs>
        <w:adjustRightInd w:val="0"/>
        <w:snapToGrid w:val="0"/>
        <w:spacing w:line="360" w:lineRule="auto"/>
        <w:ind w:left="0" w:firstLine="0"/>
        <w:jc w:val="both"/>
        <w:rPr>
          <w:rFonts w:ascii="Book Antiqua" w:hAnsi="Book Antiqua"/>
          <w:color w:val="000000" w:themeColor="text1"/>
          <w:sz w:val="24"/>
          <w:szCs w:val="24"/>
        </w:rPr>
      </w:pPr>
      <w:r w:rsidRPr="002B580C">
        <w:rPr>
          <w:rFonts w:ascii="Book Antiqua" w:hAnsi="Book Antiqua"/>
          <w:color w:val="000000" w:themeColor="text1"/>
          <w:sz w:val="24"/>
          <w:szCs w:val="24"/>
          <w:highlight w:val="yellow"/>
        </w:rPr>
        <w:t>56 </w:t>
      </w:r>
      <w:r w:rsidRPr="002B580C">
        <w:rPr>
          <w:rFonts w:ascii="Book Antiqua" w:hAnsi="Book Antiqua"/>
          <w:b/>
          <w:bCs/>
          <w:color w:val="000000" w:themeColor="text1"/>
          <w:sz w:val="24"/>
          <w:szCs w:val="24"/>
          <w:highlight w:val="yellow"/>
        </w:rPr>
        <w:t>Lerner A</w:t>
      </w:r>
      <w:r w:rsidRPr="002B580C">
        <w:rPr>
          <w:rFonts w:ascii="Book Antiqua" w:hAnsi="Book Antiqua"/>
          <w:bCs/>
          <w:color w:val="000000" w:themeColor="text1"/>
          <w:sz w:val="24"/>
          <w:szCs w:val="24"/>
          <w:highlight w:val="yellow"/>
        </w:rPr>
        <w:t>,</w:t>
      </w:r>
      <w:r w:rsidRPr="002B580C">
        <w:rPr>
          <w:rFonts w:ascii="Book Antiqua" w:hAnsi="Book Antiqua"/>
          <w:color w:val="000000" w:themeColor="text1"/>
          <w:sz w:val="24"/>
          <w:szCs w:val="24"/>
          <w:highlight w:val="yellow"/>
        </w:rPr>
        <w:t xml:space="preserve"> Matthias T. Don't forget the exogenous microbial transglutaminases: It is immunogenic and potentially pathogenic. </w:t>
      </w:r>
      <w:r w:rsidRPr="002B580C">
        <w:rPr>
          <w:rFonts w:ascii="Book Antiqua" w:hAnsi="Book Antiqua"/>
          <w:i/>
          <w:color w:val="000000" w:themeColor="text1"/>
          <w:sz w:val="24"/>
          <w:szCs w:val="24"/>
          <w:highlight w:val="yellow"/>
        </w:rPr>
        <w:t>AIMS Biophysics</w:t>
      </w:r>
      <w:r w:rsidRPr="002B580C">
        <w:rPr>
          <w:rFonts w:ascii="Book Antiqua" w:hAnsi="Book Antiqua"/>
          <w:color w:val="000000" w:themeColor="text1"/>
          <w:sz w:val="24"/>
          <w:szCs w:val="24"/>
          <w:highlight w:val="yellow"/>
        </w:rPr>
        <w:t xml:space="preserve"> 2016;</w:t>
      </w:r>
      <w:r w:rsidR="008C294F" w:rsidRPr="002B580C">
        <w:rPr>
          <w:rFonts w:ascii="Book Antiqua" w:hAnsi="Book Antiqua"/>
          <w:color w:val="000000" w:themeColor="text1"/>
          <w:sz w:val="24"/>
          <w:szCs w:val="24"/>
          <w:highlight w:val="yellow"/>
        </w:rPr>
        <w:t xml:space="preserve"> </w:t>
      </w:r>
      <w:r w:rsidRPr="002B580C">
        <w:rPr>
          <w:rFonts w:ascii="Book Antiqua" w:hAnsi="Book Antiqua"/>
          <w:b/>
          <w:bCs/>
          <w:color w:val="000000" w:themeColor="text1"/>
          <w:sz w:val="24"/>
          <w:szCs w:val="24"/>
          <w:highlight w:val="yellow"/>
        </w:rPr>
        <w:t>3</w:t>
      </w:r>
      <w:r w:rsidRPr="002B580C">
        <w:rPr>
          <w:rFonts w:ascii="Book Antiqua" w:hAnsi="Book Antiqua"/>
          <w:color w:val="000000" w:themeColor="text1"/>
          <w:sz w:val="24"/>
          <w:szCs w:val="24"/>
          <w:highlight w:val="yellow"/>
        </w:rPr>
        <w:t>:</w:t>
      </w:r>
      <w:r w:rsidR="008C294F" w:rsidRPr="002B580C">
        <w:rPr>
          <w:rFonts w:ascii="Book Antiqua" w:hAnsi="Book Antiqua"/>
          <w:color w:val="000000" w:themeColor="text1"/>
          <w:sz w:val="24"/>
          <w:szCs w:val="24"/>
          <w:highlight w:val="yellow"/>
        </w:rPr>
        <w:t xml:space="preserve"> </w:t>
      </w:r>
      <w:r w:rsidRPr="002B580C">
        <w:rPr>
          <w:rFonts w:ascii="Book Antiqua" w:hAnsi="Book Antiqua"/>
          <w:color w:val="000000" w:themeColor="text1"/>
          <w:sz w:val="24"/>
          <w:szCs w:val="24"/>
          <w:highlight w:val="yellow"/>
        </w:rPr>
        <w:t>546-552 [DOI: 10.3934/biophy.2016.4.546]</w:t>
      </w:r>
    </w:p>
    <w:p w14:paraId="649BFEEF" w14:textId="5645D38C" w:rsidR="00D43E0D" w:rsidRPr="00C33BA8" w:rsidRDefault="00D43E0D" w:rsidP="00D43E0D">
      <w:pPr>
        <w:pStyle w:val="ListParagraph"/>
        <w:tabs>
          <w:tab w:val="left" w:pos="480"/>
        </w:tabs>
        <w:adjustRightInd w:val="0"/>
        <w:snapToGrid w:val="0"/>
        <w:spacing w:line="360" w:lineRule="auto"/>
        <w:ind w:left="0" w:firstLine="0"/>
        <w:jc w:val="both"/>
        <w:rPr>
          <w:rFonts w:ascii="Book Antiqua" w:hAnsi="Book Antiqua"/>
          <w:color w:val="000000" w:themeColor="text1"/>
          <w:sz w:val="24"/>
          <w:szCs w:val="24"/>
        </w:rPr>
      </w:pPr>
      <w:r w:rsidRPr="002B580C">
        <w:rPr>
          <w:rFonts w:ascii="Book Antiqua" w:hAnsi="Book Antiqua"/>
          <w:color w:val="000000" w:themeColor="text1"/>
          <w:sz w:val="24"/>
          <w:szCs w:val="24"/>
          <w:highlight w:val="yellow"/>
        </w:rPr>
        <w:t>57 </w:t>
      </w:r>
      <w:r w:rsidRPr="002B580C">
        <w:rPr>
          <w:rFonts w:ascii="Book Antiqua" w:hAnsi="Book Antiqua"/>
          <w:b/>
          <w:bCs/>
          <w:color w:val="000000" w:themeColor="text1"/>
          <w:sz w:val="24"/>
          <w:szCs w:val="24"/>
          <w:highlight w:val="yellow"/>
        </w:rPr>
        <w:t>Lerner A</w:t>
      </w:r>
      <w:r w:rsidRPr="002B580C">
        <w:rPr>
          <w:rFonts w:ascii="Book Antiqua" w:hAnsi="Book Antiqua"/>
          <w:bCs/>
          <w:color w:val="000000" w:themeColor="text1"/>
          <w:sz w:val="24"/>
          <w:szCs w:val="24"/>
          <w:highlight w:val="yellow"/>
        </w:rPr>
        <w:t>,</w:t>
      </w:r>
      <w:r w:rsidRPr="002B580C">
        <w:rPr>
          <w:rFonts w:ascii="Book Antiqua" w:hAnsi="Book Antiqua"/>
          <w:color w:val="000000" w:themeColor="text1"/>
          <w:sz w:val="24"/>
          <w:szCs w:val="24"/>
          <w:highlight w:val="yellow"/>
        </w:rPr>
        <w:t xml:space="preserve"> Matthias T. Food industrial microbial transglutaminase in celiac disease: Treat or Trick. </w:t>
      </w:r>
      <w:bookmarkStart w:id="38" w:name="OLE_LINK68"/>
      <w:r w:rsidRPr="002B580C">
        <w:rPr>
          <w:rFonts w:ascii="Book Antiqua" w:hAnsi="Book Antiqua"/>
          <w:i/>
          <w:color w:val="000000" w:themeColor="text1"/>
          <w:sz w:val="24"/>
          <w:szCs w:val="24"/>
          <w:highlight w:val="yellow"/>
        </w:rPr>
        <w:t>Int</w:t>
      </w:r>
      <w:r w:rsidR="00D9683D">
        <w:rPr>
          <w:rFonts w:ascii="Book Antiqua" w:eastAsiaTheme="minorEastAsia" w:hAnsi="Book Antiqua" w:hint="eastAsia"/>
          <w:i/>
          <w:color w:val="000000" w:themeColor="text1"/>
          <w:sz w:val="24"/>
          <w:szCs w:val="24"/>
          <w:highlight w:val="yellow"/>
          <w:lang w:eastAsia="zh-CN"/>
        </w:rPr>
        <w:t xml:space="preserve"> </w:t>
      </w:r>
      <w:r w:rsidRPr="002B580C">
        <w:rPr>
          <w:rFonts w:ascii="Book Antiqua" w:hAnsi="Book Antiqua"/>
          <w:i/>
          <w:color w:val="000000" w:themeColor="text1"/>
          <w:sz w:val="24"/>
          <w:szCs w:val="24"/>
          <w:highlight w:val="yellow"/>
        </w:rPr>
        <w:t>J</w:t>
      </w:r>
      <w:r w:rsidR="002B580C">
        <w:rPr>
          <w:rFonts w:ascii="Book Antiqua" w:eastAsiaTheme="minorEastAsia" w:hAnsi="Book Antiqua" w:hint="eastAsia"/>
          <w:i/>
          <w:color w:val="000000" w:themeColor="text1"/>
          <w:sz w:val="24"/>
          <w:szCs w:val="24"/>
          <w:highlight w:val="yellow"/>
          <w:lang w:eastAsia="zh-CN"/>
        </w:rPr>
        <w:t xml:space="preserve"> </w:t>
      </w:r>
      <w:r w:rsidRPr="002B580C">
        <w:rPr>
          <w:rFonts w:ascii="Book Antiqua" w:hAnsi="Book Antiqua"/>
          <w:i/>
          <w:color w:val="000000" w:themeColor="text1"/>
          <w:sz w:val="24"/>
          <w:szCs w:val="24"/>
          <w:highlight w:val="yellow"/>
        </w:rPr>
        <w:t>Celiac Dis</w:t>
      </w:r>
      <w:bookmarkEnd w:id="38"/>
      <w:r w:rsidR="002B580C">
        <w:rPr>
          <w:rFonts w:ascii="Book Antiqua" w:eastAsiaTheme="minorEastAsia" w:hAnsi="Book Antiqua" w:hint="eastAsia"/>
          <w:i/>
          <w:color w:val="000000" w:themeColor="text1"/>
          <w:sz w:val="24"/>
          <w:szCs w:val="24"/>
          <w:highlight w:val="yellow"/>
          <w:lang w:eastAsia="zh-CN"/>
        </w:rPr>
        <w:t xml:space="preserve"> </w:t>
      </w:r>
      <w:r w:rsidRPr="002B580C">
        <w:rPr>
          <w:rFonts w:ascii="Book Antiqua" w:hAnsi="Book Antiqua"/>
          <w:color w:val="000000" w:themeColor="text1"/>
          <w:sz w:val="24"/>
          <w:szCs w:val="24"/>
          <w:highlight w:val="yellow"/>
        </w:rPr>
        <w:t>2015;</w:t>
      </w:r>
      <w:r w:rsidR="008C294F" w:rsidRPr="002B580C">
        <w:rPr>
          <w:rFonts w:ascii="Book Antiqua" w:hAnsi="Book Antiqua"/>
          <w:color w:val="000000" w:themeColor="text1"/>
          <w:sz w:val="24"/>
          <w:szCs w:val="24"/>
          <w:highlight w:val="yellow"/>
        </w:rPr>
        <w:t xml:space="preserve"> </w:t>
      </w:r>
      <w:r w:rsidRPr="002B580C">
        <w:rPr>
          <w:rFonts w:ascii="Book Antiqua" w:hAnsi="Book Antiqua"/>
          <w:b/>
          <w:bCs/>
          <w:color w:val="000000" w:themeColor="text1"/>
          <w:sz w:val="24"/>
          <w:szCs w:val="24"/>
          <w:highlight w:val="yellow"/>
        </w:rPr>
        <w:t>3</w:t>
      </w:r>
      <w:r w:rsidRPr="002B580C">
        <w:rPr>
          <w:rFonts w:ascii="Book Antiqua" w:hAnsi="Book Antiqua"/>
          <w:color w:val="000000" w:themeColor="text1"/>
          <w:sz w:val="24"/>
          <w:szCs w:val="24"/>
          <w:highlight w:val="yellow"/>
        </w:rPr>
        <w:t>:</w:t>
      </w:r>
      <w:r w:rsidR="008C294F" w:rsidRPr="002B580C">
        <w:rPr>
          <w:rFonts w:ascii="Book Antiqua" w:hAnsi="Book Antiqua"/>
          <w:color w:val="000000" w:themeColor="text1"/>
          <w:sz w:val="24"/>
          <w:szCs w:val="24"/>
          <w:highlight w:val="yellow"/>
        </w:rPr>
        <w:t xml:space="preserve"> </w:t>
      </w:r>
      <w:r w:rsidRPr="002B580C">
        <w:rPr>
          <w:rFonts w:ascii="Book Antiqua" w:hAnsi="Book Antiqua"/>
          <w:color w:val="000000" w:themeColor="text1"/>
          <w:sz w:val="24"/>
          <w:szCs w:val="24"/>
          <w:highlight w:val="yellow"/>
        </w:rPr>
        <w:t>1-6 [DOI: 10.12691/ijcd-3-1-10]</w:t>
      </w:r>
    </w:p>
    <w:p w14:paraId="4F901441" w14:textId="5B31017B" w:rsidR="00D43E0D" w:rsidRPr="00C33BA8" w:rsidRDefault="00D43E0D" w:rsidP="00D43E0D">
      <w:pPr>
        <w:pStyle w:val="ListParagraph"/>
        <w:tabs>
          <w:tab w:val="left" w:pos="480"/>
        </w:tabs>
        <w:adjustRightInd w:val="0"/>
        <w:snapToGrid w:val="0"/>
        <w:spacing w:line="360" w:lineRule="auto"/>
        <w:ind w:left="0" w:firstLine="0"/>
        <w:jc w:val="both"/>
        <w:rPr>
          <w:rFonts w:ascii="Book Antiqua" w:hAnsi="Book Antiqua"/>
          <w:color w:val="000000" w:themeColor="text1"/>
          <w:sz w:val="24"/>
          <w:szCs w:val="24"/>
        </w:rPr>
      </w:pPr>
      <w:r w:rsidRPr="00C33BA8">
        <w:rPr>
          <w:rFonts w:ascii="Book Antiqua" w:hAnsi="Book Antiqua"/>
          <w:color w:val="000000" w:themeColor="text1"/>
          <w:sz w:val="24"/>
          <w:szCs w:val="24"/>
          <w:highlight w:val="yellow"/>
        </w:rPr>
        <w:t>58 </w:t>
      </w:r>
      <w:r w:rsidRPr="00C33BA8">
        <w:rPr>
          <w:rFonts w:ascii="Book Antiqua" w:hAnsi="Book Antiqua"/>
          <w:b/>
          <w:bCs/>
          <w:color w:val="000000" w:themeColor="text1"/>
          <w:sz w:val="24"/>
          <w:szCs w:val="24"/>
          <w:highlight w:val="yellow"/>
        </w:rPr>
        <w:t>Ray K</w:t>
      </w:r>
      <w:r w:rsidRPr="00C33BA8">
        <w:rPr>
          <w:rFonts w:ascii="Book Antiqua" w:hAnsi="Book Antiqua"/>
          <w:bCs/>
          <w:color w:val="000000" w:themeColor="text1"/>
          <w:sz w:val="24"/>
          <w:szCs w:val="24"/>
          <w:highlight w:val="yellow"/>
        </w:rPr>
        <w:t>. Nature Collections: Gut-Brain Axis. Accessed Mar 8,</w:t>
      </w:r>
      <w:r w:rsidRPr="00C33BA8">
        <w:rPr>
          <w:rFonts w:ascii="Book Antiqua" w:hAnsi="Book Antiqua"/>
          <w:color w:val="000000" w:themeColor="text1"/>
          <w:sz w:val="24"/>
          <w:szCs w:val="24"/>
          <w:highlight w:val="yellow"/>
        </w:rPr>
        <w:t> </w:t>
      </w:r>
      <w:r w:rsidR="009F638B" w:rsidRPr="00C33BA8">
        <w:rPr>
          <w:rFonts w:ascii="Book Antiqua" w:hAnsi="Book Antiqua"/>
          <w:color w:val="000000" w:themeColor="text1"/>
          <w:sz w:val="24"/>
          <w:szCs w:val="24"/>
          <w:highlight w:val="yellow"/>
        </w:rPr>
        <w:t>2018 Av</w:t>
      </w:r>
      <w:r w:rsidRPr="00C33BA8">
        <w:rPr>
          <w:rFonts w:ascii="Book Antiqua" w:hAnsi="Book Antiqua"/>
          <w:color w:val="000000" w:themeColor="text1"/>
          <w:sz w:val="24"/>
          <w:szCs w:val="24"/>
          <w:highlight w:val="yellow"/>
        </w:rPr>
        <w:t>ailable from: URL: https://www.nature.com/collections/dyhbndhpzv</w:t>
      </w:r>
    </w:p>
    <w:p w14:paraId="6565DDFF" w14:textId="77777777" w:rsidR="00D43E0D" w:rsidRPr="00C33BA8" w:rsidRDefault="00D43E0D" w:rsidP="00D43E0D">
      <w:pPr>
        <w:pStyle w:val="ListParagraph"/>
        <w:tabs>
          <w:tab w:val="left" w:pos="480"/>
        </w:tabs>
        <w:adjustRightInd w:val="0"/>
        <w:snapToGrid w:val="0"/>
        <w:spacing w:line="360" w:lineRule="auto"/>
        <w:ind w:left="0" w:firstLine="0"/>
        <w:jc w:val="both"/>
        <w:rPr>
          <w:rFonts w:ascii="Book Antiqua" w:hAnsi="Book Antiqua"/>
          <w:color w:val="000000" w:themeColor="text1"/>
          <w:sz w:val="24"/>
          <w:szCs w:val="24"/>
        </w:rPr>
      </w:pPr>
      <w:r w:rsidRPr="00C33BA8">
        <w:rPr>
          <w:rFonts w:ascii="Book Antiqua" w:hAnsi="Book Antiqua"/>
          <w:color w:val="000000" w:themeColor="text1"/>
          <w:sz w:val="24"/>
          <w:szCs w:val="24"/>
        </w:rPr>
        <w:t>59 </w:t>
      </w:r>
      <w:r w:rsidRPr="00C33BA8">
        <w:rPr>
          <w:rFonts w:ascii="Book Antiqua" w:hAnsi="Book Antiqua"/>
          <w:b/>
          <w:bCs/>
          <w:color w:val="000000" w:themeColor="text1"/>
          <w:sz w:val="24"/>
          <w:szCs w:val="24"/>
        </w:rPr>
        <w:t>Vojdani A</w:t>
      </w:r>
      <w:r w:rsidRPr="00C33BA8">
        <w:rPr>
          <w:rFonts w:ascii="Book Antiqua" w:hAnsi="Book Antiqua"/>
          <w:color w:val="000000" w:themeColor="text1"/>
          <w:sz w:val="24"/>
          <w:szCs w:val="24"/>
        </w:rPr>
        <w:t>, Vojdani E, Saidara E, Kharrazian D. Reaction of Amyloid-β Peptide Antibody with Different Infectious Agents Involved in Alzheimer's Disease. </w:t>
      </w:r>
      <w:r w:rsidRPr="00C33BA8">
        <w:rPr>
          <w:rFonts w:ascii="Book Antiqua" w:hAnsi="Book Antiqua"/>
          <w:i/>
          <w:iCs/>
          <w:color w:val="000000" w:themeColor="text1"/>
          <w:sz w:val="24"/>
          <w:szCs w:val="24"/>
        </w:rPr>
        <w:t>J Alzheimers Dis</w:t>
      </w:r>
      <w:r w:rsidRPr="00C33BA8">
        <w:rPr>
          <w:rFonts w:ascii="Book Antiqua" w:hAnsi="Book Antiqua"/>
          <w:color w:val="000000" w:themeColor="text1"/>
          <w:sz w:val="24"/>
          <w:szCs w:val="24"/>
        </w:rPr>
        <w:t>2018; </w:t>
      </w:r>
      <w:r w:rsidRPr="00C33BA8">
        <w:rPr>
          <w:rFonts w:ascii="Book Antiqua" w:hAnsi="Book Antiqua"/>
          <w:b/>
          <w:bCs/>
          <w:color w:val="000000" w:themeColor="text1"/>
          <w:sz w:val="24"/>
          <w:szCs w:val="24"/>
        </w:rPr>
        <w:t>63</w:t>
      </w:r>
      <w:r w:rsidRPr="00C33BA8">
        <w:rPr>
          <w:rFonts w:ascii="Book Antiqua" w:hAnsi="Book Antiqua"/>
          <w:color w:val="000000" w:themeColor="text1"/>
          <w:sz w:val="24"/>
          <w:szCs w:val="24"/>
        </w:rPr>
        <w:t>: 847-860 [PMID: 29689721 DOI: 10.3233/JAD-170961]</w:t>
      </w:r>
    </w:p>
    <w:p w14:paraId="10027E6B" w14:textId="77777777" w:rsidR="00D43E0D" w:rsidRPr="00C33BA8" w:rsidRDefault="00D43E0D" w:rsidP="00D43E0D">
      <w:pPr>
        <w:pStyle w:val="ListParagraph"/>
        <w:tabs>
          <w:tab w:val="left" w:pos="480"/>
        </w:tabs>
        <w:adjustRightInd w:val="0"/>
        <w:snapToGrid w:val="0"/>
        <w:spacing w:line="360" w:lineRule="auto"/>
        <w:ind w:left="0" w:firstLine="0"/>
        <w:jc w:val="both"/>
        <w:rPr>
          <w:rFonts w:ascii="Book Antiqua" w:hAnsi="Book Antiqua"/>
          <w:color w:val="000000" w:themeColor="text1"/>
          <w:sz w:val="24"/>
          <w:szCs w:val="24"/>
        </w:rPr>
      </w:pPr>
      <w:r w:rsidRPr="00C33BA8">
        <w:rPr>
          <w:rFonts w:ascii="Book Antiqua" w:hAnsi="Book Antiqua"/>
          <w:color w:val="000000" w:themeColor="text1"/>
          <w:sz w:val="24"/>
          <w:szCs w:val="24"/>
        </w:rPr>
        <w:t>60 </w:t>
      </w:r>
      <w:r w:rsidRPr="00C33BA8">
        <w:rPr>
          <w:rFonts w:ascii="Book Antiqua" w:hAnsi="Book Antiqua"/>
          <w:b/>
          <w:bCs/>
          <w:color w:val="000000" w:themeColor="text1"/>
          <w:sz w:val="24"/>
          <w:szCs w:val="24"/>
        </w:rPr>
        <w:t>Vojdani A</w:t>
      </w:r>
      <w:r w:rsidRPr="00C33BA8">
        <w:rPr>
          <w:rFonts w:ascii="Book Antiqua" w:hAnsi="Book Antiqua"/>
          <w:color w:val="000000" w:themeColor="text1"/>
          <w:sz w:val="24"/>
          <w:szCs w:val="24"/>
        </w:rPr>
        <w:t>, Vojdani E. Amyloid-Beta 1-42 Cross-Reactive Antibody Prevalent in Human Sera May Contribute to Intraneuronal Deposition of A-Beta-P-42. </w:t>
      </w:r>
      <w:r w:rsidRPr="00C33BA8">
        <w:rPr>
          <w:rFonts w:ascii="Book Antiqua" w:hAnsi="Book Antiqua"/>
          <w:i/>
          <w:iCs/>
          <w:color w:val="000000" w:themeColor="text1"/>
          <w:sz w:val="24"/>
          <w:szCs w:val="24"/>
        </w:rPr>
        <w:t>Int J Alzheimers Dis</w:t>
      </w:r>
      <w:r w:rsidRPr="00C33BA8">
        <w:rPr>
          <w:rFonts w:ascii="Book Antiqua" w:hAnsi="Book Antiqua"/>
          <w:color w:val="000000" w:themeColor="text1"/>
          <w:sz w:val="24"/>
          <w:szCs w:val="24"/>
        </w:rPr>
        <w:t>2018; </w:t>
      </w:r>
      <w:r w:rsidRPr="00C33BA8">
        <w:rPr>
          <w:rFonts w:ascii="Book Antiqua" w:hAnsi="Book Antiqua"/>
          <w:b/>
          <w:bCs/>
          <w:color w:val="000000" w:themeColor="text1"/>
          <w:sz w:val="24"/>
          <w:szCs w:val="24"/>
        </w:rPr>
        <w:t>2018</w:t>
      </w:r>
      <w:r w:rsidRPr="00C33BA8">
        <w:rPr>
          <w:rFonts w:ascii="Book Antiqua" w:hAnsi="Book Antiqua"/>
          <w:color w:val="000000" w:themeColor="text1"/>
          <w:sz w:val="24"/>
          <w:szCs w:val="24"/>
        </w:rPr>
        <w:t>: 1672568 [PMID: 30034864 DOI: 10.1155/2018/1672568]</w:t>
      </w:r>
    </w:p>
    <w:p w14:paraId="4AB88F3C" w14:textId="77777777" w:rsidR="00D43E0D" w:rsidRPr="00C33BA8" w:rsidRDefault="00D43E0D" w:rsidP="00D43E0D">
      <w:pPr>
        <w:pStyle w:val="ListParagraph"/>
        <w:tabs>
          <w:tab w:val="left" w:pos="480"/>
        </w:tabs>
        <w:adjustRightInd w:val="0"/>
        <w:snapToGrid w:val="0"/>
        <w:spacing w:line="360" w:lineRule="auto"/>
        <w:ind w:left="0" w:firstLine="0"/>
        <w:jc w:val="both"/>
        <w:rPr>
          <w:rFonts w:ascii="Book Antiqua" w:hAnsi="Book Antiqua"/>
          <w:color w:val="000000" w:themeColor="text1"/>
          <w:sz w:val="24"/>
          <w:szCs w:val="24"/>
        </w:rPr>
      </w:pPr>
      <w:r w:rsidRPr="00C33BA8">
        <w:rPr>
          <w:rFonts w:ascii="Book Antiqua" w:hAnsi="Book Antiqua"/>
          <w:color w:val="000000" w:themeColor="text1"/>
          <w:sz w:val="24"/>
          <w:szCs w:val="24"/>
        </w:rPr>
        <w:t>61 </w:t>
      </w:r>
      <w:r w:rsidRPr="00C33BA8">
        <w:rPr>
          <w:rFonts w:ascii="Book Antiqua" w:hAnsi="Book Antiqua"/>
          <w:b/>
          <w:bCs/>
          <w:color w:val="000000" w:themeColor="text1"/>
          <w:sz w:val="24"/>
          <w:szCs w:val="24"/>
        </w:rPr>
        <w:t>Maftei M</w:t>
      </w:r>
      <w:r w:rsidRPr="00C33BA8">
        <w:rPr>
          <w:rFonts w:ascii="Book Antiqua" w:hAnsi="Book Antiqua"/>
          <w:color w:val="000000" w:themeColor="text1"/>
          <w:sz w:val="24"/>
          <w:szCs w:val="24"/>
        </w:rPr>
        <w:t>, Thurm F, Schnack C, Tumani H, Otto M, Elbert T, Kolassa IT, Przybylski M, Manea M, von Arnim CA. Increased levels of antigen-bound β-amyloid autoantibodies in serum and cerebrospinal fluid of Alzheimer's disease patients. </w:t>
      </w:r>
      <w:r w:rsidRPr="00C33BA8">
        <w:rPr>
          <w:rFonts w:ascii="Book Antiqua" w:hAnsi="Book Antiqua"/>
          <w:i/>
          <w:iCs/>
          <w:color w:val="000000" w:themeColor="text1"/>
          <w:sz w:val="24"/>
          <w:szCs w:val="24"/>
        </w:rPr>
        <w:t>PLoS One</w:t>
      </w:r>
      <w:r w:rsidRPr="00C33BA8">
        <w:rPr>
          <w:rFonts w:ascii="Book Antiqua" w:hAnsi="Book Antiqua"/>
          <w:color w:val="000000" w:themeColor="text1"/>
          <w:sz w:val="24"/>
          <w:szCs w:val="24"/>
        </w:rPr>
        <w:t> 2013; </w:t>
      </w:r>
      <w:r w:rsidRPr="00C33BA8">
        <w:rPr>
          <w:rFonts w:ascii="Book Antiqua" w:hAnsi="Book Antiqua"/>
          <w:b/>
          <w:bCs/>
          <w:color w:val="000000" w:themeColor="text1"/>
          <w:sz w:val="24"/>
          <w:szCs w:val="24"/>
        </w:rPr>
        <w:t>8</w:t>
      </w:r>
      <w:r w:rsidRPr="00C33BA8">
        <w:rPr>
          <w:rFonts w:ascii="Book Antiqua" w:hAnsi="Book Antiqua"/>
          <w:color w:val="000000" w:themeColor="text1"/>
          <w:sz w:val="24"/>
          <w:szCs w:val="24"/>
        </w:rPr>
        <w:t>: e68996 [PMID: 23874844 DOI: 10.1371/journal.pone.0068996]</w:t>
      </w:r>
    </w:p>
    <w:p w14:paraId="255BCBC3" w14:textId="77777777" w:rsidR="00D43E0D" w:rsidRPr="00C33BA8" w:rsidRDefault="00D43E0D" w:rsidP="00D43E0D">
      <w:pPr>
        <w:pStyle w:val="ListParagraph"/>
        <w:tabs>
          <w:tab w:val="left" w:pos="480"/>
        </w:tabs>
        <w:adjustRightInd w:val="0"/>
        <w:snapToGrid w:val="0"/>
        <w:spacing w:line="360" w:lineRule="auto"/>
        <w:ind w:left="0" w:firstLine="0"/>
        <w:jc w:val="both"/>
        <w:rPr>
          <w:rFonts w:ascii="Book Antiqua" w:hAnsi="Book Antiqua"/>
          <w:color w:val="000000" w:themeColor="text1"/>
          <w:sz w:val="24"/>
          <w:szCs w:val="24"/>
        </w:rPr>
      </w:pPr>
      <w:r w:rsidRPr="00C33BA8">
        <w:rPr>
          <w:rFonts w:ascii="Book Antiqua" w:hAnsi="Book Antiqua"/>
          <w:color w:val="000000" w:themeColor="text1"/>
          <w:sz w:val="24"/>
          <w:szCs w:val="24"/>
        </w:rPr>
        <w:t>62 </w:t>
      </w:r>
      <w:r w:rsidRPr="00C33BA8">
        <w:rPr>
          <w:rFonts w:ascii="Book Antiqua" w:hAnsi="Book Antiqua"/>
          <w:b/>
          <w:bCs/>
          <w:color w:val="000000" w:themeColor="text1"/>
          <w:sz w:val="24"/>
          <w:szCs w:val="24"/>
        </w:rPr>
        <w:t>Levin EC</w:t>
      </w:r>
      <w:r w:rsidRPr="00C33BA8">
        <w:rPr>
          <w:rFonts w:ascii="Book Antiqua" w:hAnsi="Book Antiqua"/>
          <w:color w:val="000000" w:themeColor="text1"/>
          <w:sz w:val="24"/>
          <w:szCs w:val="24"/>
        </w:rPr>
        <w:t>, Acharya NK, Han M, Zavareh SB, Sedeyn JC, Venkataraman V, Nagele RG. Brain-reactive autoantibodies are nearly ubiquitous in human sera and may be linked to pathology in the context of blood-brain barrier breakdown. </w:t>
      </w:r>
      <w:r w:rsidRPr="00C33BA8">
        <w:rPr>
          <w:rFonts w:ascii="Book Antiqua" w:hAnsi="Book Antiqua"/>
          <w:i/>
          <w:iCs/>
          <w:color w:val="000000" w:themeColor="text1"/>
          <w:sz w:val="24"/>
          <w:szCs w:val="24"/>
        </w:rPr>
        <w:t>Brain Res</w:t>
      </w:r>
      <w:r w:rsidRPr="00C33BA8">
        <w:rPr>
          <w:rFonts w:ascii="Book Antiqua" w:hAnsi="Book Antiqua"/>
          <w:color w:val="000000" w:themeColor="text1"/>
          <w:sz w:val="24"/>
          <w:szCs w:val="24"/>
        </w:rPr>
        <w:t> 2010; </w:t>
      </w:r>
      <w:r w:rsidRPr="00C33BA8">
        <w:rPr>
          <w:rFonts w:ascii="Book Antiqua" w:hAnsi="Book Antiqua"/>
          <w:b/>
          <w:bCs/>
          <w:color w:val="000000" w:themeColor="text1"/>
          <w:sz w:val="24"/>
          <w:szCs w:val="24"/>
        </w:rPr>
        <w:t>1345</w:t>
      </w:r>
      <w:r w:rsidRPr="00C33BA8">
        <w:rPr>
          <w:rFonts w:ascii="Book Antiqua" w:hAnsi="Book Antiqua"/>
          <w:color w:val="000000" w:themeColor="text1"/>
          <w:sz w:val="24"/>
          <w:szCs w:val="24"/>
        </w:rPr>
        <w:t>: 221-232 [PMID: 20546711 DOI: 10.1016/j.brainres.2010.05.038]</w:t>
      </w:r>
    </w:p>
    <w:p w14:paraId="4DA4BEF2" w14:textId="77777777" w:rsidR="00D43E0D" w:rsidRPr="00C33BA8" w:rsidRDefault="00D43E0D" w:rsidP="00D43E0D">
      <w:pPr>
        <w:pStyle w:val="ListParagraph"/>
        <w:tabs>
          <w:tab w:val="left" w:pos="480"/>
        </w:tabs>
        <w:adjustRightInd w:val="0"/>
        <w:snapToGrid w:val="0"/>
        <w:spacing w:line="360" w:lineRule="auto"/>
        <w:ind w:left="0" w:firstLine="0"/>
        <w:jc w:val="both"/>
        <w:rPr>
          <w:rFonts w:ascii="Book Antiqua" w:hAnsi="Book Antiqua"/>
          <w:color w:val="000000" w:themeColor="text1"/>
          <w:sz w:val="24"/>
          <w:szCs w:val="24"/>
        </w:rPr>
      </w:pPr>
      <w:r w:rsidRPr="00C33BA8">
        <w:rPr>
          <w:rFonts w:ascii="Book Antiqua" w:hAnsi="Book Antiqua"/>
          <w:color w:val="000000" w:themeColor="text1"/>
          <w:sz w:val="24"/>
          <w:szCs w:val="24"/>
        </w:rPr>
        <w:t>63 </w:t>
      </w:r>
      <w:r w:rsidRPr="00C33BA8">
        <w:rPr>
          <w:rFonts w:ascii="Book Antiqua" w:hAnsi="Book Antiqua"/>
          <w:b/>
          <w:bCs/>
          <w:color w:val="000000" w:themeColor="text1"/>
          <w:sz w:val="24"/>
          <w:szCs w:val="24"/>
        </w:rPr>
        <w:t>Colasanti T</w:t>
      </w:r>
      <w:r w:rsidRPr="00C33BA8">
        <w:rPr>
          <w:rFonts w:ascii="Book Antiqua" w:hAnsi="Book Antiqua"/>
          <w:color w:val="000000" w:themeColor="text1"/>
          <w:sz w:val="24"/>
          <w:szCs w:val="24"/>
        </w:rPr>
        <w:t xml:space="preserve">, Barbati C, Rosano G, Malorni W, Ortona E. Autoantibodies in patients with Alzheimer's disease: pathogenetic role and potential use as biomarkers of disease </w:t>
      </w:r>
      <w:r w:rsidRPr="00C33BA8">
        <w:rPr>
          <w:rFonts w:ascii="Book Antiqua" w:hAnsi="Book Antiqua"/>
          <w:color w:val="000000" w:themeColor="text1"/>
          <w:sz w:val="24"/>
          <w:szCs w:val="24"/>
        </w:rPr>
        <w:lastRenderedPageBreak/>
        <w:t>progression. </w:t>
      </w:r>
      <w:r w:rsidRPr="00C33BA8">
        <w:rPr>
          <w:rFonts w:ascii="Book Antiqua" w:hAnsi="Book Antiqua"/>
          <w:i/>
          <w:iCs/>
          <w:color w:val="000000" w:themeColor="text1"/>
          <w:sz w:val="24"/>
          <w:szCs w:val="24"/>
        </w:rPr>
        <w:t>Autoimmun Rev</w:t>
      </w:r>
      <w:r w:rsidRPr="00C33BA8">
        <w:rPr>
          <w:rFonts w:ascii="Book Antiqua" w:hAnsi="Book Antiqua"/>
          <w:color w:val="000000" w:themeColor="text1"/>
          <w:sz w:val="24"/>
          <w:szCs w:val="24"/>
        </w:rPr>
        <w:t> 2010; </w:t>
      </w:r>
      <w:r w:rsidRPr="00C33BA8">
        <w:rPr>
          <w:rFonts w:ascii="Book Antiqua" w:hAnsi="Book Antiqua"/>
          <w:b/>
          <w:bCs/>
          <w:color w:val="000000" w:themeColor="text1"/>
          <w:sz w:val="24"/>
          <w:szCs w:val="24"/>
        </w:rPr>
        <w:t>9</w:t>
      </w:r>
      <w:r w:rsidRPr="00C33BA8">
        <w:rPr>
          <w:rFonts w:ascii="Book Antiqua" w:hAnsi="Book Antiqua"/>
          <w:color w:val="000000" w:themeColor="text1"/>
          <w:sz w:val="24"/>
          <w:szCs w:val="24"/>
        </w:rPr>
        <w:t>: 807-811 [PMID: 20656067 DOI: 10.1016/j.autrev.2010.07.008]</w:t>
      </w:r>
    </w:p>
    <w:p w14:paraId="443E3237" w14:textId="77777777" w:rsidR="00D43E0D" w:rsidRPr="00C33BA8" w:rsidRDefault="00D43E0D" w:rsidP="00D43E0D">
      <w:pPr>
        <w:pStyle w:val="ListParagraph"/>
        <w:tabs>
          <w:tab w:val="left" w:pos="480"/>
        </w:tabs>
        <w:adjustRightInd w:val="0"/>
        <w:snapToGrid w:val="0"/>
        <w:spacing w:line="360" w:lineRule="auto"/>
        <w:ind w:left="0" w:firstLine="0"/>
        <w:jc w:val="both"/>
        <w:rPr>
          <w:rFonts w:ascii="Book Antiqua" w:hAnsi="Book Antiqua"/>
          <w:color w:val="000000" w:themeColor="text1"/>
          <w:sz w:val="24"/>
          <w:szCs w:val="24"/>
        </w:rPr>
      </w:pPr>
      <w:r w:rsidRPr="00C33BA8">
        <w:rPr>
          <w:rFonts w:ascii="Book Antiqua" w:hAnsi="Book Antiqua"/>
          <w:color w:val="000000" w:themeColor="text1"/>
          <w:sz w:val="24"/>
          <w:szCs w:val="24"/>
        </w:rPr>
        <w:t>64 </w:t>
      </w:r>
      <w:r w:rsidRPr="00C33BA8">
        <w:rPr>
          <w:rFonts w:ascii="Book Antiqua" w:hAnsi="Book Antiqua"/>
          <w:b/>
          <w:bCs/>
          <w:color w:val="000000" w:themeColor="text1"/>
          <w:sz w:val="24"/>
          <w:szCs w:val="24"/>
        </w:rPr>
        <w:t>D'Aversa TG</w:t>
      </w:r>
      <w:r w:rsidRPr="00C33BA8">
        <w:rPr>
          <w:rFonts w:ascii="Book Antiqua" w:hAnsi="Book Antiqua"/>
          <w:color w:val="000000" w:themeColor="text1"/>
          <w:sz w:val="24"/>
          <w:szCs w:val="24"/>
        </w:rPr>
        <w:t>, Eugenin EA, Lopez L, Berman JW. Myelin basic protein induces inflammatory mediators from primary human endothelial cells and blood-brain barrier disruption: implications for the pathogenesis of multiple sclerosis. </w:t>
      </w:r>
      <w:r w:rsidRPr="00C33BA8">
        <w:rPr>
          <w:rFonts w:ascii="Book Antiqua" w:hAnsi="Book Antiqua"/>
          <w:i/>
          <w:iCs/>
          <w:color w:val="000000" w:themeColor="text1"/>
          <w:sz w:val="24"/>
          <w:szCs w:val="24"/>
        </w:rPr>
        <w:t>Neuropathol Appl Neurobiol</w:t>
      </w:r>
      <w:r w:rsidRPr="00C33BA8">
        <w:rPr>
          <w:rFonts w:ascii="Book Antiqua" w:hAnsi="Book Antiqua"/>
          <w:color w:val="000000" w:themeColor="text1"/>
          <w:sz w:val="24"/>
          <w:szCs w:val="24"/>
        </w:rPr>
        <w:t> 2013; </w:t>
      </w:r>
      <w:r w:rsidRPr="00C33BA8">
        <w:rPr>
          <w:rFonts w:ascii="Book Antiqua" w:hAnsi="Book Antiqua"/>
          <w:b/>
          <w:bCs/>
          <w:color w:val="000000" w:themeColor="text1"/>
          <w:sz w:val="24"/>
          <w:szCs w:val="24"/>
        </w:rPr>
        <w:t>39</w:t>
      </w:r>
      <w:r w:rsidRPr="00C33BA8">
        <w:rPr>
          <w:rFonts w:ascii="Book Antiqua" w:hAnsi="Book Antiqua"/>
          <w:color w:val="000000" w:themeColor="text1"/>
          <w:sz w:val="24"/>
          <w:szCs w:val="24"/>
        </w:rPr>
        <w:t>: 270-283 [PMID: 22524708 DOI: 10.1111/j.1365-2990.2012.01279.x]</w:t>
      </w:r>
    </w:p>
    <w:p w14:paraId="21193BD4" w14:textId="77777777" w:rsidR="00D43E0D" w:rsidRPr="00C33BA8" w:rsidRDefault="00D43E0D" w:rsidP="00D43E0D">
      <w:pPr>
        <w:pStyle w:val="ListParagraph"/>
        <w:tabs>
          <w:tab w:val="left" w:pos="480"/>
        </w:tabs>
        <w:adjustRightInd w:val="0"/>
        <w:snapToGrid w:val="0"/>
        <w:spacing w:line="360" w:lineRule="auto"/>
        <w:ind w:left="0" w:firstLine="0"/>
        <w:jc w:val="both"/>
        <w:rPr>
          <w:rFonts w:ascii="Book Antiqua" w:hAnsi="Book Antiqua"/>
          <w:color w:val="000000" w:themeColor="text1"/>
          <w:sz w:val="24"/>
          <w:szCs w:val="24"/>
        </w:rPr>
      </w:pPr>
      <w:r w:rsidRPr="00C33BA8">
        <w:rPr>
          <w:rFonts w:ascii="Book Antiqua" w:hAnsi="Book Antiqua"/>
          <w:color w:val="000000" w:themeColor="text1"/>
          <w:sz w:val="24"/>
          <w:szCs w:val="24"/>
        </w:rPr>
        <w:t>65 </w:t>
      </w:r>
      <w:r w:rsidRPr="00C33BA8">
        <w:rPr>
          <w:rFonts w:ascii="Book Antiqua" w:hAnsi="Book Antiqua"/>
          <w:b/>
          <w:bCs/>
          <w:color w:val="000000" w:themeColor="text1"/>
          <w:sz w:val="24"/>
          <w:szCs w:val="24"/>
        </w:rPr>
        <w:t>Vacirca D</w:t>
      </w:r>
      <w:r w:rsidRPr="00C33BA8">
        <w:rPr>
          <w:rFonts w:ascii="Book Antiqua" w:hAnsi="Book Antiqua"/>
          <w:color w:val="000000" w:themeColor="text1"/>
          <w:sz w:val="24"/>
          <w:szCs w:val="24"/>
        </w:rPr>
        <w:t>, Delunardo F, Matarrese P, Colasanti T, Margutti P, Siracusano A, Pontecorvo S, Capozzi A, Sorice M, Francia A, Malorni W, Ortona E. Autoantibodies to the adenosine triphosphate synthase play a pathogenetic role in Alzheimer's disease. </w:t>
      </w:r>
      <w:r w:rsidRPr="00C33BA8">
        <w:rPr>
          <w:rFonts w:ascii="Book Antiqua" w:hAnsi="Book Antiqua"/>
          <w:i/>
          <w:iCs/>
          <w:color w:val="000000" w:themeColor="text1"/>
          <w:sz w:val="24"/>
          <w:szCs w:val="24"/>
        </w:rPr>
        <w:t>Neurobiol Aging</w:t>
      </w:r>
      <w:r w:rsidRPr="00C33BA8">
        <w:rPr>
          <w:rFonts w:ascii="Book Antiqua" w:hAnsi="Book Antiqua"/>
          <w:color w:val="000000" w:themeColor="text1"/>
          <w:sz w:val="24"/>
          <w:szCs w:val="24"/>
        </w:rPr>
        <w:t> 2012; </w:t>
      </w:r>
      <w:r w:rsidRPr="00C33BA8">
        <w:rPr>
          <w:rFonts w:ascii="Book Antiqua" w:hAnsi="Book Antiqua"/>
          <w:b/>
          <w:bCs/>
          <w:color w:val="000000" w:themeColor="text1"/>
          <w:sz w:val="24"/>
          <w:szCs w:val="24"/>
        </w:rPr>
        <w:t>33</w:t>
      </w:r>
      <w:r w:rsidRPr="00C33BA8">
        <w:rPr>
          <w:rFonts w:ascii="Book Antiqua" w:hAnsi="Book Antiqua"/>
          <w:color w:val="000000" w:themeColor="text1"/>
          <w:sz w:val="24"/>
          <w:szCs w:val="24"/>
        </w:rPr>
        <w:t>: 753-766 [PMID: 20594618 DOI: 10.1016/j.neurobiolaging.2010.05.013]</w:t>
      </w:r>
    </w:p>
    <w:p w14:paraId="6018F14E" w14:textId="77777777" w:rsidR="00D43E0D" w:rsidRPr="00C33BA8" w:rsidRDefault="00D43E0D" w:rsidP="00D43E0D">
      <w:pPr>
        <w:pStyle w:val="ListParagraph"/>
        <w:tabs>
          <w:tab w:val="left" w:pos="480"/>
        </w:tabs>
        <w:adjustRightInd w:val="0"/>
        <w:snapToGrid w:val="0"/>
        <w:spacing w:line="360" w:lineRule="auto"/>
        <w:ind w:left="0" w:firstLine="0"/>
        <w:jc w:val="both"/>
        <w:rPr>
          <w:rFonts w:ascii="Book Antiqua" w:hAnsi="Book Antiqua"/>
          <w:color w:val="000000" w:themeColor="text1"/>
          <w:sz w:val="24"/>
          <w:szCs w:val="24"/>
        </w:rPr>
      </w:pPr>
      <w:r w:rsidRPr="00C33BA8">
        <w:rPr>
          <w:rFonts w:ascii="Book Antiqua" w:hAnsi="Book Antiqua"/>
          <w:color w:val="000000" w:themeColor="text1"/>
          <w:sz w:val="24"/>
          <w:szCs w:val="24"/>
        </w:rPr>
        <w:t>66 </w:t>
      </w:r>
      <w:r w:rsidRPr="00C33BA8">
        <w:rPr>
          <w:rFonts w:ascii="Book Antiqua" w:hAnsi="Book Antiqua"/>
          <w:b/>
          <w:bCs/>
          <w:color w:val="000000" w:themeColor="text1"/>
          <w:sz w:val="24"/>
          <w:szCs w:val="24"/>
        </w:rPr>
        <w:t>Vaishnav RA</w:t>
      </w:r>
      <w:r w:rsidRPr="00C33BA8">
        <w:rPr>
          <w:rFonts w:ascii="Book Antiqua" w:hAnsi="Book Antiqua"/>
          <w:color w:val="000000" w:themeColor="text1"/>
          <w:sz w:val="24"/>
          <w:szCs w:val="24"/>
        </w:rPr>
        <w:t>, Liu R, Chapman J, Roberts AM, Ye H, Rebolledo-Mendez JD, Tabira T, Fitzpatrick AH, Achiron A, Running MP, Friedland RP. Aquaporin 4 molecular mimicry and implications for neuromyelitis optica. </w:t>
      </w:r>
      <w:r w:rsidRPr="00C33BA8">
        <w:rPr>
          <w:rFonts w:ascii="Book Antiqua" w:hAnsi="Book Antiqua"/>
          <w:i/>
          <w:iCs/>
          <w:color w:val="000000" w:themeColor="text1"/>
          <w:sz w:val="24"/>
          <w:szCs w:val="24"/>
        </w:rPr>
        <w:t>J Neuroimmunol</w:t>
      </w:r>
      <w:r w:rsidRPr="00C33BA8">
        <w:rPr>
          <w:rFonts w:ascii="Book Antiqua" w:hAnsi="Book Antiqua"/>
          <w:color w:val="000000" w:themeColor="text1"/>
          <w:sz w:val="24"/>
          <w:szCs w:val="24"/>
        </w:rPr>
        <w:t> 2013; </w:t>
      </w:r>
      <w:r w:rsidRPr="00C33BA8">
        <w:rPr>
          <w:rFonts w:ascii="Book Antiqua" w:hAnsi="Book Antiqua"/>
          <w:b/>
          <w:bCs/>
          <w:color w:val="000000" w:themeColor="text1"/>
          <w:sz w:val="24"/>
          <w:szCs w:val="24"/>
        </w:rPr>
        <w:t>260</w:t>
      </w:r>
      <w:r w:rsidRPr="00C33BA8">
        <w:rPr>
          <w:rFonts w:ascii="Book Antiqua" w:hAnsi="Book Antiqua"/>
          <w:color w:val="000000" w:themeColor="text1"/>
          <w:sz w:val="24"/>
          <w:szCs w:val="24"/>
        </w:rPr>
        <w:t>: 92-98 [PMID: 23664693 DOI: 10.1016/j.jneuroim.2013.04.015]</w:t>
      </w:r>
    </w:p>
    <w:p w14:paraId="37EE2D81" w14:textId="77777777" w:rsidR="00D43E0D" w:rsidRPr="00C33BA8" w:rsidRDefault="00D43E0D" w:rsidP="00D43E0D">
      <w:pPr>
        <w:pStyle w:val="ListParagraph"/>
        <w:tabs>
          <w:tab w:val="left" w:pos="480"/>
        </w:tabs>
        <w:adjustRightInd w:val="0"/>
        <w:snapToGrid w:val="0"/>
        <w:spacing w:line="360" w:lineRule="auto"/>
        <w:ind w:left="0" w:firstLine="0"/>
        <w:jc w:val="both"/>
        <w:rPr>
          <w:rFonts w:ascii="Book Antiqua" w:hAnsi="Book Antiqua"/>
          <w:color w:val="000000" w:themeColor="text1"/>
          <w:sz w:val="24"/>
          <w:szCs w:val="24"/>
        </w:rPr>
      </w:pPr>
      <w:r w:rsidRPr="00C33BA8">
        <w:rPr>
          <w:rFonts w:ascii="Book Antiqua" w:hAnsi="Book Antiqua"/>
          <w:color w:val="000000" w:themeColor="text1"/>
          <w:sz w:val="24"/>
          <w:szCs w:val="24"/>
        </w:rPr>
        <w:t>67 </w:t>
      </w:r>
      <w:r w:rsidRPr="00C33BA8">
        <w:rPr>
          <w:rFonts w:ascii="Book Antiqua" w:hAnsi="Book Antiqua"/>
          <w:b/>
          <w:bCs/>
          <w:color w:val="000000" w:themeColor="text1"/>
          <w:sz w:val="24"/>
          <w:szCs w:val="24"/>
        </w:rPr>
        <w:t>Mecocci P</w:t>
      </w:r>
      <w:r w:rsidRPr="00C33BA8">
        <w:rPr>
          <w:rFonts w:ascii="Book Antiqua" w:hAnsi="Book Antiqua"/>
          <w:color w:val="000000" w:themeColor="text1"/>
          <w:sz w:val="24"/>
          <w:szCs w:val="24"/>
        </w:rPr>
        <w:t>, Parnetti L, Romano G, Scarelli A, Chionne F, Cecchetti R, Polidori MC, Palumbo B, Cherubini A, Senin U. Serum anti-GFAP and anti-S100 autoantibodies in brain aging, Alzheimer's disease and vascular dementia. </w:t>
      </w:r>
      <w:r w:rsidRPr="00C33BA8">
        <w:rPr>
          <w:rFonts w:ascii="Book Antiqua" w:hAnsi="Book Antiqua"/>
          <w:i/>
          <w:iCs/>
          <w:color w:val="000000" w:themeColor="text1"/>
          <w:sz w:val="24"/>
          <w:szCs w:val="24"/>
        </w:rPr>
        <w:t>J Neuroimmunol</w:t>
      </w:r>
      <w:r w:rsidRPr="00C33BA8">
        <w:rPr>
          <w:rFonts w:ascii="Book Antiqua" w:hAnsi="Book Antiqua"/>
          <w:color w:val="000000" w:themeColor="text1"/>
          <w:sz w:val="24"/>
          <w:szCs w:val="24"/>
        </w:rPr>
        <w:t> 1995; </w:t>
      </w:r>
      <w:r w:rsidRPr="00C33BA8">
        <w:rPr>
          <w:rFonts w:ascii="Book Antiqua" w:hAnsi="Book Antiqua"/>
          <w:b/>
          <w:bCs/>
          <w:color w:val="000000" w:themeColor="text1"/>
          <w:sz w:val="24"/>
          <w:szCs w:val="24"/>
        </w:rPr>
        <w:t>57</w:t>
      </w:r>
      <w:r w:rsidRPr="00C33BA8">
        <w:rPr>
          <w:rFonts w:ascii="Book Antiqua" w:hAnsi="Book Antiqua"/>
          <w:color w:val="000000" w:themeColor="text1"/>
          <w:sz w:val="24"/>
          <w:szCs w:val="24"/>
        </w:rPr>
        <w:t>: 165-170 [PMID: 7706432 DOI: 10.1016/0165-5728(94)00180-V]</w:t>
      </w:r>
    </w:p>
    <w:p w14:paraId="4754847B" w14:textId="77777777" w:rsidR="00D43E0D" w:rsidRPr="00C33BA8" w:rsidRDefault="00D43E0D" w:rsidP="00D43E0D">
      <w:pPr>
        <w:pStyle w:val="ListParagraph"/>
        <w:tabs>
          <w:tab w:val="left" w:pos="480"/>
        </w:tabs>
        <w:adjustRightInd w:val="0"/>
        <w:snapToGrid w:val="0"/>
        <w:spacing w:line="360" w:lineRule="auto"/>
        <w:ind w:left="0" w:firstLine="0"/>
        <w:jc w:val="both"/>
        <w:rPr>
          <w:rFonts w:ascii="Book Antiqua" w:hAnsi="Book Antiqua"/>
          <w:color w:val="000000" w:themeColor="text1"/>
          <w:sz w:val="24"/>
          <w:szCs w:val="24"/>
        </w:rPr>
      </w:pPr>
      <w:r w:rsidRPr="00C33BA8">
        <w:rPr>
          <w:rFonts w:ascii="Book Antiqua" w:hAnsi="Book Antiqua"/>
          <w:color w:val="000000" w:themeColor="text1"/>
          <w:sz w:val="24"/>
          <w:szCs w:val="24"/>
        </w:rPr>
        <w:t>68 </w:t>
      </w:r>
      <w:r w:rsidRPr="00C33BA8">
        <w:rPr>
          <w:rFonts w:ascii="Book Antiqua" w:hAnsi="Book Antiqua"/>
          <w:b/>
          <w:bCs/>
          <w:color w:val="000000" w:themeColor="text1"/>
          <w:sz w:val="24"/>
          <w:szCs w:val="24"/>
        </w:rPr>
        <w:t>Cox CJ</w:t>
      </w:r>
      <w:r w:rsidRPr="00C33BA8">
        <w:rPr>
          <w:rFonts w:ascii="Book Antiqua" w:hAnsi="Book Antiqua"/>
          <w:color w:val="000000" w:themeColor="text1"/>
          <w:sz w:val="24"/>
          <w:szCs w:val="24"/>
        </w:rPr>
        <w:t>, Sharma M, Leckman JF, Zuccolo J, Zuccolo A, Kovoor A, Swedo SE, Cunningham MW. Brain human monoclonal autoantibody from sydenham chorea targets dopaminergic neurons in transgenic mice and signals dopamine D2 receptor: implications in human disease. </w:t>
      </w:r>
      <w:r w:rsidRPr="00C33BA8">
        <w:rPr>
          <w:rFonts w:ascii="Book Antiqua" w:hAnsi="Book Antiqua"/>
          <w:i/>
          <w:iCs/>
          <w:color w:val="000000" w:themeColor="text1"/>
          <w:sz w:val="24"/>
          <w:szCs w:val="24"/>
        </w:rPr>
        <w:t>J Immunol</w:t>
      </w:r>
      <w:r w:rsidRPr="00C33BA8">
        <w:rPr>
          <w:rFonts w:ascii="Book Antiqua" w:hAnsi="Book Antiqua"/>
          <w:color w:val="000000" w:themeColor="text1"/>
          <w:sz w:val="24"/>
          <w:szCs w:val="24"/>
        </w:rPr>
        <w:t> 2013; </w:t>
      </w:r>
      <w:r w:rsidRPr="00C33BA8">
        <w:rPr>
          <w:rFonts w:ascii="Book Antiqua" w:hAnsi="Book Antiqua"/>
          <w:b/>
          <w:bCs/>
          <w:color w:val="000000" w:themeColor="text1"/>
          <w:sz w:val="24"/>
          <w:szCs w:val="24"/>
        </w:rPr>
        <w:t>191</w:t>
      </w:r>
      <w:r w:rsidRPr="00C33BA8">
        <w:rPr>
          <w:rFonts w:ascii="Book Antiqua" w:hAnsi="Book Antiqua"/>
          <w:color w:val="000000" w:themeColor="text1"/>
          <w:sz w:val="24"/>
          <w:szCs w:val="24"/>
        </w:rPr>
        <w:t>: 5524-5541 [PMID: 24184556 DOI: 10.4049/jimmunol.1102592]</w:t>
      </w:r>
    </w:p>
    <w:p w14:paraId="106B3BA0" w14:textId="77777777" w:rsidR="00D43E0D" w:rsidRPr="00C33BA8" w:rsidRDefault="00D43E0D" w:rsidP="00D43E0D">
      <w:pPr>
        <w:pStyle w:val="ListParagraph"/>
        <w:tabs>
          <w:tab w:val="left" w:pos="480"/>
        </w:tabs>
        <w:adjustRightInd w:val="0"/>
        <w:snapToGrid w:val="0"/>
        <w:spacing w:line="360" w:lineRule="auto"/>
        <w:ind w:left="0" w:firstLine="0"/>
        <w:jc w:val="both"/>
        <w:rPr>
          <w:rFonts w:ascii="Book Antiqua" w:hAnsi="Book Antiqua"/>
          <w:color w:val="000000" w:themeColor="text1"/>
          <w:sz w:val="24"/>
          <w:szCs w:val="24"/>
        </w:rPr>
      </w:pPr>
      <w:r w:rsidRPr="00C33BA8">
        <w:rPr>
          <w:rFonts w:ascii="Book Antiqua" w:hAnsi="Book Antiqua"/>
          <w:color w:val="000000" w:themeColor="text1"/>
          <w:sz w:val="24"/>
          <w:szCs w:val="24"/>
        </w:rPr>
        <w:t>69 </w:t>
      </w:r>
      <w:r w:rsidRPr="00C33BA8">
        <w:rPr>
          <w:rFonts w:ascii="Book Antiqua" w:hAnsi="Book Antiqua"/>
          <w:b/>
          <w:bCs/>
          <w:color w:val="000000" w:themeColor="text1"/>
          <w:sz w:val="24"/>
          <w:szCs w:val="24"/>
        </w:rPr>
        <w:t>McKeon A</w:t>
      </w:r>
      <w:r w:rsidRPr="00C33BA8">
        <w:rPr>
          <w:rFonts w:ascii="Book Antiqua" w:hAnsi="Book Antiqua"/>
          <w:color w:val="000000" w:themeColor="text1"/>
          <w:sz w:val="24"/>
          <w:szCs w:val="24"/>
        </w:rPr>
        <w:t>, Tracy JA. GAD65 neurological autoimmunity. </w:t>
      </w:r>
      <w:r w:rsidRPr="00C33BA8">
        <w:rPr>
          <w:rFonts w:ascii="Book Antiqua" w:hAnsi="Book Antiqua"/>
          <w:i/>
          <w:iCs/>
          <w:color w:val="000000" w:themeColor="text1"/>
          <w:sz w:val="24"/>
          <w:szCs w:val="24"/>
        </w:rPr>
        <w:t>Muscle Nerve</w:t>
      </w:r>
      <w:r w:rsidRPr="00C33BA8">
        <w:rPr>
          <w:rFonts w:ascii="Book Antiqua" w:hAnsi="Book Antiqua"/>
          <w:color w:val="000000" w:themeColor="text1"/>
          <w:sz w:val="24"/>
          <w:szCs w:val="24"/>
        </w:rPr>
        <w:t> 2017; </w:t>
      </w:r>
      <w:r w:rsidRPr="00C33BA8">
        <w:rPr>
          <w:rFonts w:ascii="Book Antiqua" w:hAnsi="Book Antiqua"/>
          <w:b/>
          <w:bCs/>
          <w:color w:val="000000" w:themeColor="text1"/>
          <w:sz w:val="24"/>
          <w:szCs w:val="24"/>
        </w:rPr>
        <w:t>56</w:t>
      </w:r>
      <w:r w:rsidRPr="00C33BA8">
        <w:rPr>
          <w:rFonts w:ascii="Book Antiqua" w:hAnsi="Book Antiqua"/>
          <w:color w:val="000000" w:themeColor="text1"/>
          <w:sz w:val="24"/>
          <w:szCs w:val="24"/>
        </w:rPr>
        <w:t>: 15-27 [PMID: 28063151 DOI: 10.1002/mus.25565]</w:t>
      </w:r>
    </w:p>
    <w:p w14:paraId="7CDB33E6" w14:textId="77777777" w:rsidR="00D43E0D" w:rsidRPr="00C33BA8" w:rsidRDefault="00D43E0D" w:rsidP="00D43E0D">
      <w:pPr>
        <w:pStyle w:val="ListParagraph"/>
        <w:tabs>
          <w:tab w:val="left" w:pos="480"/>
        </w:tabs>
        <w:adjustRightInd w:val="0"/>
        <w:snapToGrid w:val="0"/>
        <w:spacing w:line="360" w:lineRule="auto"/>
        <w:ind w:left="0" w:firstLine="0"/>
        <w:jc w:val="both"/>
        <w:rPr>
          <w:rFonts w:ascii="Book Antiqua" w:hAnsi="Book Antiqua"/>
          <w:color w:val="000000" w:themeColor="text1"/>
          <w:sz w:val="24"/>
          <w:szCs w:val="24"/>
        </w:rPr>
      </w:pPr>
      <w:r w:rsidRPr="00C33BA8">
        <w:rPr>
          <w:rFonts w:ascii="Book Antiqua" w:hAnsi="Book Antiqua"/>
          <w:color w:val="000000" w:themeColor="text1"/>
          <w:sz w:val="24"/>
          <w:szCs w:val="24"/>
        </w:rPr>
        <w:t>70 </w:t>
      </w:r>
      <w:r w:rsidRPr="00C33BA8">
        <w:rPr>
          <w:rFonts w:ascii="Book Antiqua" w:hAnsi="Book Antiqua"/>
          <w:b/>
          <w:bCs/>
          <w:color w:val="000000" w:themeColor="text1"/>
          <w:sz w:val="24"/>
          <w:szCs w:val="24"/>
        </w:rPr>
        <w:t>Rieu M</w:t>
      </w:r>
      <w:r w:rsidRPr="00C33BA8">
        <w:rPr>
          <w:rFonts w:ascii="Book Antiqua" w:hAnsi="Book Antiqua"/>
          <w:color w:val="000000" w:themeColor="text1"/>
          <w:sz w:val="24"/>
          <w:szCs w:val="24"/>
        </w:rPr>
        <w:t>, Richard A, Rosilio M, Laplanche S, Ropion V, Fombeur JP, Berrod JL. Effects of thyroid status on thyroid autoimmunity expression in euthyroid and hypothyroid patients with Hashimoto's thyroiditis. </w:t>
      </w:r>
      <w:r w:rsidRPr="00C33BA8">
        <w:rPr>
          <w:rFonts w:ascii="Book Antiqua" w:hAnsi="Book Antiqua"/>
          <w:i/>
          <w:iCs/>
          <w:color w:val="000000" w:themeColor="text1"/>
          <w:sz w:val="24"/>
          <w:szCs w:val="24"/>
        </w:rPr>
        <w:t>Clin Endocrinol</w:t>
      </w:r>
      <w:r w:rsidRPr="00C33BA8">
        <w:rPr>
          <w:rFonts w:ascii="Book Antiqua" w:hAnsi="Book Antiqua"/>
          <w:iCs/>
          <w:color w:val="000000" w:themeColor="text1"/>
          <w:sz w:val="24"/>
          <w:szCs w:val="24"/>
        </w:rPr>
        <w:t xml:space="preserve"> (Oxf)</w:t>
      </w:r>
      <w:r w:rsidRPr="00C33BA8">
        <w:rPr>
          <w:rFonts w:ascii="Book Antiqua" w:hAnsi="Book Antiqua"/>
          <w:color w:val="000000" w:themeColor="text1"/>
          <w:sz w:val="24"/>
          <w:szCs w:val="24"/>
        </w:rPr>
        <w:t> 1994; </w:t>
      </w:r>
      <w:r w:rsidRPr="00C33BA8">
        <w:rPr>
          <w:rFonts w:ascii="Book Antiqua" w:hAnsi="Book Antiqua"/>
          <w:b/>
          <w:bCs/>
          <w:color w:val="000000" w:themeColor="text1"/>
          <w:sz w:val="24"/>
          <w:szCs w:val="24"/>
        </w:rPr>
        <w:t>40</w:t>
      </w:r>
      <w:r w:rsidRPr="00C33BA8">
        <w:rPr>
          <w:rFonts w:ascii="Book Antiqua" w:hAnsi="Book Antiqua"/>
          <w:color w:val="000000" w:themeColor="text1"/>
          <w:sz w:val="24"/>
          <w:szCs w:val="24"/>
        </w:rPr>
        <w:t>: 529-535 [PMID: 8187321]</w:t>
      </w:r>
    </w:p>
    <w:p w14:paraId="00630967" w14:textId="77777777" w:rsidR="00D43E0D" w:rsidRPr="00C33BA8" w:rsidRDefault="00D43E0D" w:rsidP="00D43E0D">
      <w:pPr>
        <w:pStyle w:val="ListParagraph"/>
        <w:tabs>
          <w:tab w:val="left" w:pos="480"/>
        </w:tabs>
        <w:adjustRightInd w:val="0"/>
        <w:snapToGrid w:val="0"/>
        <w:spacing w:line="360" w:lineRule="auto"/>
        <w:ind w:left="0" w:firstLine="0"/>
        <w:jc w:val="both"/>
        <w:rPr>
          <w:rFonts w:ascii="Book Antiqua" w:hAnsi="Book Antiqua"/>
          <w:color w:val="000000" w:themeColor="text1"/>
          <w:sz w:val="24"/>
          <w:szCs w:val="24"/>
        </w:rPr>
      </w:pPr>
      <w:r w:rsidRPr="00C33BA8">
        <w:rPr>
          <w:rFonts w:ascii="Book Antiqua" w:hAnsi="Book Antiqua"/>
          <w:color w:val="000000" w:themeColor="text1"/>
          <w:sz w:val="24"/>
          <w:szCs w:val="24"/>
        </w:rPr>
        <w:t>71 </w:t>
      </w:r>
      <w:r w:rsidRPr="00C33BA8">
        <w:rPr>
          <w:rFonts w:ascii="Book Antiqua" w:hAnsi="Book Antiqua"/>
          <w:b/>
          <w:bCs/>
          <w:color w:val="000000" w:themeColor="text1"/>
          <w:sz w:val="24"/>
          <w:szCs w:val="24"/>
        </w:rPr>
        <w:t>Iervasi A</w:t>
      </w:r>
      <w:r w:rsidRPr="00C33BA8">
        <w:rPr>
          <w:rFonts w:ascii="Book Antiqua" w:hAnsi="Book Antiqua"/>
          <w:color w:val="000000" w:themeColor="text1"/>
          <w:sz w:val="24"/>
          <w:szCs w:val="24"/>
        </w:rPr>
        <w:t>, Iervasi G, Carpi A, Zucchelli GC. Serum thyroglobulin measurement: clinical background and main methodological aspects with clinical impact. </w:t>
      </w:r>
      <w:r w:rsidRPr="00C33BA8">
        <w:rPr>
          <w:rFonts w:ascii="Book Antiqua" w:hAnsi="Book Antiqua"/>
          <w:i/>
          <w:iCs/>
          <w:color w:val="000000" w:themeColor="text1"/>
          <w:sz w:val="24"/>
          <w:szCs w:val="24"/>
        </w:rPr>
        <w:t xml:space="preserve">Biomed </w:t>
      </w:r>
      <w:r w:rsidRPr="00C33BA8">
        <w:rPr>
          <w:rFonts w:ascii="Book Antiqua" w:hAnsi="Book Antiqua"/>
          <w:i/>
          <w:iCs/>
          <w:color w:val="000000" w:themeColor="text1"/>
          <w:sz w:val="24"/>
          <w:szCs w:val="24"/>
        </w:rPr>
        <w:lastRenderedPageBreak/>
        <w:t>Pharmacother</w:t>
      </w:r>
      <w:r w:rsidRPr="00C33BA8">
        <w:rPr>
          <w:rFonts w:ascii="Book Antiqua" w:hAnsi="Book Antiqua"/>
          <w:color w:val="000000" w:themeColor="text1"/>
          <w:sz w:val="24"/>
          <w:szCs w:val="24"/>
        </w:rPr>
        <w:t> 2006; </w:t>
      </w:r>
      <w:r w:rsidRPr="00C33BA8">
        <w:rPr>
          <w:rFonts w:ascii="Book Antiqua" w:hAnsi="Book Antiqua"/>
          <w:b/>
          <w:bCs/>
          <w:color w:val="000000" w:themeColor="text1"/>
          <w:sz w:val="24"/>
          <w:szCs w:val="24"/>
        </w:rPr>
        <w:t>60</w:t>
      </w:r>
      <w:r w:rsidRPr="00C33BA8">
        <w:rPr>
          <w:rFonts w:ascii="Book Antiqua" w:hAnsi="Book Antiqua"/>
          <w:color w:val="000000" w:themeColor="text1"/>
          <w:sz w:val="24"/>
          <w:szCs w:val="24"/>
        </w:rPr>
        <w:t>: 414-424 [PMID: 16959467 DOI: 10.1016/j.biopha.2006.07.007]</w:t>
      </w:r>
    </w:p>
    <w:p w14:paraId="726C57DB" w14:textId="371DD11A" w:rsidR="00D43E0D" w:rsidRPr="00C33BA8" w:rsidRDefault="00D43E0D" w:rsidP="00D43E0D">
      <w:pPr>
        <w:pStyle w:val="ListParagraph"/>
        <w:tabs>
          <w:tab w:val="left" w:pos="480"/>
        </w:tabs>
        <w:adjustRightInd w:val="0"/>
        <w:snapToGrid w:val="0"/>
        <w:spacing w:line="360" w:lineRule="auto"/>
        <w:ind w:left="0" w:firstLine="0"/>
        <w:jc w:val="both"/>
        <w:rPr>
          <w:rFonts w:ascii="Book Antiqua" w:hAnsi="Book Antiqua"/>
          <w:color w:val="000000" w:themeColor="text1"/>
          <w:sz w:val="24"/>
          <w:szCs w:val="24"/>
        </w:rPr>
      </w:pPr>
      <w:r w:rsidRPr="00CA0050">
        <w:rPr>
          <w:rFonts w:ascii="Book Antiqua" w:hAnsi="Book Antiqua"/>
          <w:color w:val="000000" w:themeColor="text1"/>
          <w:sz w:val="24"/>
          <w:szCs w:val="24"/>
          <w:highlight w:val="yellow"/>
        </w:rPr>
        <w:t>72</w:t>
      </w:r>
      <w:r w:rsidR="009F638B" w:rsidRPr="00CA0050">
        <w:rPr>
          <w:rFonts w:ascii="Book Antiqua" w:hAnsi="Book Antiqua"/>
          <w:color w:val="000000" w:themeColor="text1"/>
          <w:sz w:val="24"/>
          <w:szCs w:val="24"/>
          <w:highlight w:val="yellow"/>
        </w:rPr>
        <w:t xml:space="preserve"> </w:t>
      </w:r>
      <w:r w:rsidRPr="00CA0050">
        <w:rPr>
          <w:rFonts w:ascii="Book Antiqua" w:hAnsi="Book Antiqua"/>
          <w:b/>
          <w:color w:val="000000" w:themeColor="text1"/>
          <w:sz w:val="24"/>
          <w:szCs w:val="24"/>
          <w:highlight w:val="yellow"/>
        </w:rPr>
        <w:t>Wiersinga WM</w:t>
      </w:r>
      <w:r w:rsidRPr="00CA0050">
        <w:rPr>
          <w:rFonts w:ascii="Book Antiqua" w:hAnsi="Book Antiqua"/>
          <w:color w:val="000000" w:themeColor="text1"/>
          <w:sz w:val="24"/>
          <w:szCs w:val="24"/>
          <w:highlight w:val="yellow"/>
        </w:rPr>
        <w:t xml:space="preserve">. Thyroid autoimmunity. </w:t>
      </w:r>
      <w:r w:rsidRPr="00CA0050">
        <w:rPr>
          <w:rFonts w:ascii="Book Antiqua" w:hAnsi="Book Antiqua"/>
          <w:i/>
          <w:color w:val="000000" w:themeColor="text1"/>
          <w:sz w:val="24"/>
          <w:szCs w:val="24"/>
          <w:highlight w:val="yellow"/>
        </w:rPr>
        <w:t>Endocr</w:t>
      </w:r>
      <w:r w:rsidR="00CA0050">
        <w:rPr>
          <w:rFonts w:ascii="Book Antiqua" w:eastAsiaTheme="minorEastAsia" w:hAnsi="Book Antiqua" w:hint="eastAsia"/>
          <w:i/>
          <w:color w:val="000000" w:themeColor="text1"/>
          <w:sz w:val="24"/>
          <w:szCs w:val="24"/>
          <w:highlight w:val="yellow"/>
          <w:lang w:eastAsia="zh-CN"/>
        </w:rPr>
        <w:t xml:space="preserve"> </w:t>
      </w:r>
      <w:r w:rsidRPr="00CA0050">
        <w:rPr>
          <w:rFonts w:ascii="Book Antiqua" w:hAnsi="Book Antiqua"/>
          <w:i/>
          <w:color w:val="000000" w:themeColor="text1"/>
          <w:sz w:val="24"/>
          <w:szCs w:val="24"/>
          <w:highlight w:val="yellow"/>
        </w:rPr>
        <w:t>Develop</w:t>
      </w:r>
      <w:r w:rsidR="00CA0050">
        <w:rPr>
          <w:rFonts w:ascii="Book Antiqua" w:eastAsiaTheme="minorEastAsia" w:hAnsi="Book Antiqua" w:hint="eastAsia"/>
          <w:i/>
          <w:color w:val="000000" w:themeColor="text1"/>
          <w:sz w:val="24"/>
          <w:szCs w:val="24"/>
          <w:highlight w:val="yellow"/>
          <w:lang w:eastAsia="zh-CN"/>
        </w:rPr>
        <w:t xml:space="preserve"> </w:t>
      </w:r>
      <w:r w:rsidRPr="00CA0050">
        <w:rPr>
          <w:rFonts w:ascii="Book Antiqua" w:hAnsi="Book Antiqua"/>
          <w:color w:val="000000" w:themeColor="text1"/>
          <w:sz w:val="24"/>
          <w:szCs w:val="24"/>
          <w:highlight w:val="yellow"/>
        </w:rPr>
        <w:t>2014;</w:t>
      </w:r>
      <w:r w:rsidR="009F638B" w:rsidRPr="00CA0050">
        <w:rPr>
          <w:rFonts w:ascii="Book Antiqua" w:hAnsi="Book Antiqua"/>
          <w:color w:val="000000" w:themeColor="text1"/>
          <w:sz w:val="24"/>
          <w:szCs w:val="24"/>
          <w:highlight w:val="yellow"/>
        </w:rPr>
        <w:t xml:space="preserve"> </w:t>
      </w:r>
      <w:r w:rsidRPr="00CA0050">
        <w:rPr>
          <w:rFonts w:ascii="Book Antiqua" w:hAnsi="Book Antiqua"/>
          <w:b/>
          <w:bCs/>
          <w:color w:val="000000" w:themeColor="text1"/>
          <w:sz w:val="24"/>
          <w:szCs w:val="24"/>
          <w:highlight w:val="yellow"/>
        </w:rPr>
        <w:t>26</w:t>
      </w:r>
      <w:r w:rsidRPr="00CA0050">
        <w:rPr>
          <w:rFonts w:ascii="Book Antiqua" w:hAnsi="Book Antiqua"/>
          <w:color w:val="000000" w:themeColor="text1"/>
          <w:sz w:val="24"/>
          <w:szCs w:val="24"/>
          <w:highlight w:val="yellow"/>
        </w:rPr>
        <w:t>:</w:t>
      </w:r>
      <w:r w:rsidR="009F638B" w:rsidRPr="00CA0050">
        <w:rPr>
          <w:rFonts w:ascii="Book Antiqua" w:hAnsi="Book Antiqua"/>
          <w:color w:val="000000" w:themeColor="text1"/>
          <w:sz w:val="24"/>
          <w:szCs w:val="24"/>
          <w:highlight w:val="yellow"/>
        </w:rPr>
        <w:t xml:space="preserve"> </w:t>
      </w:r>
      <w:r w:rsidRPr="00CA0050">
        <w:rPr>
          <w:rFonts w:ascii="Book Antiqua" w:hAnsi="Book Antiqua"/>
          <w:color w:val="000000" w:themeColor="text1"/>
          <w:sz w:val="24"/>
          <w:szCs w:val="24"/>
          <w:highlight w:val="yellow"/>
        </w:rPr>
        <w:t>139-157 [DOI: 10.1159/000363161]</w:t>
      </w:r>
    </w:p>
    <w:p w14:paraId="4173698A" w14:textId="77777777" w:rsidR="00D43E0D" w:rsidRPr="00C33BA8" w:rsidRDefault="00D43E0D" w:rsidP="00D43E0D">
      <w:pPr>
        <w:pStyle w:val="ListParagraph"/>
        <w:tabs>
          <w:tab w:val="left" w:pos="480"/>
        </w:tabs>
        <w:adjustRightInd w:val="0"/>
        <w:snapToGrid w:val="0"/>
        <w:spacing w:line="360" w:lineRule="auto"/>
        <w:ind w:left="0" w:firstLine="0"/>
        <w:jc w:val="both"/>
        <w:rPr>
          <w:rFonts w:ascii="Book Antiqua" w:hAnsi="Book Antiqua"/>
          <w:color w:val="000000" w:themeColor="text1"/>
          <w:sz w:val="24"/>
          <w:szCs w:val="24"/>
        </w:rPr>
      </w:pPr>
      <w:r w:rsidRPr="00C33BA8">
        <w:rPr>
          <w:rFonts w:ascii="Book Antiqua" w:hAnsi="Book Antiqua"/>
          <w:color w:val="000000" w:themeColor="text1"/>
          <w:sz w:val="24"/>
          <w:szCs w:val="24"/>
        </w:rPr>
        <w:t>73 </w:t>
      </w:r>
      <w:r w:rsidRPr="00C33BA8">
        <w:rPr>
          <w:rFonts w:ascii="Book Antiqua" w:hAnsi="Book Antiqua"/>
          <w:b/>
          <w:bCs/>
          <w:color w:val="000000" w:themeColor="text1"/>
          <w:sz w:val="24"/>
          <w:szCs w:val="24"/>
        </w:rPr>
        <w:t>Hargreaves CE</w:t>
      </w:r>
      <w:r w:rsidRPr="00C33BA8">
        <w:rPr>
          <w:rFonts w:ascii="Book Antiqua" w:hAnsi="Book Antiqua"/>
          <w:color w:val="000000" w:themeColor="text1"/>
          <w:sz w:val="24"/>
          <w:szCs w:val="24"/>
        </w:rPr>
        <w:t>, Grasso M, Hampe CS, Stenkova A, Atkinson S, Joshua GW, Wren BW, Buckle AM, Dunn-Walters D, Banga JP. Yersinia enterocolitica provides the link between thyroid-stimulating antibodies and their germline counterparts in Graves' disease. </w:t>
      </w:r>
      <w:r w:rsidRPr="00C33BA8">
        <w:rPr>
          <w:rFonts w:ascii="Book Antiqua" w:hAnsi="Book Antiqua"/>
          <w:i/>
          <w:iCs/>
          <w:color w:val="000000" w:themeColor="text1"/>
          <w:sz w:val="24"/>
          <w:szCs w:val="24"/>
        </w:rPr>
        <w:t>J Immunol</w:t>
      </w:r>
      <w:r w:rsidRPr="00C33BA8">
        <w:rPr>
          <w:rFonts w:ascii="Book Antiqua" w:hAnsi="Book Antiqua"/>
          <w:color w:val="000000" w:themeColor="text1"/>
          <w:sz w:val="24"/>
          <w:szCs w:val="24"/>
        </w:rPr>
        <w:t> 2013; </w:t>
      </w:r>
      <w:r w:rsidRPr="00C33BA8">
        <w:rPr>
          <w:rFonts w:ascii="Book Antiqua" w:hAnsi="Book Antiqua"/>
          <w:b/>
          <w:bCs/>
          <w:color w:val="000000" w:themeColor="text1"/>
          <w:sz w:val="24"/>
          <w:szCs w:val="24"/>
        </w:rPr>
        <w:t>190</w:t>
      </w:r>
      <w:r w:rsidRPr="00C33BA8">
        <w:rPr>
          <w:rFonts w:ascii="Book Antiqua" w:hAnsi="Book Antiqua"/>
          <w:color w:val="000000" w:themeColor="text1"/>
          <w:sz w:val="24"/>
          <w:szCs w:val="24"/>
        </w:rPr>
        <w:t>: 5373-5381 [PMID: 23630351 DOI: 10.4049/jimmunol.1203412]</w:t>
      </w:r>
    </w:p>
    <w:p w14:paraId="03A4BA77" w14:textId="77777777" w:rsidR="00D43E0D" w:rsidRPr="00C33BA8" w:rsidRDefault="00D43E0D" w:rsidP="00D43E0D">
      <w:pPr>
        <w:pStyle w:val="ListParagraph"/>
        <w:tabs>
          <w:tab w:val="left" w:pos="480"/>
        </w:tabs>
        <w:adjustRightInd w:val="0"/>
        <w:snapToGrid w:val="0"/>
        <w:spacing w:line="360" w:lineRule="auto"/>
        <w:ind w:left="0" w:firstLine="0"/>
        <w:jc w:val="both"/>
        <w:rPr>
          <w:rFonts w:ascii="Book Antiqua" w:hAnsi="Book Antiqua"/>
          <w:color w:val="000000" w:themeColor="text1"/>
          <w:sz w:val="24"/>
          <w:szCs w:val="24"/>
        </w:rPr>
      </w:pPr>
      <w:r w:rsidRPr="00C33BA8">
        <w:rPr>
          <w:rFonts w:ascii="Book Antiqua" w:hAnsi="Book Antiqua"/>
          <w:color w:val="000000" w:themeColor="text1"/>
          <w:sz w:val="24"/>
          <w:szCs w:val="24"/>
        </w:rPr>
        <w:t>74 </w:t>
      </w:r>
      <w:r w:rsidRPr="00C33BA8">
        <w:rPr>
          <w:rFonts w:ascii="Book Antiqua" w:hAnsi="Book Antiqua"/>
          <w:b/>
          <w:bCs/>
          <w:color w:val="000000" w:themeColor="text1"/>
          <w:sz w:val="24"/>
          <w:szCs w:val="24"/>
        </w:rPr>
        <w:t>Soveid M</w:t>
      </w:r>
      <w:r w:rsidRPr="00C33BA8">
        <w:rPr>
          <w:rFonts w:ascii="Book Antiqua" w:hAnsi="Book Antiqua"/>
          <w:color w:val="000000" w:themeColor="text1"/>
          <w:sz w:val="24"/>
          <w:szCs w:val="24"/>
        </w:rPr>
        <w:t>, Hosseini Asl K, Omrani GR. Infection by Cag A positive strains of Helicobacter pylori is associated with autoimmune thyroid disease in Iranian patients. </w:t>
      </w:r>
      <w:r w:rsidRPr="00C33BA8">
        <w:rPr>
          <w:rFonts w:ascii="Book Antiqua" w:hAnsi="Book Antiqua"/>
          <w:i/>
          <w:iCs/>
          <w:color w:val="000000" w:themeColor="text1"/>
          <w:sz w:val="24"/>
          <w:szCs w:val="24"/>
        </w:rPr>
        <w:t>Iran J Immunol</w:t>
      </w:r>
      <w:r w:rsidRPr="00C33BA8">
        <w:rPr>
          <w:rFonts w:ascii="Book Antiqua" w:hAnsi="Book Antiqua"/>
          <w:color w:val="000000" w:themeColor="text1"/>
          <w:sz w:val="24"/>
          <w:szCs w:val="24"/>
        </w:rPr>
        <w:t> 2012; </w:t>
      </w:r>
      <w:r w:rsidRPr="00C33BA8">
        <w:rPr>
          <w:rFonts w:ascii="Book Antiqua" w:hAnsi="Book Antiqua"/>
          <w:b/>
          <w:bCs/>
          <w:color w:val="000000" w:themeColor="text1"/>
          <w:sz w:val="24"/>
          <w:szCs w:val="24"/>
        </w:rPr>
        <w:t>9</w:t>
      </w:r>
      <w:r w:rsidRPr="00C33BA8">
        <w:rPr>
          <w:rFonts w:ascii="Book Antiqua" w:hAnsi="Book Antiqua"/>
          <w:color w:val="000000" w:themeColor="text1"/>
          <w:sz w:val="24"/>
          <w:szCs w:val="24"/>
        </w:rPr>
        <w:t>: 48-52 [PMID: 22426167]</w:t>
      </w:r>
    </w:p>
    <w:p w14:paraId="619206D9" w14:textId="77777777" w:rsidR="00D43E0D" w:rsidRPr="00C33BA8" w:rsidRDefault="00D43E0D" w:rsidP="00D43E0D">
      <w:pPr>
        <w:pStyle w:val="ListParagraph"/>
        <w:tabs>
          <w:tab w:val="left" w:pos="480"/>
        </w:tabs>
        <w:adjustRightInd w:val="0"/>
        <w:snapToGrid w:val="0"/>
        <w:spacing w:line="360" w:lineRule="auto"/>
        <w:ind w:left="0" w:firstLine="0"/>
        <w:jc w:val="both"/>
        <w:rPr>
          <w:rFonts w:ascii="Book Antiqua" w:hAnsi="Book Antiqua"/>
          <w:color w:val="000000" w:themeColor="text1"/>
          <w:sz w:val="24"/>
          <w:szCs w:val="24"/>
        </w:rPr>
      </w:pPr>
      <w:r w:rsidRPr="00C33BA8">
        <w:rPr>
          <w:rFonts w:ascii="Book Antiqua" w:hAnsi="Book Antiqua"/>
          <w:color w:val="000000" w:themeColor="text1"/>
          <w:sz w:val="24"/>
          <w:szCs w:val="24"/>
        </w:rPr>
        <w:t>75 </w:t>
      </w:r>
      <w:r w:rsidRPr="00C33BA8">
        <w:rPr>
          <w:rFonts w:ascii="Book Antiqua" w:hAnsi="Book Antiqua"/>
          <w:b/>
          <w:bCs/>
          <w:color w:val="000000" w:themeColor="text1"/>
          <w:sz w:val="24"/>
          <w:szCs w:val="24"/>
        </w:rPr>
        <w:t>Benvenga S</w:t>
      </w:r>
      <w:r w:rsidRPr="00C33BA8">
        <w:rPr>
          <w:rFonts w:ascii="Book Antiqua" w:hAnsi="Book Antiqua"/>
          <w:color w:val="000000" w:themeColor="text1"/>
          <w:sz w:val="24"/>
          <w:szCs w:val="24"/>
        </w:rPr>
        <w:t>, Guarneri F, Vaccaro M, Santarpia L, Trimarchi F. Homologies between proteins of Borrelia burgdorferi and thyroid autoantigens. </w:t>
      </w:r>
      <w:r w:rsidRPr="00C33BA8">
        <w:rPr>
          <w:rFonts w:ascii="Book Antiqua" w:hAnsi="Book Antiqua"/>
          <w:i/>
          <w:iCs/>
          <w:color w:val="000000" w:themeColor="text1"/>
          <w:sz w:val="24"/>
          <w:szCs w:val="24"/>
        </w:rPr>
        <w:t>Thyroid</w:t>
      </w:r>
      <w:r w:rsidRPr="00C33BA8">
        <w:rPr>
          <w:rFonts w:ascii="Book Antiqua" w:hAnsi="Book Antiqua"/>
          <w:color w:val="000000" w:themeColor="text1"/>
          <w:sz w:val="24"/>
          <w:szCs w:val="24"/>
        </w:rPr>
        <w:t> 2004; </w:t>
      </w:r>
      <w:r w:rsidRPr="00C33BA8">
        <w:rPr>
          <w:rFonts w:ascii="Book Antiqua" w:hAnsi="Book Antiqua"/>
          <w:b/>
          <w:bCs/>
          <w:color w:val="000000" w:themeColor="text1"/>
          <w:sz w:val="24"/>
          <w:szCs w:val="24"/>
        </w:rPr>
        <w:t>14</w:t>
      </w:r>
      <w:r w:rsidRPr="00C33BA8">
        <w:rPr>
          <w:rFonts w:ascii="Book Antiqua" w:hAnsi="Book Antiqua"/>
          <w:color w:val="000000" w:themeColor="text1"/>
          <w:sz w:val="24"/>
          <w:szCs w:val="24"/>
        </w:rPr>
        <w:t>: 964-966 [PMID: 15671776 DOI: 10.1089/thy.2004.14.964.]</w:t>
      </w:r>
    </w:p>
    <w:p w14:paraId="3A1DA5B3" w14:textId="77777777" w:rsidR="00D43E0D" w:rsidRPr="00C33BA8" w:rsidRDefault="00D43E0D" w:rsidP="00D43E0D">
      <w:pPr>
        <w:pStyle w:val="ListParagraph"/>
        <w:tabs>
          <w:tab w:val="left" w:pos="480"/>
        </w:tabs>
        <w:adjustRightInd w:val="0"/>
        <w:snapToGrid w:val="0"/>
        <w:spacing w:line="360" w:lineRule="auto"/>
        <w:ind w:left="0" w:firstLine="0"/>
        <w:jc w:val="both"/>
        <w:rPr>
          <w:rFonts w:ascii="Book Antiqua" w:hAnsi="Book Antiqua"/>
          <w:color w:val="000000" w:themeColor="text1"/>
          <w:sz w:val="24"/>
          <w:szCs w:val="24"/>
        </w:rPr>
      </w:pPr>
      <w:r w:rsidRPr="00C33BA8">
        <w:rPr>
          <w:rFonts w:ascii="Book Antiqua" w:hAnsi="Book Antiqua"/>
          <w:color w:val="000000" w:themeColor="text1"/>
          <w:sz w:val="24"/>
          <w:szCs w:val="24"/>
        </w:rPr>
        <w:t>76 </w:t>
      </w:r>
      <w:r w:rsidRPr="00C33BA8">
        <w:rPr>
          <w:rFonts w:ascii="Book Antiqua" w:hAnsi="Book Antiqua"/>
          <w:b/>
          <w:bCs/>
          <w:color w:val="000000" w:themeColor="text1"/>
          <w:sz w:val="24"/>
          <w:szCs w:val="24"/>
        </w:rPr>
        <w:t>Pancholi V</w:t>
      </w:r>
      <w:r w:rsidRPr="00C33BA8">
        <w:rPr>
          <w:rFonts w:ascii="Book Antiqua" w:hAnsi="Book Antiqua"/>
          <w:color w:val="000000" w:themeColor="text1"/>
          <w:sz w:val="24"/>
          <w:szCs w:val="24"/>
        </w:rPr>
        <w:t>. Multifunctional alpha-enolase: its role in diseases. </w:t>
      </w:r>
      <w:r w:rsidRPr="00C33BA8">
        <w:rPr>
          <w:rFonts w:ascii="Book Antiqua" w:hAnsi="Book Antiqua"/>
          <w:i/>
          <w:iCs/>
          <w:color w:val="000000" w:themeColor="text1"/>
          <w:sz w:val="24"/>
          <w:szCs w:val="24"/>
        </w:rPr>
        <w:t>Cell Mol Life Sci</w:t>
      </w:r>
      <w:r w:rsidRPr="00C33BA8">
        <w:rPr>
          <w:rFonts w:ascii="Book Antiqua" w:hAnsi="Book Antiqua"/>
          <w:color w:val="000000" w:themeColor="text1"/>
          <w:sz w:val="24"/>
          <w:szCs w:val="24"/>
        </w:rPr>
        <w:t> 2001; </w:t>
      </w:r>
      <w:r w:rsidRPr="00C33BA8">
        <w:rPr>
          <w:rFonts w:ascii="Book Antiqua" w:hAnsi="Book Antiqua"/>
          <w:b/>
          <w:bCs/>
          <w:color w:val="000000" w:themeColor="text1"/>
          <w:sz w:val="24"/>
          <w:szCs w:val="24"/>
        </w:rPr>
        <w:t>58</w:t>
      </w:r>
      <w:r w:rsidRPr="00C33BA8">
        <w:rPr>
          <w:rFonts w:ascii="Book Antiqua" w:hAnsi="Book Antiqua"/>
          <w:color w:val="000000" w:themeColor="text1"/>
          <w:sz w:val="24"/>
          <w:szCs w:val="24"/>
        </w:rPr>
        <w:t>: 902-920 [PMID: 11497239]</w:t>
      </w:r>
    </w:p>
    <w:p w14:paraId="1E6A88F7" w14:textId="77777777" w:rsidR="00D43E0D" w:rsidRPr="00C33BA8" w:rsidRDefault="00D43E0D" w:rsidP="00D43E0D">
      <w:pPr>
        <w:pStyle w:val="ListParagraph"/>
        <w:tabs>
          <w:tab w:val="left" w:pos="480"/>
        </w:tabs>
        <w:adjustRightInd w:val="0"/>
        <w:snapToGrid w:val="0"/>
        <w:spacing w:line="360" w:lineRule="auto"/>
        <w:ind w:left="0" w:firstLine="0"/>
        <w:jc w:val="both"/>
        <w:rPr>
          <w:rFonts w:ascii="Book Antiqua" w:hAnsi="Book Antiqua"/>
          <w:color w:val="000000" w:themeColor="text1"/>
          <w:sz w:val="24"/>
          <w:szCs w:val="24"/>
        </w:rPr>
      </w:pPr>
      <w:r w:rsidRPr="00C33BA8">
        <w:rPr>
          <w:rFonts w:ascii="Book Antiqua" w:hAnsi="Book Antiqua"/>
          <w:color w:val="000000" w:themeColor="text1"/>
          <w:sz w:val="24"/>
          <w:szCs w:val="24"/>
        </w:rPr>
        <w:t>77 </w:t>
      </w:r>
      <w:r w:rsidRPr="00C33BA8">
        <w:rPr>
          <w:rFonts w:ascii="Book Antiqua" w:hAnsi="Book Antiqua"/>
          <w:b/>
          <w:bCs/>
          <w:color w:val="000000" w:themeColor="text1"/>
          <w:sz w:val="24"/>
          <w:szCs w:val="24"/>
        </w:rPr>
        <w:t>Fontán PA</w:t>
      </w:r>
      <w:r w:rsidRPr="00C33BA8">
        <w:rPr>
          <w:rFonts w:ascii="Book Antiqua" w:hAnsi="Book Antiqua"/>
          <w:color w:val="000000" w:themeColor="text1"/>
          <w:sz w:val="24"/>
          <w:szCs w:val="24"/>
        </w:rPr>
        <w:t>, Pancholi V, Nociari MM, Fischetti VA. Antibodies to streptococcal surface enolase react with human alpha-enolase: implications in poststreptococcal sequelae. </w:t>
      </w:r>
      <w:r w:rsidRPr="00C33BA8">
        <w:rPr>
          <w:rFonts w:ascii="Book Antiqua" w:hAnsi="Book Antiqua"/>
          <w:i/>
          <w:iCs/>
          <w:color w:val="000000" w:themeColor="text1"/>
          <w:sz w:val="24"/>
          <w:szCs w:val="24"/>
        </w:rPr>
        <w:t>J Infect Dis</w:t>
      </w:r>
      <w:r w:rsidRPr="00C33BA8">
        <w:rPr>
          <w:rFonts w:ascii="Book Antiqua" w:hAnsi="Book Antiqua"/>
          <w:color w:val="000000" w:themeColor="text1"/>
          <w:sz w:val="24"/>
          <w:szCs w:val="24"/>
        </w:rPr>
        <w:t> 2000; </w:t>
      </w:r>
      <w:r w:rsidRPr="00C33BA8">
        <w:rPr>
          <w:rFonts w:ascii="Book Antiqua" w:hAnsi="Book Antiqua"/>
          <w:b/>
          <w:bCs/>
          <w:color w:val="000000" w:themeColor="text1"/>
          <w:sz w:val="24"/>
          <w:szCs w:val="24"/>
        </w:rPr>
        <w:t>182</w:t>
      </w:r>
      <w:r w:rsidRPr="00C33BA8">
        <w:rPr>
          <w:rFonts w:ascii="Book Antiqua" w:hAnsi="Book Antiqua"/>
          <w:color w:val="000000" w:themeColor="text1"/>
          <w:sz w:val="24"/>
          <w:szCs w:val="24"/>
        </w:rPr>
        <w:t>: 1712-1721 [PMID: 11069244 DOI: 10.1086/317604]</w:t>
      </w:r>
    </w:p>
    <w:p w14:paraId="78152366" w14:textId="77777777" w:rsidR="00D43E0D" w:rsidRPr="00C33BA8" w:rsidRDefault="00D43E0D" w:rsidP="00D43E0D">
      <w:pPr>
        <w:pStyle w:val="ListParagraph"/>
        <w:tabs>
          <w:tab w:val="left" w:pos="480"/>
        </w:tabs>
        <w:adjustRightInd w:val="0"/>
        <w:snapToGrid w:val="0"/>
        <w:spacing w:line="360" w:lineRule="auto"/>
        <w:ind w:left="0" w:firstLine="0"/>
        <w:jc w:val="both"/>
        <w:rPr>
          <w:rFonts w:ascii="Book Antiqua" w:hAnsi="Book Antiqua"/>
          <w:color w:val="000000" w:themeColor="text1"/>
          <w:sz w:val="24"/>
          <w:szCs w:val="24"/>
        </w:rPr>
      </w:pPr>
      <w:r w:rsidRPr="00C33BA8">
        <w:rPr>
          <w:rFonts w:ascii="Book Antiqua" w:hAnsi="Book Antiqua"/>
          <w:color w:val="000000" w:themeColor="text1"/>
          <w:sz w:val="24"/>
          <w:szCs w:val="24"/>
        </w:rPr>
        <w:t>78 </w:t>
      </w:r>
      <w:r w:rsidRPr="00C33BA8">
        <w:rPr>
          <w:rFonts w:ascii="Book Antiqua" w:hAnsi="Book Antiqua"/>
          <w:b/>
          <w:bCs/>
          <w:color w:val="000000" w:themeColor="text1"/>
          <w:sz w:val="24"/>
          <w:szCs w:val="24"/>
        </w:rPr>
        <w:t>van Deventer AJ</w:t>
      </w:r>
      <w:r w:rsidRPr="00C33BA8">
        <w:rPr>
          <w:rFonts w:ascii="Book Antiqua" w:hAnsi="Book Antiqua"/>
          <w:color w:val="000000" w:themeColor="text1"/>
          <w:sz w:val="24"/>
          <w:szCs w:val="24"/>
        </w:rPr>
        <w:t>, van Vliet HJ, Hop WC, Goessens WH. Diagnostic value of anti-Candida enolase antibodies. </w:t>
      </w:r>
      <w:r w:rsidRPr="00C33BA8">
        <w:rPr>
          <w:rFonts w:ascii="Book Antiqua" w:hAnsi="Book Antiqua"/>
          <w:i/>
          <w:iCs/>
          <w:color w:val="000000" w:themeColor="text1"/>
          <w:sz w:val="24"/>
          <w:szCs w:val="24"/>
        </w:rPr>
        <w:t>J Clin Microbiol</w:t>
      </w:r>
      <w:r w:rsidRPr="00C33BA8">
        <w:rPr>
          <w:rFonts w:ascii="Book Antiqua" w:hAnsi="Book Antiqua"/>
          <w:color w:val="000000" w:themeColor="text1"/>
          <w:sz w:val="24"/>
          <w:szCs w:val="24"/>
        </w:rPr>
        <w:t> 1994; </w:t>
      </w:r>
      <w:r w:rsidRPr="00C33BA8">
        <w:rPr>
          <w:rFonts w:ascii="Book Antiqua" w:hAnsi="Book Antiqua"/>
          <w:b/>
          <w:bCs/>
          <w:color w:val="000000" w:themeColor="text1"/>
          <w:sz w:val="24"/>
          <w:szCs w:val="24"/>
        </w:rPr>
        <w:t>32</w:t>
      </w:r>
      <w:r w:rsidRPr="00C33BA8">
        <w:rPr>
          <w:rFonts w:ascii="Book Antiqua" w:hAnsi="Book Antiqua"/>
          <w:color w:val="000000" w:themeColor="text1"/>
          <w:sz w:val="24"/>
          <w:szCs w:val="24"/>
        </w:rPr>
        <w:t>: 17-23 [PMID: 8126174]</w:t>
      </w:r>
    </w:p>
    <w:p w14:paraId="5DFBFEAF" w14:textId="77777777" w:rsidR="00D43E0D" w:rsidRPr="00C33BA8" w:rsidRDefault="00D43E0D" w:rsidP="00D43E0D">
      <w:pPr>
        <w:pStyle w:val="ListParagraph"/>
        <w:tabs>
          <w:tab w:val="left" w:pos="480"/>
        </w:tabs>
        <w:adjustRightInd w:val="0"/>
        <w:snapToGrid w:val="0"/>
        <w:spacing w:line="360" w:lineRule="auto"/>
        <w:ind w:left="0" w:firstLine="0"/>
        <w:jc w:val="both"/>
        <w:rPr>
          <w:rFonts w:ascii="Book Antiqua" w:hAnsi="Book Antiqua"/>
          <w:color w:val="000000" w:themeColor="text1"/>
          <w:sz w:val="24"/>
          <w:szCs w:val="24"/>
        </w:rPr>
      </w:pPr>
      <w:r w:rsidRPr="00C33BA8">
        <w:rPr>
          <w:rFonts w:ascii="Book Antiqua" w:hAnsi="Book Antiqua"/>
          <w:color w:val="000000" w:themeColor="text1"/>
          <w:sz w:val="24"/>
          <w:szCs w:val="24"/>
        </w:rPr>
        <w:t>79 </w:t>
      </w:r>
      <w:r w:rsidRPr="00C33BA8">
        <w:rPr>
          <w:rFonts w:ascii="Book Antiqua" w:hAnsi="Book Antiqua"/>
          <w:b/>
          <w:bCs/>
          <w:color w:val="000000" w:themeColor="text1"/>
          <w:sz w:val="24"/>
          <w:szCs w:val="24"/>
        </w:rPr>
        <w:t>Pratesi F</w:t>
      </w:r>
      <w:r w:rsidRPr="00C33BA8">
        <w:rPr>
          <w:rFonts w:ascii="Book Antiqua" w:hAnsi="Book Antiqua"/>
          <w:color w:val="000000" w:themeColor="text1"/>
          <w:sz w:val="24"/>
          <w:szCs w:val="24"/>
        </w:rPr>
        <w:t>, Moscato S, Sabbatini A, Chimenti D, Bombardieri S, Migliorini P. Autoantibodies specific for alpha-enolase in systemic autoimmune disorders. </w:t>
      </w:r>
      <w:r w:rsidRPr="00C33BA8">
        <w:rPr>
          <w:rFonts w:ascii="Book Antiqua" w:hAnsi="Book Antiqua"/>
          <w:i/>
          <w:iCs/>
          <w:color w:val="000000" w:themeColor="text1"/>
          <w:sz w:val="24"/>
          <w:szCs w:val="24"/>
        </w:rPr>
        <w:t>J Rheumatol</w:t>
      </w:r>
      <w:r w:rsidRPr="00C33BA8">
        <w:rPr>
          <w:rFonts w:ascii="Book Antiqua" w:hAnsi="Book Antiqua"/>
          <w:color w:val="000000" w:themeColor="text1"/>
          <w:sz w:val="24"/>
          <w:szCs w:val="24"/>
        </w:rPr>
        <w:t> 2000; </w:t>
      </w:r>
      <w:r w:rsidRPr="00C33BA8">
        <w:rPr>
          <w:rFonts w:ascii="Book Antiqua" w:hAnsi="Book Antiqua"/>
          <w:b/>
          <w:bCs/>
          <w:color w:val="000000" w:themeColor="text1"/>
          <w:sz w:val="24"/>
          <w:szCs w:val="24"/>
        </w:rPr>
        <w:t>27</w:t>
      </w:r>
      <w:r w:rsidRPr="00C33BA8">
        <w:rPr>
          <w:rFonts w:ascii="Book Antiqua" w:hAnsi="Book Antiqua"/>
          <w:color w:val="000000" w:themeColor="text1"/>
          <w:sz w:val="24"/>
          <w:szCs w:val="24"/>
        </w:rPr>
        <w:t>: 109-115 [PMID: 10648026]</w:t>
      </w:r>
    </w:p>
    <w:p w14:paraId="27665884" w14:textId="77777777" w:rsidR="00D43E0D" w:rsidRPr="00C33BA8" w:rsidRDefault="00D43E0D" w:rsidP="00D43E0D">
      <w:pPr>
        <w:pStyle w:val="ListParagraph"/>
        <w:tabs>
          <w:tab w:val="left" w:pos="480"/>
        </w:tabs>
        <w:adjustRightInd w:val="0"/>
        <w:snapToGrid w:val="0"/>
        <w:spacing w:line="360" w:lineRule="auto"/>
        <w:ind w:left="0" w:firstLine="0"/>
        <w:jc w:val="both"/>
        <w:rPr>
          <w:rFonts w:ascii="Book Antiqua" w:hAnsi="Book Antiqua"/>
          <w:color w:val="000000" w:themeColor="text1"/>
          <w:sz w:val="24"/>
          <w:szCs w:val="24"/>
        </w:rPr>
      </w:pPr>
      <w:r w:rsidRPr="00C33BA8">
        <w:rPr>
          <w:rFonts w:ascii="Book Antiqua" w:hAnsi="Book Antiqua"/>
          <w:color w:val="000000" w:themeColor="text1"/>
          <w:sz w:val="24"/>
          <w:szCs w:val="24"/>
        </w:rPr>
        <w:t>80 </w:t>
      </w:r>
      <w:r w:rsidRPr="00C33BA8">
        <w:rPr>
          <w:rFonts w:ascii="Book Antiqua" w:hAnsi="Book Antiqua"/>
          <w:b/>
          <w:bCs/>
          <w:color w:val="000000" w:themeColor="text1"/>
          <w:sz w:val="24"/>
          <w:szCs w:val="24"/>
        </w:rPr>
        <w:t>Saulot V</w:t>
      </w:r>
      <w:r w:rsidRPr="00C33BA8">
        <w:rPr>
          <w:rFonts w:ascii="Book Antiqua" w:hAnsi="Book Antiqua"/>
          <w:color w:val="000000" w:themeColor="text1"/>
          <w:sz w:val="24"/>
          <w:szCs w:val="24"/>
        </w:rPr>
        <w:t>, Vittecoq O, Charlionet R, Fardellone P, Lange C, Marvin L, Machour N, Le Loët X, Gilbert D, Tron F. Presence of autoantibodies to the glycolytic enzyme alpha-enolase in sera from patients with early rheumatoid arthritis. </w:t>
      </w:r>
      <w:r w:rsidRPr="00C33BA8">
        <w:rPr>
          <w:rFonts w:ascii="Book Antiqua" w:hAnsi="Book Antiqua"/>
          <w:i/>
          <w:iCs/>
          <w:color w:val="000000" w:themeColor="text1"/>
          <w:sz w:val="24"/>
          <w:szCs w:val="24"/>
        </w:rPr>
        <w:t>Arthritis Rheum</w:t>
      </w:r>
      <w:r w:rsidRPr="00C33BA8">
        <w:rPr>
          <w:rFonts w:ascii="Book Antiqua" w:hAnsi="Book Antiqua"/>
          <w:color w:val="000000" w:themeColor="text1"/>
          <w:sz w:val="24"/>
          <w:szCs w:val="24"/>
        </w:rPr>
        <w:t> 2002; </w:t>
      </w:r>
      <w:r w:rsidRPr="00C33BA8">
        <w:rPr>
          <w:rFonts w:ascii="Book Antiqua" w:hAnsi="Book Antiqua"/>
          <w:b/>
          <w:bCs/>
          <w:color w:val="000000" w:themeColor="text1"/>
          <w:sz w:val="24"/>
          <w:szCs w:val="24"/>
        </w:rPr>
        <w:t>46</w:t>
      </w:r>
      <w:r w:rsidRPr="00C33BA8">
        <w:rPr>
          <w:rFonts w:ascii="Book Antiqua" w:hAnsi="Book Antiqua"/>
          <w:color w:val="000000" w:themeColor="text1"/>
          <w:sz w:val="24"/>
          <w:szCs w:val="24"/>
        </w:rPr>
        <w:t>: 1196-1201 [PMID: 12115223 DOI: 10.1002/art.10252]</w:t>
      </w:r>
    </w:p>
    <w:p w14:paraId="1C5E8ABC" w14:textId="77777777" w:rsidR="00D43E0D" w:rsidRPr="00C33BA8" w:rsidRDefault="00D43E0D" w:rsidP="00D43E0D">
      <w:pPr>
        <w:pStyle w:val="ListParagraph"/>
        <w:tabs>
          <w:tab w:val="left" w:pos="480"/>
        </w:tabs>
        <w:adjustRightInd w:val="0"/>
        <w:snapToGrid w:val="0"/>
        <w:spacing w:line="360" w:lineRule="auto"/>
        <w:ind w:left="0" w:firstLine="0"/>
        <w:jc w:val="both"/>
        <w:rPr>
          <w:rFonts w:ascii="Book Antiqua" w:hAnsi="Book Antiqua"/>
          <w:color w:val="000000" w:themeColor="text1"/>
          <w:sz w:val="24"/>
          <w:szCs w:val="24"/>
        </w:rPr>
      </w:pPr>
      <w:r w:rsidRPr="00C33BA8">
        <w:rPr>
          <w:rFonts w:ascii="Book Antiqua" w:hAnsi="Book Antiqua"/>
          <w:color w:val="000000" w:themeColor="text1"/>
          <w:sz w:val="24"/>
          <w:szCs w:val="24"/>
        </w:rPr>
        <w:t>81 </w:t>
      </w:r>
      <w:r w:rsidRPr="00C33BA8">
        <w:rPr>
          <w:rFonts w:ascii="Book Antiqua" w:hAnsi="Book Antiqua"/>
          <w:b/>
          <w:bCs/>
          <w:color w:val="000000" w:themeColor="text1"/>
          <w:sz w:val="24"/>
          <w:szCs w:val="24"/>
        </w:rPr>
        <w:t>Fujii A</w:t>
      </w:r>
      <w:r w:rsidRPr="00C33BA8">
        <w:rPr>
          <w:rFonts w:ascii="Book Antiqua" w:hAnsi="Book Antiqua"/>
          <w:color w:val="000000" w:themeColor="text1"/>
          <w:sz w:val="24"/>
          <w:szCs w:val="24"/>
        </w:rPr>
        <w:t>, Yoneda M, Ito T, Yamamura O, Satomi S, Higa H, Kimura A, Suzuki M, Yamashita M, Yuasa T, Suzuki H, Kuriyama M. Autoantibodies against the amino terminal of alpha-enolase are a useful diagnostic marker of Hashimoto's encephalopathy. </w:t>
      </w:r>
      <w:r w:rsidRPr="00C33BA8">
        <w:rPr>
          <w:rFonts w:ascii="Book Antiqua" w:hAnsi="Book Antiqua"/>
          <w:i/>
          <w:iCs/>
          <w:color w:val="000000" w:themeColor="text1"/>
          <w:sz w:val="24"/>
          <w:szCs w:val="24"/>
        </w:rPr>
        <w:t xml:space="preserve">J </w:t>
      </w:r>
      <w:r w:rsidRPr="00C33BA8">
        <w:rPr>
          <w:rFonts w:ascii="Book Antiqua" w:hAnsi="Book Antiqua"/>
          <w:i/>
          <w:iCs/>
          <w:color w:val="000000" w:themeColor="text1"/>
          <w:sz w:val="24"/>
          <w:szCs w:val="24"/>
        </w:rPr>
        <w:lastRenderedPageBreak/>
        <w:t>Neuroimmunol</w:t>
      </w:r>
      <w:r w:rsidRPr="00C33BA8">
        <w:rPr>
          <w:rFonts w:ascii="Book Antiqua" w:hAnsi="Book Antiqua"/>
          <w:color w:val="000000" w:themeColor="text1"/>
          <w:sz w:val="24"/>
          <w:szCs w:val="24"/>
        </w:rPr>
        <w:t> 2005; </w:t>
      </w:r>
      <w:r w:rsidRPr="00C33BA8">
        <w:rPr>
          <w:rFonts w:ascii="Book Antiqua" w:hAnsi="Book Antiqua"/>
          <w:b/>
          <w:bCs/>
          <w:color w:val="000000" w:themeColor="text1"/>
          <w:sz w:val="24"/>
          <w:szCs w:val="24"/>
        </w:rPr>
        <w:t>162</w:t>
      </w:r>
      <w:r w:rsidRPr="00C33BA8">
        <w:rPr>
          <w:rFonts w:ascii="Book Antiqua" w:hAnsi="Book Antiqua"/>
          <w:color w:val="000000" w:themeColor="text1"/>
          <w:sz w:val="24"/>
          <w:szCs w:val="24"/>
        </w:rPr>
        <w:t>: 130-136 [PMID: 15833368 DOI: 10.1016/j.jneuroim.2005.02.004]</w:t>
      </w:r>
    </w:p>
    <w:p w14:paraId="71FD0C69" w14:textId="77777777" w:rsidR="00D43E0D" w:rsidRPr="00C33BA8" w:rsidRDefault="00D43E0D" w:rsidP="00D43E0D">
      <w:pPr>
        <w:pStyle w:val="ListParagraph"/>
        <w:tabs>
          <w:tab w:val="left" w:pos="480"/>
        </w:tabs>
        <w:adjustRightInd w:val="0"/>
        <w:snapToGrid w:val="0"/>
        <w:spacing w:line="360" w:lineRule="auto"/>
        <w:ind w:left="0" w:firstLine="0"/>
        <w:jc w:val="both"/>
        <w:rPr>
          <w:rFonts w:ascii="Book Antiqua" w:hAnsi="Book Antiqua"/>
          <w:color w:val="000000" w:themeColor="text1"/>
          <w:sz w:val="24"/>
          <w:szCs w:val="24"/>
        </w:rPr>
      </w:pPr>
      <w:r w:rsidRPr="00C33BA8">
        <w:rPr>
          <w:rFonts w:ascii="Book Antiqua" w:hAnsi="Book Antiqua"/>
          <w:color w:val="000000" w:themeColor="text1"/>
          <w:sz w:val="24"/>
          <w:szCs w:val="24"/>
        </w:rPr>
        <w:t>82 </w:t>
      </w:r>
      <w:r w:rsidRPr="00C33BA8">
        <w:rPr>
          <w:rFonts w:ascii="Book Antiqua" w:hAnsi="Book Antiqua"/>
          <w:b/>
          <w:bCs/>
          <w:color w:val="000000" w:themeColor="text1"/>
          <w:sz w:val="24"/>
          <w:szCs w:val="24"/>
        </w:rPr>
        <w:t>Terrier B</w:t>
      </w:r>
      <w:r w:rsidRPr="00C33BA8">
        <w:rPr>
          <w:rFonts w:ascii="Book Antiqua" w:hAnsi="Book Antiqua"/>
          <w:color w:val="000000" w:themeColor="text1"/>
          <w:sz w:val="24"/>
          <w:szCs w:val="24"/>
        </w:rPr>
        <w:t>, Degand N, Guilpain P, Servettaz A, Guillevin L, Mouthon L. Alpha-enolase: a target of antibodies in infectious and autoimmune diseases. </w:t>
      </w:r>
      <w:r w:rsidRPr="00C33BA8">
        <w:rPr>
          <w:rFonts w:ascii="Book Antiqua" w:hAnsi="Book Antiqua"/>
          <w:i/>
          <w:iCs/>
          <w:color w:val="000000" w:themeColor="text1"/>
          <w:sz w:val="24"/>
          <w:szCs w:val="24"/>
        </w:rPr>
        <w:t>Autoimmun Rev</w:t>
      </w:r>
      <w:r w:rsidRPr="00C33BA8">
        <w:rPr>
          <w:rFonts w:ascii="Book Antiqua" w:hAnsi="Book Antiqua"/>
          <w:color w:val="000000" w:themeColor="text1"/>
          <w:sz w:val="24"/>
          <w:szCs w:val="24"/>
        </w:rPr>
        <w:t> 2007; </w:t>
      </w:r>
      <w:r w:rsidRPr="00C33BA8">
        <w:rPr>
          <w:rFonts w:ascii="Book Antiqua" w:hAnsi="Book Antiqua"/>
          <w:b/>
          <w:bCs/>
          <w:color w:val="000000" w:themeColor="text1"/>
          <w:sz w:val="24"/>
          <w:szCs w:val="24"/>
        </w:rPr>
        <w:t>6</w:t>
      </w:r>
      <w:r w:rsidRPr="00C33BA8">
        <w:rPr>
          <w:rFonts w:ascii="Book Antiqua" w:hAnsi="Book Antiqua"/>
          <w:color w:val="000000" w:themeColor="text1"/>
          <w:sz w:val="24"/>
          <w:szCs w:val="24"/>
        </w:rPr>
        <w:t>: 176-182 [PMID: 17289554 DOI: 10.1016/j.autrev.2006.10.004]</w:t>
      </w:r>
    </w:p>
    <w:p w14:paraId="13D2083E" w14:textId="77777777" w:rsidR="00D43E0D" w:rsidRPr="00C33BA8" w:rsidRDefault="00D43E0D" w:rsidP="00D43E0D">
      <w:pPr>
        <w:pStyle w:val="ListParagraph"/>
        <w:tabs>
          <w:tab w:val="left" w:pos="480"/>
        </w:tabs>
        <w:adjustRightInd w:val="0"/>
        <w:snapToGrid w:val="0"/>
        <w:spacing w:line="360" w:lineRule="auto"/>
        <w:ind w:left="0" w:firstLine="0"/>
        <w:jc w:val="both"/>
        <w:rPr>
          <w:rFonts w:ascii="Book Antiqua" w:hAnsi="Book Antiqua"/>
          <w:color w:val="000000" w:themeColor="text1"/>
          <w:sz w:val="24"/>
          <w:szCs w:val="24"/>
        </w:rPr>
      </w:pPr>
      <w:r w:rsidRPr="00C33BA8">
        <w:rPr>
          <w:rFonts w:ascii="Book Antiqua" w:hAnsi="Book Antiqua"/>
          <w:color w:val="000000" w:themeColor="text1"/>
          <w:sz w:val="24"/>
          <w:szCs w:val="24"/>
        </w:rPr>
        <w:t>83 </w:t>
      </w:r>
      <w:r w:rsidRPr="00C33BA8">
        <w:rPr>
          <w:rFonts w:ascii="Book Antiqua" w:hAnsi="Book Antiqua"/>
          <w:b/>
          <w:bCs/>
          <w:color w:val="000000" w:themeColor="text1"/>
          <w:sz w:val="24"/>
          <w:szCs w:val="24"/>
        </w:rPr>
        <w:t>Schroeder BO</w:t>
      </w:r>
      <w:r w:rsidRPr="00C33BA8">
        <w:rPr>
          <w:rFonts w:ascii="Book Antiqua" w:hAnsi="Book Antiqua"/>
          <w:color w:val="000000" w:themeColor="text1"/>
          <w:sz w:val="24"/>
          <w:szCs w:val="24"/>
        </w:rPr>
        <w:t>, Bäckhed F. Signals from the gut microbiota to distant organs in physiology and disease. </w:t>
      </w:r>
      <w:r w:rsidRPr="00C33BA8">
        <w:rPr>
          <w:rFonts w:ascii="Book Antiqua" w:hAnsi="Book Antiqua"/>
          <w:i/>
          <w:iCs/>
          <w:color w:val="000000" w:themeColor="text1"/>
          <w:sz w:val="24"/>
          <w:szCs w:val="24"/>
        </w:rPr>
        <w:t>Nat Med</w:t>
      </w:r>
      <w:r w:rsidRPr="00C33BA8">
        <w:rPr>
          <w:rFonts w:ascii="Book Antiqua" w:hAnsi="Book Antiqua"/>
          <w:color w:val="000000" w:themeColor="text1"/>
          <w:sz w:val="24"/>
          <w:szCs w:val="24"/>
        </w:rPr>
        <w:t> 2016; </w:t>
      </w:r>
      <w:r w:rsidRPr="00C33BA8">
        <w:rPr>
          <w:rFonts w:ascii="Book Antiqua" w:hAnsi="Book Antiqua"/>
          <w:b/>
          <w:bCs/>
          <w:color w:val="000000" w:themeColor="text1"/>
          <w:sz w:val="24"/>
          <w:szCs w:val="24"/>
        </w:rPr>
        <w:t>22</w:t>
      </w:r>
      <w:r w:rsidRPr="00C33BA8">
        <w:rPr>
          <w:rFonts w:ascii="Book Antiqua" w:hAnsi="Book Antiqua"/>
          <w:color w:val="000000" w:themeColor="text1"/>
          <w:sz w:val="24"/>
          <w:szCs w:val="24"/>
        </w:rPr>
        <w:t>: 1079-1089 [PMID: 27711063 DOI: 10.1038/nm.4185.]</w:t>
      </w:r>
    </w:p>
    <w:p w14:paraId="7B92DBCE" w14:textId="77777777" w:rsidR="00D43E0D" w:rsidRPr="00C33BA8" w:rsidRDefault="00D43E0D" w:rsidP="00D43E0D">
      <w:pPr>
        <w:pStyle w:val="ListParagraph"/>
        <w:tabs>
          <w:tab w:val="left" w:pos="480"/>
        </w:tabs>
        <w:adjustRightInd w:val="0"/>
        <w:snapToGrid w:val="0"/>
        <w:spacing w:line="360" w:lineRule="auto"/>
        <w:ind w:left="0" w:firstLine="0"/>
        <w:jc w:val="both"/>
        <w:rPr>
          <w:rFonts w:ascii="Book Antiqua" w:hAnsi="Book Antiqua"/>
          <w:color w:val="000000" w:themeColor="text1"/>
          <w:sz w:val="24"/>
          <w:szCs w:val="24"/>
        </w:rPr>
      </w:pPr>
      <w:r w:rsidRPr="00C33BA8">
        <w:rPr>
          <w:rFonts w:ascii="Book Antiqua" w:hAnsi="Book Antiqua"/>
          <w:color w:val="000000" w:themeColor="text1"/>
          <w:sz w:val="24"/>
          <w:szCs w:val="24"/>
        </w:rPr>
        <w:t>84 </w:t>
      </w:r>
      <w:r w:rsidRPr="00C33BA8">
        <w:rPr>
          <w:rFonts w:ascii="Book Antiqua" w:hAnsi="Book Antiqua"/>
          <w:b/>
          <w:bCs/>
          <w:color w:val="000000" w:themeColor="text1"/>
          <w:sz w:val="24"/>
          <w:szCs w:val="24"/>
        </w:rPr>
        <w:t>Tremaroli V</w:t>
      </w:r>
      <w:r w:rsidRPr="00C33BA8">
        <w:rPr>
          <w:rFonts w:ascii="Book Antiqua" w:hAnsi="Book Antiqua"/>
          <w:color w:val="000000" w:themeColor="text1"/>
          <w:sz w:val="24"/>
          <w:szCs w:val="24"/>
        </w:rPr>
        <w:t>, Bäckhed F. Functional interactions between the gut microbiota and host metabolism. </w:t>
      </w:r>
      <w:r w:rsidRPr="00C33BA8">
        <w:rPr>
          <w:rFonts w:ascii="Book Antiqua" w:hAnsi="Book Antiqua"/>
          <w:i/>
          <w:iCs/>
          <w:color w:val="000000" w:themeColor="text1"/>
          <w:sz w:val="24"/>
          <w:szCs w:val="24"/>
        </w:rPr>
        <w:t>Nature</w:t>
      </w:r>
      <w:r w:rsidRPr="00C33BA8">
        <w:rPr>
          <w:rFonts w:ascii="Book Antiqua" w:hAnsi="Book Antiqua"/>
          <w:color w:val="000000" w:themeColor="text1"/>
          <w:sz w:val="24"/>
          <w:szCs w:val="24"/>
        </w:rPr>
        <w:t> 2012; </w:t>
      </w:r>
      <w:r w:rsidRPr="00C33BA8">
        <w:rPr>
          <w:rFonts w:ascii="Book Antiqua" w:hAnsi="Book Antiqua"/>
          <w:b/>
          <w:bCs/>
          <w:color w:val="000000" w:themeColor="text1"/>
          <w:sz w:val="24"/>
          <w:szCs w:val="24"/>
        </w:rPr>
        <w:t>489</w:t>
      </w:r>
      <w:r w:rsidRPr="00C33BA8">
        <w:rPr>
          <w:rFonts w:ascii="Book Antiqua" w:hAnsi="Book Antiqua"/>
          <w:color w:val="000000" w:themeColor="text1"/>
          <w:sz w:val="24"/>
          <w:szCs w:val="24"/>
        </w:rPr>
        <w:t>: 242-249 [PMID: 22972297 DOI: 10.1038/nature11552.]</w:t>
      </w:r>
    </w:p>
    <w:p w14:paraId="4C077142" w14:textId="77777777" w:rsidR="00D43E0D" w:rsidRPr="00C33BA8" w:rsidRDefault="00D43E0D" w:rsidP="00D43E0D">
      <w:pPr>
        <w:pStyle w:val="ListParagraph"/>
        <w:tabs>
          <w:tab w:val="left" w:pos="480"/>
        </w:tabs>
        <w:adjustRightInd w:val="0"/>
        <w:snapToGrid w:val="0"/>
        <w:spacing w:line="360" w:lineRule="auto"/>
        <w:ind w:left="0" w:firstLine="0"/>
        <w:jc w:val="both"/>
        <w:rPr>
          <w:rFonts w:ascii="Book Antiqua" w:hAnsi="Book Antiqua"/>
          <w:color w:val="000000" w:themeColor="text1"/>
          <w:sz w:val="24"/>
          <w:szCs w:val="24"/>
        </w:rPr>
      </w:pPr>
      <w:r w:rsidRPr="00C33BA8">
        <w:rPr>
          <w:rFonts w:ascii="Book Antiqua" w:hAnsi="Book Antiqua"/>
          <w:color w:val="000000" w:themeColor="text1"/>
          <w:sz w:val="24"/>
          <w:szCs w:val="24"/>
        </w:rPr>
        <w:t>85 </w:t>
      </w:r>
      <w:r w:rsidRPr="00C33BA8">
        <w:rPr>
          <w:rFonts w:ascii="Book Antiqua" w:hAnsi="Book Antiqua"/>
          <w:b/>
          <w:bCs/>
          <w:color w:val="000000" w:themeColor="text1"/>
          <w:sz w:val="24"/>
          <w:szCs w:val="24"/>
        </w:rPr>
        <w:t>Caesar R</w:t>
      </w:r>
      <w:r w:rsidRPr="00C33BA8">
        <w:rPr>
          <w:rFonts w:ascii="Book Antiqua" w:hAnsi="Book Antiqua"/>
          <w:color w:val="000000" w:themeColor="text1"/>
          <w:sz w:val="24"/>
          <w:szCs w:val="24"/>
        </w:rPr>
        <w:t>, Reigstad CS, Bäckhed HK, Reinhardt C, Ketonen M, Lundén GÖ, Cani PD, Bäckhed F. Gut-derived lipopolysaccharide augments adipose macrophage accumulation but is not essential for impaired glucose or insulin tolerance in mice. </w:t>
      </w:r>
      <w:r w:rsidRPr="00C33BA8">
        <w:rPr>
          <w:rFonts w:ascii="Book Antiqua" w:hAnsi="Book Antiqua"/>
          <w:i/>
          <w:iCs/>
          <w:color w:val="000000" w:themeColor="text1"/>
          <w:sz w:val="24"/>
          <w:szCs w:val="24"/>
        </w:rPr>
        <w:t>Gut</w:t>
      </w:r>
      <w:r w:rsidRPr="00C33BA8">
        <w:rPr>
          <w:rFonts w:ascii="Book Antiqua" w:hAnsi="Book Antiqua"/>
          <w:color w:val="000000" w:themeColor="text1"/>
          <w:sz w:val="24"/>
          <w:szCs w:val="24"/>
        </w:rPr>
        <w:t> 2012; </w:t>
      </w:r>
      <w:r w:rsidRPr="00C33BA8">
        <w:rPr>
          <w:rFonts w:ascii="Book Antiqua" w:hAnsi="Book Antiqua"/>
          <w:b/>
          <w:bCs/>
          <w:color w:val="000000" w:themeColor="text1"/>
          <w:sz w:val="24"/>
          <w:szCs w:val="24"/>
        </w:rPr>
        <w:t>61</w:t>
      </w:r>
      <w:r w:rsidRPr="00C33BA8">
        <w:rPr>
          <w:rFonts w:ascii="Book Antiqua" w:hAnsi="Book Antiqua"/>
          <w:color w:val="000000" w:themeColor="text1"/>
          <w:sz w:val="24"/>
          <w:szCs w:val="24"/>
        </w:rPr>
        <w:t>: 1701-1707 [PMID: 22535377 DOI: 10.1136/gutjnl-2011-301689]</w:t>
      </w:r>
    </w:p>
    <w:p w14:paraId="5490E1E4" w14:textId="77777777" w:rsidR="00D43E0D" w:rsidRPr="00C33BA8" w:rsidRDefault="00D43E0D" w:rsidP="00D43E0D">
      <w:pPr>
        <w:pStyle w:val="ListParagraph"/>
        <w:tabs>
          <w:tab w:val="left" w:pos="480"/>
        </w:tabs>
        <w:adjustRightInd w:val="0"/>
        <w:snapToGrid w:val="0"/>
        <w:spacing w:line="360" w:lineRule="auto"/>
        <w:ind w:left="0" w:firstLine="0"/>
        <w:jc w:val="both"/>
        <w:rPr>
          <w:rFonts w:ascii="Book Antiqua" w:hAnsi="Book Antiqua"/>
          <w:color w:val="000000" w:themeColor="text1"/>
          <w:sz w:val="24"/>
          <w:szCs w:val="24"/>
        </w:rPr>
      </w:pPr>
      <w:r w:rsidRPr="00C33BA8">
        <w:rPr>
          <w:rFonts w:ascii="Book Antiqua" w:hAnsi="Book Antiqua"/>
          <w:color w:val="000000" w:themeColor="text1"/>
          <w:sz w:val="24"/>
          <w:szCs w:val="24"/>
        </w:rPr>
        <w:t>86 </w:t>
      </w:r>
      <w:r w:rsidRPr="00C33BA8">
        <w:rPr>
          <w:rFonts w:ascii="Book Antiqua" w:hAnsi="Book Antiqua"/>
          <w:b/>
          <w:bCs/>
          <w:color w:val="000000" w:themeColor="text1"/>
          <w:sz w:val="24"/>
          <w:szCs w:val="24"/>
        </w:rPr>
        <w:t>Caesar R</w:t>
      </w:r>
      <w:r w:rsidRPr="00C33BA8">
        <w:rPr>
          <w:rFonts w:ascii="Book Antiqua" w:hAnsi="Book Antiqua"/>
          <w:color w:val="000000" w:themeColor="text1"/>
          <w:sz w:val="24"/>
          <w:szCs w:val="24"/>
        </w:rPr>
        <w:t>, Tremaroli V, Kovatcheva-Datchary P, Cani PD, Bäckhed F. Crosstalk between Gut Microbiota and Dietary Lipids Aggravates WAT Inflammation through TLR Signaling. </w:t>
      </w:r>
      <w:r w:rsidRPr="00C33BA8">
        <w:rPr>
          <w:rFonts w:ascii="Book Antiqua" w:hAnsi="Book Antiqua"/>
          <w:i/>
          <w:iCs/>
          <w:color w:val="000000" w:themeColor="text1"/>
          <w:sz w:val="24"/>
          <w:szCs w:val="24"/>
        </w:rPr>
        <w:t>Cell Metab</w:t>
      </w:r>
      <w:r w:rsidRPr="00C33BA8">
        <w:rPr>
          <w:rFonts w:ascii="Book Antiqua" w:hAnsi="Book Antiqua"/>
          <w:color w:val="000000" w:themeColor="text1"/>
          <w:sz w:val="24"/>
          <w:szCs w:val="24"/>
        </w:rPr>
        <w:t> 2015; </w:t>
      </w:r>
      <w:r w:rsidRPr="00C33BA8">
        <w:rPr>
          <w:rFonts w:ascii="Book Antiqua" w:hAnsi="Book Antiqua"/>
          <w:b/>
          <w:bCs/>
          <w:color w:val="000000" w:themeColor="text1"/>
          <w:sz w:val="24"/>
          <w:szCs w:val="24"/>
        </w:rPr>
        <w:t>22</w:t>
      </w:r>
      <w:r w:rsidRPr="00C33BA8">
        <w:rPr>
          <w:rFonts w:ascii="Book Antiqua" w:hAnsi="Book Antiqua"/>
          <w:color w:val="000000" w:themeColor="text1"/>
          <w:sz w:val="24"/>
          <w:szCs w:val="24"/>
        </w:rPr>
        <w:t>: 658-668 [PMID: 26321659 DOI: 10.1016/j.cmet.2015.07.026]</w:t>
      </w:r>
    </w:p>
    <w:p w14:paraId="5536DDC4" w14:textId="77777777" w:rsidR="00D43E0D" w:rsidRPr="00C33BA8" w:rsidRDefault="00D43E0D" w:rsidP="00D43E0D">
      <w:pPr>
        <w:pStyle w:val="ListParagraph"/>
        <w:tabs>
          <w:tab w:val="left" w:pos="480"/>
        </w:tabs>
        <w:adjustRightInd w:val="0"/>
        <w:snapToGrid w:val="0"/>
        <w:spacing w:line="360" w:lineRule="auto"/>
        <w:ind w:left="0" w:firstLine="0"/>
        <w:jc w:val="both"/>
        <w:rPr>
          <w:rFonts w:ascii="Book Antiqua" w:hAnsi="Book Antiqua"/>
          <w:color w:val="000000" w:themeColor="text1"/>
          <w:sz w:val="24"/>
          <w:szCs w:val="24"/>
        </w:rPr>
      </w:pPr>
      <w:r w:rsidRPr="00C33BA8">
        <w:rPr>
          <w:rFonts w:ascii="Book Antiqua" w:hAnsi="Book Antiqua"/>
          <w:color w:val="000000" w:themeColor="text1"/>
          <w:sz w:val="24"/>
          <w:szCs w:val="24"/>
        </w:rPr>
        <w:t>87 </w:t>
      </w:r>
      <w:r w:rsidRPr="00C33BA8">
        <w:rPr>
          <w:rFonts w:ascii="Book Antiqua" w:hAnsi="Book Antiqua"/>
          <w:b/>
          <w:bCs/>
          <w:color w:val="000000" w:themeColor="text1"/>
          <w:sz w:val="24"/>
          <w:szCs w:val="24"/>
        </w:rPr>
        <w:t>Luche E</w:t>
      </w:r>
      <w:r w:rsidRPr="00C33BA8">
        <w:rPr>
          <w:rFonts w:ascii="Book Antiqua" w:hAnsi="Book Antiqua"/>
          <w:color w:val="000000" w:themeColor="text1"/>
          <w:sz w:val="24"/>
          <w:szCs w:val="24"/>
        </w:rPr>
        <w:t>, Cousin B, Garidou L, Serino M, Waget A, Barreau C, André M, Valet P, Courtney M, Casteilla L, Burcelin R. Metabolic endotoxemia directly increases the proliferation of adipocyte precursors at the onset of metabolic diseases through a CD14-dependent mechanism. </w:t>
      </w:r>
      <w:r w:rsidRPr="00C33BA8">
        <w:rPr>
          <w:rFonts w:ascii="Book Antiqua" w:hAnsi="Book Antiqua"/>
          <w:i/>
          <w:iCs/>
          <w:color w:val="000000" w:themeColor="text1"/>
          <w:sz w:val="24"/>
          <w:szCs w:val="24"/>
        </w:rPr>
        <w:t>Mol Metab</w:t>
      </w:r>
      <w:r w:rsidRPr="00C33BA8">
        <w:rPr>
          <w:rFonts w:ascii="Book Antiqua" w:hAnsi="Book Antiqua"/>
          <w:color w:val="000000" w:themeColor="text1"/>
          <w:sz w:val="24"/>
          <w:szCs w:val="24"/>
        </w:rPr>
        <w:t> 2013; </w:t>
      </w:r>
      <w:r w:rsidRPr="00C33BA8">
        <w:rPr>
          <w:rFonts w:ascii="Book Antiqua" w:hAnsi="Book Antiqua"/>
          <w:b/>
          <w:bCs/>
          <w:color w:val="000000" w:themeColor="text1"/>
          <w:sz w:val="24"/>
          <w:szCs w:val="24"/>
        </w:rPr>
        <w:t>2</w:t>
      </w:r>
      <w:r w:rsidRPr="00C33BA8">
        <w:rPr>
          <w:rFonts w:ascii="Book Antiqua" w:hAnsi="Book Antiqua"/>
          <w:color w:val="000000" w:themeColor="text1"/>
          <w:sz w:val="24"/>
          <w:szCs w:val="24"/>
        </w:rPr>
        <w:t>: 281-291 [PMID: 24049740 DOI: 10.1016/j.molmet.2013.06.005]</w:t>
      </w:r>
    </w:p>
    <w:p w14:paraId="34E67E4C" w14:textId="77777777" w:rsidR="00D43E0D" w:rsidRPr="00C33BA8" w:rsidRDefault="00D43E0D" w:rsidP="00D43E0D">
      <w:pPr>
        <w:pStyle w:val="ListParagraph"/>
        <w:tabs>
          <w:tab w:val="left" w:pos="480"/>
        </w:tabs>
        <w:adjustRightInd w:val="0"/>
        <w:snapToGrid w:val="0"/>
        <w:spacing w:line="360" w:lineRule="auto"/>
        <w:ind w:left="0" w:firstLine="0"/>
        <w:jc w:val="both"/>
        <w:rPr>
          <w:rFonts w:ascii="Book Antiqua" w:hAnsi="Book Antiqua"/>
          <w:color w:val="000000" w:themeColor="text1"/>
          <w:sz w:val="24"/>
          <w:szCs w:val="24"/>
        </w:rPr>
      </w:pPr>
      <w:r w:rsidRPr="00C33BA8">
        <w:rPr>
          <w:rFonts w:ascii="Book Antiqua" w:hAnsi="Book Antiqua"/>
          <w:color w:val="000000" w:themeColor="text1"/>
          <w:sz w:val="24"/>
          <w:szCs w:val="24"/>
        </w:rPr>
        <w:t>88 </w:t>
      </w:r>
      <w:r w:rsidRPr="00C33BA8">
        <w:rPr>
          <w:rFonts w:ascii="Book Antiqua" w:hAnsi="Book Antiqua"/>
          <w:b/>
          <w:bCs/>
          <w:color w:val="000000" w:themeColor="text1"/>
          <w:sz w:val="24"/>
          <w:szCs w:val="24"/>
        </w:rPr>
        <w:t>Kharrazian D</w:t>
      </w:r>
      <w:r w:rsidRPr="00C33BA8">
        <w:rPr>
          <w:rFonts w:ascii="Book Antiqua" w:hAnsi="Book Antiqua"/>
          <w:color w:val="000000" w:themeColor="text1"/>
          <w:sz w:val="24"/>
          <w:szCs w:val="24"/>
        </w:rPr>
        <w:t>, Herbert M, Vojdani A. Immunological Reactivity Using Monoclonal and Polyclonal Antibodies of Autoimmune Thyroid Target Sites with Dietary Proteins. </w:t>
      </w:r>
      <w:r w:rsidRPr="00C33BA8">
        <w:rPr>
          <w:rFonts w:ascii="Book Antiqua" w:hAnsi="Book Antiqua"/>
          <w:i/>
          <w:iCs/>
          <w:color w:val="000000" w:themeColor="text1"/>
          <w:sz w:val="24"/>
          <w:szCs w:val="24"/>
        </w:rPr>
        <w:t>J Thyroid Res</w:t>
      </w:r>
      <w:r w:rsidRPr="00C33BA8">
        <w:rPr>
          <w:rFonts w:ascii="Book Antiqua" w:hAnsi="Book Antiqua"/>
          <w:color w:val="000000" w:themeColor="text1"/>
          <w:sz w:val="24"/>
          <w:szCs w:val="24"/>
        </w:rPr>
        <w:t> 2017; </w:t>
      </w:r>
      <w:r w:rsidRPr="00C33BA8">
        <w:rPr>
          <w:rFonts w:ascii="Book Antiqua" w:hAnsi="Book Antiqua"/>
          <w:b/>
          <w:bCs/>
          <w:color w:val="000000" w:themeColor="text1"/>
          <w:sz w:val="24"/>
          <w:szCs w:val="24"/>
        </w:rPr>
        <w:t>2017</w:t>
      </w:r>
      <w:r w:rsidRPr="00C33BA8">
        <w:rPr>
          <w:rFonts w:ascii="Book Antiqua" w:hAnsi="Book Antiqua"/>
          <w:color w:val="000000" w:themeColor="text1"/>
          <w:sz w:val="24"/>
          <w:szCs w:val="24"/>
        </w:rPr>
        <w:t>: 4354723 [PMID: 28894619 DOI: 10.1155/2017/4354723]</w:t>
      </w:r>
    </w:p>
    <w:p w14:paraId="0987F823" w14:textId="71BD1361" w:rsidR="00D43E0D" w:rsidRPr="00C33BA8" w:rsidRDefault="00D43E0D" w:rsidP="00D43E0D">
      <w:pPr>
        <w:pStyle w:val="ListParagraph"/>
        <w:tabs>
          <w:tab w:val="left" w:pos="480"/>
        </w:tabs>
        <w:adjustRightInd w:val="0"/>
        <w:snapToGrid w:val="0"/>
        <w:spacing w:line="360" w:lineRule="auto"/>
        <w:ind w:left="0" w:firstLine="0"/>
        <w:jc w:val="both"/>
        <w:rPr>
          <w:rFonts w:ascii="Book Antiqua" w:hAnsi="Book Antiqua"/>
          <w:color w:val="000000" w:themeColor="text1"/>
          <w:sz w:val="24"/>
          <w:szCs w:val="24"/>
        </w:rPr>
      </w:pPr>
      <w:r w:rsidRPr="002060B6">
        <w:rPr>
          <w:rFonts w:ascii="Book Antiqua" w:hAnsi="Book Antiqua"/>
          <w:color w:val="000000" w:themeColor="text1"/>
          <w:sz w:val="24"/>
          <w:szCs w:val="24"/>
          <w:highlight w:val="yellow"/>
        </w:rPr>
        <w:t>89 </w:t>
      </w:r>
      <w:r w:rsidRPr="002060B6">
        <w:rPr>
          <w:rFonts w:ascii="Book Antiqua" w:hAnsi="Book Antiqua"/>
          <w:b/>
          <w:bCs/>
          <w:color w:val="000000" w:themeColor="text1"/>
          <w:sz w:val="24"/>
          <w:szCs w:val="24"/>
          <w:highlight w:val="yellow"/>
        </w:rPr>
        <w:t>Vojdani A</w:t>
      </w:r>
      <w:r w:rsidRPr="002060B6">
        <w:rPr>
          <w:rFonts w:ascii="Book Antiqua" w:hAnsi="Book Antiqua"/>
          <w:bCs/>
          <w:color w:val="000000" w:themeColor="text1"/>
          <w:sz w:val="24"/>
          <w:szCs w:val="24"/>
          <w:highlight w:val="yellow"/>
        </w:rPr>
        <w:t>,</w:t>
      </w:r>
      <w:r w:rsidRPr="002060B6">
        <w:rPr>
          <w:rFonts w:ascii="Book Antiqua" w:hAnsi="Book Antiqua"/>
          <w:color w:val="000000" w:themeColor="text1"/>
          <w:sz w:val="24"/>
          <w:szCs w:val="24"/>
          <w:highlight w:val="yellow"/>
        </w:rPr>
        <w:t xml:space="preserve"> Vojdani E. Immunoreactivity of Anti-AβP-42 specific antibody with toxic chemicals and food antigens. </w:t>
      </w:r>
      <w:r w:rsidRPr="002060B6">
        <w:rPr>
          <w:rFonts w:ascii="Book Antiqua" w:hAnsi="Book Antiqua"/>
          <w:i/>
          <w:color w:val="000000" w:themeColor="text1"/>
          <w:sz w:val="24"/>
          <w:szCs w:val="24"/>
          <w:highlight w:val="yellow"/>
        </w:rPr>
        <w:t>J Alzheimers Dis Parkinsonism</w:t>
      </w:r>
      <w:r w:rsidRPr="002060B6">
        <w:rPr>
          <w:rFonts w:ascii="Book Antiqua" w:hAnsi="Book Antiqua"/>
          <w:color w:val="000000" w:themeColor="text1"/>
          <w:sz w:val="24"/>
          <w:szCs w:val="24"/>
          <w:highlight w:val="yellow"/>
        </w:rPr>
        <w:t xml:space="preserve"> 2018;</w:t>
      </w:r>
      <w:r w:rsidR="009F638B" w:rsidRPr="002060B6">
        <w:rPr>
          <w:rFonts w:ascii="Book Antiqua" w:hAnsi="Book Antiqua"/>
          <w:color w:val="000000" w:themeColor="text1"/>
          <w:sz w:val="24"/>
          <w:szCs w:val="24"/>
          <w:highlight w:val="yellow"/>
        </w:rPr>
        <w:t xml:space="preserve"> </w:t>
      </w:r>
      <w:r w:rsidRPr="002060B6">
        <w:rPr>
          <w:rFonts w:ascii="Book Antiqua" w:hAnsi="Book Antiqua"/>
          <w:b/>
          <w:color w:val="000000" w:themeColor="text1"/>
          <w:sz w:val="24"/>
          <w:szCs w:val="24"/>
          <w:highlight w:val="yellow"/>
        </w:rPr>
        <w:t>8</w:t>
      </w:r>
      <w:r w:rsidRPr="002060B6">
        <w:rPr>
          <w:rFonts w:ascii="Book Antiqua" w:hAnsi="Book Antiqua"/>
          <w:color w:val="000000" w:themeColor="text1"/>
          <w:sz w:val="24"/>
          <w:szCs w:val="24"/>
          <w:highlight w:val="yellow"/>
        </w:rPr>
        <w:t>:</w:t>
      </w:r>
      <w:r w:rsidR="009F638B" w:rsidRPr="002060B6">
        <w:rPr>
          <w:rFonts w:ascii="Book Antiqua" w:hAnsi="Book Antiqua"/>
          <w:color w:val="000000" w:themeColor="text1"/>
          <w:sz w:val="24"/>
          <w:szCs w:val="24"/>
          <w:highlight w:val="yellow"/>
        </w:rPr>
        <w:t xml:space="preserve"> 3 [DOI</w:t>
      </w:r>
      <w:r w:rsidRPr="002060B6">
        <w:rPr>
          <w:rFonts w:ascii="Book Antiqua" w:hAnsi="Book Antiqua"/>
          <w:color w:val="000000" w:themeColor="text1"/>
          <w:sz w:val="24"/>
          <w:szCs w:val="24"/>
          <w:highlight w:val="yellow"/>
        </w:rPr>
        <w:t>:</w:t>
      </w:r>
      <w:r w:rsidR="009F638B" w:rsidRPr="002060B6">
        <w:rPr>
          <w:rFonts w:ascii="Book Antiqua" w:hAnsi="Book Antiqua"/>
          <w:color w:val="000000" w:themeColor="text1"/>
          <w:sz w:val="24"/>
          <w:szCs w:val="24"/>
          <w:highlight w:val="yellow"/>
        </w:rPr>
        <w:t xml:space="preserve"> </w:t>
      </w:r>
      <w:r w:rsidRPr="002060B6">
        <w:rPr>
          <w:rFonts w:ascii="Book Antiqua" w:hAnsi="Book Antiqua"/>
          <w:color w:val="000000" w:themeColor="text1"/>
          <w:sz w:val="24"/>
          <w:szCs w:val="24"/>
          <w:highlight w:val="yellow"/>
        </w:rPr>
        <w:t>10.4172/2161-0460.1000441]</w:t>
      </w:r>
    </w:p>
    <w:p w14:paraId="404717FA" w14:textId="77777777" w:rsidR="00D43E0D" w:rsidRPr="00C33BA8" w:rsidRDefault="00D43E0D" w:rsidP="00D43E0D">
      <w:pPr>
        <w:pStyle w:val="ListParagraph"/>
        <w:tabs>
          <w:tab w:val="left" w:pos="480"/>
        </w:tabs>
        <w:adjustRightInd w:val="0"/>
        <w:snapToGrid w:val="0"/>
        <w:spacing w:line="360" w:lineRule="auto"/>
        <w:ind w:left="0" w:firstLine="0"/>
        <w:jc w:val="both"/>
        <w:rPr>
          <w:rFonts w:ascii="Book Antiqua" w:hAnsi="Book Antiqua"/>
          <w:color w:val="000000" w:themeColor="text1"/>
          <w:sz w:val="24"/>
          <w:szCs w:val="24"/>
        </w:rPr>
      </w:pPr>
      <w:r w:rsidRPr="00C33BA8">
        <w:rPr>
          <w:rFonts w:ascii="Book Antiqua" w:hAnsi="Book Antiqua"/>
          <w:color w:val="000000" w:themeColor="text1"/>
          <w:sz w:val="24"/>
          <w:szCs w:val="24"/>
        </w:rPr>
        <w:t>90 </w:t>
      </w:r>
      <w:r w:rsidRPr="00C33BA8">
        <w:rPr>
          <w:rFonts w:ascii="Book Antiqua" w:hAnsi="Book Antiqua"/>
          <w:b/>
          <w:bCs/>
          <w:color w:val="000000" w:themeColor="text1"/>
          <w:sz w:val="24"/>
          <w:szCs w:val="24"/>
        </w:rPr>
        <w:t>Mayadas TN</w:t>
      </w:r>
      <w:r w:rsidRPr="00C33BA8">
        <w:rPr>
          <w:rFonts w:ascii="Book Antiqua" w:hAnsi="Book Antiqua"/>
          <w:color w:val="000000" w:themeColor="text1"/>
          <w:sz w:val="24"/>
          <w:szCs w:val="24"/>
        </w:rPr>
        <w:t>, Tsokos GC, Tsuboi N. Mechanisms of immune complex-mediated neutrophil recruitment and tissue injury. </w:t>
      </w:r>
      <w:r w:rsidRPr="00C33BA8">
        <w:rPr>
          <w:rFonts w:ascii="Book Antiqua" w:hAnsi="Book Antiqua"/>
          <w:i/>
          <w:iCs/>
          <w:color w:val="000000" w:themeColor="text1"/>
          <w:sz w:val="24"/>
          <w:szCs w:val="24"/>
        </w:rPr>
        <w:t>Circulation</w:t>
      </w:r>
      <w:r w:rsidRPr="00C33BA8">
        <w:rPr>
          <w:rFonts w:ascii="Book Antiqua" w:hAnsi="Book Antiqua"/>
          <w:color w:val="000000" w:themeColor="text1"/>
          <w:sz w:val="24"/>
          <w:szCs w:val="24"/>
        </w:rPr>
        <w:t> 2009; </w:t>
      </w:r>
      <w:r w:rsidRPr="00C33BA8">
        <w:rPr>
          <w:rFonts w:ascii="Book Antiqua" w:hAnsi="Book Antiqua"/>
          <w:b/>
          <w:bCs/>
          <w:color w:val="000000" w:themeColor="text1"/>
          <w:sz w:val="24"/>
          <w:szCs w:val="24"/>
        </w:rPr>
        <w:t>120</w:t>
      </w:r>
      <w:r w:rsidRPr="00C33BA8">
        <w:rPr>
          <w:rFonts w:ascii="Book Antiqua" w:hAnsi="Book Antiqua"/>
          <w:color w:val="000000" w:themeColor="text1"/>
          <w:sz w:val="24"/>
          <w:szCs w:val="24"/>
        </w:rPr>
        <w:t>: 2012-2024 [PMID: 19917895 DOI: 10.1161/CIRCULATIONAHA.108.771170]</w:t>
      </w:r>
    </w:p>
    <w:p w14:paraId="026FB3AE" w14:textId="77777777" w:rsidR="00D43E0D" w:rsidRPr="00C33BA8" w:rsidRDefault="00D43E0D" w:rsidP="00D43E0D">
      <w:pPr>
        <w:pStyle w:val="ListParagraph"/>
        <w:tabs>
          <w:tab w:val="left" w:pos="480"/>
        </w:tabs>
        <w:adjustRightInd w:val="0"/>
        <w:snapToGrid w:val="0"/>
        <w:spacing w:line="360" w:lineRule="auto"/>
        <w:ind w:left="0" w:firstLine="0"/>
        <w:jc w:val="both"/>
        <w:rPr>
          <w:rFonts w:ascii="Book Antiqua" w:hAnsi="Book Antiqua"/>
          <w:color w:val="000000" w:themeColor="text1"/>
          <w:sz w:val="24"/>
          <w:szCs w:val="24"/>
        </w:rPr>
      </w:pPr>
      <w:r w:rsidRPr="00C33BA8">
        <w:rPr>
          <w:rFonts w:ascii="Book Antiqua" w:hAnsi="Book Antiqua"/>
          <w:color w:val="000000" w:themeColor="text1"/>
          <w:sz w:val="24"/>
          <w:szCs w:val="24"/>
        </w:rPr>
        <w:lastRenderedPageBreak/>
        <w:t>91 </w:t>
      </w:r>
      <w:r w:rsidRPr="00C33BA8">
        <w:rPr>
          <w:rFonts w:ascii="Book Antiqua" w:hAnsi="Book Antiqua"/>
          <w:b/>
          <w:bCs/>
          <w:color w:val="000000" w:themeColor="text1"/>
          <w:sz w:val="24"/>
          <w:szCs w:val="24"/>
        </w:rPr>
        <w:t>Severance EG</w:t>
      </w:r>
      <w:r w:rsidRPr="00C33BA8">
        <w:rPr>
          <w:rFonts w:ascii="Book Antiqua" w:hAnsi="Book Antiqua"/>
          <w:color w:val="000000" w:themeColor="text1"/>
          <w:sz w:val="24"/>
          <w:szCs w:val="24"/>
        </w:rPr>
        <w:t>, Gressitt KL, Halling M, Stallings CR, Origoni AE, Vaughan C, Khushalani S, Alaedini A, Dupont D, Dickerson FB, Yolken RH. Complement C1q formation of immune complexes with milk caseins and wheat glutens in schizophrenia. </w:t>
      </w:r>
      <w:r w:rsidRPr="00C33BA8">
        <w:rPr>
          <w:rFonts w:ascii="Book Antiqua" w:hAnsi="Book Antiqua"/>
          <w:i/>
          <w:iCs/>
          <w:color w:val="000000" w:themeColor="text1"/>
          <w:sz w:val="24"/>
          <w:szCs w:val="24"/>
        </w:rPr>
        <w:t>Neurobiol Dis</w:t>
      </w:r>
      <w:r w:rsidRPr="00C33BA8">
        <w:rPr>
          <w:rFonts w:ascii="Book Antiqua" w:hAnsi="Book Antiqua"/>
          <w:color w:val="000000" w:themeColor="text1"/>
          <w:sz w:val="24"/>
          <w:szCs w:val="24"/>
        </w:rPr>
        <w:t> 2012; </w:t>
      </w:r>
      <w:r w:rsidRPr="00C33BA8">
        <w:rPr>
          <w:rFonts w:ascii="Book Antiqua" w:hAnsi="Book Antiqua"/>
          <w:b/>
          <w:bCs/>
          <w:color w:val="000000" w:themeColor="text1"/>
          <w:sz w:val="24"/>
          <w:szCs w:val="24"/>
        </w:rPr>
        <w:t>48</w:t>
      </w:r>
      <w:r w:rsidRPr="00C33BA8">
        <w:rPr>
          <w:rFonts w:ascii="Book Antiqua" w:hAnsi="Book Antiqua"/>
          <w:color w:val="000000" w:themeColor="text1"/>
          <w:sz w:val="24"/>
          <w:szCs w:val="24"/>
        </w:rPr>
        <w:t>: 447-453 [PMID: 22801085 DOI: 10.1016/j.nbd.2012.07.005]</w:t>
      </w:r>
    </w:p>
    <w:p w14:paraId="124CD63B" w14:textId="77777777" w:rsidR="00D43E0D" w:rsidRPr="00C33BA8" w:rsidRDefault="00D43E0D" w:rsidP="00D43E0D">
      <w:pPr>
        <w:pStyle w:val="ListParagraph"/>
        <w:tabs>
          <w:tab w:val="left" w:pos="480"/>
        </w:tabs>
        <w:adjustRightInd w:val="0"/>
        <w:snapToGrid w:val="0"/>
        <w:spacing w:line="360" w:lineRule="auto"/>
        <w:ind w:left="0" w:firstLine="0"/>
        <w:jc w:val="both"/>
        <w:rPr>
          <w:rFonts w:ascii="Book Antiqua" w:hAnsi="Book Antiqua"/>
          <w:color w:val="000000" w:themeColor="text1"/>
          <w:sz w:val="24"/>
          <w:szCs w:val="24"/>
        </w:rPr>
      </w:pPr>
      <w:r w:rsidRPr="00C33BA8">
        <w:rPr>
          <w:rFonts w:ascii="Book Antiqua" w:hAnsi="Book Antiqua"/>
          <w:color w:val="000000" w:themeColor="text1"/>
          <w:sz w:val="24"/>
          <w:szCs w:val="24"/>
          <w:highlight w:val="yellow"/>
        </w:rPr>
        <w:t>92 </w:t>
      </w:r>
      <w:r w:rsidRPr="00C33BA8">
        <w:rPr>
          <w:rFonts w:ascii="Book Antiqua" w:hAnsi="Book Antiqua"/>
          <w:b/>
          <w:bCs/>
          <w:color w:val="000000" w:themeColor="text1"/>
          <w:sz w:val="24"/>
          <w:szCs w:val="24"/>
          <w:highlight w:val="yellow"/>
        </w:rPr>
        <w:t>Alzheimer’s Disease Fact Sheet</w:t>
      </w:r>
      <w:r w:rsidRPr="00C33BA8">
        <w:rPr>
          <w:rFonts w:ascii="Book Antiqua" w:hAnsi="Book Antiqua"/>
          <w:bCs/>
          <w:color w:val="000000" w:themeColor="text1"/>
          <w:sz w:val="24"/>
          <w:szCs w:val="24"/>
          <w:highlight w:val="yellow"/>
        </w:rPr>
        <w:t>. Accessed November 2,</w:t>
      </w:r>
      <w:r w:rsidRPr="00C33BA8">
        <w:rPr>
          <w:rFonts w:ascii="Book Antiqua" w:hAnsi="Book Antiqua"/>
          <w:color w:val="000000" w:themeColor="text1"/>
          <w:sz w:val="24"/>
          <w:szCs w:val="24"/>
          <w:highlight w:val="yellow"/>
        </w:rPr>
        <w:t> 2018 Available from: URL: https://www.nia.nih.gov/health/alzheimers-disease-fact-sheet.</w:t>
      </w:r>
    </w:p>
    <w:p w14:paraId="20773F1F" w14:textId="468A037B" w:rsidR="00CB389C" w:rsidRPr="00C33BA8" w:rsidRDefault="00CB389C" w:rsidP="00CB389C">
      <w:pPr>
        <w:wordWrap w:val="0"/>
        <w:snapToGrid w:val="0"/>
        <w:spacing w:line="360" w:lineRule="auto"/>
        <w:jc w:val="right"/>
        <w:rPr>
          <w:rFonts w:ascii="Book Antiqua" w:hAnsi="Book Antiqua"/>
          <w:b/>
          <w:bCs/>
          <w:sz w:val="24"/>
          <w:szCs w:val="24"/>
        </w:rPr>
      </w:pPr>
      <w:bookmarkStart w:id="39" w:name="OLE_LINK148"/>
      <w:bookmarkStart w:id="40" w:name="OLE_LINK320"/>
      <w:bookmarkStart w:id="41" w:name="OLE_LINK387"/>
      <w:bookmarkStart w:id="42" w:name="OLE_LINK254"/>
      <w:bookmarkStart w:id="43" w:name="OLE_LINK149"/>
      <w:bookmarkStart w:id="44" w:name="OLE_LINK225"/>
      <w:bookmarkStart w:id="45" w:name="OLE_LINK207"/>
      <w:bookmarkStart w:id="46" w:name="OLE_LINK226"/>
      <w:bookmarkStart w:id="47" w:name="OLE_LINK212"/>
      <w:bookmarkStart w:id="48" w:name="OLE_LINK250"/>
      <w:bookmarkStart w:id="49" w:name="OLE_LINK281"/>
      <w:bookmarkStart w:id="50" w:name="OLE_LINK282"/>
      <w:bookmarkStart w:id="51" w:name="OLE_LINK313"/>
      <w:bookmarkStart w:id="52" w:name="OLE_LINK304"/>
      <w:bookmarkStart w:id="53" w:name="OLE_LINK321"/>
      <w:bookmarkStart w:id="54" w:name="OLE_LINK385"/>
      <w:bookmarkStart w:id="55" w:name="OLE_LINK400"/>
      <w:bookmarkStart w:id="56" w:name="OLE_LINK346"/>
      <w:bookmarkStart w:id="57" w:name="OLE_LINK371"/>
      <w:bookmarkStart w:id="58" w:name="OLE_LINK334"/>
      <w:bookmarkStart w:id="59" w:name="OLE_LINK1830"/>
      <w:bookmarkStart w:id="60" w:name="OLE_LINK457"/>
      <w:bookmarkStart w:id="61" w:name="OLE_LINK288"/>
      <w:bookmarkStart w:id="62" w:name="OLE_LINK384"/>
      <w:bookmarkStart w:id="63" w:name="OLE_LINK379"/>
      <w:bookmarkStart w:id="64" w:name="OLE_LINK303"/>
      <w:bookmarkStart w:id="65" w:name="OLE_LINK450"/>
      <w:bookmarkStart w:id="66" w:name="OLE_LINK489"/>
      <w:bookmarkStart w:id="67" w:name="OLE_LINK535"/>
      <w:bookmarkStart w:id="68" w:name="OLE_LINK648"/>
      <w:bookmarkStart w:id="69" w:name="OLE_LINK686"/>
      <w:bookmarkStart w:id="70" w:name="OLE_LINK471"/>
      <w:bookmarkStart w:id="71" w:name="OLE_LINK462"/>
      <w:bookmarkStart w:id="72" w:name="OLE_LINK519"/>
      <w:bookmarkStart w:id="73" w:name="OLE_LINK575"/>
      <w:bookmarkStart w:id="74" w:name="OLE_LINK491"/>
      <w:bookmarkStart w:id="75" w:name="OLE_LINK532"/>
      <w:bookmarkStart w:id="76" w:name="OLE_LINK572"/>
      <w:bookmarkStart w:id="77" w:name="OLE_LINK574"/>
      <w:bookmarkStart w:id="78" w:name="OLE_LINK480"/>
      <w:bookmarkStart w:id="79" w:name="OLE_LINK567"/>
      <w:bookmarkStart w:id="80" w:name="OLE_LINK2700"/>
      <w:bookmarkStart w:id="81" w:name="OLE_LINK581"/>
      <w:bookmarkStart w:id="82" w:name="OLE_LINK639"/>
      <w:bookmarkStart w:id="83" w:name="OLE_LINK688"/>
      <w:bookmarkStart w:id="84" w:name="OLE_LINK722"/>
      <w:bookmarkStart w:id="85" w:name="OLE_LINK542"/>
      <w:bookmarkStart w:id="86" w:name="OLE_LINK589"/>
      <w:bookmarkStart w:id="87" w:name="OLE_LINK582"/>
      <w:bookmarkStart w:id="88" w:name="OLE_LINK640"/>
      <w:bookmarkStart w:id="89" w:name="OLE_LINK714"/>
      <w:bookmarkStart w:id="90" w:name="OLE_LINK593"/>
      <w:bookmarkStart w:id="91" w:name="OLE_LINK716"/>
      <w:bookmarkStart w:id="92" w:name="OLE_LINK770"/>
      <w:bookmarkStart w:id="93" w:name="OLE_LINK801"/>
      <w:bookmarkStart w:id="94" w:name="OLE_LINK660"/>
      <w:bookmarkStart w:id="95" w:name="OLE_LINK781"/>
      <w:bookmarkStart w:id="96" w:name="OLE_LINK833"/>
      <w:bookmarkStart w:id="97" w:name="OLE_LINK642"/>
      <w:bookmarkStart w:id="98" w:name="OLE_LINK700"/>
      <w:bookmarkStart w:id="99" w:name="OLE_LINK792"/>
      <w:bookmarkStart w:id="100" w:name="OLE_LINK2882"/>
      <w:bookmarkStart w:id="101" w:name="OLE_LINK836"/>
      <w:bookmarkStart w:id="102" w:name="OLE_LINK889"/>
      <w:bookmarkStart w:id="103" w:name="OLE_LINK782"/>
      <w:bookmarkStart w:id="104" w:name="OLE_LINK826"/>
      <w:bookmarkStart w:id="105" w:name="OLE_LINK865"/>
      <w:bookmarkStart w:id="106" w:name="OLE_LINK856"/>
      <w:bookmarkStart w:id="107" w:name="OLE_LINK908"/>
      <w:bookmarkStart w:id="108" w:name="OLE_LINK980"/>
      <w:bookmarkStart w:id="109" w:name="OLE_LINK1018"/>
      <w:bookmarkStart w:id="110" w:name="OLE_LINK1049"/>
      <w:bookmarkStart w:id="111" w:name="OLE_LINK1076"/>
      <w:bookmarkStart w:id="112" w:name="OLE_LINK1106"/>
      <w:bookmarkStart w:id="113" w:name="OLE_LINK891"/>
      <w:bookmarkStart w:id="114" w:name="OLE_LINK943"/>
      <w:bookmarkStart w:id="115" w:name="OLE_LINK981"/>
      <w:bookmarkStart w:id="116" w:name="OLE_LINK1030"/>
      <w:bookmarkStart w:id="117" w:name="OLE_LINK847"/>
      <w:bookmarkStart w:id="118" w:name="OLE_LINK909"/>
      <w:bookmarkStart w:id="119" w:name="OLE_LINK906"/>
      <w:bookmarkStart w:id="120" w:name="OLE_LINK992"/>
      <w:bookmarkStart w:id="121" w:name="OLE_LINK993"/>
      <w:bookmarkStart w:id="122" w:name="OLE_LINK1052"/>
      <w:bookmarkStart w:id="123" w:name="OLE_LINK946"/>
      <w:bookmarkStart w:id="124" w:name="OLE_LINK911"/>
      <w:bookmarkStart w:id="125" w:name="OLE_LINK930"/>
      <w:bookmarkStart w:id="126" w:name="OLE_LINK1059"/>
      <w:bookmarkStart w:id="127" w:name="OLE_LINK1174"/>
      <w:bookmarkStart w:id="128" w:name="OLE_LINK1137"/>
      <w:bookmarkStart w:id="129" w:name="OLE_LINK1167"/>
      <w:bookmarkStart w:id="130" w:name="OLE_LINK1200"/>
      <w:bookmarkStart w:id="131" w:name="OLE_LINK1241"/>
      <w:bookmarkStart w:id="132" w:name="OLE_LINK1288"/>
      <w:bookmarkStart w:id="133" w:name="OLE_LINK1056"/>
      <w:bookmarkStart w:id="134" w:name="OLE_LINK1158"/>
      <w:bookmarkStart w:id="135" w:name="OLE_LINK1175"/>
      <w:bookmarkStart w:id="136" w:name="OLE_LINK1074"/>
      <w:bookmarkStart w:id="137" w:name="OLE_LINK1169"/>
      <w:bookmarkStart w:id="138" w:name="OLE_LINK386"/>
      <w:r w:rsidRPr="00C33BA8">
        <w:rPr>
          <w:rFonts w:ascii="Book Antiqua" w:hAnsi="Book Antiqua"/>
          <w:b/>
          <w:bCs/>
          <w:sz w:val="24"/>
          <w:szCs w:val="24"/>
        </w:rPr>
        <w:t xml:space="preserve">P-Reviewer: </w:t>
      </w:r>
      <w:r w:rsidRPr="00C33BA8">
        <w:rPr>
          <w:rFonts w:ascii="Book Antiqua" w:hAnsi="Book Antiqua"/>
          <w:bCs/>
          <w:sz w:val="24"/>
          <w:szCs w:val="24"/>
        </w:rPr>
        <w:t>Mihai C</w:t>
      </w:r>
    </w:p>
    <w:p w14:paraId="19BD561D" w14:textId="77777777" w:rsidR="00CB389C" w:rsidRPr="00C33BA8" w:rsidRDefault="00CB389C" w:rsidP="00CB389C">
      <w:pPr>
        <w:snapToGrid w:val="0"/>
        <w:spacing w:line="360" w:lineRule="auto"/>
        <w:jc w:val="right"/>
        <w:rPr>
          <w:rFonts w:ascii="Book Antiqua" w:hAnsi="Book Antiqua"/>
          <w:sz w:val="24"/>
          <w:szCs w:val="24"/>
        </w:rPr>
      </w:pPr>
      <w:r w:rsidRPr="00C33BA8">
        <w:rPr>
          <w:rFonts w:ascii="Book Antiqua" w:hAnsi="Book Antiqua"/>
          <w:b/>
          <w:bCs/>
          <w:sz w:val="24"/>
          <w:szCs w:val="24"/>
        </w:rPr>
        <w:t>S-Editor:</w:t>
      </w:r>
      <w:r w:rsidRPr="00C33BA8">
        <w:rPr>
          <w:rFonts w:ascii="Book Antiqua" w:hAnsi="Book Antiqua"/>
          <w:sz w:val="24"/>
          <w:szCs w:val="24"/>
        </w:rPr>
        <w:t xml:space="preserve"> Ma RY </w:t>
      </w:r>
      <w:r w:rsidRPr="00C33BA8">
        <w:rPr>
          <w:rFonts w:ascii="Book Antiqua" w:hAnsi="Book Antiqua"/>
          <w:b/>
          <w:bCs/>
          <w:sz w:val="24"/>
          <w:szCs w:val="24"/>
        </w:rPr>
        <w:t>L-Editor:</w:t>
      </w:r>
      <w:r w:rsidRPr="00C33BA8">
        <w:rPr>
          <w:rFonts w:ascii="Book Antiqua" w:hAnsi="Book Antiqua"/>
          <w:sz w:val="24"/>
          <w:szCs w:val="24"/>
        </w:rPr>
        <w:t xml:space="preserve"> </w:t>
      </w:r>
      <w:r w:rsidRPr="00C33BA8">
        <w:rPr>
          <w:rFonts w:ascii="Book Antiqua" w:hAnsi="Book Antiqua"/>
          <w:b/>
          <w:bCs/>
          <w:sz w:val="24"/>
          <w:szCs w:val="24"/>
        </w:rPr>
        <w:t>E-Editor:</w:t>
      </w:r>
    </w:p>
    <w:p w14:paraId="0F9D65D0" w14:textId="77777777" w:rsidR="00CB389C" w:rsidRPr="00C33BA8" w:rsidRDefault="00CB389C" w:rsidP="00CB389C">
      <w:pPr>
        <w:shd w:val="clear" w:color="auto" w:fill="FFFFFF"/>
        <w:snapToGrid w:val="0"/>
        <w:spacing w:line="360" w:lineRule="auto"/>
        <w:jc w:val="both"/>
        <w:rPr>
          <w:rFonts w:ascii="Book Antiqua" w:hAnsi="Book Antiqua" w:cs="Helvetica"/>
          <w:b/>
          <w:sz w:val="24"/>
          <w:szCs w:val="24"/>
        </w:rPr>
      </w:pPr>
      <w:bookmarkStart w:id="139" w:name="OLE_LINK880"/>
      <w:bookmarkStart w:id="140" w:name="OLE_LINK881"/>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rsidRPr="00C33BA8">
        <w:rPr>
          <w:rFonts w:ascii="Book Antiqua" w:hAnsi="Book Antiqua" w:cs="Helvetica"/>
          <w:b/>
          <w:sz w:val="24"/>
          <w:szCs w:val="24"/>
        </w:rPr>
        <w:t xml:space="preserve">Specialty type: </w:t>
      </w:r>
      <w:r w:rsidRPr="00C33BA8">
        <w:rPr>
          <w:rFonts w:ascii="Book Antiqua" w:hAnsi="Book Antiqua" w:cs="Helvetica"/>
          <w:sz w:val="24"/>
          <w:szCs w:val="24"/>
        </w:rPr>
        <w:t>Gastroenterology and hepatology</w:t>
      </w:r>
    </w:p>
    <w:p w14:paraId="245796C9" w14:textId="7F77E931" w:rsidR="00CB389C" w:rsidRPr="00C33BA8" w:rsidRDefault="00CB389C" w:rsidP="00CB389C">
      <w:pPr>
        <w:shd w:val="clear" w:color="auto" w:fill="FFFFFF"/>
        <w:snapToGrid w:val="0"/>
        <w:spacing w:line="360" w:lineRule="auto"/>
        <w:jc w:val="both"/>
        <w:rPr>
          <w:rFonts w:ascii="Book Antiqua" w:hAnsi="Book Antiqua" w:cs="Helvetica"/>
          <w:b/>
          <w:sz w:val="24"/>
          <w:szCs w:val="24"/>
        </w:rPr>
      </w:pPr>
      <w:r w:rsidRPr="00C33BA8">
        <w:rPr>
          <w:rFonts w:ascii="Book Antiqua" w:hAnsi="Book Antiqua" w:cs="Helvetica"/>
          <w:b/>
          <w:sz w:val="24"/>
          <w:szCs w:val="24"/>
        </w:rPr>
        <w:t xml:space="preserve">Country of origin: </w:t>
      </w:r>
      <w:r w:rsidRPr="00C33BA8">
        <w:rPr>
          <w:rFonts w:ascii="Book Antiqua" w:hAnsi="Book Antiqua" w:cs="Helvetica"/>
          <w:sz w:val="24"/>
          <w:szCs w:val="24"/>
          <w:lang w:val="en-CA"/>
        </w:rPr>
        <w:t>United States</w:t>
      </w:r>
    </w:p>
    <w:p w14:paraId="4F4055AA" w14:textId="77777777" w:rsidR="00CB389C" w:rsidRPr="00C33BA8" w:rsidRDefault="00CB389C" w:rsidP="00CB389C">
      <w:pPr>
        <w:shd w:val="clear" w:color="auto" w:fill="FFFFFF"/>
        <w:snapToGrid w:val="0"/>
        <w:spacing w:line="360" w:lineRule="auto"/>
        <w:jc w:val="both"/>
        <w:rPr>
          <w:rFonts w:ascii="Book Antiqua" w:hAnsi="Book Antiqua" w:cs="Helvetica"/>
          <w:b/>
          <w:sz w:val="24"/>
          <w:szCs w:val="24"/>
        </w:rPr>
      </w:pPr>
      <w:r w:rsidRPr="00C33BA8">
        <w:rPr>
          <w:rFonts w:ascii="Book Antiqua" w:hAnsi="Book Antiqua" w:cs="Helvetica"/>
          <w:b/>
          <w:sz w:val="24"/>
          <w:szCs w:val="24"/>
        </w:rPr>
        <w:t>Peer-review report classification</w:t>
      </w:r>
    </w:p>
    <w:p w14:paraId="722340E2" w14:textId="77777777" w:rsidR="00CB389C" w:rsidRPr="00C33BA8" w:rsidRDefault="00CB389C" w:rsidP="00CB389C">
      <w:pPr>
        <w:shd w:val="clear" w:color="auto" w:fill="FFFFFF"/>
        <w:snapToGrid w:val="0"/>
        <w:spacing w:line="360" w:lineRule="auto"/>
        <w:jc w:val="both"/>
        <w:rPr>
          <w:rFonts w:ascii="Book Antiqua" w:hAnsi="Book Antiqua" w:cs="Helvetica"/>
          <w:sz w:val="24"/>
          <w:szCs w:val="24"/>
        </w:rPr>
      </w:pPr>
      <w:r w:rsidRPr="00C33BA8">
        <w:rPr>
          <w:rFonts w:ascii="Book Antiqua" w:hAnsi="Book Antiqua" w:cs="Helvetica"/>
          <w:sz w:val="24"/>
          <w:szCs w:val="24"/>
        </w:rPr>
        <w:t>Grade A (Excellent): 0</w:t>
      </w:r>
    </w:p>
    <w:p w14:paraId="4D7D0E0B" w14:textId="77777777" w:rsidR="00CB389C" w:rsidRPr="00C33BA8" w:rsidRDefault="00CB389C" w:rsidP="00CB389C">
      <w:pPr>
        <w:shd w:val="clear" w:color="auto" w:fill="FFFFFF"/>
        <w:snapToGrid w:val="0"/>
        <w:spacing w:line="360" w:lineRule="auto"/>
        <w:jc w:val="both"/>
        <w:rPr>
          <w:rFonts w:ascii="Book Antiqua" w:hAnsi="Book Antiqua" w:cs="Helvetica"/>
          <w:sz w:val="24"/>
          <w:szCs w:val="24"/>
        </w:rPr>
      </w:pPr>
      <w:r w:rsidRPr="00C33BA8">
        <w:rPr>
          <w:rFonts w:ascii="Book Antiqua" w:hAnsi="Book Antiqua" w:cs="Helvetica"/>
          <w:sz w:val="24"/>
          <w:szCs w:val="24"/>
        </w:rPr>
        <w:t>Grade B (Very good): B</w:t>
      </w:r>
    </w:p>
    <w:p w14:paraId="5190A438" w14:textId="66BDA2F0" w:rsidR="00CB389C" w:rsidRPr="00C33BA8" w:rsidRDefault="00CB389C" w:rsidP="00CB389C">
      <w:pPr>
        <w:shd w:val="clear" w:color="auto" w:fill="FFFFFF"/>
        <w:snapToGrid w:val="0"/>
        <w:spacing w:line="360" w:lineRule="auto"/>
        <w:jc w:val="both"/>
        <w:rPr>
          <w:rFonts w:ascii="Book Antiqua" w:hAnsi="Book Antiqua" w:cs="Helvetica"/>
          <w:sz w:val="24"/>
          <w:szCs w:val="24"/>
        </w:rPr>
      </w:pPr>
      <w:r w:rsidRPr="00C33BA8">
        <w:rPr>
          <w:rFonts w:ascii="Book Antiqua" w:hAnsi="Book Antiqua" w:cs="Helvetica"/>
          <w:sz w:val="24"/>
          <w:szCs w:val="24"/>
        </w:rPr>
        <w:t>Grade C (Good): 0</w:t>
      </w:r>
    </w:p>
    <w:p w14:paraId="34F8EB96" w14:textId="77777777" w:rsidR="00CB389C" w:rsidRPr="00C33BA8" w:rsidRDefault="00CB389C" w:rsidP="00CB389C">
      <w:pPr>
        <w:shd w:val="clear" w:color="auto" w:fill="FFFFFF"/>
        <w:snapToGrid w:val="0"/>
        <w:spacing w:line="360" w:lineRule="auto"/>
        <w:jc w:val="both"/>
        <w:rPr>
          <w:rFonts w:ascii="Book Antiqua" w:hAnsi="Book Antiqua" w:cs="Helvetica"/>
          <w:sz w:val="24"/>
          <w:szCs w:val="24"/>
        </w:rPr>
      </w:pPr>
      <w:r w:rsidRPr="00C33BA8">
        <w:rPr>
          <w:rFonts w:ascii="Book Antiqua" w:hAnsi="Book Antiqua" w:cs="Helvetica"/>
          <w:sz w:val="24"/>
          <w:szCs w:val="24"/>
        </w:rPr>
        <w:t>Grade D (Fair): 0</w:t>
      </w:r>
    </w:p>
    <w:p w14:paraId="7AAA2205" w14:textId="63AD7FB6" w:rsidR="00920C46" w:rsidRPr="00C33BA8" w:rsidRDefault="00CB389C" w:rsidP="00CB389C">
      <w:pPr>
        <w:snapToGrid w:val="0"/>
        <w:spacing w:line="360" w:lineRule="auto"/>
        <w:jc w:val="both"/>
        <w:rPr>
          <w:rFonts w:ascii="Book Antiqua" w:hAnsi="Book Antiqua"/>
          <w:b/>
          <w:iCs/>
          <w:sz w:val="24"/>
          <w:szCs w:val="24"/>
        </w:rPr>
      </w:pPr>
      <w:r w:rsidRPr="00C33BA8">
        <w:rPr>
          <w:rFonts w:ascii="Book Antiqua" w:hAnsi="Book Antiqua" w:cs="Helvetica"/>
          <w:sz w:val="24"/>
          <w:szCs w:val="24"/>
        </w:rPr>
        <w:t>Grade E (Poor): 0</w:t>
      </w:r>
      <w:bookmarkEnd w:id="138"/>
      <w:bookmarkEnd w:id="139"/>
      <w:bookmarkEnd w:id="140"/>
    </w:p>
    <w:p w14:paraId="5D504D37" w14:textId="55631AAA" w:rsidR="00A81D39" w:rsidRPr="00C33BA8" w:rsidRDefault="00A81D39">
      <w:pPr>
        <w:rPr>
          <w:rFonts w:ascii="Book Antiqua" w:hAnsi="Book Antiqua"/>
          <w:color w:val="000000" w:themeColor="text1"/>
          <w:sz w:val="24"/>
          <w:szCs w:val="24"/>
        </w:rPr>
      </w:pPr>
      <w:r w:rsidRPr="00C33BA8">
        <w:rPr>
          <w:rFonts w:ascii="Book Antiqua" w:hAnsi="Book Antiqua"/>
          <w:color w:val="000000" w:themeColor="text1"/>
          <w:sz w:val="24"/>
          <w:szCs w:val="24"/>
        </w:rPr>
        <w:br w:type="page"/>
      </w:r>
    </w:p>
    <w:p w14:paraId="01D0154E" w14:textId="77777777" w:rsidR="00920C46" w:rsidRPr="00C33BA8" w:rsidRDefault="00E815E9" w:rsidP="00686B93">
      <w:pPr>
        <w:pStyle w:val="BodyText"/>
        <w:adjustRightInd w:val="0"/>
        <w:snapToGrid w:val="0"/>
        <w:spacing w:line="360" w:lineRule="auto"/>
        <w:ind w:left="0"/>
        <w:jc w:val="both"/>
        <w:rPr>
          <w:rFonts w:ascii="Book Antiqua" w:hAnsi="Book Antiqua"/>
          <w:color w:val="000000" w:themeColor="text1"/>
        </w:rPr>
      </w:pPr>
      <w:r w:rsidRPr="00C33BA8">
        <w:rPr>
          <w:rFonts w:ascii="Book Antiqua" w:hAnsi="Book Antiqua"/>
          <w:noProof/>
          <w:color w:val="000000" w:themeColor="text1"/>
          <w:lang w:eastAsia="zh-CN"/>
        </w:rPr>
        <w:lastRenderedPageBreak/>
        <w:drawing>
          <wp:inline distT="0" distB="0" distL="0" distR="0" wp14:anchorId="55FF5424" wp14:editId="3F4BC1A5">
            <wp:extent cx="5878852" cy="400050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5878852" cy="4000500"/>
                    </a:xfrm>
                    <a:prstGeom prst="rect">
                      <a:avLst/>
                    </a:prstGeom>
                  </pic:spPr>
                </pic:pic>
              </a:graphicData>
            </a:graphic>
          </wp:inline>
        </w:drawing>
      </w:r>
    </w:p>
    <w:p w14:paraId="5FAB681A" w14:textId="53A1F489" w:rsidR="00C70540" w:rsidRPr="00C33BA8" w:rsidRDefault="00C70540" w:rsidP="00686B93">
      <w:pPr>
        <w:pStyle w:val="BodyText"/>
        <w:adjustRightInd w:val="0"/>
        <w:snapToGrid w:val="0"/>
        <w:spacing w:line="360" w:lineRule="auto"/>
        <w:ind w:left="0"/>
        <w:jc w:val="both"/>
        <w:rPr>
          <w:rFonts w:ascii="Book Antiqua" w:hAnsi="Book Antiqua"/>
          <w:color w:val="000000" w:themeColor="text1"/>
        </w:rPr>
      </w:pPr>
      <w:r w:rsidRPr="00C33BA8">
        <w:rPr>
          <w:rFonts w:ascii="Book Antiqua" w:hAnsi="Book Antiqua"/>
          <w:b/>
          <w:color w:val="000000" w:themeColor="text1"/>
        </w:rPr>
        <w:t>Figure 1</w:t>
      </w:r>
      <w:r w:rsidR="00E815E9" w:rsidRPr="00C33BA8">
        <w:rPr>
          <w:rFonts w:ascii="Book Antiqua" w:hAnsi="Book Antiqua"/>
          <w:b/>
          <w:color w:val="000000" w:themeColor="text1"/>
        </w:rPr>
        <w:t xml:space="preserve"> Reaction of mouse mono</w:t>
      </w:r>
      <w:r w:rsidRPr="00C33BA8">
        <w:rPr>
          <w:rFonts w:ascii="Book Antiqua" w:hAnsi="Book Antiqua"/>
          <w:b/>
          <w:color w:val="000000" w:themeColor="text1"/>
        </w:rPr>
        <w:t xml:space="preserve">clonal </w:t>
      </w:r>
      <w:r w:rsidR="00E815E9" w:rsidRPr="00C33BA8">
        <w:rPr>
          <w:rFonts w:ascii="Book Antiqua" w:hAnsi="Book Antiqua"/>
          <w:b/>
          <w:color w:val="000000" w:themeColor="text1"/>
        </w:rPr>
        <w:t>anti-</w:t>
      </w:r>
      <w:r w:rsidRPr="00C33BA8">
        <w:rPr>
          <w:rFonts w:ascii="Book Antiqua" w:hAnsi="Book Antiqua"/>
          <w:b/>
          <w:i/>
          <w:color w:val="000000" w:themeColor="text1"/>
        </w:rPr>
        <w:t>Campylobacter</w:t>
      </w:r>
      <w:r w:rsidR="00E815E9" w:rsidRPr="00C33BA8">
        <w:rPr>
          <w:rFonts w:ascii="Book Antiqua" w:hAnsi="Book Antiqua"/>
          <w:b/>
          <w:i/>
          <w:color w:val="000000" w:themeColor="text1"/>
        </w:rPr>
        <w:t xml:space="preserve"> jejuni </w:t>
      </w:r>
      <w:r w:rsidRPr="00C33BA8">
        <w:rPr>
          <w:rFonts w:ascii="Book Antiqua" w:hAnsi="Book Antiqua"/>
          <w:b/>
          <w:color w:val="000000" w:themeColor="text1"/>
        </w:rPr>
        <w:t xml:space="preserve">with </w:t>
      </w:r>
      <w:r w:rsidR="00E815E9" w:rsidRPr="00C33BA8">
        <w:rPr>
          <w:rFonts w:ascii="Book Antiqua" w:hAnsi="Book Antiqua"/>
          <w:b/>
          <w:color w:val="000000" w:themeColor="text1"/>
        </w:rPr>
        <w:t xml:space="preserve">tissue antigens. </w:t>
      </w:r>
      <w:r w:rsidR="00E815E9" w:rsidRPr="00C33BA8">
        <w:rPr>
          <w:rFonts w:ascii="Book Antiqua" w:hAnsi="Book Antiqua"/>
          <w:color w:val="000000" w:themeColor="text1"/>
        </w:rPr>
        <w:t xml:space="preserve">Compared to the monoclonal antibody’s reaction with </w:t>
      </w:r>
      <w:r w:rsidRPr="00C33BA8">
        <w:rPr>
          <w:rFonts w:ascii="Book Antiqua" w:hAnsi="Book Antiqua"/>
          <w:i/>
          <w:color w:val="000000" w:themeColor="text1"/>
        </w:rPr>
        <w:t xml:space="preserve">Campylobacter jejuni </w:t>
      </w:r>
      <w:r w:rsidRPr="00C33BA8">
        <w:rPr>
          <w:rFonts w:ascii="Book Antiqua" w:hAnsi="Book Antiqua"/>
          <w:color w:val="000000" w:themeColor="text1"/>
        </w:rPr>
        <w:t>(</w:t>
      </w:r>
      <w:r w:rsidR="00E815E9" w:rsidRPr="00C33BA8">
        <w:rPr>
          <w:rFonts w:ascii="Book Antiqua" w:hAnsi="Book Antiqua"/>
          <w:i/>
          <w:color w:val="000000" w:themeColor="text1"/>
        </w:rPr>
        <w:t>C. jejuni</w:t>
      </w:r>
      <w:r w:rsidRPr="00C33BA8">
        <w:rPr>
          <w:rFonts w:ascii="Book Antiqua" w:hAnsi="Book Antiqua"/>
          <w:color w:val="000000" w:themeColor="text1"/>
        </w:rPr>
        <w:t>)</w:t>
      </w:r>
      <w:r w:rsidR="00E815E9" w:rsidRPr="00C33BA8">
        <w:rPr>
          <w:rFonts w:ascii="Book Antiqua" w:hAnsi="Book Antiqua"/>
          <w:i/>
          <w:color w:val="000000" w:themeColor="text1"/>
        </w:rPr>
        <w:t xml:space="preserve"> </w:t>
      </w:r>
      <w:r w:rsidR="00E815E9" w:rsidRPr="00C33BA8">
        <w:rPr>
          <w:rFonts w:ascii="Book Antiqua" w:hAnsi="Book Antiqua"/>
          <w:color w:val="000000" w:themeColor="text1"/>
        </w:rPr>
        <w:t xml:space="preserve">lysate as positive control and human serum albumin (HSA) or unimmunized mouse serum as negative control, the reaction of this antibody with 15 tissue antigens is insignificant, with 25 additional antigens is low, with </w:t>
      </w:r>
      <w:r w:rsidR="00B85FCF" w:rsidRPr="00C33BA8">
        <w:rPr>
          <w:rFonts w:ascii="Book Antiqua" w:hAnsi="Book Antiqua"/>
          <w:color w:val="000000" w:themeColor="text1"/>
        </w:rPr>
        <w:t>β</w:t>
      </w:r>
      <w:r w:rsidR="00E815E9" w:rsidRPr="00C33BA8">
        <w:rPr>
          <w:rFonts w:ascii="Book Antiqua" w:hAnsi="Book Antiqua"/>
          <w:color w:val="000000" w:themeColor="text1"/>
        </w:rPr>
        <w:t xml:space="preserve">-amyloid, zonulin, acetylcholine receptor, somatotropin and presenilin ranges from moderate to high, and with </w:t>
      </w:r>
      <w:r w:rsidR="00E815E9" w:rsidRPr="00C33BA8">
        <w:rPr>
          <w:rFonts w:ascii="Book Antiqua" w:hAnsi="Book Antiqua"/>
          <w:i/>
          <w:color w:val="000000" w:themeColor="text1"/>
        </w:rPr>
        <w:t xml:space="preserve">C. jejuni </w:t>
      </w:r>
      <w:r w:rsidR="00E815E9" w:rsidRPr="00C33BA8">
        <w:rPr>
          <w:rFonts w:ascii="Book Antiqua" w:hAnsi="Book Antiqua"/>
          <w:color w:val="000000" w:themeColor="text1"/>
        </w:rPr>
        <w:t>lysate is very highly positive. The variation of quadruplicate ODs was less than 10% for all determinations. Comparison of the means of the antibody reactivity to various tissue antigens with the means of controls resulted in insignificant values (</w:t>
      </w:r>
      <w:r w:rsidRPr="00C33BA8">
        <w:rPr>
          <w:rFonts w:ascii="Book Antiqua" w:hAnsi="Book Antiqua"/>
          <w:i/>
          <w:color w:val="000000" w:themeColor="text1"/>
        </w:rPr>
        <w:t>P</w:t>
      </w:r>
      <w:r w:rsidR="00E815E9" w:rsidRPr="00C33BA8">
        <w:rPr>
          <w:rFonts w:ascii="Book Antiqua" w:hAnsi="Book Antiqua"/>
          <w:i/>
          <w:color w:val="000000" w:themeColor="text1"/>
        </w:rPr>
        <w:t xml:space="preserve"> </w:t>
      </w:r>
      <w:r w:rsidR="00E815E9" w:rsidRPr="00C33BA8">
        <w:rPr>
          <w:rFonts w:ascii="Book Antiqua" w:hAnsi="Book Antiqua"/>
          <w:color w:val="000000" w:themeColor="text1"/>
        </w:rPr>
        <w:t>&gt; 0.05) for 15 different</w:t>
      </w:r>
      <w:r w:rsidR="00E815E9" w:rsidRPr="00C33BA8">
        <w:rPr>
          <w:rFonts w:ascii="Book Antiqua" w:hAnsi="Book Antiqua"/>
          <w:color w:val="000000" w:themeColor="text1"/>
          <w:spacing w:val="-6"/>
        </w:rPr>
        <w:t xml:space="preserve"> </w:t>
      </w:r>
      <w:r w:rsidR="00E815E9" w:rsidRPr="00C33BA8">
        <w:rPr>
          <w:rFonts w:ascii="Book Antiqua" w:hAnsi="Book Antiqua"/>
          <w:color w:val="000000" w:themeColor="text1"/>
        </w:rPr>
        <w:t>tissue</w:t>
      </w:r>
      <w:r w:rsidR="00E815E9" w:rsidRPr="00C33BA8">
        <w:rPr>
          <w:rFonts w:ascii="Book Antiqua" w:hAnsi="Book Antiqua"/>
          <w:color w:val="000000" w:themeColor="text1"/>
          <w:spacing w:val="-5"/>
        </w:rPr>
        <w:t xml:space="preserve"> </w:t>
      </w:r>
      <w:r w:rsidR="00E815E9" w:rsidRPr="00C33BA8">
        <w:rPr>
          <w:rFonts w:ascii="Book Antiqua" w:hAnsi="Book Antiqua"/>
          <w:color w:val="000000" w:themeColor="text1"/>
        </w:rPr>
        <w:t>antigens</w:t>
      </w:r>
      <w:r w:rsidR="00E815E9" w:rsidRPr="00C33BA8">
        <w:rPr>
          <w:rFonts w:ascii="Book Antiqua" w:hAnsi="Book Antiqua"/>
          <w:color w:val="000000" w:themeColor="text1"/>
          <w:spacing w:val="-5"/>
        </w:rPr>
        <w:t xml:space="preserve"> </w:t>
      </w:r>
      <w:r w:rsidR="00E815E9" w:rsidRPr="00C33BA8">
        <w:rPr>
          <w:rFonts w:ascii="Book Antiqua" w:hAnsi="Book Antiqua"/>
          <w:color w:val="000000" w:themeColor="text1"/>
        </w:rPr>
        <w:t>and</w:t>
      </w:r>
      <w:r w:rsidR="00E815E9" w:rsidRPr="00C33BA8">
        <w:rPr>
          <w:rFonts w:ascii="Book Antiqua" w:hAnsi="Book Antiqua"/>
          <w:color w:val="000000" w:themeColor="text1"/>
          <w:spacing w:val="-5"/>
        </w:rPr>
        <w:t xml:space="preserve"> </w:t>
      </w:r>
      <w:r w:rsidR="00E815E9" w:rsidRPr="00C33BA8">
        <w:rPr>
          <w:rFonts w:ascii="Book Antiqua" w:hAnsi="Book Antiqua"/>
          <w:color w:val="000000" w:themeColor="text1"/>
        </w:rPr>
        <w:t>highly</w:t>
      </w:r>
      <w:r w:rsidR="00E815E9" w:rsidRPr="00C33BA8">
        <w:rPr>
          <w:rFonts w:ascii="Book Antiqua" w:hAnsi="Book Antiqua"/>
          <w:color w:val="000000" w:themeColor="text1"/>
          <w:spacing w:val="-5"/>
        </w:rPr>
        <w:t xml:space="preserve"> </w:t>
      </w:r>
      <w:r w:rsidR="00E815E9" w:rsidRPr="00C33BA8">
        <w:rPr>
          <w:rFonts w:ascii="Book Antiqua" w:hAnsi="Book Antiqua"/>
          <w:color w:val="000000" w:themeColor="text1"/>
        </w:rPr>
        <w:t>significant</w:t>
      </w:r>
      <w:r w:rsidR="00E815E9" w:rsidRPr="00C33BA8">
        <w:rPr>
          <w:rFonts w:ascii="Book Antiqua" w:hAnsi="Book Antiqua"/>
          <w:color w:val="000000" w:themeColor="text1"/>
          <w:spacing w:val="-5"/>
        </w:rPr>
        <w:t xml:space="preserve"> </w:t>
      </w:r>
      <w:r w:rsidRPr="00C33BA8">
        <w:rPr>
          <w:rFonts w:ascii="Book Antiqua" w:hAnsi="Book Antiqua"/>
          <w:i/>
          <w:color w:val="000000" w:themeColor="text1"/>
        </w:rPr>
        <w:t>P</w:t>
      </w:r>
      <w:r w:rsidR="00E815E9" w:rsidRPr="00C33BA8">
        <w:rPr>
          <w:rFonts w:ascii="Book Antiqua" w:hAnsi="Book Antiqua"/>
          <w:i/>
          <w:color w:val="000000" w:themeColor="text1"/>
          <w:spacing w:val="-7"/>
        </w:rPr>
        <w:t xml:space="preserve"> </w:t>
      </w:r>
      <w:r w:rsidR="00E815E9" w:rsidRPr="00C33BA8">
        <w:rPr>
          <w:rFonts w:ascii="Book Antiqua" w:hAnsi="Book Antiqua"/>
          <w:color w:val="000000" w:themeColor="text1"/>
        </w:rPr>
        <w:t>values</w:t>
      </w:r>
      <w:r w:rsidR="00E815E9" w:rsidRPr="00C33BA8">
        <w:rPr>
          <w:rFonts w:ascii="Book Antiqua" w:hAnsi="Book Antiqua"/>
          <w:color w:val="000000" w:themeColor="text1"/>
          <w:spacing w:val="-5"/>
        </w:rPr>
        <w:t xml:space="preserve"> </w:t>
      </w:r>
      <w:r w:rsidR="00E815E9" w:rsidRPr="00C33BA8">
        <w:rPr>
          <w:rFonts w:ascii="Book Antiqua" w:hAnsi="Book Antiqua"/>
          <w:color w:val="000000" w:themeColor="text1"/>
        </w:rPr>
        <w:t>(</w:t>
      </w:r>
      <w:r w:rsidRPr="00C33BA8">
        <w:rPr>
          <w:rFonts w:ascii="Book Antiqua" w:hAnsi="Book Antiqua"/>
          <w:i/>
          <w:color w:val="000000" w:themeColor="text1"/>
        </w:rPr>
        <w:t>P</w:t>
      </w:r>
      <w:r w:rsidR="00E815E9" w:rsidRPr="00C33BA8">
        <w:rPr>
          <w:rFonts w:ascii="Book Antiqua" w:hAnsi="Book Antiqua"/>
          <w:i/>
          <w:color w:val="000000" w:themeColor="text1"/>
          <w:spacing w:val="-7"/>
        </w:rPr>
        <w:t xml:space="preserve"> </w:t>
      </w:r>
      <w:r w:rsidR="00E815E9" w:rsidRPr="00C33BA8">
        <w:rPr>
          <w:rFonts w:ascii="Book Antiqua" w:hAnsi="Book Antiqua"/>
          <w:color w:val="000000" w:themeColor="text1"/>
        </w:rPr>
        <w:t>&lt;</w:t>
      </w:r>
      <w:r w:rsidR="00E815E9" w:rsidRPr="00C33BA8">
        <w:rPr>
          <w:rFonts w:ascii="Book Antiqua" w:hAnsi="Book Antiqua"/>
          <w:color w:val="000000" w:themeColor="text1"/>
          <w:spacing w:val="-5"/>
        </w:rPr>
        <w:t xml:space="preserve"> </w:t>
      </w:r>
      <w:r w:rsidR="00E815E9" w:rsidRPr="00C33BA8">
        <w:rPr>
          <w:rFonts w:ascii="Book Antiqua" w:hAnsi="Book Antiqua"/>
          <w:color w:val="000000" w:themeColor="text1"/>
        </w:rPr>
        <w:t>0.00001)</w:t>
      </w:r>
      <w:r w:rsidR="00E815E9" w:rsidRPr="00C33BA8">
        <w:rPr>
          <w:rFonts w:ascii="Book Antiqua" w:hAnsi="Book Antiqua"/>
          <w:color w:val="000000" w:themeColor="text1"/>
          <w:spacing w:val="-5"/>
        </w:rPr>
        <w:t xml:space="preserve"> </w:t>
      </w:r>
      <w:r w:rsidR="00E815E9" w:rsidRPr="00C33BA8">
        <w:rPr>
          <w:rFonts w:ascii="Book Antiqua" w:hAnsi="Book Antiqua"/>
          <w:color w:val="000000" w:themeColor="text1"/>
        </w:rPr>
        <w:t>for</w:t>
      </w:r>
      <w:r w:rsidR="00E815E9" w:rsidRPr="00C33BA8">
        <w:rPr>
          <w:rFonts w:ascii="Book Antiqua" w:hAnsi="Book Antiqua"/>
          <w:color w:val="000000" w:themeColor="text1"/>
          <w:spacing w:val="-5"/>
        </w:rPr>
        <w:t xml:space="preserve"> </w:t>
      </w:r>
      <w:r w:rsidR="00E815E9" w:rsidRPr="00C33BA8">
        <w:rPr>
          <w:rFonts w:ascii="Book Antiqua" w:hAnsi="Book Antiqua"/>
          <w:color w:val="000000" w:themeColor="text1"/>
        </w:rPr>
        <w:t>the</w:t>
      </w:r>
      <w:r w:rsidR="00E815E9" w:rsidRPr="00C33BA8">
        <w:rPr>
          <w:rFonts w:ascii="Book Antiqua" w:hAnsi="Book Antiqua"/>
          <w:color w:val="000000" w:themeColor="text1"/>
          <w:spacing w:val="-5"/>
        </w:rPr>
        <w:t xml:space="preserve"> </w:t>
      </w:r>
      <w:r w:rsidR="00E815E9" w:rsidRPr="00C33BA8">
        <w:rPr>
          <w:rFonts w:ascii="Book Antiqua" w:hAnsi="Book Antiqua"/>
          <w:color w:val="000000" w:themeColor="text1"/>
        </w:rPr>
        <w:t>others.</w:t>
      </w:r>
      <w:r w:rsidRPr="00C33BA8">
        <w:rPr>
          <w:rFonts w:ascii="Book Antiqua" w:hAnsi="Book Antiqua"/>
          <w:color w:val="000000" w:themeColor="text1"/>
        </w:rPr>
        <w:t xml:space="preserve"> </w:t>
      </w:r>
      <w:r w:rsidR="00E815E9" w:rsidRPr="00C33BA8">
        <w:rPr>
          <w:rFonts w:ascii="Book Antiqua" w:hAnsi="Book Antiqua"/>
          <w:color w:val="000000" w:themeColor="text1"/>
        </w:rPr>
        <w:t>0-0.4</w:t>
      </w:r>
      <w:r w:rsidR="00E815E9" w:rsidRPr="00C33BA8">
        <w:rPr>
          <w:rFonts w:ascii="Book Antiqua" w:hAnsi="Book Antiqua"/>
          <w:color w:val="000000" w:themeColor="text1"/>
          <w:spacing w:val="-15"/>
        </w:rPr>
        <w:t xml:space="preserve"> </w:t>
      </w:r>
      <w:r w:rsidR="00E815E9" w:rsidRPr="00C33BA8">
        <w:rPr>
          <w:rFonts w:ascii="Book Antiqua" w:hAnsi="Book Antiqua"/>
          <w:color w:val="000000" w:themeColor="text1"/>
        </w:rPr>
        <w:t>OD</w:t>
      </w:r>
      <w:r w:rsidR="00E815E9" w:rsidRPr="00C33BA8">
        <w:rPr>
          <w:rFonts w:ascii="Book Antiqua" w:hAnsi="Book Antiqua"/>
          <w:color w:val="000000" w:themeColor="text1"/>
          <w:spacing w:val="-14"/>
        </w:rPr>
        <w:t xml:space="preserve"> </w:t>
      </w:r>
      <w:r w:rsidR="00E815E9" w:rsidRPr="00C33BA8">
        <w:rPr>
          <w:rFonts w:ascii="Book Antiqua" w:hAnsi="Book Antiqua"/>
          <w:color w:val="000000" w:themeColor="text1"/>
        </w:rPr>
        <w:t>=</w:t>
      </w:r>
      <w:r w:rsidR="00E815E9" w:rsidRPr="00C33BA8">
        <w:rPr>
          <w:rFonts w:ascii="Book Antiqua" w:hAnsi="Book Antiqua"/>
          <w:color w:val="000000" w:themeColor="text1"/>
          <w:spacing w:val="-14"/>
        </w:rPr>
        <w:t xml:space="preserve"> </w:t>
      </w:r>
      <w:r w:rsidR="00E815E9" w:rsidRPr="00C33BA8">
        <w:rPr>
          <w:rFonts w:ascii="Book Antiqua" w:hAnsi="Book Antiqua"/>
          <w:color w:val="000000" w:themeColor="text1"/>
        </w:rPr>
        <w:t>insignificant;</w:t>
      </w:r>
      <w:r w:rsidR="00E815E9" w:rsidRPr="00C33BA8">
        <w:rPr>
          <w:rFonts w:ascii="Book Antiqua" w:hAnsi="Book Antiqua"/>
          <w:color w:val="000000" w:themeColor="text1"/>
          <w:spacing w:val="-14"/>
        </w:rPr>
        <w:t xml:space="preserve"> </w:t>
      </w:r>
      <w:r w:rsidR="00E815E9" w:rsidRPr="00C33BA8">
        <w:rPr>
          <w:rFonts w:ascii="Book Antiqua" w:hAnsi="Book Antiqua"/>
          <w:color w:val="000000" w:themeColor="text1"/>
        </w:rPr>
        <w:t>0.42-1.0</w:t>
      </w:r>
      <w:r w:rsidR="00E815E9" w:rsidRPr="00C33BA8">
        <w:rPr>
          <w:rFonts w:ascii="Book Antiqua" w:hAnsi="Book Antiqua"/>
          <w:color w:val="000000" w:themeColor="text1"/>
          <w:spacing w:val="-14"/>
        </w:rPr>
        <w:t xml:space="preserve"> </w:t>
      </w:r>
      <w:r w:rsidR="00E815E9" w:rsidRPr="00C33BA8">
        <w:rPr>
          <w:rFonts w:ascii="Book Antiqua" w:hAnsi="Book Antiqua"/>
          <w:color w:val="000000" w:themeColor="text1"/>
        </w:rPr>
        <w:t>=</w:t>
      </w:r>
      <w:r w:rsidR="00E815E9" w:rsidRPr="00C33BA8">
        <w:rPr>
          <w:rFonts w:ascii="Book Antiqua" w:hAnsi="Book Antiqua"/>
          <w:color w:val="000000" w:themeColor="text1"/>
          <w:spacing w:val="-14"/>
        </w:rPr>
        <w:t xml:space="preserve"> </w:t>
      </w:r>
      <w:r w:rsidR="00E815E9" w:rsidRPr="00C33BA8">
        <w:rPr>
          <w:rFonts w:ascii="Book Antiqua" w:hAnsi="Book Antiqua"/>
          <w:color w:val="000000" w:themeColor="text1"/>
        </w:rPr>
        <w:t>low;</w:t>
      </w:r>
      <w:r w:rsidR="00E815E9" w:rsidRPr="00C33BA8">
        <w:rPr>
          <w:rFonts w:ascii="Book Antiqua" w:hAnsi="Book Antiqua"/>
          <w:color w:val="000000" w:themeColor="text1"/>
          <w:spacing w:val="-15"/>
        </w:rPr>
        <w:t xml:space="preserve"> </w:t>
      </w:r>
      <w:r w:rsidR="00E815E9" w:rsidRPr="00C33BA8">
        <w:rPr>
          <w:rFonts w:ascii="Book Antiqua" w:hAnsi="Book Antiqua"/>
          <w:color w:val="000000" w:themeColor="text1"/>
        </w:rPr>
        <w:t>1.1-1.6</w:t>
      </w:r>
      <w:r w:rsidR="00E815E9" w:rsidRPr="00C33BA8">
        <w:rPr>
          <w:rFonts w:ascii="Book Antiqua" w:hAnsi="Book Antiqua"/>
          <w:color w:val="000000" w:themeColor="text1"/>
          <w:spacing w:val="-14"/>
        </w:rPr>
        <w:t xml:space="preserve"> </w:t>
      </w:r>
      <w:r w:rsidR="00E815E9" w:rsidRPr="00C33BA8">
        <w:rPr>
          <w:rFonts w:ascii="Book Antiqua" w:hAnsi="Book Antiqua"/>
          <w:color w:val="000000" w:themeColor="text1"/>
        </w:rPr>
        <w:t>=</w:t>
      </w:r>
      <w:r w:rsidR="00E815E9" w:rsidRPr="00C33BA8">
        <w:rPr>
          <w:rFonts w:ascii="Book Antiqua" w:hAnsi="Book Antiqua"/>
          <w:color w:val="000000" w:themeColor="text1"/>
          <w:spacing w:val="-14"/>
        </w:rPr>
        <w:t xml:space="preserve"> </w:t>
      </w:r>
      <w:r w:rsidR="00E815E9" w:rsidRPr="00C33BA8">
        <w:rPr>
          <w:rFonts w:ascii="Book Antiqua" w:hAnsi="Book Antiqua"/>
          <w:color w:val="000000" w:themeColor="text1"/>
        </w:rPr>
        <w:t>moderate;</w:t>
      </w:r>
      <w:r w:rsidR="00E815E9" w:rsidRPr="00C33BA8">
        <w:rPr>
          <w:rFonts w:ascii="Book Antiqua" w:hAnsi="Book Antiqua"/>
          <w:color w:val="000000" w:themeColor="text1"/>
          <w:spacing w:val="-14"/>
        </w:rPr>
        <w:t xml:space="preserve"> </w:t>
      </w:r>
      <w:r w:rsidR="00E815E9" w:rsidRPr="00C33BA8">
        <w:rPr>
          <w:rFonts w:ascii="Book Antiqua" w:hAnsi="Book Antiqua"/>
          <w:color w:val="000000" w:themeColor="text1"/>
        </w:rPr>
        <w:t>1.61-2.2</w:t>
      </w:r>
      <w:r w:rsidR="00E815E9" w:rsidRPr="00C33BA8">
        <w:rPr>
          <w:rFonts w:ascii="Book Antiqua" w:hAnsi="Book Antiqua"/>
          <w:color w:val="000000" w:themeColor="text1"/>
          <w:spacing w:val="-14"/>
        </w:rPr>
        <w:t xml:space="preserve"> </w:t>
      </w:r>
      <w:r w:rsidR="00E815E9" w:rsidRPr="00C33BA8">
        <w:rPr>
          <w:rFonts w:ascii="Book Antiqua" w:hAnsi="Book Antiqua"/>
          <w:color w:val="000000" w:themeColor="text1"/>
        </w:rPr>
        <w:t>=</w:t>
      </w:r>
      <w:r w:rsidR="00E815E9" w:rsidRPr="00C33BA8">
        <w:rPr>
          <w:rFonts w:ascii="Book Antiqua" w:hAnsi="Book Antiqua"/>
          <w:color w:val="000000" w:themeColor="text1"/>
          <w:spacing w:val="-14"/>
        </w:rPr>
        <w:t xml:space="preserve"> </w:t>
      </w:r>
      <w:r w:rsidR="00E815E9" w:rsidRPr="00C33BA8">
        <w:rPr>
          <w:rFonts w:ascii="Book Antiqua" w:hAnsi="Book Antiqua"/>
          <w:color w:val="000000" w:themeColor="text1"/>
        </w:rPr>
        <w:t>high;</w:t>
      </w:r>
      <w:r w:rsidR="00E815E9" w:rsidRPr="00C33BA8">
        <w:rPr>
          <w:rFonts w:ascii="Book Antiqua" w:hAnsi="Book Antiqua"/>
          <w:color w:val="000000" w:themeColor="text1"/>
          <w:spacing w:val="-14"/>
        </w:rPr>
        <w:t xml:space="preserve"> </w:t>
      </w:r>
      <w:r w:rsidRPr="00C33BA8">
        <w:rPr>
          <w:rFonts w:ascii="Book Antiqua" w:hAnsi="Book Antiqua"/>
          <w:color w:val="000000" w:themeColor="text1"/>
          <w:spacing w:val="-14"/>
        </w:rPr>
        <w:t xml:space="preserve">&gt; </w:t>
      </w:r>
      <w:r w:rsidR="00E815E9" w:rsidRPr="00C33BA8">
        <w:rPr>
          <w:rFonts w:ascii="Book Antiqua" w:hAnsi="Book Antiqua"/>
          <w:color w:val="000000" w:themeColor="text1"/>
        </w:rPr>
        <w:t>2.21</w:t>
      </w:r>
      <w:r w:rsidR="00E815E9" w:rsidRPr="00C33BA8">
        <w:rPr>
          <w:rFonts w:ascii="Book Antiqua" w:hAnsi="Book Antiqua"/>
          <w:color w:val="000000" w:themeColor="text1"/>
          <w:spacing w:val="-15"/>
        </w:rPr>
        <w:t xml:space="preserve"> </w:t>
      </w:r>
      <w:r w:rsidR="00E815E9" w:rsidRPr="00C33BA8">
        <w:rPr>
          <w:rFonts w:ascii="Book Antiqua" w:hAnsi="Book Antiqua"/>
          <w:color w:val="000000" w:themeColor="text1"/>
        </w:rPr>
        <w:t>=</w:t>
      </w:r>
      <w:r w:rsidR="00E815E9" w:rsidRPr="00C33BA8">
        <w:rPr>
          <w:rFonts w:ascii="Book Antiqua" w:hAnsi="Book Antiqua"/>
          <w:color w:val="000000" w:themeColor="text1"/>
          <w:spacing w:val="-14"/>
        </w:rPr>
        <w:t xml:space="preserve"> </w:t>
      </w:r>
      <w:r w:rsidR="00E815E9" w:rsidRPr="00C33BA8">
        <w:rPr>
          <w:rFonts w:ascii="Book Antiqua" w:hAnsi="Book Antiqua"/>
          <w:color w:val="000000" w:themeColor="text1"/>
        </w:rPr>
        <w:t>very high.</w:t>
      </w:r>
      <w:r w:rsidRPr="00C33BA8">
        <w:rPr>
          <w:rFonts w:ascii="Book Antiqua" w:hAnsi="Book Antiqua"/>
          <w:color w:val="000000" w:themeColor="text1"/>
        </w:rPr>
        <w:t xml:space="preserve"> tTG: Transglutaminase; mTG: M</w:t>
      </w:r>
      <w:r w:rsidR="00E815E9" w:rsidRPr="00C33BA8">
        <w:rPr>
          <w:rFonts w:ascii="Book Antiqua" w:hAnsi="Book Antiqua"/>
          <w:color w:val="000000" w:themeColor="text1"/>
        </w:rPr>
        <w:t>ic</w:t>
      </w:r>
      <w:r w:rsidRPr="00C33BA8">
        <w:rPr>
          <w:rFonts w:ascii="Book Antiqua" w:hAnsi="Book Antiqua"/>
          <w:color w:val="000000" w:themeColor="text1"/>
        </w:rPr>
        <w:t>robial transglutaminase; DPPIV: Dipeptidyl peptidase-4; TPO: T</w:t>
      </w:r>
      <w:r w:rsidR="00E815E9" w:rsidRPr="00C33BA8">
        <w:rPr>
          <w:rFonts w:ascii="Book Antiqua" w:hAnsi="Book Antiqua"/>
          <w:color w:val="000000" w:themeColor="text1"/>
        </w:rPr>
        <w:t>hyroid peroxida</w:t>
      </w:r>
      <w:r w:rsidRPr="00C33BA8">
        <w:rPr>
          <w:rFonts w:ascii="Book Antiqua" w:hAnsi="Book Antiqua"/>
          <w:color w:val="000000" w:themeColor="text1"/>
        </w:rPr>
        <w:t>se; PDI: P</w:t>
      </w:r>
      <w:r w:rsidR="00E815E9" w:rsidRPr="00C33BA8">
        <w:rPr>
          <w:rFonts w:ascii="Book Antiqua" w:hAnsi="Book Antiqua"/>
          <w:color w:val="000000" w:themeColor="text1"/>
        </w:rPr>
        <w:t>ro</w:t>
      </w:r>
      <w:r w:rsidRPr="00C33BA8">
        <w:rPr>
          <w:rFonts w:ascii="Book Antiqua" w:hAnsi="Book Antiqua"/>
          <w:color w:val="000000" w:themeColor="text1"/>
        </w:rPr>
        <w:t>tein disulfide isomerase; GFAP: G</w:t>
      </w:r>
      <w:r w:rsidR="00E815E9" w:rsidRPr="00C33BA8">
        <w:rPr>
          <w:rFonts w:ascii="Book Antiqua" w:hAnsi="Book Antiqua"/>
          <w:color w:val="000000" w:themeColor="text1"/>
        </w:rPr>
        <w:t>lial</w:t>
      </w:r>
      <w:r w:rsidRPr="00C33BA8">
        <w:rPr>
          <w:rFonts w:ascii="Book Antiqua" w:hAnsi="Book Antiqua"/>
          <w:color w:val="000000" w:themeColor="text1"/>
        </w:rPr>
        <w:t xml:space="preserve"> </w:t>
      </w:r>
      <w:r w:rsidR="00E815E9" w:rsidRPr="00C33BA8">
        <w:rPr>
          <w:rFonts w:ascii="Book Antiqua" w:hAnsi="Book Antiqua"/>
          <w:color w:val="000000" w:themeColor="text1"/>
        </w:rPr>
        <w:t>fibr</w:t>
      </w:r>
      <w:r w:rsidRPr="00C33BA8">
        <w:rPr>
          <w:rFonts w:ascii="Book Antiqua" w:hAnsi="Book Antiqua"/>
          <w:color w:val="000000" w:themeColor="text1"/>
        </w:rPr>
        <w:t>illary acidic protein; H. AQP4: Human aquaporin-4; MBP: Myelin basic protein; HSA: H</w:t>
      </w:r>
      <w:r w:rsidR="00E815E9" w:rsidRPr="00C33BA8">
        <w:rPr>
          <w:rFonts w:ascii="Book Antiqua" w:hAnsi="Book Antiqua"/>
          <w:color w:val="000000" w:themeColor="text1"/>
        </w:rPr>
        <w:t>uman serum albumin</w:t>
      </w:r>
      <w:r w:rsidRPr="00C33BA8">
        <w:rPr>
          <w:rFonts w:ascii="Book Antiqua" w:hAnsi="Book Antiqua"/>
          <w:color w:val="000000" w:themeColor="text1"/>
        </w:rPr>
        <w:t>.</w:t>
      </w:r>
    </w:p>
    <w:p w14:paraId="072F0191" w14:textId="77777777" w:rsidR="00C70540" w:rsidRPr="00C33BA8" w:rsidRDefault="00C70540">
      <w:pPr>
        <w:rPr>
          <w:rFonts w:ascii="Book Antiqua" w:hAnsi="Book Antiqua"/>
          <w:color w:val="000000" w:themeColor="text1"/>
          <w:sz w:val="24"/>
          <w:szCs w:val="24"/>
        </w:rPr>
      </w:pPr>
      <w:r w:rsidRPr="00C33BA8">
        <w:rPr>
          <w:rFonts w:ascii="Book Antiqua" w:hAnsi="Book Antiqua"/>
          <w:color w:val="000000" w:themeColor="text1"/>
          <w:sz w:val="24"/>
          <w:szCs w:val="24"/>
        </w:rPr>
        <w:br w:type="page"/>
      </w:r>
    </w:p>
    <w:p w14:paraId="32AF66A0" w14:textId="78F45C19" w:rsidR="00920C46" w:rsidRPr="00C33BA8" w:rsidRDefault="00E815E9" w:rsidP="00686B93">
      <w:pPr>
        <w:pStyle w:val="BodyText"/>
        <w:adjustRightInd w:val="0"/>
        <w:snapToGrid w:val="0"/>
        <w:spacing w:line="360" w:lineRule="auto"/>
        <w:ind w:left="0"/>
        <w:jc w:val="both"/>
        <w:rPr>
          <w:rFonts w:ascii="Book Antiqua" w:hAnsi="Book Antiqua"/>
          <w:color w:val="000000" w:themeColor="text1"/>
        </w:rPr>
      </w:pPr>
      <w:r w:rsidRPr="00C33BA8">
        <w:rPr>
          <w:rFonts w:ascii="Book Antiqua" w:hAnsi="Book Antiqua"/>
          <w:noProof/>
          <w:color w:val="000000" w:themeColor="text1"/>
          <w:lang w:eastAsia="zh-CN"/>
        </w:rPr>
        <w:lastRenderedPageBreak/>
        <w:drawing>
          <wp:anchor distT="0" distB="0" distL="0" distR="0" simplePos="0" relativeHeight="1472" behindDoc="0" locked="0" layoutInCell="1" allowOverlap="1" wp14:anchorId="71938B27" wp14:editId="444E3E92">
            <wp:simplePos x="0" y="0"/>
            <wp:positionH relativeFrom="page">
              <wp:posOffset>914019</wp:posOffset>
            </wp:positionH>
            <wp:positionV relativeFrom="paragraph">
              <wp:posOffset>171004</wp:posOffset>
            </wp:positionV>
            <wp:extent cx="5882749" cy="3992879"/>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5882749" cy="3992879"/>
                    </a:xfrm>
                    <a:prstGeom prst="rect">
                      <a:avLst/>
                    </a:prstGeom>
                  </pic:spPr>
                </pic:pic>
              </a:graphicData>
            </a:graphic>
          </wp:anchor>
        </w:drawing>
      </w:r>
      <w:r w:rsidR="00C70540" w:rsidRPr="00C33BA8">
        <w:rPr>
          <w:rFonts w:ascii="Book Antiqua" w:hAnsi="Book Antiqua"/>
          <w:b/>
          <w:color w:val="000000" w:themeColor="text1"/>
        </w:rPr>
        <w:t xml:space="preserve">Figure 2 Reaction of </w:t>
      </w:r>
      <w:r w:rsidRPr="00C33BA8">
        <w:rPr>
          <w:rFonts w:ascii="Book Antiqua" w:hAnsi="Book Antiqua"/>
          <w:b/>
          <w:color w:val="000000" w:themeColor="text1"/>
        </w:rPr>
        <w:t>mouse</w:t>
      </w:r>
      <w:r w:rsidR="00517F9E" w:rsidRPr="00C33BA8">
        <w:rPr>
          <w:rFonts w:ascii="Book Antiqua" w:hAnsi="Book Antiqua"/>
          <w:b/>
          <w:color w:val="000000" w:themeColor="text1"/>
        </w:rPr>
        <w:t xml:space="preserve"> </w:t>
      </w:r>
      <w:r w:rsidRPr="00C33BA8">
        <w:rPr>
          <w:rFonts w:ascii="Book Antiqua" w:hAnsi="Book Antiqua"/>
          <w:b/>
          <w:color w:val="000000" w:themeColor="text1"/>
        </w:rPr>
        <w:t>monoclonal</w:t>
      </w:r>
      <w:r w:rsidR="00517F9E" w:rsidRPr="00C33BA8">
        <w:rPr>
          <w:rFonts w:ascii="Book Antiqua" w:hAnsi="Book Antiqua"/>
          <w:b/>
          <w:color w:val="000000" w:themeColor="text1"/>
        </w:rPr>
        <w:t xml:space="preserve"> </w:t>
      </w:r>
      <w:r w:rsidRPr="00C33BA8">
        <w:rPr>
          <w:rFonts w:ascii="Book Antiqua" w:hAnsi="Book Antiqua"/>
          <w:b/>
          <w:color w:val="000000" w:themeColor="text1"/>
        </w:rPr>
        <w:t>anti-</w:t>
      </w:r>
      <w:r w:rsidR="00C70540" w:rsidRPr="00C33BA8">
        <w:rPr>
          <w:rFonts w:ascii="Book Antiqua" w:hAnsi="Book Antiqua"/>
          <w:b/>
          <w:i/>
          <w:color w:val="000000" w:themeColor="text1"/>
        </w:rPr>
        <w:t xml:space="preserve">Campylobacter </w:t>
      </w:r>
      <w:r w:rsidRPr="00C33BA8">
        <w:rPr>
          <w:rFonts w:ascii="Book Antiqua" w:hAnsi="Book Antiqua"/>
          <w:b/>
          <w:i/>
          <w:color w:val="000000" w:themeColor="text1"/>
        </w:rPr>
        <w:t>jejuni</w:t>
      </w:r>
      <w:r w:rsidR="00517F9E" w:rsidRPr="00C33BA8">
        <w:rPr>
          <w:rFonts w:ascii="Book Antiqua" w:hAnsi="Book Antiqua"/>
          <w:b/>
          <w:i/>
          <w:color w:val="000000" w:themeColor="text1"/>
        </w:rPr>
        <w:t xml:space="preserve"> </w:t>
      </w:r>
      <w:r w:rsidRPr="00C33BA8">
        <w:rPr>
          <w:rFonts w:ascii="Book Antiqua" w:hAnsi="Book Antiqua"/>
          <w:b/>
          <w:color w:val="000000" w:themeColor="text1"/>
        </w:rPr>
        <w:t>with</w:t>
      </w:r>
      <w:r w:rsidR="00517F9E" w:rsidRPr="00C33BA8">
        <w:rPr>
          <w:rFonts w:ascii="Book Antiqua" w:hAnsi="Book Antiqua"/>
          <w:b/>
          <w:color w:val="000000" w:themeColor="text1"/>
        </w:rPr>
        <w:t xml:space="preserve"> </w:t>
      </w:r>
      <w:r w:rsidRPr="00C33BA8">
        <w:rPr>
          <w:rFonts w:ascii="Book Antiqua" w:hAnsi="Book Antiqua"/>
          <w:b/>
          <w:color w:val="000000" w:themeColor="text1"/>
        </w:rPr>
        <w:t xml:space="preserve">different food antigens. </w:t>
      </w:r>
      <w:r w:rsidRPr="00C33BA8">
        <w:rPr>
          <w:rFonts w:ascii="Book Antiqua" w:hAnsi="Book Antiqua"/>
          <w:color w:val="000000" w:themeColor="text1"/>
        </w:rPr>
        <w:t xml:space="preserve">Compared to the monoclonal antibody’s reaction with </w:t>
      </w:r>
      <w:r w:rsidR="00C70540" w:rsidRPr="00C33BA8">
        <w:rPr>
          <w:rFonts w:ascii="Book Antiqua" w:hAnsi="Book Antiqua"/>
          <w:i/>
          <w:color w:val="000000" w:themeColor="text1"/>
        </w:rPr>
        <w:t xml:space="preserve">Campylobacter jejuni </w:t>
      </w:r>
      <w:r w:rsidR="00C70540" w:rsidRPr="00C33BA8">
        <w:rPr>
          <w:rFonts w:ascii="Book Antiqua" w:hAnsi="Book Antiqua"/>
          <w:color w:val="000000" w:themeColor="text1"/>
        </w:rPr>
        <w:t>(</w:t>
      </w:r>
      <w:r w:rsidR="00C70540" w:rsidRPr="00C33BA8">
        <w:rPr>
          <w:rFonts w:ascii="Book Antiqua" w:hAnsi="Book Antiqua"/>
          <w:i/>
          <w:color w:val="000000" w:themeColor="text1"/>
        </w:rPr>
        <w:t>C. jejuni</w:t>
      </w:r>
      <w:r w:rsidR="00C70540" w:rsidRPr="00C33BA8">
        <w:rPr>
          <w:rFonts w:ascii="Book Antiqua" w:hAnsi="Book Antiqua"/>
          <w:color w:val="000000" w:themeColor="text1"/>
        </w:rPr>
        <w:t>)</w:t>
      </w:r>
      <w:r w:rsidRPr="00C33BA8">
        <w:rPr>
          <w:rFonts w:ascii="Book Antiqua" w:hAnsi="Book Antiqua"/>
          <w:i/>
          <w:color w:val="000000" w:themeColor="text1"/>
        </w:rPr>
        <w:t xml:space="preserve"> </w:t>
      </w:r>
      <w:r w:rsidRPr="00C33BA8">
        <w:rPr>
          <w:rFonts w:ascii="Book Antiqua" w:hAnsi="Book Antiqua"/>
          <w:color w:val="000000" w:themeColor="text1"/>
        </w:rPr>
        <w:t xml:space="preserve">antigens as positive control and </w:t>
      </w:r>
      <w:r w:rsidR="00C70540" w:rsidRPr="00C33BA8">
        <w:rPr>
          <w:rFonts w:ascii="Book Antiqua" w:hAnsi="Book Antiqua"/>
          <w:color w:val="000000" w:themeColor="text1"/>
        </w:rPr>
        <w:t>human serum albumin</w:t>
      </w:r>
      <w:r w:rsidRPr="00C33BA8">
        <w:rPr>
          <w:rFonts w:ascii="Book Antiqua" w:hAnsi="Book Antiqua"/>
          <w:color w:val="000000" w:themeColor="text1"/>
        </w:rPr>
        <w:t xml:space="preserve"> or unimmunized mouse serum as negative control, the reaction of this antibody with 163 food antigens is insignificant, and with 17 additional antigens is low. The variation of quadruplicate ODs was less than 10% for all determinations. Comparison of the means of the antibody reactivity to various food antigens with the means of controls resulted in insignificant values (</w:t>
      </w:r>
      <w:r w:rsidR="00C70540" w:rsidRPr="00C33BA8">
        <w:rPr>
          <w:rFonts w:ascii="Book Antiqua" w:hAnsi="Book Antiqua"/>
          <w:i/>
          <w:color w:val="000000" w:themeColor="text1"/>
        </w:rPr>
        <w:t>P</w:t>
      </w:r>
      <w:r w:rsidRPr="00C33BA8">
        <w:rPr>
          <w:rFonts w:ascii="Book Antiqua" w:hAnsi="Book Antiqua"/>
          <w:i/>
          <w:color w:val="000000" w:themeColor="text1"/>
        </w:rPr>
        <w:t xml:space="preserve"> </w:t>
      </w:r>
      <w:r w:rsidRPr="00C33BA8">
        <w:rPr>
          <w:rFonts w:ascii="Book Antiqua" w:hAnsi="Book Antiqua"/>
          <w:color w:val="000000" w:themeColor="text1"/>
        </w:rPr>
        <w:t xml:space="preserve">&gt; 0.05) for 163 different food antigens and highly significant </w:t>
      </w:r>
      <w:r w:rsidR="00C70540" w:rsidRPr="00C33BA8">
        <w:rPr>
          <w:rFonts w:ascii="Book Antiqua" w:hAnsi="Book Antiqua"/>
          <w:i/>
          <w:color w:val="000000" w:themeColor="text1"/>
        </w:rPr>
        <w:t>P</w:t>
      </w:r>
      <w:r w:rsidRPr="00C33BA8">
        <w:rPr>
          <w:rFonts w:ascii="Book Antiqua" w:hAnsi="Book Antiqua"/>
          <w:i/>
          <w:color w:val="000000" w:themeColor="text1"/>
        </w:rPr>
        <w:t xml:space="preserve"> </w:t>
      </w:r>
      <w:r w:rsidRPr="00C33BA8">
        <w:rPr>
          <w:rFonts w:ascii="Book Antiqua" w:hAnsi="Book Antiqua"/>
          <w:color w:val="000000" w:themeColor="text1"/>
        </w:rPr>
        <w:t>values (</w:t>
      </w:r>
      <w:r w:rsidR="00C70540" w:rsidRPr="00C33BA8">
        <w:rPr>
          <w:rFonts w:ascii="Book Antiqua" w:hAnsi="Book Antiqua"/>
          <w:i/>
          <w:color w:val="000000" w:themeColor="text1"/>
        </w:rPr>
        <w:t>P</w:t>
      </w:r>
      <w:r w:rsidRPr="00C33BA8">
        <w:rPr>
          <w:rFonts w:ascii="Book Antiqua" w:hAnsi="Book Antiqua"/>
          <w:i/>
          <w:color w:val="000000" w:themeColor="text1"/>
        </w:rPr>
        <w:t xml:space="preserve"> </w:t>
      </w:r>
      <w:r w:rsidRPr="00C33BA8">
        <w:rPr>
          <w:rFonts w:ascii="Book Antiqua" w:hAnsi="Book Antiqua"/>
          <w:color w:val="000000" w:themeColor="text1"/>
        </w:rPr>
        <w:t>&lt; 0.00001) for the other 17 antigens.</w:t>
      </w:r>
      <w:r w:rsidR="00C70540" w:rsidRPr="00C33BA8">
        <w:rPr>
          <w:rFonts w:ascii="Book Antiqua" w:hAnsi="Book Antiqua"/>
          <w:color w:val="000000" w:themeColor="text1"/>
        </w:rPr>
        <w:t xml:space="preserve"> HSA:</w:t>
      </w:r>
      <w:r w:rsidRPr="00C33BA8">
        <w:rPr>
          <w:rFonts w:ascii="Book Antiqua" w:hAnsi="Book Antiqua"/>
          <w:color w:val="000000" w:themeColor="text1"/>
        </w:rPr>
        <w:t xml:space="preserve"> </w:t>
      </w:r>
      <w:bookmarkStart w:id="141" w:name="OLE_LINK69"/>
      <w:bookmarkStart w:id="142" w:name="OLE_LINK70"/>
      <w:r w:rsidR="00C70540" w:rsidRPr="00C33BA8">
        <w:rPr>
          <w:rFonts w:ascii="Book Antiqua" w:hAnsi="Book Antiqua"/>
          <w:color w:val="000000" w:themeColor="text1"/>
        </w:rPr>
        <w:t>H</w:t>
      </w:r>
      <w:r w:rsidRPr="00C33BA8">
        <w:rPr>
          <w:rFonts w:ascii="Book Antiqua" w:hAnsi="Book Antiqua"/>
          <w:color w:val="000000" w:themeColor="text1"/>
        </w:rPr>
        <w:t>uman serum albumin</w:t>
      </w:r>
      <w:bookmarkEnd w:id="141"/>
      <w:bookmarkEnd w:id="142"/>
      <w:r w:rsidR="00C70540" w:rsidRPr="00C33BA8">
        <w:rPr>
          <w:rFonts w:ascii="Book Antiqua" w:hAnsi="Book Antiqua"/>
          <w:color w:val="000000" w:themeColor="text1"/>
        </w:rPr>
        <w:t>.</w:t>
      </w:r>
    </w:p>
    <w:p w14:paraId="0E00DA53" w14:textId="77777777" w:rsidR="00920C46" w:rsidRPr="00C33BA8" w:rsidRDefault="00920C46" w:rsidP="00686B93">
      <w:pPr>
        <w:adjustRightInd w:val="0"/>
        <w:snapToGrid w:val="0"/>
        <w:spacing w:line="360" w:lineRule="auto"/>
        <w:jc w:val="both"/>
        <w:rPr>
          <w:rFonts w:ascii="Book Antiqua" w:hAnsi="Book Antiqua"/>
          <w:color w:val="000000" w:themeColor="text1"/>
          <w:sz w:val="24"/>
          <w:szCs w:val="24"/>
        </w:rPr>
        <w:sectPr w:rsidR="00920C46" w:rsidRPr="00C33BA8">
          <w:footerReference w:type="default" r:id="rId11"/>
          <w:pgSz w:w="12240" w:h="15840"/>
          <w:pgMar w:top="1360" w:right="1280" w:bottom="1000" w:left="1320" w:header="0" w:footer="721" w:gutter="0"/>
          <w:cols w:space="720"/>
        </w:sectPr>
      </w:pPr>
    </w:p>
    <w:p w14:paraId="51C45F98" w14:textId="77777777" w:rsidR="00920C46" w:rsidRPr="00C33BA8" w:rsidRDefault="00E815E9" w:rsidP="00686B93">
      <w:pPr>
        <w:pStyle w:val="BodyText"/>
        <w:adjustRightInd w:val="0"/>
        <w:snapToGrid w:val="0"/>
        <w:spacing w:line="360" w:lineRule="auto"/>
        <w:ind w:left="0"/>
        <w:jc w:val="both"/>
        <w:rPr>
          <w:rFonts w:ascii="Book Antiqua" w:hAnsi="Book Antiqua"/>
          <w:color w:val="000000" w:themeColor="text1"/>
        </w:rPr>
      </w:pPr>
      <w:r w:rsidRPr="00C33BA8">
        <w:rPr>
          <w:rFonts w:ascii="Book Antiqua" w:hAnsi="Book Antiqua"/>
          <w:noProof/>
          <w:color w:val="000000" w:themeColor="text1"/>
          <w:lang w:eastAsia="zh-CN"/>
        </w:rPr>
        <w:lastRenderedPageBreak/>
        <w:drawing>
          <wp:inline distT="0" distB="0" distL="0" distR="0" wp14:anchorId="13987558" wp14:editId="5ADA651E">
            <wp:extent cx="5882638" cy="4000500"/>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5882638" cy="4000500"/>
                    </a:xfrm>
                    <a:prstGeom prst="rect">
                      <a:avLst/>
                    </a:prstGeom>
                  </pic:spPr>
                </pic:pic>
              </a:graphicData>
            </a:graphic>
          </wp:inline>
        </w:drawing>
      </w:r>
    </w:p>
    <w:p w14:paraId="6E97A9FD" w14:textId="3913F9EA" w:rsidR="00920C46" w:rsidRPr="00C33BA8" w:rsidRDefault="00C70540" w:rsidP="00C70540">
      <w:pPr>
        <w:adjustRightInd w:val="0"/>
        <w:snapToGrid w:val="0"/>
        <w:spacing w:line="360" w:lineRule="auto"/>
        <w:jc w:val="both"/>
        <w:rPr>
          <w:rFonts w:ascii="Book Antiqua" w:hAnsi="Book Antiqua"/>
          <w:color w:val="000000" w:themeColor="text1"/>
          <w:sz w:val="24"/>
          <w:szCs w:val="24"/>
        </w:rPr>
      </w:pPr>
      <w:r w:rsidRPr="00C33BA8">
        <w:rPr>
          <w:rFonts w:ascii="Book Antiqua" w:hAnsi="Book Antiqua"/>
          <w:b/>
          <w:color w:val="000000" w:themeColor="text1"/>
          <w:sz w:val="24"/>
          <w:szCs w:val="24"/>
        </w:rPr>
        <w:t>Figure 3</w:t>
      </w:r>
      <w:r w:rsidR="00E815E9" w:rsidRPr="00C33BA8">
        <w:rPr>
          <w:rFonts w:ascii="Book Antiqua" w:hAnsi="Book Antiqua"/>
          <w:b/>
          <w:color w:val="000000" w:themeColor="text1"/>
          <w:sz w:val="24"/>
          <w:szCs w:val="24"/>
        </w:rPr>
        <w:t xml:space="preserve"> Reaction of affinity-purified rabbit anti-</w:t>
      </w:r>
      <w:r w:rsidRPr="00C33BA8">
        <w:rPr>
          <w:rFonts w:ascii="Book Antiqua" w:hAnsi="Book Antiqua"/>
          <w:b/>
          <w:i/>
          <w:color w:val="000000" w:themeColor="text1"/>
          <w:sz w:val="24"/>
          <w:szCs w:val="24"/>
        </w:rPr>
        <w:t xml:space="preserve">Campylobacter </w:t>
      </w:r>
      <w:r w:rsidR="00E815E9" w:rsidRPr="00C33BA8">
        <w:rPr>
          <w:rFonts w:ascii="Book Antiqua" w:hAnsi="Book Antiqua"/>
          <w:b/>
          <w:i/>
          <w:color w:val="000000" w:themeColor="text1"/>
          <w:sz w:val="24"/>
          <w:szCs w:val="24"/>
        </w:rPr>
        <w:t xml:space="preserve">jejuni </w:t>
      </w:r>
      <w:r w:rsidR="00E815E9" w:rsidRPr="00C33BA8">
        <w:rPr>
          <w:rFonts w:ascii="Book Antiqua" w:hAnsi="Book Antiqua"/>
          <w:b/>
          <w:color w:val="000000" w:themeColor="text1"/>
          <w:sz w:val="24"/>
          <w:szCs w:val="24"/>
        </w:rPr>
        <w:t>cytolethal distending toxin with different</w:t>
      </w:r>
      <w:r w:rsidR="00517F9E" w:rsidRPr="00C33BA8">
        <w:rPr>
          <w:rFonts w:ascii="Book Antiqua" w:hAnsi="Book Antiqua"/>
          <w:b/>
          <w:color w:val="000000" w:themeColor="text1"/>
          <w:sz w:val="24"/>
          <w:szCs w:val="24"/>
        </w:rPr>
        <w:t xml:space="preserve"> </w:t>
      </w:r>
      <w:r w:rsidR="00E815E9" w:rsidRPr="00C33BA8">
        <w:rPr>
          <w:rFonts w:ascii="Book Antiqua" w:hAnsi="Book Antiqua"/>
          <w:b/>
          <w:color w:val="000000" w:themeColor="text1"/>
          <w:sz w:val="24"/>
          <w:szCs w:val="24"/>
        </w:rPr>
        <w:t>tissue</w:t>
      </w:r>
      <w:r w:rsidR="00517F9E" w:rsidRPr="00C33BA8">
        <w:rPr>
          <w:rFonts w:ascii="Book Antiqua" w:hAnsi="Book Antiqua"/>
          <w:b/>
          <w:color w:val="000000" w:themeColor="text1"/>
          <w:sz w:val="24"/>
          <w:szCs w:val="24"/>
        </w:rPr>
        <w:t xml:space="preserve"> </w:t>
      </w:r>
      <w:r w:rsidR="00E815E9" w:rsidRPr="00C33BA8">
        <w:rPr>
          <w:rFonts w:ascii="Book Antiqua" w:hAnsi="Book Antiqua"/>
          <w:b/>
          <w:color w:val="000000" w:themeColor="text1"/>
          <w:sz w:val="24"/>
          <w:szCs w:val="24"/>
        </w:rPr>
        <w:t>antigens.</w:t>
      </w:r>
      <w:r w:rsidR="00517F9E" w:rsidRPr="00C33BA8">
        <w:rPr>
          <w:rFonts w:ascii="Book Antiqua" w:hAnsi="Book Antiqua"/>
          <w:b/>
          <w:color w:val="000000" w:themeColor="text1"/>
          <w:sz w:val="24"/>
          <w:szCs w:val="24"/>
        </w:rPr>
        <w:t xml:space="preserve"> </w:t>
      </w:r>
      <w:r w:rsidR="00E815E9" w:rsidRPr="00C33BA8">
        <w:rPr>
          <w:rFonts w:ascii="Book Antiqua" w:hAnsi="Book Antiqua"/>
          <w:color w:val="000000" w:themeColor="text1"/>
          <w:sz w:val="24"/>
          <w:szCs w:val="24"/>
        </w:rPr>
        <w:t>Compared</w:t>
      </w:r>
      <w:r w:rsidR="00517F9E" w:rsidRPr="00C33BA8">
        <w:rPr>
          <w:rFonts w:ascii="Book Antiqua" w:hAnsi="Book Antiqua"/>
          <w:color w:val="000000" w:themeColor="text1"/>
          <w:sz w:val="24"/>
          <w:szCs w:val="24"/>
        </w:rPr>
        <w:t xml:space="preserve"> </w:t>
      </w:r>
      <w:r w:rsidR="00E815E9" w:rsidRPr="00C33BA8">
        <w:rPr>
          <w:rFonts w:ascii="Book Antiqua" w:hAnsi="Book Antiqua"/>
          <w:color w:val="000000" w:themeColor="text1"/>
          <w:sz w:val="24"/>
          <w:szCs w:val="24"/>
        </w:rPr>
        <w:t>to</w:t>
      </w:r>
      <w:r w:rsidR="00517F9E" w:rsidRPr="00C33BA8">
        <w:rPr>
          <w:rFonts w:ascii="Book Antiqua" w:hAnsi="Book Antiqua"/>
          <w:color w:val="000000" w:themeColor="text1"/>
          <w:sz w:val="24"/>
          <w:szCs w:val="24"/>
        </w:rPr>
        <w:t xml:space="preserve"> </w:t>
      </w:r>
      <w:r w:rsidR="00E815E9" w:rsidRPr="00C33BA8">
        <w:rPr>
          <w:rFonts w:ascii="Book Antiqua" w:hAnsi="Book Antiqua"/>
          <w:color w:val="000000" w:themeColor="text1"/>
          <w:sz w:val="24"/>
          <w:szCs w:val="24"/>
        </w:rPr>
        <w:t>the</w:t>
      </w:r>
      <w:r w:rsidR="00517F9E" w:rsidRPr="00C33BA8">
        <w:rPr>
          <w:rFonts w:ascii="Book Antiqua" w:hAnsi="Book Antiqua"/>
          <w:color w:val="000000" w:themeColor="text1"/>
          <w:sz w:val="24"/>
          <w:szCs w:val="24"/>
        </w:rPr>
        <w:t xml:space="preserve"> </w:t>
      </w:r>
      <w:r w:rsidR="00E815E9" w:rsidRPr="00C33BA8">
        <w:rPr>
          <w:rFonts w:ascii="Book Antiqua" w:hAnsi="Book Antiqua"/>
          <w:color w:val="000000" w:themeColor="text1"/>
          <w:sz w:val="24"/>
          <w:szCs w:val="24"/>
        </w:rPr>
        <w:t>reaction</w:t>
      </w:r>
      <w:r w:rsidR="00517F9E" w:rsidRPr="00C33BA8">
        <w:rPr>
          <w:rFonts w:ascii="Book Antiqua" w:hAnsi="Book Antiqua"/>
          <w:color w:val="000000" w:themeColor="text1"/>
          <w:sz w:val="24"/>
          <w:szCs w:val="24"/>
        </w:rPr>
        <w:t xml:space="preserve"> </w:t>
      </w:r>
      <w:r w:rsidR="00E815E9" w:rsidRPr="00C33BA8">
        <w:rPr>
          <w:rFonts w:ascii="Book Antiqua" w:hAnsi="Book Antiqua"/>
          <w:color w:val="000000" w:themeColor="text1"/>
          <w:sz w:val="24"/>
          <w:szCs w:val="24"/>
        </w:rPr>
        <w:t>with</w:t>
      </w:r>
      <w:r w:rsidR="00517F9E" w:rsidRPr="00C33BA8">
        <w:rPr>
          <w:rFonts w:ascii="Book Antiqua" w:hAnsi="Book Antiqua"/>
          <w:color w:val="000000" w:themeColor="text1"/>
          <w:sz w:val="24"/>
          <w:szCs w:val="24"/>
        </w:rPr>
        <w:t xml:space="preserve"> </w:t>
      </w:r>
      <w:bookmarkStart w:id="143" w:name="OLE_LINK73"/>
      <w:r w:rsidRPr="00C33BA8">
        <w:rPr>
          <w:rFonts w:ascii="Book Antiqua" w:hAnsi="Book Antiqua"/>
          <w:i/>
          <w:color w:val="000000" w:themeColor="text1"/>
          <w:sz w:val="24"/>
          <w:szCs w:val="24"/>
        </w:rPr>
        <w:t xml:space="preserve">Campylobacter jejuni </w:t>
      </w:r>
      <w:r w:rsidRPr="00C33BA8">
        <w:rPr>
          <w:rFonts w:ascii="Book Antiqua" w:hAnsi="Book Antiqua"/>
          <w:color w:val="000000" w:themeColor="text1"/>
          <w:sz w:val="24"/>
          <w:szCs w:val="24"/>
        </w:rPr>
        <w:t>(</w:t>
      </w:r>
      <w:r w:rsidRPr="00C33BA8">
        <w:rPr>
          <w:rFonts w:ascii="Book Antiqua" w:hAnsi="Book Antiqua"/>
          <w:i/>
          <w:color w:val="000000" w:themeColor="text1"/>
          <w:sz w:val="24"/>
          <w:szCs w:val="24"/>
        </w:rPr>
        <w:t>C. jejuni</w:t>
      </w:r>
      <w:r w:rsidRPr="00C33BA8">
        <w:rPr>
          <w:rFonts w:ascii="Book Antiqua" w:hAnsi="Book Antiqua"/>
          <w:color w:val="000000" w:themeColor="text1"/>
          <w:sz w:val="24"/>
          <w:szCs w:val="24"/>
        </w:rPr>
        <w:t>)</w:t>
      </w:r>
      <w:bookmarkEnd w:id="143"/>
      <w:r w:rsidR="00E815E9" w:rsidRPr="00C33BA8">
        <w:rPr>
          <w:rFonts w:ascii="Book Antiqua" w:hAnsi="Book Antiqua"/>
          <w:i/>
          <w:color w:val="000000" w:themeColor="text1"/>
          <w:sz w:val="24"/>
          <w:szCs w:val="24"/>
        </w:rPr>
        <w:t xml:space="preserve"> </w:t>
      </w:r>
      <w:r w:rsidR="00E815E9" w:rsidRPr="00C33BA8">
        <w:rPr>
          <w:rFonts w:ascii="Book Antiqua" w:hAnsi="Book Antiqua"/>
          <w:color w:val="000000" w:themeColor="text1"/>
          <w:sz w:val="24"/>
          <w:szCs w:val="24"/>
        </w:rPr>
        <w:t>cytolethal distending toxin</w:t>
      </w:r>
      <w:r w:rsidRPr="00C33BA8">
        <w:rPr>
          <w:rFonts w:ascii="Book Antiqua" w:hAnsi="Book Antiqua"/>
          <w:color w:val="000000" w:themeColor="text1"/>
          <w:sz w:val="24"/>
          <w:szCs w:val="24"/>
        </w:rPr>
        <w:t xml:space="preserve"> (Cdt)</w:t>
      </w:r>
      <w:r w:rsidR="00E815E9" w:rsidRPr="00C33BA8">
        <w:rPr>
          <w:rFonts w:ascii="Book Antiqua" w:hAnsi="Book Antiqua"/>
          <w:color w:val="000000" w:themeColor="text1"/>
          <w:sz w:val="24"/>
          <w:szCs w:val="24"/>
        </w:rPr>
        <w:t xml:space="preserve"> as positive control and </w:t>
      </w:r>
      <w:r w:rsidRPr="00C33BA8">
        <w:rPr>
          <w:rFonts w:ascii="Book Antiqua" w:hAnsi="Book Antiqua"/>
          <w:color w:val="000000" w:themeColor="text1"/>
          <w:sz w:val="24"/>
          <w:szCs w:val="24"/>
        </w:rPr>
        <w:t>human serum albumin (</w:t>
      </w:r>
      <w:r w:rsidR="00E815E9" w:rsidRPr="00C33BA8">
        <w:rPr>
          <w:rFonts w:ascii="Book Antiqua" w:hAnsi="Book Antiqua"/>
          <w:color w:val="000000" w:themeColor="text1"/>
          <w:sz w:val="24"/>
          <w:szCs w:val="24"/>
        </w:rPr>
        <w:t>HSA</w:t>
      </w:r>
      <w:r w:rsidRPr="00C33BA8">
        <w:rPr>
          <w:rFonts w:ascii="Book Antiqua" w:hAnsi="Book Antiqua"/>
          <w:color w:val="000000" w:themeColor="text1"/>
          <w:sz w:val="24"/>
          <w:szCs w:val="24"/>
        </w:rPr>
        <w:t>)</w:t>
      </w:r>
      <w:r w:rsidR="00E815E9" w:rsidRPr="00C33BA8">
        <w:rPr>
          <w:rFonts w:ascii="Book Antiqua" w:hAnsi="Book Antiqua"/>
          <w:color w:val="000000" w:themeColor="text1"/>
          <w:sz w:val="24"/>
          <w:szCs w:val="24"/>
        </w:rPr>
        <w:t xml:space="preserve"> or unimmunized rabbit serum as negative control, the reaction of this antibody with 20 tissue antigens is insignificant, with an additional 5 tissue antigens slightly higher than the mean of the 20 but still insignificant; with </w:t>
      </w:r>
      <w:r w:rsidRPr="00C33BA8">
        <w:rPr>
          <w:rFonts w:ascii="Book Antiqua" w:hAnsi="Book Antiqua"/>
          <w:i/>
          <w:color w:val="000000" w:themeColor="text1"/>
          <w:sz w:val="24"/>
          <w:szCs w:val="24"/>
        </w:rPr>
        <w:t>Escherichia coli</w:t>
      </w:r>
      <w:r w:rsidRPr="00C33BA8">
        <w:rPr>
          <w:rFonts w:ascii="Book Antiqua" w:hAnsi="Book Antiqua"/>
          <w:color w:val="000000" w:themeColor="text1"/>
          <w:sz w:val="24"/>
          <w:szCs w:val="24"/>
        </w:rPr>
        <w:t xml:space="preserve"> (</w:t>
      </w:r>
      <w:r w:rsidR="00E815E9" w:rsidRPr="00C33BA8">
        <w:rPr>
          <w:rFonts w:ascii="Book Antiqua" w:hAnsi="Book Antiqua"/>
          <w:i/>
          <w:color w:val="000000" w:themeColor="text1"/>
          <w:sz w:val="24"/>
          <w:szCs w:val="24"/>
        </w:rPr>
        <w:t>E. coli</w:t>
      </w:r>
      <w:r w:rsidRPr="00C33BA8">
        <w:rPr>
          <w:rFonts w:ascii="Book Antiqua" w:hAnsi="Book Antiqua"/>
          <w:color w:val="000000" w:themeColor="text1"/>
          <w:sz w:val="24"/>
          <w:szCs w:val="24"/>
        </w:rPr>
        <w:t>)</w:t>
      </w:r>
      <w:r w:rsidR="00E815E9" w:rsidRPr="00C33BA8">
        <w:rPr>
          <w:rFonts w:ascii="Book Antiqua" w:hAnsi="Book Antiqua"/>
          <w:i/>
          <w:color w:val="000000" w:themeColor="text1"/>
          <w:sz w:val="24"/>
          <w:szCs w:val="24"/>
        </w:rPr>
        <w:t xml:space="preserve"> </w:t>
      </w:r>
      <w:r w:rsidRPr="00C33BA8">
        <w:rPr>
          <w:rFonts w:ascii="Book Antiqua" w:hAnsi="Book Antiqua"/>
          <w:color w:val="000000" w:themeColor="text1"/>
          <w:sz w:val="24"/>
          <w:szCs w:val="24"/>
        </w:rPr>
        <w:t>lipopolysaccharide (</w:t>
      </w:r>
      <w:r w:rsidR="00E815E9" w:rsidRPr="00C33BA8">
        <w:rPr>
          <w:rFonts w:ascii="Book Antiqua" w:hAnsi="Book Antiqua"/>
          <w:color w:val="000000" w:themeColor="text1"/>
          <w:sz w:val="24"/>
          <w:szCs w:val="24"/>
        </w:rPr>
        <w:t>LPS</w:t>
      </w:r>
      <w:r w:rsidRPr="00C33BA8">
        <w:rPr>
          <w:rFonts w:ascii="Book Antiqua" w:hAnsi="Book Antiqua"/>
          <w:color w:val="000000" w:themeColor="text1"/>
          <w:sz w:val="24"/>
          <w:szCs w:val="24"/>
        </w:rPr>
        <w:t>)</w:t>
      </w:r>
      <w:r w:rsidR="00E815E9" w:rsidRPr="00C33BA8">
        <w:rPr>
          <w:rFonts w:ascii="Book Antiqua" w:hAnsi="Book Antiqua"/>
          <w:color w:val="000000" w:themeColor="text1"/>
          <w:sz w:val="24"/>
          <w:szCs w:val="24"/>
        </w:rPr>
        <w:t xml:space="preserve">, </w:t>
      </w:r>
      <w:r w:rsidR="00B86781" w:rsidRPr="00C33BA8">
        <w:rPr>
          <w:rFonts w:ascii="Book Antiqua" w:hAnsi="Book Antiqua"/>
          <w:color w:val="000000" w:themeColor="text1"/>
          <w:sz w:val="24"/>
          <w:szCs w:val="24"/>
        </w:rPr>
        <w:t>α</w:t>
      </w:r>
      <w:r w:rsidR="00E815E9" w:rsidRPr="00C33BA8">
        <w:rPr>
          <w:rFonts w:ascii="Book Antiqua" w:hAnsi="Book Antiqua"/>
          <w:color w:val="000000" w:themeColor="text1"/>
          <w:sz w:val="24"/>
          <w:szCs w:val="24"/>
        </w:rPr>
        <w:t xml:space="preserve">-myosin, claudin-5 and 8 different neuronal or </w:t>
      </w:r>
      <w:r w:rsidR="00E815E9" w:rsidRPr="00C33BA8">
        <w:rPr>
          <w:rFonts w:ascii="Book Antiqua" w:hAnsi="Book Antiqua"/>
          <w:color w:val="000000" w:themeColor="text1"/>
          <w:position w:val="2"/>
          <w:sz w:val="24"/>
          <w:szCs w:val="24"/>
        </w:rPr>
        <w:t xml:space="preserve">associated antigens (enteric nerve, S100B, AQP4, </w:t>
      </w:r>
      <w:r w:rsidRPr="00C33BA8">
        <w:rPr>
          <w:rFonts w:ascii="Book Antiqua" w:hAnsi="Book Antiqua"/>
          <w:color w:val="000000" w:themeColor="text1"/>
          <w:sz w:val="24"/>
          <w:szCs w:val="24"/>
        </w:rPr>
        <w:t>myelin basic protein</w:t>
      </w:r>
      <w:r w:rsidR="00E815E9" w:rsidRPr="00C33BA8">
        <w:rPr>
          <w:rFonts w:ascii="Book Antiqua" w:hAnsi="Book Antiqua"/>
          <w:color w:val="000000" w:themeColor="text1"/>
          <w:position w:val="2"/>
          <w:sz w:val="24"/>
          <w:szCs w:val="24"/>
        </w:rPr>
        <w:t>, asialoganglioside GM</w:t>
      </w:r>
      <w:r w:rsidR="00E815E9" w:rsidRPr="00C33BA8">
        <w:rPr>
          <w:rFonts w:ascii="Book Antiqua" w:hAnsi="Book Antiqua"/>
          <w:color w:val="000000" w:themeColor="text1"/>
          <w:position w:val="2"/>
          <w:sz w:val="24"/>
          <w:szCs w:val="24"/>
          <w:vertAlign w:val="subscript"/>
        </w:rPr>
        <w:t>1</w:t>
      </w:r>
      <w:r w:rsidR="00E815E9" w:rsidRPr="00C33BA8">
        <w:rPr>
          <w:rFonts w:ascii="Book Antiqua" w:hAnsi="Book Antiqua"/>
          <w:color w:val="000000" w:themeColor="text1"/>
          <w:position w:val="2"/>
          <w:sz w:val="24"/>
          <w:szCs w:val="24"/>
        </w:rPr>
        <w:t xml:space="preserve">, </w:t>
      </w:r>
      <w:r w:rsidR="00E815E9" w:rsidRPr="00C33BA8">
        <w:rPr>
          <w:rFonts w:ascii="Book Antiqua" w:hAnsi="Book Antiqua"/>
          <w:color w:val="000000" w:themeColor="text1"/>
          <w:sz w:val="24"/>
          <w:szCs w:val="24"/>
        </w:rPr>
        <w:t xml:space="preserve">presenelin and </w:t>
      </w:r>
      <w:r w:rsidRPr="00C33BA8">
        <w:rPr>
          <w:rFonts w:ascii="Book Antiqua" w:hAnsi="Book Antiqua"/>
          <w:color w:val="000000" w:themeColor="text1"/>
          <w:sz w:val="24"/>
          <w:szCs w:val="24"/>
        </w:rPr>
        <w:t>glutamic acid decarboxylase</w:t>
      </w:r>
      <w:r w:rsidR="00E815E9" w:rsidRPr="00C33BA8">
        <w:rPr>
          <w:rFonts w:ascii="Book Antiqua" w:hAnsi="Book Antiqua"/>
          <w:color w:val="000000" w:themeColor="text1"/>
          <w:sz w:val="24"/>
          <w:szCs w:val="24"/>
        </w:rPr>
        <w:t xml:space="preserve">-65) is low, with adherent junction, </w:t>
      </w:r>
      <w:r w:rsidRPr="00C33BA8">
        <w:rPr>
          <w:rFonts w:ascii="Book Antiqua" w:hAnsi="Book Antiqua"/>
          <w:color w:val="000000" w:themeColor="text1"/>
          <w:sz w:val="24"/>
          <w:szCs w:val="24"/>
        </w:rPr>
        <w:t>transglutaminase</w:t>
      </w:r>
      <w:r w:rsidR="00E815E9" w:rsidRPr="00C33BA8">
        <w:rPr>
          <w:rFonts w:ascii="Book Antiqua" w:hAnsi="Book Antiqua"/>
          <w:color w:val="000000" w:themeColor="text1"/>
          <w:sz w:val="24"/>
          <w:szCs w:val="24"/>
        </w:rPr>
        <w:t xml:space="preserve">-2, </w:t>
      </w:r>
      <w:r w:rsidRPr="00C33BA8">
        <w:rPr>
          <w:rFonts w:ascii="Book Antiqua" w:hAnsi="Book Antiqua"/>
          <w:color w:val="000000" w:themeColor="text1"/>
          <w:sz w:val="24"/>
          <w:szCs w:val="24"/>
        </w:rPr>
        <w:t>microbial transglutaminase</w:t>
      </w:r>
      <w:r w:rsidR="00E815E9" w:rsidRPr="00C33BA8">
        <w:rPr>
          <w:rFonts w:ascii="Book Antiqua" w:hAnsi="Book Antiqua"/>
          <w:color w:val="000000" w:themeColor="text1"/>
          <w:sz w:val="24"/>
          <w:szCs w:val="24"/>
        </w:rPr>
        <w:t xml:space="preserve">, </w:t>
      </w:r>
      <w:r w:rsidRPr="00C33BA8">
        <w:rPr>
          <w:rFonts w:ascii="Book Antiqua" w:hAnsi="Book Antiqua"/>
          <w:color w:val="000000" w:themeColor="text1"/>
          <w:sz w:val="24"/>
          <w:szCs w:val="24"/>
        </w:rPr>
        <w:t>thyroid peroxidase</w:t>
      </w:r>
      <w:r w:rsidR="00E815E9" w:rsidRPr="00C33BA8">
        <w:rPr>
          <w:rFonts w:ascii="Book Antiqua" w:hAnsi="Book Antiqua"/>
          <w:color w:val="000000" w:themeColor="text1"/>
          <w:sz w:val="24"/>
          <w:szCs w:val="24"/>
        </w:rPr>
        <w:t>, islet cell,</w:t>
      </w:r>
      <w:r w:rsidR="00E815E9" w:rsidRPr="00C33BA8">
        <w:rPr>
          <w:rFonts w:ascii="Book Antiqua" w:hAnsi="Book Antiqua"/>
          <w:color w:val="000000" w:themeColor="text1"/>
          <w:spacing w:val="-6"/>
          <w:sz w:val="24"/>
          <w:szCs w:val="24"/>
        </w:rPr>
        <w:t xml:space="preserve"> </w:t>
      </w:r>
      <w:r w:rsidR="00E815E9" w:rsidRPr="00C33BA8">
        <w:rPr>
          <w:rFonts w:ascii="Book Antiqua" w:hAnsi="Book Antiqua"/>
          <w:color w:val="000000" w:themeColor="text1"/>
          <w:sz w:val="24"/>
          <w:szCs w:val="24"/>
        </w:rPr>
        <w:t xml:space="preserve">a-enolase, </w:t>
      </w:r>
      <w:r w:rsidRPr="00C33BA8">
        <w:rPr>
          <w:rFonts w:ascii="Book Antiqua" w:hAnsi="Book Antiqua"/>
          <w:color w:val="000000" w:themeColor="text1"/>
          <w:sz w:val="24"/>
          <w:szCs w:val="24"/>
        </w:rPr>
        <w:t>glial fibrillary acidic protein</w:t>
      </w:r>
      <w:r w:rsidR="00E815E9" w:rsidRPr="00C33BA8">
        <w:rPr>
          <w:rFonts w:ascii="Book Antiqua" w:hAnsi="Book Antiqua"/>
          <w:color w:val="000000" w:themeColor="text1"/>
          <w:sz w:val="24"/>
          <w:szCs w:val="24"/>
        </w:rPr>
        <w:t xml:space="preserve">, dopamine-R1, and platelet glycoprotein is moderate, with somatotropin, intrinsic factor and zonulin is high, and with </w:t>
      </w:r>
      <w:r w:rsidR="00E815E9" w:rsidRPr="00C33BA8">
        <w:rPr>
          <w:rFonts w:ascii="Book Antiqua" w:hAnsi="Book Antiqua"/>
          <w:i/>
          <w:color w:val="000000" w:themeColor="text1"/>
          <w:sz w:val="24"/>
          <w:szCs w:val="24"/>
        </w:rPr>
        <w:t xml:space="preserve">E. coli </w:t>
      </w:r>
      <w:r w:rsidR="00E815E9" w:rsidRPr="00C33BA8">
        <w:rPr>
          <w:rFonts w:ascii="Book Antiqua" w:hAnsi="Book Antiqua"/>
          <w:color w:val="000000" w:themeColor="text1"/>
          <w:sz w:val="24"/>
          <w:szCs w:val="24"/>
        </w:rPr>
        <w:t>Cdt is very highly positive. The variation of quadruplicate ODs was less than 10% for all determinations. Comparison of the means of the antibody reactivity to various food antigens with the means of controls resulted in insignificant values (</w:t>
      </w:r>
      <w:r w:rsidRPr="00C33BA8">
        <w:rPr>
          <w:rFonts w:ascii="Book Antiqua" w:hAnsi="Book Antiqua"/>
          <w:i/>
          <w:color w:val="000000" w:themeColor="text1"/>
          <w:sz w:val="24"/>
          <w:szCs w:val="24"/>
        </w:rPr>
        <w:t>P</w:t>
      </w:r>
      <w:r w:rsidR="00E815E9" w:rsidRPr="00C33BA8">
        <w:rPr>
          <w:rFonts w:ascii="Book Antiqua" w:hAnsi="Book Antiqua"/>
          <w:i/>
          <w:color w:val="000000" w:themeColor="text1"/>
          <w:sz w:val="24"/>
          <w:szCs w:val="24"/>
        </w:rPr>
        <w:t xml:space="preserve"> </w:t>
      </w:r>
      <w:r w:rsidR="00E815E9" w:rsidRPr="00C33BA8">
        <w:rPr>
          <w:rFonts w:ascii="Book Antiqua" w:hAnsi="Book Antiqua"/>
          <w:color w:val="000000" w:themeColor="text1"/>
          <w:sz w:val="24"/>
          <w:szCs w:val="24"/>
        </w:rPr>
        <w:t xml:space="preserve">&gt; 0.05) for 25 different tissue antigens </w:t>
      </w:r>
      <w:r w:rsidR="00E815E9" w:rsidRPr="00C33BA8">
        <w:rPr>
          <w:rFonts w:ascii="Book Antiqua" w:hAnsi="Book Antiqua"/>
          <w:color w:val="000000" w:themeColor="text1"/>
          <w:sz w:val="24"/>
          <w:szCs w:val="24"/>
        </w:rPr>
        <w:lastRenderedPageBreak/>
        <w:t xml:space="preserve">and highly significant </w:t>
      </w:r>
      <w:r w:rsidRPr="00C33BA8">
        <w:rPr>
          <w:rFonts w:ascii="Book Antiqua" w:hAnsi="Book Antiqua"/>
          <w:i/>
          <w:color w:val="000000" w:themeColor="text1"/>
          <w:sz w:val="24"/>
          <w:szCs w:val="24"/>
        </w:rPr>
        <w:t>P</w:t>
      </w:r>
      <w:r w:rsidR="00E815E9" w:rsidRPr="00C33BA8">
        <w:rPr>
          <w:rFonts w:ascii="Book Antiqua" w:hAnsi="Book Antiqua"/>
          <w:i/>
          <w:color w:val="000000" w:themeColor="text1"/>
          <w:sz w:val="24"/>
          <w:szCs w:val="24"/>
        </w:rPr>
        <w:t xml:space="preserve"> </w:t>
      </w:r>
      <w:r w:rsidR="00E815E9" w:rsidRPr="00C33BA8">
        <w:rPr>
          <w:rFonts w:ascii="Book Antiqua" w:hAnsi="Book Antiqua"/>
          <w:color w:val="000000" w:themeColor="text1"/>
          <w:sz w:val="24"/>
          <w:szCs w:val="24"/>
        </w:rPr>
        <w:t>values (</w:t>
      </w:r>
      <w:r w:rsidRPr="00C33BA8">
        <w:rPr>
          <w:rFonts w:ascii="Book Antiqua" w:hAnsi="Book Antiqua"/>
          <w:i/>
          <w:color w:val="000000" w:themeColor="text1"/>
          <w:sz w:val="24"/>
          <w:szCs w:val="24"/>
        </w:rPr>
        <w:t>P</w:t>
      </w:r>
      <w:r w:rsidR="00E815E9" w:rsidRPr="00C33BA8">
        <w:rPr>
          <w:rFonts w:ascii="Book Antiqua" w:hAnsi="Book Antiqua"/>
          <w:i/>
          <w:color w:val="000000" w:themeColor="text1"/>
          <w:sz w:val="24"/>
          <w:szCs w:val="24"/>
        </w:rPr>
        <w:t xml:space="preserve"> </w:t>
      </w:r>
      <w:r w:rsidR="00E815E9" w:rsidRPr="00C33BA8">
        <w:rPr>
          <w:rFonts w:ascii="Book Antiqua" w:hAnsi="Book Antiqua"/>
          <w:color w:val="000000" w:themeColor="text1"/>
          <w:sz w:val="24"/>
          <w:szCs w:val="24"/>
        </w:rPr>
        <w:t>&lt; 0.00001) for the other antigens.</w:t>
      </w:r>
      <w:r w:rsidRPr="00C33BA8">
        <w:rPr>
          <w:rFonts w:ascii="Book Antiqua" w:hAnsi="Book Antiqua"/>
          <w:color w:val="000000" w:themeColor="text1"/>
          <w:sz w:val="24"/>
          <w:szCs w:val="24"/>
        </w:rPr>
        <w:t xml:space="preserve"> </w:t>
      </w:r>
      <w:r w:rsidR="00E815E9" w:rsidRPr="00C33BA8">
        <w:rPr>
          <w:rFonts w:ascii="Book Antiqua" w:hAnsi="Book Antiqua"/>
          <w:i/>
          <w:color w:val="000000" w:themeColor="text1"/>
          <w:sz w:val="24"/>
          <w:szCs w:val="24"/>
        </w:rPr>
        <w:t>E. col</w:t>
      </w:r>
      <w:r w:rsidRPr="00C33BA8">
        <w:rPr>
          <w:rFonts w:ascii="Book Antiqua" w:hAnsi="Book Antiqua"/>
          <w:color w:val="000000" w:themeColor="text1"/>
          <w:sz w:val="24"/>
          <w:szCs w:val="24"/>
        </w:rPr>
        <w:t>i:</w:t>
      </w:r>
      <w:r w:rsidR="00E815E9" w:rsidRPr="00C33BA8">
        <w:rPr>
          <w:rFonts w:ascii="Book Antiqua" w:hAnsi="Book Antiqua"/>
          <w:color w:val="000000" w:themeColor="text1"/>
          <w:sz w:val="24"/>
          <w:szCs w:val="24"/>
        </w:rPr>
        <w:t xml:space="preserve"> </w:t>
      </w:r>
      <w:r w:rsidR="00E815E9" w:rsidRPr="00C33BA8">
        <w:rPr>
          <w:rFonts w:ascii="Book Antiqua" w:hAnsi="Book Antiqua"/>
          <w:i/>
          <w:color w:val="000000" w:themeColor="text1"/>
          <w:sz w:val="24"/>
          <w:szCs w:val="24"/>
        </w:rPr>
        <w:t>Escherichia coli</w:t>
      </w:r>
      <w:r w:rsidR="00E815E9" w:rsidRPr="00C33BA8">
        <w:rPr>
          <w:rFonts w:ascii="Book Antiqua" w:hAnsi="Book Antiqua"/>
          <w:color w:val="000000" w:themeColor="text1"/>
          <w:sz w:val="24"/>
          <w:szCs w:val="24"/>
        </w:rPr>
        <w:t xml:space="preserve">; </w:t>
      </w:r>
      <w:r w:rsidRPr="00C33BA8">
        <w:rPr>
          <w:rFonts w:ascii="Book Antiqua" w:hAnsi="Book Antiqua"/>
          <w:color w:val="000000" w:themeColor="text1"/>
          <w:sz w:val="24"/>
          <w:szCs w:val="24"/>
        </w:rPr>
        <w:t>Cdt: C</w:t>
      </w:r>
      <w:r w:rsidR="00E815E9" w:rsidRPr="00C33BA8">
        <w:rPr>
          <w:rFonts w:ascii="Book Antiqua" w:hAnsi="Book Antiqua"/>
          <w:color w:val="000000" w:themeColor="text1"/>
          <w:sz w:val="24"/>
          <w:szCs w:val="24"/>
        </w:rPr>
        <w:t>ytolethal distending</w:t>
      </w:r>
      <w:r w:rsidRPr="00C33BA8">
        <w:rPr>
          <w:rFonts w:ascii="Book Antiqua" w:hAnsi="Book Antiqua"/>
          <w:color w:val="000000" w:themeColor="text1"/>
          <w:sz w:val="24"/>
          <w:szCs w:val="24"/>
        </w:rPr>
        <w:t xml:space="preserve"> toxin; LPS:</w:t>
      </w:r>
      <w:r w:rsidR="00E815E9" w:rsidRPr="00C33BA8">
        <w:rPr>
          <w:rFonts w:ascii="Book Antiqua" w:hAnsi="Book Antiqua"/>
          <w:color w:val="000000" w:themeColor="text1"/>
          <w:sz w:val="24"/>
          <w:szCs w:val="24"/>
        </w:rPr>
        <w:t xml:space="preserve"> </w:t>
      </w:r>
      <w:bookmarkStart w:id="144" w:name="OLE_LINK71"/>
      <w:r w:rsidRPr="00C33BA8">
        <w:rPr>
          <w:rFonts w:ascii="Book Antiqua" w:hAnsi="Book Antiqua"/>
          <w:color w:val="000000" w:themeColor="text1"/>
          <w:sz w:val="24"/>
          <w:szCs w:val="24"/>
        </w:rPr>
        <w:t>L</w:t>
      </w:r>
      <w:r w:rsidR="00E815E9" w:rsidRPr="00C33BA8">
        <w:rPr>
          <w:rFonts w:ascii="Book Antiqua" w:hAnsi="Book Antiqua"/>
          <w:color w:val="000000" w:themeColor="text1"/>
          <w:sz w:val="24"/>
          <w:szCs w:val="24"/>
        </w:rPr>
        <w:t>ipopolysaccharide</w:t>
      </w:r>
      <w:bookmarkEnd w:id="144"/>
      <w:r w:rsidR="00E815E9" w:rsidRPr="00C33BA8">
        <w:rPr>
          <w:rFonts w:ascii="Book Antiqua" w:hAnsi="Book Antiqua"/>
          <w:color w:val="000000" w:themeColor="text1"/>
          <w:sz w:val="24"/>
          <w:szCs w:val="24"/>
        </w:rPr>
        <w:t>; tTG</w:t>
      </w:r>
      <w:r w:rsidRPr="00C33BA8">
        <w:rPr>
          <w:rFonts w:ascii="Book Antiqua" w:hAnsi="Book Antiqua"/>
          <w:color w:val="000000" w:themeColor="text1"/>
          <w:sz w:val="24"/>
          <w:szCs w:val="24"/>
        </w:rPr>
        <w:t>: Transglutaminase; mTG: M</w:t>
      </w:r>
      <w:r w:rsidR="00E815E9" w:rsidRPr="00C33BA8">
        <w:rPr>
          <w:rFonts w:ascii="Book Antiqua" w:hAnsi="Book Antiqua"/>
          <w:color w:val="000000" w:themeColor="text1"/>
          <w:sz w:val="24"/>
          <w:szCs w:val="24"/>
        </w:rPr>
        <w:t>ic</w:t>
      </w:r>
      <w:r w:rsidRPr="00C33BA8">
        <w:rPr>
          <w:rFonts w:ascii="Book Antiqua" w:hAnsi="Book Antiqua"/>
          <w:color w:val="000000" w:themeColor="text1"/>
          <w:sz w:val="24"/>
          <w:szCs w:val="24"/>
        </w:rPr>
        <w:t>robial transglutaminase; DPPIV: Dipeptidyl peptidase-4; TPO:</w:t>
      </w:r>
      <w:r w:rsidR="00E815E9" w:rsidRPr="00C33BA8">
        <w:rPr>
          <w:rFonts w:ascii="Book Antiqua" w:hAnsi="Book Antiqua"/>
          <w:color w:val="000000" w:themeColor="text1"/>
          <w:sz w:val="24"/>
          <w:szCs w:val="24"/>
        </w:rPr>
        <w:t xml:space="preserve"> </w:t>
      </w:r>
      <w:bookmarkStart w:id="145" w:name="OLE_LINK54"/>
      <w:bookmarkStart w:id="146" w:name="OLE_LINK55"/>
      <w:r w:rsidRPr="00C33BA8">
        <w:rPr>
          <w:rFonts w:ascii="Book Antiqua" w:hAnsi="Book Antiqua"/>
          <w:color w:val="000000" w:themeColor="text1"/>
          <w:sz w:val="24"/>
          <w:szCs w:val="24"/>
        </w:rPr>
        <w:t>T</w:t>
      </w:r>
      <w:r w:rsidR="00E815E9" w:rsidRPr="00C33BA8">
        <w:rPr>
          <w:rFonts w:ascii="Book Antiqua" w:hAnsi="Book Antiqua"/>
          <w:color w:val="000000" w:themeColor="text1"/>
          <w:sz w:val="24"/>
          <w:szCs w:val="24"/>
        </w:rPr>
        <w:t>hyroid peroxidase</w:t>
      </w:r>
      <w:bookmarkEnd w:id="145"/>
      <w:bookmarkEnd w:id="146"/>
      <w:r w:rsidRPr="00C33BA8">
        <w:rPr>
          <w:rFonts w:ascii="Book Antiqua" w:hAnsi="Book Antiqua"/>
          <w:color w:val="000000" w:themeColor="text1"/>
          <w:sz w:val="24"/>
          <w:szCs w:val="24"/>
        </w:rPr>
        <w:t>; GAD-65: G</w:t>
      </w:r>
      <w:r w:rsidR="00E815E9" w:rsidRPr="00C33BA8">
        <w:rPr>
          <w:rFonts w:ascii="Book Antiqua" w:hAnsi="Book Antiqua"/>
          <w:color w:val="000000" w:themeColor="text1"/>
          <w:sz w:val="24"/>
          <w:szCs w:val="24"/>
        </w:rPr>
        <w:t>lutam</w:t>
      </w:r>
      <w:r w:rsidRPr="00C33BA8">
        <w:rPr>
          <w:rFonts w:ascii="Book Antiqua" w:hAnsi="Book Antiqua"/>
          <w:color w:val="000000" w:themeColor="text1"/>
          <w:sz w:val="24"/>
          <w:szCs w:val="24"/>
        </w:rPr>
        <w:t>ic acid decarboxylase-65; GFAP:</w:t>
      </w:r>
      <w:r w:rsidR="00E815E9" w:rsidRPr="00C33BA8">
        <w:rPr>
          <w:rFonts w:ascii="Book Antiqua" w:hAnsi="Book Antiqua"/>
          <w:color w:val="000000" w:themeColor="text1"/>
          <w:sz w:val="24"/>
          <w:szCs w:val="24"/>
        </w:rPr>
        <w:t xml:space="preserve"> </w:t>
      </w:r>
      <w:bookmarkStart w:id="147" w:name="OLE_LINK56"/>
      <w:bookmarkStart w:id="148" w:name="OLE_LINK57"/>
      <w:r w:rsidRPr="00C33BA8">
        <w:rPr>
          <w:rFonts w:ascii="Book Antiqua" w:hAnsi="Book Antiqua"/>
          <w:color w:val="000000" w:themeColor="text1"/>
          <w:sz w:val="24"/>
          <w:szCs w:val="24"/>
        </w:rPr>
        <w:t>G</w:t>
      </w:r>
      <w:r w:rsidR="00E815E9" w:rsidRPr="00C33BA8">
        <w:rPr>
          <w:rFonts w:ascii="Book Antiqua" w:hAnsi="Book Antiqua"/>
          <w:color w:val="000000" w:themeColor="text1"/>
          <w:sz w:val="24"/>
          <w:szCs w:val="24"/>
        </w:rPr>
        <w:t>lial fibrillary acidic protein</w:t>
      </w:r>
      <w:bookmarkEnd w:id="147"/>
      <w:bookmarkEnd w:id="148"/>
      <w:r w:rsidRPr="00C33BA8">
        <w:rPr>
          <w:rFonts w:ascii="Book Antiqua" w:hAnsi="Book Antiqua"/>
          <w:color w:val="000000" w:themeColor="text1"/>
          <w:sz w:val="24"/>
          <w:szCs w:val="24"/>
        </w:rPr>
        <w:t>; H. AQP4: H</w:t>
      </w:r>
      <w:r w:rsidR="00E815E9" w:rsidRPr="00C33BA8">
        <w:rPr>
          <w:rFonts w:ascii="Book Antiqua" w:hAnsi="Book Antiqua"/>
          <w:color w:val="000000" w:themeColor="text1"/>
          <w:sz w:val="24"/>
          <w:szCs w:val="24"/>
        </w:rPr>
        <w:t>uman aquapori</w:t>
      </w:r>
      <w:r w:rsidRPr="00C33BA8">
        <w:rPr>
          <w:rFonts w:ascii="Book Antiqua" w:hAnsi="Book Antiqua"/>
          <w:color w:val="000000" w:themeColor="text1"/>
          <w:sz w:val="24"/>
          <w:szCs w:val="24"/>
        </w:rPr>
        <w:t>n-4; MBP: M</w:t>
      </w:r>
      <w:r w:rsidR="00E815E9" w:rsidRPr="00C33BA8">
        <w:rPr>
          <w:rFonts w:ascii="Book Antiqua" w:hAnsi="Book Antiqua"/>
          <w:color w:val="000000" w:themeColor="text1"/>
          <w:sz w:val="24"/>
          <w:szCs w:val="24"/>
        </w:rPr>
        <w:t>ye</w:t>
      </w:r>
      <w:r w:rsidRPr="00C33BA8">
        <w:rPr>
          <w:rFonts w:ascii="Book Antiqua" w:hAnsi="Book Antiqua"/>
          <w:color w:val="000000" w:themeColor="text1"/>
          <w:sz w:val="24"/>
          <w:szCs w:val="24"/>
        </w:rPr>
        <w:t>lin basic protein; Glutamate-R:</w:t>
      </w:r>
      <w:r w:rsidR="00E815E9" w:rsidRPr="00C33BA8">
        <w:rPr>
          <w:rFonts w:ascii="Book Antiqua" w:hAnsi="Book Antiqua"/>
          <w:color w:val="000000" w:themeColor="text1"/>
          <w:sz w:val="24"/>
          <w:szCs w:val="24"/>
        </w:rPr>
        <w:t xml:space="preserve"> </w:t>
      </w:r>
      <w:bookmarkStart w:id="149" w:name="OLE_LINK72"/>
      <w:r w:rsidRPr="00C33BA8">
        <w:rPr>
          <w:rFonts w:ascii="Book Antiqua" w:hAnsi="Book Antiqua"/>
          <w:color w:val="000000" w:themeColor="text1"/>
          <w:sz w:val="24"/>
          <w:szCs w:val="24"/>
        </w:rPr>
        <w:t>G</w:t>
      </w:r>
      <w:r w:rsidR="00E815E9" w:rsidRPr="00C33BA8">
        <w:rPr>
          <w:rFonts w:ascii="Book Antiqua" w:hAnsi="Book Antiqua"/>
          <w:color w:val="000000" w:themeColor="text1"/>
          <w:sz w:val="24"/>
          <w:szCs w:val="24"/>
        </w:rPr>
        <w:t>lutamate receptor</w:t>
      </w:r>
      <w:bookmarkEnd w:id="149"/>
      <w:r w:rsidRPr="00C33BA8">
        <w:rPr>
          <w:rFonts w:ascii="Book Antiqua" w:hAnsi="Book Antiqua"/>
          <w:color w:val="000000" w:themeColor="text1"/>
          <w:sz w:val="24"/>
          <w:szCs w:val="24"/>
        </w:rPr>
        <w:t>; HSA: H</w:t>
      </w:r>
      <w:r w:rsidR="00E815E9" w:rsidRPr="00C33BA8">
        <w:rPr>
          <w:rFonts w:ascii="Book Antiqua" w:hAnsi="Book Antiqua"/>
          <w:color w:val="000000" w:themeColor="text1"/>
          <w:sz w:val="24"/>
          <w:szCs w:val="24"/>
        </w:rPr>
        <w:t>uman serum albumin</w:t>
      </w:r>
      <w:r w:rsidRPr="00C33BA8">
        <w:rPr>
          <w:rFonts w:ascii="Book Antiqua" w:hAnsi="Book Antiqua"/>
          <w:color w:val="000000" w:themeColor="text1"/>
          <w:sz w:val="24"/>
          <w:szCs w:val="24"/>
        </w:rPr>
        <w:t>.</w:t>
      </w:r>
    </w:p>
    <w:p w14:paraId="4B6147FE" w14:textId="01A36D93" w:rsidR="00C70540" w:rsidRPr="00C33BA8" w:rsidRDefault="00C70540">
      <w:pPr>
        <w:rPr>
          <w:rFonts w:ascii="Book Antiqua" w:hAnsi="Book Antiqua"/>
          <w:color w:val="000000" w:themeColor="text1"/>
          <w:sz w:val="24"/>
          <w:szCs w:val="24"/>
        </w:rPr>
      </w:pPr>
      <w:r w:rsidRPr="00C33BA8">
        <w:rPr>
          <w:rFonts w:ascii="Book Antiqua" w:hAnsi="Book Antiqua"/>
          <w:color w:val="000000" w:themeColor="text1"/>
          <w:sz w:val="24"/>
          <w:szCs w:val="24"/>
        </w:rPr>
        <w:br w:type="page"/>
      </w:r>
    </w:p>
    <w:p w14:paraId="3DDB7E86" w14:textId="393D9176" w:rsidR="00920C46" w:rsidRPr="00C33BA8" w:rsidRDefault="00E815E9" w:rsidP="00E642A8">
      <w:pPr>
        <w:pStyle w:val="BodyText"/>
        <w:adjustRightInd w:val="0"/>
        <w:snapToGrid w:val="0"/>
        <w:spacing w:line="360" w:lineRule="auto"/>
        <w:ind w:left="0"/>
        <w:jc w:val="both"/>
        <w:rPr>
          <w:rFonts w:ascii="Book Antiqua" w:hAnsi="Book Antiqua"/>
          <w:color w:val="000000" w:themeColor="text1"/>
        </w:rPr>
      </w:pPr>
      <w:r w:rsidRPr="00C33BA8">
        <w:rPr>
          <w:rFonts w:ascii="Book Antiqua" w:hAnsi="Book Antiqua"/>
          <w:noProof/>
          <w:color w:val="000000" w:themeColor="text1"/>
          <w:lang w:eastAsia="zh-CN"/>
        </w:rPr>
        <w:lastRenderedPageBreak/>
        <w:drawing>
          <wp:anchor distT="0" distB="0" distL="0" distR="0" simplePos="0" relativeHeight="1664" behindDoc="0" locked="0" layoutInCell="1" allowOverlap="1" wp14:anchorId="46018288" wp14:editId="42F96729">
            <wp:simplePos x="0" y="0"/>
            <wp:positionH relativeFrom="page">
              <wp:posOffset>914019</wp:posOffset>
            </wp:positionH>
            <wp:positionV relativeFrom="paragraph">
              <wp:posOffset>127777</wp:posOffset>
            </wp:positionV>
            <wp:extent cx="5884837" cy="3992879"/>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5884837" cy="3992879"/>
                    </a:xfrm>
                    <a:prstGeom prst="rect">
                      <a:avLst/>
                    </a:prstGeom>
                  </pic:spPr>
                </pic:pic>
              </a:graphicData>
            </a:graphic>
          </wp:anchor>
        </w:drawing>
      </w:r>
      <w:r w:rsidR="00426CD5" w:rsidRPr="00C33BA8">
        <w:rPr>
          <w:rFonts w:ascii="Book Antiqua" w:hAnsi="Book Antiqua"/>
          <w:b/>
          <w:color w:val="000000" w:themeColor="text1"/>
        </w:rPr>
        <w:t>Figure 4</w:t>
      </w:r>
      <w:r w:rsidRPr="00C33BA8">
        <w:rPr>
          <w:rFonts w:ascii="Book Antiqua" w:hAnsi="Book Antiqua"/>
          <w:b/>
          <w:color w:val="000000" w:themeColor="text1"/>
        </w:rPr>
        <w:t xml:space="preserve"> Reaction of affinity-purified rabbit anti-</w:t>
      </w:r>
      <w:r w:rsidR="00426CD5" w:rsidRPr="00C33BA8">
        <w:rPr>
          <w:rFonts w:ascii="Book Antiqua" w:hAnsi="Book Antiqua"/>
          <w:b/>
          <w:i/>
          <w:color w:val="000000" w:themeColor="text1"/>
        </w:rPr>
        <w:t>Campylobacter jejuni</w:t>
      </w:r>
      <w:r w:rsidRPr="00C33BA8">
        <w:rPr>
          <w:rFonts w:ascii="Book Antiqua" w:hAnsi="Book Antiqua"/>
          <w:b/>
          <w:i/>
          <w:color w:val="000000" w:themeColor="text1"/>
        </w:rPr>
        <w:t xml:space="preserve"> </w:t>
      </w:r>
      <w:r w:rsidR="00426CD5" w:rsidRPr="00C33BA8">
        <w:rPr>
          <w:rFonts w:ascii="Book Antiqua" w:hAnsi="Book Antiqua"/>
          <w:b/>
          <w:color w:val="000000" w:themeColor="text1"/>
        </w:rPr>
        <w:t xml:space="preserve">cytolethal distending </w:t>
      </w:r>
      <w:r w:rsidRPr="00C33BA8">
        <w:rPr>
          <w:rFonts w:ascii="Book Antiqua" w:hAnsi="Book Antiqua"/>
          <w:b/>
          <w:color w:val="000000" w:themeColor="text1"/>
        </w:rPr>
        <w:t xml:space="preserve">toxin with different food antigens. </w:t>
      </w:r>
      <w:r w:rsidRPr="00C33BA8">
        <w:rPr>
          <w:rFonts w:ascii="Book Antiqua" w:hAnsi="Book Antiqua"/>
          <w:color w:val="000000" w:themeColor="text1"/>
        </w:rPr>
        <w:t xml:space="preserve">Compared to the reaction with </w:t>
      </w:r>
      <w:r w:rsidR="00426CD5" w:rsidRPr="00C33BA8">
        <w:rPr>
          <w:rFonts w:ascii="Book Antiqua" w:hAnsi="Book Antiqua"/>
          <w:i/>
          <w:color w:val="000000" w:themeColor="text1"/>
        </w:rPr>
        <w:t xml:space="preserve">Campylobacter jejuni </w:t>
      </w:r>
      <w:r w:rsidR="00426CD5" w:rsidRPr="00C33BA8">
        <w:rPr>
          <w:rFonts w:ascii="Book Antiqua" w:hAnsi="Book Antiqua"/>
          <w:color w:val="000000" w:themeColor="text1"/>
        </w:rPr>
        <w:t>(</w:t>
      </w:r>
      <w:r w:rsidR="00426CD5" w:rsidRPr="00C33BA8">
        <w:rPr>
          <w:rFonts w:ascii="Book Antiqua" w:hAnsi="Book Antiqua"/>
          <w:i/>
          <w:color w:val="000000" w:themeColor="text1"/>
        </w:rPr>
        <w:t>C. jejuni</w:t>
      </w:r>
      <w:r w:rsidR="00426CD5" w:rsidRPr="00C33BA8">
        <w:rPr>
          <w:rFonts w:ascii="Book Antiqua" w:hAnsi="Book Antiqua"/>
          <w:color w:val="000000" w:themeColor="text1"/>
        </w:rPr>
        <w:t>)</w:t>
      </w:r>
      <w:r w:rsidRPr="00C33BA8">
        <w:rPr>
          <w:rFonts w:ascii="Book Antiqua" w:hAnsi="Book Antiqua"/>
          <w:i/>
          <w:color w:val="000000" w:themeColor="text1"/>
        </w:rPr>
        <w:t xml:space="preserve"> </w:t>
      </w:r>
      <w:r w:rsidRPr="00C33BA8">
        <w:rPr>
          <w:rFonts w:ascii="Book Antiqua" w:hAnsi="Book Antiqua"/>
          <w:color w:val="000000" w:themeColor="text1"/>
        </w:rPr>
        <w:t>antigens as</w:t>
      </w:r>
      <w:r w:rsidR="00517F9E" w:rsidRPr="00C33BA8">
        <w:rPr>
          <w:rFonts w:ascii="Book Antiqua" w:hAnsi="Book Antiqua"/>
          <w:color w:val="000000" w:themeColor="text1"/>
        </w:rPr>
        <w:t xml:space="preserve"> </w:t>
      </w:r>
      <w:r w:rsidRPr="00C33BA8">
        <w:rPr>
          <w:rFonts w:ascii="Book Antiqua" w:hAnsi="Book Antiqua"/>
          <w:color w:val="000000" w:themeColor="text1"/>
        </w:rPr>
        <w:t xml:space="preserve">positive control and HSA or unimmunized rabbit </w:t>
      </w:r>
      <w:r w:rsidR="00426CD5" w:rsidRPr="00C33BA8">
        <w:rPr>
          <w:rFonts w:ascii="Book Antiqua" w:hAnsi="Book Antiqua"/>
          <w:color w:val="000000" w:themeColor="text1"/>
        </w:rPr>
        <w:t xml:space="preserve">serum as negative control, the </w:t>
      </w:r>
      <w:r w:rsidRPr="00C33BA8">
        <w:rPr>
          <w:rFonts w:ascii="Book Antiqua" w:hAnsi="Book Antiqua"/>
          <w:color w:val="000000" w:themeColor="text1"/>
        </w:rPr>
        <w:t>reaction of this antibody with 160 out of 180 food antigens is insignificant, and with 20 additional antigens ranges from low to very high. The variation of quadruplicate ODs was less than 10% for all determinations. Comparison of the means of the antibody reactivity to various food antigens with the means of controls resulted in insignificant values (</w:t>
      </w:r>
      <w:r w:rsidR="00426CD5" w:rsidRPr="00C33BA8">
        <w:rPr>
          <w:rFonts w:ascii="Book Antiqua" w:hAnsi="Book Antiqua"/>
          <w:i/>
          <w:color w:val="000000" w:themeColor="text1"/>
        </w:rPr>
        <w:t>P</w:t>
      </w:r>
      <w:r w:rsidRPr="00C33BA8">
        <w:rPr>
          <w:rFonts w:ascii="Book Antiqua" w:hAnsi="Book Antiqua"/>
          <w:i/>
          <w:color w:val="000000" w:themeColor="text1"/>
        </w:rPr>
        <w:t xml:space="preserve"> </w:t>
      </w:r>
      <w:r w:rsidRPr="00C33BA8">
        <w:rPr>
          <w:rFonts w:ascii="Book Antiqua" w:hAnsi="Book Antiqua"/>
          <w:color w:val="000000" w:themeColor="text1"/>
        </w:rPr>
        <w:t xml:space="preserve">&gt; 0.05) for 160 different food antigens and highly significant </w:t>
      </w:r>
      <w:r w:rsidR="00426CD5" w:rsidRPr="00C33BA8">
        <w:rPr>
          <w:rFonts w:ascii="Book Antiqua" w:hAnsi="Book Antiqua"/>
          <w:i/>
          <w:color w:val="000000" w:themeColor="text1"/>
        </w:rPr>
        <w:t>P</w:t>
      </w:r>
      <w:r w:rsidRPr="00C33BA8">
        <w:rPr>
          <w:rFonts w:ascii="Book Antiqua" w:hAnsi="Book Antiqua"/>
          <w:i/>
          <w:color w:val="000000" w:themeColor="text1"/>
        </w:rPr>
        <w:t xml:space="preserve"> </w:t>
      </w:r>
      <w:r w:rsidRPr="00C33BA8">
        <w:rPr>
          <w:rFonts w:ascii="Book Antiqua" w:hAnsi="Book Antiqua"/>
          <w:color w:val="000000" w:themeColor="text1"/>
        </w:rPr>
        <w:t>values (</w:t>
      </w:r>
      <w:r w:rsidR="00426CD5" w:rsidRPr="00C33BA8">
        <w:rPr>
          <w:rFonts w:ascii="Book Antiqua" w:hAnsi="Book Antiqua"/>
          <w:i/>
          <w:color w:val="000000" w:themeColor="text1"/>
        </w:rPr>
        <w:t xml:space="preserve">P </w:t>
      </w:r>
      <w:r w:rsidRPr="00C33BA8">
        <w:rPr>
          <w:rFonts w:ascii="Book Antiqua" w:hAnsi="Book Antiqua"/>
          <w:color w:val="000000" w:themeColor="text1"/>
        </w:rPr>
        <w:t>&lt; 0.00001) for the other 20 antigens.</w:t>
      </w:r>
      <w:r w:rsidR="00E642A8" w:rsidRPr="00C33BA8">
        <w:rPr>
          <w:rFonts w:ascii="Book Antiqua" w:hAnsi="Book Antiqua"/>
          <w:i/>
          <w:color w:val="000000" w:themeColor="text1"/>
        </w:rPr>
        <w:t xml:space="preserve"> E</w:t>
      </w:r>
      <w:r w:rsidRPr="00C33BA8">
        <w:rPr>
          <w:rFonts w:ascii="Book Antiqua" w:hAnsi="Book Antiqua"/>
          <w:i/>
          <w:color w:val="000000" w:themeColor="text1"/>
        </w:rPr>
        <w:t>.</w:t>
      </w:r>
      <w:r w:rsidRPr="00C33BA8">
        <w:rPr>
          <w:rFonts w:ascii="Book Antiqua" w:hAnsi="Book Antiqua"/>
          <w:i/>
          <w:color w:val="000000" w:themeColor="text1"/>
          <w:spacing w:val="-10"/>
        </w:rPr>
        <w:t xml:space="preserve"> </w:t>
      </w:r>
      <w:r w:rsidRPr="00C33BA8">
        <w:rPr>
          <w:rFonts w:ascii="Book Antiqua" w:hAnsi="Book Antiqua"/>
          <w:i/>
          <w:color w:val="000000" w:themeColor="text1"/>
        </w:rPr>
        <w:t>coli</w:t>
      </w:r>
      <w:r w:rsidR="00E642A8" w:rsidRPr="00C33BA8">
        <w:rPr>
          <w:rFonts w:ascii="Book Antiqua" w:hAnsi="Book Antiqua"/>
          <w:color w:val="000000" w:themeColor="text1"/>
          <w:spacing w:val="-7"/>
        </w:rPr>
        <w:t>:</w:t>
      </w:r>
      <w:r w:rsidRPr="00C33BA8">
        <w:rPr>
          <w:rFonts w:ascii="Book Antiqua" w:hAnsi="Book Antiqua"/>
          <w:color w:val="000000" w:themeColor="text1"/>
          <w:spacing w:val="-7"/>
        </w:rPr>
        <w:t xml:space="preserve"> </w:t>
      </w:r>
      <w:r w:rsidRPr="00C33BA8">
        <w:rPr>
          <w:rFonts w:ascii="Book Antiqua" w:hAnsi="Book Antiqua"/>
          <w:i/>
          <w:color w:val="000000" w:themeColor="text1"/>
        </w:rPr>
        <w:t>Escherichia</w:t>
      </w:r>
      <w:r w:rsidRPr="00C33BA8">
        <w:rPr>
          <w:rFonts w:ascii="Book Antiqua" w:hAnsi="Book Antiqua"/>
          <w:i/>
          <w:color w:val="000000" w:themeColor="text1"/>
          <w:spacing w:val="-10"/>
        </w:rPr>
        <w:t xml:space="preserve"> </w:t>
      </w:r>
      <w:r w:rsidRPr="00C33BA8">
        <w:rPr>
          <w:rFonts w:ascii="Book Antiqua" w:hAnsi="Book Antiqua"/>
          <w:i/>
          <w:color w:val="000000" w:themeColor="text1"/>
        </w:rPr>
        <w:t>coli</w:t>
      </w:r>
      <w:r w:rsidRPr="00C33BA8">
        <w:rPr>
          <w:rFonts w:ascii="Book Antiqua" w:hAnsi="Book Antiqua"/>
          <w:color w:val="000000" w:themeColor="text1"/>
        </w:rPr>
        <w:t>;</w:t>
      </w:r>
      <w:r w:rsidRPr="00C33BA8">
        <w:rPr>
          <w:rFonts w:ascii="Book Antiqua" w:hAnsi="Book Antiqua"/>
          <w:color w:val="000000" w:themeColor="text1"/>
          <w:spacing w:val="-7"/>
        </w:rPr>
        <w:t xml:space="preserve"> </w:t>
      </w:r>
      <w:r w:rsidRPr="00C33BA8">
        <w:rPr>
          <w:rFonts w:ascii="Book Antiqua" w:hAnsi="Book Antiqua"/>
          <w:color w:val="000000" w:themeColor="text1"/>
        </w:rPr>
        <w:t>Cdt</w:t>
      </w:r>
      <w:r w:rsidR="00E642A8" w:rsidRPr="00C33BA8">
        <w:rPr>
          <w:rFonts w:ascii="Book Antiqua" w:hAnsi="Book Antiqua"/>
          <w:color w:val="000000" w:themeColor="text1"/>
          <w:spacing w:val="-7"/>
        </w:rPr>
        <w:t>:</w:t>
      </w:r>
      <w:r w:rsidRPr="00C33BA8">
        <w:rPr>
          <w:rFonts w:ascii="Book Antiqua" w:hAnsi="Book Antiqua"/>
          <w:color w:val="000000" w:themeColor="text1"/>
          <w:spacing w:val="-7"/>
        </w:rPr>
        <w:t xml:space="preserve"> </w:t>
      </w:r>
      <w:r w:rsidR="00E642A8" w:rsidRPr="00C33BA8">
        <w:rPr>
          <w:rFonts w:ascii="Book Antiqua" w:hAnsi="Book Antiqua"/>
          <w:color w:val="000000" w:themeColor="text1"/>
        </w:rPr>
        <w:t>C</w:t>
      </w:r>
      <w:r w:rsidRPr="00C33BA8">
        <w:rPr>
          <w:rFonts w:ascii="Book Antiqua" w:hAnsi="Book Antiqua"/>
          <w:color w:val="000000" w:themeColor="text1"/>
        </w:rPr>
        <w:t>ytolethal</w:t>
      </w:r>
      <w:r w:rsidRPr="00C33BA8">
        <w:rPr>
          <w:rFonts w:ascii="Book Antiqua" w:hAnsi="Book Antiqua"/>
          <w:color w:val="000000" w:themeColor="text1"/>
          <w:spacing w:val="-8"/>
        </w:rPr>
        <w:t xml:space="preserve"> </w:t>
      </w:r>
      <w:r w:rsidRPr="00C33BA8">
        <w:rPr>
          <w:rFonts w:ascii="Book Antiqua" w:hAnsi="Book Antiqua"/>
          <w:color w:val="000000" w:themeColor="text1"/>
        </w:rPr>
        <w:t>distending</w:t>
      </w:r>
      <w:r w:rsidRPr="00C33BA8">
        <w:rPr>
          <w:rFonts w:ascii="Book Antiqua" w:hAnsi="Book Antiqua"/>
          <w:color w:val="000000" w:themeColor="text1"/>
          <w:spacing w:val="-7"/>
        </w:rPr>
        <w:t xml:space="preserve"> </w:t>
      </w:r>
      <w:r w:rsidRPr="00C33BA8">
        <w:rPr>
          <w:rFonts w:ascii="Book Antiqua" w:hAnsi="Book Antiqua"/>
          <w:color w:val="000000" w:themeColor="text1"/>
        </w:rPr>
        <w:t>toxin;</w:t>
      </w:r>
      <w:r w:rsidRPr="00C33BA8">
        <w:rPr>
          <w:rFonts w:ascii="Book Antiqua" w:hAnsi="Book Antiqua"/>
          <w:color w:val="000000" w:themeColor="text1"/>
          <w:spacing w:val="-7"/>
        </w:rPr>
        <w:t xml:space="preserve"> </w:t>
      </w:r>
      <w:r w:rsidRPr="00C33BA8">
        <w:rPr>
          <w:rFonts w:ascii="Book Antiqua" w:hAnsi="Book Antiqua"/>
          <w:color w:val="000000" w:themeColor="text1"/>
        </w:rPr>
        <w:t>LPS</w:t>
      </w:r>
      <w:r w:rsidR="00E642A8" w:rsidRPr="00C33BA8">
        <w:rPr>
          <w:rFonts w:ascii="Book Antiqua" w:hAnsi="Book Antiqua"/>
          <w:color w:val="000000" w:themeColor="text1"/>
          <w:spacing w:val="-7"/>
        </w:rPr>
        <w:t>:</w:t>
      </w:r>
      <w:r w:rsidRPr="00C33BA8">
        <w:rPr>
          <w:rFonts w:ascii="Book Antiqua" w:hAnsi="Book Antiqua"/>
          <w:color w:val="000000" w:themeColor="text1"/>
          <w:spacing w:val="-7"/>
        </w:rPr>
        <w:t xml:space="preserve"> </w:t>
      </w:r>
      <w:r w:rsidR="00E642A8" w:rsidRPr="00C33BA8">
        <w:rPr>
          <w:rFonts w:ascii="Book Antiqua" w:hAnsi="Book Antiqua"/>
          <w:color w:val="000000" w:themeColor="text1"/>
        </w:rPr>
        <w:t>Lipopolysaccharide; HSA: H</w:t>
      </w:r>
      <w:r w:rsidRPr="00C33BA8">
        <w:rPr>
          <w:rFonts w:ascii="Book Antiqua" w:hAnsi="Book Antiqua"/>
          <w:color w:val="000000" w:themeColor="text1"/>
        </w:rPr>
        <w:t>uman serum</w:t>
      </w:r>
      <w:r w:rsidRPr="00C33BA8">
        <w:rPr>
          <w:rFonts w:ascii="Book Antiqua" w:hAnsi="Book Antiqua"/>
          <w:color w:val="000000" w:themeColor="text1"/>
          <w:spacing w:val="8"/>
        </w:rPr>
        <w:t xml:space="preserve"> </w:t>
      </w:r>
      <w:r w:rsidRPr="00C33BA8">
        <w:rPr>
          <w:rFonts w:ascii="Book Antiqua" w:hAnsi="Book Antiqua"/>
          <w:color w:val="000000" w:themeColor="text1"/>
        </w:rPr>
        <w:t>albumin</w:t>
      </w:r>
      <w:r w:rsidR="00E642A8" w:rsidRPr="00C33BA8">
        <w:rPr>
          <w:rFonts w:ascii="Book Antiqua" w:hAnsi="Book Antiqua"/>
          <w:color w:val="000000" w:themeColor="text1"/>
        </w:rPr>
        <w:t>.</w:t>
      </w:r>
    </w:p>
    <w:p w14:paraId="1027BA39" w14:textId="0EF431A0" w:rsidR="00920C46" w:rsidRPr="00C33BA8" w:rsidRDefault="00E815E9" w:rsidP="00E642A8">
      <w:pPr>
        <w:pStyle w:val="BodyText"/>
        <w:adjustRightInd w:val="0"/>
        <w:snapToGrid w:val="0"/>
        <w:spacing w:line="360" w:lineRule="auto"/>
        <w:ind w:left="0"/>
        <w:jc w:val="both"/>
        <w:rPr>
          <w:rFonts w:ascii="Book Antiqua" w:hAnsi="Book Antiqua"/>
          <w:color w:val="000000" w:themeColor="text1"/>
        </w:rPr>
      </w:pPr>
      <w:r w:rsidRPr="00C33BA8">
        <w:rPr>
          <w:rFonts w:ascii="Book Antiqua" w:hAnsi="Book Antiqua"/>
          <w:noProof/>
          <w:color w:val="000000" w:themeColor="text1"/>
          <w:lang w:eastAsia="zh-CN"/>
        </w:rPr>
        <w:lastRenderedPageBreak/>
        <w:drawing>
          <wp:anchor distT="0" distB="0" distL="0" distR="0" simplePos="0" relativeHeight="1736" behindDoc="0" locked="0" layoutInCell="1" allowOverlap="1" wp14:anchorId="2C1E7949" wp14:editId="281F9E9E">
            <wp:simplePos x="0" y="0"/>
            <wp:positionH relativeFrom="page">
              <wp:posOffset>932127</wp:posOffset>
            </wp:positionH>
            <wp:positionV relativeFrom="paragraph">
              <wp:posOffset>193647</wp:posOffset>
            </wp:positionV>
            <wp:extent cx="5981757" cy="1920239"/>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4" cstate="print"/>
                    <a:stretch>
                      <a:fillRect/>
                    </a:stretch>
                  </pic:blipFill>
                  <pic:spPr>
                    <a:xfrm>
                      <a:off x="0" y="0"/>
                      <a:ext cx="5981757" cy="1920239"/>
                    </a:xfrm>
                    <a:prstGeom prst="rect">
                      <a:avLst/>
                    </a:prstGeom>
                  </pic:spPr>
                </pic:pic>
              </a:graphicData>
            </a:graphic>
          </wp:anchor>
        </w:drawing>
      </w:r>
      <w:r w:rsidRPr="00C33BA8">
        <w:rPr>
          <w:rFonts w:ascii="Book Antiqua" w:hAnsi="Book Antiqua"/>
          <w:b/>
          <w:color w:val="000000" w:themeColor="text1"/>
        </w:rPr>
        <w:t>Figure 5</w:t>
      </w:r>
      <w:r w:rsidR="00C672F8">
        <w:rPr>
          <w:rFonts w:ascii="Book Antiqua" w:hAnsi="Book Antiqua"/>
          <w:b/>
          <w:color w:val="000000" w:themeColor="text1"/>
        </w:rPr>
        <w:t xml:space="preserve"> </w:t>
      </w:r>
      <w:r w:rsidR="00C672F8">
        <w:rPr>
          <w:rFonts w:ascii="Book Antiqua" w:eastAsiaTheme="minorHAnsi" w:hAnsi="Book Antiqua" w:cs="Arial"/>
          <w:b/>
        </w:rPr>
        <w:t>Demonstration of analytical specificity by dilution study</w:t>
      </w:r>
      <w:r w:rsidRPr="00C33BA8">
        <w:rPr>
          <w:rFonts w:ascii="Book Antiqua" w:hAnsi="Book Antiqua"/>
          <w:b/>
          <w:color w:val="000000" w:themeColor="text1"/>
        </w:rPr>
        <w:t xml:space="preserve">. </w:t>
      </w:r>
      <w:r w:rsidR="00E642A8" w:rsidRPr="00C33BA8">
        <w:rPr>
          <w:rFonts w:ascii="Book Antiqua" w:hAnsi="Book Antiqua"/>
          <w:color w:val="000000" w:themeColor="text1"/>
        </w:rPr>
        <w:t>A:</w:t>
      </w:r>
      <w:r w:rsidRPr="00C33BA8">
        <w:rPr>
          <w:rFonts w:ascii="Book Antiqua" w:hAnsi="Book Antiqua"/>
          <w:color w:val="000000" w:themeColor="text1"/>
        </w:rPr>
        <w:t xml:space="preserve"> Reaction of various dilutions of mouse monoclonal anti-</w:t>
      </w:r>
      <w:r w:rsidR="00E642A8" w:rsidRPr="00C33BA8">
        <w:rPr>
          <w:rFonts w:ascii="Book Antiqua" w:hAnsi="Book Antiqua"/>
          <w:i/>
          <w:color w:val="000000" w:themeColor="text1"/>
        </w:rPr>
        <w:t xml:space="preserve">Campylobacter jejuni </w:t>
      </w:r>
      <w:r w:rsidR="00E642A8" w:rsidRPr="00C33BA8">
        <w:rPr>
          <w:rFonts w:ascii="Book Antiqua" w:hAnsi="Book Antiqua"/>
          <w:color w:val="000000" w:themeColor="text1"/>
        </w:rPr>
        <w:t>(</w:t>
      </w:r>
      <w:r w:rsidR="00E642A8" w:rsidRPr="00C33BA8">
        <w:rPr>
          <w:rFonts w:ascii="Book Antiqua" w:hAnsi="Book Antiqua"/>
          <w:i/>
          <w:color w:val="000000" w:themeColor="text1"/>
        </w:rPr>
        <w:t>C. jejuni</w:t>
      </w:r>
      <w:r w:rsidR="00E642A8" w:rsidRPr="00C33BA8">
        <w:rPr>
          <w:rFonts w:ascii="Book Antiqua" w:hAnsi="Book Antiqua"/>
          <w:color w:val="000000" w:themeColor="text1"/>
        </w:rPr>
        <w:t>)</w:t>
      </w:r>
      <w:r w:rsidRPr="00C33BA8">
        <w:rPr>
          <w:rFonts w:ascii="Book Antiqua" w:hAnsi="Book Antiqua"/>
          <w:i/>
          <w:color w:val="000000" w:themeColor="text1"/>
        </w:rPr>
        <w:t xml:space="preserve"> </w:t>
      </w:r>
      <w:r w:rsidRPr="00C33BA8">
        <w:rPr>
          <w:rFonts w:ascii="Book Antiqua" w:hAnsi="Book Antiqua"/>
          <w:color w:val="000000" w:themeColor="text1"/>
        </w:rPr>
        <w:t xml:space="preserve">bacteria </w:t>
      </w:r>
      <w:r w:rsidR="00C672F8">
        <w:rPr>
          <w:rFonts w:ascii="Book Antiqua" w:hAnsi="Book Antiqua"/>
          <w:color w:val="000000" w:themeColor="text1"/>
        </w:rPr>
        <w:t xml:space="preserve">antibody </w:t>
      </w:r>
      <w:r w:rsidRPr="00C33BA8">
        <w:rPr>
          <w:rFonts w:ascii="Book Antiqua" w:hAnsi="Book Antiqua"/>
          <w:color w:val="000000" w:themeColor="text1"/>
          <w:position w:val="2"/>
        </w:rPr>
        <w:t xml:space="preserve">with the same concentrations of </w:t>
      </w:r>
      <w:bookmarkStart w:id="150" w:name="OLE_LINK74"/>
      <w:r w:rsidRPr="00C33BA8">
        <w:rPr>
          <w:rFonts w:ascii="Book Antiqua" w:hAnsi="Book Antiqua"/>
          <w:i/>
          <w:color w:val="000000" w:themeColor="text1"/>
          <w:position w:val="2"/>
        </w:rPr>
        <w:t>C. jejuni</w:t>
      </w:r>
      <w:bookmarkEnd w:id="150"/>
      <w:r w:rsidR="00E642A8" w:rsidRPr="00C33BA8">
        <w:rPr>
          <w:rFonts w:ascii="Book Antiqua" w:hAnsi="Book Antiqua"/>
          <w:color w:val="000000" w:themeColor="text1"/>
          <w:position w:val="2"/>
        </w:rPr>
        <w:t xml:space="preserve"> </w:t>
      </w:r>
      <w:r w:rsidR="00E642A8" w:rsidRPr="00C33BA8">
        <w:rPr>
          <w:rFonts w:ascii="Book Antiqua" w:hAnsi="Book Antiqua"/>
          <w:color w:val="000000" w:themeColor="text1"/>
          <w:position w:val="2"/>
          <w:lang w:eastAsia="zh-CN"/>
        </w:rPr>
        <w:t>= blue rhombus</w:t>
      </w:r>
      <w:r w:rsidRPr="00C33BA8">
        <w:rPr>
          <w:rFonts w:ascii="Book Antiqua" w:hAnsi="Book Antiqua"/>
          <w:color w:val="000000" w:themeColor="text1"/>
          <w:position w:val="2"/>
        </w:rPr>
        <w:t>,</w:t>
      </w:r>
      <w:r w:rsidRPr="00C33BA8">
        <w:rPr>
          <w:rFonts w:ascii="Book Antiqua" w:hAnsi="Book Antiqua"/>
          <w:color w:val="000000" w:themeColor="text1"/>
          <w:spacing w:val="4"/>
          <w:position w:val="2"/>
        </w:rPr>
        <w:t xml:space="preserve"> </w:t>
      </w:r>
      <w:r w:rsidR="00E642A8" w:rsidRPr="00C33BA8">
        <w:rPr>
          <w:rFonts w:ascii="Book Antiqua" w:hAnsi="Book Antiqua"/>
          <w:color w:val="000000" w:themeColor="text1"/>
          <w:position w:val="2"/>
        </w:rPr>
        <w:t xml:space="preserve">zonulin = red </w:t>
      </w:r>
      <w:r w:rsidR="00E642A8" w:rsidRPr="00C33BA8">
        <w:rPr>
          <w:rFonts w:ascii="Book Antiqua" w:hAnsi="Book Antiqua"/>
          <w:color w:val="000000" w:themeColor="text1"/>
          <w:position w:val="2"/>
          <w:lang w:eastAsia="zh-CN"/>
        </w:rPr>
        <w:t>square</w:t>
      </w:r>
      <w:r w:rsidR="00E642A8" w:rsidRPr="00C33BA8">
        <w:rPr>
          <w:rFonts w:ascii="Book Antiqua" w:hAnsi="Book Antiqua"/>
          <w:color w:val="000000" w:themeColor="text1"/>
          <w:position w:val="2"/>
        </w:rPr>
        <w:t>, somatotropin = green triangle, presenilin = purple circle</w:t>
      </w:r>
      <w:r w:rsidRPr="00C33BA8">
        <w:rPr>
          <w:rFonts w:ascii="Book Antiqua" w:hAnsi="Book Antiqua"/>
          <w:color w:val="000000" w:themeColor="text1"/>
          <w:position w:val="2"/>
        </w:rPr>
        <w:t xml:space="preserve">, </w:t>
      </w:r>
      <w:r w:rsidRPr="00C33BA8">
        <w:rPr>
          <w:rFonts w:ascii="Book Antiqua" w:hAnsi="Book Antiqua"/>
          <w:color w:val="000000" w:themeColor="text1"/>
        </w:rPr>
        <w:t>and</w:t>
      </w:r>
      <w:r w:rsidRPr="00C33BA8">
        <w:rPr>
          <w:rFonts w:ascii="Book Antiqua" w:hAnsi="Book Antiqua"/>
          <w:color w:val="000000" w:themeColor="text1"/>
          <w:spacing w:val="6"/>
        </w:rPr>
        <w:t xml:space="preserve"> </w:t>
      </w:r>
      <w:r w:rsidR="00CD4F78" w:rsidRPr="00C33BA8">
        <w:rPr>
          <w:rFonts w:ascii="Book Antiqua" w:hAnsi="Book Antiqua"/>
          <w:color w:val="000000" w:themeColor="text1"/>
        </w:rPr>
        <w:t>ω</w:t>
      </w:r>
      <w:r w:rsidR="00E642A8" w:rsidRPr="00C33BA8">
        <w:rPr>
          <w:rFonts w:ascii="Book Antiqua" w:hAnsi="Book Antiqua"/>
          <w:color w:val="000000" w:themeColor="text1"/>
        </w:rPr>
        <w:t>-gliadin = blue circle. B:</w:t>
      </w:r>
      <w:r w:rsidRPr="00C33BA8">
        <w:rPr>
          <w:rFonts w:ascii="Book Antiqua" w:hAnsi="Book Antiqua"/>
          <w:color w:val="000000" w:themeColor="text1"/>
        </w:rPr>
        <w:t xml:space="preserve"> Reaction of various dilutions of mouse monoclonal anti-</w:t>
      </w:r>
      <w:r w:rsidRPr="00C33BA8">
        <w:rPr>
          <w:rFonts w:ascii="Book Antiqua" w:hAnsi="Book Antiqua"/>
          <w:i/>
          <w:color w:val="000000" w:themeColor="text1"/>
        </w:rPr>
        <w:t xml:space="preserve">C. jejuni </w:t>
      </w:r>
      <w:r w:rsidRPr="00C33BA8">
        <w:rPr>
          <w:rFonts w:ascii="Book Antiqua" w:hAnsi="Book Antiqua"/>
          <w:color w:val="000000" w:themeColor="text1"/>
          <w:position w:val="2"/>
        </w:rPr>
        <w:t>bacteria</w:t>
      </w:r>
      <w:r w:rsidR="00C672F8">
        <w:rPr>
          <w:rFonts w:ascii="Book Antiqua" w:hAnsi="Book Antiqua"/>
          <w:color w:val="000000" w:themeColor="text1"/>
          <w:position w:val="2"/>
        </w:rPr>
        <w:t>l c</w:t>
      </w:r>
      <w:r w:rsidR="00C672F8" w:rsidRPr="00C672F8">
        <w:rPr>
          <w:rFonts w:ascii="Book Antiqua" w:hAnsi="Book Antiqua"/>
          <w:color w:val="000000" w:themeColor="text1"/>
          <w:position w:val="2"/>
        </w:rPr>
        <w:t>ytolethal distending toxin</w:t>
      </w:r>
      <w:r w:rsidR="00C672F8">
        <w:rPr>
          <w:rFonts w:ascii="Book Antiqua" w:hAnsi="Book Antiqua"/>
          <w:color w:val="000000" w:themeColor="text1"/>
          <w:position w:val="2"/>
        </w:rPr>
        <w:t xml:space="preserve"> (Cdt)</w:t>
      </w:r>
      <w:r w:rsidRPr="00C33BA8">
        <w:rPr>
          <w:rFonts w:ascii="Book Antiqua" w:hAnsi="Book Antiqua"/>
          <w:color w:val="000000" w:themeColor="text1"/>
          <w:position w:val="2"/>
        </w:rPr>
        <w:t xml:space="preserve"> </w:t>
      </w:r>
      <w:r w:rsidR="00C672F8">
        <w:rPr>
          <w:rFonts w:ascii="Book Antiqua" w:hAnsi="Book Antiqua"/>
          <w:color w:val="000000" w:themeColor="text1"/>
          <w:position w:val="2"/>
        </w:rPr>
        <w:t xml:space="preserve">antibody </w:t>
      </w:r>
      <w:r w:rsidRPr="00C33BA8">
        <w:rPr>
          <w:rFonts w:ascii="Book Antiqua" w:hAnsi="Book Antiqua"/>
          <w:color w:val="000000" w:themeColor="text1"/>
          <w:position w:val="2"/>
        </w:rPr>
        <w:t xml:space="preserve">with the same concentrations of </w:t>
      </w:r>
      <w:r w:rsidR="00E642A8" w:rsidRPr="00C33BA8">
        <w:rPr>
          <w:rFonts w:ascii="Book Antiqua" w:hAnsi="Book Antiqua"/>
          <w:i/>
          <w:color w:val="000000" w:themeColor="text1"/>
          <w:position w:val="2"/>
        </w:rPr>
        <w:t>C. jejuni</w:t>
      </w:r>
      <w:r w:rsidR="00E642A8" w:rsidRPr="00C33BA8">
        <w:rPr>
          <w:rFonts w:ascii="Book Antiqua" w:hAnsi="Book Antiqua"/>
          <w:color w:val="000000" w:themeColor="text1"/>
          <w:position w:val="2"/>
        </w:rPr>
        <w:t xml:space="preserve"> </w:t>
      </w:r>
      <w:r w:rsidR="00C672F8">
        <w:rPr>
          <w:rFonts w:ascii="Book Antiqua" w:hAnsi="Book Antiqua"/>
          <w:color w:val="000000" w:themeColor="text1"/>
          <w:position w:val="2"/>
        </w:rPr>
        <w:t>Cdt</w:t>
      </w:r>
      <w:r w:rsidR="00C672F8" w:rsidRPr="00C33BA8">
        <w:rPr>
          <w:rFonts w:ascii="Book Antiqua" w:hAnsi="Book Antiqua"/>
          <w:color w:val="000000" w:themeColor="text1"/>
          <w:position w:val="2"/>
          <w:lang w:eastAsia="zh-CN"/>
        </w:rPr>
        <w:t xml:space="preserve"> </w:t>
      </w:r>
      <w:r w:rsidR="00E642A8" w:rsidRPr="00C33BA8">
        <w:rPr>
          <w:rFonts w:ascii="Book Antiqua" w:hAnsi="Book Antiqua"/>
          <w:color w:val="000000" w:themeColor="text1"/>
          <w:position w:val="2"/>
          <w:lang w:eastAsia="zh-CN"/>
        </w:rPr>
        <w:t>= blue rhombus,</w:t>
      </w:r>
      <w:r w:rsidRPr="00C33BA8">
        <w:rPr>
          <w:rFonts w:ascii="Book Antiqua" w:hAnsi="Book Antiqua"/>
          <w:color w:val="000000" w:themeColor="text1"/>
          <w:spacing w:val="10"/>
          <w:position w:val="2"/>
        </w:rPr>
        <w:t xml:space="preserve"> </w:t>
      </w:r>
      <w:r w:rsidR="00E642A8" w:rsidRPr="00C33BA8">
        <w:rPr>
          <w:rFonts w:ascii="Book Antiqua" w:hAnsi="Book Antiqua"/>
          <w:color w:val="000000" w:themeColor="text1"/>
          <w:position w:val="2"/>
        </w:rPr>
        <w:t xml:space="preserve">zonulin = red </w:t>
      </w:r>
      <w:r w:rsidR="00E642A8" w:rsidRPr="00C33BA8">
        <w:rPr>
          <w:rFonts w:ascii="Book Antiqua" w:hAnsi="Book Antiqua"/>
          <w:color w:val="000000" w:themeColor="text1"/>
          <w:position w:val="2"/>
          <w:lang w:eastAsia="zh-CN"/>
        </w:rPr>
        <w:t>square</w:t>
      </w:r>
      <w:r w:rsidR="00E642A8" w:rsidRPr="00C33BA8">
        <w:rPr>
          <w:rFonts w:ascii="Book Antiqua" w:hAnsi="Book Antiqua"/>
          <w:color w:val="000000" w:themeColor="text1"/>
          <w:position w:val="2"/>
        </w:rPr>
        <w:t>,</w:t>
      </w:r>
      <w:r w:rsidRPr="00C33BA8">
        <w:rPr>
          <w:rFonts w:ascii="Book Antiqua" w:hAnsi="Book Antiqua"/>
          <w:color w:val="000000" w:themeColor="text1"/>
          <w:spacing w:val="-1"/>
          <w:position w:val="2"/>
        </w:rPr>
        <w:t xml:space="preserve"> </w:t>
      </w:r>
      <w:r w:rsidR="00E642A8" w:rsidRPr="00C33BA8">
        <w:rPr>
          <w:rFonts w:ascii="Book Antiqua" w:hAnsi="Book Antiqua"/>
          <w:color w:val="000000" w:themeColor="text1"/>
          <w:position w:val="2"/>
        </w:rPr>
        <w:t xml:space="preserve">somatotropin = green triangle, presenilin = purple circle, </w:t>
      </w:r>
      <w:r w:rsidR="00E642A8" w:rsidRPr="00C33BA8">
        <w:rPr>
          <w:rFonts w:ascii="Book Antiqua" w:hAnsi="Book Antiqua"/>
          <w:color w:val="000000" w:themeColor="text1"/>
        </w:rPr>
        <w:t>and</w:t>
      </w:r>
      <w:r w:rsidR="00E642A8" w:rsidRPr="00C33BA8">
        <w:rPr>
          <w:rFonts w:ascii="Book Antiqua" w:hAnsi="Book Antiqua"/>
          <w:color w:val="000000" w:themeColor="text1"/>
          <w:spacing w:val="6"/>
        </w:rPr>
        <w:t xml:space="preserve"> </w:t>
      </w:r>
      <w:r w:rsidR="00E642A8" w:rsidRPr="00C33BA8">
        <w:rPr>
          <w:rFonts w:ascii="Book Antiqua" w:hAnsi="Book Antiqua"/>
          <w:color w:val="000000" w:themeColor="text1"/>
        </w:rPr>
        <w:t>ω-gliadin = blue circle. CDT</w:t>
      </w:r>
      <w:r w:rsidR="00E642A8" w:rsidRPr="00C33BA8">
        <w:rPr>
          <w:rFonts w:ascii="Book Antiqua" w:hAnsi="Book Antiqua"/>
          <w:color w:val="000000" w:themeColor="text1"/>
          <w:spacing w:val="-7"/>
        </w:rPr>
        <w:t xml:space="preserve">: </w:t>
      </w:r>
      <w:r w:rsidR="00E642A8" w:rsidRPr="00C33BA8">
        <w:rPr>
          <w:rFonts w:ascii="Book Antiqua" w:hAnsi="Book Antiqua"/>
          <w:color w:val="000000" w:themeColor="text1"/>
        </w:rPr>
        <w:t>Cytolethal</w:t>
      </w:r>
      <w:r w:rsidR="00E642A8" w:rsidRPr="00C33BA8">
        <w:rPr>
          <w:rFonts w:ascii="Book Antiqua" w:hAnsi="Book Antiqua"/>
          <w:color w:val="000000" w:themeColor="text1"/>
          <w:spacing w:val="-8"/>
        </w:rPr>
        <w:t xml:space="preserve"> </w:t>
      </w:r>
      <w:r w:rsidR="00E642A8" w:rsidRPr="00C33BA8">
        <w:rPr>
          <w:rFonts w:ascii="Book Antiqua" w:hAnsi="Book Antiqua"/>
          <w:color w:val="000000" w:themeColor="text1"/>
        </w:rPr>
        <w:t>distending</w:t>
      </w:r>
      <w:r w:rsidR="00E642A8" w:rsidRPr="00C33BA8">
        <w:rPr>
          <w:rFonts w:ascii="Book Antiqua" w:hAnsi="Book Antiqua"/>
          <w:color w:val="000000" w:themeColor="text1"/>
          <w:spacing w:val="-7"/>
        </w:rPr>
        <w:t xml:space="preserve"> </w:t>
      </w:r>
      <w:r w:rsidR="00E642A8" w:rsidRPr="00C33BA8">
        <w:rPr>
          <w:rFonts w:ascii="Book Antiqua" w:hAnsi="Book Antiqua"/>
          <w:color w:val="000000" w:themeColor="text1"/>
        </w:rPr>
        <w:t xml:space="preserve">toxin; </w:t>
      </w:r>
      <w:r w:rsidR="00E642A8" w:rsidRPr="00C33BA8">
        <w:rPr>
          <w:rFonts w:ascii="Book Antiqua" w:hAnsi="Book Antiqua"/>
          <w:i/>
          <w:color w:val="000000" w:themeColor="text1"/>
          <w:position w:val="2"/>
        </w:rPr>
        <w:t>C. jejuni</w:t>
      </w:r>
      <w:r w:rsidR="00E642A8" w:rsidRPr="00C33BA8">
        <w:rPr>
          <w:rFonts w:ascii="Book Antiqua" w:hAnsi="Book Antiqua"/>
          <w:color w:val="000000" w:themeColor="text1"/>
          <w:position w:val="2"/>
        </w:rPr>
        <w:t>:</w:t>
      </w:r>
      <w:r w:rsidR="00E642A8" w:rsidRPr="00C33BA8">
        <w:rPr>
          <w:rFonts w:ascii="Book Antiqua" w:hAnsi="Book Antiqua"/>
          <w:i/>
          <w:color w:val="000000" w:themeColor="text1"/>
        </w:rPr>
        <w:t xml:space="preserve"> Campylobacter jejuni</w:t>
      </w:r>
      <w:r w:rsidR="00E642A8" w:rsidRPr="00C33BA8">
        <w:rPr>
          <w:rFonts w:ascii="Book Antiqua" w:hAnsi="Book Antiqua"/>
          <w:color w:val="000000" w:themeColor="text1"/>
        </w:rPr>
        <w:t>.</w:t>
      </w:r>
    </w:p>
    <w:p w14:paraId="5F1FD700" w14:textId="77777777" w:rsidR="00920C46" w:rsidRPr="00C33BA8" w:rsidRDefault="00920C46" w:rsidP="00686B93">
      <w:pPr>
        <w:adjustRightInd w:val="0"/>
        <w:snapToGrid w:val="0"/>
        <w:spacing w:line="360" w:lineRule="auto"/>
        <w:jc w:val="both"/>
        <w:rPr>
          <w:rFonts w:ascii="Book Antiqua" w:hAnsi="Book Antiqua"/>
          <w:color w:val="000000" w:themeColor="text1"/>
          <w:sz w:val="24"/>
          <w:szCs w:val="24"/>
        </w:rPr>
        <w:sectPr w:rsidR="00920C46" w:rsidRPr="00C33BA8">
          <w:pgSz w:w="12240" w:h="15840"/>
          <w:pgMar w:top="1360" w:right="1280" w:bottom="1000" w:left="1320" w:header="0" w:footer="721" w:gutter="0"/>
          <w:cols w:space="720"/>
        </w:sectPr>
      </w:pPr>
    </w:p>
    <w:p w14:paraId="1B73C8D8" w14:textId="77777777" w:rsidR="00920C46" w:rsidRPr="00C33BA8" w:rsidRDefault="00E815E9" w:rsidP="00686B93">
      <w:pPr>
        <w:pStyle w:val="BodyText"/>
        <w:adjustRightInd w:val="0"/>
        <w:snapToGrid w:val="0"/>
        <w:spacing w:line="360" w:lineRule="auto"/>
        <w:ind w:left="0"/>
        <w:jc w:val="both"/>
        <w:rPr>
          <w:rFonts w:ascii="Book Antiqua" w:hAnsi="Book Antiqua"/>
          <w:color w:val="000000" w:themeColor="text1"/>
        </w:rPr>
      </w:pPr>
      <w:r w:rsidRPr="00C33BA8">
        <w:rPr>
          <w:rFonts w:ascii="Book Antiqua" w:hAnsi="Book Antiqua"/>
          <w:noProof/>
          <w:color w:val="000000" w:themeColor="text1"/>
          <w:lang w:eastAsia="zh-CN"/>
        </w:rPr>
        <w:lastRenderedPageBreak/>
        <w:drawing>
          <wp:inline distT="0" distB="0" distL="0" distR="0" wp14:anchorId="293F7710" wp14:editId="02C774BC">
            <wp:extent cx="5965031" cy="1962150"/>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15" cstate="print"/>
                    <a:stretch>
                      <a:fillRect/>
                    </a:stretch>
                  </pic:blipFill>
                  <pic:spPr>
                    <a:xfrm>
                      <a:off x="0" y="0"/>
                      <a:ext cx="5965031" cy="1962150"/>
                    </a:xfrm>
                    <a:prstGeom prst="rect">
                      <a:avLst/>
                    </a:prstGeom>
                  </pic:spPr>
                </pic:pic>
              </a:graphicData>
            </a:graphic>
          </wp:inline>
        </w:drawing>
      </w:r>
    </w:p>
    <w:p w14:paraId="5B92FE64" w14:textId="7891D9B5" w:rsidR="00920C46" w:rsidRPr="00C33BA8" w:rsidRDefault="001C0434" w:rsidP="00686B93">
      <w:pPr>
        <w:pStyle w:val="BodyText"/>
        <w:adjustRightInd w:val="0"/>
        <w:snapToGrid w:val="0"/>
        <w:spacing w:line="360" w:lineRule="auto"/>
        <w:ind w:left="0"/>
        <w:jc w:val="both"/>
        <w:rPr>
          <w:rFonts w:ascii="Book Antiqua" w:hAnsi="Book Antiqua"/>
          <w:color w:val="000000" w:themeColor="text1"/>
        </w:rPr>
      </w:pPr>
      <w:r>
        <w:rPr>
          <w:rFonts w:ascii="Book Antiqua" w:hAnsi="Book Antiqua"/>
          <w:b/>
          <w:color w:val="000000" w:themeColor="text1"/>
        </w:rPr>
        <w:t xml:space="preserve">Figure 6 </w:t>
      </w:r>
      <w:r>
        <w:rPr>
          <w:rFonts w:ascii="Book Antiqua" w:eastAsiaTheme="minorHAnsi" w:hAnsi="Book Antiqua" w:cs="Arial"/>
          <w:b/>
        </w:rPr>
        <w:t>Demonstration of analytical specificity by inhibition study.</w:t>
      </w:r>
      <w:r w:rsidR="00375C74" w:rsidRPr="00C33BA8">
        <w:rPr>
          <w:rFonts w:ascii="Book Antiqua" w:hAnsi="Book Antiqua"/>
          <w:b/>
          <w:color w:val="000000" w:themeColor="text1"/>
        </w:rPr>
        <w:t xml:space="preserve"> </w:t>
      </w:r>
      <w:r w:rsidR="00375C74" w:rsidRPr="00C33BA8">
        <w:rPr>
          <w:rFonts w:ascii="Book Antiqua" w:hAnsi="Book Antiqua"/>
          <w:color w:val="000000" w:themeColor="text1"/>
        </w:rPr>
        <w:t>A: Inhibition of the reaction of mouse monoclonal anti-</w:t>
      </w:r>
      <w:r w:rsidR="00375C74" w:rsidRPr="00C33BA8">
        <w:rPr>
          <w:rFonts w:ascii="Book Antiqua" w:hAnsi="Book Antiqua"/>
          <w:i/>
          <w:color w:val="000000" w:themeColor="text1"/>
        </w:rPr>
        <w:t xml:space="preserve">Campylobacter jejuni </w:t>
      </w:r>
      <w:r w:rsidR="00375C74" w:rsidRPr="00C33BA8">
        <w:rPr>
          <w:rFonts w:ascii="Book Antiqua" w:hAnsi="Book Antiqua"/>
          <w:color w:val="000000" w:themeColor="text1"/>
        </w:rPr>
        <w:t>(</w:t>
      </w:r>
      <w:r w:rsidR="00375C74" w:rsidRPr="00C33BA8">
        <w:rPr>
          <w:rFonts w:ascii="Book Antiqua" w:hAnsi="Book Antiqua"/>
          <w:i/>
          <w:color w:val="000000" w:themeColor="text1"/>
        </w:rPr>
        <w:t>C. jejuni</w:t>
      </w:r>
      <w:r w:rsidR="00375C74" w:rsidRPr="00C33BA8">
        <w:rPr>
          <w:rFonts w:ascii="Book Antiqua" w:hAnsi="Book Antiqua"/>
          <w:color w:val="000000" w:themeColor="text1"/>
        </w:rPr>
        <w:t xml:space="preserve">) antibody </w:t>
      </w:r>
      <w:r w:rsidR="00375C74" w:rsidRPr="00C33BA8">
        <w:rPr>
          <w:rFonts w:ascii="Book Antiqua" w:hAnsi="Book Antiqua"/>
          <w:color w:val="000000" w:themeColor="text1"/>
          <w:position w:val="2"/>
        </w:rPr>
        <w:t xml:space="preserve">binding to </w:t>
      </w:r>
      <w:r w:rsidR="00375C74" w:rsidRPr="00C33BA8">
        <w:rPr>
          <w:rFonts w:ascii="Book Antiqua" w:hAnsi="Book Antiqua"/>
          <w:i/>
          <w:color w:val="000000" w:themeColor="text1"/>
          <w:position w:val="2"/>
        </w:rPr>
        <w:t xml:space="preserve">C. jejuni </w:t>
      </w:r>
      <w:r w:rsidR="00375C74" w:rsidRPr="00C33BA8">
        <w:rPr>
          <w:rFonts w:ascii="Book Antiqua" w:hAnsi="Book Antiqua"/>
          <w:color w:val="000000" w:themeColor="text1"/>
          <w:position w:val="2"/>
        </w:rPr>
        <w:t xml:space="preserve">antigens </w:t>
      </w:r>
      <w:r w:rsidR="00375C74" w:rsidRPr="00C33BA8">
        <w:rPr>
          <w:rFonts w:ascii="Book Antiqua" w:hAnsi="Book Antiqua"/>
          <w:color w:val="000000" w:themeColor="text1"/>
          <w:position w:val="2"/>
          <w:lang w:eastAsia="zh-CN"/>
        </w:rPr>
        <w:t>= blue rhombus</w:t>
      </w:r>
      <w:r w:rsidR="00375C74" w:rsidRPr="00C33BA8">
        <w:rPr>
          <w:rFonts w:ascii="Book Antiqua" w:hAnsi="Book Antiqua"/>
          <w:color w:val="000000" w:themeColor="text1"/>
          <w:position w:val="2"/>
        </w:rPr>
        <w:t>,</w:t>
      </w:r>
      <w:r w:rsidR="00375C74" w:rsidRPr="00C33BA8">
        <w:rPr>
          <w:rFonts w:ascii="Book Antiqua" w:hAnsi="Book Antiqua"/>
          <w:color w:val="000000" w:themeColor="text1"/>
          <w:spacing w:val="4"/>
          <w:position w:val="2"/>
        </w:rPr>
        <w:t xml:space="preserve"> </w:t>
      </w:r>
      <w:r w:rsidR="00375C74" w:rsidRPr="00C33BA8">
        <w:rPr>
          <w:rFonts w:ascii="Book Antiqua" w:hAnsi="Book Antiqua"/>
          <w:color w:val="000000" w:themeColor="text1"/>
          <w:position w:val="2"/>
        </w:rPr>
        <w:t xml:space="preserve">zonulin = red </w:t>
      </w:r>
      <w:r w:rsidR="00375C74" w:rsidRPr="00C33BA8">
        <w:rPr>
          <w:rFonts w:ascii="Book Antiqua" w:hAnsi="Book Antiqua"/>
          <w:color w:val="000000" w:themeColor="text1"/>
          <w:position w:val="2"/>
          <w:lang w:eastAsia="zh-CN"/>
        </w:rPr>
        <w:t>square</w:t>
      </w:r>
      <w:r w:rsidR="00375C74" w:rsidRPr="00C33BA8">
        <w:rPr>
          <w:rFonts w:ascii="Book Antiqua" w:hAnsi="Book Antiqua"/>
          <w:color w:val="000000" w:themeColor="text1"/>
          <w:position w:val="2"/>
        </w:rPr>
        <w:t xml:space="preserve">, somatotropin = green triangle, presenilin = purple circle, </w:t>
      </w:r>
      <w:r w:rsidR="00375C74" w:rsidRPr="00C33BA8">
        <w:rPr>
          <w:rFonts w:ascii="Book Antiqua" w:hAnsi="Book Antiqua"/>
          <w:color w:val="000000" w:themeColor="text1"/>
        </w:rPr>
        <w:t>and</w:t>
      </w:r>
      <w:r w:rsidR="00375C74" w:rsidRPr="00C33BA8">
        <w:rPr>
          <w:rFonts w:ascii="Book Antiqua" w:hAnsi="Book Antiqua"/>
          <w:color w:val="000000" w:themeColor="text1"/>
          <w:spacing w:val="6"/>
        </w:rPr>
        <w:t xml:space="preserve"> </w:t>
      </w:r>
      <w:r w:rsidR="00375C74" w:rsidRPr="00C33BA8">
        <w:rPr>
          <w:rFonts w:ascii="Book Antiqua" w:hAnsi="Book Antiqua"/>
          <w:color w:val="000000" w:themeColor="text1"/>
        </w:rPr>
        <w:t>ω-gliadin = blue circle with different concentrations of the same antigen in liquid phase. B: Inhibition of</w:t>
      </w:r>
      <w:r w:rsidR="00375C74" w:rsidRPr="00C33BA8">
        <w:rPr>
          <w:rFonts w:ascii="Book Antiqua" w:hAnsi="Book Antiqua"/>
          <w:color w:val="000000" w:themeColor="text1"/>
          <w:spacing w:val="-35"/>
        </w:rPr>
        <w:t xml:space="preserve"> </w:t>
      </w:r>
      <w:r w:rsidR="00375C74" w:rsidRPr="00C33BA8">
        <w:rPr>
          <w:rFonts w:ascii="Book Antiqua" w:hAnsi="Book Antiqua"/>
          <w:color w:val="000000" w:themeColor="text1"/>
        </w:rPr>
        <w:t xml:space="preserve">the </w:t>
      </w:r>
      <w:r w:rsidR="00375C74" w:rsidRPr="00C33BA8">
        <w:rPr>
          <w:rFonts w:ascii="Book Antiqua" w:hAnsi="Book Antiqua"/>
          <w:color w:val="000000" w:themeColor="text1"/>
          <w:position w:val="2"/>
        </w:rPr>
        <w:t>reaction of affinity-purified rabbit anti-</w:t>
      </w:r>
      <w:r w:rsidR="00375C74" w:rsidRPr="00C33BA8">
        <w:rPr>
          <w:rFonts w:ascii="Book Antiqua" w:hAnsi="Book Antiqua"/>
          <w:i/>
          <w:color w:val="000000" w:themeColor="text1"/>
          <w:position w:val="2"/>
        </w:rPr>
        <w:t xml:space="preserve">C. jejuni </w:t>
      </w:r>
      <w:bookmarkStart w:id="151" w:name="OLE_LINK75"/>
      <w:r w:rsidR="00375C74" w:rsidRPr="00C33BA8">
        <w:rPr>
          <w:rFonts w:ascii="Book Antiqua" w:hAnsi="Book Antiqua"/>
          <w:color w:val="000000" w:themeColor="text1"/>
        </w:rPr>
        <w:t>cytolethal</w:t>
      </w:r>
      <w:r w:rsidR="00375C74" w:rsidRPr="00C33BA8">
        <w:rPr>
          <w:rFonts w:ascii="Book Antiqua" w:hAnsi="Book Antiqua"/>
          <w:color w:val="000000" w:themeColor="text1"/>
          <w:spacing w:val="-8"/>
        </w:rPr>
        <w:t xml:space="preserve"> </w:t>
      </w:r>
      <w:r w:rsidR="00375C74" w:rsidRPr="00C33BA8">
        <w:rPr>
          <w:rFonts w:ascii="Book Antiqua" w:hAnsi="Book Antiqua"/>
          <w:color w:val="000000" w:themeColor="text1"/>
        </w:rPr>
        <w:t>distending</w:t>
      </w:r>
      <w:r w:rsidR="00375C74" w:rsidRPr="00C33BA8">
        <w:rPr>
          <w:rFonts w:ascii="Book Antiqua" w:hAnsi="Book Antiqua"/>
          <w:color w:val="000000" w:themeColor="text1"/>
          <w:spacing w:val="-7"/>
        </w:rPr>
        <w:t xml:space="preserve"> </w:t>
      </w:r>
      <w:r w:rsidR="00375C74" w:rsidRPr="00C33BA8">
        <w:rPr>
          <w:rFonts w:ascii="Book Antiqua" w:hAnsi="Book Antiqua"/>
          <w:color w:val="000000" w:themeColor="text1"/>
        </w:rPr>
        <w:t>toxin</w:t>
      </w:r>
      <w:bookmarkEnd w:id="151"/>
      <w:r w:rsidR="00375C74" w:rsidRPr="00C33BA8">
        <w:rPr>
          <w:rFonts w:ascii="Book Antiqua" w:hAnsi="Book Antiqua"/>
          <w:color w:val="000000" w:themeColor="text1"/>
        </w:rPr>
        <w:t xml:space="preserve"> </w:t>
      </w:r>
      <w:r>
        <w:rPr>
          <w:rFonts w:ascii="Book Antiqua" w:hAnsi="Book Antiqua"/>
          <w:color w:val="000000" w:themeColor="text1"/>
        </w:rPr>
        <w:t xml:space="preserve">antibody binding to </w:t>
      </w:r>
      <w:r w:rsidRPr="00C33BA8">
        <w:rPr>
          <w:rFonts w:ascii="Book Antiqua" w:hAnsi="Book Antiqua"/>
          <w:i/>
          <w:color w:val="000000" w:themeColor="text1"/>
        </w:rPr>
        <w:t>C. jejuni</w:t>
      </w:r>
      <w:r w:rsidRPr="00C33BA8">
        <w:rPr>
          <w:rFonts w:ascii="Book Antiqua" w:hAnsi="Book Antiqua"/>
          <w:color w:val="000000" w:themeColor="text1"/>
          <w:position w:val="2"/>
        </w:rPr>
        <w:t xml:space="preserve"> </w:t>
      </w:r>
      <w:r w:rsidR="009379F5" w:rsidRPr="00C33BA8">
        <w:rPr>
          <w:rFonts w:ascii="Book Antiqua" w:hAnsi="Book Antiqua"/>
          <w:color w:val="000000" w:themeColor="text1"/>
        </w:rPr>
        <w:t>cytolethal</w:t>
      </w:r>
      <w:r w:rsidR="009379F5" w:rsidRPr="00C33BA8">
        <w:rPr>
          <w:rFonts w:ascii="Book Antiqua" w:hAnsi="Book Antiqua"/>
          <w:color w:val="000000" w:themeColor="text1"/>
          <w:spacing w:val="-8"/>
        </w:rPr>
        <w:t xml:space="preserve"> </w:t>
      </w:r>
      <w:r w:rsidR="009379F5" w:rsidRPr="00C33BA8">
        <w:rPr>
          <w:rFonts w:ascii="Book Antiqua" w:hAnsi="Book Antiqua"/>
          <w:color w:val="000000" w:themeColor="text1"/>
        </w:rPr>
        <w:t>distending</w:t>
      </w:r>
      <w:r w:rsidR="009379F5" w:rsidRPr="00C33BA8">
        <w:rPr>
          <w:rFonts w:ascii="Book Antiqua" w:hAnsi="Book Antiqua"/>
          <w:color w:val="000000" w:themeColor="text1"/>
          <w:spacing w:val="-7"/>
        </w:rPr>
        <w:t xml:space="preserve"> </w:t>
      </w:r>
      <w:r w:rsidR="009379F5" w:rsidRPr="00C33BA8">
        <w:rPr>
          <w:rFonts w:ascii="Book Antiqua" w:hAnsi="Book Antiqua"/>
          <w:color w:val="000000" w:themeColor="text1"/>
        </w:rPr>
        <w:t xml:space="preserve">toxin </w:t>
      </w:r>
      <w:r w:rsidR="009379F5" w:rsidRPr="00C33BA8">
        <w:rPr>
          <w:rFonts w:ascii="Book Antiqua" w:hAnsi="Book Antiqua"/>
          <w:color w:val="000000" w:themeColor="text1"/>
          <w:position w:val="2"/>
          <w:lang w:eastAsia="zh-CN"/>
        </w:rPr>
        <w:t>= blue rhombus</w:t>
      </w:r>
      <w:r w:rsidR="009379F5" w:rsidRPr="00C33BA8">
        <w:rPr>
          <w:rFonts w:ascii="Book Antiqua" w:hAnsi="Book Antiqua"/>
          <w:color w:val="000000" w:themeColor="text1"/>
          <w:position w:val="2"/>
        </w:rPr>
        <w:t>,</w:t>
      </w:r>
      <w:r w:rsidR="009379F5" w:rsidRPr="00C33BA8">
        <w:rPr>
          <w:rFonts w:ascii="Book Antiqua" w:hAnsi="Book Antiqua"/>
          <w:color w:val="000000" w:themeColor="text1"/>
          <w:spacing w:val="4"/>
          <w:position w:val="2"/>
        </w:rPr>
        <w:t xml:space="preserve"> </w:t>
      </w:r>
      <w:r w:rsidR="009379F5" w:rsidRPr="00C33BA8">
        <w:rPr>
          <w:rFonts w:ascii="Book Antiqua" w:hAnsi="Book Antiqua"/>
          <w:color w:val="000000" w:themeColor="text1"/>
          <w:position w:val="2"/>
        </w:rPr>
        <w:t xml:space="preserve">zonulin = red </w:t>
      </w:r>
      <w:r w:rsidR="009379F5" w:rsidRPr="00C33BA8">
        <w:rPr>
          <w:rFonts w:ascii="Book Antiqua" w:hAnsi="Book Antiqua"/>
          <w:color w:val="000000" w:themeColor="text1"/>
          <w:position w:val="2"/>
          <w:lang w:eastAsia="zh-CN"/>
        </w:rPr>
        <w:t>square</w:t>
      </w:r>
      <w:r w:rsidR="009379F5" w:rsidRPr="00C33BA8">
        <w:rPr>
          <w:rFonts w:ascii="Book Antiqua" w:hAnsi="Book Antiqua"/>
          <w:color w:val="000000" w:themeColor="text1"/>
          <w:position w:val="2"/>
        </w:rPr>
        <w:t xml:space="preserve">, somatotropin = green triangle, presenilin = purple circle, </w:t>
      </w:r>
      <w:r w:rsidR="009379F5" w:rsidRPr="00C33BA8">
        <w:rPr>
          <w:rFonts w:ascii="Book Antiqua" w:hAnsi="Book Antiqua"/>
          <w:color w:val="000000" w:themeColor="text1"/>
        </w:rPr>
        <w:t>and</w:t>
      </w:r>
      <w:r w:rsidR="009379F5" w:rsidRPr="00C33BA8">
        <w:rPr>
          <w:rFonts w:ascii="Book Antiqua" w:hAnsi="Book Antiqua"/>
          <w:color w:val="000000" w:themeColor="text1"/>
          <w:spacing w:val="6"/>
        </w:rPr>
        <w:t xml:space="preserve"> </w:t>
      </w:r>
      <w:r w:rsidR="009379F5" w:rsidRPr="00C33BA8">
        <w:rPr>
          <w:rFonts w:ascii="Book Antiqua" w:hAnsi="Book Antiqua"/>
          <w:color w:val="000000" w:themeColor="text1"/>
        </w:rPr>
        <w:t>ω-gliadin = blue circle with different concentrations of the same antigen in liquid phase.</w:t>
      </w:r>
    </w:p>
    <w:sectPr w:rsidR="00920C46" w:rsidRPr="00C33BA8">
      <w:pgSz w:w="12240" w:h="15840"/>
      <w:pgMar w:top="1500" w:right="1280" w:bottom="920" w:left="1320" w:header="0" w:footer="72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CF7468" w14:textId="77777777" w:rsidR="003352B0" w:rsidRDefault="003352B0">
      <w:r>
        <w:separator/>
      </w:r>
    </w:p>
  </w:endnote>
  <w:endnote w:type="continuationSeparator" w:id="0">
    <w:p w14:paraId="4338F5E1" w14:textId="77777777" w:rsidR="003352B0" w:rsidRDefault="003352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FA34D" w14:textId="77777777" w:rsidR="0097537A" w:rsidRDefault="0097537A">
    <w:pPr>
      <w:pStyle w:val="BodyText"/>
      <w:spacing w:line="14" w:lineRule="auto"/>
      <w:ind w:left="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A97C1F" w14:textId="77777777" w:rsidR="003352B0" w:rsidRDefault="003352B0">
      <w:r>
        <w:separator/>
      </w:r>
    </w:p>
  </w:footnote>
  <w:footnote w:type="continuationSeparator" w:id="0">
    <w:p w14:paraId="049E343D" w14:textId="77777777" w:rsidR="003352B0" w:rsidRDefault="003352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470520"/>
    <w:multiLevelType w:val="hybridMultilevel"/>
    <w:tmpl w:val="ADD42184"/>
    <w:lvl w:ilvl="0" w:tplc="1E82DACE">
      <w:start w:val="3"/>
      <w:numFmt w:val="upperLetter"/>
      <w:lvlText w:val="%1."/>
      <w:lvlJc w:val="left"/>
      <w:pPr>
        <w:ind w:left="119" w:hanging="329"/>
        <w:jc w:val="left"/>
      </w:pPr>
      <w:rPr>
        <w:rFonts w:ascii="Times New Roman" w:eastAsia="Times New Roman" w:hAnsi="Times New Roman" w:cs="Times New Roman" w:hint="default"/>
        <w:i/>
        <w:color w:val="E75454"/>
        <w:spacing w:val="-13"/>
        <w:w w:val="87"/>
        <w:sz w:val="24"/>
        <w:szCs w:val="24"/>
      </w:rPr>
    </w:lvl>
    <w:lvl w:ilvl="1" w:tplc="C5C006B8">
      <w:start w:val="1"/>
      <w:numFmt w:val="decimal"/>
      <w:lvlText w:val="%2."/>
      <w:lvlJc w:val="left"/>
      <w:pPr>
        <w:ind w:left="479" w:hanging="360"/>
        <w:jc w:val="left"/>
      </w:pPr>
      <w:rPr>
        <w:rFonts w:ascii="Arial" w:eastAsia="Arial" w:hAnsi="Arial" w:cs="Arial" w:hint="default"/>
        <w:w w:val="91"/>
        <w:sz w:val="24"/>
        <w:szCs w:val="24"/>
      </w:rPr>
    </w:lvl>
    <w:lvl w:ilvl="2" w:tplc="14E6FC3E">
      <w:numFmt w:val="bullet"/>
      <w:lvlText w:val="•"/>
      <w:lvlJc w:val="left"/>
      <w:pPr>
        <w:ind w:left="1497" w:hanging="360"/>
      </w:pPr>
      <w:rPr>
        <w:rFonts w:hint="default"/>
      </w:rPr>
    </w:lvl>
    <w:lvl w:ilvl="3" w:tplc="824639AE">
      <w:numFmt w:val="bullet"/>
      <w:lvlText w:val="•"/>
      <w:lvlJc w:val="left"/>
      <w:pPr>
        <w:ind w:left="2515" w:hanging="360"/>
      </w:pPr>
      <w:rPr>
        <w:rFonts w:hint="default"/>
      </w:rPr>
    </w:lvl>
    <w:lvl w:ilvl="4" w:tplc="258A9E6C">
      <w:numFmt w:val="bullet"/>
      <w:lvlText w:val="•"/>
      <w:lvlJc w:val="left"/>
      <w:pPr>
        <w:ind w:left="3533" w:hanging="360"/>
      </w:pPr>
      <w:rPr>
        <w:rFonts w:hint="default"/>
      </w:rPr>
    </w:lvl>
    <w:lvl w:ilvl="5" w:tplc="0E005E70">
      <w:numFmt w:val="bullet"/>
      <w:lvlText w:val="•"/>
      <w:lvlJc w:val="left"/>
      <w:pPr>
        <w:ind w:left="4551" w:hanging="360"/>
      </w:pPr>
      <w:rPr>
        <w:rFonts w:hint="default"/>
      </w:rPr>
    </w:lvl>
    <w:lvl w:ilvl="6" w:tplc="7D92B632">
      <w:numFmt w:val="bullet"/>
      <w:lvlText w:val="•"/>
      <w:lvlJc w:val="left"/>
      <w:pPr>
        <w:ind w:left="5568" w:hanging="360"/>
      </w:pPr>
      <w:rPr>
        <w:rFonts w:hint="default"/>
      </w:rPr>
    </w:lvl>
    <w:lvl w:ilvl="7" w:tplc="107CD8A2">
      <w:numFmt w:val="bullet"/>
      <w:lvlText w:val="•"/>
      <w:lvlJc w:val="left"/>
      <w:pPr>
        <w:ind w:left="6586" w:hanging="360"/>
      </w:pPr>
      <w:rPr>
        <w:rFonts w:hint="default"/>
      </w:rPr>
    </w:lvl>
    <w:lvl w:ilvl="8" w:tplc="7D583F30">
      <w:numFmt w:val="bullet"/>
      <w:lvlText w:val="•"/>
      <w:lvlJc w:val="left"/>
      <w:pPr>
        <w:ind w:left="7604"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0C46"/>
    <w:rsid w:val="00014A84"/>
    <w:rsid w:val="00084DE1"/>
    <w:rsid w:val="000E6C6A"/>
    <w:rsid w:val="0010513B"/>
    <w:rsid w:val="00126085"/>
    <w:rsid w:val="001C0434"/>
    <w:rsid w:val="001C7A47"/>
    <w:rsid w:val="002060B6"/>
    <w:rsid w:val="00207E8A"/>
    <w:rsid w:val="002121F3"/>
    <w:rsid w:val="002612F6"/>
    <w:rsid w:val="002A43E4"/>
    <w:rsid w:val="002B580C"/>
    <w:rsid w:val="002D5E37"/>
    <w:rsid w:val="002F05A8"/>
    <w:rsid w:val="003352B0"/>
    <w:rsid w:val="00337EF2"/>
    <w:rsid w:val="00375C74"/>
    <w:rsid w:val="003A3CBD"/>
    <w:rsid w:val="003D6A37"/>
    <w:rsid w:val="00426CD5"/>
    <w:rsid w:val="00445F10"/>
    <w:rsid w:val="004B13C1"/>
    <w:rsid w:val="004E249A"/>
    <w:rsid w:val="005170FB"/>
    <w:rsid w:val="00517F9E"/>
    <w:rsid w:val="005509D2"/>
    <w:rsid w:val="00560B6A"/>
    <w:rsid w:val="00674A0A"/>
    <w:rsid w:val="00686B93"/>
    <w:rsid w:val="006B3263"/>
    <w:rsid w:val="00703FC2"/>
    <w:rsid w:val="007162FB"/>
    <w:rsid w:val="008042CE"/>
    <w:rsid w:val="008C294F"/>
    <w:rsid w:val="008D7789"/>
    <w:rsid w:val="00920C46"/>
    <w:rsid w:val="009379F5"/>
    <w:rsid w:val="00946B9F"/>
    <w:rsid w:val="0097537A"/>
    <w:rsid w:val="009B5948"/>
    <w:rsid w:val="009C3AEB"/>
    <w:rsid w:val="009F638B"/>
    <w:rsid w:val="00A81D39"/>
    <w:rsid w:val="00AC2E05"/>
    <w:rsid w:val="00B51170"/>
    <w:rsid w:val="00B85FCF"/>
    <w:rsid w:val="00B86781"/>
    <w:rsid w:val="00C33BA8"/>
    <w:rsid w:val="00C53533"/>
    <w:rsid w:val="00C672F8"/>
    <w:rsid w:val="00C70540"/>
    <w:rsid w:val="00C85557"/>
    <w:rsid w:val="00C94002"/>
    <w:rsid w:val="00CA0050"/>
    <w:rsid w:val="00CB389C"/>
    <w:rsid w:val="00CD4F78"/>
    <w:rsid w:val="00D43E0D"/>
    <w:rsid w:val="00D67A2D"/>
    <w:rsid w:val="00D9683D"/>
    <w:rsid w:val="00E013EB"/>
    <w:rsid w:val="00E46589"/>
    <w:rsid w:val="00E642A8"/>
    <w:rsid w:val="00E815E9"/>
    <w:rsid w:val="00F03A3F"/>
    <w:rsid w:val="00F6576D"/>
    <w:rsid w:val="00F871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7C2895"/>
  <w15:docId w15:val="{BF2DBB7D-0729-4D8A-9E4A-8CF985E75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Georgia" w:eastAsia="Georgia" w:hAnsi="Georgia" w:cs="Georgia"/>
    </w:rPr>
  </w:style>
  <w:style w:type="paragraph" w:styleId="Heading1">
    <w:name w:val="heading 1"/>
    <w:basedOn w:val="Normal"/>
    <w:uiPriority w:val="1"/>
    <w:qFormat/>
    <w:pPr>
      <w:ind w:left="119"/>
      <w:outlineLvl w:val="0"/>
    </w:pPr>
    <w:rPr>
      <w:rFonts w:ascii="Times New Roman" w:eastAsia="Times New Roman" w:hAnsi="Times New Roman" w:cs="Times New Roman"/>
      <w:b/>
      <w:bCs/>
      <w:sz w:val="24"/>
      <w:szCs w:val="24"/>
    </w:rPr>
  </w:style>
  <w:style w:type="paragraph" w:styleId="Heading2">
    <w:name w:val="heading 2"/>
    <w:basedOn w:val="Normal"/>
    <w:uiPriority w:val="1"/>
    <w:qFormat/>
    <w:pPr>
      <w:spacing w:before="98"/>
      <w:ind w:left="119"/>
      <w:outlineLvl w:val="1"/>
    </w:pPr>
    <w:rPr>
      <w:rFonts w:ascii="Times New Roman" w:eastAsia="Times New Roman" w:hAnsi="Times New Roman" w:cs="Times New Roman"/>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pPr>
      <w:ind w:left="119"/>
    </w:pPr>
    <w:rPr>
      <w:sz w:val="24"/>
      <w:szCs w:val="24"/>
    </w:rPr>
  </w:style>
  <w:style w:type="paragraph" w:styleId="ListParagraph">
    <w:name w:val="List Paragraph"/>
    <w:basedOn w:val="Normal"/>
    <w:uiPriority w:val="1"/>
    <w:qFormat/>
    <w:pPr>
      <w:ind w:left="479"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86B9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686B93"/>
    <w:rPr>
      <w:rFonts w:ascii="Georgia" w:eastAsia="Georgia" w:hAnsi="Georgia" w:cs="Georgia"/>
      <w:sz w:val="18"/>
      <w:szCs w:val="18"/>
    </w:rPr>
  </w:style>
  <w:style w:type="paragraph" w:styleId="Footer">
    <w:name w:val="footer"/>
    <w:basedOn w:val="Normal"/>
    <w:link w:val="FooterChar"/>
    <w:uiPriority w:val="99"/>
    <w:unhideWhenUsed/>
    <w:rsid w:val="00686B93"/>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686B93"/>
    <w:rPr>
      <w:rFonts w:ascii="Georgia" w:eastAsia="Georgia" w:hAnsi="Georgia" w:cs="Georgia"/>
      <w:sz w:val="18"/>
      <w:szCs w:val="18"/>
    </w:rPr>
  </w:style>
  <w:style w:type="character" w:styleId="Hyperlink">
    <w:name w:val="Hyperlink"/>
    <w:rsid w:val="00C33BA8"/>
    <w:rPr>
      <w:color w:val="0000FF"/>
      <w:u w:val="single"/>
    </w:rPr>
  </w:style>
  <w:style w:type="paragraph" w:styleId="BalloonText">
    <w:name w:val="Balloon Text"/>
    <w:basedOn w:val="Normal"/>
    <w:link w:val="BalloonTextChar"/>
    <w:uiPriority w:val="99"/>
    <w:semiHidden/>
    <w:unhideWhenUsed/>
    <w:rsid w:val="00B51170"/>
    <w:rPr>
      <w:sz w:val="18"/>
      <w:szCs w:val="18"/>
    </w:rPr>
  </w:style>
  <w:style w:type="character" w:customStyle="1" w:styleId="BalloonTextChar">
    <w:name w:val="Balloon Text Char"/>
    <w:basedOn w:val="DefaultParagraphFont"/>
    <w:link w:val="BalloonText"/>
    <w:uiPriority w:val="99"/>
    <w:semiHidden/>
    <w:rsid w:val="00B51170"/>
    <w:rPr>
      <w:rFonts w:ascii="Georgia" w:eastAsia="Georgia" w:hAnsi="Georgia" w:cs="Georgi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322291">
      <w:bodyDiv w:val="1"/>
      <w:marLeft w:val="0"/>
      <w:marRight w:val="0"/>
      <w:marTop w:val="0"/>
      <w:marBottom w:val="0"/>
      <w:divBdr>
        <w:top w:val="none" w:sz="0" w:space="0" w:color="auto"/>
        <w:left w:val="none" w:sz="0" w:space="0" w:color="auto"/>
        <w:bottom w:val="none" w:sz="0" w:space="0" w:color="auto"/>
        <w:right w:val="none" w:sz="0" w:space="0" w:color="auto"/>
      </w:divBdr>
    </w:div>
    <w:div w:id="354037884">
      <w:bodyDiv w:val="1"/>
      <w:marLeft w:val="0"/>
      <w:marRight w:val="0"/>
      <w:marTop w:val="0"/>
      <w:marBottom w:val="0"/>
      <w:divBdr>
        <w:top w:val="none" w:sz="0" w:space="0" w:color="auto"/>
        <w:left w:val="none" w:sz="0" w:space="0" w:color="auto"/>
        <w:bottom w:val="none" w:sz="0" w:space="0" w:color="auto"/>
        <w:right w:val="none" w:sz="0" w:space="0" w:color="auto"/>
      </w:divBdr>
    </w:div>
    <w:div w:id="426582068">
      <w:bodyDiv w:val="1"/>
      <w:marLeft w:val="0"/>
      <w:marRight w:val="0"/>
      <w:marTop w:val="0"/>
      <w:marBottom w:val="0"/>
      <w:divBdr>
        <w:top w:val="none" w:sz="0" w:space="0" w:color="auto"/>
        <w:left w:val="none" w:sz="0" w:space="0" w:color="auto"/>
        <w:bottom w:val="none" w:sz="0" w:space="0" w:color="auto"/>
        <w:right w:val="none" w:sz="0" w:space="0" w:color="auto"/>
      </w:divBdr>
    </w:div>
    <w:div w:id="685450447">
      <w:bodyDiv w:val="1"/>
      <w:marLeft w:val="0"/>
      <w:marRight w:val="0"/>
      <w:marTop w:val="0"/>
      <w:marBottom w:val="0"/>
      <w:divBdr>
        <w:top w:val="none" w:sz="0" w:space="0" w:color="auto"/>
        <w:left w:val="none" w:sz="0" w:space="0" w:color="auto"/>
        <w:bottom w:val="none" w:sz="0" w:space="0" w:color="auto"/>
        <w:right w:val="none" w:sz="0" w:space="0" w:color="auto"/>
      </w:divBdr>
    </w:div>
    <w:div w:id="807748721">
      <w:bodyDiv w:val="1"/>
      <w:marLeft w:val="0"/>
      <w:marRight w:val="0"/>
      <w:marTop w:val="0"/>
      <w:marBottom w:val="0"/>
      <w:divBdr>
        <w:top w:val="none" w:sz="0" w:space="0" w:color="auto"/>
        <w:left w:val="none" w:sz="0" w:space="0" w:color="auto"/>
        <w:bottom w:val="none" w:sz="0" w:space="0" w:color="auto"/>
        <w:right w:val="none" w:sz="0" w:space="0" w:color="auto"/>
      </w:divBdr>
    </w:div>
    <w:div w:id="945160633">
      <w:bodyDiv w:val="1"/>
      <w:marLeft w:val="0"/>
      <w:marRight w:val="0"/>
      <w:marTop w:val="0"/>
      <w:marBottom w:val="0"/>
      <w:divBdr>
        <w:top w:val="none" w:sz="0" w:space="0" w:color="auto"/>
        <w:left w:val="none" w:sz="0" w:space="0" w:color="auto"/>
        <w:bottom w:val="none" w:sz="0" w:space="0" w:color="auto"/>
        <w:right w:val="none" w:sz="0" w:space="0" w:color="auto"/>
      </w:divBdr>
    </w:div>
    <w:div w:id="1021660148">
      <w:bodyDiv w:val="1"/>
      <w:marLeft w:val="0"/>
      <w:marRight w:val="0"/>
      <w:marTop w:val="0"/>
      <w:marBottom w:val="0"/>
      <w:divBdr>
        <w:top w:val="none" w:sz="0" w:space="0" w:color="auto"/>
        <w:left w:val="none" w:sz="0" w:space="0" w:color="auto"/>
        <w:bottom w:val="none" w:sz="0" w:space="0" w:color="auto"/>
        <w:right w:val="none" w:sz="0" w:space="0" w:color="auto"/>
      </w:divBdr>
    </w:div>
    <w:div w:id="1164324497">
      <w:bodyDiv w:val="1"/>
      <w:marLeft w:val="0"/>
      <w:marRight w:val="0"/>
      <w:marTop w:val="0"/>
      <w:marBottom w:val="0"/>
      <w:divBdr>
        <w:top w:val="none" w:sz="0" w:space="0" w:color="auto"/>
        <w:left w:val="none" w:sz="0" w:space="0" w:color="auto"/>
        <w:bottom w:val="none" w:sz="0" w:space="0" w:color="auto"/>
        <w:right w:val="none" w:sz="0" w:space="0" w:color="auto"/>
      </w:divBdr>
    </w:div>
    <w:div w:id="1467548831">
      <w:bodyDiv w:val="1"/>
      <w:marLeft w:val="0"/>
      <w:marRight w:val="0"/>
      <w:marTop w:val="0"/>
      <w:marBottom w:val="0"/>
      <w:divBdr>
        <w:top w:val="none" w:sz="0" w:space="0" w:color="auto"/>
        <w:left w:val="none" w:sz="0" w:space="0" w:color="auto"/>
        <w:bottom w:val="none" w:sz="0" w:space="0" w:color="auto"/>
        <w:right w:val="none" w:sz="0" w:space="0" w:color="auto"/>
      </w:divBdr>
    </w:div>
    <w:div w:id="1484740501">
      <w:bodyDiv w:val="1"/>
      <w:marLeft w:val="0"/>
      <w:marRight w:val="0"/>
      <w:marTop w:val="0"/>
      <w:marBottom w:val="0"/>
      <w:divBdr>
        <w:top w:val="none" w:sz="0" w:space="0" w:color="auto"/>
        <w:left w:val="none" w:sz="0" w:space="0" w:color="auto"/>
        <w:bottom w:val="none" w:sz="0" w:space="0" w:color="auto"/>
        <w:right w:val="none" w:sz="0" w:space="0" w:color="auto"/>
      </w:divBdr>
    </w:div>
    <w:div w:id="1514342271">
      <w:bodyDiv w:val="1"/>
      <w:marLeft w:val="0"/>
      <w:marRight w:val="0"/>
      <w:marTop w:val="0"/>
      <w:marBottom w:val="0"/>
      <w:divBdr>
        <w:top w:val="none" w:sz="0" w:space="0" w:color="auto"/>
        <w:left w:val="none" w:sz="0" w:space="0" w:color="auto"/>
        <w:bottom w:val="none" w:sz="0" w:space="0" w:color="auto"/>
        <w:right w:val="none" w:sz="0" w:space="0" w:color="auto"/>
      </w:divBdr>
    </w:div>
    <w:div w:id="1634367938">
      <w:bodyDiv w:val="1"/>
      <w:marLeft w:val="0"/>
      <w:marRight w:val="0"/>
      <w:marTop w:val="0"/>
      <w:marBottom w:val="0"/>
      <w:divBdr>
        <w:top w:val="none" w:sz="0" w:space="0" w:color="auto"/>
        <w:left w:val="none" w:sz="0" w:space="0" w:color="auto"/>
        <w:bottom w:val="none" w:sz="0" w:space="0" w:color="auto"/>
        <w:right w:val="none" w:sz="0" w:space="0" w:color="auto"/>
      </w:divBdr>
    </w:div>
    <w:div w:id="1774011810">
      <w:bodyDiv w:val="1"/>
      <w:marLeft w:val="0"/>
      <w:marRight w:val="0"/>
      <w:marTop w:val="0"/>
      <w:marBottom w:val="0"/>
      <w:divBdr>
        <w:top w:val="none" w:sz="0" w:space="0" w:color="auto"/>
        <w:left w:val="none" w:sz="0" w:space="0" w:color="auto"/>
        <w:bottom w:val="none" w:sz="0" w:space="0" w:color="auto"/>
        <w:right w:val="none" w:sz="0" w:space="0" w:color="auto"/>
      </w:divBdr>
    </w:div>
    <w:div w:id="1882668044">
      <w:bodyDiv w:val="1"/>
      <w:marLeft w:val="0"/>
      <w:marRight w:val="0"/>
      <w:marTop w:val="0"/>
      <w:marBottom w:val="0"/>
      <w:divBdr>
        <w:top w:val="none" w:sz="0" w:space="0" w:color="auto"/>
        <w:left w:val="none" w:sz="0" w:space="0" w:color="auto"/>
        <w:bottom w:val="none" w:sz="0" w:space="0" w:color="auto"/>
        <w:right w:val="none" w:sz="0" w:space="0" w:color="auto"/>
      </w:divBdr>
    </w:div>
    <w:div w:id="1998922569">
      <w:bodyDiv w:val="1"/>
      <w:marLeft w:val="0"/>
      <w:marRight w:val="0"/>
      <w:marTop w:val="0"/>
      <w:marBottom w:val="0"/>
      <w:divBdr>
        <w:top w:val="none" w:sz="0" w:space="0" w:color="auto"/>
        <w:left w:val="none" w:sz="0" w:space="0" w:color="auto"/>
        <w:bottom w:val="none" w:sz="0" w:space="0" w:color="auto"/>
        <w:right w:val="none" w:sz="0" w:space="0" w:color="auto"/>
      </w:divBdr>
    </w:div>
    <w:div w:id="2045012248">
      <w:bodyDiv w:val="1"/>
      <w:marLeft w:val="0"/>
      <w:marRight w:val="0"/>
      <w:marTop w:val="0"/>
      <w:marBottom w:val="0"/>
      <w:divBdr>
        <w:top w:val="none" w:sz="0" w:space="0" w:color="auto"/>
        <w:left w:val="none" w:sz="0" w:space="0" w:color="auto"/>
        <w:bottom w:val="none" w:sz="0" w:space="0" w:color="auto"/>
        <w:right w:val="none" w:sz="0" w:space="0" w:color="auto"/>
      </w:divBdr>
    </w:div>
    <w:div w:id="2067990109">
      <w:bodyDiv w:val="1"/>
      <w:marLeft w:val="0"/>
      <w:marRight w:val="0"/>
      <w:marTop w:val="0"/>
      <w:marBottom w:val="0"/>
      <w:divBdr>
        <w:top w:val="none" w:sz="0" w:space="0" w:color="auto"/>
        <w:left w:val="none" w:sz="0" w:space="0" w:color="auto"/>
        <w:bottom w:val="none" w:sz="0" w:space="0" w:color="auto"/>
        <w:right w:val="none" w:sz="0" w:space="0" w:color="auto"/>
      </w:divBdr>
    </w:div>
    <w:div w:id="20773196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drari@msn.com"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40</Pages>
  <Words>11592</Words>
  <Characters>66076</Characters>
  <Application>Microsoft Office Word</Application>
  <DocSecurity>0</DocSecurity>
  <Lines>550</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Lian-Sheng Ma</cp:lastModifiedBy>
  <cp:revision>2</cp:revision>
  <dcterms:created xsi:type="dcterms:W3CDTF">2019-01-26T04:53:00Z</dcterms:created>
  <dcterms:modified xsi:type="dcterms:W3CDTF">2019-01-26T04:53:00Z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2019-01-17T00:00:00Z</vt:filetime>
  </property>
</Properties>
</file>