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E0714" w14:textId="06174E79" w:rsidR="001C6C0F" w:rsidRPr="007B6E12" w:rsidRDefault="001C6C0F" w:rsidP="00FD080D">
      <w:pPr>
        <w:adjustRightInd w:val="0"/>
        <w:snapToGrid w:val="0"/>
        <w:spacing w:after="0" w:line="360" w:lineRule="auto"/>
        <w:jc w:val="both"/>
        <w:rPr>
          <w:rFonts w:ascii="Book Antiqua" w:hAnsi="Book Antiqua" w:cs="Times New Roman"/>
          <w:b/>
          <w:bCs/>
          <w:i/>
          <w:sz w:val="24"/>
          <w:szCs w:val="24"/>
        </w:rPr>
      </w:pPr>
      <w:r w:rsidRPr="00FD080D">
        <w:rPr>
          <w:rFonts w:ascii="Book Antiqua" w:hAnsi="Book Antiqua" w:cs="Times New Roman"/>
          <w:b/>
          <w:sz w:val="24"/>
          <w:szCs w:val="24"/>
        </w:rPr>
        <w:t xml:space="preserve">Name of </w:t>
      </w:r>
      <w:r w:rsidR="003B1EE6" w:rsidRPr="00FD080D">
        <w:rPr>
          <w:rFonts w:ascii="Book Antiqua" w:hAnsi="Book Antiqua" w:cs="Times New Roman"/>
          <w:b/>
          <w:sz w:val="24"/>
          <w:szCs w:val="24"/>
        </w:rPr>
        <w:t>J</w:t>
      </w:r>
      <w:r w:rsidRPr="00FD080D">
        <w:rPr>
          <w:rFonts w:ascii="Book Antiqua" w:hAnsi="Book Antiqua" w:cs="Times New Roman"/>
          <w:b/>
          <w:sz w:val="24"/>
          <w:szCs w:val="24"/>
        </w:rPr>
        <w:t>ournal:</w:t>
      </w:r>
      <w:r w:rsidRPr="00FD080D">
        <w:rPr>
          <w:rFonts w:ascii="Book Antiqua" w:hAnsi="Book Antiqua" w:cs="Times New Roman"/>
          <w:sz w:val="24"/>
          <w:szCs w:val="24"/>
        </w:rPr>
        <w:t xml:space="preserve"> </w:t>
      </w:r>
      <w:r w:rsidRPr="007B6E12">
        <w:rPr>
          <w:rFonts w:ascii="Book Antiqua" w:hAnsi="Book Antiqua" w:cs="Times New Roman"/>
          <w:b/>
          <w:bCs/>
          <w:i/>
          <w:sz w:val="24"/>
          <w:szCs w:val="24"/>
        </w:rPr>
        <w:t>World Journal of Gastroenterology</w:t>
      </w:r>
      <w:r w:rsidRPr="007B6E12">
        <w:rPr>
          <w:rFonts w:ascii="Book Antiqua" w:hAnsi="Book Antiqua" w:cs="Times New Roman"/>
          <w:b/>
          <w:bCs/>
          <w:sz w:val="24"/>
          <w:szCs w:val="24"/>
        </w:rPr>
        <w:t xml:space="preserve"> </w:t>
      </w:r>
    </w:p>
    <w:p w14:paraId="0CBF2256" w14:textId="08F375F0" w:rsidR="003B1EE6" w:rsidRPr="007B6E12" w:rsidRDefault="003B1EE6" w:rsidP="00FD080D">
      <w:pPr>
        <w:adjustRightInd w:val="0"/>
        <w:snapToGrid w:val="0"/>
        <w:spacing w:after="0" w:line="360" w:lineRule="auto"/>
        <w:jc w:val="both"/>
        <w:rPr>
          <w:rFonts w:ascii="Book Antiqua" w:hAnsi="Book Antiqua" w:cs="Times New Roman"/>
          <w:b/>
          <w:bCs/>
          <w:sz w:val="24"/>
          <w:szCs w:val="24"/>
        </w:rPr>
      </w:pPr>
      <w:r w:rsidRPr="007B6E12">
        <w:rPr>
          <w:rFonts w:ascii="Book Antiqua" w:hAnsi="Book Antiqua" w:cs="Times New Roman"/>
          <w:b/>
          <w:bCs/>
          <w:sz w:val="24"/>
          <w:szCs w:val="24"/>
        </w:rPr>
        <w:t xml:space="preserve">Manuscript NO: 44687 </w:t>
      </w:r>
    </w:p>
    <w:p w14:paraId="02462624" w14:textId="13DAFCB2" w:rsidR="00F40474" w:rsidRPr="007B6E12" w:rsidRDefault="001C6C0F" w:rsidP="00FD080D">
      <w:pPr>
        <w:adjustRightInd w:val="0"/>
        <w:snapToGrid w:val="0"/>
        <w:spacing w:after="0" w:line="360" w:lineRule="auto"/>
        <w:jc w:val="both"/>
        <w:rPr>
          <w:rFonts w:ascii="Book Antiqua" w:hAnsi="Book Antiqua" w:cs="Times New Roman"/>
          <w:b/>
          <w:bCs/>
          <w:sz w:val="24"/>
          <w:szCs w:val="24"/>
        </w:rPr>
      </w:pPr>
      <w:r w:rsidRPr="00FD080D">
        <w:rPr>
          <w:rFonts w:ascii="Book Antiqua" w:hAnsi="Book Antiqua" w:cs="Times New Roman"/>
          <w:b/>
          <w:sz w:val="24"/>
          <w:szCs w:val="24"/>
        </w:rPr>
        <w:t>Manuscript Type:</w:t>
      </w:r>
      <w:r w:rsidRPr="00FD080D">
        <w:rPr>
          <w:rFonts w:ascii="Book Antiqua" w:hAnsi="Book Antiqua" w:cs="Times New Roman"/>
          <w:sz w:val="24"/>
          <w:szCs w:val="24"/>
        </w:rPr>
        <w:t xml:space="preserve"> </w:t>
      </w:r>
      <w:r w:rsidR="007B6E12" w:rsidRPr="007B6E12">
        <w:rPr>
          <w:rFonts w:ascii="Book Antiqua" w:hAnsi="Book Antiqua" w:cs="Times New Roman"/>
          <w:b/>
          <w:bCs/>
          <w:sz w:val="24"/>
          <w:szCs w:val="24"/>
        </w:rPr>
        <w:t>ORIGINAL ARTICLE</w:t>
      </w:r>
    </w:p>
    <w:p w14:paraId="494AEC8D" w14:textId="13095781" w:rsidR="001C6C0F" w:rsidRDefault="001C6C0F" w:rsidP="00FD080D">
      <w:pPr>
        <w:adjustRightInd w:val="0"/>
        <w:snapToGrid w:val="0"/>
        <w:spacing w:after="0" w:line="360" w:lineRule="auto"/>
        <w:jc w:val="both"/>
        <w:rPr>
          <w:rFonts w:ascii="Book Antiqua" w:hAnsi="Book Antiqua" w:cs="Times New Roman"/>
          <w:sz w:val="24"/>
          <w:szCs w:val="24"/>
        </w:rPr>
      </w:pPr>
    </w:p>
    <w:p w14:paraId="686EA5A9" w14:textId="20FE5549" w:rsidR="007B6E12" w:rsidRPr="007B6E12" w:rsidRDefault="007B6E12" w:rsidP="00FD080D">
      <w:pPr>
        <w:adjustRightInd w:val="0"/>
        <w:snapToGrid w:val="0"/>
        <w:spacing w:after="0" w:line="360" w:lineRule="auto"/>
        <w:jc w:val="both"/>
        <w:rPr>
          <w:rFonts w:ascii="Book Antiqua" w:hAnsi="Book Antiqua" w:cs="Times New Roman"/>
          <w:b/>
          <w:bCs/>
          <w:i/>
          <w:iCs/>
          <w:sz w:val="24"/>
          <w:szCs w:val="24"/>
        </w:rPr>
      </w:pPr>
      <w:r w:rsidRPr="007B6E12">
        <w:rPr>
          <w:rFonts w:ascii="Book Antiqua" w:hAnsi="Book Antiqua" w:cs="Times New Roman"/>
          <w:b/>
          <w:bCs/>
          <w:i/>
          <w:iCs/>
          <w:sz w:val="24"/>
          <w:szCs w:val="24"/>
        </w:rPr>
        <w:t>Retrospective Study</w:t>
      </w:r>
    </w:p>
    <w:p w14:paraId="20B59053" w14:textId="112FFDBB" w:rsidR="001C6C0F" w:rsidRPr="00706740" w:rsidRDefault="001C6C0F" w:rsidP="00FD080D">
      <w:pPr>
        <w:adjustRightInd w:val="0"/>
        <w:snapToGrid w:val="0"/>
        <w:spacing w:after="0" w:line="360" w:lineRule="auto"/>
        <w:jc w:val="both"/>
        <w:rPr>
          <w:rFonts w:ascii="Book Antiqua" w:hAnsi="Book Antiqua" w:cs="Times New Roman"/>
          <w:b/>
          <w:bCs/>
          <w:sz w:val="24"/>
          <w:szCs w:val="24"/>
        </w:rPr>
      </w:pPr>
      <w:r w:rsidRPr="00706740">
        <w:rPr>
          <w:rFonts w:ascii="Book Antiqua" w:hAnsi="Book Antiqua" w:cs="Times New Roman"/>
          <w:b/>
          <w:bCs/>
          <w:sz w:val="24"/>
          <w:szCs w:val="24"/>
        </w:rPr>
        <w:t>Natural history of children with mild Crohn</w:t>
      </w:r>
      <w:r w:rsidR="00153E1C">
        <w:rPr>
          <w:rFonts w:ascii="Book Antiqua" w:hAnsi="Book Antiqua" w:cs="Times New Roman"/>
          <w:b/>
          <w:bCs/>
          <w:sz w:val="24"/>
          <w:szCs w:val="24"/>
        </w:rPr>
        <w:t>’</w:t>
      </w:r>
      <w:r w:rsidRPr="00706740">
        <w:rPr>
          <w:rFonts w:ascii="Book Antiqua" w:hAnsi="Book Antiqua" w:cs="Times New Roman"/>
          <w:b/>
          <w:bCs/>
          <w:sz w:val="24"/>
          <w:szCs w:val="24"/>
        </w:rPr>
        <w:t>s disease</w:t>
      </w:r>
      <w:r w:rsidR="002952EE" w:rsidRPr="00706740">
        <w:rPr>
          <w:rFonts w:ascii="Book Antiqua" w:hAnsi="Book Antiqua" w:cs="Times New Roman"/>
          <w:b/>
          <w:bCs/>
          <w:sz w:val="24"/>
          <w:szCs w:val="24"/>
        </w:rPr>
        <w:t xml:space="preserve"> </w:t>
      </w:r>
    </w:p>
    <w:p w14:paraId="706E854F" w14:textId="5A8053ED" w:rsidR="001C6C0F" w:rsidRDefault="001C6C0F" w:rsidP="00FD080D">
      <w:pPr>
        <w:adjustRightInd w:val="0"/>
        <w:snapToGrid w:val="0"/>
        <w:spacing w:after="0" w:line="360" w:lineRule="auto"/>
        <w:jc w:val="both"/>
        <w:rPr>
          <w:rFonts w:ascii="Book Antiqua" w:hAnsi="Book Antiqua" w:cs="Times New Roman"/>
          <w:sz w:val="24"/>
          <w:szCs w:val="24"/>
        </w:rPr>
      </w:pPr>
    </w:p>
    <w:p w14:paraId="08209606" w14:textId="6654C832" w:rsidR="00F22374" w:rsidRDefault="00706740" w:rsidP="00FD080D">
      <w:pPr>
        <w:adjustRightInd w:val="0"/>
        <w:snapToGrid w:val="0"/>
        <w:spacing w:after="0" w:line="360" w:lineRule="auto"/>
        <w:jc w:val="both"/>
        <w:rPr>
          <w:rFonts w:ascii="Book Antiqua" w:hAnsi="Book Antiqua" w:cs="Times New Roman"/>
          <w:sz w:val="24"/>
          <w:szCs w:val="24"/>
        </w:rPr>
      </w:pPr>
      <w:r w:rsidRPr="00FD080D">
        <w:rPr>
          <w:rFonts w:ascii="Book Antiqua" w:hAnsi="Book Antiqua" w:cs="Times New Roman"/>
          <w:sz w:val="24"/>
          <w:szCs w:val="24"/>
        </w:rPr>
        <w:t>Sharma</w:t>
      </w:r>
      <w:r>
        <w:rPr>
          <w:rFonts w:ascii="Book Antiqua" w:hAnsi="Book Antiqua" w:cs="Times New Roman"/>
          <w:sz w:val="24"/>
          <w:szCs w:val="24"/>
        </w:rPr>
        <w:t xml:space="preserve"> Y </w:t>
      </w:r>
      <w:r w:rsidRPr="00706740">
        <w:rPr>
          <w:rFonts w:ascii="Book Antiqua" w:hAnsi="Book Antiqua" w:cs="Times New Roman"/>
          <w:i/>
          <w:iCs/>
          <w:sz w:val="24"/>
          <w:szCs w:val="24"/>
        </w:rPr>
        <w:t>et al</w:t>
      </w:r>
      <w:r>
        <w:rPr>
          <w:rFonts w:ascii="Book Antiqua" w:hAnsi="Book Antiqua" w:cs="Times New Roman"/>
          <w:sz w:val="24"/>
          <w:szCs w:val="24"/>
        </w:rPr>
        <w:t xml:space="preserve">. </w:t>
      </w:r>
      <w:bookmarkStart w:id="0" w:name="OLE_LINK77"/>
      <w:bookmarkStart w:id="1" w:name="OLE_LINK78"/>
      <w:r w:rsidR="00520D07">
        <w:rPr>
          <w:rFonts w:ascii="Book Antiqua" w:hAnsi="Book Antiqua" w:cs="Times New Roman"/>
          <w:sz w:val="24"/>
          <w:szCs w:val="24"/>
        </w:rPr>
        <w:t>Children with CD</w:t>
      </w:r>
      <w:bookmarkEnd w:id="0"/>
      <w:bookmarkEnd w:id="1"/>
    </w:p>
    <w:p w14:paraId="5D912444" w14:textId="77777777" w:rsidR="00520D07" w:rsidRPr="00FD080D" w:rsidRDefault="00520D07" w:rsidP="00FD080D">
      <w:pPr>
        <w:adjustRightInd w:val="0"/>
        <w:snapToGrid w:val="0"/>
        <w:spacing w:after="0" w:line="360" w:lineRule="auto"/>
        <w:jc w:val="both"/>
        <w:rPr>
          <w:rFonts w:ascii="Book Antiqua" w:hAnsi="Book Antiqua" w:cs="Times New Roman"/>
          <w:sz w:val="24"/>
          <w:szCs w:val="24"/>
        </w:rPr>
      </w:pPr>
    </w:p>
    <w:p w14:paraId="5AFD1AA3" w14:textId="77777777" w:rsidR="001C6C0F" w:rsidRPr="00FD080D" w:rsidRDefault="001C6C0F" w:rsidP="00FD080D">
      <w:pPr>
        <w:adjustRightInd w:val="0"/>
        <w:snapToGrid w:val="0"/>
        <w:spacing w:after="0" w:line="360" w:lineRule="auto"/>
        <w:jc w:val="both"/>
        <w:rPr>
          <w:rFonts w:ascii="Book Antiqua" w:hAnsi="Book Antiqua" w:cs="Times New Roman"/>
          <w:sz w:val="24"/>
          <w:szCs w:val="24"/>
        </w:rPr>
      </w:pPr>
      <w:r w:rsidRPr="00FD080D">
        <w:rPr>
          <w:rFonts w:ascii="Book Antiqua" w:hAnsi="Book Antiqua" w:cs="Times New Roman"/>
          <w:sz w:val="24"/>
          <w:szCs w:val="24"/>
        </w:rPr>
        <w:t xml:space="preserve">Yamini Sharma, Athos </w:t>
      </w:r>
      <w:proofErr w:type="spellStart"/>
      <w:r w:rsidRPr="00FD080D">
        <w:rPr>
          <w:rFonts w:ascii="Book Antiqua" w:hAnsi="Book Antiqua" w:cs="Times New Roman"/>
          <w:sz w:val="24"/>
          <w:szCs w:val="24"/>
        </w:rPr>
        <w:t>Bousvaros</w:t>
      </w:r>
      <w:proofErr w:type="spellEnd"/>
      <w:r w:rsidRPr="00FD080D">
        <w:rPr>
          <w:rFonts w:ascii="Book Antiqua" w:hAnsi="Book Antiqua" w:cs="Times New Roman"/>
          <w:sz w:val="24"/>
          <w:szCs w:val="24"/>
        </w:rPr>
        <w:t xml:space="preserve">, </w:t>
      </w:r>
      <w:proofErr w:type="spellStart"/>
      <w:r w:rsidRPr="00FD080D">
        <w:rPr>
          <w:rFonts w:ascii="Book Antiqua" w:hAnsi="Book Antiqua" w:cs="Times New Roman"/>
          <w:sz w:val="24"/>
          <w:szCs w:val="24"/>
        </w:rPr>
        <w:t>Enju</w:t>
      </w:r>
      <w:proofErr w:type="spellEnd"/>
      <w:r w:rsidRPr="00FD080D">
        <w:rPr>
          <w:rFonts w:ascii="Book Antiqua" w:hAnsi="Book Antiqua" w:cs="Times New Roman"/>
          <w:sz w:val="24"/>
          <w:szCs w:val="24"/>
        </w:rPr>
        <w:t xml:space="preserve"> Liu, Julia Bender Stern </w:t>
      </w:r>
    </w:p>
    <w:p w14:paraId="3AF3D1A2" w14:textId="77777777" w:rsidR="001C6C0F" w:rsidRPr="00FD080D" w:rsidRDefault="001C6C0F" w:rsidP="00FD080D">
      <w:pPr>
        <w:adjustRightInd w:val="0"/>
        <w:snapToGrid w:val="0"/>
        <w:spacing w:after="0" w:line="360" w:lineRule="auto"/>
        <w:jc w:val="both"/>
        <w:rPr>
          <w:rFonts w:ascii="Book Antiqua" w:hAnsi="Book Antiqua" w:cs="Times New Roman"/>
          <w:b/>
          <w:sz w:val="24"/>
          <w:szCs w:val="24"/>
        </w:rPr>
      </w:pPr>
    </w:p>
    <w:p w14:paraId="36BDF557" w14:textId="348C5F8A" w:rsidR="001C6C0F" w:rsidRPr="00FD080D" w:rsidRDefault="001C6C0F" w:rsidP="00FD080D">
      <w:pPr>
        <w:adjustRightInd w:val="0"/>
        <w:snapToGrid w:val="0"/>
        <w:spacing w:after="0" w:line="360" w:lineRule="auto"/>
        <w:jc w:val="both"/>
        <w:rPr>
          <w:rFonts w:ascii="Book Antiqua" w:hAnsi="Book Antiqua" w:cs="Times New Roman"/>
          <w:sz w:val="24"/>
          <w:szCs w:val="24"/>
        </w:rPr>
      </w:pPr>
      <w:r w:rsidRPr="00FD080D">
        <w:rPr>
          <w:rFonts w:ascii="Book Antiqua" w:hAnsi="Book Antiqua" w:cs="Times New Roman"/>
          <w:b/>
          <w:sz w:val="24"/>
          <w:szCs w:val="24"/>
        </w:rPr>
        <w:t xml:space="preserve">Yamini Sharma, Athos </w:t>
      </w:r>
      <w:proofErr w:type="spellStart"/>
      <w:r w:rsidRPr="00FD080D">
        <w:rPr>
          <w:rFonts w:ascii="Book Antiqua" w:hAnsi="Book Antiqua" w:cs="Times New Roman"/>
          <w:b/>
          <w:sz w:val="24"/>
          <w:szCs w:val="24"/>
        </w:rPr>
        <w:t>Bousvaros</w:t>
      </w:r>
      <w:proofErr w:type="spellEnd"/>
      <w:r w:rsidRPr="00FD080D">
        <w:rPr>
          <w:rFonts w:ascii="Book Antiqua" w:hAnsi="Book Antiqua" w:cs="Times New Roman"/>
          <w:b/>
          <w:sz w:val="24"/>
          <w:szCs w:val="24"/>
        </w:rPr>
        <w:t xml:space="preserve">, </w:t>
      </w:r>
      <w:proofErr w:type="spellStart"/>
      <w:r w:rsidRPr="00FD080D">
        <w:rPr>
          <w:rFonts w:ascii="Book Antiqua" w:hAnsi="Book Antiqua" w:cs="Times New Roman"/>
          <w:b/>
          <w:sz w:val="24"/>
          <w:szCs w:val="24"/>
        </w:rPr>
        <w:t>Enju</w:t>
      </w:r>
      <w:proofErr w:type="spellEnd"/>
      <w:r w:rsidRPr="00FD080D">
        <w:rPr>
          <w:rFonts w:ascii="Book Antiqua" w:hAnsi="Book Antiqua" w:cs="Times New Roman"/>
          <w:b/>
          <w:sz w:val="24"/>
          <w:szCs w:val="24"/>
        </w:rPr>
        <w:t xml:space="preserve"> Liu, Julia Bender Stern,</w:t>
      </w:r>
      <w:r w:rsidRPr="00FD080D">
        <w:rPr>
          <w:rFonts w:ascii="Book Antiqua" w:hAnsi="Book Antiqua" w:cs="Times New Roman"/>
          <w:sz w:val="24"/>
          <w:szCs w:val="24"/>
        </w:rPr>
        <w:t xml:space="preserve"> Department of Gastroenterology and Hepatology, I</w:t>
      </w:r>
      <w:r w:rsidR="00BF2DE3" w:rsidRPr="00FD080D">
        <w:rPr>
          <w:rFonts w:ascii="Book Antiqua" w:hAnsi="Book Antiqua" w:cs="Times New Roman"/>
          <w:sz w:val="24"/>
          <w:szCs w:val="24"/>
        </w:rPr>
        <w:t xml:space="preserve">nflammatory </w:t>
      </w:r>
      <w:r w:rsidRPr="00FD080D">
        <w:rPr>
          <w:rFonts w:ascii="Book Antiqua" w:hAnsi="Book Antiqua" w:cs="Times New Roman"/>
          <w:sz w:val="24"/>
          <w:szCs w:val="24"/>
        </w:rPr>
        <w:t>B</w:t>
      </w:r>
      <w:r w:rsidR="00BF2DE3" w:rsidRPr="00FD080D">
        <w:rPr>
          <w:rFonts w:ascii="Book Antiqua" w:hAnsi="Book Antiqua" w:cs="Times New Roman"/>
          <w:sz w:val="24"/>
          <w:szCs w:val="24"/>
        </w:rPr>
        <w:t xml:space="preserve">owel </w:t>
      </w:r>
      <w:r w:rsidRPr="00FD080D">
        <w:rPr>
          <w:rFonts w:ascii="Book Antiqua" w:hAnsi="Book Antiqua" w:cs="Times New Roman"/>
          <w:sz w:val="24"/>
          <w:szCs w:val="24"/>
        </w:rPr>
        <w:t>D</w:t>
      </w:r>
      <w:r w:rsidR="00BF2DE3" w:rsidRPr="00FD080D">
        <w:rPr>
          <w:rFonts w:ascii="Book Antiqua" w:hAnsi="Book Antiqua" w:cs="Times New Roman"/>
          <w:sz w:val="24"/>
          <w:szCs w:val="24"/>
        </w:rPr>
        <w:t>isease</w:t>
      </w:r>
      <w:r w:rsidRPr="00FD080D">
        <w:rPr>
          <w:rFonts w:ascii="Book Antiqua" w:hAnsi="Book Antiqua" w:cs="Times New Roman"/>
          <w:sz w:val="24"/>
          <w:szCs w:val="24"/>
        </w:rPr>
        <w:t xml:space="preserve"> Center, Boston Children</w:t>
      </w:r>
      <w:r w:rsidR="00153E1C">
        <w:rPr>
          <w:rFonts w:ascii="Book Antiqua" w:hAnsi="Book Antiqua" w:cs="Times New Roman"/>
          <w:sz w:val="24"/>
          <w:szCs w:val="24"/>
        </w:rPr>
        <w:t>’</w:t>
      </w:r>
      <w:r w:rsidRPr="00FD080D">
        <w:rPr>
          <w:rFonts w:ascii="Book Antiqua" w:hAnsi="Book Antiqua" w:cs="Times New Roman"/>
          <w:sz w:val="24"/>
          <w:szCs w:val="24"/>
        </w:rPr>
        <w:t xml:space="preserve">s Hospital, Boston, </w:t>
      </w:r>
      <w:r w:rsidR="00520D07">
        <w:rPr>
          <w:rFonts w:ascii="Book Antiqua" w:hAnsi="Book Antiqua" w:cs="Times New Roman"/>
          <w:sz w:val="24"/>
          <w:szCs w:val="24"/>
        </w:rPr>
        <w:t>MA</w:t>
      </w:r>
      <w:r w:rsidR="007950CC" w:rsidRPr="00FD080D">
        <w:rPr>
          <w:rFonts w:ascii="Book Antiqua" w:hAnsi="Book Antiqua" w:cs="Times New Roman"/>
          <w:sz w:val="24"/>
          <w:szCs w:val="24"/>
        </w:rPr>
        <w:t xml:space="preserve"> </w:t>
      </w:r>
      <w:r w:rsidR="00255CB7" w:rsidRPr="00FD080D">
        <w:rPr>
          <w:rFonts w:ascii="Book Antiqua" w:hAnsi="Book Antiqua" w:cs="Times New Roman"/>
          <w:sz w:val="24"/>
          <w:szCs w:val="24"/>
        </w:rPr>
        <w:t xml:space="preserve">02115, </w:t>
      </w:r>
      <w:r w:rsidR="00D94687" w:rsidRPr="00FD080D">
        <w:rPr>
          <w:rFonts w:ascii="Book Antiqua" w:hAnsi="Book Antiqua" w:cs="Times New Roman"/>
          <w:sz w:val="24"/>
          <w:szCs w:val="24"/>
        </w:rPr>
        <w:t>U</w:t>
      </w:r>
      <w:r w:rsidR="00520D07">
        <w:rPr>
          <w:rFonts w:ascii="Book Antiqua" w:hAnsi="Book Antiqua" w:cs="Times New Roman"/>
          <w:sz w:val="24"/>
          <w:szCs w:val="24"/>
        </w:rPr>
        <w:t>nited States</w:t>
      </w:r>
    </w:p>
    <w:p w14:paraId="3079DB01" w14:textId="77777777" w:rsidR="001C6C0F" w:rsidRPr="00FD080D" w:rsidRDefault="001C6C0F" w:rsidP="00FD080D">
      <w:pPr>
        <w:adjustRightInd w:val="0"/>
        <w:snapToGrid w:val="0"/>
        <w:spacing w:after="0" w:line="360" w:lineRule="auto"/>
        <w:jc w:val="both"/>
        <w:rPr>
          <w:rFonts w:ascii="Book Antiqua" w:hAnsi="Book Antiqua" w:cs="Times New Roman"/>
          <w:sz w:val="24"/>
          <w:szCs w:val="24"/>
        </w:rPr>
      </w:pPr>
    </w:p>
    <w:p w14:paraId="4DD38B61" w14:textId="3EA049EB" w:rsidR="001C6C0F" w:rsidRPr="00FD080D" w:rsidRDefault="001C6C0F" w:rsidP="00FD080D">
      <w:pPr>
        <w:adjustRightInd w:val="0"/>
        <w:snapToGrid w:val="0"/>
        <w:spacing w:after="0" w:line="360" w:lineRule="auto"/>
        <w:jc w:val="both"/>
        <w:rPr>
          <w:rFonts w:ascii="Book Antiqua" w:hAnsi="Book Antiqua" w:cs="Times New Roman"/>
          <w:sz w:val="24"/>
          <w:szCs w:val="24"/>
        </w:rPr>
      </w:pPr>
      <w:r w:rsidRPr="00FD080D">
        <w:rPr>
          <w:rFonts w:ascii="Book Antiqua" w:hAnsi="Book Antiqua" w:cs="Times New Roman"/>
          <w:b/>
          <w:sz w:val="24"/>
          <w:szCs w:val="24"/>
        </w:rPr>
        <w:t>ORCID number:</w:t>
      </w:r>
      <w:r w:rsidRPr="00FD080D">
        <w:rPr>
          <w:rFonts w:ascii="Book Antiqua" w:hAnsi="Book Antiqua" w:cs="Times New Roman"/>
          <w:sz w:val="24"/>
          <w:szCs w:val="24"/>
        </w:rPr>
        <w:t xml:space="preserve"> </w:t>
      </w:r>
      <w:r w:rsidRPr="00FD080D">
        <w:rPr>
          <w:rFonts w:ascii="Book Antiqua" w:hAnsi="Book Antiqua" w:cs="Times New Roman"/>
          <w:color w:val="auto"/>
          <w:sz w:val="24"/>
          <w:szCs w:val="24"/>
        </w:rPr>
        <w:t>Yamini Sharma (</w:t>
      </w:r>
      <w:hyperlink r:id="rId8" w:tgtFrame="_blank" w:history="1">
        <w:r w:rsidRPr="00FD080D">
          <w:rPr>
            <w:rStyle w:val="Hyperlink"/>
            <w:rFonts w:ascii="Book Antiqua" w:hAnsi="Book Antiqua" w:cs="Times New Roman"/>
            <w:color w:val="auto"/>
            <w:sz w:val="24"/>
            <w:szCs w:val="24"/>
            <w:u w:val="none"/>
            <w:shd w:val="clear" w:color="auto" w:fill="FFFFFF"/>
          </w:rPr>
          <w:t>0000-0002-9703-3217</w:t>
        </w:r>
      </w:hyperlink>
      <w:r w:rsidRPr="00FD080D">
        <w:rPr>
          <w:rFonts w:ascii="Book Antiqua" w:hAnsi="Book Antiqua" w:cs="Times New Roman"/>
          <w:color w:val="auto"/>
          <w:sz w:val="24"/>
          <w:szCs w:val="24"/>
        </w:rPr>
        <w:t xml:space="preserve">); Athos </w:t>
      </w:r>
      <w:proofErr w:type="spellStart"/>
      <w:r w:rsidRPr="00FD080D">
        <w:rPr>
          <w:rFonts w:ascii="Book Antiqua" w:hAnsi="Book Antiqua" w:cs="Times New Roman"/>
          <w:color w:val="auto"/>
          <w:sz w:val="24"/>
          <w:szCs w:val="24"/>
        </w:rPr>
        <w:t>Bousvaros</w:t>
      </w:r>
      <w:proofErr w:type="spellEnd"/>
      <w:r w:rsidRPr="00FD080D">
        <w:rPr>
          <w:rFonts w:ascii="Book Antiqua" w:hAnsi="Book Antiqua" w:cs="Times New Roman"/>
          <w:color w:val="auto"/>
          <w:sz w:val="24"/>
          <w:szCs w:val="24"/>
        </w:rPr>
        <w:t xml:space="preserve"> (</w:t>
      </w:r>
      <w:hyperlink r:id="rId9" w:tgtFrame="_blank" w:history="1">
        <w:r w:rsidRPr="00FD080D">
          <w:rPr>
            <w:rStyle w:val="Hyperlink"/>
            <w:rFonts w:ascii="Book Antiqua" w:hAnsi="Book Antiqua" w:cs="Times New Roman"/>
            <w:color w:val="auto"/>
            <w:sz w:val="24"/>
            <w:szCs w:val="24"/>
            <w:u w:val="none"/>
            <w:shd w:val="clear" w:color="auto" w:fill="FFFFFF"/>
          </w:rPr>
          <w:t>0000</w:t>
        </w:r>
        <w:r w:rsidR="00520D07">
          <w:rPr>
            <w:rStyle w:val="Hyperlink"/>
            <w:rFonts w:ascii="Book Antiqua" w:hAnsi="Book Antiqua" w:cs="Times New Roman"/>
            <w:color w:val="auto"/>
            <w:sz w:val="24"/>
            <w:szCs w:val="24"/>
            <w:u w:val="none"/>
            <w:shd w:val="clear" w:color="auto" w:fill="FFFFFF"/>
          </w:rPr>
          <w:t>-</w:t>
        </w:r>
        <w:r w:rsidRPr="00FD080D">
          <w:rPr>
            <w:rStyle w:val="Hyperlink"/>
            <w:rFonts w:ascii="Book Antiqua" w:hAnsi="Book Antiqua" w:cs="Times New Roman"/>
            <w:color w:val="auto"/>
            <w:sz w:val="24"/>
            <w:szCs w:val="24"/>
            <w:u w:val="none"/>
            <w:shd w:val="clear" w:color="auto" w:fill="FFFFFF"/>
          </w:rPr>
          <w:t>0002</w:t>
        </w:r>
        <w:r w:rsidR="00520D07">
          <w:rPr>
            <w:rStyle w:val="Hyperlink"/>
            <w:rFonts w:ascii="Book Antiqua" w:hAnsi="Book Antiqua" w:cs="Times New Roman"/>
            <w:color w:val="auto"/>
            <w:sz w:val="24"/>
            <w:szCs w:val="24"/>
            <w:u w:val="none"/>
            <w:shd w:val="clear" w:color="auto" w:fill="FFFFFF"/>
          </w:rPr>
          <w:t>-</w:t>
        </w:r>
        <w:r w:rsidRPr="00FD080D">
          <w:rPr>
            <w:rStyle w:val="Hyperlink"/>
            <w:rFonts w:ascii="Book Antiqua" w:hAnsi="Book Antiqua" w:cs="Times New Roman"/>
            <w:color w:val="auto"/>
            <w:sz w:val="24"/>
            <w:szCs w:val="24"/>
            <w:u w:val="none"/>
            <w:shd w:val="clear" w:color="auto" w:fill="FFFFFF"/>
          </w:rPr>
          <w:t>8807</w:t>
        </w:r>
        <w:r w:rsidR="00520D07">
          <w:rPr>
            <w:rStyle w:val="Hyperlink"/>
            <w:rFonts w:ascii="Book Antiqua" w:hAnsi="Book Antiqua" w:cs="Times New Roman"/>
            <w:color w:val="auto"/>
            <w:sz w:val="24"/>
            <w:szCs w:val="24"/>
            <w:u w:val="none"/>
            <w:shd w:val="clear" w:color="auto" w:fill="FFFFFF"/>
          </w:rPr>
          <w:t>-</w:t>
        </w:r>
        <w:r w:rsidRPr="00FD080D">
          <w:rPr>
            <w:rStyle w:val="Hyperlink"/>
            <w:rFonts w:ascii="Book Antiqua" w:hAnsi="Book Antiqua" w:cs="Times New Roman"/>
            <w:color w:val="auto"/>
            <w:sz w:val="24"/>
            <w:szCs w:val="24"/>
            <w:u w:val="none"/>
            <w:shd w:val="clear" w:color="auto" w:fill="FFFFFF"/>
          </w:rPr>
          <w:t>2871</w:t>
        </w:r>
      </w:hyperlink>
      <w:r w:rsidRPr="00FD080D">
        <w:rPr>
          <w:rFonts w:ascii="Book Antiqua" w:hAnsi="Book Antiqua" w:cs="Times New Roman"/>
          <w:color w:val="auto"/>
          <w:sz w:val="24"/>
          <w:szCs w:val="24"/>
        </w:rPr>
        <w:t xml:space="preserve">); </w:t>
      </w:r>
      <w:proofErr w:type="spellStart"/>
      <w:r w:rsidRPr="00FD080D">
        <w:rPr>
          <w:rFonts w:ascii="Book Antiqua" w:hAnsi="Book Antiqua" w:cs="Times New Roman"/>
          <w:color w:val="auto"/>
          <w:sz w:val="24"/>
          <w:szCs w:val="24"/>
        </w:rPr>
        <w:t>Enju</w:t>
      </w:r>
      <w:proofErr w:type="spellEnd"/>
      <w:r w:rsidRPr="00FD080D">
        <w:rPr>
          <w:rFonts w:ascii="Book Antiqua" w:hAnsi="Book Antiqua" w:cs="Times New Roman"/>
          <w:color w:val="auto"/>
          <w:sz w:val="24"/>
          <w:szCs w:val="24"/>
        </w:rPr>
        <w:t xml:space="preserve"> Liu (</w:t>
      </w:r>
      <w:hyperlink r:id="rId10" w:tgtFrame="_blank" w:history="1">
        <w:r w:rsidRPr="00FD080D">
          <w:rPr>
            <w:rStyle w:val="Hyperlink"/>
            <w:rFonts w:ascii="Book Antiqua" w:hAnsi="Book Antiqua" w:cs="Times New Roman"/>
            <w:color w:val="auto"/>
            <w:sz w:val="24"/>
            <w:szCs w:val="24"/>
            <w:u w:val="none"/>
            <w:shd w:val="clear" w:color="auto" w:fill="FFFFFF"/>
          </w:rPr>
          <w:t>0000-0002-5732-3359</w:t>
        </w:r>
      </w:hyperlink>
      <w:r w:rsidRPr="00FD080D">
        <w:rPr>
          <w:rFonts w:ascii="Book Antiqua" w:hAnsi="Book Antiqua" w:cs="Times New Roman"/>
          <w:color w:val="auto"/>
          <w:sz w:val="24"/>
          <w:szCs w:val="24"/>
        </w:rPr>
        <w:t>); Julia Bender Stern (</w:t>
      </w:r>
      <w:hyperlink r:id="rId11" w:tgtFrame="_blank" w:history="1">
        <w:r w:rsidRPr="00FD080D">
          <w:rPr>
            <w:rStyle w:val="Hyperlink"/>
            <w:rFonts w:ascii="Book Antiqua" w:hAnsi="Book Antiqua" w:cs="Times New Roman"/>
            <w:color w:val="auto"/>
            <w:sz w:val="24"/>
            <w:szCs w:val="24"/>
            <w:u w:val="none"/>
            <w:shd w:val="clear" w:color="auto" w:fill="FFFFFF"/>
          </w:rPr>
          <w:t>0000-0002-9815-3472</w:t>
        </w:r>
      </w:hyperlink>
      <w:r w:rsidRPr="00FD080D">
        <w:rPr>
          <w:rFonts w:ascii="Book Antiqua" w:hAnsi="Book Antiqua" w:cs="Times New Roman"/>
          <w:color w:val="auto"/>
          <w:sz w:val="24"/>
          <w:szCs w:val="24"/>
        </w:rPr>
        <w:t>)</w:t>
      </w:r>
      <w:r w:rsidR="00520D07">
        <w:rPr>
          <w:rFonts w:ascii="Book Antiqua" w:hAnsi="Book Antiqua" w:cs="Times New Roman"/>
          <w:color w:val="auto"/>
          <w:sz w:val="24"/>
          <w:szCs w:val="24"/>
        </w:rPr>
        <w:t>.</w:t>
      </w:r>
    </w:p>
    <w:p w14:paraId="4796F628" w14:textId="77777777" w:rsidR="001C6C0F" w:rsidRPr="00FD080D" w:rsidRDefault="001C6C0F" w:rsidP="00FD080D">
      <w:pPr>
        <w:adjustRightInd w:val="0"/>
        <w:snapToGrid w:val="0"/>
        <w:spacing w:after="0" w:line="360" w:lineRule="auto"/>
        <w:jc w:val="both"/>
        <w:rPr>
          <w:rFonts w:ascii="Book Antiqua" w:hAnsi="Book Antiqua" w:cs="Times New Roman"/>
          <w:sz w:val="24"/>
          <w:szCs w:val="24"/>
        </w:rPr>
      </w:pPr>
    </w:p>
    <w:p w14:paraId="056E4848" w14:textId="6538E2C3" w:rsidR="001C6C0F" w:rsidRPr="00FD080D" w:rsidRDefault="001C6C0F" w:rsidP="00FD080D">
      <w:pPr>
        <w:adjustRightInd w:val="0"/>
        <w:snapToGrid w:val="0"/>
        <w:spacing w:after="0" w:line="360" w:lineRule="auto"/>
        <w:jc w:val="both"/>
        <w:rPr>
          <w:rFonts w:ascii="Book Antiqua" w:hAnsi="Book Antiqua" w:cs="Times New Roman"/>
          <w:sz w:val="24"/>
          <w:szCs w:val="24"/>
        </w:rPr>
      </w:pPr>
      <w:r w:rsidRPr="00FD080D">
        <w:rPr>
          <w:rFonts w:ascii="Book Antiqua" w:hAnsi="Book Antiqua" w:cs="Times New Roman"/>
          <w:b/>
          <w:sz w:val="24"/>
          <w:szCs w:val="24"/>
        </w:rPr>
        <w:t>Author contributions:</w:t>
      </w:r>
      <w:r w:rsidRPr="00FD080D">
        <w:rPr>
          <w:rFonts w:ascii="Book Antiqua" w:hAnsi="Book Antiqua" w:cs="Times New Roman"/>
          <w:sz w:val="24"/>
          <w:szCs w:val="24"/>
        </w:rPr>
        <w:t xml:space="preserve"> All authors helped to perform the research; Sharma Y contribution to manuscript writing, drafting conception, performing data analysis, interpreting data; </w:t>
      </w:r>
      <w:proofErr w:type="spellStart"/>
      <w:r w:rsidRPr="00FD080D">
        <w:rPr>
          <w:rFonts w:ascii="Book Antiqua" w:hAnsi="Book Antiqua" w:cs="Times New Roman"/>
          <w:sz w:val="24"/>
          <w:szCs w:val="24"/>
        </w:rPr>
        <w:t>Bousvaros</w:t>
      </w:r>
      <w:proofErr w:type="spellEnd"/>
      <w:r w:rsidRPr="00FD080D">
        <w:rPr>
          <w:rFonts w:ascii="Book Antiqua" w:hAnsi="Book Antiqua" w:cs="Times New Roman"/>
          <w:sz w:val="24"/>
          <w:szCs w:val="24"/>
        </w:rPr>
        <w:t xml:space="preserve"> A contribution to manuscript writing, drafting conception and design, performing data analysis, interpreting data; Liu E</w:t>
      </w:r>
      <w:r w:rsidR="00C31261" w:rsidRPr="00FD080D">
        <w:rPr>
          <w:rFonts w:ascii="Book Antiqua" w:hAnsi="Book Antiqua" w:cs="Times New Roman"/>
          <w:sz w:val="24"/>
          <w:szCs w:val="24"/>
        </w:rPr>
        <w:t xml:space="preserve"> contribution to</w:t>
      </w:r>
      <w:r w:rsidRPr="00FD080D">
        <w:rPr>
          <w:rFonts w:ascii="Book Antiqua" w:hAnsi="Book Antiqua" w:cs="Times New Roman"/>
          <w:sz w:val="24"/>
          <w:szCs w:val="24"/>
        </w:rPr>
        <w:t xml:space="preserve"> statistical analysis of data; Bender Stern J contribution to providing data set. </w:t>
      </w:r>
    </w:p>
    <w:p w14:paraId="72D7AD46" w14:textId="77777777" w:rsidR="001C6C0F" w:rsidRPr="00FD080D" w:rsidRDefault="001C6C0F" w:rsidP="00FD080D">
      <w:pPr>
        <w:adjustRightInd w:val="0"/>
        <w:snapToGrid w:val="0"/>
        <w:spacing w:after="0" w:line="360" w:lineRule="auto"/>
        <w:jc w:val="both"/>
        <w:rPr>
          <w:rFonts w:ascii="Book Antiqua" w:hAnsi="Book Antiqua" w:cs="Times New Roman"/>
          <w:b/>
          <w:sz w:val="24"/>
          <w:szCs w:val="24"/>
        </w:rPr>
      </w:pPr>
    </w:p>
    <w:p w14:paraId="571F3C55" w14:textId="36703C5F" w:rsidR="001C6C0F" w:rsidRPr="00FD080D" w:rsidRDefault="001C6C0F" w:rsidP="00FD080D">
      <w:pPr>
        <w:adjustRightInd w:val="0"/>
        <w:snapToGrid w:val="0"/>
        <w:spacing w:after="0" w:line="360" w:lineRule="auto"/>
        <w:jc w:val="both"/>
        <w:rPr>
          <w:rFonts w:ascii="Book Antiqua" w:hAnsi="Book Antiqua" w:cs="Times New Roman"/>
          <w:sz w:val="24"/>
          <w:szCs w:val="24"/>
        </w:rPr>
      </w:pPr>
      <w:r w:rsidRPr="00FD080D">
        <w:rPr>
          <w:rFonts w:ascii="Book Antiqua" w:hAnsi="Book Antiqua" w:cs="Times New Roman"/>
          <w:b/>
          <w:sz w:val="24"/>
          <w:szCs w:val="24"/>
        </w:rPr>
        <w:t>Institutional review board statement:</w:t>
      </w:r>
      <w:r w:rsidRPr="00FD080D">
        <w:rPr>
          <w:rFonts w:ascii="Book Antiqua" w:hAnsi="Book Antiqua" w:cs="Times New Roman"/>
          <w:sz w:val="24"/>
          <w:szCs w:val="24"/>
        </w:rPr>
        <w:t xml:space="preserve"> This study was reviewed and approved by the IRB of Boston Children</w:t>
      </w:r>
      <w:r w:rsidR="00153E1C">
        <w:rPr>
          <w:rFonts w:ascii="Book Antiqua" w:hAnsi="Book Antiqua" w:cs="Times New Roman"/>
          <w:sz w:val="24"/>
          <w:szCs w:val="24"/>
        </w:rPr>
        <w:t>’</w:t>
      </w:r>
      <w:r w:rsidRPr="00FD080D">
        <w:rPr>
          <w:rFonts w:ascii="Book Antiqua" w:hAnsi="Book Antiqua" w:cs="Times New Roman"/>
          <w:sz w:val="24"/>
          <w:szCs w:val="24"/>
        </w:rPr>
        <w:t xml:space="preserve">s Hospital. </w:t>
      </w:r>
    </w:p>
    <w:p w14:paraId="645A63EA" w14:textId="77777777" w:rsidR="001C6C0F" w:rsidRPr="00FD080D" w:rsidRDefault="001C6C0F" w:rsidP="00FD080D">
      <w:pPr>
        <w:adjustRightInd w:val="0"/>
        <w:snapToGrid w:val="0"/>
        <w:spacing w:after="0" w:line="360" w:lineRule="auto"/>
        <w:jc w:val="both"/>
        <w:rPr>
          <w:rFonts w:ascii="Book Antiqua" w:hAnsi="Book Antiqua" w:cs="Times New Roman"/>
          <w:b/>
          <w:sz w:val="24"/>
          <w:szCs w:val="24"/>
        </w:rPr>
      </w:pPr>
    </w:p>
    <w:p w14:paraId="7AB7FC71" w14:textId="631E2A3F" w:rsidR="001C6C0F" w:rsidRPr="00FD080D" w:rsidRDefault="001C6C0F" w:rsidP="00FD080D">
      <w:pPr>
        <w:adjustRightInd w:val="0"/>
        <w:snapToGrid w:val="0"/>
        <w:spacing w:after="0" w:line="360" w:lineRule="auto"/>
        <w:jc w:val="both"/>
        <w:rPr>
          <w:rFonts w:ascii="Book Antiqua" w:hAnsi="Book Antiqua" w:cs="Times New Roman"/>
          <w:sz w:val="24"/>
          <w:szCs w:val="24"/>
        </w:rPr>
      </w:pPr>
      <w:r w:rsidRPr="00FD080D">
        <w:rPr>
          <w:rFonts w:ascii="Book Antiqua" w:hAnsi="Book Antiqua" w:cs="Times New Roman"/>
          <w:b/>
          <w:sz w:val="24"/>
          <w:szCs w:val="24"/>
        </w:rPr>
        <w:lastRenderedPageBreak/>
        <w:t>Informed consent statement:</w:t>
      </w:r>
      <w:r w:rsidRPr="00FD080D">
        <w:rPr>
          <w:rFonts w:ascii="Book Antiqua" w:hAnsi="Book Antiqua" w:cs="Times New Roman"/>
          <w:sz w:val="24"/>
          <w:szCs w:val="24"/>
        </w:rPr>
        <w:t xml:space="preserve"> Patients were not required to give informed consent to the study because this was a retrospective medical chart review. </w:t>
      </w:r>
    </w:p>
    <w:p w14:paraId="7F5C8597" w14:textId="77777777" w:rsidR="001C6C0F" w:rsidRPr="00FD080D" w:rsidRDefault="001C6C0F" w:rsidP="00FD080D">
      <w:pPr>
        <w:adjustRightInd w:val="0"/>
        <w:snapToGrid w:val="0"/>
        <w:spacing w:after="0" w:line="360" w:lineRule="auto"/>
        <w:jc w:val="both"/>
        <w:rPr>
          <w:rFonts w:ascii="Book Antiqua" w:hAnsi="Book Antiqua" w:cs="Times New Roman"/>
          <w:sz w:val="24"/>
          <w:szCs w:val="24"/>
        </w:rPr>
      </w:pPr>
    </w:p>
    <w:p w14:paraId="1B7DEC84" w14:textId="77777777" w:rsidR="001C6C0F" w:rsidRPr="00FD080D" w:rsidRDefault="001C6C0F" w:rsidP="00FD080D">
      <w:pPr>
        <w:adjustRightInd w:val="0"/>
        <w:snapToGrid w:val="0"/>
        <w:spacing w:after="0" w:line="360" w:lineRule="auto"/>
        <w:jc w:val="both"/>
        <w:rPr>
          <w:rFonts w:ascii="Book Antiqua" w:hAnsi="Book Antiqua" w:cs="Times New Roman"/>
          <w:sz w:val="24"/>
          <w:szCs w:val="24"/>
        </w:rPr>
      </w:pPr>
      <w:r w:rsidRPr="00FD080D">
        <w:rPr>
          <w:rFonts w:ascii="Book Antiqua" w:hAnsi="Book Antiqua" w:cs="Times New Roman"/>
          <w:b/>
          <w:sz w:val="24"/>
          <w:szCs w:val="24"/>
        </w:rPr>
        <w:t>Conflict-of-interest statement:</w:t>
      </w:r>
      <w:r w:rsidRPr="00FD080D">
        <w:rPr>
          <w:rFonts w:ascii="Book Antiqua" w:hAnsi="Book Antiqua" w:cs="Times New Roman"/>
          <w:sz w:val="24"/>
          <w:szCs w:val="24"/>
        </w:rPr>
        <w:t xml:space="preserve"> All authors declare no conflicts-of-interest related to this article. </w:t>
      </w:r>
    </w:p>
    <w:p w14:paraId="48E744C4" w14:textId="77777777" w:rsidR="001C6C0F" w:rsidRPr="00FD080D" w:rsidRDefault="001C6C0F" w:rsidP="00FD080D">
      <w:pPr>
        <w:adjustRightInd w:val="0"/>
        <w:snapToGrid w:val="0"/>
        <w:spacing w:after="0" w:line="360" w:lineRule="auto"/>
        <w:jc w:val="both"/>
        <w:rPr>
          <w:rFonts w:ascii="Book Antiqua" w:hAnsi="Book Antiqua" w:cs="Times New Roman"/>
          <w:sz w:val="24"/>
          <w:szCs w:val="24"/>
        </w:rPr>
      </w:pPr>
    </w:p>
    <w:p w14:paraId="6B45F19C" w14:textId="77777777" w:rsidR="001C6C0F" w:rsidRPr="00FD080D" w:rsidRDefault="001C6C0F" w:rsidP="00FD080D">
      <w:pPr>
        <w:adjustRightInd w:val="0"/>
        <w:snapToGrid w:val="0"/>
        <w:spacing w:after="0" w:line="360" w:lineRule="auto"/>
        <w:jc w:val="both"/>
        <w:rPr>
          <w:rFonts w:ascii="Book Antiqua" w:hAnsi="Book Antiqua" w:cs="Times New Roman"/>
          <w:sz w:val="24"/>
          <w:szCs w:val="24"/>
        </w:rPr>
      </w:pPr>
      <w:r w:rsidRPr="00FD080D">
        <w:rPr>
          <w:rFonts w:ascii="Book Antiqua" w:hAnsi="Book Antiqua" w:cs="Times New Roman"/>
          <w:b/>
          <w:sz w:val="24"/>
          <w:szCs w:val="24"/>
        </w:rPr>
        <w:t>Data sharing statement:</w:t>
      </w:r>
      <w:r w:rsidRPr="00FD080D">
        <w:rPr>
          <w:rFonts w:ascii="Book Antiqua" w:hAnsi="Book Antiqua" w:cs="Times New Roman"/>
          <w:sz w:val="24"/>
          <w:szCs w:val="24"/>
        </w:rPr>
        <w:t xml:space="preserve"> No additional data are available. </w:t>
      </w:r>
    </w:p>
    <w:p w14:paraId="7552E8C7" w14:textId="5260518B" w:rsidR="001C6C0F" w:rsidRDefault="001C6C0F" w:rsidP="00FD080D">
      <w:pPr>
        <w:adjustRightInd w:val="0"/>
        <w:snapToGrid w:val="0"/>
        <w:spacing w:after="0" w:line="360" w:lineRule="auto"/>
        <w:jc w:val="both"/>
        <w:rPr>
          <w:rFonts w:ascii="Book Antiqua" w:hAnsi="Book Antiqua" w:cs="Times New Roman"/>
          <w:sz w:val="24"/>
          <w:szCs w:val="24"/>
        </w:rPr>
      </w:pPr>
    </w:p>
    <w:p w14:paraId="4722D1E1" w14:textId="77777777" w:rsidR="002C0544" w:rsidRPr="002C0544" w:rsidRDefault="002C0544" w:rsidP="002C0544">
      <w:pPr>
        <w:snapToGrid w:val="0"/>
        <w:spacing w:after="0" w:line="360" w:lineRule="auto"/>
        <w:jc w:val="both"/>
        <w:rPr>
          <w:rFonts w:ascii="Book Antiqua" w:eastAsia="SimSun" w:hAnsi="Book Antiqua" w:cs="Times New Roman"/>
          <w:color w:val="auto"/>
          <w:sz w:val="24"/>
          <w:szCs w:val="24"/>
          <w:lang w:eastAsia="zh-CN"/>
        </w:rPr>
      </w:pPr>
      <w:bookmarkStart w:id="2" w:name="OLE_LINK25"/>
      <w:bookmarkStart w:id="3" w:name="OLE_LINK26"/>
      <w:bookmarkStart w:id="4" w:name="OLE_LINK375"/>
      <w:bookmarkStart w:id="5" w:name="OLE_LINK32"/>
      <w:bookmarkStart w:id="6" w:name="OLE_LINK381"/>
      <w:bookmarkStart w:id="7" w:name="OLE_LINK413"/>
      <w:bookmarkStart w:id="8" w:name="OLE_LINK61"/>
      <w:bookmarkStart w:id="9" w:name="OLE_LINK615"/>
      <w:bookmarkStart w:id="10" w:name="OLE_LINK69"/>
      <w:bookmarkStart w:id="11" w:name="OLE_LINK140"/>
      <w:r w:rsidRPr="002C0544">
        <w:rPr>
          <w:rFonts w:ascii="Book Antiqua" w:eastAsia="SimSun" w:hAnsi="Book Antiqua" w:cs="Times New Roman"/>
          <w:b/>
          <w:sz w:val="24"/>
          <w:szCs w:val="24"/>
          <w:lang w:eastAsia="zh-CN"/>
        </w:rPr>
        <w:t xml:space="preserve">Open-Access: </w:t>
      </w:r>
      <w:r w:rsidRPr="002C0544">
        <w:rPr>
          <w:rFonts w:ascii="Book Antiqua" w:eastAsia="SimSun" w:hAnsi="Book Antiqua" w:cs="Times New Roman"/>
          <w:sz w:val="24"/>
          <w:szCs w:val="24"/>
          <w:lang w:eastAsia="zh-CN"/>
        </w:rPr>
        <w:t xml:space="preserve">This is an </w:t>
      </w:r>
      <w:r w:rsidRPr="002C0544">
        <w:rPr>
          <w:rFonts w:ascii="Book Antiqua" w:eastAsia="SimSun" w:hAnsi="Book Antiqua" w:cs="SimSun"/>
          <w:color w:val="auto"/>
          <w:sz w:val="24"/>
          <w:szCs w:val="24"/>
          <w:lang w:eastAsia="zh-CN"/>
        </w:rPr>
        <w:t xml:space="preserve">open-access article that was </w:t>
      </w:r>
      <w:r w:rsidRPr="002C0544">
        <w:rPr>
          <w:rFonts w:ascii="Book Antiqua" w:eastAsia="SimSun" w:hAnsi="Book Antiqua" w:cs="Times New Roman"/>
          <w:color w:val="auto"/>
          <w:sz w:val="24"/>
          <w:szCs w:val="24"/>
          <w:lang w:eastAsia="zh-CN"/>
        </w:rPr>
        <w:t xml:space="preserve">selected by an in-house editor and fully peer-reviewed by external reviewers. It is </w:t>
      </w:r>
      <w:r w:rsidRPr="002C0544">
        <w:rPr>
          <w:rFonts w:ascii="Book Antiqua" w:eastAsia="SimSun" w:hAnsi="Book Antiqua" w:cs="SimSun"/>
          <w:color w:val="auto"/>
          <w:sz w:val="24"/>
          <w:szCs w:val="24"/>
          <w:lang w:eastAsia="zh-CN"/>
        </w:rPr>
        <w:t xml:space="preserve">distributed in accordance with </w:t>
      </w:r>
      <w:r w:rsidRPr="002C0544">
        <w:rPr>
          <w:rFonts w:ascii="Book Antiqua" w:eastAsia="SimSun" w:hAnsi="Book Antiqua" w:cs="Times New Roman"/>
          <w:color w:val="auto"/>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2C0544">
          <w:rPr>
            <w:rFonts w:ascii="Book Antiqua" w:eastAsia="SimSun" w:hAnsi="Book Antiqua" w:cs="Times New Roman"/>
            <w:color w:val="0000FF"/>
            <w:sz w:val="24"/>
            <w:szCs w:val="24"/>
            <w:u w:val="single"/>
            <w:lang w:eastAsia="zh-CN"/>
          </w:rPr>
          <w:t>http://creativecommons.org/licenses/by-nc/4.0/</w:t>
        </w:r>
      </w:hyperlink>
    </w:p>
    <w:p w14:paraId="1DDA7FA1" w14:textId="77777777" w:rsidR="002C0544" w:rsidRPr="002C0544" w:rsidRDefault="002C0544" w:rsidP="002C0544">
      <w:pPr>
        <w:snapToGrid w:val="0"/>
        <w:spacing w:after="0" w:line="360" w:lineRule="auto"/>
        <w:jc w:val="both"/>
        <w:rPr>
          <w:rFonts w:ascii="Book Antiqua" w:eastAsia="SimSun" w:hAnsi="Book Antiqua" w:cs="Times New Roman"/>
          <w:color w:val="auto"/>
          <w:sz w:val="24"/>
          <w:szCs w:val="24"/>
          <w:lang w:eastAsia="zh-CN"/>
        </w:rPr>
      </w:pPr>
    </w:p>
    <w:p w14:paraId="54252141" w14:textId="41EEF8D8" w:rsidR="00520D07" w:rsidRDefault="002C0544" w:rsidP="002C0544">
      <w:pPr>
        <w:adjustRightInd w:val="0"/>
        <w:snapToGrid w:val="0"/>
        <w:spacing w:after="0" w:line="360" w:lineRule="auto"/>
        <w:jc w:val="both"/>
        <w:rPr>
          <w:rFonts w:ascii="Book Antiqua" w:eastAsia="SimSun" w:hAnsi="Book Antiqua" w:cs="Times New Roman"/>
          <w:bCs/>
          <w:color w:val="auto"/>
          <w:sz w:val="24"/>
          <w:szCs w:val="24"/>
          <w:lang w:eastAsia="zh-CN"/>
        </w:rPr>
      </w:pPr>
      <w:bookmarkStart w:id="12" w:name="OLE_LINK11"/>
      <w:r w:rsidRPr="002C0544">
        <w:rPr>
          <w:rFonts w:ascii="Book Antiqua" w:eastAsia="SimSun" w:hAnsi="Book Antiqua" w:cs="Times New Roman"/>
          <w:b/>
          <w:bCs/>
          <w:color w:val="auto"/>
          <w:sz w:val="24"/>
          <w:szCs w:val="24"/>
          <w:highlight w:val="white"/>
          <w:lang w:eastAsia="zh-CN"/>
        </w:rPr>
        <w:t>Manuscript source:</w:t>
      </w:r>
      <w:r w:rsidRPr="002C0544">
        <w:rPr>
          <w:rFonts w:ascii="Book Antiqua" w:eastAsia="SimSun" w:hAnsi="Book Antiqua" w:cs="Times New Roman" w:hint="eastAsia"/>
          <w:b/>
          <w:bCs/>
          <w:color w:val="auto"/>
          <w:sz w:val="24"/>
          <w:szCs w:val="24"/>
          <w:highlight w:val="white"/>
          <w:lang w:eastAsia="zh-CN"/>
        </w:rPr>
        <w:t xml:space="preserve"> </w:t>
      </w:r>
      <w:r w:rsidRPr="002C0544">
        <w:rPr>
          <w:rFonts w:ascii="Book Antiqua" w:eastAsia="SimSun" w:hAnsi="Book Antiqua" w:cs="Times New Roman"/>
          <w:bCs/>
          <w:color w:val="auto"/>
          <w:sz w:val="24"/>
          <w:szCs w:val="24"/>
          <w:highlight w:val="white"/>
          <w:lang w:eastAsia="zh-CN"/>
        </w:rPr>
        <w:t>Unsolicited manuscript</w:t>
      </w:r>
      <w:bookmarkEnd w:id="2"/>
      <w:bookmarkEnd w:id="3"/>
      <w:bookmarkEnd w:id="4"/>
      <w:bookmarkEnd w:id="5"/>
      <w:bookmarkEnd w:id="6"/>
      <w:bookmarkEnd w:id="7"/>
      <w:bookmarkEnd w:id="8"/>
      <w:bookmarkEnd w:id="9"/>
      <w:bookmarkEnd w:id="10"/>
      <w:bookmarkEnd w:id="11"/>
      <w:bookmarkEnd w:id="12"/>
    </w:p>
    <w:p w14:paraId="07CD3C75" w14:textId="77777777" w:rsidR="002C0544" w:rsidRPr="00FD080D" w:rsidRDefault="002C0544" w:rsidP="002C0544">
      <w:pPr>
        <w:adjustRightInd w:val="0"/>
        <w:snapToGrid w:val="0"/>
        <w:spacing w:after="0" w:line="360" w:lineRule="auto"/>
        <w:jc w:val="both"/>
        <w:rPr>
          <w:rFonts w:ascii="Book Antiqua" w:hAnsi="Book Antiqua" w:cs="Times New Roman"/>
          <w:sz w:val="24"/>
          <w:szCs w:val="24"/>
        </w:rPr>
      </w:pPr>
    </w:p>
    <w:p w14:paraId="1AE5D98E" w14:textId="54FFC6A1" w:rsidR="002C0544" w:rsidRDefault="001C6C0F" w:rsidP="00FD080D">
      <w:pPr>
        <w:adjustRightInd w:val="0"/>
        <w:snapToGrid w:val="0"/>
        <w:spacing w:after="0" w:line="360" w:lineRule="auto"/>
        <w:jc w:val="both"/>
        <w:rPr>
          <w:rFonts w:ascii="Book Antiqua" w:hAnsi="Book Antiqua" w:cs="Times New Roman"/>
          <w:sz w:val="24"/>
          <w:szCs w:val="24"/>
        </w:rPr>
      </w:pPr>
      <w:r w:rsidRPr="00FD080D">
        <w:rPr>
          <w:rFonts w:ascii="Book Antiqua" w:hAnsi="Book Antiqua" w:cs="Times New Roman"/>
          <w:b/>
          <w:sz w:val="24"/>
          <w:szCs w:val="24"/>
        </w:rPr>
        <w:t>Correspond</w:t>
      </w:r>
      <w:r w:rsidR="002C0544">
        <w:rPr>
          <w:rFonts w:ascii="Book Antiqua" w:hAnsi="Book Antiqua" w:cs="Times New Roman"/>
          <w:b/>
          <w:sz w:val="24"/>
          <w:szCs w:val="24"/>
        </w:rPr>
        <w:t>ing</w:t>
      </w:r>
      <w:r w:rsidRPr="00FD080D">
        <w:rPr>
          <w:rFonts w:ascii="Book Antiqua" w:hAnsi="Book Antiqua" w:cs="Times New Roman"/>
          <w:b/>
          <w:sz w:val="24"/>
          <w:szCs w:val="24"/>
        </w:rPr>
        <w:t xml:space="preserve"> </w:t>
      </w:r>
      <w:r w:rsidR="002C0544">
        <w:rPr>
          <w:rFonts w:ascii="Book Antiqua" w:hAnsi="Book Antiqua" w:cs="Times New Roman"/>
          <w:b/>
          <w:sz w:val="24"/>
          <w:szCs w:val="24"/>
        </w:rPr>
        <w:t>author</w:t>
      </w:r>
      <w:r w:rsidRPr="00FD080D">
        <w:rPr>
          <w:rFonts w:ascii="Book Antiqua" w:hAnsi="Book Antiqua" w:cs="Times New Roman"/>
          <w:b/>
          <w:sz w:val="24"/>
          <w:szCs w:val="24"/>
        </w:rPr>
        <w:t>:</w:t>
      </w:r>
      <w:r w:rsidRPr="00FD080D">
        <w:rPr>
          <w:rFonts w:ascii="Book Antiqua" w:hAnsi="Book Antiqua" w:cs="Times New Roman"/>
          <w:sz w:val="24"/>
          <w:szCs w:val="24"/>
        </w:rPr>
        <w:t xml:space="preserve"> </w:t>
      </w:r>
      <w:r w:rsidRPr="002C0544">
        <w:rPr>
          <w:rFonts w:ascii="Book Antiqua" w:hAnsi="Book Antiqua" w:cs="Times New Roman"/>
          <w:b/>
          <w:bCs/>
          <w:sz w:val="24"/>
          <w:szCs w:val="24"/>
        </w:rPr>
        <w:t xml:space="preserve">Yamini Sharma, MD, </w:t>
      </w:r>
      <w:r w:rsidR="002C0544" w:rsidRPr="002C0544">
        <w:rPr>
          <w:rFonts w:ascii="Book Antiqua" w:hAnsi="Book Antiqua" w:cs="Times New Roman"/>
          <w:b/>
          <w:bCs/>
          <w:sz w:val="24"/>
          <w:szCs w:val="24"/>
        </w:rPr>
        <w:t xml:space="preserve">Assistant Professor, </w:t>
      </w:r>
      <w:r w:rsidRPr="00FD080D">
        <w:rPr>
          <w:rFonts w:ascii="Book Antiqua" w:hAnsi="Book Antiqua" w:cs="Times New Roman"/>
          <w:sz w:val="24"/>
          <w:szCs w:val="24"/>
        </w:rPr>
        <w:t>Department of Gastroenterology and Hepatology, Boston Children</w:t>
      </w:r>
      <w:r w:rsidR="00153E1C">
        <w:rPr>
          <w:rFonts w:ascii="Book Antiqua" w:hAnsi="Book Antiqua" w:cs="Times New Roman"/>
          <w:sz w:val="24"/>
          <w:szCs w:val="24"/>
        </w:rPr>
        <w:t>’</w:t>
      </w:r>
      <w:r w:rsidRPr="00FD080D">
        <w:rPr>
          <w:rFonts w:ascii="Book Antiqua" w:hAnsi="Book Antiqua" w:cs="Times New Roman"/>
          <w:sz w:val="24"/>
          <w:szCs w:val="24"/>
        </w:rPr>
        <w:t xml:space="preserve">s Hospital, </w:t>
      </w:r>
      <w:r w:rsidRPr="00FD080D">
        <w:rPr>
          <w:rFonts w:ascii="Book Antiqua" w:eastAsia="Times New Roman" w:hAnsi="Book Antiqua" w:cs="Times New Roman"/>
          <w:sz w:val="24"/>
          <w:szCs w:val="24"/>
        </w:rPr>
        <w:t>300 Longwood Avenue, Boston, MA 02115</w:t>
      </w:r>
      <w:r w:rsidR="002C0544">
        <w:rPr>
          <w:rFonts w:ascii="Book Antiqua" w:eastAsia="Times New Roman" w:hAnsi="Book Antiqua" w:cs="Times New Roman"/>
          <w:sz w:val="24"/>
          <w:szCs w:val="24"/>
        </w:rPr>
        <w:t>, United States.</w:t>
      </w:r>
      <w:r w:rsidRPr="00FD080D">
        <w:rPr>
          <w:rFonts w:ascii="Book Antiqua" w:eastAsia="Times New Roman" w:hAnsi="Book Antiqua" w:cs="Times New Roman"/>
          <w:sz w:val="24"/>
          <w:szCs w:val="24"/>
        </w:rPr>
        <w:t xml:space="preserve"> </w:t>
      </w:r>
      <w:hyperlink r:id="rId13" w:history="1">
        <w:r w:rsidR="002C0544" w:rsidRPr="00634CB8">
          <w:rPr>
            <w:rStyle w:val="Hyperlink"/>
            <w:rFonts w:ascii="Book Antiqua" w:hAnsi="Book Antiqua" w:cs="Times New Roman"/>
            <w:sz w:val="24"/>
            <w:szCs w:val="24"/>
          </w:rPr>
          <w:t>ysharma1156@gmail.com</w:t>
        </w:r>
      </w:hyperlink>
    </w:p>
    <w:p w14:paraId="08B904EB" w14:textId="0432825F" w:rsidR="001C6C0F" w:rsidRPr="00FD080D" w:rsidRDefault="001C6C0F" w:rsidP="00FD080D">
      <w:pPr>
        <w:adjustRightInd w:val="0"/>
        <w:snapToGrid w:val="0"/>
        <w:spacing w:after="0" w:line="360" w:lineRule="auto"/>
        <w:jc w:val="both"/>
        <w:rPr>
          <w:rFonts w:ascii="Book Antiqua" w:hAnsi="Book Antiqua"/>
          <w:sz w:val="24"/>
          <w:szCs w:val="24"/>
        </w:rPr>
      </w:pPr>
      <w:r w:rsidRPr="002C0544">
        <w:rPr>
          <w:rFonts w:ascii="Book Antiqua" w:hAnsi="Book Antiqua" w:cs="Times New Roman"/>
          <w:b/>
          <w:bCs/>
          <w:sz w:val="24"/>
          <w:szCs w:val="24"/>
        </w:rPr>
        <w:t>Telephone:</w:t>
      </w:r>
      <w:r w:rsidRPr="00FD080D">
        <w:rPr>
          <w:rFonts w:ascii="Book Antiqua" w:hAnsi="Book Antiqua" w:cs="Times New Roman"/>
          <w:sz w:val="24"/>
          <w:szCs w:val="24"/>
        </w:rPr>
        <w:t xml:space="preserve"> </w:t>
      </w:r>
      <w:r w:rsidR="002C0544">
        <w:rPr>
          <w:rFonts w:ascii="Book Antiqua" w:hAnsi="Book Antiqua" w:cs="Times New Roman"/>
          <w:sz w:val="24"/>
          <w:szCs w:val="24"/>
        </w:rPr>
        <w:t>+1-</w:t>
      </w:r>
      <w:r w:rsidRPr="00FD080D">
        <w:rPr>
          <w:rFonts w:ascii="Book Antiqua" w:hAnsi="Book Antiqua" w:cs="Times New Roman"/>
          <w:sz w:val="24"/>
          <w:szCs w:val="24"/>
        </w:rPr>
        <w:t xml:space="preserve">818-9194826 </w:t>
      </w:r>
    </w:p>
    <w:p w14:paraId="3CFE7121" w14:textId="7D8FC692" w:rsidR="00A04AAC" w:rsidRDefault="00A04AAC" w:rsidP="00FD080D">
      <w:pPr>
        <w:adjustRightInd w:val="0"/>
        <w:snapToGrid w:val="0"/>
        <w:spacing w:after="0" w:line="360" w:lineRule="auto"/>
        <w:jc w:val="both"/>
        <w:rPr>
          <w:rFonts w:ascii="Book Antiqua" w:hAnsi="Book Antiqua"/>
          <w:sz w:val="24"/>
          <w:szCs w:val="24"/>
        </w:rPr>
      </w:pPr>
    </w:p>
    <w:p w14:paraId="560649F5" w14:textId="6FDA1294" w:rsidR="002C0544" w:rsidRPr="002C0544" w:rsidRDefault="002C0544" w:rsidP="002C0544">
      <w:pPr>
        <w:adjustRightInd w:val="0"/>
        <w:snapToGrid w:val="0"/>
        <w:spacing w:after="0" w:line="360" w:lineRule="auto"/>
        <w:jc w:val="both"/>
        <w:rPr>
          <w:rFonts w:ascii="Book Antiqua" w:eastAsia="SimSun" w:hAnsi="Book Antiqua" w:cs="Times New Roman"/>
          <w:b/>
          <w:color w:val="auto"/>
          <w:sz w:val="24"/>
          <w:szCs w:val="24"/>
          <w:lang w:eastAsia="zh-CN"/>
        </w:rPr>
      </w:pPr>
      <w:bookmarkStart w:id="13" w:name="OLE_LINK14"/>
      <w:bookmarkStart w:id="14" w:name="OLE_LINK16"/>
      <w:bookmarkStart w:id="15" w:name="OLE_LINK51"/>
      <w:bookmarkStart w:id="16" w:name="OLE_LINK27"/>
      <w:bookmarkStart w:id="17" w:name="OLE_LINK382"/>
      <w:bookmarkStart w:id="18" w:name="OLE_LINK30"/>
      <w:bookmarkStart w:id="19" w:name="OLE_LINK376"/>
      <w:bookmarkStart w:id="20" w:name="OLE_LINK35"/>
      <w:bookmarkStart w:id="21" w:name="OLE_LINK64"/>
      <w:bookmarkStart w:id="22" w:name="OLE_LINK616"/>
      <w:bookmarkStart w:id="23" w:name="OLE_LINK141"/>
      <w:r w:rsidRPr="002C0544">
        <w:rPr>
          <w:rFonts w:ascii="Book Antiqua" w:eastAsia="SimSun" w:hAnsi="Book Antiqua" w:cs="Times New Roman"/>
          <w:b/>
          <w:color w:val="auto"/>
          <w:sz w:val="24"/>
          <w:szCs w:val="24"/>
          <w:lang w:eastAsia="zh-CN"/>
        </w:rPr>
        <w:t xml:space="preserve">Received: </w:t>
      </w:r>
      <w:r>
        <w:rPr>
          <w:rFonts w:ascii="Book Antiqua" w:eastAsia="SimSun" w:hAnsi="Book Antiqua" w:cs="Times New Roman"/>
          <w:color w:val="auto"/>
          <w:sz w:val="24"/>
          <w:szCs w:val="24"/>
          <w:lang w:eastAsia="zh-CN"/>
        </w:rPr>
        <w:t>January</w:t>
      </w:r>
      <w:r w:rsidRPr="002C0544">
        <w:rPr>
          <w:rFonts w:ascii="Book Antiqua" w:eastAsia="DengXian" w:hAnsi="Book Antiqua" w:cs="Times New Roman"/>
          <w:color w:val="auto"/>
          <w:sz w:val="24"/>
          <w:szCs w:val="24"/>
          <w:lang w:eastAsia="zh-CN"/>
        </w:rPr>
        <w:t xml:space="preserve"> </w:t>
      </w:r>
      <w:r>
        <w:rPr>
          <w:rFonts w:ascii="Book Antiqua" w:eastAsia="DengXian" w:hAnsi="Book Antiqua" w:cs="Times New Roman"/>
          <w:color w:val="auto"/>
          <w:sz w:val="24"/>
          <w:szCs w:val="24"/>
          <w:lang w:eastAsia="zh-CN"/>
        </w:rPr>
        <w:t>22</w:t>
      </w:r>
      <w:r w:rsidRPr="002C0544">
        <w:rPr>
          <w:rFonts w:ascii="Book Antiqua" w:eastAsia="DengXian" w:hAnsi="Book Antiqua" w:cs="Times New Roman"/>
          <w:color w:val="auto"/>
          <w:sz w:val="24"/>
          <w:szCs w:val="24"/>
          <w:lang w:eastAsia="zh-CN"/>
        </w:rPr>
        <w:t>, 2019</w:t>
      </w:r>
    </w:p>
    <w:p w14:paraId="4A50250E" w14:textId="059806CE" w:rsidR="002C0544" w:rsidRPr="002C0544" w:rsidRDefault="002C0544" w:rsidP="002C0544">
      <w:pPr>
        <w:adjustRightInd w:val="0"/>
        <w:snapToGrid w:val="0"/>
        <w:spacing w:after="0" w:line="360" w:lineRule="auto"/>
        <w:jc w:val="both"/>
        <w:rPr>
          <w:rFonts w:ascii="Book Antiqua" w:eastAsia="DengXian" w:hAnsi="Book Antiqua" w:cs="Times New Roman"/>
          <w:b/>
          <w:color w:val="auto"/>
          <w:sz w:val="24"/>
          <w:szCs w:val="24"/>
          <w:lang w:eastAsia="zh-CN"/>
        </w:rPr>
      </w:pPr>
      <w:r w:rsidRPr="002C0544">
        <w:rPr>
          <w:rFonts w:ascii="Book Antiqua" w:eastAsia="SimSun" w:hAnsi="Book Antiqua" w:cs="Times New Roman"/>
          <w:b/>
          <w:color w:val="auto"/>
          <w:sz w:val="24"/>
          <w:szCs w:val="24"/>
          <w:lang w:eastAsia="zh-CN"/>
        </w:rPr>
        <w:t>Peer-review started:</w:t>
      </w:r>
      <w:r w:rsidRPr="002C0544">
        <w:rPr>
          <w:rFonts w:ascii="Book Antiqua" w:eastAsia="DengXian" w:hAnsi="Book Antiqua" w:cs="Times New Roman"/>
          <w:b/>
          <w:color w:val="auto"/>
          <w:sz w:val="24"/>
          <w:szCs w:val="24"/>
          <w:lang w:eastAsia="zh-CN"/>
        </w:rPr>
        <w:t xml:space="preserve"> </w:t>
      </w:r>
      <w:r>
        <w:rPr>
          <w:rFonts w:ascii="Book Antiqua" w:eastAsia="SimSun" w:hAnsi="Book Antiqua" w:cs="Times New Roman"/>
          <w:color w:val="auto"/>
          <w:sz w:val="24"/>
          <w:szCs w:val="24"/>
          <w:lang w:eastAsia="zh-CN"/>
        </w:rPr>
        <w:t>January</w:t>
      </w:r>
      <w:r w:rsidRPr="002C0544">
        <w:rPr>
          <w:rFonts w:ascii="Book Antiqua" w:eastAsia="DengXian" w:hAnsi="Book Antiqua" w:cs="Times New Roman"/>
          <w:color w:val="auto"/>
          <w:sz w:val="24"/>
          <w:szCs w:val="24"/>
          <w:lang w:eastAsia="zh-CN"/>
        </w:rPr>
        <w:t xml:space="preserve"> </w:t>
      </w:r>
      <w:r>
        <w:rPr>
          <w:rFonts w:ascii="Book Antiqua" w:eastAsia="DengXian" w:hAnsi="Book Antiqua" w:cs="Times New Roman"/>
          <w:color w:val="auto"/>
          <w:sz w:val="24"/>
          <w:szCs w:val="24"/>
          <w:lang w:eastAsia="zh-CN"/>
        </w:rPr>
        <w:t>22</w:t>
      </w:r>
      <w:r w:rsidRPr="002C0544">
        <w:rPr>
          <w:rFonts w:ascii="Book Antiqua" w:eastAsia="DengXian" w:hAnsi="Book Antiqua" w:cs="Times New Roman"/>
          <w:color w:val="auto"/>
          <w:sz w:val="24"/>
          <w:szCs w:val="24"/>
          <w:lang w:eastAsia="zh-CN"/>
        </w:rPr>
        <w:t>, 2019</w:t>
      </w:r>
    </w:p>
    <w:p w14:paraId="7FAA56E2" w14:textId="59BD309A" w:rsidR="002C0544" w:rsidRPr="002C0544" w:rsidRDefault="002C0544" w:rsidP="002C0544">
      <w:pPr>
        <w:adjustRightInd w:val="0"/>
        <w:snapToGrid w:val="0"/>
        <w:spacing w:after="0" w:line="360" w:lineRule="auto"/>
        <w:jc w:val="both"/>
        <w:rPr>
          <w:rFonts w:ascii="Book Antiqua" w:eastAsia="DengXian" w:hAnsi="Book Antiqua" w:cs="Times New Roman"/>
          <w:b/>
          <w:color w:val="auto"/>
          <w:sz w:val="24"/>
          <w:szCs w:val="24"/>
          <w:lang w:eastAsia="zh-CN"/>
        </w:rPr>
      </w:pPr>
      <w:r w:rsidRPr="002C0544">
        <w:rPr>
          <w:rFonts w:ascii="Book Antiqua" w:eastAsia="SimSun" w:hAnsi="Book Antiqua" w:cs="Times New Roman"/>
          <w:b/>
          <w:color w:val="auto"/>
          <w:sz w:val="24"/>
          <w:szCs w:val="24"/>
          <w:lang w:eastAsia="zh-CN"/>
        </w:rPr>
        <w:t>First decision:</w:t>
      </w:r>
      <w:r w:rsidRPr="002C0544">
        <w:rPr>
          <w:rFonts w:ascii="Book Antiqua" w:eastAsia="DengXian" w:hAnsi="Book Antiqua" w:cs="Times New Roman"/>
          <w:b/>
          <w:color w:val="auto"/>
          <w:sz w:val="24"/>
          <w:szCs w:val="24"/>
          <w:lang w:eastAsia="zh-CN"/>
        </w:rPr>
        <w:t xml:space="preserve"> </w:t>
      </w:r>
      <w:r>
        <w:rPr>
          <w:rFonts w:ascii="Book Antiqua" w:eastAsia="SimSun" w:hAnsi="Book Antiqua" w:cs="Times New Roman"/>
          <w:color w:val="auto"/>
          <w:sz w:val="24"/>
          <w:szCs w:val="24"/>
          <w:lang w:eastAsia="zh-CN"/>
        </w:rPr>
        <w:t>February</w:t>
      </w:r>
      <w:r w:rsidRPr="002C0544">
        <w:rPr>
          <w:rFonts w:ascii="Book Antiqua" w:eastAsia="DengXian" w:hAnsi="Book Antiqua" w:cs="Times New Roman"/>
          <w:color w:val="auto"/>
          <w:sz w:val="24"/>
          <w:szCs w:val="24"/>
          <w:lang w:eastAsia="zh-CN"/>
        </w:rPr>
        <w:t xml:space="preserve"> 1</w:t>
      </w:r>
      <w:r>
        <w:rPr>
          <w:rFonts w:ascii="Book Antiqua" w:eastAsia="DengXian" w:hAnsi="Book Antiqua" w:cs="Times New Roman"/>
          <w:color w:val="auto"/>
          <w:sz w:val="24"/>
          <w:szCs w:val="24"/>
          <w:lang w:eastAsia="zh-CN"/>
        </w:rPr>
        <w:t>3</w:t>
      </w:r>
      <w:r w:rsidRPr="002C0544">
        <w:rPr>
          <w:rFonts w:ascii="Book Antiqua" w:eastAsia="DengXian" w:hAnsi="Book Antiqua" w:cs="Times New Roman"/>
          <w:color w:val="auto"/>
          <w:sz w:val="24"/>
          <w:szCs w:val="24"/>
          <w:lang w:eastAsia="zh-CN"/>
        </w:rPr>
        <w:t>, 2019</w:t>
      </w:r>
    </w:p>
    <w:p w14:paraId="44D42346" w14:textId="2292D342" w:rsidR="002C0544" w:rsidRPr="002C0544" w:rsidRDefault="002C0544" w:rsidP="002C0544">
      <w:pPr>
        <w:adjustRightInd w:val="0"/>
        <w:snapToGrid w:val="0"/>
        <w:spacing w:after="0" w:line="360" w:lineRule="auto"/>
        <w:jc w:val="both"/>
        <w:rPr>
          <w:rFonts w:ascii="Book Antiqua" w:eastAsia="SimSun" w:hAnsi="Book Antiqua" w:cs="Times New Roman"/>
          <w:b/>
          <w:color w:val="auto"/>
          <w:sz w:val="24"/>
          <w:szCs w:val="24"/>
          <w:lang w:eastAsia="zh-CN"/>
        </w:rPr>
      </w:pPr>
      <w:r w:rsidRPr="002C0544">
        <w:rPr>
          <w:rFonts w:ascii="Book Antiqua" w:eastAsia="SimSun" w:hAnsi="Book Antiqua" w:cs="Times New Roman"/>
          <w:b/>
          <w:color w:val="auto"/>
          <w:sz w:val="24"/>
          <w:szCs w:val="24"/>
          <w:lang w:eastAsia="zh-CN"/>
        </w:rPr>
        <w:t xml:space="preserve">Revised: </w:t>
      </w:r>
      <w:r w:rsidR="00AB5420">
        <w:rPr>
          <w:rFonts w:ascii="Book Antiqua" w:eastAsia="SimSun" w:hAnsi="Book Antiqua" w:cs="Times New Roman"/>
          <w:color w:val="auto"/>
          <w:sz w:val="24"/>
          <w:szCs w:val="24"/>
          <w:lang w:eastAsia="zh-CN"/>
        </w:rPr>
        <w:t>July</w:t>
      </w:r>
      <w:r w:rsidRPr="002C0544">
        <w:rPr>
          <w:rFonts w:ascii="Book Antiqua" w:eastAsia="SimSun" w:hAnsi="Book Antiqua" w:cs="Times New Roman"/>
          <w:color w:val="auto"/>
          <w:sz w:val="24"/>
          <w:szCs w:val="24"/>
          <w:lang w:eastAsia="zh-CN"/>
        </w:rPr>
        <w:t xml:space="preserve"> </w:t>
      </w:r>
      <w:r w:rsidR="00AB5420">
        <w:rPr>
          <w:rFonts w:ascii="Book Antiqua" w:eastAsia="SimSun" w:hAnsi="Book Antiqua" w:cs="Times New Roman"/>
          <w:color w:val="auto"/>
          <w:sz w:val="24"/>
          <w:szCs w:val="24"/>
          <w:lang w:eastAsia="zh-CN"/>
        </w:rPr>
        <w:t>3</w:t>
      </w:r>
      <w:r w:rsidRPr="002C0544">
        <w:rPr>
          <w:rFonts w:ascii="Book Antiqua" w:eastAsia="SimSun" w:hAnsi="Book Antiqua" w:cs="Times New Roman"/>
          <w:color w:val="auto"/>
          <w:sz w:val="24"/>
          <w:szCs w:val="24"/>
          <w:lang w:eastAsia="zh-CN"/>
        </w:rPr>
        <w:t>, 2019</w:t>
      </w:r>
    </w:p>
    <w:p w14:paraId="195A01FC" w14:textId="4698ECF1" w:rsidR="002C0544" w:rsidRPr="002C0544" w:rsidRDefault="002C0544" w:rsidP="002C0544">
      <w:pPr>
        <w:adjustRightInd w:val="0"/>
        <w:snapToGrid w:val="0"/>
        <w:spacing w:after="0" w:line="360" w:lineRule="auto"/>
        <w:jc w:val="both"/>
        <w:rPr>
          <w:rFonts w:ascii="Book Antiqua" w:eastAsia="SimSun" w:hAnsi="Book Antiqua" w:cs="Times New Roman"/>
          <w:b/>
          <w:color w:val="auto"/>
          <w:sz w:val="24"/>
          <w:szCs w:val="24"/>
          <w:lang w:eastAsia="zh-CN"/>
        </w:rPr>
      </w:pPr>
      <w:r w:rsidRPr="002C0544">
        <w:rPr>
          <w:rFonts w:ascii="Book Antiqua" w:eastAsia="SimSun" w:hAnsi="Book Antiqua" w:cs="Times New Roman"/>
          <w:b/>
          <w:color w:val="auto"/>
          <w:sz w:val="24"/>
          <w:szCs w:val="24"/>
          <w:lang w:eastAsia="zh-CN"/>
        </w:rPr>
        <w:t>Accepted:</w:t>
      </w:r>
      <w:r w:rsidR="007B6DB2" w:rsidRPr="007B6DB2">
        <w:t xml:space="preserve"> </w:t>
      </w:r>
      <w:r w:rsidR="007B6DB2" w:rsidRPr="007B6DB2">
        <w:rPr>
          <w:rFonts w:ascii="Book Antiqua" w:eastAsia="SimSun" w:hAnsi="Book Antiqua" w:cs="Times New Roman"/>
          <w:bCs/>
          <w:color w:val="auto"/>
          <w:sz w:val="24"/>
          <w:szCs w:val="24"/>
          <w:lang w:eastAsia="zh-CN"/>
        </w:rPr>
        <w:t>July 5, 2019</w:t>
      </w:r>
      <w:r w:rsidRPr="002C0544">
        <w:rPr>
          <w:rFonts w:ascii="Book Antiqua" w:eastAsia="SimSun" w:hAnsi="Book Antiqua" w:cs="Times New Roman"/>
          <w:b/>
          <w:color w:val="auto"/>
          <w:sz w:val="24"/>
          <w:szCs w:val="24"/>
          <w:lang w:eastAsia="zh-CN"/>
        </w:rPr>
        <w:t xml:space="preserve"> </w:t>
      </w:r>
    </w:p>
    <w:p w14:paraId="2D0AD3F3" w14:textId="77777777" w:rsidR="002C0544" w:rsidRPr="002C0544" w:rsidRDefault="002C0544" w:rsidP="002C0544">
      <w:pPr>
        <w:adjustRightInd w:val="0"/>
        <w:snapToGrid w:val="0"/>
        <w:spacing w:after="0" w:line="360" w:lineRule="auto"/>
        <w:jc w:val="both"/>
        <w:rPr>
          <w:rFonts w:ascii="Book Antiqua" w:eastAsia="SimSun" w:hAnsi="Book Antiqua" w:cs="Times New Roman"/>
          <w:b/>
          <w:color w:val="auto"/>
          <w:sz w:val="24"/>
          <w:szCs w:val="24"/>
          <w:lang w:eastAsia="zh-CN"/>
        </w:rPr>
      </w:pPr>
      <w:r w:rsidRPr="002C0544">
        <w:rPr>
          <w:rFonts w:ascii="Book Antiqua" w:eastAsia="SimSun" w:hAnsi="Book Antiqua" w:cs="Times New Roman"/>
          <w:b/>
          <w:color w:val="auto"/>
          <w:sz w:val="24"/>
          <w:szCs w:val="24"/>
          <w:lang w:eastAsia="zh-CN"/>
        </w:rPr>
        <w:t>Article in press:</w:t>
      </w:r>
    </w:p>
    <w:p w14:paraId="1371DBFC" w14:textId="77777777" w:rsidR="002C0544" w:rsidRPr="002C0544" w:rsidRDefault="002C0544" w:rsidP="002C0544">
      <w:pPr>
        <w:snapToGrid w:val="0"/>
        <w:spacing w:after="0" w:line="360" w:lineRule="auto"/>
        <w:jc w:val="both"/>
        <w:rPr>
          <w:rFonts w:ascii="Book Antiqua" w:eastAsia="SimSun" w:hAnsi="Book Antiqua" w:cs="Times New Roman"/>
          <w:sz w:val="24"/>
          <w:szCs w:val="24"/>
          <w:lang w:eastAsia="zh-CN"/>
        </w:rPr>
      </w:pPr>
      <w:r w:rsidRPr="002C0544">
        <w:rPr>
          <w:rFonts w:ascii="Book Antiqua" w:eastAsia="SimSun" w:hAnsi="Book Antiqua" w:cs="Times New Roman"/>
          <w:b/>
          <w:color w:val="auto"/>
          <w:sz w:val="24"/>
          <w:szCs w:val="24"/>
          <w:lang w:eastAsia="zh-CN"/>
        </w:rPr>
        <w:lastRenderedPageBreak/>
        <w:t>Published online:</w:t>
      </w:r>
      <w:bookmarkEnd w:id="13"/>
      <w:bookmarkEnd w:id="14"/>
      <w:bookmarkEnd w:id="15"/>
      <w:bookmarkEnd w:id="16"/>
      <w:bookmarkEnd w:id="17"/>
    </w:p>
    <w:bookmarkEnd w:id="18"/>
    <w:bookmarkEnd w:id="19"/>
    <w:bookmarkEnd w:id="20"/>
    <w:bookmarkEnd w:id="21"/>
    <w:bookmarkEnd w:id="22"/>
    <w:bookmarkEnd w:id="23"/>
    <w:p w14:paraId="40774275" w14:textId="77777777" w:rsidR="00320B29" w:rsidRDefault="00320B29">
      <w:pPr>
        <w:rPr>
          <w:rFonts w:ascii="Book Antiqua" w:eastAsia="Times New Roman" w:hAnsi="Book Antiqua" w:cs="Times New Roman"/>
          <w:b/>
          <w:sz w:val="24"/>
          <w:szCs w:val="24"/>
        </w:rPr>
      </w:pPr>
      <w:r>
        <w:rPr>
          <w:rFonts w:ascii="Book Antiqua" w:eastAsia="Times New Roman" w:hAnsi="Book Antiqua" w:cs="Times New Roman"/>
          <w:b/>
          <w:sz w:val="24"/>
          <w:szCs w:val="24"/>
        </w:rPr>
        <w:br w:type="page"/>
      </w:r>
    </w:p>
    <w:p w14:paraId="151ACC9E" w14:textId="3931A442" w:rsidR="00D53981" w:rsidRPr="00FD080D" w:rsidRDefault="00AD12D0"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b/>
          <w:sz w:val="24"/>
          <w:szCs w:val="24"/>
        </w:rPr>
        <w:lastRenderedPageBreak/>
        <w:t>A</w:t>
      </w:r>
      <w:r w:rsidR="00D66601" w:rsidRPr="00FD080D">
        <w:rPr>
          <w:rFonts w:ascii="Book Antiqua" w:eastAsia="Times New Roman" w:hAnsi="Book Antiqua" w:cs="Times New Roman"/>
          <w:b/>
          <w:sz w:val="24"/>
          <w:szCs w:val="24"/>
        </w:rPr>
        <w:t>bstract</w:t>
      </w:r>
    </w:p>
    <w:p w14:paraId="6F6A8B17" w14:textId="1069197D" w:rsidR="00D53981" w:rsidRPr="00AA1AB6" w:rsidRDefault="001B01CA" w:rsidP="00FD080D">
      <w:pPr>
        <w:adjustRightInd w:val="0"/>
        <w:snapToGrid w:val="0"/>
        <w:spacing w:after="0" w:line="360" w:lineRule="auto"/>
        <w:jc w:val="both"/>
        <w:rPr>
          <w:rFonts w:ascii="Book Antiqua" w:hAnsi="Book Antiqua"/>
          <w:b/>
          <w:bCs/>
          <w:i/>
          <w:iCs/>
          <w:sz w:val="24"/>
          <w:szCs w:val="24"/>
        </w:rPr>
      </w:pPr>
      <w:r w:rsidRPr="00AA1AB6">
        <w:rPr>
          <w:rFonts w:ascii="Book Antiqua" w:eastAsia="Times New Roman" w:hAnsi="Book Antiqua" w:cs="Times New Roman"/>
          <w:b/>
          <w:bCs/>
          <w:i/>
          <w:iCs/>
          <w:sz w:val="24"/>
          <w:szCs w:val="24"/>
        </w:rPr>
        <w:t>BACKGROUND</w:t>
      </w:r>
    </w:p>
    <w:p w14:paraId="1346C9FA" w14:textId="415CA7E9" w:rsidR="00E71E22" w:rsidRPr="00FD080D" w:rsidRDefault="001B01CA" w:rsidP="00FD080D">
      <w:pPr>
        <w:adjustRightInd w:val="0"/>
        <w:snapToGrid w:val="0"/>
        <w:spacing w:after="0" w:line="360" w:lineRule="auto"/>
        <w:jc w:val="both"/>
        <w:rPr>
          <w:rFonts w:ascii="Book Antiqua" w:eastAsia="Times New Roman" w:hAnsi="Book Antiqua" w:cs="Times New Roman"/>
          <w:sz w:val="24"/>
          <w:szCs w:val="24"/>
        </w:rPr>
      </w:pPr>
      <w:r w:rsidRPr="00FD080D">
        <w:rPr>
          <w:rFonts w:ascii="Book Antiqua" w:eastAsia="Times New Roman" w:hAnsi="Book Antiqua" w:cs="Times New Roman"/>
          <w:sz w:val="24"/>
          <w:szCs w:val="24"/>
        </w:rPr>
        <w:t>There is a small and poorly studied population of patients with mild and limited Crohn</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s disease</w:t>
      </w:r>
      <w:r w:rsidR="00AD07C6" w:rsidRPr="00FD080D">
        <w:rPr>
          <w:rFonts w:ascii="Book Antiqua" w:eastAsia="Times New Roman" w:hAnsi="Book Antiqua" w:cs="Times New Roman"/>
          <w:sz w:val="24"/>
          <w:szCs w:val="24"/>
        </w:rPr>
        <w:t xml:space="preserve"> (CD)</w:t>
      </w:r>
      <w:r w:rsidRPr="00FD080D">
        <w:rPr>
          <w:rFonts w:ascii="Book Antiqua" w:eastAsia="Times New Roman" w:hAnsi="Book Antiqua" w:cs="Times New Roman"/>
          <w:sz w:val="24"/>
          <w:szCs w:val="24"/>
        </w:rPr>
        <w:t xml:space="preserve">, who either spontaneously enter remission and can discontinue therapy, or be maintained on milder anti-inflammatory treatment. </w:t>
      </w:r>
    </w:p>
    <w:p w14:paraId="4EA4B434" w14:textId="77777777" w:rsidR="005A2593" w:rsidRDefault="005A2593" w:rsidP="00FD080D">
      <w:pPr>
        <w:adjustRightInd w:val="0"/>
        <w:snapToGrid w:val="0"/>
        <w:spacing w:after="0" w:line="360" w:lineRule="auto"/>
        <w:jc w:val="both"/>
        <w:rPr>
          <w:rFonts w:ascii="Book Antiqua" w:eastAsia="Times New Roman" w:hAnsi="Book Antiqua" w:cs="Times New Roman"/>
          <w:sz w:val="24"/>
          <w:szCs w:val="24"/>
        </w:rPr>
      </w:pPr>
    </w:p>
    <w:p w14:paraId="7EE3EB69" w14:textId="75260542" w:rsidR="00102336" w:rsidRPr="00DA0C84" w:rsidRDefault="00102336" w:rsidP="00FD080D">
      <w:pPr>
        <w:adjustRightInd w:val="0"/>
        <w:snapToGrid w:val="0"/>
        <w:spacing w:after="0" w:line="360" w:lineRule="auto"/>
        <w:jc w:val="both"/>
        <w:rPr>
          <w:rFonts w:ascii="Book Antiqua" w:eastAsia="Times New Roman" w:hAnsi="Book Antiqua" w:cs="Times New Roman"/>
          <w:b/>
          <w:bCs/>
          <w:i/>
          <w:iCs/>
          <w:sz w:val="24"/>
          <w:szCs w:val="24"/>
        </w:rPr>
      </w:pPr>
      <w:r w:rsidRPr="00DA0C84">
        <w:rPr>
          <w:rFonts w:ascii="Book Antiqua" w:eastAsia="Times New Roman" w:hAnsi="Book Antiqua" w:cs="Times New Roman"/>
          <w:b/>
          <w:bCs/>
          <w:i/>
          <w:iCs/>
          <w:sz w:val="24"/>
          <w:szCs w:val="24"/>
        </w:rPr>
        <w:t>AIM</w:t>
      </w:r>
    </w:p>
    <w:p w14:paraId="6566F65A" w14:textId="6019E3A9" w:rsidR="00D53981" w:rsidRPr="00FD080D" w:rsidRDefault="00DA0C84" w:rsidP="00FD080D">
      <w:pPr>
        <w:adjustRightInd w:val="0"/>
        <w:snapToGrid w:val="0"/>
        <w:spacing w:after="0" w:line="360" w:lineRule="auto"/>
        <w:jc w:val="both"/>
        <w:rPr>
          <w:rFonts w:ascii="Book Antiqua" w:hAnsi="Book Antiqua"/>
          <w:sz w:val="24"/>
          <w:szCs w:val="24"/>
        </w:rPr>
      </w:pPr>
      <w:r>
        <w:rPr>
          <w:rFonts w:ascii="Book Antiqua" w:eastAsia="Times New Roman" w:hAnsi="Book Antiqua" w:cs="Times New Roman"/>
          <w:sz w:val="24"/>
          <w:szCs w:val="24"/>
        </w:rPr>
        <w:t>T</w:t>
      </w:r>
      <w:r w:rsidR="001B01CA" w:rsidRPr="00FD080D">
        <w:rPr>
          <w:rFonts w:ascii="Book Antiqua" w:eastAsia="Times New Roman" w:hAnsi="Book Antiqua" w:cs="Times New Roman"/>
          <w:sz w:val="24"/>
          <w:szCs w:val="24"/>
        </w:rPr>
        <w:t xml:space="preserve">o identify a group of children with mild </w:t>
      </w:r>
      <w:r w:rsidR="00AD07C6" w:rsidRPr="00FD080D">
        <w:rPr>
          <w:rFonts w:ascii="Book Antiqua" w:eastAsia="Times New Roman" w:hAnsi="Book Antiqua" w:cs="Times New Roman"/>
          <w:sz w:val="24"/>
          <w:szCs w:val="24"/>
        </w:rPr>
        <w:t>CD</w:t>
      </w:r>
      <w:r w:rsidR="001B01CA" w:rsidRPr="00FD080D">
        <w:rPr>
          <w:rFonts w:ascii="Book Antiqua" w:eastAsia="Times New Roman" w:hAnsi="Book Antiqua" w:cs="Times New Roman"/>
          <w:sz w:val="24"/>
          <w:szCs w:val="24"/>
        </w:rPr>
        <w:t xml:space="preserve"> who were not escalated to immunomodulators</w:t>
      </w:r>
      <w:r w:rsidR="00AD07C6" w:rsidRPr="00FD080D">
        <w:rPr>
          <w:rFonts w:ascii="Book Antiqua" w:eastAsia="Times New Roman" w:hAnsi="Book Antiqua" w:cs="Times New Roman"/>
          <w:sz w:val="24"/>
          <w:szCs w:val="24"/>
        </w:rPr>
        <w:t xml:space="preserve"> (azathioprine, mercaptopurine, or methotrexate)</w:t>
      </w:r>
      <w:r w:rsidR="001B01CA" w:rsidRPr="00FD080D">
        <w:rPr>
          <w:rFonts w:ascii="Book Antiqua" w:eastAsia="Times New Roman" w:hAnsi="Book Antiqua" w:cs="Times New Roman"/>
          <w:sz w:val="24"/>
          <w:szCs w:val="24"/>
        </w:rPr>
        <w:t xml:space="preserve"> or biologics </w:t>
      </w:r>
      <w:r w:rsidR="00AD07C6" w:rsidRPr="00FD080D">
        <w:rPr>
          <w:rFonts w:ascii="Book Antiqua" w:eastAsia="Times New Roman" w:hAnsi="Book Antiqua" w:cs="Times New Roman"/>
          <w:sz w:val="24"/>
          <w:szCs w:val="24"/>
        </w:rPr>
        <w:t xml:space="preserve">(infliximab or adalimumab) </w:t>
      </w:r>
      <w:r w:rsidR="001B01CA" w:rsidRPr="00FD080D">
        <w:rPr>
          <w:rFonts w:ascii="Book Antiqua" w:eastAsia="Times New Roman" w:hAnsi="Book Antiqua" w:cs="Times New Roman"/>
          <w:sz w:val="24"/>
          <w:szCs w:val="24"/>
        </w:rPr>
        <w:t>within the first two years after their Crohn</w:t>
      </w:r>
      <w:r w:rsidR="00153E1C">
        <w:rPr>
          <w:rFonts w:ascii="Book Antiqua" w:eastAsia="Times New Roman" w:hAnsi="Book Antiqua" w:cs="Times New Roman"/>
          <w:sz w:val="24"/>
          <w:szCs w:val="24"/>
        </w:rPr>
        <w:t>’</w:t>
      </w:r>
      <w:r w:rsidR="00F430D0" w:rsidRPr="00FD080D">
        <w:rPr>
          <w:rFonts w:ascii="Book Antiqua" w:eastAsia="Times New Roman" w:hAnsi="Book Antiqua" w:cs="Times New Roman"/>
          <w:sz w:val="24"/>
          <w:szCs w:val="24"/>
        </w:rPr>
        <w:t>s</w:t>
      </w:r>
      <w:r w:rsidR="001B01CA" w:rsidRPr="00FD080D">
        <w:rPr>
          <w:rFonts w:ascii="Book Antiqua" w:eastAsia="Times New Roman" w:hAnsi="Book Antiqua" w:cs="Times New Roman"/>
          <w:sz w:val="24"/>
          <w:szCs w:val="24"/>
        </w:rPr>
        <w:t xml:space="preserve"> diagnosis and outline the natural history and phenotypic features of these patients.</w:t>
      </w:r>
      <w:r w:rsidR="005A2593">
        <w:rPr>
          <w:rFonts w:ascii="Book Antiqua" w:eastAsia="Times New Roman" w:hAnsi="Book Antiqua" w:cs="Times New Roman"/>
          <w:sz w:val="24"/>
          <w:szCs w:val="24"/>
        </w:rPr>
        <w:t xml:space="preserve"> </w:t>
      </w:r>
    </w:p>
    <w:p w14:paraId="3A05C46B" w14:textId="77777777" w:rsidR="00D53981" w:rsidRPr="00DA0C84" w:rsidRDefault="001B01CA" w:rsidP="00FD080D">
      <w:pPr>
        <w:adjustRightInd w:val="0"/>
        <w:snapToGrid w:val="0"/>
        <w:spacing w:after="0" w:line="360" w:lineRule="auto"/>
        <w:jc w:val="both"/>
        <w:rPr>
          <w:rFonts w:ascii="Book Antiqua" w:hAnsi="Book Antiqua"/>
          <w:b/>
          <w:bCs/>
          <w:i/>
          <w:iCs/>
          <w:sz w:val="24"/>
          <w:szCs w:val="24"/>
        </w:rPr>
      </w:pPr>
      <w:r w:rsidRPr="00DA0C84">
        <w:rPr>
          <w:rFonts w:ascii="Book Antiqua" w:eastAsia="Times New Roman" w:hAnsi="Book Antiqua" w:cs="Times New Roman"/>
          <w:b/>
          <w:bCs/>
          <w:i/>
          <w:iCs/>
          <w:sz w:val="24"/>
          <w:szCs w:val="24"/>
        </w:rPr>
        <w:t xml:space="preserve"> </w:t>
      </w:r>
    </w:p>
    <w:p w14:paraId="2CD2BE5B" w14:textId="77777777" w:rsidR="00DA0C84" w:rsidRDefault="001B01CA" w:rsidP="00FD080D">
      <w:pPr>
        <w:adjustRightInd w:val="0"/>
        <w:snapToGrid w:val="0"/>
        <w:spacing w:after="0" w:line="360" w:lineRule="auto"/>
        <w:jc w:val="both"/>
        <w:rPr>
          <w:rFonts w:ascii="Book Antiqua" w:hAnsi="Book Antiqua"/>
          <w:b/>
          <w:bCs/>
          <w:i/>
          <w:iCs/>
          <w:sz w:val="24"/>
          <w:szCs w:val="24"/>
        </w:rPr>
      </w:pPr>
      <w:r w:rsidRPr="00DA0C84">
        <w:rPr>
          <w:rFonts w:ascii="Book Antiqua" w:eastAsia="Times New Roman" w:hAnsi="Book Antiqua" w:cs="Times New Roman"/>
          <w:b/>
          <w:bCs/>
          <w:i/>
          <w:iCs/>
          <w:sz w:val="24"/>
          <w:szCs w:val="24"/>
        </w:rPr>
        <w:t>METHODS</w:t>
      </w:r>
    </w:p>
    <w:p w14:paraId="4C1F2243" w14:textId="5B571DF6" w:rsidR="00D53981" w:rsidRPr="00DA0C84" w:rsidRDefault="001B01CA" w:rsidP="00FD080D">
      <w:pPr>
        <w:adjustRightInd w:val="0"/>
        <w:snapToGrid w:val="0"/>
        <w:spacing w:after="0" w:line="360" w:lineRule="auto"/>
        <w:jc w:val="both"/>
        <w:rPr>
          <w:rFonts w:ascii="Book Antiqua" w:hAnsi="Book Antiqua"/>
          <w:b/>
          <w:bCs/>
          <w:i/>
          <w:iCs/>
          <w:sz w:val="24"/>
          <w:szCs w:val="24"/>
        </w:rPr>
      </w:pPr>
      <w:r w:rsidRPr="00FD080D">
        <w:rPr>
          <w:rFonts w:ascii="Book Antiqua" w:eastAsia="Times New Roman" w:hAnsi="Book Antiqua" w:cs="Times New Roman"/>
          <w:sz w:val="24"/>
          <w:szCs w:val="24"/>
        </w:rPr>
        <w:t>In</w:t>
      </w:r>
      <w:r w:rsidR="00F430D0" w:rsidRPr="00FD080D">
        <w:rPr>
          <w:rFonts w:ascii="Book Antiqua" w:eastAsia="Times New Roman" w:hAnsi="Book Antiqua" w:cs="Times New Roman"/>
          <w:sz w:val="24"/>
          <w:szCs w:val="24"/>
        </w:rPr>
        <w:t xml:space="preserve"> a</w:t>
      </w:r>
      <w:r w:rsidRPr="00FD080D">
        <w:rPr>
          <w:rFonts w:ascii="Book Antiqua" w:eastAsia="Times New Roman" w:hAnsi="Book Antiqua" w:cs="Times New Roman"/>
          <w:sz w:val="24"/>
          <w:szCs w:val="24"/>
        </w:rPr>
        <w:t xml:space="preserve"> retrospective chart review of the </w:t>
      </w:r>
      <w:r w:rsidR="00DA0C84" w:rsidRPr="00FD080D">
        <w:rPr>
          <w:rFonts w:ascii="Book Antiqua" w:eastAsia="Times New Roman" w:hAnsi="Book Antiqua" w:cs="Times New Roman"/>
          <w:sz w:val="24"/>
          <w:szCs w:val="24"/>
        </w:rPr>
        <w:t>inflammatory bowel disease</w:t>
      </w:r>
      <w:r w:rsidRPr="00FD080D">
        <w:rPr>
          <w:rFonts w:ascii="Book Antiqua" w:eastAsia="Times New Roman" w:hAnsi="Book Antiqua" w:cs="Times New Roman"/>
          <w:sz w:val="24"/>
          <w:szCs w:val="24"/>
        </w:rPr>
        <w:t xml:space="preserve"> database at Boston Children</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s Hospital we reviewed all the mild CD patient</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s clinic visits, laboratory studies, and procedures for the duration of time they were followed at the center. Patients were included if they had clear diagnosis of Crohn</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s disease, and they were not escalated to immunosuppressive therapies for at least 2 years after the date of diagnosis. </w:t>
      </w:r>
      <w:r w:rsidR="00AD07C6" w:rsidRPr="00FD080D">
        <w:rPr>
          <w:rFonts w:ascii="Book Antiqua" w:eastAsia="Times New Roman" w:hAnsi="Book Antiqua" w:cs="Times New Roman"/>
          <w:sz w:val="24"/>
          <w:szCs w:val="24"/>
        </w:rPr>
        <w:t xml:space="preserve">These mild CD patients were compared to controls diagnosed at a similar time, that were treated with immunomodulators or biologics. </w:t>
      </w:r>
      <w:r w:rsidRPr="00FD080D">
        <w:rPr>
          <w:rFonts w:ascii="Book Antiqua" w:eastAsia="Times New Roman" w:hAnsi="Book Antiqua" w:cs="Times New Roman"/>
          <w:sz w:val="24"/>
          <w:szCs w:val="24"/>
        </w:rPr>
        <w:t>Data that was abstracted included: age at diagnosis, sex, disease location utilizing the Paris classification, medical treatment, surgical treatment, endoscopic findings, histology, and hospitalizations. We also analyzed differences in the phenotypic features between those with mild CD and those with moderate to severe disease</w:t>
      </w:r>
      <w:r w:rsidR="00DA0C84">
        <w:rPr>
          <w:rFonts w:ascii="Book Antiqua" w:eastAsia="Times New Roman" w:hAnsi="Book Antiqua" w:cs="Times New Roman"/>
          <w:sz w:val="24"/>
          <w:szCs w:val="24"/>
        </w:rPr>
        <w:t>.</w:t>
      </w:r>
    </w:p>
    <w:p w14:paraId="61723543" w14:textId="5F6321FD" w:rsidR="00D53981" w:rsidRPr="00FD080D" w:rsidRDefault="00D53981" w:rsidP="00FD080D">
      <w:pPr>
        <w:adjustRightInd w:val="0"/>
        <w:snapToGrid w:val="0"/>
        <w:spacing w:after="0" w:line="360" w:lineRule="auto"/>
        <w:jc w:val="both"/>
        <w:rPr>
          <w:rFonts w:ascii="Book Antiqua" w:hAnsi="Book Antiqua"/>
          <w:sz w:val="24"/>
          <w:szCs w:val="24"/>
        </w:rPr>
      </w:pPr>
    </w:p>
    <w:p w14:paraId="75722BC5" w14:textId="39708F68" w:rsidR="00D53981" w:rsidRPr="00DA0C84" w:rsidRDefault="001B01CA" w:rsidP="00FD080D">
      <w:pPr>
        <w:adjustRightInd w:val="0"/>
        <w:snapToGrid w:val="0"/>
        <w:spacing w:after="0" w:line="360" w:lineRule="auto"/>
        <w:jc w:val="both"/>
        <w:rPr>
          <w:rFonts w:ascii="Book Antiqua" w:hAnsi="Book Antiqua"/>
          <w:b/>
          <w:bCs/>
          <w:i/>
          <w:iCs/>
          <w:sz w:val="24"/>
          <w:szCs w:val="24"/>
        </w:rPr>
      </w:pPr>
      <w:r w:rsidRPr="00DA0C84">
        <w:rPr>
          <w:rFonts w:ascii="Book Antiqua" w:eastAsia="Times New Roman" w:hAnsi="Book Antiqua" w:cs="Times New Roman"/>
          <w:b/>
          <w:bCs/>
          <w:i/>
          <w:iCs/>
          <w:sz w:val="24"/>
          <w:szCs w:val="24"/>
        </w:rPr>
        <w:t>RESULTS</w:t>
      </w:r>
    </w:p>
    <w:p w14:paraId="38061C01" w14:textId="04F715E7"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 xml:space="preserve">Out of 1205 patients with CD diagnosed between 1990 and 2013, we identified 29 patients that met the inclusion criteria, and they were matched with 58 controls. </w:t>
      </w:r>
      <w:r w:rsidRPr="00FD080D">
        <w:rPr>
          <w:rFonts w:ascii="Book Antiqua" w:eastAsia="Times New Roman" w:hAnsi="Book Antiqua" w:cs="Times New Roman"/>
          <w:sz w:val="24"/>
          <w:szCs w:val="24"/>
        </w:rPr>
        <w:lastRenderedPageBreak/>
        <w:t>There were no significant differences between the disease behavior</w:t>
      </w:r>
      <w:r w:rsidR="001203A6" w:rsidRPr="00FD080D">
        <w:rPr>
          <w:rFonts w:ascii="Book Antiqua" w:eastAsia="Times New Roman" w:hAnsi="Book Antiqua" w:cs="Times New Roman"/>
          <w:sz w:val="24"/>
          <w:szCs w:val="24"/>
        </w:rPr>
        <w:t>s</w:t>
      </w:r>
      <w:r w:rsidRPr="00FD080D">
        <w:rPr>
          <w:rFonts w:ascii="Book Antiqua" w:eastAsia="Times New Roman" w:hAnsi="Book Antiqua" w:cs="Times New Roman"/>
          <w:sz w:val="24"/>
          <w:szCs w:val="24"/>
        </w:rPr>
        <w:t xml:space="preserve"> at presentation, with approximately 90% of patients in each group having inflammatory disease.</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However, patients with mild disease were more likely to have disease limited to the colon (31% </w:t>
      </w:r>
      <w:bookmarkStart w:id="24" w:name="OLE_LINK147"/>
      <w:bookmarkStart w:id="25" w:name="OLE_LINK148"/>
      <w:r w:rsidR="00DA0C84" w:rsidRPr="00DA0C84">
        <w:rPr>
          <w:rFonts w:ascii="Book Antiqua" w:eastAsia="Times New Roman" w:hAnsi="Book Antiqua" w:cs="Times New Roman"/>
          <w:i/>
          <w:iCs/>
          <w:sz w:val="24"/>
          <w:szCs w:val="24"/>
        </w:rPr>
        <w:t>vs</w:t>
      </w:r>
      <w:r w:rsidRPr="00DA0C84">
        <w:rPr>
          <w:rFonts w:ascii="Book Antiqua" w:eastAsia="Times New Roman" w:hAnsi="Book Antiqua" w:cs="Times New Roman"/>
          <w:i/>
          <w:iCs/>
          <w:sz w:val="24"/>
          <w:szCs w:val="24"/>
        </w:rPr>
        <w:t xml:space="preserve"> </w:t>
      </w:r>
      <w:bookmarkEnd w:id="24"/>
      <w:bookmarkEnd w:id="25"/>
      <w:r w:rsidRPr="00FD080D">
        <w:rPr>
          <w:rFonts w:ascii="Book Antiqua" w:eastAsia="Times New Roman" w:hAnsi="Book Antiqua" w:cs="Times New Roman"/>
          <w:sz w:val="24"/>
          <w:szCs w:val="24"/>
        </w:rPr>
        <w:t xml:space="preserve">12%, </w:t>
      </w:r>
      <w:r w:rsidR="00DA0C84" w:rsidRPr="00DA0C84">
        <w:rPr>
          <w:rFonts w:ascii="Book Antiqua" w:eastAsia="Times New Roman" w:hAnsi="Book Antiqua" w:cs="Times New Roman"/>
          <w:i/>
          <w:iCs/>
          <w:sz w:val="24"/>
          <w:szCs w:val="24"/>
        </w:rPr>
        <w:t>P</w:t>
      </w:r>
      <w:r w:rsidR="00DA0C84">
        <w:rPr>
          <w:rFonts w:ascii="Book Antiqua" w:eastAsia="Times New Roman" w:hAnsi="Book Antiqua" w:cs="Times New Roman"/>
          <w:sz w:val="24"/>
          <w:szCs w:val="24"/>
        </w:rPr>
        <w:t xml:space="preserve"> = </w:t>
      </w:r>
      <w:r w:rsidRPr="00FD080D">
        <w:rPr>
          <w:rFonts w:ascii="Book Antiqua" w:eastAsia="Times New Roman" w:hAnsi="Book Antiqua" w:cs="Times New Roman"/>
          <w:sz w:val="24"/>
          <w:szCs w:val="24"/>
        </w:rPr>
        <w:t>0.03).</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In contrast, patients with moderate to severe disease (aka control group) were more likely to have ileocolonic disease (70%</w:t>
      </w:r>
      <w:r w:rsidRPr="00DA0C84">
        <w:rPr>
          <w:rFonts w:ascii="Book Antiqua" w:eastAsia="Times New Roman" w:hAnsi="Book Antiqua" w:cs="Times New Roman"/>
          <w:i/>
          <w:iCs/>
          <w:sz w:val="24"/>
          <w:szCs w:val="24"/>
        </w:rPr>
        <w:t xml:space="preserve"> </w:t>
      </w:r>
      <w:r w:rsidR="00DA0C84" w:rsidRPr="00DA0C84">
        <w:rPr>
          <w:rFonts w:ascii="Book Antiqua" w:eastAsia="Times New Roman" w:hAnsi="Book Antiqua" w:cs="Times New Roman"/>
          <w:i/>
          <w:iCs/>
          <w:sz w:val="24"/>
          <w:szCs w:val="24"/>
        </w:rPr>
        <w:t>vs</w:t>
      </w:r>
      <w:r w:rsidRPr="00FD080D">
        <w:rPr>
          <w:rFonts w:ascii="Book Antiqua" w:eastAsia="Times New Roman" w:hAnsi="Book Antiqua" w:cs="Times New Roman"/>
          <w:sz w:val="24"/>
          <w:szCs w:val="24"/>
        </w:rPr>
        <w:t xml:space="preserve"> 45% in the mild group, </w:t>
      </w:r>
      <w:r w:rsidR="00DA0C84" w:rsidRPr="00DA0C84">
        <w:rPr>
          <w:rFonts w:ascii="Book Antiqua" w:eastAsia="Times New Roman" w:hAnsi="Book Antiqua" w:cs="Times New Roman"/>
          <w:i/>
          <w:iCs/>
          <w:sz w:val="24"/>
          <w:szCs w:val="24"/>
        </w:rPr>
        <w:t>P</w:t>
      </w:r>
      <w:r w:rsidR="00DA0C84">
        <w:rPr>
          <w:rFonts w:ascii="Book Antiqua" w:eastAsia="Times New Roman" w:hAnsi="Book Antiqua" w:cs="Times New Roman"/>
          <w:sz w:val="24"/>
          <w:szCs w:val="24"/>
        </w:rPr>
        <w:t xml:space="preserve"> = </w:t>
      </w:r>
      <w:r w:rsidRPr="00FD080D">
        <w:rPr>
          <w:rFonts w:ascii="Book Antiqua" w:eastAsia="Times New Roman" w:hAnsi="Book Antiqua" w:cs="Times New Roman"/>
          <w:sz w:val="24"/>
          <w:szCs w:val="24"/>
        </w:rPr>
        <w:t>0.02).</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Of the 29 patients, only 8 required medication escalation to immunomodulators during the period of follow-up. The primary indication for escalation to immune suppressive therapies was corticosteroid dependence. We also found that patients treated with</w:t>
      </w:r>
      <w:r w:rsidR="00AD07C6" w:rsidRPr="00FD080D">
        <w:rPr>
          <w:rFonts w:ascii="Book Antiqua" w:eastAsia="Times New Roman" w:hAnsi="Book Antiqua" w:cs="Times New Roman"/>
          <w:sz w:val="24"/>
          <w:szCs w:val="24"/>
        </w:rPr>
        <w:t>out immunomodulator</w:t>
      </w:r>
      <w:r w:rsidR="007609EE" w:rsidRPr="00FD080D">
        <w:rPr>
          <w:rFonts w:ascii="Book Antiqua" w:eastAsia="Times New Roman" w:hAnsi="Book Antiqua" w:cs="Times New Roman"/>
          <w:sz w:val="24"/>
          <w:szCs w:val="24"/>
        </w:rPr>
        <w:t>s</w:t>
      </w:r>
      <w:r w:rsidR="00AD07C6" w:rsidRPr="00FD080D">
        <w:rPr>
          <w:rFonts w:ascii="Book Antiqua" w:eastAsia="Times New Roman" w:hAnsi="Book Antiqua" w:cs="Times New Roman"/>
          <w:sz w:val="24"/>
          <w:szCs w:val="24"/>
        </w:rPr>
        <w:t xml:space="preserve"> or biologic</w:t>
      </w:r>
      <w:r w:rsidR="007609EE" w:rsidRPr="00FD080D">
        <w:rPr>
          <w:rFonts w:ascii="Book Antiqua" w:eastAsia="Times New Roman" w:hAnsi="Book Antiqua" w:cs="Times New Roman"/>
          <w:sz w:val="24"/>
          <w:szCs w:val="24"/>
        </w:rPr>
        <w:t>s</w:t>
      </w:r>
      <w:r w:rsidR="008D7830" w:rsidRPr="00FD080D">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for mild </w:t>
      </w:r>
      <w:r w:rsidR="00AD07C6" w:rsidRPr="00FD080D">
        <w:rPr>
          <w:rFonts w:ascii="Book Antiqua" w:eastAsia="Times New Roman" w:hAnsi="Book Antiqua" w:cs="Times New Roman"/>
          <w:sz w:val="24"/>
          <w:szCs w:val="24"/>
        </w:rPr>
        <w:t>CD</w:t>
      </w:r>
      <w:r w:rsidR="008D7830" w:rsidRPr="00FD080D">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continue to exhibit histologic intestinal inflammation. Of the 29 patients, three developed significant complications of ileal disease, though only one required surgical intervention during the period of follow</w:t>
      </w:r>
      <w:r w:rsidR="00EB464B" w:rsidRPr="00FD080D">
        <w:rPr>
          <w:rFonts w:ascii="Book Antiqua" w:eastAsia="Times New Roman" w:hAnsi="Book Antiqua" w:cs="Times New Roman"/>
          <w:sz w:val="24"/>
          <w:szCs w:val="24"/>
        </w:rPr>
        <w:t>-</w:t>
      </w:r>
      <w:r w:rsidRPr="00FD080D">
        <w:rPr>
          <w:rFonts w:ascii="Book Antiqua" w:eastAsia="Times New Roman" w:hAnsi="Book Antiqua" w:cs="Times New Roman"/>
          <w:sz w:val="24"/>
          <w:szCs w:val="24"/>
        </w:rPr>
        <w:t>up.</w:t>
      </w:r>
      <w:r w:rsidR="005A2593">
        <w:rPr>
          <w:rFonts w:ascii="Book Antiqua" w:eastAsia="Times New Roman" w:hAnsi="Book Antiqua" w:cs="Times New Roman"/>
          <w:sz w:val="24"/>
          <w:szCs w:val="24"/>
        </w:rPr>
        <w:t xml:space="preserve"> </w:t>
      </w:r>
    </w:p>
    <w:p w14:paraId="5D6D1A85" w14:textId="77777777" w:rsidR="00387245" w:rsidRPr="00FD080D" w:rsidRDefault="001B01CA" w:rsidP="00FD080D">
      <w:pPr>
        <w:adjustRightInd w:val="0"/>
        <w:snapToGrid w:val="0"/>
        <w:spacing w:after="0" w:line="360" w:lineRule="auto"/>
        <w:jc w:val="both"/>
        <w:rPr>
          <w:rFonts w:ascii="Book Antiqua" w:eastAsia="Times New Roman" w:hAnsi="Book Antiqua" w:cs="Times New Roman"/>
          <w:sz w:val="24"/>
          <w:szCs w:val="24"/>
        </w:rPr>
      </w:pPr>
      <w:r w:rsidRPr="00FD080D">
        <w:rPr>
          <w:rFonts w:ascii="Book Antiqua" w:eastAsia="Times New Roman" w:hAnsi="Book Antiqua" w:cs="Times New Roman"/>
          <w:sz w:val="24"/>
          <w:szCs w:val="24"/>
        </w:rPr>
        <w:t xml:space="preserve"> </w:t>
      </w:r>
    </w:p>
    <w:p w14:paraId="3D9F3715" w14:textId="55B9FDC9" w:rsidR="00D53981" w:rsidRPr="00DA0C84" w:rsidRDefault="001B01CA" w:rsidP="00FD080D">
      <w:pPr>
        <w:adjustRightInd w:val="0"/>
        <w:snapToGrid w:val="0"/>
        <w:spacing w:after="0" w:line="360" w:lineRule="auto"/>
        <w:jc w:val="both"/>
        <w:rPr>
          <w:rFonts w:ascii="Book Antiqua" w:hAnsi="Book Antiqua"/>
          <w:b/>
          <w:bCs/>
          <w:i/>
          <w:iCs/>
          <w:sz w:val="24"/>
          <w:szCs w:val="24"/>
        </w:rPr>
      </w:pPr>
      <w:r w:rsidRPr="00DA0C84">
        <w:rPr>
          <w:rFonts w:ascii="Book Antiqua" w:eastAsia="Times New Roman" w:hAnsi="Book Antiqua" w:cs="Times New Roman"/>
          <w:b/>
          <w:bCs/>
          <w:i/>
          <w:iCs/>
          <w:sz w:val="24"/>
          <w:szCs w:val="24"/>
        </w:rPr>
        <w:t>CONCLUSION</w:t>
      </w:r>
    </w:p>
    <w:p w14:paraId="20110782" w14:textId="2DBE47B7" w:rsidR="00D53981" w:rsidRPr="00FD080D" w:rsidRDefault="001B01CA" w:rsidP="00FD080D">
      <w:pPr>
        <w:adjustRightInd w:val="0"/>
        <w:snapToGrid w:val="0"/>
        <w:spacing w:after="0" w:line="360" w:lineRule="auto"/>
        <w:jc w:val="both"/>
        <w:rPr>
          <w:rFonts w:ascii="Book Antiqua" w:eastAsia="Times New Roman" w:hAnsi="Book Antiqua" w:cs="Times New Roman"/>
          <w:sz w:val="24"/>
          <w:szCs w:val="24"/>
        </w:rPr>
      </w:pPr>
      <w:r w:rsidRPr="00FD080D">
        <w:rPr>
          <w:rFonts w:ascii="Book Antiqua" w:eastAsia="Times New Roman" w:hAnsi="Book Antiqua" w:cs="Times New Roman"/>
          <w:sz w:val="24"/>
          <w:szCs w:val="24"/>
        </w:rPr>
        <w:t xml:space="preserve">We identified a cohort of children with mild </w:t>
      </w:r>
      <w:r w:rsidR="00DA0C84">
        <w:rPr>
          <w:rFonts w:ascii="Book Antiqua" w:eastAsia="Times New Roman" w:hAnsi="Book Antiqua" w:cs="Times New Roman"/>
          <w:sz w:val="24"/>
          <w:szCs w:val="24"/>
        </w:rPr>
        <w:t>CD</w:t>
      </w:r>
      <w:r w:rsidRPr="00FD080D">
        <w:rPr>
          <w:rFonts w:ascii="Book Antiqua" w:eastAsia="Times New Roman" w:hAnsi="Book Antiqua" w:cs="Times New Roman"/>
          <w:sz w:val="24"/>
          <w:szCs w:val="24"/>
        </w:rPr>
        <w:t>, who were able to avoid the institution of immune suppressive therapies for several years, and generally had good outcomes during the period of follow-up. While a subset of these patients will eventually require either immunosuppression or surgery, the majority of them have a good quality of life despite having low-grade intestinal inflammation.</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Importantly, this subset of patients has managed to avoid the potential toxicities of immune suppression for several years. The majority of these patients have either colonic disease with minimal small bowel involvement or limited ileal disease.</w:t>
      </w:r>
    </w:p>
    <w:p w14:paraId="4859C8C3" w14:textId="77777777" w:rsidR="004B2F00" w:rsidRPr="00FD080D" w:rsidRDefault="004B2F00" w:rsidP="00FD080D">
      <w:pPr>
        <w:adjustRightInd w:val="0"/>
        <w:snapToGrid w:val="0"/>
        <w:spacing w:after="0" w:line="360" w:lineRule="auto"/>
        <w:jc w:val="both"/>
        <w:rPr>
          <w:rFonts w:ascii="Book Antiqua" w:eastAsia="Times New Roman" w:hAnsi="Book Antiqua" w:cs="Times New Roman"/>
          <w:sz w:val="24"/>
          <w:szCs w:val="24"/>
        </w:rPr>
      </w:pPr>
    </w:p>
    <w:p w14:paraId="3777C612" w14:textId="0C7850C0" w:rsidR="004B2F00" w:rsidRPr="00FD080D" w:rsidRDefault="004B2F00" w:rsidP="00FD080D">
      <w:pPr>
        <w:adjustRightInd w:val="0"/>
        <w:snapToGrid w:val="0"/>
        <w:spacing w:after="0" w:line="360" w:lineRule="auto"/>
        <w:jc w:val="both"/>
        <w:rPr>
          <w:rFonts w:ascii="Book Antiqua" w:eastAsia="Times New Roman" w:hAnsi="Book Antiqua" w:cs="Times New Roman"/>
          <w:b/>
          <w:sz w:val="24"/>
          <w:szCs w:val="24"/>
        </w:rPr>
      </w:pPr>
      <w:r w:rsidRPr="00FD080D">
        <w:rPr>
          <w:rFonts w:ascii="Book Antiqua" w:eastAsia="Times New Roman" w:hAnsi="Book Antiqua" w:cs="Times New Roman"/>
          <w:b/>
          <w:sz w:val="24"/>
          <w:szCs w:val="24"/>
        </w:rPr>
        <w:t xml:space="preserve">Key words: </w:t>
      </w:r>
      <w:r w:rsidRPr="00FD080D">
        <w:rPr>
          <w:rFonts w:ascii="Book Antiqua" w:eastAsia="Times New Roman" w:hAnsi="Book Antiqua" w:cs="Times New Roman"/>
          <w:sz w:val="24"/>
          <w:szCs w:val="24"/>
        </w:rPr>
        <w:t>Crohn</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s disease; </w:t>
      </w:r>
      <w:r w:rsidR="00DA0C84">
        <w:rPr>
          <w:rFonts w:ascii="Book Antiqua" w:eastAsia="Times New Roman" w:hAnsi="Book Antiqua" w:cs="Times New Roman"/>
          <w:sz w:val="24"/>
          <w:szCs w:val="24"/>
        </w:rPr>
        <w:t>C</w:t>
      </w:r>
      <w:r w:rsidRPr="00FD080D">
        <w:rPr>
          <w:rFonts w:ascii="Book Antiqua" w:eastAsia="Times New Roman" w:hAnsi="Book Antiqua" w:cs="Times New Roman"/>
          <w:sz w:val="24"/>
          <w:szCs w:val="24"/>
        </w:rPr>
        <w:t xml:space="preserve">olitis; </w:t>
      </w:r>
      <w:proofErr w:type="spellStart"/>
      <w:r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Antibiotics</w:t>
      </w:r>
      <w:r w:rsidR="00DA0C84">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 Immunosuppression; Inflammatory bowel disease; Child; Pediatric</w:t>
      </w:r>
    </w:p>
    <w:p w14:paraId="08F6633B" w14:textId="20369D7B" w:rsidR="004B2F00" w:rsidRDefault="004B2F00" w:rsidP="00FD080D">
      <w:pPr>
        <w:adjustRightInd w:val="0"/>
        <w:snapToGrid w:val="0"/>
        <w:spacing w:after="0" w:line="360" w:lineRule="auto"/>
        <w:jc w:val="both"/>
        <w:rPr>
          <w:rFonts w:ascii="Book Antiqua" w:eastAsia="Times New Roman" w:hAnsi="Book Antiqua" w:cs="Times New Roman"/>
          <w:sz w:val="24"/>
          <w:szCs w:val="24"/>
        </w:rPr>
      </w:pPr>
    </w:p>
    <w:p w14:paraId="6A44398B" w14:textId="550A4A2A" w:rsidR="00DA0C84" w:rsidRDefault="00DA0C84" w:rsidP="00FD080D">
      <w:pPr>
        <w:adjustRightInd w:val="0"/>
        <w:snapToGrid w:val="0"/>
        <w:spacing w:after="0" w:line="360" w:lineRule="auto"/>
        <w:jc w:val="both"/>
        <w:rPr>
          <w:rFonts w:ascii="Book Antiqua" w:eastAsia="SimSun" w:hAnsi="Book Antiqua" w:cs="Times New Roman"/>
          <w:color w:val="auto"/>
          <w:sz w:val="24"/>
          <w:szCs w:val="24"/>
          <w:lang w:eastAsia="zh-CN"/>
        </w:rPr>
      </w:pPr>
      <w:bookmarkStart w:id="26" w:name="OLE_LINK43"/>
      <w:bookmarkStart w:id="27" w:name="OLE_LINK44"/>
      <w:bookmarkStart w:id="28" w:name="OLE_LINK67"/>
      <w:bookmarkStart w:id="29" w:name="OLE_LINK65"/>
      <w:bookmarkStart w:id="30" w:name="OLE_LINK71"/>
      <w:r w:rsidRPr="00DA0C84">
        <w:rPr>
          <w:rFonts w:ascii="Book Antiqua" w:eastAsia="SimSun" w:hAnsi="Book Antiqua" w:cs="Times New Roman"/>
          <w:b/>
          <w:color w:val="auto"/>
          <w:sz w:val="24"/>
          <w:szCs w:val="24"/>
          <w:lang w:eastAsia="zh-CN"/>
        </w:rPr>
        <w:lastRenderedPageBreak/>
        <w:t>© The Author(s) 201</w:t>
      </w:r>
      <w:r w:rsidRPr="00DA0C84">
        <w:rPr>
          <w:rFonts w:ascii="Book Antiqua" w:eastAsia="SimSun" w:hAnsi="Book Antiqua" w:cs="Times New Roman" w:hint="eastAsia"/>
          <w:b/>
          <w:color w:val="auto"/>
          <w:sz w:val="24"/>
          <w:szCs w:val="24"/>
          <w:lang w:eastAsia="zh-CN"/>
        </w:rPr>
        <w:t>9</w:t>
      </w:r>
      <w:r w:rsidRPr="00DA0C84">
        <w:rPr>
          <w:rFonts w:ascii="Book Antiqua" w:eastAsia="SimSun" w:hAnsi="Book Antiqua" w:cs="Times New Roman"/>
          <w:b/>
          <w:color w:val="auto"/>
          <w:sz w:val="24"/>
          <w:szCs w:val="24"/>
          <w:lang w:eastAsia="zh-CN"/>
        </w:rPr>
        <w:t xml:space="preserve">. </w:t>
      </w:r>
      <w:r w:rsidRPr="00DA0C84">
        <w:rPr>
          <w:rFonts w:ascii="Book Antiqua" w:eastAsia="SimSun" w:hAnsi="Book Antiqua" w:cs="Times New Roman"/>
          <w:color w:val="auto"/>
          <w:sz w:val="24"/>
          <w:szCs w:val="24"/>
          <w:lang w:eastAsia="zh-CN"/>
        </w:rPr>
        <w:t xml:space="preserve">Published by </w:t>
      </w:r>
      <w:proofErr w:type="spellStart"/>
      <w:r w:rsidRPr="00DA0C84">
        <w:rPr>
          <w:rFonts w:ascii="Book Antiqua" w:eastAsia="SimSun" w:hAnsi="Book Antiqua" w:cs="Times New Roman"/>
          <w:color w:val="auto"/>
          <w:sz w:val="24"/>
          <w:szCs w:val="24"/>
          <w:lang w:eastAsia="zh-CN"/>
        </w:rPr>
        <w:t>Baishideng</w:t>
      </w:r>
      <w:proofErr w:type="spellEnd"/>
      <w:r w:rsidRPr="00DA0C84">
        <w:rPr>
          <w:rFonts w:ascii="Book Antiqua" w:eastAsia="SimSun" w:hAnsi="Book Antiqua" w:cs="Times New Roman"/>
          <w:color w:val="auto"/>
          <w:sz w:val="24"/>
          <w:szCs w:val="24"/>
          <w:lang w:eastAsia="zh-CN"/>
        </w:rPr>
        <w:t xml:space="preserve"> Publishing Group Inc. All rights reserved.</w:t>
      </w:r>
      <w:bookmarkEnd w:id="26"/>
      <w:bookmarkEnd w:id="27"/>
      <w:bookmarkEnd w:id="28"/>
      <w:bookmarkEnd w:id="29"/>
      <w:bookmarkEnd w:id="30"/>
    </w:p>
    <w:p w14:paraId="06CC0887" w14:textId="77777777" w:rsidR="00DA0C84" w:rsidRPr="00FD080D" w:rsidRDefault="00DA0C84" w:rsidP="00FD080D">
      <w:pPr>
        <w:adjustRightInd w:val="0"/>
        <w:snapToGrid w:val="0"/>
        <w:spacing w:after="0" w:line="360" w:lineRule="auto"/>
        <w:jc w:val="both"/>
        <w:rPr>
          <w:rFonts w:ascii="Book Antiqua" w:hAnsi="Book Antiqua"/>
          <w:sz w:val="24"/>
          <w:szCs w:val="24"/>
        </w:rPr>
      </w:pPr>
    </w:p>
    <w:p w14:paraId="240A73F5" w14:textId="7069734E" w:rsidR="00D53981" w:rsidRPr="00FD080D" w:rsidRDefault="004B2F00" w:rsidP="00D56E80">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b/>
          <w:sz w:val="24"/>
          <w:szCs w:val="24"/>
        </w:rPr>
        <w:t xml:space="preserve">Core tip: </w:t>
      </w:r>
      <w:r w:rsidR="001B01CA" w:rsidRPr="00FD080D">
        <w:rPr>
          <w:rFonts w:ascii="Book Antiqua" w:eastAsia="Times New Roman" w:hAnsi="Book Antiqua" w:cs="Times New Roman"/>
          <w:sz w:val="24"/>
          <w:szCs w:val="24"/>
        </w:rPr>
        <w:t>We demonstrate that a higher percentage of patients with mild Crohn</w:t>
      </w:r>
      <w:r w:rsidR="00153E1C">
        <w:rPr>
          <w:rFonts w:ascii="Book Antiqua" w:eastAsia="Times New Roman" w:hAnsi="Book Antiqua" w:cs="Times New Roman"/>
          <w:sz w:val="24"/>
          <w:szCs w:val="24"/>
        </w:rPr>
        <w:t>’</w:t>
      </w:r>
      <w:r w:rsidR="001B01CA" w:rsidRPr="00FD080D">
        <w:rPr>
          <w:rFonts w:ascii="Book Antiqua" w:eastAsia="Times New Roman" w:hAnsi="Book Antiqua" w:cs="Times New Roman"/>
          <w:sz w:val="24"/>
          <w:szCs w:val="24"/>
        </w:rPr>
        <w:t>s have coloni</w:t>
      </w:r>
      <w:r w:rsidR="000B0FDC" w:rsidRPr="00FD080D">
        <w:rPr>
          <w:rFonts w:ascii="Book Antiqua" w:eastAsia="Times New Roman" w:hAnsi="Book Antiqua" w:cs="Times New Roman"/>
          <w:sz w:val="24"/>
          <w:szCs w:val="24"/>
        </w:rPr>
        <w:t xml:space="preserve">c </w:t>
      </w:r>
      <w:r w:rsidR="001B01CA" w:rsidRPr="00FD080D">
        <w:rPr>
          <w:rFonts w:ascii="Book Antiqua" w:eastAsia="Times New Roman" w:hAnsi="Book Antiqua" w:cs="Times New Roman"/>
          <w:sz w:val="24"/>
          <w:szCs w:val="24"/>
        </w:rPr>
        <w:t>disease compared to matched controls with moderate to severe disease.</w:t>
      </w:r>
      <w:r w:rsidR="00D56E80">
        <w:rPr>
          <w:rFonts w:ascii="Book Antiqua" w:eastAsia="Times New Roman" w:hAnsi="Book Antiqua" w:cs="Times New Roman"/>
          <w:sz w:val="24"/>
          <w:szCs w:val="24"/>
        </w:rPr>
        <w:t xml:space="preserve"> </w:t>
      </w:r>
      <w:r w:rsidR="001B01CA" w:rsidRPr="00FD080D">
        <w:rPr>
          <w:rFonts w:ascii="Book Antiqua" w:eastAsia="Times New Roman" w:hAnsi="Book Antiqua" w:cs="Times New Roman"/>
          <w:sz w:val="24"/>
          <w:szCs w:val="24"/>
        </w:rPr>
        <w:t>We show that patients with mild disease can be maintained for several years on milder treatments and the majority can avoid escalation to immunosuppressive therapies.</w:t>
      </w:r>
      <w:r w:rsidR="001B01CA" w:rsidRPr="00FD080D">
        <w:rPr>
          <w:rFonts w:ascii="Book Antiqua" w:eastAsia="Times New Roman" w:hAnsi="Book Antiqua" w:cs="Times New Roman"/>
          <w:b/>
          <w:sz w:val="24"/>
          <w:szCs w:val="24"/>
        </w:rPr>
        <w:t xml:space="preserve"> </w:t>
      </w:r>
    </w:p>
    <w:p w14:paraId="0008ED1E" w14:textId="77777777" w:rsidR="00447B40" w:rsidRPr="00FD080D" w:rsidRDefault="00447B40" w:rsidP="00FD080D">
      <w:pPr>
        <w:adjustRightInd w:val="0"/>
        <w:snapToGrid w:val="0"/>
        <w:spacing w:after="0" w:line="360" w:lineRule="auto"/>
        <w:jc w:val="both"/>
        <w:rPr>
          <w:rFonts w:ascii="Book Antiqua" w:hAnsi="Book Antiqua"/>
          <w:sz w:val="24"/>
          <w:szCs w:val="24"/>
        </w:rPr>
      </w:pPr>
    </w:p>
    <w:p w14:paraId="400F3F57" w14:textId="0702B9D9" w:rsidR="00D53981" w:rsidRPr="00FD080D" w:rsidRDefault="00D56E80" w:rsidP="00FD080D">
      <w:pPr>
        <w:adjustRightInd w:val="0"/>
        <w:snapToGrid w:val="0"/>
        <w:spacing w:after="0" w:line="360" w:lineRule="auto"/>
        <w:jc w:val="both"/>
        <w:rPr>
          <w:rFonts w:ascii="Book Antiqua" w:hAnsi="Book Antiqua"/>
          <w:sz w:val="24"/>
          <w:szCs w:val="24"/>
        </w:rPr>
      </w:pPr>
      <w:bookmarkStart w:id="31" w:name="OLE_LINK79"/>
      <w:bookmarkStart w:id="32" w:name="OLE_LINK80"/>
      <w:r w:rsidRPr="00FD080D">
        <w:rPr>
          <w:rFonts w:ascii="Book Antiqua" w:hAnsi="Book Antiqua" w:cs="Times New Roman"/>
          <w:sz w:val="24"/>
          <w:szCs w:val="24"/>
        </w:rPr>
        <w:t>Sharma</w:t>
      </w:r>
      <w:r>
        <w:rPr>
          <w:rFonts w:ascii="Book Antiqua" w:hAnsi="Book Antiqua" w:cs="Times New Roman"/>
          <w:sz w:val="24"/>
          <w:szCs w:val="24"/>
        </w:rPr>
        <w:t xml:space="preserve"> Y</w:t>
      </w:r>
      <w:r w:rsidRPr="00FD080D">
        <w:rPr>
          <w:rFonts w:ascii="Book Antiqua" w:hAnsi="Book Antiqua" w:cs="Times New Roman"/>
          <w:sz w:val="24"/>
          <w:szCs w:val="24"/>
        </w:rPr>
        <w:t xml:space="preserve">, </w:t>
      </w:r>
      <w:proofErr w:type="spellStart"/>
      <w:r w:rsidRPr="00FD080D">
        <w:rPr>
          <w:rFonts w:ascii="Book Antiqua" w:hAnsi="Book Antiqua" w:cs="Times New Roman"/>
          <w:sz w:val="24"/>
          <w:szCs w:val="24"/>
        </w:rPr>
        <w:t>Bousvaros</w:t>
      </w:r>
      <w:proofErr w:type="spellEnd"/>
      <w:r>
        <w:rPr>
          <w:rFonts w:ascii="Book Antiqua" w:hAnsi="Book Antiqua" w:cs="Times New Roman"/>
          <w:sz w:val="24"/>
          <w:szCs w:val="24"/>
        </w:rPr>
        <w:t xml:space="preserve"> A</w:t>
      </w:r>
      <w:r w:rsidRPr="00FD080D">
        <w:rPr>
          <w:rFonts w:ascii="Book Antiqua" w:hAnsi="Book Antiqua" w:cs="Times New Roman"/>
          <w:sz w:val="24"/>
          <w:szCs w:val="24"/>
        </w:rPr>
        <w:t>, Liu</w:t>
      </w:r>
      <w:r>
        <w:rPr>
          <w:rFonts w:ascii="Book Antiqua" w:hAnsi="Book Antiqua" w:cs="Times New Roman"/>
          <w:sz w:val="24"/>
          <w:szCs w:val="24"/>
        </w:rPr>
        <w:t xml:space="preserve"> E</w:t>
      </w:r>
      <w:r w:rsidRPr="00FD080D">
        <w:rPr>
          <w:rFonts w:ascii="Book Antiqua" w:hAnsi="Book Antiqua" w:cs="Times New Roman"/>
          <w:sz w:val="24"/>
          <w:szCs w:val="24"/>
        </w:rPr>
        <w:t>, Bender Stern</w:t>
      </w:r>
      <w:r>
        <w:rPr>
          <w:rFonts w:ascii="Book Antiqua" w:hAnsi="Book Antiqua" w:cs="Times New Roman"/>
          <w:sz w:val="24"/>
          <w:szCs w:val="24"/>
        </w:rPr>
        <w:t xml:space="preserve"> J. </w:t>
      </w:r>
      <w:r w:rsidRPr="00D56E80">
        <w:rPr>
          <w:rFonts w:ascii="Book Antiqua" w:hAnsi="Book Antiqua" w:cs="Times New Roman"/>
          <w:sz w:val="24"/>
          <w:szCs w:val="24"/>
        </w:rPr>
        <w:t>Natural history of children with mild Crohn</w:t>
      </w:r>
      <w:r w:rsidR="00153E1C">
        <w:rPr>
          <w:rFonts w:ascii="Book Antiqua" w:hAnsi="Book Antiqua" w:cs="Times New Roman"/>
          <w:sz w:val="24"/>
          <w:szCs w:val="24"/>
        </w:rPr>
        <w:t>’</w:t>
      </w:r>
      <w:r w:rsidRPr="00D56E80">
        <w:rPr>
          <w:rFonts w:ascii="Book Antiqua" w:hAnsi="Book Antiqua" w:cs="Times New Roman"/>
          <w:sz w:val="24"/>
          <w:szCs w:val="24"/>
        </w:rPr>
        <w:t>s disease</w:t>
      </w:r>
      <w:r>
        <w:rPr>
          <w:rFonts w:ascii="Book Antiqua" w:hAnsi="Book Antiqua" w:cs="Times New Roman"/>
          <w:sz w:val="24"/>
          <w:szCs w:val="24"/>
        </w:rPr>
        <w:t xml:space="preserve">. </w:t>
      </w:r>
      <w:bookmarkStart w:id="33" w:name="OLE_LINK1105"/>
      <w:bookmarkStart w:id="34" w:name="OLE_LINK1107"/>
      <w:bookmarkStart w:id="35" w:name="OLE_LINK380"/>
      <w:bookmarkStart w:id="36" w:name="OLE_LINK68"/>
      <w:bookmarkStart w:id="37" w:name="OLE_LINK66"/>
      <w:bookmarkStart w:id="38" w:name="OLE_LINK74"/>
      <w:r w:rsidRPr="00D56E80">
        <w:rPr>
          <w:rFonts w:ascii="Book Antiqua" w:eastAsia="SimSun" w:hAnsi="Book Antiqua" w:cs="Times New Roman"/>
          <w:i/>
          <w:sz w:val="24"/>
          <w:szCs w:val="24"/>
          <w:lang w:eastAsia="zh-CN"/>
        </w:rPr>
        <w:t xml:space="preserve">World J Gastroenterol </w:t>
      </w:r>
      <w:r w:rsidRPr="00D56E80">
        <w:rPr>
          <w:rFonts w:ascii="Book Antiqua" w:eastAsia="SimSun" w:hAnsi="Book Antiqua" w:cs="Times New Roman"/>
          <w:sz w:val="24"/>
          <w:szCs w:val="24"/>
          <w:lang w:eastAsia="zh-CN"/>
        </w:rPr>
        <w:t>2019; In press</w:t>
      </w:r>
      <w:bookmarkEnd w:id="33"/>
      <w:bookmarkEnd w:id="34"/>
      <w:bookmarkEnd w:id="35"/>
      <w:bookmarkEnd w:id="36"/>
      <w:bookmarkEnd w:id="37"/>
      <w:bookmarkEnd w:id="38"/>
    </w:p>
    <w:bookmarkEnd w:id="31"/>
    <w:bookmarkEnd w:id="32"/>
    <w:p w14:paraId="0842EF1A" w14:textId="77777777" w:rsidR="00D56E80" w:rsidRDefault="00D56E80">
      <w:pPr>
        <w:rPr>
          <w:rFonts w:ascii="Book Antiqua" w:eastAsia="Times New Roman" w:hAnsi="Book Antiqua" w:cs="Times New Roman"/>
          <w:sz w:val="24"/>
          <w:szCs w:val="24"/>
        </w:rPr>
      </w:pPr>
      <w:r>
        <w:rPr>
          <w:rFonts w:ascii="Book Antiqua" w:eastAsia="Times New Roman" w:hAnsi="Book Antiqua" w:cs="Times New Roman"/>
          <w:sz w:val="24"/>
          <w:szCs w:val="24"/>
        </w:rPr>
        <w:br w:type="page"/>
      </w:r>
    </w:p>
    <w:p w14:paraId="6F6D85B9" w14:textId="2C9383BA" w:rsidR="00D53981" w:rsidRPr="00342B85" w:rsidRDefault="001B01CA" w:rsidP="00FD080D">
      <w:pPr>
        <w:adjustRightInd w:val="0"/>
        <w:snapToGrid w:val="0"/>
        <w:spacing w:after="0" w:line="360" w:lineRule="auto"/>
        <w:jc w:val="both"/>
        <w:rPr>
          <w:rFonts w:ascii="Book Antiqua" w:hAnsi="Book Antiqua"/>
          <w:sz w:val="24"/>
          <w:szCs w:val="24"/>
        </w:rPr>
      </w:pPr>
      <w:r w:rsidRPr="00342B85">
        <w:rPr>
          <w:rFonts w:ascii="Book Antiqua" w:eastAsia="Times New Roman" w:hAnsi="Book Antiqua" w:cs="Times New Roman"/>
          <w:b/>
          <w:sz w:val="24"/>
          <w:szCs w:val="24"/>
        </w:rPr>
        <w:lastRenderedPageBreak/>
        <w:t>INTRODUCTION</w:t>
      </w:r>
    </w:p>
    <w:p w14:paraId="57B006F6" w14:textId="28AE2328"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 xml:space="preserve">Over the last 15 years, immune suppressive agents (including immunomodulators </w:t>
      </w:r>
      <w:r w:rsidR="006269EB" w:rsidRPr="00FD080D">
        <w:rPr>
          <w:rFonts w:ascii="Book Antiqua" w:eastAsia="Times New Roman" w:hAnsi="Book Antiqua" w:cs="Times New Roman"/>
          <w:sz w:val="24"/>
          <w:szCs w:val="24"/>
        </w:rPr>
        <w:t xml:space="preserve">such as thiopurines, </w:t>
      </w:r>
      <w:r w:rsidRPr="00FD080D">
        <w:rPr>
          <w:rFonts w:ascii="Book Antiqua" w:eastAsia="Times New Roman" w:hAnsi="Book Antiqua" w:cs="Times New Roman"/>
          <w:sz w:val="24"/>
          <w:szCs w:val="24"/>
        </w:rPr>
        <w:t>and biologics</w:t>
      </w:r>
      <w:r w:rsidR="006269EB" w:rsidRPr="00FD080D">
        <w:rPr>
          <w:rFonts w:ascii="Book Antiqua" w:eastAsia="Times New Roman" w:hAnsi="Book Antiqua" w:cs="Times New Roman"/>
          <w:sz w:val="24"/>
          <w:szCs w:val="24"/>
        </w:rPr>
        <w:t xml:space="preserve"> such as infliximab and adalimumab</w:t>
      </w:r>
      <w:r w:rsidRPr="00FD080D">
        <w:rPr>
          <w:rFonts w:ascii="Book Antiqua" w:eastAsia="Times New Roman" w:hAnsi="Book Antiqua" w:cs="Times New Roman"/>
          <w:sz w:val="24"/>
          <w:szCs w:val="24"/>
        </w:rPr>
        <w:t>) have become the treatment of choice in children and adults with moderate to severe Crohn</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s disease</w:t>
      </w:r>
      <w:r w:rsidR="00AD07C6" w:rsidRPr="00FD080D">
        <w:rPr>
          <w:rFonts w:ascii="Book Antiqua" w:eastAsia="Times New Roman" w:hAnsi="Book Antiqua" w:cs="Times New Roman"/>
          <w:sz w:val="24"/>
          <w:szCs w:val="24"/>
        </w:rPr>
        <w:t xml:space="preserve"> (CD)</w:t>
      </w:r>
      <w:r w:rsidR="00E8086A" w:rsidRPr="00FD080D">
        <w:rPr>
          <w:rFonts w:ascii="Book Antiqua" w:eastAsia="Times New Roman" w:hAnsi="Book Antiqua" w:cs="Times New Roman"/>
          <w:sz w:val="24"/>
          <w:szCs w:val="24"/>
          <w:vertAlign w:val="superscript"/>
        </w:rPr>
        <w:t>[1,2]</w:t>
      </w:r>
      <w:r w:rsidRPr="00FD080D">
        <w:rPr>
          <w:rFonts w:ascii="Book Antiqua" w:eastAsia="Times New Roman" w:hAnsi="Book Antiqua" w:cs="Times New Roman"/>
          <w:sz w:val="24"/>
          <w:szCs w:val="24"/>
          <w:vertAlign w:val="superscript"/>
        </w:rPr>
        <w:t>.</w:t>
      </w:r>
      <w:r w:rsidR="00EB6281" w:rsidRPr="00FD080D">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However, there is a small and poorly studied population of patients with mild and limited Crohn</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s, who either spontaneously enter remission and can discontinue therapy, or be maintained on milder anti-inflammatory treatment. Such treatments include </w:t>
      </w:r>
      <w:proofErr w:type="spellStart"/>
      <w:r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xml:space="preserve">, dietary manipulations, or antibiotics. Because clinical trials tend to focus on the moderate to severe population, definitive evidence from </w:t>
      </w:r>
      <w:r w:rsidR="00FD70A1" w:rsidRPr="00FD080D">
        <w:rPr>
          <w:rFonts w:ascii="Book Antiqua" w:eastAsia="Times New Roman" w:hAnsi="Book Antiqua" w:cs="Times New Roman"/>
          <w:sz w:val="24"/>
          <w:szCs w:val="24"/>
        </w:rPr>
        <w:t>placebo-controlled</w:t>
      </w:r>
      <w:r w:rsidRPr="00FD080D">
        <w:rPr>
          <w:rFonts w:ascii="Book Antiqua" w:eastAsia="Times New Roman" w:hAnsi="Book Antiqua" w:cs="Times New Roman"/>
          <w:sz w:val="24"/>
          <w:szCs w:val="24"/>
        </w:rPr>
        <w:t xml:space="preserve"> trials in the milder population is lacking. Physicians are concerned about the risk of undertreating patients, and exposing them to complications of a subtle, progressive disease</w:t>
      </w:r>
      <w:r w:rsidR="00FD70A1" w:rsidRPr="00FD080D">
        <w:rPr>
          <w:rFonts w:ascii="Book Antiqua" w:eastAsia="Times New Roman" w:hAnsi="Book Antiqua" w:cs="Times New Roman"/>
          <w:sz w:val="24"/>
          <w:szCs w:val="24"/>
          <w:vertAlign w:val="superscript"/>
        </w:rPr>
        <w:t>[2]</w:t>
      </w:r>
      <w:r w:rsidRPr="00FD080D">
        <w:rPr>
          <w:rFonts w:ascii="Book Antiqua" w:eastAsia="Times New Roman" w:hAnsi="Book Antiqua" w:cs="Times New Roman"/>
          <w:sz w:val="24"/>
          <w:szCs w:val="24"/>
        </w:rPr>
        <w:t xml:space="preserve">. However, utilizing immunosuppression on a group of patients with mild disease and a good prognosis may in fact be </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overtreating</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 exposing patients to the risk of such therapies without any benefit. The decision making is challenging, because the phenotypic features, natural history, and </w:t>
      </w:r>
      <w:r w:rsidR="007C0AD3" w:rsidRPr="00FD080D">
        <w:rPr>
          <w:rFonts w:ascii="Book Antiqua" w:eastAsia="Times New Roman" w:hAnsi="Book Antiqua" w:cs="Times New Roman"/>
          <w:sz w:val="24"/>
          <w:szCs w:val="24"/>
        </w:rPr>
        <w:t>long-term</w:t>
      </w:r>
      <w:r w:rsidRPr="00FD080D">
        <w:rPr>
          <w:rFonts w:ascii="Book Antiqua" w:eastAsia="Times New Roman" w:hAnsi="Book Antiqua" w:cs="Times New Roman"/>
          <w:sz w:val="24"/>
          <w:szCs w:val="24"/>
        </w:rPr>
        <w:t xml:space="preserve"> outcomes of children with mild disease is unclear. In addition, there is no consensus definition on what constitutes </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mild </w:t>
      </w:r>
      <w:r w:rsidR="00342B85">
        <w:rPr>
          <w:rFonts w:ascii="Book Antiqua" w:eastAsia="Times New Roman" w:hAnsi="Book Antiqua" w:cs="Times New Roman"/>
          <w:sz w:val="24"/>
          <w:szCs w:val="24"/>
        </w:rPr>
        <w:t>CD”</w:t>
      </w:r>
      <w:r w:rsidR="00342B85" w:rsidRPr="00342B85">
        <w:rPr>
          <w:rFonts w:ascii="Book Antiqua" w:eastAsia="Times New Roman" w:hAnsi="Book Antiqua" w:cs="Times New Roman"/>
          <w:sz w:val="24"/>
          <w:szCs w:val="24"/>
        </w:rPr>
        <w:t xml:space="preserve"> </w:t>
      </w:r>
      <w:r w:rsidR="00342B85" w:rsidRPr="00FD080D">
        <w:rPr>
          <w:rFonts w:ascii="Book Antiqua" w:eastAsia="Times New Roman" w:hAnsi="Book Antiqua" w:cs="Times New Roman"/>
          <w:sz w:val="24"/>
          <w:szCs w:val="24"/>
        </w:rPr>
        <w:t>.</w:t>
      </w:r>
      <w:r w:rsidR="005A2593">
        <w:rPr>
          <w:rFonts w:ascii="Book Antiqua" w:eastAsia="Times New Roman" w:hAnsi="Book Antiqua" w:cs="Times New Roman"/>
          <w:sz w:val="24"/>
          <w:szCs w:val="24"/>
        </w:rPr>
        <w:t xml:space="preserve"> </w:t>
      </w:r>
    </w:p>
    <w:p w14:paraId="1707F5D8" w14:textId="77777777" w:rsidR="00D53981" w:rsidRPr="00FD080D" w:rsidRDefault="001B01CA" w:rsidP="00342B85">
      <w:pPr>
        <w:adjustRightInd w:val="0"/>
        <w:snapToGrid w:val="0"/>
        <w:spacing w:after="0" w:line="360" w:lineRule="auto"/>
        <w:ind w:firstLineChars="100" w:firstLine="240"/>
        <w:jc w:val="both"/>
        <w:rPr>
          <w:rFonts w:ascii="Book Antiqua" w:hAnsi="Book Antiqua"/>
          <w:sz w:val="24"/>
          <w:szCs w:val="24"/>
        </w:rPr>
      </w:pPr>
      <w:r w:rsidRPr="00FD080D">
        <w:rPr>
          <w:rFonts w:ascii="Book Antiqua" w:eastAsia="Times New Roman" w:hAnsi="Book Antiqua" w:cs="Times New Roman"/>
          <w:sz w:val="24"/>
          <w:szCs w:val="24"/>
        </w:rPr>
        <w:t>In order to better outline the natural history of patients</w:t>
      </w:r>
      <w:r w:rsidR="000D715A" w:rsidRPr="00FD080D">
        <w:rPr>
          <w:rFonts w:ascii="Book Antiqua" w:eastAsia="Times New Roman" w:hAnsi="Book Antiqua" w:cs="Times New Roman"/>
          <w:sz w:val="24"/>
          <w:szCs w:val="24"/>
        </w:rPr>
        <w:t xml:space="preserve"> with mild CD</w:t>
      </w:r>
      <w:r w:rsidRPr="00FD080D">
        <w:rPr>
          <w:rFonts w:ascii="Book Antiqua" w:eastAsia="Times New Roman" w:hAnsi="Book Antiqua" w:cs="Times New Roman"/>
          <w:sz w:val="24"/>
          <w:szCs w:val="24"/>
        </w:rPr>
        <w:t>, we identified a group of children with</w:t>
      </w:r>
      <w:r w:rsidR="00AD07C6" w:rsidRPr="00FD080D">
        <w:rPr>
          <w:rFonts w:ascii="Book Antiqua" w:eastAsia="Times New Roman" w:hAnsi="Book Antiqua" w:cs="Times New Roman"/>
          <w:sz w:val="24"/>
          <w:szCs w:val="24"/>
        </w:rPr>
        <w:t xml:space="preserve"> CD</w:t>
      </w:r>
      <w:r w:rsidRPr="00FD080D">
        <w:rPr>
          <w:rFonts w:ascii="Book Antiqua" w:eastAsia="Times New Roman" w:hAnsi="Book Antiqua" w:cs="Times New Roman"/>
          <w:sz w:val="24"/>
          <w:szCs w:val="24"/>
        </w:rPr>
        <w:t xml:space="preserve"> who were not escalated to immunomodulators or biologics within the first two years after their </w:t>
      </w:r>
      <w:r w:rsidR="00AD07C6" w:rsidRPr="00FD080D">
        <w:rPr>
          <w:rFonts w:ascii="Book Antiqua" w:eastAsia="Times New Roman" w:hAnsi="Book Antiqua" w:cs="Times New Roman"/>
          <w:sz w:val="24"/>
          <w:szCs w:val="24"/>
        </w:rPr>
        <w:t>CD</w:t>
      </w:r>
      <w:r w:rsidRPr="00FD080D">
        <w:rPr>
          <w:rFonts w:ascii="Book Antiqua" w:eastAsia="Times New Roman" w:hAnsi="Book Antiqua" w:cs="Times New Roman"/>
          <w:sz w:val="24"/>
          <w:szCs w:val="24"/>
        </w:rPr>
        <w:t xml:space="preserve"> diagnosis. In this highly selected group of mild patients, we demonstrate that a higher percentage of patients have colonic disease compared to matched controls with moderate to severe disease. We also show that patients with mild disease can be maintained for several years on treatments such as </w:t>
      </w:r>
      <w:proofErr w:type="spellStart"/>
      <w:r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antibiotics, or dietary changes, and the majority can avoid escalation to immunosuppressive therapies. However, subclinical inflammation and growth impairment may persist in this group of patients.</w:t>
      </w:r>
      <w:r w:rsidRPr="00FD080D">
        <w:rPr>
          <w:rFonts w:ascii="Book Antiqua" w:eastAsia="Times New Roman" w:hAnsi="Book Antiqua" w:cs="Times New Roman"/>
          <w:color w:val="0000FF"/>
          <w:sz w:val="24"/>
          <w:szCs w:val="24"/>
        </w:rPr>
        <w:t xml:space="preserve"> </w:t>
      </w:r>
    </w:p>
    <w:p w14:paraId="276F1738" w14:textId="77777777"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b/>
          <w:sz w:val="24"/>
          <w:szCs w:val="24"/>
        </w:rPr>
        <w:t xml:space="preserve"> </w:t>
      </w:r>
    </w:p>
    <w:p w14:paraId="6BDA7836" w14:textId="6E5BD3AF" w:rsidR="00D53981" w:rsidRPr="00342B85" w:rsidRDefault="00CF0061" w:rsidP="00FD080D">
      <w:pPr>
        <w:adjustRightInd w:val="0"/>
        <w:snapToGrid w:val="0"/>
        <w:spacing w:after="0" w:line="360" w:lineRule="auto"/>
        <w:jc w:val="both"/>
        <w:rPr>
          <w:rFonts w:ascii="Book Antiqua" w:hAnsi="Book Antiqua"/>
          <w:sz w:val="24"/>
          <w:szCs w:val="24"/>
        </w:rPr>
      </w:pPr>
      <w:r w:rsidRPr="00342B85">
        <w:rPr>
          <w:rFonts w:ascii="Book Antiqua" w:eastAsia="Times New Roman" w:hAnsi="Book Antiqua" w:cs="Times New Roman"/>
          <w:b/>
          <w:sz w:val="24"/>
          <w:szCs w:val="24"/>
        </w:rPr>
        <w:lastRenderedPageBreak/>
        <w:t xml:space="preserve">MATERIALS AND </w:t>
      </w:r>
      <w:r w:rsidR="001B01CA" w:rsidRPr="00342B85">
        <w:rPr>
          <w:rFonts w:ascii="Book Antiqua" w:eastAsia="Times New Roman" w:hAnsi="Book Antiqua" w:cs="Times New Roman"/>
          <w:b/>
          <w:sz w:val="24"/>
          <w:szCs w:val="24"/>
        </w:rPr>
        <w:t>METHODS</w:t>
      </w:r>
    </w:p>
    <w:p w14:paraId="3742AAA6" w14:textId="63D7511F"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 xml:space="preserve">In order to identify patients with mild </w:t>
      </w:r>
      <w:r w:rsidR="00AC3321">
        <w:rPr>
          <w:rFonts w:ascii="Book Antiqua" w:eastAsia="Times New Roman" w:hAnsi="Book Antiqua" w:cs="Times New Roman"/>
          <w:sz w:val="24"/>
          <w:szCs w:val="24"/>
        </w:rPr>
        <w:t>CD</w:t>
      </w:r>
      <w:r w:rsidRPr="00FD080D">
        <w:rPr>
          <w:rFonts w:ascii="Book Antiqua" w:eastAsia="Times New Roman" w:hAnsi="Book Antiqua" w:cs="Times New Roman"/>
          <w:sz w:val="24"/>
          <w:szCs w:val="24"/>
        </w:rPr>
        <w:t xml:space="preserve"> we conducted a retrospective review of our IBD database at Boston Children</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s Hospital. At the time of review, the database contained 1205 patients with CD, diagnosed between the years of 1990 and 2013. Patients were included if they had clear diagnosis of</w:t>
      </w:r>
      <w:r w:rsidR="008D7830" w:rsidRPr="00FD080D">
        <w:rPr>
          <w:rFonts w:ascii="Book Antiqua" w:eastAsia="Times New Roman" w:hAnsi="Book Antiqua" w:cs="Times New Roman"/>
          <w:sz w:val="24"/>
          <w:szCs w:val="24"/>
        </w:rPr>
        <w:t xml:space="preserve"> </w:t>
      </w:r>
      <w:r w:rsidR="00AD07C6" w:rsidRPr="00FD080D">
        <w:rPr>
          <w:rFonts w:ascii="Book Antiqua" w:eastAsia="Times New Roman" w:hAnsi="Book Antiqua" w:cs="Times New Roman"/>
          <w:sz w:val="24"/>
          <w:szCs w:val="24"/>
        </w:rPr>
        <w:t>CD</w:t>
      </w:r>
      <w:r w:rsidRPr="00FD080D">
        <w:rPr>
          <w:rFonts w:ascii="Book Antiqua" w:eastAsia="Times New Roman" w:hAnsi="Book Antiqua" w:cs="Times New Roman"/>
          <w:sz w:val="24"/>
          <w:szCs w:val="24"/>
        </w:rPr>
        <w:t xml:space="preserve">, and they were not escalated to immunosuppressive therapies for at least 2 years after the date of diagnosis. No patients with ulcerative colitis or indeterminate colitis </w:t>
      </w:r>
      <w:r w:rsidR="00AC3321">
        <w:rPr>
          <w:rFonts w:ascii="Book Antiqua" w:eastAsia="Times New Roman" w:hAnsi="Book Antiqua" w:cs="Times New Roman"/>
          <w:sz w:val="24"/>
          <w:szCs w:val="24"/>
        </w:rPr>
        <w:t>[</w:t>
      </w:r>
      <w:r w:rsidR="009B076B" w:rsidRPr="00FD080D">
        <w:rPr>
          <w:rFonts w:ascii="Book Antiqua" w:eastAsia="Times New Roman" w:hAnsi="Book Antiqua" w:cs="Times New Roman"/>
          <w:sz w:val="24"/>
          <w:szCs w:val="24"/>
        </w:rPr>
        <w:t xml:space="preserve">aka inflammatory bowel disease unclassified </w:t>
      </w:r>
      <w:r w:rsidR="00AC3321">
        <w:rPr>
          <w:rFonts w:ascii="Book Antiqua" w:eastAsia="Times New Roman" w:hAnsi="Book Antiqua" w:cs="Times New Roman"/>
          <w:sz w:val="24"/>
          <w:szCs w:val="24"/>
        </w:rPr>
        <w:t>(</w:t>
      </w:r>
      <w:r w:rsidR="009B076B" w:rsidRPr="00FD080D">
        <w:rPr>
          <w:rFonts w:ascii="Book Antiqua" w:eastAsia="Times New Roman" w:hAnsi="Book Antiqua" w:cs="Times New Roman"/>
          <w:sz w:val="24"/>
          <w:szCs w:val="24"/>
        </w:rPr>
        <w:t>IBDU)</w:t>
      </w:r>
      <w:r w:rsidR="00AC3321">
        <w:rPr>
          <w:rFonts w:ascii="Book Antiqua" w:eastAsia="Times New Roman" w:hAnsi="Book Antiqua" w:cs="Times New Roman"/>
          <w:sz w:val="24"/>
          <w:szCs w:val="24"/>
        </w:rPr>
        <w:t>]</w:t>
      </w:r>
      <w:r w:rsidR="009B076B" w:rsidRPr="00FD080D">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were included in this study. Exclusion criteria were usage of methotrexate, mercaptopurine, azathioprine, or biologic therapies (</w:t>
      </w:r>
      <w:r w:rsidRPr="00AC3321">
        <w:rPr>
          <w:rFonts w:ascii="Book Antiqua" w:eastAsia="Times New Roman" w:hAnsi="Book Antiqua" w:cs="Times New Roman"/>
          <w:i/>
          <w:iCs/>
          <w:sz w:val="24"/>
          <w:szCs w:val="24"/>
        </w:rPr>
        <w:t>e.g.</w:t>
      </w:r>
      <w:r w:rsidR="00AC3321">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 infliximab, adalimumab, or certolizumab) initiated within the first 2 years after diagnosis. We also excluded patients who developed surgical complications of </w:t>
      </w:r>
      <w:r w:rsidR="00AD07C6" w:rsidRPr="00FD080D">
        <w:rPr>
          <w:rFonts w:ascii="Book Antiqua" w:eastAsia="Times New Roman" w:hAnsi="Book Antiqua" w:cs="Times New Roman"/>
          <w:sz w:val="24"/>
          <w:szCs w:val="24"/>
        </w:rPr>
        <w:t>CD</w:t>
      </w:r>
      <w:r w:rsidR="00521F04" w:rsidRPr="00FD080D">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requiring bowel resection within the first two years. Patients with perianal disease were not excluded.</w:t>
      </w:r>
      <w:r w:rsidR="005A2593">
        <w:rPr>
          <w:rFonts w:ascii="Book Antiqua" w:eastAsia="Times New Roman" w:hAnsi="Book Antiqua" w:cs="Times New Roman"/>
          <w:sz w:val="24"/>
          <w:szCs w:val="24"/>
        </w:rPr>
        <w:t xml:space="preserve"> </w:t>
      </w:r>
    </w:p>
    <w:p w14:paraId="1399860A" w14:textId="210096E3" w:rsidR="00D53981" w:rsidRPr="00FD080D" w:rsidRDefault="001B01CA" w:rsidP="00AC3321">
      <w:pPr>
        <w:adjustRightInd w:val="0"/>
        <w:snapToGrid w:val="0"/>
        <w:spacing w:after="0" w:line="360" w:lineRule="auto"/>
        <w:ind w:firstLineChars="100" w:firstLine="240"/>
        <w:jc w:val="both"/>
        <w:rPr>
          <w:rFonts w:ascii="Book Antiqua" w:hAnsi="Book Antiqua"/>
          <w:sz w:val="24"/>
          <w:szCs w:val="24"/>
        </w:rPr>
      </w:pPr>
      <w:r w:rsidRPr="00FD080D">
        <w:rPr>
          <w:rFonts w:ascii="Book Antiqua" w:eastAsia="Times New Roman" w:hAnsi="Book Antiqua" w:cs="Times New Roman"/>
          <w:sz w:val="24"/>
          <w:szCs w:val="24"/>
        </w:rPr>
        <w:t>The natural history of this mild group of CD patients was reviewed for the duration of time they were followed as patients at our center. We reviewed all clinic visits, laboratory studies, and procedures. Data that was abstracted included: age at diagnosis, sex, disease location utilizing the Paris classification, medical treatment, surgical treatment, endoscopic findings, histology, and hospitalizations</w:t>
      </w:r>
      <w:r w:rsidR="00521F04" w:rsidRPr="00FD080D">
        <w:rPr>
          <w:rFonts w:ascii="Book Antiqua" w:eastAsia="Times New Roman" w:hAnsi="Book Antiqua" w:cs="Times New Roman"/>
          <w:sz w:val="24"/>
          <w:szCs w:val="24"/>
          <w:vertAlign w:val="superscript"/>
        </w:rPr>
        <w:t>[3]</w:t>
      </w:r>
      <w:r w:rsidRPr="00FD080D">
        <w:rPr>
          <w:rFonts w:ascii="Book Antiqua" w:eastAsia="Times New Roman" w:hAnsi="Book Antiqua" w:cs="Times New Roman"/>
          <w:sz w:val="24"/>
          <w:szCs w:val="24"/>
        </w:rPr>
        <w:t xml:space="preserve">. We utilized a standardized case report form, and the abstracted data was entered into a REDCAP database. </w:t>
      </w:r>
    </w:p>
    <w:p w14:paraId="03B7D80C" w14:textId="5585B792" w:rsidR="00D53981" w:rsidRPr="00FD080D" w:rsidRDefault="001B01CA" w:rsidP="00AC3321">
      <w:pPr>
        <w:adjustRightInd w:val="0"/>
        <w:snapToGrid w:val="0"/>
        <w:spacing w:after="0" w:line="360" w:lineRule="auto"/>
        <w:ind w:firstLineChars="100" w:firstLine="240"/>
        <w:jc w:val="both"/>
        <w:rPr>
          <w:rFonts w:ascii="Book Antiqua" w:hAnsi="Book Antiqua"/>
          <w:sz w:val="24"/>
          <w:szCs w:val="24"/>
        </w:rPr>
      </w:pPr>
      <w:r w:rsidRPr="00FD080D">
        <w:rPr>
          <w:rFonts w:ascii="Book Antiqua" w:eastAsia="Times New Roman" w:hAnsi="Book Antiqua" w:cs="Times New Roman"/>
          <w:sz w:val="24"/>
          <w:szCs w:val="24"/>
        </w:rPr>
        <w:t xml:space="preserve">To determine if there were differences in phenotypic features between the mild group and patients with moderate to severe disease, we identified a matched control group with moderate to severe disease. We matched each case with two </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moderate to severe</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 controls (aka patients started on an immunomodulator or biologic within the first two years of diagnosis). Patients were matched by sex and age at diagnosis. Because treatment of C</w:t>
      </w:r>
      <w:r w:rsidR="00AD07C6" w:rsidRPr="00FD080D">
        <w:rPr>
          <w:rFonts w:ascii="Book Antiqua" w:eastAsia="Times New Roman" w:hAnsi="Book Antiqua" w:cs="Times New Roman"/>
          <w:sz w:val="24"/>
          <w:szCs w:val="24"/>
        </w:rPr>
        <w:t>D</w:t>
      </w:r>
      <w:r w:rsidRPr="00FD080D">
        <w:rPr>
          <w:rFonts w:ascii="Book Antiqua" w:eastAsia="Times New Roman" w:hAnsi="Book Antiqua" w:cs="Times New Roman"/>
          <w:sz w:val="24"/>
          <w:szCs w:val="24"/>
        </w:rPr>
        <w:t xml:space="preserve"> has changed significantly in the last 20 years, we also matched patients by the year the patient was diagnosed (within 2 years).</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For example, a </w:t>
      </w:r>
      <w:r w:rsidR="002A2391" w:rsidRPr="00FD080D">
        <w:rPr>
          <w:rFonts w:ascii="Book Antiqua" w:eastAsia="Times New Roman" w:hAnsi="Book Antiqua" w:cs="Times New Roman"/>
          <w:sz w:val="24"/>
          <w:szCs w:val="24"/>
        </w:rPr>
        <w:t>12-year-old</w:t>
      </w:r>
      <w:r w:rsidRPr="00FD080D">
        <w:rPr>
          <w:rFonts w:ascii="Book Antiqua" w:eastAsia="Times New Roman" w:hAnsi="Book Antiqua" w:cs="Times New Roman"/>
          <w:sz w:val="24"/>
          <w:szCs w:val="24"/>
        </w:rPr>
        <w:t xml:space="preserve"> female diagnosed in 2000 would be matched </w:t>
      </w:r>
      <w:r w:rsidRPr="00FD080D">
        <w:rPr>
          <w:rFonts w:ascii="Book Antiqua" w:eastAsia="Times New Roman" w:hAnsi="Book Antiqua" w:cs="Times New Roman"/>
          <w:sz w:val="24"/>
          <w:szCs w:val="24"/>
        </w:rPr>
        <w:lastRenderedPageBreak/>
        <w:t>with a similar patient diagnosed between 2000 and 2002, so as to avoid comparing a patient diagnosed in 2000 with a patient diagnosed in 2010.</w:t>
      </w:r>
      <w:r w:rsidR="005A2593">
        <w:rPr>
          <w:rFonts w:ascii="Book Antiqua" w:eastAsia="Times New Roman" w:hAnsi="Book Antiqua" w:cs="Times New Roman"/>
          <w:sz w:val="24"/>
          <w:szCs w:val="24"/>
        </w:rPr>
        <w:t xml:space="preserve"> </w:t>
      </w:r>
    </w:p>
    <w:p w14:paraId="3EE7F07E" w14:textId="77777777"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b/>
          <w:sz w:val="24"/>
          <w:szCs w:val="24"/>
        </w:rPr>
        <w:t xml:space="preserve"> </w:t>
      </w:r>
    </w:p>
    <w:p w14:paraId="3ECAD720" w14:textId="77777777" w:rsidR="00AC3321" w:rsidRDefault="00AC3321" w:rsidP="00FD080D">
      <w:pPr>
        <w:adjustRightInd w:val="0"/>
        <w:snapToGrid w:val="0"/>
        <w:spacing w:after="0" w:line="360" w:lineRule="auto"/>
        <w:jc w:val="both"/>
        <w:rPr>
          <w:rFonts w:ascii="Book Antiqua" w:hAnsi="Book Antiqua"/>
          <w:i/>
          <w:iCs/>
          <w:sz w:val="24"/>
          <w:szCs w:val="24"/>
        </w:rPr>
      </w:pPr>
      <w:r w:rsidRPr="00AC3321">
        <w:rPr>
          <w:rFonts w:ascii="Book Antiqua" w:eastAsia="Times New Roman" w:hAnsi="Book Antiqua" w:cs="Times New Roman"/>
          <w:b/>
          <w:i/>
          <w:iCs/>
          <w:sz w:val="24"/>
          <w:szCs w:val="24"/>
        </w:rPr>
        <w:t>Data management and statistical analysis</w:t>
      </w:r>
    </w:p>
    <w:p w14:paraId="5BA4989C" w14:textId="11EB0322" w:rsidR="00D53981" w:rsidRPr="00AC3321" w:rsidRDefault="001B01CA" w:rsidP="00FD080D">
      <w:pPr>
        <w:adjustRightInd w:val="0"/>
        <w:snapToGrid w:val="0"/>
        <w:spacing w:after="0" w:line="360" w:lineRule="auto"/>
        <w:jc w:val="both"/>
        <w:rPr>
          <w:rFonts w:ascii="Book Antiqua" w:hAnsi="Book Antiqua"/>
          <w:i/>
          <w:iCs/>
          <w:sz w:val="24"/>
          <w:szCs w:val="24"/>
        </w:rPr>
      </w:pPr>
      <w:r w:rsidRPr="00FD080D">
        <w:rPr>
          <w:rFonts w:ascii="Book Antiqua" w:eastAsia="Times New Roman" w:hAnsi="Book Antiqua" w:cs="Times New Roman"/>
          <w:sz w:val="24"/>
          <w:szCs w:val="24"/>
        </w:rPr>
        <w:t xml:space="preserve">Data were entered by using </w:t>
      </w:r>
      <w:r w:rsidR="002A2391" w:rsidRPr="00FD080D">
        <w:rPr>
          <w:rFonts w:ascii="Book Antiqua" w:eastAsia="Times New Roman" w:hAnsi="Book Antiqua" w:cs="Times New Roman"/>
          <w:sz w:val="24"/>
          <w:szCs w:val="24"/>
        </w:rPr>
        <w:t>Redcap and</w:t>
      </w:r>
      <w:r w:rsidRPr="00FD080D">
        <w:rPr>
          <w:rFonts w:ascii="Book Antiqua" w:eastAsia="Times New Roman" w:hAnsi="Book Antiqua" w:cs="Times New Roman"/>
          <w:sz w:val="24"/>
          <w:szCs w:val="24"/>
        </w:rPr>
        <w:t xml:space="preserve"> converted to SAS software (Version 9.4; SAS Institute) for analysis. Descriptive statistics were used to summarize subject characteristics at disease diagnosis. For continuous variables, mean and standard deviation were derived and compared using independent </w:t>
      </w:r>
      <w:r w:rsidRPr="00AC3321">
        <w:rPr>
          <w:rFonts w:ascii="Book Antiqua" w:eastAsia="Times New Roman" w:hAnsi="Book Antiqua" w:cs="Times New Roman"/>
          <w:i/>
          <w:iCs/>
          <w:sz w:val="24"/>
          <w:szCs w:val="24"/>
        </w:rPr>
        <w:t>T</w:t>
      </w:r>
      <w:r w:rsidRPr="00FD080D">
        <w:rPr>
          <w:rFonts w:ascii="Book Antiqua" w:eastAsia="Times New Roman" w:hAnsi="Book Antiqua" w:cs="Times New Roman"/>
          <w:sz w:val="24"/>
          <w:szCs w:val="24"/>
        </w:rPr>
        <w:t>-tests; for categorical variables, frequencies in absolute numbers and percentages were assessed and compared using Chi-squared tests.</w:t>
      </w:r>
      <w:r w:rsidR="005A2593">
        <w:rPr>
          <w:rFonts w:ascii="Book Antiqua" w:eastAsia="Times New Roman" w:hAnsi="Book Antiqua" w:cs="Times New Roman"/>
          <w:sz w:val="24"/>
          <w:szCs w:val="24"/>
        </w:rPr>
        <w:t xml:space="preserve"> </w:t>
      </w:r>
      <w:r w:rsidR="00372C17" w:rsidRPr="00FD080D">
        <w:rPr>
          <w:rFonts w:ascii="Book Antiqua" w:eastAsia="Times New Roman" w:hAnsi="Book Antiqua" w:cs="Times New Roman"/>
          <w:sz w:val="24"/>
          <w:szCs w:val="24"/>
        </w:rPr>
        <w:t xml:space="preserve">In order to describe </w:t>
      </w:r>
      <w:r w:rsidR="006269EB" w:rsidRPr="00FD080D">
        <w:rPr>
          <w:rFonts w:ascii="Book Antiqua" w:eastAsia="Times New Roman" w:hAnsi="Book Antiqua" w:cs="Times New Roman"/>
          <w:sz w:val="24"/>
          <w:szCs w:val="24"/>
        </w:rPr>
        <w:t>height data, we utilized Z scores, with a Z score reflecting the number of standard deviations above or below the mean for a specific data point or group of data points.</w:t>
      </w:r>
    </w:p>
    <w:p w14:paraId="547F8EE8" w14:textId="682506C9" w:rsidR="00D53981" w:rsidRPr="00FD080D" w:rsidRDefault="001B01CA" w:rsidP="00AC3321">
      <w:pPr>
        <w:adjustRightInd w:val="0"/>
        <w:snapToGrid w:val="0"/>
        <w:spacing w:after="0" w:line="360" w:lineRule="auto"/>
        <w:ind w:firstLineChars="100" w:firstLine="240"/>
        <w:jc w:val="both"/>
        <w:rPr>
          <w:rFonts w:ascii="Book Antiqua" w:hAnsi="Book Antiqua"/>
          <w:sz w:val="24"/>
          <w:szCs w:val="24"/>
        </w:rPr>
      </w:pPr>
      <w:r w:rsidRPr="00FD080D">
        <w:rPr>
          <w:rFonts w:ascii="Book Antiqua" w:eastAsia="Times New Roman" w:hAnsi="Book Antiqua" w:cs="Times New Roman"/>
          <w:sz w:val="24"/>
          <w:szCs w:val="24"/>
        </w:rPr>
        <w:t xml:space="preserve">Cox proportional hazard models were used to identify risk factors of disease escalation among the mild group of </w:t>
      </w:r>
      <w:r w:rsidR="000D715A" w:rsidRPr="00FD080D">
        <w:rPr>
          <w:rFonts w:ascii="Book Antiqua" w:eastAsia="Times New Roman" w:hAnsi="Book Antiqua" w:cs="Times New Roman"/>
          <w:sz w:val="24"/>
          <w:szCs w:val="24"/>
        </w:rPr>
        <w:t xml:space="preserve">patients with </w:t>
      </w:r>
      <w:r w:rsidRPr="00FD080D">
        <w:rPr>
          <w:rFonts w:ascii="Book Antiqua" w:eastAsia="Times New Roman" w:hAnsi="Book Antiqua" w:cs="Times New Roman"/>
          <w:sz w:val="24"/>
          <w:szCs w:val="24"/>
        </w:rPr>
        <w:t>CD. Potential risk factors considered into the analysis include age at diagnosis, sex, Paris location, steroid use in the first 2 years and after 2 years following diagnosis of CD, maintained on antibiotics in the first 2 years following diagnosis of CD, and whether complications developed after diagnosis of CD. Kaplan-Meier curve was used to show time to escalation after 2 years of diagnosis.</w:t>
      </w:r>
      <w:r w:rsidR="005A2593">
        <w:rPr>
          <w:rFonts w:ascii="Book Antiqua" w:eastAsia="Times New Roman" w:hAnsi="Book Antiqua" w:cs="Times New Roman"/>
          <w:sz w:val="24"/>
          <w:szCs w:val="24"/>
        </w:rPr>
        <w:t xml:space="preserve"> </w:t>
      </w:r>
    </w:p>
    <w:p w14:paraId="3C9A4C3F" w14:textId="59002904" w:rsidR="00D53981" w:rsidRPr="00FD080D" w:rsidRDefault="001B01CA" w:rsidP="00AC3321">
      <w:pPr>
        <w:adjustRightInd w:val="0"/>
        <w:snapToGrid w:val="0"/>
        <w:spacing w:after="0" w:line="360" w:lineRule="auto"/>
        <w:ind w:firstLineChars="100" w:firstLine="240"/>
        <w:jc w:val="both"/>
        <w:rPr>
          <w:rFonts w:ascii="Book Antiqua" w:hAnsi="Book Antiqua"/>
          <w:sz w:val="24"/>
          <w:szCs w:val="24"/>
        </w:rPr>
      </w:pPr>
      <w:r w:rsidRPr="00FD080D">
        <w:rPr>
          <w:rFonts w:ascii="Book Antiqua" w:eastAsia="Times New Roman" w:hAnsi="Book Antiqua" w:cs="Times New Roman"/>
          <w:sz w:val="24"/>
          <w:szCs w:val="24"/>
        </w:rPr>
        <w:t xml:space="preserve">All variables were analyzed in a univariate manner. All statistical tests were two-sided, with </w:t>
      </w:r>
      <w:r w:rsidR="00AC3321" w:rsidRPr="00AC3321">
        <w:rPr>
          <w:rFonts w:ascii="Book Antiqua" w:eastAsia="Times New Roman" w:hAnsi="Book Antiqua" w:cs="Times New Roman"/>
          <w:i/>
          <w:iCs/>
          <w:sz w:val="24"/>
          <w:szCs w:val="24"/>
        </w:rPr>
        <w:t>P</w:t>
      </w:r>
      <w:r w:rsidRPr="00FD080D">
        <w:rPr>
          <w:rFonts w:ascii="Book Antiqua" w:eastAsia="Times New Roman" w:hAnsi="Book Antiqua" w:cs="Times New Roman"/>
          <w:sz w:val="24"/>
          <w:szCs w:val="24"/>
        </w:rPr>
        <w:t xml:space="preserve"> value less than 0.05 considered significant. </w:t>
      </w:r>
    </w:p>
    <w:p w14:paraId="066BF14B" w14:textId="77777777"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 xml:space="preserve"> </w:t>
      </w:r>
    </w:p>
    <w:p w14:paraId="76148D01" w14:textId="08C1D543" w:rsidR="00D53981" w:rsidRPr="00AC3321" w:rsidRDefault="001B01CA" w:rsidP="00FD080D">
      <w:pPr>
        <w:adjustRightInd w:val="0"/>
        <w:snapToGrid w:val="0"/>
        <w:spacing w:after="0" w:line="360" w:lineRule="auto"/>
        <w:jc w:val="both"/>
        <w:rPr>
          <w:rFonts w:ascii="Book Antiqua" w:hAnsi="Book Antiqua"/>
          <w:sz w:val="24"/>
          <w:szCs w:val="24"/>
        </w:rPr>
      </w:pPr>
      <w:r w:rsidRPr="00AC3321">
        <w:rPr>
          <w:rFonts w:ascii="Book Antiqua" w:eastAsia="Times New Roman" w:hAnsi="Book Antiqua" w:cs="Times New Roman"/>
          <w:b/>
          <w:sz w:val="24"/>
          <w:szCs w:val="24"/>
        </w:rPr>
        <w:t>RESULTS</w:t>
      </w:r>
    </w:p>
    <w:p w14:paraId="0D725980" w14:textId="36729AAB" w:rsidR="00D53981" w:rsidRPr="00AC3321" w:rsidRDefault="001B01CA" w:rsidP="00FD080D">
      <w:pPr>
        <w:adjustRightInd w:val="0"/>
        <w:snapToGrid w:val="0"/>
        <w:spacing w:after="0" w:line="360" w:lineRule="auto"/>
        <w:jc w:val="both"/>
        <w:rPr>
          <w:rFonts w:ascii="Book Antiqua" w:hAnsi="Book Antiqua"/>
          <w:i/>
          <w:iCs/>
          <w:sz w:val="24"/>
          <w:szCs w:val="24"/>
        </w:rPr>
      </w:pPr>
      <w:r w:rsidRPr="00AC3321">
        <w:rPr>
          <w:rFonts w:ascii="Book Antiqua" w:eastAsia="Times New Roman" w:hAnsi="Book Antiqua" w:cs="Times New Roman"/>
          <w:b/>
          <w:i/>
          <w:iCs/>
          <w:sz w:val="24"/>
          <w:szCs w:val="24"/>
        </w:rPr>
        <w:t>Patients with mild CD are more likely to have colonic disease</w:t>
      </w:r>
    </w:p>
    <w:p w14:paraId="131CE152" w14:textId="460BB12E"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 xml:space="preserve">Out of 1205 patients with CD diagnosed between 1990 and 2013, we identified 29 patients (15 male) that met the inclusion </w:t>
      </w:r>
      <w:r w:rsidR="002A2391" w:rsidRPr="00FD080D">
        <w:rPr>
          <w:rFonts w:ascii="Book Antiqua" w:eastAsia="Times New Roman" w:hAnsi="Book Antiqua" w:cs="Times New Roman"/>
          <w:sz w:val="24"/>
          <w:szCs w:val="24"/>
        </w:rPr>
        <w:t>criteria and</w:t>
      </w:r>
      <w:r w:rsidRPr="00FD080D">
        <w:rPr>
          <w:rFonts w:ascii="Book Antiqua" w:eastAsia="Times New Roman" w:hAnsi="Book Antiqua" w:cs="Times New Roman"/>
          <w:sz w:val="24"/>
          <w:szCs w:val="24"/>
        </w:rPr>
        <w:t xml:space="preserve"> were matched with 58 controls. Table 1 summarizes the demographic characteristics between the cases and the control group. The mean age of diagnosis was 10 </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 4.2 years. All twenty-nine mild patients were treated with </w:t>
      </w:r>
      <w:proofErr w:type="spellStart"/>
      <w:r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xml:space="preserve"> and 5 patients had </w:t>
      </w:r>
      <w:r w:rsidRPr="00FD080D">
        <w:rPr>
          <w:rFonts w:ascii="Book Antiqua" w:eastAsia="Times New Roman" w:hAnsi="Book Antiqua" w:cs="Times New Roman"/>
          <w:sz w:val="24"/>
          <w:szCs w:val="24"/>
        </w:rPr>
        <w:lastRenderedPageBreak/>
        <w:t xml:space="preserve">combination of </w:t>
      </w:r>
      <w:proofErr w:type="spellStart"/>
      <w:r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xml:space="preserve"> and antibiotics. There were no significant differences between the disease behaviors at presentation, with approximately 90% of patients in each group having inflammatory disease</w:t>
      </w:r>
      <w:r w:rsidR="00372C17" w:rsidRPr="00FD080D">
        <w:rPr>
          <w:rFonts w:ascii="Book Antiqua" w:eastAsia="Times New Roman" w:hAnsi="Book Antiqua" w:cs="Times New Roman"/>
          <w:sz w:val="24"/>
          <w:szCs w:val="24"/>
        </w:rPr>
        <w:t xml:space="preserve"> (aka </w:t>
      </w:r>
      <w:r w:rsidR="00AD07C6" w:rsidRPr="00FD080D">
        <w:rPr>
          <w:rFonts w:ascii="Book Antiqua" w:eastAsia="Times New Roman" w:hAnsi="Book Antiqua" w:cs="Times New Roman"/>
          <w:sz w:val="24"/>
          <w:szCs w:val="24"/>
        </w:rPr>
        <w:t xml:space="preserve">CD </w:t>
      </w:r>
      <w:r w:rsidR="00372C17" w:rsidRPr="00FD080D">
        <w:rPr>
          <w:rFonts w:ascii="Book Antiqua" w:eastAsia="Times New Roman" w:hAnsi="Book Antiqua" w:cs="Times New Roman"/>
          <w:sz w:val="24"/>
          <w:szCs w:val="24"/>
        </w:rPr>
        <w:t xml:space="preserve">without the development of either perforating or </w:t>
      </w:r>
      <w:proofErr w:type="spellStart"/>
      <w:r w:rsidR="00372C17" w:rsidRPr="00FD080D">
        <w:rPr>
          <w:rFonts w:ascii="Book Antiqua" w:eastAsia="Times New Roman" w:hAnsi="Book Antiqua" w:cs="Times New Roman"/>
          <w:sz w:val="24"/>
          <w:szCs w:val="24"/>
        </w:rPr>
        <w:t>fibrostenosing</w:t>
      </w:r>
      <w:proofErr w:type="spellEnd"/>
      <w:r w:rsidR="00372C17" w:rsidRPr="00FD080D">
        <w:rPr>
          <w:rFonts w:ascii="Book Antiqua" w:eastAsia="Times New Roman" w:hAnsi="Book Antiqua" w:cs="Times New Roman"/>
          <w:sz w:val="24"/>
          <w:szCs w:val="24"/>
        </w:rPr>
        <w:t xml:space="preserve"> complications)</w:t>
      </w:r>
      <w:r w:rsidRPr="00FD080D">
        <w:rPr>
          <w:rFonts w:ascii="Book Antiqua" w:eastAsia="Times New Roman" w:hAnsi="Book Antiqua" w:cs="Times New Roman"/>
          <w:sz w:val="24"/>
          <w:szCs w:val="24"/>
        </w:rPr>
        <w:t xml:space="preserve">. However, patients with mild disease were more likely to have disease limited to the colon (31% </w:t>
      </w:r>
      <w:r w:rsidR="00DA0C84" w:rsidRPr="00153E1C">
        <w:rPr>
          <w:rFonts w:ascii="Book Antiqua" w:eastAsia="Times New Roman" w:hAnsi="Book Antiqua" w:cs="Times New Roman"/>
          <w:i/>
          <w:iCs/>
          <w:sz w:val="24"/>
          <w:szCs w:val="24"/>
        </w:rPr>
        <w:t>vs</w:t>
      </w:r>
      <w:r w:rsidRPr="00FD080D">
        <w:rPr>
          <w:rFonts w:ascii="Book Antiqua" w:eastAsia="Times New Roman" w:hAnsi="Book Antiqua" w:cs="Times New Roman"/>
          <w:sz w:val="24"/>
          <w:szCs w:val="24"/>
        </w:rPr>
        <w:t xml:space="preserve"> 12%, </w:t>
      </w:r>
      <w:r w:rsidR="00DA0C84" w:rsidRPr="00153E1C">
        <w:rPr>
          <w:rFonts w:ascii="Book Antiqua" w:eastAsia="Times New Roman" w:hAnsi="Book Antiqua" w:cs="Times New Roman"/>
          <w:i/>
          <w:iCs/>
          <w:sz w:val="24"/>
          <w:szCs w:val="24"/>
        </w:rPr>
        <w:t>P</w:t>
      </w:r>
      <w:r w:rsidR="00DA0C84">
        <w:rPr>
          <w:rFonts w:ascii="Book Antiqua" w:eastAsia="Times New Roman" w:hAnsi="Book Antiqua" w:cs="Times New Roman"/>
          <w:sz w:val="24"/>
          <w:szCs w:val="24"/>
        </w:rPr>
        <w:t xml:space="preserve"> = </w:t>
      </w:r>
      <w:r w:rsidRPr="00FD080D">
        <w:rPr>
          <w:rFonts w:ascii="Book Antiqua" w:eastAsia="Times New Roman" w:hAnsi="Book Antiqua" w:cs="Times New Roman"/>
          <w:sz w:val="24"/>
          <w:szCs w:val="24"/>
        </w:rPr>
        <w:t>0.03).</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In contrast, patients with moderate to severe disease (aka control group) were more likely to have ileocolonic disease (70% </w:t>
      </w:r>
      <w:r w:rsidR="00DA0C84" w:rsidRPr="00153E1C">
        <w:rPr>
          <w:rFonts w:ascii="Book Antiqua" w:eastAsia="Times New Roman" w:hAnsi="Book Antiqua" w:cs="Times New Roman"/>
          <w:i/>
          <w:iCs/>
          <w:sz w:val="24"/>
          <w:szCs w:val="24"/>
        </w:rPr>
        <w:t>vs</w:t>
      </w:r>
      <w:r w:rsidRPr="00FD080D">
        <w:rPr>
          <w:rFonts w:ascii="Book Antiqua" w:eastAsia="Times New Roman" w:hAnsi="Book Antiqua" w:cs="Times New Roman"/>
          <w:sz w:val="24"/>
          <w:szCs w:val="24"/>
        </w:rPr>
        <w:t xml:space="preserve"> 45% in the mild group, </w:t>
      </w:r>
      <w:r w:rsidR="00DA0C84" w:rsidRPr="00153E1C">
        <w:rPr>
          <w:rFonts w:ascii="Book Antiqua" w:eastAsia="Times New Roman" w:hAnsi="Book Antiqua" w:cs="Times New Roman"/>
          <w:i/>
          <w:iCs/>
          <w:sz w:val="24"/>
          <w:szCs w:val="24"/>
        </w:rPr>
        <w:t xml:space="preserve">P </w:t>
      </w:r>
      <w:r w:rsidR="00DA0C84">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0.02). At diagnosis, the mild group had a lower mean CRP and a higher albumin (CRP 1.54 mg/dL, Albumin 3.8 mg/dL), compared to the control group (CRP 5.9 mg/dL, Albumin 3.3 mg/dL). Hematocrit and ESR were similar for both groups (mild group mean HCT 35 %, ESR 32 mm/h; control group HCT 35 %, ESR 37 mm/h).</w:t>
      </w:r>
      <w:r w:rsidR="005A2593">
        <w:rPr>
          <w:rFonts w:ascii="Book Antiqua" w:eastAsia="Times New Roman" w:hAnsi="Book Antiqua" w:cs="Times New Roman"/>
          <w:sz w:val="24"/>
          <w:szCs w:val="24"/>
        </w:rPr>
        <w:t xml:space="preserve"> </w:t>
      </w:r>
    </w:p>
    <w:p w14:paraId="55FCD4F0" w14:textId="77777777" w:rsidR="000F0841" w:rsidRPr="00FD080D" w:rsidRDefault="000F0841" w:rsidP="00FD080D">
      <w:pPr>
        <w:adjustRightInd w:val="0"/>
        <w:snapToGrid w:val="0"/>
        <w:spacing w:after="0" w:line="360" w:lineRule="auto"/>
        <w:jc w:val="both"/>
        <w:rPr>
          <w:rFonts w:ascii="Book Antiqua" w:eastAsia="Times New Roman" w:hAnsi="Book Antiqua" w:cs="Times New Roman"/>
          <w:b/>
          <w:sz w:val="24"/>
          <w:szCs w:val="24"/>
        </w:rPr>
      </w:pPr>
    </w:p>
    <w:p w14:paraId="5F81E655" w14:textId="1B2D4B93" w:rsidR="00D53981" w:rsidRPr="00153E1C" w:rsidRDefault="001B01CA" w:rsidP="00FD080D">
      <w:pPr>
        <w:adjustRightInd w:val="0"/>
        <w:snapToGrid w:val="0"/>
        <w:spacing w:after="0" w:line="360" w:lineRule="auto"/>
        <w:jc w:val="both"/>
        <w:rPr>
          <w:rFonts w:ascii="Book Antiqua" w:hAnsi="Book Antiqua"/>
          <w:i/>
          <w:iCs/>
          <w:sz w:val="24"/>
          <w:szCs w:val="24"/>
        </w:rPr>
      </w:pPr>
      <w:r w:rsidRPr="00153E1C">
        <w:rPr>
          <w:rFonts w:ascii="Book Antiqua" w:eastAsia="Times New Roman" w:hAnsi="Book Antiqua" w:cs="Times New Roman"/>
          <w:b/>
          <w:i/>
          <w:iCs/>
          <w:sz w:val="24"/>
          <w:szCs w:val="24"/>
        </w:rPr>
        <w:t>Most patients with mild CD for 2 years do not necessarily require escalation to immune suppressive therapies</w:t>
      </w:r>
    </w:p>
    <w:p w14:paraId="156E4158" w14:textId="061DE34D"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 xml:space="preserve">The mild CD group was followed for a mean of 4.5 years after diagnosis (range 1 month to 11 years). In order to look at long term outcomes </w:t>
      </w:r>
      <w:r w:rsidRPr="00153E1C">
        <w:rPr>
          <w:rFonts w:ascii="Book Antiqua" w:eastAsia="Times New Roman" w:hAnsi="Book Antiqua" w:cs="Times New Roman"/>
          <w:i/>
          <w:iCs/>
          <w:sz w:val="24"/>
          <w:szCs w:val="24"/>
        </w:rPr>
        <w:t>via</w:t>
      </w:r>
      <w:r w:rsidRPr="00FD080D">
        <w:rPr>
          <w:rFonts w:ascii="Book Antiqua" w:eastAsia="Times New Roman" w:hAnsi="Book Antiqua" w:cs="Times New Roman"/>
          <w:sz w:val="24"/>
          <w:szCs w:val="24"/>
        </w:rPr>
        <w:t xml:space="preserve"> a survival curve, we did not include the first two years of therapy (as we defined our mild population by the absence of complications or drug escalation in those first two years). Figure 1 (Kaplan-Meier curve) illustrates the probability of avoiding escalation to immunomodulators or biologics during the period of follow up.</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Of the 29 patients, 8 required medication escalation to immunomodulators during the period of follow up (</w:t>
      </w:r>
      <w:r w:rsidR="00153E1C">
        <w:rPr>
          <w:rFonts w:ascii="Book Antiqua" w:eastAsia="Times New Roman" w:hAnsi="Book Antiqua" w:cs="Times New Roman"/>
          <w:sz w:val="24"/>
          <w:szCs w:val="24"/>
        </w:rPr>
        <w:t>T</w:t>
      </w:r>
      <w:r w:rsidRPr="00FD080D">
        <w:rPr>
          <w:rFonts w:ascii="Book Antiqua" w:eastAsia="Times New Roman" w:hAnsi="Book Antiqua" w:cs="Times New Roman"/>
          <w:sz w:val="24"/>
          <w:szCs w:val="24"/>
        </w:rPr>
        <w:t xml:space="preserve">able 2). The primary indication for escalation to immune suppressive therapies was corticosteroid dependence. Patients treated with corticosteroids during the follow up period were more likely to undergo addition of immunomodulators (hazard ratio </w:t>
      </w:r>
      <w:r w:rsidR="00153E1C">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12.1, </w:t>
      </w:r>
      <w:r w:rsidR="00153E1C">
        <w:rPr>
          <w:rFonts w:ascii="Book Antiqua" w:eastAsia="Times New Roman" w:hAnsi="Book Antiqua" w:cs="Times New Roman"/>
          <w:sz w:val="24"/>
          <w:szCs w:val="24"/>
        </w:rPr>
        <w:t>95%CI</w:t>
      </w:r>
      <w:r w:rsidRPr="00FD080D">
        <w:rPr>
          <w:rFonts w:ascii="Book Antiqua" w:eastAsia="Times New Roman" w:hAnsi="Book Antiqua" w:cs="Times New Roman"/>
          <w:sz w:val="24"/>
          <w:szCs w:val="24"/>
        </w:rPr>
        <w:t xml:space="preserve">: 1.4-102.7, </w:t>
      </w:r>
      <w:r w:rsidR="00DA0C84" w:rsidRPr="00153E1C">
        <w:rPr>
          <w:rFonts w:ascii="Book Antiqua" w:eastAsia="Times New Roman" w:hAnsi="Book Antiqua" w:cs="Times New Roman"/>
          <w:i/>
          <w:iCs/>
          <w:sz w:val="24"/>
          <w:szCs w:val="24"/>
        </w:rPr>
        <w:t>P</w:t>
      </w:r>
      <w:r w:rsidR="00DA0C84">
        <w:rPr>
          <w:rFonts w:ascii="Book Antiqua" w:eastAsia="Times New Roman" w:hAnsi="Book Antiqua" w:cs="Times New Roman"/>
          <w:sz w:val="24"/>
          <w:szCs w:val="24"/>
        </w:rPr>
        <w:t xml:space="preserve"> = </w:t>
      </w:r>
      <w:r w:rsidRPr="00FD080D">
        <w:rPr>
          <w:rFonts w:ascii="Book Antiqua" w:eastAsia="Times New Roman" w:hAnsi="Book Antiqua" w:cs="Times New Roman"/>
          <w:sz w:val="24"/>
          <w:szCs w:val="24"/>
        </w:rPr>
        <w:t>0.02) (</w:t>
      </w:r>
      <w:r w:rsidR="00153E1C">
        <w:rPr>
          <w:rFonts w:ascii="Book Antiqua" w:eastAsia="Times New Roman" w:hAnsi="Book Antiqua" w:cs="Times New Roman"/>
          <w:sz w:val="24"/>
          <w:szCs w:val="24"/>
        </w:rPr>
        <w:t>T</w:t>
      </w:r>
      <w:r w:rsidRPr="00FD080D">
        <w:rPr>
          <w:rFonts w:ascii="Book Antiqua" w:eastAsia="Times New Roman" w:hAnsi="Book Antiqua" w:cs="Times New Roman"/>
          <w:sz w:val="24"/>
          <w:szCs w:val="24"/>
        </w:rPr>
        <w:t>able 3).</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Only one of these 29 patients required bowel resection during the follow up period (after 12 years), though 1 patient did require surgical intervention for perianal disease.</w:t>
      </w:r>
      <w:r w:rsidR="005A2593">
        <w:rPr>
          <w:rFonts w:ascii="Book Antiqua" w:eastAsia="Times New Roman" w:hAnsi="Book Antiqua" w:cs="Times New Roman"/>
          <w:sz w:val="24"/>
          <w:szCs w:val="24"/>
        </w:rPr>
        <w:t xml:space="preserve"> </w:t>
      </w:r>
    </w:p>
    <w:p w14:paraId="41CD871D" w14:textId="45EDA0B4" w:rsidR="00D53981" w:rsidRPr="00FD080D" w:rsidRDefault="005A2593" w:rsidP="00FD080D">
      <w:pPr>
        <w:adjustRightInd w:val="0"/>
        <w:snapToGrid w:val="0"/>
        <w:spacing w:after="0" w:line="360" w:lineRule="auto"/>
        <w:jc w:val="both"/>
        <w:rPr>
          <w:rFonts w:ascii="Book Antiqua" w:hAnsi="Book Antiqua"/>
          <w:sz w:val="24"/>
          <w:szCs w:val="24"/>
        </w:rPr>
      </w:pPr>
      <w:r>
        <w:rPr>
          <w:rFonts w:ascii="Book Antiqua" w:eastAsia="Times New Roman" w:hAnsi="Book Antiqua" w:cs="Times New Roman"/>
          <w:sz w:val="24"/>
          <w:szCs w:val="24"/>
        </w:rPr>
        <w:t xml:space="preserve"> </w:t>
      </w:r>
    </w:p>
    <w:p w14:paraId="04C53B94" w14:textId="4E0C749E" w:rsidR="00D53981" w:rsidRPr="00153E1C" w:rsidRDefault="001B01CA" w:rsidP="00FD080D">
      <w:pPr>
        <w:adjustRightInd w:val="0"/>
        <w:snapToGrid w:val="0"/>
        <w:spacing w:after="0" w:line="360" w:lineRule="auto"/>
        <w:jc w:val="both"/>
        <w:rPr>
          <w:rFonts w:ascii="Book Antiqua" w:hAnsi="Book Antiqua"/>
          <w:i/>
          <w:iCs/>
          <w:sz w:val="24"/>
          <w:szCs w:val="24"/>
        </w:rPr>
      </w:pPr>
      <w:r w:rsidRPr="00153E1C">
        <w:rPr>
          <w:rFonts w:ascii="Book Antiqua" w:eastAsia="Times New Roman" w:hAnsi="Book Antiqua" w:cs="Times New Roman"/>
          <w:b/>
          <w:i/>
          <w:iCs/>
          <w:sz w:val="24"/>
          <w:szCs w:val="24"/>
        </w:rPr>
        <w:lastRenderedPageBreak/>
        <w:t>Patients treated with minimal therapy for mild CD continue to exhibit histologic intestinal inflammation</w:t>
      </w:r>
    </w:p>
    <w:p w14:paraId="1D8B60A7" w14:textId="43657229"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Of the 29 patients, 21 underwent follow up colonoscopy at some point after their initial diagnosis.</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Fifteen of the 21 patients continued to demonstrate histologic inflammation consistent with active CD (including granulomata, cryptitis, and chronic active ileitis or colitis) (</w:t>
      </w:r>
      <w:r w:rsidR="00153E1C">
        <w:rPr>
          <w:rFonts w:ascii="Book Antiqua" w:eastAsia="Times New Roman" w:hAnsi="Book Antiqua" w:cs="Times New Roman"/>
          <w:sz w:val="24"/>
          <w:szCs w:val="24"/>
        </w:rPr>
        <w:t>T</w:t>
      </w:r>
      <w:r w:rsidRPr="00FD080D">
        <w:rPr>
          <w:rFonts w:ascii="Book Antiqua" w:eastAsia="Times New Roman" w:hAnsi="Book Antiqua" w:cs="Times New Roman"/>
          <w:sz w:val="24"/>
          <w:szCs w:val="24"/>
        </w:rPr>
        <w:t>able 4).</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One patient underwent two follow up colonoscopies over an </w:t>
      </w:r>
      <w:r w:rsidR="00366F56" w:rsidRPr="00FD080D">
        <w:rPr>
          <w:rFonts w:ascii="Book Antiqua" w:eastAsia="Times New Roman" w:hAnsi="Book Antiqua" w:cs="Times New Roman"/>
          <w:sz w:val="24"/>
          <w:szCs w:val="24"/>
        </w:rPr>
        <w:t>8-year</w:t>
      </w:r>
      <w:r w:rsidRPr="00FD080D">
        <w:rPr>
          <w:rFonts w:ascii="Book Antiqua" w:eastAsia="Times New Roman" w:hAnsi="Book Antiqua" w:cs="Times New Roman"/>
          <w:sz w:val="24"/>
          <w:szCs w:val="24"/>
        </w:rPr>
        <w:t xml:space="preserve"> period.</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The first demonstrated active inflammation, while the most recent was completely normal.</w:t>
      </w:r>
      <w:r w:rsidR="005A2593">
        <w:rPr>
          <w:rFonts w:ascii="Book Antiqua" w:eastAsia="Times New Roman" w:hAnsi="Book Antiqua" w:cs="Times New Roman"/>
          <w:sz w:val="24"/>
          <w:szCs w:val="24"/>
        </w:rPr>
        <w:t xml:space="preserve"> </w:t>
      </w:r>
    </w:p>
    <w:p w14:paraId="0707AFE0" w14:textId="77777777"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 xml:space="preserve"> </w:t>
      </w:r>
    </w:p>
    <w:p w14:paraId="4CF2E99C" w14:textId="1B91933E" w:rsidR="00D53981" w:rsidRPr="00153E1C" w:rsidRDefault="001B01CA" w:rsidP="00FD080D">
      <w:pPr>
        <w:adjustRightInd w:val="0"/>
        <w:snapToGrid w:val="0"/>
        <w:spacing w:after="0" w:line="360" w:lineRule="auto"/>
        <w:jc w:val="both"/>
        <w:rPr>
          <w:rFonts w:ascii="Book Antiqua" w:hAnsi="Book Antiqua"/>
          <w:i/>
          <w:iCs/>
          <w:sz w:val="24"/>
          <w:szCs w:val="24"/>
        </w:rPr>
      </w:pPr>
      <w:r w:rsidRPr="00153E1C">
        <w:rPr>
          <w:rFonts w:ascii="Book Antiqua" w:eastAsia="Times New Roman" w:hAnsi="Book Antiqua" w:cs="Times New Roman"/>
          <w:b/>
          <w:i/>
          <w:iCs/>
          <w:sz w:val="24"/>
          <w:szCs w:val="24"/>
        </w:rPr>
        <w:t xml:space="preserve">Growth impairment may persist in patients treated with </w:t>
      </w:r>
      <w:proofErr w:type="spellStart"/>
      <w:r w:rsidRPr="00153E1C">
        <w:rPr>
          <w:rFonts w:ascii="Book Antiqua" w:eastAsia="Times New Roman" w:hAnsi="Book Antiqua" w:cs="Times New Roman"/>
          <w:b/>
          <w:i/>
          <w:iCs/>
          <w:sz w:val="24"/>
          <w:szCs w:val="24"/>
        </w:rPr>
        <w:t>aminosalicylate</w:t>
      </w:r>
      <w:proofErr w:type="spellEnd"/>
      <w:r w:rsidRPr="00153E1C">
        <w:rPr>
          <w:rFonts w:ascii="Book Antiqua" w:eastAsia="Times New Roman" w:hAnsi="Book Antiqua" w:cs="Times New Roman"/>
          <w:b/>
          <w:i/>
          <w:iCs/>
          <w:sz w:val="24"/>
          <w:szCs w:val="24"/>
        </w:rPr>
        <w:t xml:space="preserve"> maintenance therapy</w:t>
      </w:r>
    </w:p>
    <w:p w14:paraId="6EB2011F" w14:textId="3F37A117"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 xml:space="preserve">At diagnosis, the mean Z score for our </w:t>
      </w:r>
      <w:proofErr w:type="spellStart"/>
      <w:r w:rsidRPr="00FD080D">
        <w:rPr>
          <w:rFonts w:ascii="Book Antiqua" w:eastAsia="Times New Roman" w:hAnsi="Book Antiqua" w:cs="Times New Roman"/>
          <w:sz w:val="24"/>
          <w:szCs w:val="24"/>
        </w:rPr>
        <w:t>aminosalicylate</w:t>
      </w:r>
      <w:proofErr w:type="spellEnd"/>
      <w:r w:rsidRPr="00FD080D">
        <w:rPr>
          <w:rFonts w:ascii="Book Antiqua" w:eastAsia="Times New Roman" w:hAnsi="Book Antiqua" w:cs="Times New Roman"/>
          <w:sz w:val="24"/>
          <w:szCs w:val="24"/>
        </w:rPr>
        <w:t xml:space="preserve"> patient cohort on whom accurate height data was available (</w:t>
      </w:r>
      <w:r w:rsidRPr="00153E1C">
        <w:rPr>
          <w:rFonts w:ascii="Book Antiqua" w:eastAsia="Times New Roman" w:hAnsi="Book Antiqua" w:cs="Times New Roman"/>
          <w:i/>
          <w:iCs/>
          <w:sz w:val="24"/>
          <w:szCs w:val="24"/>
        </w:rPr>
        <w:t>n</w:t>
      </w:r>
      <w:r w:rsidR="00153E1C">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w:t>
      </w:r>
      <w:r w:rsidR="00153E1C">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27) was -0.07 (range -1.88 to 2.37). At the end of the period of follow up, the mean Z score had declined slightly to -0.19 (range -2.83 to -1.75).</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The mean change in Z score from diagnosis to end of follow up was -0.12, suggesting that the subclinical histologic inflammation could potentially contribute to impaired growth. Overall, 11 of 27 patients had a positive change in Z score from diagnosis to the end of follow up, while 16 of 27 had a negative change.</w:t>
      </w:r>
    </w:p>
    <w:p w14:paraId="3DE202EA" w14:textId="77777777"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b/>
          <w:sz w:val="24"/>
          <w:szCs w:val="24"/>
        </w:rPr>
        <w:t xml:space="preserve"> </w:t>
      </w:r>
    </w:p>
    <w:p w14:paraId="2296A034" w14:textId="27A33583" w:rsidR="00D53981" w:rsidRPr="00153E1C" w:rsidRDefault="001B01CA" w:rsidP="00FD080D">
      <w:pPr>
        <w:adjustRightInd w:val="0"/>
        <w:snapToGrid w:val="0"/>
        <w:spacing w:after="0" w:line="360" w:lineRule="auto"/>
        <w:jc w:val="both"/>
        <w:rPr>
          <w:rFonts w:ascii="Book Antiqua" w:hAnsi="Book Antiqua"/>
          <w:i/>
          <w:iCs/>
          <w:sz w:val="24"/>
          <w:szCs w:val="24"/>
        </w:rPr>
      </w:pPr>
      <w:r w:rsidRPr="00153E1C">
        <w:rPr>
          <w:rFonts w:ascii="Book Antiqua" w:eastAsia="Times New Roman" w:hAnsi="Book Antiqua" w:cs="Times New Roman"/>
          <w:b/>
          <w:i/>
          <w:iCs/>
          <w:sz w:val="24"/>
          <w:szCs w:val="24"/>
        </w:rPr>
        <w:t>Complications of mild CD occur in patients with ileal disease</w:t>
      </w:r>
    </w:p>
    <w:p w14:paraId="078CB287" w14:textId="4E708832"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 xml:space="preserve">Of the 29 </w:t>
      </w:r>
      <w:r w:rsidR="008B7E9D" w:rsidRPr="00FD080D">
        <w:rPr>
          <w:rFonts w:ascii="Book Antiqua" w:eastAsia="Times New Roman" w:hAnsi="Book Antiqua" w:cs="Times New Roman"/>
          <w:sz w:val="24"/>
          <w:szCs w:val="24"/>
        </w:rPr>
        <w:t xml:space="preserve">total </w:t>
      </w:r>
      <w:r w:rsidRPr="00FD080D">
        <w:rPr>
          <w:rFonts w:ascii="Book Antiqua" w:eastAsia="Times New Roman" w:hAnsi="Book Antiqua" w:cs="Times New Roman"/>
          <w:sz w:val="24"/>
          <w:szCs w:val="24"/>
        </w:rPr>
        <w:t>patients, three developed significant complications of ileal disease, though only one required surgical intervention during the period of follow up.</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One patient, diagnosed at age 10, was escalated to mercaptopurine at age 20 for persistent ileal inflammation, and underwent limited ileal resection at age 22. The second presented with an ileal phlegmon that was managed medically and escalated to thiopurine therapy 39 months after diagnosis. The third patient presented with ileal narrowing and lower gastrointestinal </w:t>
      </w:r>
      <w:r w:rsidR="002A2391" w:rsidRPr="00FD080D">
        <w:rPr>
          <w:rFonts w:ascii="Book Antiqua" w:eastAsia="Times New Roman" w:hAnsi="Book Antiqua" w:cs="Times New Roman"/>
          <w:sz w:val="24"/>
          <w:szCs w:val="24"/>
        </w:rPr>
        <w:t>bleeding and</w:t>
      </w:r>
      <w:r w:rsidRPr="00FD080D">
        <w:rPr>
          <w:rFonts w:ascii="Book Antiqua" w:eastAsia="Times New Roman" w:hAnsi="Book Antiqua" w:cs="Times New Roman"/>
          <w:sz w:val="24"/>
          <w:szCs w:val="24"/>
        </w:rPr>
        <w:t xml:space="preserve"> received both infliximab and thiopurine combination therapy with clinical improvement 63 </w:t>
      </w:r>
      <w:r w:rsidRPr="00FD080D">
        <w:rPr>
          <w:rFonts w:ascii="Book Antiqua" w:eastAsia="Times New Roman" w:hAnsi="Book Antiqua" w:cs="Times New Roman"/>
          <w:sz w:val="24"/>
          <w:szCs w:val="24"/>
        </w:rPr>
        <w:lastRenderedPageBreak/>
        <w:t>months after diagnosis.</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No other patient developed serious complications of their IBD. The patients with complications during the follow up period were also more likely to subsequently be treated with immunosuppression (hazard ratio </w:t>
      </w:r>
      <w:r w:rsidR="00153E1C">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5.6, </w:t>
      </w:r>
      <w:r w:rsidR="00153E1C">
        <w:rPr>
          <w:rFonts w:ascii="Book Antiqua" w:eastAsia="Times New Roman" w:hAnsi="Book Antiqua" w:cs="Times New Roman"/>
          <w:sz w:val="24"/>
          <w:szCs w:val="24"/>
        </w:rPr>
        <w:t>95%CI</w:t>
      </w:r>
      <w:r w:rsidRPr="00FD080D">
        <w:rPr>
          <w:rFonts w:ascii="Book Antiqua" w:eastAsia="Times New Roman" w:hAnsi="Book Antiqua" w:cs="Times New Roman"/>
          <w:sz w:val="24"/>
          <w:szCs w:val="24"/>
        </w:rPr>
        <w:t xml:space="preserve">: 1.3-24.9, </w:t>
      </w:r>
      <w:r w:rsidR="00DA0C84" w:rsidRPr="00153E1C">
        <w:rPr>
          <w:rFonts w:ascii="Book Antiqua" w:eastAsia="Times New Roman" w:hAnsi="Book Antiqua" w:cs="Times New Roman"/>
          <w:i/>
          <w:iCs/>
          <w:sz w:val="24"/>
          <w:szCs w:val="24"/>
        </w:rPr>
        <w:t>P</w:t>
      </w:r>
      <w:r w:rsidR="00DA0C84">
        <w:rPr>
          <w:rFonts w:ascii="Book Antiqua" w:eastAsia="Times New Roman" w:hAnsi="Book Antiqua" w:cs="Times New Roman"/>
          <w:sz w:val="24"/>
          <w:szCs w:val="24"/>
        </w:rPr>
        <w:t xml:space="preserve"> = </w:t>
      </w:r>
      <w:r w:rsidRPr="00FD080D">
        <w:rPr>
          <w:rFonts w:ascii="Book Antiqua" w:eastAsia="Times New Roman" w:hAnsi="Book Antiqua" w:cs="Times New Roman"/>
          <w:sz w:val="24"/>
          <w:szCs w:val="24"/>
        </w:rPr>
        <w:t xml:space="preserve">0.02). </w:t>
      </w:r>
    </w:p>
    <w:p w14:paraId="3BA98B08" w14:textId="77777777"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 xml:space="preserve"> </w:t>
      </w:r>
    </w:p>
    <w:p w14:paraId="72478F44" w14:textId="2C338FC7" w:rsidR="00D53981" w:rsidRPr="00153E1C" w:rsidRDefault="001B01CA" w:rsidP="00FD080D">
      <w:pPr>
        <w:adjustRightInd w:val="0"/>
        <w:snapToGrid w:val="0"/>
        <w:spacing w:after="0" w:line="360" w:lineRule="auto"/>
        <w:jc w:val="both"/>
        <w:rPr>
          <w:rFonts w:ascii="Book Antiqua" w:hAnsi="Book Antiqua"/>
          <w:sz w:val="24"/>
          <w:szCs w:val="24"/>
        </w:rPr>
      </w:pPr>
      <w:r w:rsidRPr="00153E1C">
        <w:rPr>
          <w:rFonts w:ascii="Book Antiqua" w:eastAsia="Times New Roman" w:hAnsi="Book Antiqua" w:cs="Times New Roman"/>
          <w:b/>
          <w:sz w:val="24"/>
          <w:szCs w:val="24"/>
        </w:rPr>
        <w:t>DISCUSSION</w:t>
      </w:r>
    </w:p>
    <w:p w14:paraId="3E5009FB" w14:textId="56DF6BDC"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In this study, we have identified a cohort of children with mild Crohn</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s disease, who were able to avoid the institution of immune suppressive therapies for several years, and generally had good outcomes during the period of follow up.</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This cohort of children falls into two major categories: those with limited ileal disease, which sometimes may progress to an ileal stricture over time, and those with predominantly colonic disease, who can have their symptoms controlled on </w:t>
      </w:r>
      <w:proofErr w:type="spellStart"/>
      <w:r w:rsidRPr="00FD080D">
        <w:rPr>
          <w:rFonts w:ascii="Book Antiqua" w:eastAsia="Times New Roman" w:hAnsi="Book Antiqua" w:cs="Times New Roman"/>
          <w:sz w:val="24"/>
          <w:szCs w:val="24"/>
        </w:rPr>
        <w:t>aminosalicylate</w:t>
      </w:r>
      <w:proofErr w:type="spellEnd"/>
      <w:r w:rsidRPr="00FD080D">
        <w:rPr>
          <w:rFonts w:ascii="Book Antiqua" w:eastAsia="Times New Roman" w:hAnsi="Book Antiqua" w:cs="Times New Roman"/>
          <w:sz w:val="24"/>
          <w:szCs w:val="24"/>
        </w:rPr>
        <w:t xml:space="preserve"> therapy, and who remained asymptomatic despite the ongoing presence of colonic inflammation. While a subset of these patients will eventually require either immunosuppression or surgery, the majority of them </w:t>
      </w:r>
      <w:r w:rsidR="00005496" w:rsidRPr="00FD080D">
        <w:rPr>
          <w:rFonts w:ascii="Book Antiqua" w:eastAsia="Times New Roman" w:hAnsi="Book Antiqua" w:cs="Times New Roman"/>
          <w:sz w:val="24"/>
          <w:szCs w:val="24"/>
        </w:rPr>
        <w:t>appear</w:t>
      </w:r>
      <w:r w:rsidR="00AC1E58" w:rsidRPr="00FD080D">
        <w:rPr>
          <w:rFonts w:ascii="Book Antiqua" w:eastAsia="Times New Roman" w:hAnsi="Book Antiqua" w:cs="Times New Roman"/>
          <w:sz w:val="24"/>
          <w:szCs w:val="24"/>
        </w:rPr>
        <w:t xml:space="preserve"> to have </w:t>
      </w:r>
      <w:r w:rsidRPr="00FD080D">
        <w:rPr>
          <w:rFonts w:ascii="Book Antiqua" w:eastAsia="Times New Roman" w:hAnsi="Book Antiqua" w:cs="Times New Roman"/>
          <w:sz w:val="24"/>
          <w:szCs w:val="24"/>
        </w:rPr>
        <w:t>a good quality of life despite having low-grade intestinal inflammation</w:t>
      </w:r>
      <w:r w:rsidR="00005496" w:rsidRPr="00FD080D">
        <w:rPr>
          <w:rFonts w:ascii="Book Antiqua" w:eastAsia="Times New Roman" w:hAnsi="Book Antiqua" w:cs="Times New Roman"/>
          <w:sz w:val="24"/>
          <w:szCs w:val="24"/>
        </w:rPr>
        <w:t xml:space="preserve">, with the caveat that quality of life is not formally assessed with questionnaires during most clinical </w:t>
      </w:r>
      <w:r w:rsidR="00477B8D" w:rsidRPr="00FD080D">
        <w:rPr>
          <w:rFonts w:ascii="Book Antiqua" w:eastAsia="Times New Roman" w:hAnsi="Book Antiqua" w:cs="Times New Roman"/>
          <w:sz w:val="24"/>
          <w:szCs w:val="24"/>
        </w:rPr>
        <w:t>visits.</w:t>
      </w:r>
      <w:r w:rsidRPr="00FD080D">
        <w:rPr>
          <w:rFonts w:ascii="Book Antiqua" w:eastAsia="Times New Roman" w:hAnsi="Book Antiqua" w:cs="Times New Roman"/>
          <w:sz w:val="24"/>
          <w:szCs w:val="24"/>
        </w:rPr>
        <w:t xml:space="preserve"> Importantly, this subset of patients has managed to avoid the potential toxicities of immune suppression for several years. However, the persistent colonic inflammation may result in ongoing lack of catchup growth, as our cohort had a mild falloff in mean Z score over the course of the study.</w:t>
      </w:r>
      <w:r w:rsidR="005A2593">
        <w:rPr>
          <w:rFonts w:ascii="Book Antiqua" w:eastAsia="Times New Roman" w:hAnsi="Book Antiqua" w:cs="Times New Roman"/>
          <w:sz w:val="24"/>
          <w:szCs w:val="24"/>
        </w:rPr>
        <w:t xml:space="preserve"> </w:t>
      </w:r>
    </w:p>
    <w:p w14:paraId="1F9BB9C7" w14:textId="7CADD94B" w:rsidR="00D53981" w:rsidRPr="00FD080D" w:rsidRDefault="001B01CA" w:rsidP="00153E1C">
      <w:pPr>
        <w:adjustRightInd w:val="0"/>
        <w:snapToGrid w:val="0"/>
        <w:spacing w:after="0" w:line="360" w:lineRule="auto"/>
        <w:ind w:firstLineChars="100" w:firstLine="240"/>
        <w:jc w:val="both"/>
        <w:rPr>
          <w:rFonts w:ascii="Book Antiqua" w:hAnsi="Book Antiqua"/>
          <w:sz w:val="24"/>
          <w:szCs w:val="24"/>
        </w:rPr>
      </w:pPr>
      <w:r w:rsidRPr="00FD080D">
        <w:rPr>
          <w:rFonts w:ascii="Book Antiqua" w:eastAsia="Times New Roman" w:hAnsi="Book Antiqua" w:cs="Times New Roman"/>
          <w:sz w:val="24"/>
          <w:szCs w:val="24"/>
        </w:rPr>
        <w:t xml:space="preserve">Most research on pediatric </w:t>
      </w:r>
      <w:r w:rsidR="00AD07C6" w:rsidRPr="00FD080D">
        <w:rPr>
          <w:rFonts w:ascii="Book Antiqua" w:eastAsia="Times New Roman" w:hAnsi="Book Antiqua" w:cs="Times New Roman"/>
          <w:sz w:val="24"/>
          <w:szCs w:val="24"/>
        </w:rPr>
        <w:t>CD</w:t>
      </w:r>
      <w:r w:rsidR="00477B8D" w:rsidRPr="00FD080D">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has focused on identifying and treating the population of patients with moderate to severe disease, who will benefit from early introduction of </w:t>
      </w:r>
      <w:r w:rsidR="00342B85">
        <w:rPr>
          <w:rFonts w:ascii="Book Antiqua" w:eastAsia="Times New Roman" w:hAnsi="Book Antiqua" w:cs="Times New Roman"/>
          <w:sz w:val="24"/>
          <w:szCs w:val="24"/>
        </w:rPr>
        <w:t>“</w:t>
      </w:r>
      <w:r w:rsidR="006269EB" w:rsidRPr="00FD080D">
        <w:rPr>
          <w:rFonts w:ascii="Book Antiqua" w:eastAsia="Times New Roman" w:hAnsi="Book Antiqua" w:cs="Times New Roman"/>
          <w:sz w:val="24"/>
          <w:szCs w:val="24"/>
        </w:rPr>
        <w:t>top-down therapy</w:t>
      </w:r>
      <w:r w:rsidR="00342B85">
        <w:rPr>
          <w:rFonts w:ascii="Book Antiqua" w:eastAsia="Times New Roman" w:hAnsi="Book Antiqua" w:cs="Times New Roman"/>
          <w:sz w:val="24"/>
          <w:szCs w:val="24"/>
        </w:rPr>
        <w:t>”</w:t>
      </w:r>
      <w:r w:rsidR="006269EB" w:rsidRPr="00FD080D">
        <w:rPr>
          <w:rFonts w:ascii="Book Antiqua" w:eastAsia="Times New Roman" w:hAnsi="Book Antiqua" w:cs="Times New Roman"/>
          <w:sz w:val="24"/>
          <w:szCs w:val="24"/>
        </w:rPr>
        <w:t xml:space="preserve"> with </w:t>
      </w:r>
      <w:r w:rsidRPr="00FD080D">
        <w:rPr>
          <w:rFonts w:ascii="Book Antiqua" w:eastAsia="Times New Roman" w:hAnsi="Book Antiqua" w:cs="Times New Roman"/>
          <w:sz w:val="24"/>
          <w:szCs w:val="24"/>
        </w:rPr>
        <w:t xml:space="preserve">immunomodulators </w:t>
      </w:r>
      <w:r w:rsidR="006269EB" w:rsidRPr="00FD080D">
        <w:rPr>
          <w:rFonts w:ascii="Book Antiqua" w:eastAsia="Times New Roman" w:hAnsi="Book Antiqua" w:cs="Times New Roman"/>
          <w:sz w:val="24"/>
          <w:szCs w:val="24"/>
        </w:rPr>
        <w:t xml:space="preserve">(azathioprine, mercaptopurine, and methotrexate) </w:t>
      </w:r>
      <w:r w:rsidRPr="00FD080D">
        <w:rPr>
          <w:rFonts w:ascii="Book Antiqua" w:eastAsia="Times New Roman" w:hAnsi="Book Antiqua" w:cs="Times New Roman"/>
          <w:sz w:val="24"/>
          <w:szCs w:val="24"/>
        </w:rPr>
        <w:t>and biologics (</w:t>
      </w:r>
      <w:r w:rsidR="006269EB" w:rsidRPr="00FD080D">
        <w:rPr>
          <w:rFonts w:ascii="Book Antiqua" w:eastAsia="Times New Roman" w:hAnsi="Book Antiqua" w:cs="Times New Roman"/>
          <w:sz w:val="24"/>
          <w:szCs w:val="24"/>
        </w:rPr>
        <w:t xml:space="preserve">infliximab, adalimumab, and potentially </w:t>
      </w:r>
      <w:proofErr w:type="spellStart"/>
      <w:r w:rsidR="006269EB" w:rsidRPr="00FD080D">
        <w:rPr>
          <w:rFonts w:ascii="Book Antiqua" w:eastAsia="Times New Roman" w:hAnsi="Book Antiqua" w:cs="Times New Roman"/>
          <w:sz w:val="24"/>
          <w:szCs w:val="24"/>
        </w:rPr>
        <w:t>ustekinumab</w:t>
      </w:r>
      <w:proofErr w:type="spellEnd"/>
      <w:r w:rsidR="006269EB" w:rsidRPr="00FD080D">
        <w:rPr>
          <w:rFonts w:ascii="Book Antiqua" w:eastAsia="Times New Roman" w:hAnsi="Book Antiqua" w:cs="Times New Roman"/>
          <w:sz w:val="24"/>
          <w:szCs w:val="24"/>
        </w:rPr>
        <w:t xml:space="preserve"> and vedolizumab</w:t>
      </w:r>
      <w:r w:rsidRPr="00FD080D">
        <w:rPr>
          <w:rFonts w:ascii="Book Antiqua" w:eastAsia="Times New Roman" w:hAnsi="Book Antiqua" w:cs="Times New Roman"/>
          <w:sz w:val="24"/>
          <w:szCs w:val="24"/>
        </w:rPr>
        <w:t xml:space="preserve">). Clinical, serologic, and genetic factors that are associated with an increased likelihood to develop complications such as </w:t>
      </w:r>
      <w:proofErr w:type="spellStart"/>
      <w:r w:rsidRPr="00FD080D">
        <w:rPr>
          <w:rFonts w:ascii="Book Antiqua" w:eastAsia="Times New Roman" w:hAnsi="Book Antiqua" w:cs="Times New Roman"/>
          <w:sz w:val="24"/>
          <w:szCs w:val="24"/>
        </w:rPr>
        <w:t>stricturing</w:t>
      </w:r>
      <w:proofErr w:type="spellEnd"/>
      <w:r w:rsidRPr="00FD080D">
        <w:rPr>
          <w:rFonts w:ascii="Book Antiqua" w:eastAsia="Times New Roman" w:hAnsi="Book Antiqua" w:cs="Times New Roman"/>
          <w:sz w:val="24"/>
          <w:szCs w:val="24"/>
        </w:rPr>
        <w:t xml:space="preserve"> or penetrating disease include deep fissuring colonic ulcers, the presence of antibodies to Saccharomyces cerevisiae (ASCA), and the presence of </w:t>
      </w:r>
      <w:r w:rsidRPr="00FD080D">
        <w:rPr>
          <w:rFonts w:ascii="Book Antiqua" w:eastAsia="Times New Roman" w:hAnsi="Book Antiqua" w:cs="Times New Roman"/>
          <w:sz w:val="24"/>
          <w:szCs w:val="24"/>
        </w:rPr>
        <w:lastRenderedPageBreak/>
        <w:t xml:space="preserve">the NOD2 gene. A paper from the prospective RISK cohort utilizing propensity score matching, demonstrated that comparably ill patients have a better clinical outcome when treated with anti-TNF agents, than when treated with immunomodulators or </w:t>
      </w:r>
      <w:proofErr w:type="spellStart"/>
      <w:r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However, it is unclear how effective immune modulators and biologics are in preventing progression to surgery. A large prospective study from the pediatric inflammatory bowel disease registry demonstrated that early introduction of immunomodulators does not necessarily reduce the likelihood of surgery</w:t>
      </w:r>
      <w:r w:rsidR="00477B8D" w:rsidRPr="00FD080D">
        <w:rPr>
          <w:rFonts w:ascii="Book Antiqua" w:eastAsia="Times New Roman" w:hAnsi="Book Antiqua" w:cs="Times New Roman"/>
          <w:sz w:val="24"/>
          <w:szCs w:val="24"/>
        </w:rPr>
        <w:t xml:space="preserve"> </w:t>
      </w:r>
      <w:r w:rsidR="00477B8D" w:rsidRPr="00FD080D">
        <w:rPr>
          <w:rFonts w:ascii="Book Antiqua" w:eastAsia="Times New Roman" w:hAnsi="Book Antiqua" w:cs="Times New Roman"/>
          <w:sz w:val="24"/>
          <w:szCs w:val="24"/>
          <w:vertAlign w:val="superscript"/>
        </w:rPr>
        <w:t>[4]</w:t>
      </w:r>
      <w:r w:rsidRPr="00FD080D">
        <w:rPr>
          <w:rFonts w:ascii="Book Antiqua" w:eastAsia="Times New Roman" w:hAnsi="Book Antiqua" w:cs="Times New Roman"/>
          <w:sz w:val="24"/>
          <w:szCs w:val="24"/>
        </w:rPr>
        <w:t>. More recent data from RISK suggests that while early use of anti-TNF agents may reduce disease activity, anti</w:t>
      </w:r>
      <w:r w:rsidR="00EB6281" w:rsidRPr="00FD080D">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TNFs do not necessarily prevent the development of complications such as </w:t>
      </w:r>
      <w:proofErr w:type="spellStart"/>
      <w:r w:rsidRPr="00FD080D">
        <w:rPr>
          <w:rFonts w:ascii="Book Antiqua" w:eastAsia="Times New Roman" w:hAnsi="Book Antiqua" w:cs="Times New Roman"/>
          <w:sz w:val="24"/>
          <w:szCs w:val="24"/>
        </w:rPr>
        <w:t>stricturing</w:t>
      </w:r>
      <w:proofErr w:type="spellEnd"/>
      <w:r w:rsidRPr="00FD080D">
        <w:rPr>
          <w:rFonts w:ascii="Book Antiqua" w:eastAsia="Times New Roman" w:hAnsi="Book Antiqua" w:cs="Times New Roman"/>
          <w:sz w:val="24"/>
          <w:szCs w:val="24"/>
        </w:rPr>
        <w:t xml:space="preserve"> disease</w:t>
      </w:r>
      <w:r w:rsidR="00477B8D" w:rsidRPr="00FD080D">
        <w:rPr>
          <w:rFonts w:ascii="Book Antiqua" w:eastAsia="Times New Roman" w:hAnsi="Book Antiqua" w:cs="Times New Roman"/>
          <w:sz w:val="24"/>
          <w:szCs w:val="24"/>
          <w:vertAlign w:val="superscript"/>
        </w:rPr>
        <w:t>[5]</w:t>
      </w:r>
      <w:r w:rsidRPr="00FD080D">
        <w:rPr>
          <w:rFonts w:ascii="Book Antiqua" w:eastAsia="Times New Roman" w:hAnsi="Book Antiqua" w:cs="Times New Roman"/>
          <w:sz w:val="24"/>
          <w:szCs w:val="24"/>
        </w:rPr>
        <w:t>.</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In contrast, there is almost no information on the phenotype and natural history of clinically mild CD.</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In </w:t>
      </w:r>
      <w:r w:rsidR="00B12E43" w:rsidRPr="00FD080D">
        <w:rPr>
          <w:rFonts w:ascii="Book Antiqua" w:eastAsia="Times New Roman" w:hAnsi="Book Antiqua" w:cs="Times New Roman"/>
          <w:sz w:val="24"/>
          <w:szCs w:val="24"/>
        </w:rPr>
        <w:t>a</w:t>
      </w:r>
      <w:r w:rsidRPr="00FD080D">
        <w:rPr>
          <w:rFonts w:ascii="Book Antiqua" w:eastAsia="Times New Roman" w:hAnsi="Book Antiqua" w:cs="Times New Roman"/>
          <w:sz w:val="24"/>
          <w:szCs w:val="24"/>
        </w:rPr>
        <w:t xml:space="preserve"> prospective cohort study in 2008, Dubinsky and colleagues demonstrated that the absence of serologic markers (ANCA, ASCA) correlated with a reduced likelihood of surgery in children with CD</w:t>
      </w:r>
      <w:r w:rsidR="00477B8D" w:rsidRPr="00FD080D">
        <w:rPr>
          <w:rFonts w:ascii="Book Antiqua" w:eastAsia="Times New Roman" w:hAnsi="Book Antiqua" w:cs="Times New Roman"/>
          <w:sz w:val="24"/>
          <w:szCs w:val="24"/>
          <w:vertAlign w:val="superscript"/>
        </w:rPr>
        <w:t>[6]</w:t>
      </w:r>
      <w:r w:rsidRPr="00FD080D">
        <w:rPr>
          <w:rFonts w:ascii="Book Antiqua" w:eastAsia="Times New Roman" w:hAnsi="Book Antiqua" w:cs="Times New Roman"/>
          <w:sz w:val="24"/>
          <w:szCs w:val="24"/>
        </w:rPr>
        <w:t>.</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Siegel and colleagues have developed a web based tool that incorporates clinical characteristics, NOD 2 genetics, and serology, which will allow physician</w:t>
      </w:r>
      <w:r w:rsidR="00345324" w:rsidRPr="00FD080D">
        <w:rPr>
          <w:rFonts w:ascii="Book Antiqua" w:eastAsia="Times New Roman" w:hAnsi="Book Antiqua" w:cs="Times New Roman"/>
          <w:sz w:val="24"/>
          <w:szCs w:val="24"/>
        </w:rPr>
        <w:t xml:space="preserve">s and </w:t>
      </w:r>
      <w:r w:rsidRPr="00FD080D">
        <w:rPr>
          <w:rFonts w:ascii="Book Antiqua" w:eastAsia="Times New Roman" w:hAnsi="Book Antiqua" w:cs="Times New Roman"/>
          <w:sz w:val="24"/>
          <w:szCs w:val="24"/>
        </w:rPr>
        <w:t>patient</w:t>
      </w:r>
      <w:r w:rsidR="00345324" w:rsidRPr="00FD080D">
        <w:rPr>
          <w:rFonts w:ascii="Book Antiqua" w:eastAsia="Times New Roman" w:hAnsi="Book Antiqua" w:cs="Times New Roman"/>
          <w:sz w:val="24"/>
          <w:szCs w:val="24"/>
        </w:rPr>
        <w:t>s</w:t>
      </w:r>
      <w:r w:rsidRPr="00FD080D">
        <w:rPr>
          <w:rFonts w:ascii="Book Antiqua" w:eastAsia="Times New Roman" w:hAnsi="Book Antiqua" w:cs="Times New Roman"/>
          <w:sz w:val="24"/>
          <w:szCs w:val="24"/>
        </w:rPr>
        <w:t xml:space="preserve"> to predict the likelihood of complications in the future. </w:t>
      </w:r>
    </w:p>
    <w:p w14:paraId="3432C7BB" w14:textId="333A29B0" w:rsidR="00D53981" w:rsidRPr="00FD080D" w:rsidRDefault="001B01CA" w:rsidP="00153E1C">
      <w:pPr>
        <w:adjustRightInd w:val="0"/>
        <w:snapToGrid w:val="0"/>
        <w:spacing w:after="0" w:line="360" w:lineRule="auto"/>
        <w:ind w:firstLineChars="100" w:firstLine="240"/>
        <w:jc w:val="both"/>
        <w:rPr>
          <w:rFonts w:ascii="Book Antiqua" w:hAnsi="Book Antiqua"/>
          <w:sz w:val="24"/>
          <w:szCs w:val="24"/>
        </w:rPr>
      </w:pPr>
      <w:r w:rsidRPr="00FD080D">
        <w:rPr>
          <w:rFonts w:ascii="Book Antiqua" w:eastAsia="Times New Roman" w:hAnsi="Book Antiqua" w:cs="Times New Roman"/>
          <w:sz w:val="24"/>
          <w:szCs w:val="24"/>
        </w:rPr>
        <w:t xml:space="preserve">Our population was treated with a variety of agents, most notably sulfasalazine or mesalamine. Mild CD is frequently treated with nonimmune suppressive medications such as </w:t>
      </w:r>
      <w:proofErr w:type="spellStart"/>
      <w:r w:rsidRPr="00FD080D">
        <w:rPr>
          <w:rFonts w:ascii="Book Antiqua" w:eastAsia="Times New Roman" w:hAnsi="Book Antiqua" w:cs="Times New Roman"/>
          <w:sz w:val="24"/>
          <w:szCs w:val="24"/>
        </w:rPr>
        <w:t>aminosalicylates</w:t>
      </w:r>
      <w:proofErr w:type="spellEnd"/>
      <w:r w:rsidR="00477B8D" w:rsidRPr="00FD080D">
        <w:rPr>
          <w:rFonts w:ascii="Book Antiqua" w:eastAsia="Times New Roman" w:hAnsi="Book Antiqua" w:cs="Times New Roman"/>
          <w:sz w:val="24"/>
          <w:szCs w:val="24"/>
          <w:vertAlign w:val="superscript"/>
        </w:rPr>
        <w:t>[7]</w:t>
      </w:r>
      <w:r w:rsidRPr="00FD080D">
        <w:rPr>
          <w:rFonts w:ascii="Book Antiqua" w:eastAsia="Times New Roman" w:hAnsi="Book Antiqua" w:cs="Times New Roman"/>
          <w:sz w:val="24"/>
          <w:szCs w:val="24"/>
        </w:rPr>
        <w:t>.</w:t>
      </w:r>
      <w:r w:rsidR="005A2593">
        <w:rPr>
          <w:rFonts w:ascii="Book Antiqua" w:eastAsia="Times New Roman" w:hAnsi="Book Antiqua" w:cs="Times New Roman"/>
          <w:sz w:val="24"/>
          <w:szCs w:val="24"/>
        </w:rPr>
        <w:t xml:space="preserve"> </w:t>
      </w:r>
      <w:proofErr w:type="spellStart"/>
      <w:r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xml:space="preserve"> have anti-inflammatory properties by inhibiting prostaglandin and leukotriene synthesis</w:t>
      </w:r>
      <w:r w:rsidR="00477B8D" w:rsidRPr="00FD080D">
        <w:rPr>
          <w:rFonts w:ascii="Book Antiqua" w:eastAsia="Times New Roman" w:hAnsi="Book Antiqua" w:cs="Times New Roman"/>
          <w:sz w:val="24"/>
          <w:szCs w:val="24"/>
        </w:rPr>
        <w:t xml:space="preserve"> </w:t>
      </w:r>
      <w:r w:rsidR="00477B8D" w:rsidRPr="00FD080D">
        <w:rPr>
          <w:rFonts w:ascii="Book Antiqua" w:eastAsia="Times New Roman" w:hAnsi="Book Antiqua" w:cs="Times New Roman"/>
          <w:sz w:val="24"/>
          <w:szCs w:val="24"/>
          <w:vertAlign w:val="superscript"/>
        </w:rPr>
        <w:t>[8]</w:t>
      </w:r>
      <w:r w:rsidRPr="00FD080D">
        <w:rPr>
          <w:rFonts w:ascii="Book Antiqua" w:eastAsia="Times New Roman" w:hAnsi="Book Antiqua" w:cs="Times New Roman"/>
          <w:sz w:val="24"/>
          <w:szCs w:val="24"/>
        </w:rPr>
        <w:t xml:space="preserve">. In addition, sulfasalazine may also have antimicrobial properties. The utilization of </w:t>
      </w:r>
      <w:proofErr w:type="spellStart"/>
      <w:r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xml:space="preserve"> in CD remains highly controversial. Those in favor of </w:t>
      </w:r>
      <w:proofErr w:type="spellStart"/>
      <w:r w:rsidRPr="00FD080D">
        <w:rPr>
          <w:rFonts w:ascii="Book Antiqua" w:eastAsia="Times New Roman" w:hAnsi="Book Antiqua" w:cs="Times New Roman"/>
          <w:sz w:val="24"/>
          <w:szCs w:val="24"/>
        </w:rPr>
        <w:t>aminosalicylate</w:t>
      </w:r>
      <w:proofErr w:type="spellEnd"/>
      <w:r w:rsidRPr="00FD080D">
        <w:rPr>
          <w:rFonts w:ascii="Book Antiqua" w:eastAsia="Times New Roman" w:hAnsi="Book Antiqua" w:cs="Times New Roman"/>
          <w:sz w:val="24"/>
          <w:szCs w:val="24"/>
        </w:rPr>
        <w:t xml:space="preserve"> use cite a meta-analysis of multiple trials by </w:t>
      </w:r>
      <w:proofErr w:type="spellStart"/>
      <w:r w:rsidRPr="00FD080D">
        <w:rPr>
          <w:rFonts w:ascii="Book Antiqua" w:eastAsia="Times New Roman" w:hAnsi="Book Antiqua" w:cs="Times New Roman"/>
          <w:sz w:val="24"/>
          <w:szCs w:val="24"/>
        </w:rPr>
        <w:t>Hanauer</w:t>
      </w:r>
      <w:proofErr w:type="spellEnd"/>
      <w:r w:rsidRPr="00FD080D">
        <w:rPr>
          <w:rFonts w:ascii="Book Antiqua" w:eastAsia="Times New Roman" w:hAnsi="Book Antiqua" w:cs="Times New Roman"/>
          <w:sz w:val="24"/>
          <w:szCs w:val="24"/>
        </w:rPr>
        <w:t xml:space="preserve"> </w:t>
      </w:r>
      <w:r w:rsidRPr="00153E1C">
        <w:rPr>
          <w:rFonts w:ascii="Book Antiqua" w:eastAsia="Times New Roman" w:hAnsi="Book Antiqua" w:cs="Times New Roman"/>
          <w:i/>
          <w:iCs/>
          <w:sz w:val="24"/>
          <w:szCs w:val="24"/>
        </w:rPr>
        <w:t>et al</w:t>
      </w:r>
      <w:r w:rsidR="00153E1C" w:rsidRPr="00FD080D">
        <w:rPr>
          <w:rFonts w:ascii="Book Antiqua" w:eastAsia="Times New Roman" w:hAnsi="Book Antiqua" w:cs="Times New Roman"/>
          <w:sz w:val="24"/>
          <w:szCs w:val="24"/>
          <w:vertAlign w:val="superscript"/>
        </w:rPr>
        <w:t>[9]</w:t>
      </w:r>
      <w:r w:rsidRPr="00FD080D">
        <w:rPr>
          <w:rFonts w:ascii="Book Antiqua" w:eastAsia="Times New Roman" w:hAnsi="Book Antiqua" w:cs="Times New Roman"/>
          <w:sz w:val="24"/>
          <w:szCs w:val="24"/>
        </w:rPr>
        <w:t xml:space="preserve">, suggesting a modest reduction in the </w:t>
      </w:r>
      <w:r w:rsidR="00153E1C">
        <w:rPr>
          <w:rFonts w:ascii="Book Antiqua" w:eastAsia="Times New Roman" w:hAnsi="Book Antiqua" w:cs="Times New Roman"/>
          <w:sz w:val="24"/>
          <w:szCs w:val="24"/>
        </w:rPr>
        <w:t>CD</w:t>
      </w:r>
      <w:r w:rsidRPr="00FD080D">
        <w:rPr>
          <w:rFonts w:ascii="Book Antiqua" w:eastAsia="Times New Roman" w:hAnsi="Book Antiqua" w:cs="Times New Roman"/>
          <w:sz w:val="24"/>
          <w:szCs w:val="24"/>
        </w:rPr>
        <w:t xml:space="preserve"> activity index.</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In contrast, those who feel </w:t>
      </w:r>
      <w:proofErr w:type="spellStart"/>
      <w:r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xml:space="preserve"> are of little or no value in the treatment of IBD state that the studies are highly conflicting, that the overall effect is clinically insignificant, and there is no evidence that </w:t>
      </w:r>
      <w:proofErr w:type="spellStart"/>
      <w:r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xml:space="preserve"> produce mucosal healing</w:t>
      </w:r>
      <w:r w:rsidR="00477B8D" w:rsidRPr="00FD080D">
        <w:rPr>
          <w:rFonts w:ascii="Book Antiqua" w:eastAsia="Times New Roman" w:hAnsi="Book Antiqua" w:cs="Times New Roman"/>
          <w:sz w:val="24"/>
          <w:szCs w:val="24"/>
          <w:vertAlign w:val="superscript"/>
        </w:rPr>
        <w:t>[10]</w:t>
      </w:r>
      <w:r w:rsidRPr="00FD080D">
        <w:rPr>
          <w:rFonts w:ascii="Book Antiqua" w:eastAsia="Times New Roman" w:hAnsi="Book Antiqua" w:cs="Times New Roman"/>
          <w:sz w:val="24"/>
          <w:szCs w:val="24"/>
        </w:rPr>
        <w:t>.</w:t>
      </w:r>
      <w:r w:rsidR="00477B8D" w:rsidRPr="00FD080D">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A recent meta-analysis of available clinical trials from the Cochrane group suggested that </w:t>
      </w:r>
      <w:r w:rsidRPr="00FD080D">
        <w:rPr>
          <w:rFonts w:ascii="Book Antiqua" w:eastAsia="Times New Roman" w:hAnsi="Book Antiqua" w:cs="Times New Roman"/>
          <w:sz w:val="24"/>
          <w:szCs w:val="24"/>
        </w:rPr>
        <w:lastRenderedPageBreak/>
        <w:t xml:space="preserve">sulfasalazine </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is modestly effective</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 at inducing remission in Crohn</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s, though the efficacy is inferior to corticosteroids</w:t>
      </w:r>
      <w:r w:rsidR="00477B8D" w:rsidRPr="00FD080D">
        <w:rPr>
          <w:rFonts w:ascii="Book Antiqua" w:eastAsia="Times New Roman" w:hAnsi="Book Antiqua" w:cs="Times New Roman"/>
          <w:sz w:val="24"/>
          <w:szCs w:val="24"/>
          <w:vertAlign w:val="superscript"/>
        </w:rPr>
        <w:t>[11]</w:t>
      </w:r>
      <w:r w:rsidRPr="00FD080D">
        <w:rPr>
          <w:rFonts w:ascii="Book Antiqua" w:eastAsia="Times New Roman" w:hAnsi="Book Antiqua" w:cs="Times New Roman"/>
          <w:sz w:val="24"/>
          <w:szCs w:val="24"/>
        </w:rPr>
        <w:t>. The same review suggested that high dose mesalamine is not superior to placebo in the treatment of Crohn</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s. However, the clinical trial data is limited, and the group recommended additional studies be performed to more fully answer the question as to whether or not </w:t>
      </w:r>
      <w:proofErr w:type="spellStart"/>
      <w:r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xml:space="preserve"> are effective.</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Experts have suggested a limited role for </w:t>
      </w:r>
      <w:proofErr w:type="spellStart"/>
      <w:r w:rsidR="000178CE"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xml:space="preserve"> in the treatment of CD, though </w:t>
      </w:r>
      <w:proofErr w:type="spellStart"/>
      <w:r w:rsidR="000178CE"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xml:space="preserve"> probably has minimal efficacy when utilized as adjunctive treatment in patients receiving immunomodulators or biologics</w:t>
      </w:r>
      <w:r w:rsidR="00477B8D" w:rsidRPr="00FD080D">
        <w:rPr>
          <w:rFonts w:ascii="Book Antiqua" w:eastAsia="Times New Roman" w:hAnsi="Book Antiqua" w:cs="Times New Roman"/>
          <w:sz w:val="24"/>
          <w:szCs w:val="24"/>
          <w:vertAlign w:val="superscript"/>
        </w:rPr>
        <w:t>[12]</w:t>
      </w:r>
      <w:r w:rsidRPr="00FD080D">
        <w:rPr>
          <w:rFonts w:ascii="Book Antiqua" w:eastAsia="Times New Roman" w:hAnsi="Book Antiqua" w:cs="Times New Roman"/>
          <w:sz w:val="24"/>
          <w:szCs w:val="24"/>
        </w:rPr>
        <w:t>.</w:t>
      </w:r>
      <w:r w:rsidR="005A2593">
        <w:rPr>
          <w:rFonts w:ascii="Book Antiqua" w:eastAsia="Times New Roman" w:hAnsi="Book Antiqua" w:cs="Times New Roman"/>
          <w:sz w:val="24"/>
          <w:szCs w:val="24"/>
        </w:rPr>
        <w:t xml:space="preserve"> </w:t>
      </w:r>
    </w:p>
    <w:p w14:paraId="1B2532DE" w14:textId="09907853" w:rsidR="00D53981" w:rsidRPr="00FD080D" w:rsidRDefault="001B01CA" w:rsidP="00153E1C">
      <w:pPr>
        <w:adjustRightInd w:val="0"/>
        <w:snapToGrid w:val="0"/>
        <w:spacing w:after="0" w:line="360" w:lineRule="auto"/>
        <w:ind w:firstLineChars="100" w:firstLine="240"/>
        <w:jc w:val="both"/>
        <w:rPr>
          <w:rFonts w:ascii="Book Antiqua" w:hAnsi="Book Antiqua"/>
          <w:sz w:val="24"/>
          <w:szCs w:val="24"/>
        </w:rPr>
      </w:pPr>
      <w:r w:rsidRPr="00FD080D">
        <w:rPr>
          <w:rFonts w:ascii="Book Antiqua" w:eastAsia="Times New Roman" w:hAnsi="Book Antiqua" w:cs="Times New Roman"/>
          <w:sz w:val="24"/>
          <w:szCs w:val="24"/>
        </w:rPr>
        <w:t xml:space="preserve">In spite of evidence suggesting limited if any efficacy in CD, </w:t>
      </w:r>
      <w:proofErr w:type="spellStart"/>
      <w:r w:rsidRPr="00FD080D">
        <w:rPr>
          <w:rFonts w:ascii="Book Antiqua" w:eastAsia="Times New Roman" w:hAnsi="Book Antiqua" w:cs="Times New Roman"/>
          <w:sz w:val="24"/>
          <w:szCs w:val="24"/>
        </w:rPr>
        <w:t>aminosalicylate</w:t>
      </w:r>
      <w:proofErr w:type="spellEnd"/>
      <w:r w:rsidRPr="00FD080D">
        <w:rPr>
          <w:rFonts w:ascii="Book Antiqua" w:eastAsia="Times New Roman" w:hAnsi="Book Antiqua" w:cs="Times New Roman"/>
          <w:sz w:val="24"/>
          <w:szCs w:val="24"/>
        </w:rPr>
        <w:t xml:space="preserve"> medications continue to be frequently prescribed by gastroenterologists</w:t>
      </w:r>
      <w:r w:rsidR="00853976" w:rsidRPr="00FD080D">
        <w:rPr>
          <w:rFonts w:ascii="Book Antiqua" w:eastAsia="Times New Roman" w:hAnsi="Book Antiqua" w:cs="Times New Roman"/>
          <w:sz w:val="24"/>
          <w:szCs w:val="24"/>
          <w:vertAlign w:val="superscript"/>
        </w:rPr>
        <w:t>[13]</w:t>
      </w:r>
      <w:r w:rsidRPr="00FD080D">
        <w:rPr>
          <w:rFonts w:ascii="Book Antiqua" w:eastAsia="Times New Roman" w:hAnsi="Book Antiqua" w:cs="Times New Roman"/>
          <w:sz w:val="24"/>
          <w:szCs w:val="24"/>
        </w:rPr>
        <w:t xml:space="preserve">. A 2009 retrospective multicenter pediatric study conducted in the Netherlands analyzed disease behavior at diagnosis and its effect on prescribing behavior. They found that </w:t>
      </w:r>
      <w:proofErr w:type="spellStart"/>
      <w:r w:rsidRPr="00FD080D">
        <w:rPr>
          <w:rFonts w:ascii="Book Antiqua" w:eastAsia="Times New Roman" w:hAnsi="Book Antiqua" w:cs="Times New Roman"/>
          <w:sz w:val="24"/>
          <w:szCs w:val="24"/>
        </w:rPr>
        <w:t>aminosalicylate</w:t>
      </w:r>
      <w:proofErr w:type="spellEnd"/>
      <w:r w:rsidRPr="00FD080D">
        <w:rPr>
          <w:rFonts w:ascii="Book Antiqua" w:eastAsia="Times New Roman" w:hAnsi="Book Antiqua" w:cs="Times New Roman"/>
          <w:sz w:val="24"/>
          <w:szCs w:val="24"/>
        </w:rPr>
        <w:t xml:space="preserve"> monotherapy was more frequently prescribed for mild disease</w:t>
      </w:r>
      <w:r w:rsidR="00853976" w:rsidRPr="00FD080D">
        <w:rPr>
          <w:rFonts w:ascii="Book Antiqua" w:eastAsia="Times New Roman" w:hAnsi="Book Antiqua" w:cs="Times New Roman"/>
          <w:sz w:val="24"/>
          <w:szCs w:val="24"/>
          <w:vertAlign w:val="superscript"/>
        </w:rPr>
        <w:t>[14]</w:t>
      </w:r>
      <w:r w:rsidRPr="00FD080D">
        <w:rPr>
          <w:rFonts w:ascii="Book Antiqua" w:eastAsia="Times New Roman" w:hAnsi="Book Antiqua" w:cs="Times New Roman"/>
          <w:sz w:val="24"/>
          <w:szCs w:val="24"/>
        </w:rPr>
        <w:t>.</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Additionally, a population based cohort study was published in 2008 where they outlined the natural history of pediatric CD. They included all cases of pediatric CD in the EPIMAD registry diagnosed between 1988 and 2002 with a median follow up time of 84 months. At diagnosis most patients had disease in the ileum or colon that was non-</w:t>
      </w:r>
      <w:proofErr w:type="spellStart"/>
      <w:r w:rsidRPr="00FD080D">
        <w:rPr>
          <w:rFonts w:ascii="Book Antiqua" w:eastAsia="Times New Roman" w:hAnsi="Book Antiqua" w:cs="Times New Roman"/>
          <w:sz w:val="24"/>
          <w:szCs w:val="24"/>
        </w:rPr>
        <w:t>stricturing</w:t>
      </w:r>
      <w:proofErr w:type="spellEnd"/>
      <w:r w:rsidRPr="00FD080D">
        <w:rPr>
          <w:rFonts w:ascii="Book Antiqua" w:eastAsia="Times New Roman" w:hAnsi="Book Antiqua" w:cs="Times New Roman"/>
          <w:sz w:val="24"/>
          <w:szCs w:val="24"/>
        </w:rPr>
        <w:t xml:space="preserve"> and non-penetrating in nature. Almost all children in this cohort received </w:t>
      </w:r>
      <w:proofErr w:type="spellStart"/>
      <w:r w:rsidR="00A161D0" w:rsidRPr="00FD080D">
        <w:rPr>
          <w:rFonts w:ascii="Book Antiqua" w:eastAsia="Times New Roman" w:hAnsi="Book Antiqua" w:cs="Times New Roman"/>
          <w:sz w:val="24"/>
          <w:szCs w:val="24"/>
        </w:rPr>
        <w:t>aminosalicylates</w:t>
      </w:r>
      <w:proofErr w:type="spellEnd"/>
      <w:r w:rsidRPr="00FD080D">
        <w:rPr>
          <w:rFonts w:ascii="Book Antiqua" w:eastAsia="Times New Roman" w:hAnsi="Book Antiqua" w:cs="Times New Roman"/>
          <w:sz w:val="24"/>
          <w:szCs w:val="24"/>
        </w:rPr>
        <w:t xml:space="preserve"> at one point in time</w:t>
      </w:r>
      <w:r w:rsidR="00853976" w:rsidRPr="00FD080D">
        <w:rPr>
          <w:rFonts w:ascii="Book Antiqua" w:eastAsia="Times New Roman" w:hAnsi="Book Antiqua" w:cs="Times New Roman"/>
          <w:sz w:val="24"/>
          <w:szCs w:val="24"/>
          <w:vertAlign w:val="superscript"/>
        </w:rPr>
        <w:t>[15]</w:t>
      </w:r>
      <w:r w:rsidRPr="00FD080D">
        <w:rPr>
          <w:rFonts w:ascii="Book Antiqua" w:eastAsia="Times New Roman" w:hAnsi="Book Antiqua" w:cs="Times New Roman"/>
          <w:sz w:val="24"/>
          <w:szCs w:val="24"/>
        </w:rPr>
        <w:t>.</w:t>
      </w:r>
      <w:r w:rsidR="005A2593">
        <w:rPr>
          <w:rFonts w:ascii="Book Antiqua" w:eastAsia="Times New Roman" w:hAnsi="Book Antiqua" w:cs="Times New Roman"/>
          <w:sz w:val="24"/>
          <w:szCs w:val="24"/>
        </w:rPr>
        <w:t xml:space="preserve"> </w:t>
      </w:r>
    </w:p>
    <w:p w14:paraId="7D1D31A2" w14:textId="00346C7A" w:rsidR="00D53981" w:rsidRPr="00FD080D" w:rsidRDefault="001B01CA" w:rsidP="00153E1C">
      <w:pPr>
        <w:adjustRightInd w:val="0"/>
        <w:snapToGrid w:val="0"/>
        <w:spacing w:after="0" w:line="360" w:lineRule="auto"/>
        <w:ind w:firstLineChars="100" w:firstLine="240"/>
        <w:jc w:val="both"/>
        <w:rPr>
          <w:rFonts w:ascii="Book Antiqua" w:hAnsi="Book Antiqua"/>
          <w:sz w:val="24"/>
          <w:szCs w:val="24"/>
        </w:rPr>
      </w:pPr>
      <w:r w:rsidRPr="00FD080D">
        <w:rPr>
          <w:rFonts w:ascii="Book Antiqua" w:eastAsia="Times New Roman" w:hAnsi="Book Antiqua" w:cs="Times New Roman"/>
          <w:sz w:val="24"/>
          <w:szCs w:val="24"/>
        </w:rPr>
        <w:t xml:space="preserve">We have little knowledge about those with mild disease who spontaneously enter remission and can discontinue medical therapy all together. In a recently published Canadian study evaluating a </w:t>
      </w:r>
      <w:r w:rsidR="00A70AC3" w:rsidRPr="00FD080D">
        <w:rPr>
          <w:rFonts w:ascii="Book Antiqua" w:eastAsia="Times New Roman" w:hAnsi="Book Antiqua" w:cs="Times New Roman"/>
          <w:sz w:val="24"/>
          <w:szCs w:val="24"/>
        </w:rPr>
        <w:t>population-based</w:t>
      </w:r>
      <w:r w:rsidRPr="00FD080D">
        <w:rPr>
          <w:rFonts w:ascii="Book Antiqua" w:eastAsia="Times New Roman" w:hAnsi="Book Antiqua" w:cs="Times New Roman"/>
          <w:sz w:val="24"/>
          <w:szCs w:val="24"/>
        </w:rPr>
        <w:t xml:space="preserve"> database with patients diagnosed from 1987 to 2002, </w:t>
      </w:r>
      <w:r w:rsidR="00153E1C">
        <w:rPr>
          <w:rFonts w:ascii="Book Antiqua" w:eastAsia="Times New Roman" w:hAnsi="Book Antiqua" w:cs="Times New Roman"/>
          <w:sz w:val="24"/>
          <w:szCs w:val="24"/>
        </w:rPr>
        <w:t>about</w:t>
      </w:r>
      <w:r w:rsidRPr="00FD080D">
        <w:rPr>
          <w:rFonts w:ascii="Book Antiqua" w:eastAsia="Times New Roman" w:hAnsi="Book Antiqua" w:cs="Times New Roman"/>
          <w:sz w:val="24"/>
          <w:szCs w:val="24"/>
        </w:rPr>
        <w:t xml:space="preserve"> 50% of IBD patients were not on any medications 5 years after their diagnosis and yet still continued to do well. Long term medication non-use was defined as no IBD related medications for at least 1 year or longer. This was more commonly seen in CD as compared to UC</w:t>
      </w:r>
      <w:r w:rsidR="00A70AC3" w:rsidRPr="00FD080D">
        <w:rPr>
          <w:rFonts w:ascii="Book Antiqua" w:eastAsia="Times New Roman" w:hAnsi="Book Antiqua" w:cs="Times New Roman"/>
          <w:sz w:val="24"/>
          <w:szCs w:val="24"/>
          <w:vertAlign w:val="superscript"/>
        </w:rPr>
        <w:t>[16]</w:t>
      </w:r>
      <w:r w:rsidRPr="00FD080D">
        <w:rPr>
          <w:rFonts w:ascii="Book Antiqua" w:eastAsia="Times New Roman" w:hAnsi="Book Antiqua" w:cs="Times New Roman"/>
          <w:sz w:val="24"/>
          <w:szCs w:val="24"/>
        </w:rPr>
        <w:t xml:space="preserve">. In another study, one third of patients with CD at a tertiary care medical center were not on any IBD medications in a 2 year time span. Approximately 50% of those </w:t>
      </w:r>
      <w:r w:rsidRPr="00FD080D">
        <w:rPr>
          <w:rFonts w:ascii="Book Antiqua" w:eastAsia="Times New Roman" w:hAnsi="Book Antiqua" w:cs="Times New Roman"/>
          <w:sz w:val="24"/>
          <w:szCs w:val="24"/>
        </w:rPr>
        <w:lastRenderedPageBreak/>
        <w:t>nonusers were in clinical remission per physician assessment. These non-users were older and had longer disease duration as compared to those on medications. There was no significant difference in disease location, disease behavior or the presence of perianal disease</w:t>
      </w:r>
      <w:r w:rsidR="00A70AC3" w:rsidRPr="00FD080D">
        <w:rPr>
          <w:rFonts w:ascii="Book Antiqua" w:eastAsia="Times New Roman" w:hAnsi="Book Antiqua" w:cs="Times New Roman"/>
          <w:sz w:val="24"/>
          <w:szCs w:val="24"/>
          <w:vertAlign w:val="superscript"/>
        </w:rPr>
        <w:t>[17]</w:t>
      </w:r>
      <w:r w:rsidRPr="00FD080D">
        <w:rPr>
          <w:rFonts w:ascii="Book Antiqua" w:eastAsia="Times New Roman" w:hAnsi="Book Antiqua" w:cs="Times New Roman"/>
          <w:sz w:val="24"/>
          <w:szCs w:val="24"/>
        </w:rPr>
        <w:t>.</w:t>
      </w:r>
      <w:r w:rsidR="00EB6281" w:rsidRPr="00FD080D">
        <w:rPr>
          <w:rFonts w:ascii="Book Antiqua" w:eastAsia="Times New Roman" w:hAnsi="Book Antiqua" w:cs="Times New Roman"/>
          <w:sz w:val="24"/>
          <w:szCs w:val="24"/>
        </w:rPr>
        <w:t xml:space="preserve"> </w:t>
      </w:r>
    </w:p>
    <w:p w14:paraId="6405FC86" w14:textId="33E71AFA" w:rsidR="00D53981" w:rsidRPr="00FD080D" w:rsidRDefault="001B01CA" w:rsidP="00153E1C">
      <w:pPr>
        <w:adjustRightInd w:val="0"/>
        <w:snapToGrid w:val="0"/>
        <w:spacing w:after="0" w:line="360" w:lineRule="auto"/>
        <w:ind w:firstLineChars="100" w:firstLine="240"/>
        <w:jc w:val="both"/>
        <w:rPr>
          <w:rFonts w:ascii="Book Antiqua" w:hAnsi="Book Antiqua"/>
          <w:sz w:val="24"/>
          <w:szCs w:val="24"/>
        </w:rPr>
      </w:pPr>
      <w:r w:rsidRPr="00FD080D">
        <w:rPr>
          <w:rFonts w:ascii="Book Antiqua" w:eastAsia="Times New Roman" w:hAnsi="Book Antiqua" w:cs="Times New Roman"/>
          <w:sz w:val="24"/>
          <w:szCs w:val="24"/>
        </w:rPr>
        <w:t>Other interventions which are utilized to treat mild CD include antibiotics and dietary interventions. Antibiotics such as ciprofloxacin and metronidazole are generally utilized short</w:t>
      </w:r>
      <w:r w:rsidR="00EB6281" w:rsidRPr="00FD080D">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term, to treat </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flares</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 of the disease characterized by abdominal pain or diarrhea</w:t>
      </w:r>
      <w:r w:rsidR="002D6528" w:rsidRPr="00FD080D">
        <w:rPr>
          <w:rFonts w:ascii="Book Antiqua" w:eastAsia="Times New Roman" w:hAnsi="Book Antiqua" w:cs="Times New Roman"/>
          <w:sz w:val="24"/>
          <w:szCs w:val="24"/>
          <w:vertAlign w:val="superscript"/>
        </w:rPr>
        <w:t>[18]</w:t>
      </w:r>
      <w:r w:rsidRPr="00FD080D">
        <w:rPr>
          <w:rFonts w:ascii="Book Antiqua" w:eastAsia="Times New Roman" w:hAnsi="Book Antiqua" w:cs="Times New Roman"/>
          <w:sz w:val="24"/>
          <w:szCs w:val="24"/>
        </w:rPr>
        <w:t>.</w:t>
      </w:r>
      <w:r w:rsidRPr="00FD080D">
        <w:rPr>
          <w:rFonts w:ascii="Book Antiqua" w:eastAsia="Times New Roman" w:hAnsi="Book Antiqua" w:cs="Times New Roman"/>
          <w:b/>
          <w:sz w:val="24"/>
          <w:szCs w:val="24"/>
        </w:rPr>
        <w:t xml:space="preserve"> </w:t>
      </w:r>
      <w:r w:rsidRPr="00FD080D">
        <w:rPr>
          <w:rFonts w:ascii="Book Antiqua" w:eastAsia="Times New Roman" w:hAnsi="Book Antiqua" w:cs="Times New Roman"/>
          <w:sz w:val="24"/>
          <w:szCs w:val="24"/>
        </w:rPr>
        <w:t>A recent paper by Levine and colleagues suggested that the combination of azithromycin and metronidazole may be superior to the utilization of metronidazole alone at treating active Crohn</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s</w:t>
      </w:r>
      <w:r w:rsidR="002D6528" w:rsidRPr="00FD080D">
        <w:rPr>
          <w:rFonts w:ascii="Book Antiqua" w:eastAsia="Times New Roman" w:hAnsi="Book Antiqua" w:cs="Times New Roman"/>
          <w:sz w:val="24"/>
          <w:szCs w:val="24"/>
          <w:vertAlign w:val="superscript"/>
        </w:rPr>
        <w:t>[19]</w:t>
      </w:r>
      <w:r w:rsidRPr="00FD080D">
        <w:rPr>
          <w:rFonts w:ascii="Book Antiqua" w:eastAsia="Times New Roman" w:hAnsi="Book Antiqua" w:cs="Times New Roman"/>
          <w:sz w:val="24"/>
          <w:szCs w:val="24"/>
        </w:rPr>
        <w:t>.</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There is little data however on the use of long-term antibiotics to prevent exacerbation of CD, and there are the potential risks of </w:t>
      </w:r>
      <w:r w:rsidRPr="00FD080D">
        <w:rPr>
          <w:rFonts w:ascii="Book Antiqua" w:eastAsia="Times New Roman" w:hAnsi="Book Antiqua" w:cs="Times New Roman"/>
          <w:i/>
          <w:sz w:val="24"/>
          <w:szCs w:val="24"/>
        </w:rPr>
        <w:t>Clostridium difficile</w:t>
      </w:r>
      <w:r w:rsidRPr="00FD080D">
        <w:rPr>
          <w:rFonts w:ascii="Book Antiqua" w:eastAsia="Times New Roman" w:hAnsi="Book Antiqua" w:cs="Times New Roman"/>
          <w:sz w:val="24"/>
          <w:szCs w:val="24"/>
        </w:rPr>
        <w:t xml:space="preserve"> infection if recurrent courses of antibiotics are used, or neuropathy (particularly with metronidazole). While a subset of our patients did receive courses of antibiotic therapy, they were not utilized for long-term treatment. </w:t>
      </w:r>
    </w:p>
    <w:p w14:paraId="54B59771" w14:textId="72308CDD" w:rsidR="00D53981" w:rsidRPr="00FD080D" w:rsidRDefault="001B01CA" w:rsidP="00153E1C">
      <w:pPr>
        <w:adjustRightInd w:val="0"/>
        <w:snapToGrid w:val="0"/>
        <w:spacing w:after="0" w:line="360" w:lineRule="auto"/>
        <w:ind w:firstLineChars="100" w:firstLine="240"/>
        <w:jc w:val="both"/>
        <w:rPr>
          <w:rFonts w:ascii="Book Antiqua" w:hAnsi="Book Antiqua"/>
          <w:sz w:val="24"/>
          <w:szCs w:val="24"/>
        </w:rPr>
      </w:pPr>
      <w:r w:rsidRPr="00FD080D">
        <w:rPr>
          <w:rFonts w:ascii="Book Antiqua" w:eastAsia="Times New Roman" w:hAnsi="Book Antiqua" w:cs="Times New Roman"/>
          <w:sz w:val="24"/>
          <w:szCs w:val="24"/>
        </w:rPr>
        <w:t>Dietary therapy is also of interest to patients. While exclusive enteral nutrition is often utilized for induction of remission in patients with CD, data remains limited on utilization of diet as long-term maintenance therapy.</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Gupta and </w:t>
      </w:r>
      <w:proofErr w:type="spellStart"/>
      <w:r w:rsidRPr="00FD080D">
        <w:rPr>
          <w:rFonts w:ascii="Book Antiqua" w:eastAsia="Times New Roman" w:hAnsi="Book Antiqua" w:cs="Times New Roman"/>
          <w:sz w:val="24"/>
          <w:szCs w:val="24"/>
        </w:rPr>
        <w:t>Baldassano</w:t>
      </w:r>
      <w:proofErr w:type="spellEnd"/>
      <w:r w:rsidRPr="00FD080D">
        <w:rPr>
          <w:rFonts w:ascii="Book Antiqua" w:eastAsia="Times New Roman" w:hAnsi="Book Antiqua" w:cs="Times New Roman"/>
          <w:sz w:val="24"/>
          <w:szCs w:val="24"/>
        </w:rPr>
        <w:t xml:space="preserve"> presented outcomes of an enteral nutrition protocol in which patients took the majority of their calories as liquid diet, but also were able to take a subset of their calories as food.</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The majority of patients that utilize this protocol abandoned this intervention after 1 year, suggesting the challenges of complying with such a restrictive diet</w:t>
      </w:r>
      <w:r w:rsidR="002D6528" w:rsidRPr="00FD080D">
        <w:rPr>
          <w:rFonts w:ascii="Book Antiqua" w:eastAsia="Times New Roman" w:hAnsi="Book Antiqua" w:cs="Times New Roman"/>
          <w:sz w:val="24"/>
          <w:szCs w:val="24"/>
          <w:vertAlign w:val="superscript"/>
        </w:rPr>
        <w:t>[20]</w:t>
      </w:r>
      <w:r w:rsidRPr="00FD080D">
        <w:rPr>
          <w:rFonts w:ascii="Book Antiqua" w:eastAsia="Times New Roman" w:hAnsi="Book Antiqua" w:cs="Times New Roman"/>
          <w:sz w:val="24"/>
          <w:szCs w:val="24"/>
        </w:rPr>
        <w:t>.</w:t>
      </w:r>
      <w:r w:rsidR="00EB6281" w:rsidRPr="00FD080D">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Other diets of interest to patients include the specific carbohydrate diet, which in at least one small study has been suggested to promote intestinal healing</w:t>
      </w:r>
      <w:r w:rsidR="002D6528" w:rsidRPr="00FD080D">
        <w:rPr>
          <w:rFonts w:ascii="Book Antiqua" w:eastAsia="Times New Roman" w:hAnsi="Book Antiqua" w:cs="Times New Roman"/>
          <w:sz w:val="24"/>
          <w:szCs w:val="24"/>
          <w:vertAlign w:val="superscript"/>
        </w:rPr>
        <w:t>[</w:t>
      </w:r>
      <w:bookmarkStart w:id="39" w:name="_GoBack"/>
      <w:r w:rsidR="002D6528" w:rsidRPr="00FD080D">
        <w:rPr>
          <w:rFonts w:ascii="Book Antiqua" w:eastAsia="Times New Roman" w:hAnsi="Book Antiqua" w:cs="Times New Roman"/>
          <w:sz w:val="24"/>
          <w:szCs w:val="24"/>
          <w:vertAlign w:val="superscript"/>
        </w:rPr>
        <w:t>21]</w:t>
      </w:r>
      <w:bookmarkEnd w:id="39"/>
      <w:r w:rsidRPr="00FD080D">
        <w:rPr>
          <w:rFonts w:ascii="Book Antiqua" w:eastAsia="Times New Roman" w:hAnsi="Book Antiqua" w:cs="Times New Roman"/>
          <w:sz w:val="24"/>
          <w:szCs w:val="24"/>
        </w:rPr>
        <w:t>.</w:t>
      </w:r>
      <w:r w:rsidR="00EB6281" w:rsidRPr="00FD080D">
        <w:rPr>
          <w:rFonts w:ascii="Book Antiqua" w:eastAsia="Times New Roman" w:hAnsi="Book Antiqua" w:cs="Times New Roman"/>
          <w:sz w:val="24"/>
          <w:szCs w:val="24"/>
        </w:rPr>
        <w:t xml:space="preserve"> </w:t>
      </w:r>
    </w:p>
    <w:p w14:paraId="557FA011" w14:textId="56E5FA83" w:rsidR="00D53981" w:rsidRPr="00FD080D" w:rsidRDefault="001B01CA" w:rsidP="00153E1C">
      <w:pPr>
        <w:adjustRightInd w:val="0"/>
        <w:snapToGrid w:val="0"/>
        <w:spacing w:after="0" w:line="360" w:lineRule="auto"/>
        <w:ind w:firstLineChars="100" w:firstLine="240"/>
        <w:jc w:val="both"/>
        <w:rPr>
          <w:rFonts w:ascii="Book Antiqua" w:hAnsi="Book Antiqua"/>
          <w:sz w:val="24"/>
          <w:szCs w:val="24"/>
        </w:rPr>
      </w:pPr>
      <w:r w:rsidRPr="00FD080D">
        <w:rPr>
          <w:rFonts w:ascii="Book Antiqua" w:eastAsia="Times New Roman" w:hAnsi="Book Antiqua" w:cs="Times New Roman"/>
          <w:sz w:val="24"/>
          <w:szCs w:val="24"/>
        </w:rPr>
        <w:t>Our study has several limitations. Most importantly, the population is highly selected.</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Fewer than 5% of our patients met the inclusion criteria of being able to avoid escalation to immunomodulators or biologics within the first 2 years. It is unclear however whether disease severity warranted the introduction of more </w:t>
      </w:r>
      <w:r w:rsidRPr="00FD080D">
        <w:rPr>
          <w:rFonts w:ascii="Book Antiqua" w:eastAsia="Times New Roman" w:hAnsi="Book Antiqua" w:cs="Times New Roman"/>
          <w:sz w:val="24"/>
          <w:szCs w:val="24"/>
        </w:rPr>
        <w:lastRenderedPageBreak/>
        <w:t xml:space="preserve">immunosuppression, or whether the practitioners treating these patients subscribed to a </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top-down philosophy</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 of utilizing early immunosuppression. There is a possibility that patients that fit this mild phenotype might be treated with immunosuppression very early on. Though, the low frequency of such patients emphasizes that the vast majority of children with Crohn</w:t>
      </w:r>
      <w:r w:rsidR="00153E1C">
        <w:rPr>
          <w:rFonts w:ascii="Book Antiqua" w:eastAsia="Times New Roman" w:hAnsi="Book Antiqua" w:cs="Times New Roman"/>
          <w:sz w:val="24"/>
          <w:szCs w:val="24"/>
        </w:rPr>
        <w:t>’</w:t>
      </w:r>
      <w:r w:rsidRPr="00FD080D">
        <w:rPr>
          <w:rFonts w:ascii="Book Antiqua" w:eastAsia="Times New Roman" w:hAnsi="Book Antiqua" w:cs="Times New Roman"/>
          <w:sz w:val="24"/>
          <w:szCs w:val="24"/>
        </w:rPr>
        <w:t>s will in all likelihood require immunosuppression to treat their disease. In addition, though we could identify histologic inflammation in patients, we could not adequately retrospectively assess the extent of macroscopic</w:t>
      </w:r>
      <w:r w:rsidR="009B076B" w:rsidRPr="00FD080D">
        <w:rPr>
          <w:rFonts w:ascii="Book Antiqua" w:eastAsia="Times New Roman" w:hAnsi="Book Antiqua" w:cs="Times New Roman"/>
          <w:sz w:val="24"/>
          <w:szCs w:val="24"/>
        </w:rPr>
        <w:t xml:space="preserve"> (aka visible with the endoscope)</w:t>
      </w:r>
      <w:r w:rsidRPr="00FD080D">
        <w:rPr>
          <w:rFonts w:ascii="Book Antiqua" w:eastAsia="Times New Roman" w:hAnsi="Book Antiqua" w:cs="Times New Roman"/>
          <w:sz w:val="24"/>
          <w:szCs w:val="24"/>
        </w:rPr>
        <w:t xml:space="preserve"> inflammation, because the endoscopic reports did not contain formal endoscopic activity indices such as the SES-CD. Future prospective studies of mild CD that incorporate follow up colonoscopy, should utilize respective endoscopic scoring systems.</w:t>
      </w:r>
      <w:r w:rsidR="005A2593">
        <w:rPr>
          <w:rFonts w:ascii="Book Antiqua" w:eastAsia="Times New Roman" w:hAnsi="Book Antiqua" w:cs="Times New Roman"/>
          <w:sz w:val="24"/>
          <w:szCs w:val="24"/>
        </w:rPr>
        <w:t xml:space="preserve"> </w:t>
      </w:r>
    </w:p>
    <w:p w14:paraId="1C2C9A19" w14:textId="68185CAA" w:rsidR="00D53981" w:rsidRPr="00FD080D" w:rsidRDefault="001B01CA" w:rsidP="00153E1C">
      <w:pPr>
        <w:adjustRightInd w:val="0"/>
        <w:snapToGrid w:val="0"/>
        <w:spacing w:after="0" w:line="360" w:lineRule="auto"/>
        <w:ind w:firstLineChars="100" w:firstLine="240"/>
        <w:jc w:val="both"/>
        <w:rPr>
          <w:rFonts w:ascii="Book Antiqua" w:eastAsia="Times New Roman" w:hAnsi="Book Antiqua" w:cs="Times New Roman"/>
          <w:sz w:val="24"/>
          <w:szCs w:val="24"/>
        </w:rPr>
      </w:pPr>
      <w:r w:rsidRPr="00FD080D">
        <w:rPr>
          <w:rFonts w:ascii="Book Antiqua" w:eastAsia="Times New Roman" w:hAnsi="Book Antiqua" w:cs="Times New Roman"/>
          <w:sz w:val="24"/>
          <w:szCs w:val="24"/>
        </w:rPr>
        <w:t>Nevertheless, this study does suggest that there is a phenotype of mild</w:t>
      </w:r>
      <w:r w:rsidR="001E5645" w:rsidRPr="00FD080D">
        <w:rPr>
          <w:rFonts w:ascii="Book Antiqua" w:eastAsia="Times New Roman" w:hAnsi="Book Antiqua" w:cs="Times New Roman"/>
          <w:sz w:val="24"/>
          <w:szCs w:val="24"/>
        </w:rPr>
        <w:t xml:space="preserve"> </w:t>
      </w:r>
      <w:r w:rsidR="00AD07C6" w:rsidRPr="00FD080D">
        <w:rPr>
          <w:rFonts w:ascii="Book Antiqua" w:eastAsia="Times New Roman" w:hAnsi="Book Antiqua" w:cs="Times New Roman"/>
          <w:sz w:val="24"/>
          <w:szCs w:val="24"/>
        </w:rPr>
        <w:t>CD</w:t>
      </w:r>
      <w:r w:rsidRPr="00FD080D">
        <w:rPr>
          <w:rFonts w:ascii="Book Antiqua" w:eastAsia="Times New Roman" w:hAnsi="Book Antiqua" w:cs="Times New Roman"/>
          <w:sz w:val="24"/>
          <w:szCs w:val="24"/>
        </w:rPr>
        <w:t xml:space="preserve">, which may not necessarily require immunomodulators or biologics. Our case-control study suggests that the majority of these patients have either colonic disease with minimal small bowel </w:t>
      </w:r>
      <w:r w:rsidR="001E5645" w:rsidRPr="00FD080D">
        <w:rPr>
          <w:rFonts w:ascii="Book Antiqua" w:eastAsia="Times New Roman" w:hAnsi="Book Antiqua" w:cs="Times New Roman"/>
          <w:sz w:val="24"/>
          <w:szCs w:val="24"/>
        </w:rPr>
        <w:t>involvement or</w:t>
      </w:r>
      <w:r w:rsidRPr="00FD080D">
        <w:rPr>
          <w:rFonts w:ascii="Book Antiqua" w:eastAsia="Times New Roman" w:hAnsi="Book Antiqua" w:cs="Times New Roman"/>
          <w:sz w:val="24"/>
          <w:szCs w:val="24"/>
        </w:rPr>
        <w:t xml:space="preserve"> limited ileal disease.</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Further characterization of this phenotype may require additional prospective studies, though possibly retrospective examinations of large cohorts (such as the risk cohort) may also help identify and better characterize this phenotype. In the future, we hope that additional genetic, micro-biome, and serologic data may help us better predict a priori who constitutes this milder cohort of patients and whether they can be treated in a more conservative </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step up</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 or </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treat to target</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 manner, rather than all receiving immunomodulators or biologics early in the course of their disease. The current concept of </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treat to target</w:t>
      </w:r>
      <w:r w:rsidR="00342B85">
        <w:rPr>
          <w:rFonts w:ascii="Book Antiqua" w:eastAsia="Times New Roman" w:hAnsi="Book Antiqua" w:cs="Times New Roman"/>
          <w:sz w:val="24"/>
          <w:szCs w:val="24"/>
        </w:rPr>
        <w:t>”</w:t>
      </w:r>
      <w:r w:rsidRPr="00FD080D">
        <w:rPr>
          <w:rFonts w:ascii="Book Antiqua" w:eastAsia="Times New Roman" w:hAnsi="Book Antiqua" w:cs="Times New Roman"/>
          <w:sz w:val="24"/>
          <w:szCs w:val="24"/>
        </w:rPr>
        <w:t xml:space="preserve"> encourages physicians to implement therapy, and then reassess the effects on the patient on clinical remission, laboratory remission and endoscopic remission 6-12 </w:t>
      </w:r>
      <w:proofErr w:type="spellStart"/>
      <w:r w:rsidRPr="00FD080D">
        <w:rPr>
          <w:rFonts w:ascii="Book Antiqua" w:eastAsia="Times New Roman" w:hAnsi="Book Antiqua" w:cs="Times New Roman"/>
          <w:sz w:val="24"/>
          <w:szCs w:val="24"/>
        </w:rPr>
        <w:t>mo</w:t>
      </w:r>
      <w:proofErr w:type="spellEnd"/>
      <w:r w:rsidRPr="00FD080D">
        <w:rPr>
          <w:rFonts w:ascii="Book Antiqua" w:eastAsia="Times New Roman" w:hAnsi="Book Antiqua" w:cs="Times New Roman"/>
          <w:sz w:val="24"/>
          <w:szCs w:val="24"/>
        </w:rPr>
        <w:t xml:space="preserve"> after the therapy is initiated. Identification and better characterization of this mild subset of patients is very important, as most families would prefer to avoid immunosuppression if possible.</w:t>
      </w:r>
      <w:r w:rsidR="005A2593">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 xml:space="preserve">However, the benefits of avoiding immune </w:t>
      </w:r>
      <w:r w:rsidRPr="00FD080D">
        <w:rPr>
          <w:rFonts w:ascii="Book Antiqua" w:eastAsia="Times New Roman" w:hAnsi="Book Antiqua" w:cs="Times New Roman"/>
          <w:sz w:val="24"/>
          <w:szCs w:val="24"/>
        </w:rPr>
        <w:lastRenderedPageBreak/>
        <w:t>suppression must be weighed against the risks of potential future disease complications (including growth failure).</w:t>
      </w:r>
      <w:r w:rsidR="005A2593">
        <w:rPr>
          <w:rFonts w:ascii="Book Antiqua" w:eastAsia="Times New Roman" w:hAnsi="Book Antiqua" w:cs="Times New Roman"/>
          <w:sz w:val="24"/>
          <w:szCs w:val="24"/>
        </w:rPr>
        <w:t xml:space="preserve"> </w:t>
      </w:r>
    </w:p>
    <w:p w14:paraId="6CFB501E" w14:textId="003D6DB0" w:rsidR="005B75F1" w:rsidRPr="00FD080D" w:rsidRDefault="005B75F1" w:rsidP="00FD080D">
      <w:pPr>
        <w:adjustRightInd w:val="0"/>
        <w:snapToGrid w:val="0"/>
        <w:spacing w:after="0" w:line="360" w:lineRule="auto"/>
        <w:jc w:val="both"/>
        <w:rPr>
          <w:rFonts w:ascii="Book Antiqua" w:hAnsi="Book Antiqua"/>
          <w:color w:val="000000" w:themeColor="text1"/>
          <w:sz w:val="24"/>
          <w:szCs w:val="24"/>
        </w:rPr>
      </w:pPr>
    </w:p>
    <w:p w14:paraId="4B94F92E" w14:textId="1CD15922" w:rsidR="005B75F1" w:rsidRPr="00153E1C" w:rsidRDefault="00153E1C" w:rsidP="00153E1C">
      <w:pPr>
        <w:shd w:val="clear" w:color="auto" w:fill="FFFFFF"/>
        <w:adjustRightInd w:val="0"/>
        <w:snapToGrid w:val="0"/>
        <w:spacing w:after="0" w:line="360" w:lineRule="auto"/>
        <w:jc w:val="both"/>
        <w:rPr>
          <w:rFonts w:ascii="Book Antiqua" w:eastAsia="Times New Roman" w:hAnsi="Book Antiqua" w:cs="Times New Roman"/>
          <w:b/>
          <w:smallCaps/>
          <w:color w:val="000000" w:themeColor="text1"/>
          <w:sz w:val="24"/>
          <w:szCs w:val="24"/>
        </w:rPr>
      </w:pPr>
      <w:r w:rsidRPr="00153E1C">
        <w:rPr>
          <w:rFonts w:ascii="Book Antiqua" w:eastAsia="Times New Roman" w:hAnsi="Book Antiqua"/>
          <w:b/>
          <w:smallCaps/>
          <w:color w:val="000000" w:themeColor="text1"/>
          <w:sz w:val="24"/>
          <w:szCs w:val="24"/>
        </w:rPr>
        <w:t>ARTICLE HIGHLIGHTS</w:t>
      </w:r>
    </w:p>
    <w:p w14:paraId="773CB83A" w14:textId="7A571141" w:rsidR="00F147A9" w:rsidRPr="00153E1C" w:rsidRDefault="005B75F1" w:rsidP="00153E1C">
      <w:pPr>
        <w:shd w:val="clear" w:color="auto" w:fill="FFFFFF"/>
        <w:adjustRightInd w:val="0"/>
        <w:snapToGrid w:val="0"/>
        <w:spacing w:after="0" w:line="360" w:lineRule="auto"/>
        <w:jc w:val="both"/>
        <w:rPr>
          <w:rFonts w:ascii="Book Antiqua" w:eastAsia="Times New Roman" w:hAnsi="Book Antiqua"/>
          <w:b/>
          <w:color w:val="000000" w:themeColor="text1"/>
          <w:sz w:val="24"/>
          <w:szCs w:val="24"/>
        </w:rPr>
      </w:pPr>
      <w:r w:rsidRPr="00153E1C">
        <w:rPr>
          <w:rFonts w:ascii="Book Antiqua" w:eastAsia="Times New Roman" w:hAnsi="Book Antiqua"/>
          <w:b/>
          <w:i/>
          <w:color w:val="000000" w:themeColor="text1"/>
          <w:sz w:val="24"/>
          <w:szCs w:val="24"/>
        </w:rPr>
        <w:t>Research background</w:t>
      </w:r>
      <w:r w:rsidRPr="00153E1C">
        <w:rPr>
          <w:rFonts w:ascii="Book Antiqua" w:eastAsia="Times New Roman" w:hAnsi="Book Antiqua"/>
          <w:b/>
          <w:color w:val="000000" w:themeColor="text1"/>
          <w:sz w:val="24"/>
          <w:szCs w:val="24"/>
        </w:rPr>
        <w:t xml:space="preserve"> </w:t>
      </w:r>
    </w:p>
    <w:p w14:paraId="795FE4A0" w14:textId="3365B63D" w:rsidR="005B75F1" w:rsidRDefault="005B75F1" w:rsidP="00153E1C">
      <w:pPr>
        <w:shd w:val="clear" w:color="auto" w:fill="FFFFFF"/>
        <w:adjustRightInd w:val="0"/>
        <w:snapToGrid w:val="0"/>
        <w:spacing w:after="0" w:line="360" w:lineRule="auto"/>
        <w:jc w:val="both"/>
        <w:rPr>
          <w:rFonts w:ascii="Book Antiqua" w:eastAsia="Times New Roman" w:hAnsi="Book Antiqua"/>
          <w:color w:val="000000" w:themeColor="text1"/>
          <w:sz w:val="24"/>
          <w:szCs w:val="24"/>
        </w:rPr>
      </w:pPr>
      <w:r w:rsidRPr="00FD080D">
        <w:rPr>
          <w:rFonts w:ascii="Book Antiqua" w:eastAsia="Times New Roman" w:hAnsi="Book Antiqua"/>
          <w:color w:val="000000" w:themeColor="text1"/>
          <w:sz w:val="24"/>
          <w:szCs w:val="24"/>
        </w:rPr>
        <w:t>A great deal has been written on the treatment of moderate to</w:t>
      </w:r>
      <w:r w:rsidR="00621BF9" w:rsidRPr="00FD080D">
        <w:rPr>
          <w:rFonts w:ascii="Book Antiqua" w:eastAsia="Times New Roman" w:hAnsi="Book Antiqua"/>
          <w:color w:val="000000" w:themeColor="text1"/>
          <w:sz w:val="24"/>
          <w:szCs w:val="24"/>
        </w:rPr>
        <w:t xml:space="preserve"> </w:t>
      </w:r>
      <w:r w:rsidRPr="00FD080D">
        <w:rPr>
          <w:rFonts w:ascii="Book Antiqua" w:eastAsia="Times New Roman" w:hAnsi="Book Antiqua"/>
          <w:color w:val="000000" w:themeColor="text1"/>
          <w:sz w:val="24"/>
          <w:szCs w:val="24"/>
        </w:rPr>
        <w:t>severe Crohn</w:t>
      </w:r>
      <w:r w:rsidR="00153E1C">
        <w:rPr>
          <w:rFonts w:ascii="Book Antiqua" w:eastAsia="Times New Roman" w:hAnsi="Book Antiqua"/>
          <w:color w:val="000000" w:themeColor="text1"/>
          <w:sz w:val="24"/>
          <w:szCs w:val="24"/>
        </w:rPr>
        <w:t>’</w:t>
      </w:r>
      <w:r w:rsidRPr="00FD080D">
        <w:rPr>
          <w:rFonts w:ascii="Book Antiqua" w:eastAsia="Times New Roman" w:hAnsi="Book Antiqua"/>
          <w:color w:val="000000" w:themeColor="text1"/>
          <w:sz w:val="24"/>
          <w:szCs w:val="24"/>
        </w:rPr>
        <w:t>s disease.</w:t>
      </w:r>
      <w:r w:rsidR="005A2593">
        <w:rPr>
          <w:rFonts w:ascii="Book Antiqua" w:eastAsia="Times New Roman" w:hAnsi="Book Antiqua"/>
          <w:color w:val="000000" w:themeColor="text1"/>
          <w:sz w:val="24"/>
          <w:szCs w:val="24"/>
        </w:rPr>
        <w:t xml:space="preserve"> </w:t>
      </w:r>
      <w:r w:rsidR="00513140" w:rsidRPr="00FD080D">
        <w:rPr>
          <w:rFonts w:ascii="Book Antiqua" w:eastAsia="Times New Roman" w:hAnsi="Book Antiqua"/>
          <w:color w:val="000000" w:themeColor="text1"/>
          <w:sz w:val="24"/>
          <w:szCs w:val="24"/>
        </w:rPr>
        <w:t>Th</w:t>
      </w:r>
      <w:r w:rsidRPr="00FD080D">
        <w:rPr>
          <w:rFonts w:ascii="Book Antiqua" w:eastAsia="Times New Roman" w:hAnsi="Book Antiqua"/>
          <w:color w:val="000000" w:themeColor="text1"/>
          <w:sz w:val="24"/>
          <w:szCs w:val="24"/>
        </w:rPr>
        <w:t>ere is a subset of patients with milder disease, who may be able to avoid potent long-term immune suppression.</w:t>
      </w:r>
      <w:r w:rsidR="005A2593">
        <w:rPr>
          <w:rFonts w:ascii="Book Antiqua" w:eastAsia="Times New Roman" w:hAnsi="Book Antiqua"/>
          <w:color w:val="000000" w:themeColor="text1"/>
          <w:sz w:val="24"/>
          <w:szCs w:val="24"/>
        </w:rPr>
        <w:t xml:space="preserve"> </w:t>
      </w:r>
      <w:r w:rsidRPr="00FD080D">
        <w:rPr>
          <w:rFonts w:ascii="Book Antiqua" w:eastAsia="Times New Roman" w:hAnsi="Book Antiqua"/>
          <w:color w:val="000000" w:themeColor="text1"/>
          <w:sz w:val="24"/>
          <w:szCs w:val="24"/>
        </w:rPr>
        <w:t>However, there is little or no data on the natural history of patients w</w:t>
      </w:r>
      <w:r w:rsidR="002D0D79" w:rsidRPr="00FD080D">
        <w:rPr>
          <w:rFonts w:ascii="Book Antiqua" w:eastAsia="Times New Roman" w:hAnsi="Book Antiqua"/>
          <w:color w:val="000000" w:themeColor="text1"/>
          <w:sz w:val="24"/>
          <w:szCs w:val="24"/>
        </w:rPr>
        <w:t>ho are</w:t>
      </w:r>
      <w:r w:rsidRPr="00FD080D">
        <w:rPr>
          <w:rFonts w:ascii="Book Antiqua" w:eastAsia="Times New Roman" w:hAnsi="Book Antiqua"/>
          <w:color w:val="000000" w:themeColor="text1"/>
          <w:sz w:val="24"/>
          <w:szCs w:val="24"/>
        </w:rPr>
        <w:t xml:space="preserve"> not treated with immune suppressive agents.</w:t>
      </w:r>
      <w:r w:rsidR="005A2593">
        <w:rPr>
          <w:rFonts w:ascii="Book Antiqua" w:eastAsia="Times New Roman" w:hAnsi="Book Antiqua"/>
          <w:color w:val="000000" w:themeColor="text1"/>
          <w:sz w:val="24"/>
          <w:szCs w:val="24"/>
        </w:rPr>
        <w:t xml:space="preserve"> </w:t>
      </w:r>
      <w:r w:rsidRPr="00FD080D">
        <w:rPr>
          <w:rFonts w:ascii="Book Antiqua" w:eastAsia="Times New Roman" w:hAnsi="Book Antiqua"/>
          <w:color w:val="000000" w:themeColor="text1"/>
          <w:sz w:val="24"/>
          <w:szCs w:val="24"/>
        </w:rPr>
        <w:t>This is particularly relevant in children, who if treated with immune suppression</w:t>
      </w:r>
      <w:r w:rsidR="002D0D79" w:rsidRPr="00FD080D">
        <w:rPr>
          <w:rFonts w:ascii="Book Antiqua" w:eastAsia="Times New Roman" w:hAnsi="Book Antiqua"/>
          <w:color w:val="000000" w:themeColor="text1"/>
          <w:sz w:val="24"/>
          <w:szCs w:val="24"/>
        </w:rPr>
        <w:t xml:space="preserve"> agents</w:t>
      </w:r>
      <w:r w:rsidRPr="00FD080D">
        <w:rPr>
          <w:rFonts w:ascii="Book Antiqua" w:eastAsia="Times New Roman" w:hAnsi="Book Antiqua"/>
          <w:color w:val="000000" w:themeColor="text1"/>
          <w:sz w:val="24"/>
          <w:szCs w:val="24"/>
        </w:rPr>
        <w:t>, may be at risk for serious toxicities such as infection and</w:t>
      </w:r>
      <w:r w:rsidR="00492F9C" w:rsidRPr="00FD080D">
        <w:rPr>
          <w:rFonts w:ascii="Book Antiqua" w:eastAsia="Times New Roman" w:hAnsi="Book Antiqua"/>
          <w:color w:val="000000" w:themeColor="text1"/>
          <w:sz w:val="24"/>
          <w:szCs w:val="24"/>
        </w:rPr>
        <w:t xml:space="preserve"> </w:t>
      </w:r>
      <w:r w:rsidRPr="00FD080D">
        <w:rPr>
          <w:rFonts w:ascii="Book Antiqua" w:eastAsia="Times New Roman" w:hAnsi="Book Antiqua"/>
          <w:color w:val="000000" w:themeColor="text1"/>
          <w:sz w:val="24"/>
          <w:szCs w:val="24"/>
        </w:rPr>
        <w:t>lymphoma.</w:t>
      </w:r>
      <w:r w:rsidR="005A2593">
        <w:rPr>
          <w:rFonts w:ascii="Book Antiqua" w:eastAsia="Times New Roman" w:hAnsi="Book Antiqua"/>
          <w:color w:val="000000" w:themeColor="text1"/>
          <w:sz w:val="24"/>
          <w:szCs w:val="24"/>
        </w:rPr>
        <w:t xml:space="preserve"> </w:t>
      </w:r>
      <w:r w:rsidRPr="00FD080D">
        <w:rPr>
          <w:rFonts w:ascii="Book Antiqua" w:eastAsia="Times New Roman" w:hAnsi="Book Antiqua"/>
          <w:color w:val="000000" w:themeColor="text1"/>
          <w:sz w:val="24"/>
          <w:szCs w:val="24"/>
        </w:rPr>
        <w:t>However, the under treatment of Crohn</w:t>
      </w:r>
      <w:r w:rsidR="00153E1C">
        <w:rPr>
          <w:rFonts w:ascii="Book Antiqua" w:eastAsia="Times New Roman" w:hAnsi="Book Antiqua"/>
          <w:color w:val="000000" w:themeColor="text1"/>
          <w:sz w:val="24"/>
          <w:szCs w:val="24"/>
        </w:rPr>
        <w:t>’</w:t>
      </w:r>
      <w:r w:rsidRPr="00FD080D">
        <w:rPr>
          <w:rFonts w:ascii="Book Antiqua" w:eastAsia="Times New Roman" w:hAnsi="Book Antiqua"/>
          <w:color w:val="000000" w:themeColor="text1"/>
          <w:sz w:val="24"/>
          <w:szCs w:val="24"/>
        </w:rPr>
        <w:t>s disease could increase the risk of the development of complications.</w:t>
      </w:r>
      <w:r w:rsidR="005A2593">
        <w:rPr>
          <w:rFonts w:ascii="Book Antiqua" w:eastAsia="Times New Roman" w:hAnsi="Book Antiqua"/>
          <w:color w:val="000000" w:themeColor="text1"/>
          <w:sz w:val="24"/>
          <w:szCs w:val="24"/>
        </w:rPr>
        <w:t xml:space="preserve"> </w:t>
      </w:r>
      <w:r w:rsidRPr="00FD080D">
        <w:rPr>
          <w:rFonts w:ascii="Book Antiqua" w:eastAsia="Times New Roman" w:hAnsi="Book Antiqua"/>
          <w:color w:val="000000" w:themeColor="text1"/>
          <w:sz w:val="24"/>
          <w:szCs w:val="24"/>
        </w:rPr>
        <w:t>We therefore desired to study the natural history of patients who were not treated with immune suppressive agents</w:t>
      </w:r>
      <w:r w:rsidR="00732E8E" w:rsidRPr="00FD080D">
        <w:rPr>
          <w:rFonts w:ascii="Book Antiqua" w:eastAsia="Times New Roman" w:hAnsi="Book Antiqua"/>
          <w:color w:val="000000" w:themeColor="text1"/>
          <w:sz w:val="24"/>
          <w:szCs w:val="24"/>
        </w:rPr>
        <w:t>.</w:t>
      </w:r>
    </w:p>
    <w:p w14:paraId="26F20267" w14:textId="77777777" w:rsidR="00153E1C" w:rsidRPr="00FD080D" w:rsidRDefault="00153E1C" w:rsidP="00153E1C">
      <w:pPr>
        <w:shd w:val="clear" w:color="auto" w:fill="FFFFFF"/>
        <w:adjustRightInd w:val="0"/>
        <w:snapToGrid w:val="0"/>
        <w:spacing w:after="0" w:line="360" w:lineRule="auto"/>
        <w:jc w:val="both"/>
        <w:rPr>
          <w:rFonts w:ascii="Book Antiqua" w:eastAsia="Times New Roman" w:hAnsi="Book Antiqua"/>
          <w:color w:val="000000" w:themeColor="text1"/>
          <w:sz w:val="24"/>
          <w:szCs w:val="24"/>
        </w:rPr>
      </w:pPr>
    </w:p>
    <w:p w14:paraId="593D9076" w14:textId="2D52F2A0" w:rsidR="00BC29A3" w:rsidRPr="00153E1C" w:rsidRDefault="005B75F1" w:rsidP="00153E1C">
      <w:pPr>
        <w:shd w:val="clear" w:color="auto" w:fill="FFFFFF"/>
        <w:adjustRightInd w:val="0"/>
        <w:snapToGrid w:val="0"/>
        <w:spacing w:after="0" w:line="360" w:lineRule="auto"/>
        <w:jc w:val="both"/>
        <w:rPr>
          <w:rFonts w:ascii="Book Antiqua" w:eastAsia="Times New Roman" w:hAnsi="Book Antiqua"/>
          <w:b/>
          <w:i/>
          <w:color w:val="000000" w:themeColor="text1"/>
          <w:sz w:val="24"/>
          <w:szCs w:val="24"/>
        </w:rPr>
      </w:pPr>
      <w:r w:rsidRPr="00153E1C">
        <w:rPr>
          <w:rFonts w:ascii="Book Antiqua" w:eastAsia="Times New Roman" w:hAnsi="Book Antiqua"/>
          <w:b/>
          <w:i/>
          <w:color w:val="000000" w:themeColor="text1"/>
          <w:sz w:val="24"/>
          <w:szCs w:val="24"/>
        </w:rPr>
        <w:t>Research motivation</w:t>
      </w:r>
    </w:p>
    <w:p w14:paraId="624FC3E0" w14:textId="0B573627" w:rsidR="0087622D" w:rsidRPr="00FD080D" w:rsidRDefault="00D2768B" w:rsidP="00153E1C">
      <w:pPr>
        <w:shd w:val="clear" w:color="auto" w:fill="FFFFFF"/>
        <w:adjustRightInd w:val="0"/>
        <w:snapToGrid w:val="0"/>
        <w:spacing w:after="0" w:line="360" w:lineRule="auto"/>
        <w:jc w:val="both"/>
        <w:rPr>
          <w:rFonts w:ascii="Book Antiqua" w:hAnsi="Book Antiqua"/>
          <w:color w:val="000000" w:themeColor="text1"/>
          <w:sz w:val="24"/>
          <w:szCs w:val="24"/>
        </w:rPr>
      </w:pPr>
      <w:r w:rsidRPr="00FD080D">
        <w:rPr>
          <w:rFonts w:ascii="Book Antiqua" w:eastAsia="Times New Roman" w:hAnsi="Book Antiqua"/>
          <w:color w:val="000000" w:themeColor="text1"/>
          <w:sz w:val="24"/>
          <w:szCs w:val="24"/>
        </w:rPr>
        <w:t>Children with mild or limited</w:t>
      </w:r>
      <w:r w:rsidR="00DF5555" w:rsidRPr="00FD080D">
        <w:rPr>
          <w:rFonts w:ascii="Book Antiqua" w:eastAsia="Times New Roman" w:hAnsi="Book Antiqua"/>
          <w:color w:val="000000" w:themeColor="text1"/>
          <w:sz w:val="24"/>
          <w:szCs w:val="24"/>
        </w:rPr>
        <w:t xml:space="preserve"> Crohn</w:t>
      </w:r>
      <w:r w:rsidR="00153E1C">
        <w:rPr>
          <w:rFonts w:ascii="Book Antiqua" w:eastAsia="Times New Roman" w:hAnsi="Book Antiqua"/>
          <w:color w:val="000000" w:themeColor="text1"/>
          <w:sz w:val="24"/>
          <w:szCs w:val="24"/>
        </w:rPr>
        <w:t>’</w:t>
      </w:r>
      <w:r w:rsidR="00DF5555" w:rsidRPr="00FD080D">
        <w:rPr>
          <w:rFonts w:ascii="Book Antiqua" w:eastAsia="Times New Roman" w:hAnsi="Book Antiqua"/>
          <w:color w:val="000000" w:themeColor="text1"/>
          <w:sz w:val="24"/>
          <w:szCs w:val="24"/>
        </w:rPr>
        <w:t>s</w:t>
      </w:r>
      <w:r w:rsidRPr="00FD080D">
        <w:rPr>
          <w:rFonts w:ascii="Book Antiqua" w:eastAsia="Times New Roman" w:hAnsi="Book Antiqua"/>
          <w:color w:val="000000" w:themeColor="text1"/>
          <w:sz w:val="24"/>
          <w:szCs w:val="24"/>
        </w:rPr>
        <w:t xml:space="preserve"> disease are a poorly studied population</w:t>
      </w:r>
      <w:r w:rsidR="0015209E" w:rsidRPr="00FD080D">
        <w:rPr>
          <w:rFonts w:ascii="Book Antiqua" w:eastAsia="Times New Roman" w:hAnsi="Book Antiqua"/>
          <w:color w:val="000000" w:themeColor="text1"/>
          <w:sz w:val="24"/>
          <w:szCs w:val="24"/>
        </w:rPr>
        <w:t xml:space="preserve">. </w:t>
      </w:r>
      <w:r w:rsidRPr="00FD080D">
        <w:rPr>
          <w:rFonts w:ascii="Book Antiqua" w:eastAsia="Times New Roman" w:hAnsi="Book Antiqua"/>
          <w:color w:val="000000" w:themeColor="text1"/>
          <w:sz w:val="24"/>
          <w:szCs w:val="24"/>
        </w:rPr>
        <w:t xml:space="preserve">Phenotypic features, natural history, treatments used, and </w:t>
      </w:r>
      <w:r w:rsidR="00DF5555" w:rsidRPr="00FD080D">
        <w:rPr>
          <w:rFonts w:ascii="Book Antiqua" w:eastAsia="Times New Roman" w:hAnsi="Book Antiqua"/>
          <w:color w:val="000000" w:themeColor="text1"/>
          <w:sz w:val="24"/>
          <w:szCs w:val="24"/>
        </w:rPr>
        <w:t>long-term</w:t>
      </w:r>
      <w:r w:rsidRPr="00FD080D">
        <w:rPr>
          <w:rFonts w:ascii="Book Antiqua" w:eastAsia="Times New Roman" w:hAnsi="Book Antiqua"/>
          <w:color w:val="000000" w:themeColor="text1"/>
          <w:sz w:val="24"/>
          <w:szCs w:val="24"/>
        </w:rPr>
        <w:t xml:space="preserve"> outcomes of children with mild disease is unclear</w:t>
      </w:r>
      <w:r w:rsidR="00DF5555" w:rsidRPr="00FD080D">
        <w:rPr>
          <w:rFonts w:ascii="Book Antiqua" w:eastAsia="Times New Roman" w:hAnsi="Book Antiqua"/>
          <w:color w:val="000000" w:themeColor="text1"/>
          <w:sz w:val="24"/>
          <w:szCs w:val="24"/>
        </w:rPr>
        <w:t>.</w:t>
      </w:r>
      <w:r w:rsidR="00962A00" w:rsidRPr="00FD080D">
        <w:rPr>
          <w:rFonts w:ascii="Book Antiqua" w:eastAsia="Times New Roman" w:hAnsi="Book Antiqua"/>
          <w:color w:val="000000" w:themeColor="text1"/>
          <w:sz w:val="24"/>
          <w:szCs w:val="24"/>
        </w:rPr>
        <w:t xml:space="preserve"> We wanted to </w:t>
      </w:r>
      <w:r w:rsidR="00176893" w:rsidRPr="00FD080D">
        <w:rPr>
          <w:rFonts w:ascii="Book Antiqua" w:eastAsia="Times New Roman" w:hAnsi="Book Antiqua"/>
          <w:color w:val="000000" w:themeColor="text1"/>
          <w:sz w:val="24"/>
          <w:szCs w:val="24"/>
        </w:rPr>
        <w:t>assess whether there a</w:t>
      </w:r>
      <w:r w:rsidRPr="00FD080D">
        <w:rPr>
          <w:rFonts w:ascii="Book Antiqua" w:eastAsia="Times New Roman" w:hAnsi="Book Antiqua"/>
          <w:color w:val="000000" w:themeColor="text1"/>
          <w:sz w:val="24"/>
          <w:szCs w:val="24"/>
        </w:rPr>
        <w:t>re phenotypic differences such as disease location or disease behavior in mild vs moderate</w:t>
      </w:r>
      <w:r w:rsidR="00AF5EC1" w:rsidRPr="00FD080D">
        <w:rPr>
          <w:rFonts w:ascii="Book Antiqua" w:eastAsia="Times New Roman" w:hAnsi="Book Antiqua"/>
          <w:color w:val="000000" w:themeColor="text1"/>
          <w:sz w:val="24"/>
          <w:szCs w:val="24"/>
        </w:rPr>
        <w:t xml:space="preserve"> and/or </w:t>
      </w:r>
      <w:r w:rsidRPr="00FD080D">
        <w:rPr>
          <w:rFonts w:ascii="Book Antiqua" w:eastAsia="Times New Roman" w:hAnsi="Book Antiqua"/>
          <w:color w:val="000000" w:themeColor="text1"/>
          <w:sz w:val="24"/>
          <w:szCs w:val="24"/>
        </w:rPr>
        <w:t>severe Crohn</w:t>
      </w:r>
      <w:r w:rsidR="00153E1C">
        <w:rPr>
          <w:rFonts w:ascii="Book Antiqua" w:eastAsia="Times New Roman" w:hAnsi="Book Antiqua"/>
          <w:color w:val="000000" w:themeColor="text1"/>
          <w:sz w:val="24"/>
          <w:szCs w:val="24"/>
        </w:rPr>
        <w:t>’</w:t>
      </w:r>
      <w:r w:rsidRPr="00FD080D">
        <w:rPr>
          <w:rFonts w:ascii="Book Antiqua" w:eastAsia="Times New Roman" w:hAnsi="Book Antiqua"/>
          <w:color w:val="000000" w:themeColor="text1"/>
          <w:sz w:val="24"/>
          <w:szCs w:val="24"/>
        </w:rPr>
        <w:t>s disease at the time of diagnosis</w:t>
      </w:r>
      <w:r w:rsidR="00AF5EC1" w:rsidRPr="00FD080D">
        <w:rPr>
          <w:rFonts w:ascii="Book Antiqua" w:eastAsia="Times New Roman" w:hAnsi="Book Antiqua"/>
          <w:color w:val="000000" w:themeColor="text1"/>
          <w:sz w:val="24"/>
          <w:szCs w:val="24"/>
        </w:rPr>
        <w:t>. We also wanted to define long term outcome in the mild population. We wanted to see whether these patients develop complications or</w:t>
      </w:r>
      <w:r w:rsidR="00A37EF8" w:rsidRPr="00FD080D">
        <w:rPr>
          <w:rFonts w:ascii="Book Antiqua" w:eastAsia="Times New Roman" w:hAnsi="Book Antiqua"/>
          <w:color w:val="000000" w:themeColor="text1"/>
          <w:sz w:val="24"/>
          <w:szCs w:val="24"/>
        </w:rPr>
        <w:t xml:space="preserve"> require</w:t>
      </w:r>
      <w:r w:rsidR="00AF5EC1" w:rsidRPr="00FD080D">
        <w:rPr>
          <w:rFonts w:ascii="Book Antiqua" w:eastAsia="Times New Roman" w:hAnsi="Book Antiqua"/>
          <w:color w:val="000000" w:themeColor="text1"/>
          <w:sz w:val="24"/>
          <w:szCs w:val="24"/>
        </w:rPr>
        <w:t xml:space="preserve"> surgery over time</w:t>
      </w:r>
      <w:r w:rsidR="00A37EF8" w:rsidRPr="00FD080D">
        <w:rPr>
          <w:rFonts w:ascii="Book Antiqua" w:eastAsia="Times New Roman" w:hAnsi="Book Antiqua"/>
          <w:color w:val="000000" w:themeColor="text1"/>
          <w:sz w:val="24"/>
          <w:szCs w:val="24"/>
        </w:rPr>
        <w:t>, and if so</w:t>
      </w:r>
      <w:r w:rsidR="002E3628" w:rsidRPr="00FD080D">
        <w:rPr>
          <w:rFonts w:ascii="Book Antiqua" w:eastAsia="Times New Roman" w:hAnsi="Book Antiqua"/>
          <w:color w:val="000000" w:themeColor="text1"/>
          <w:sz w:val="24"/>
          <w:szCs w:val="24"/>
        </w:rPr>
        <w:t>,</w:t>
      </w:r>
      <w:r w:rsidR="00A37EF8" w:rsidRPr="00FD080D">
        <w:rPr>
          <w:rFonts w:ascii="Book Antiqua" w:eastAsia="Times New Roman" w:hAnsi="Book Antiqua"/>
          <w:color w:val="000000" w:themeColor="text1"/>
          <w:sz w:val="24"/>
          <w:szCs w:val="24"/>
        </w:rPr>
        <w:t xml:space="preserve"> what is the time to </w:t>
      </w:r>
      <w:r w:rsidR="009E35BF" w:rsidRPr="00FD080D">
        <w:rPr>
          <w:rFonts w:ascii="Book Antiqua" w:eastAsia="Times New Roman" w:hAnsi="Book Antiqua"/>
          <w:color w:val="000000" w:themeColor="text1"/>
          <w:sz w:val="24"/>
          <w:szCs w:val="24"/>
        </w:rPr>
        <w:t>escalation in therapy and also</w:t>
      </w:r>
      <w:r w:rsidR="002E3628" w:rsidRPr="00FD080D">
        <w:rPr>
          <w:rFonts w:ascii="Book Antiqua" w:eastAsia="Times New Roman" w:hAnsi="Book Antiqua"/>
          <w:color w:val="000000" w:themeColor="text1"/>
          <w:sz w:val="24"/>
          <w:szCs w:val="24"/>
        </w:rPr>
        <w:t>,</w:t>
      </w:r>
      <w:r w:rsidR="009E35BF" w:rsidRPr="00FD080D">
        <w:rPr>
          <w:rFonts w:ascii="Book Antiqua" w:eastAsia="Times New Roman" w:hAnsi="Book Antiqua"/>
          <w:color w:val="000000" w:themeColor="text1"/>
          <w:sz w:val="24"/>
          <w:szCs w:val="24"/>
        </w:rPr>
        <w:t xml:space="preserve"> what </w:t>
      </w:r>
      <w:r w:rsidR="00A37EF8" w:rsidRPr="00FD080D">
        <w:rPr>
          <w:rFonts w:ascii="Book Antiqua" w:eastAsia="Times New Roman" w:hAnsi="Book Antiqua"/>
          <w:color w:val="000000" w:themeColor="text1"/>
          <w:sz w:val="24"/>
          <w:szCs w:val="24"/>
        </w:rPr>
        <w:t xml:space="preserve">are the predictors of escalation. </w:t>
      </w:r>
    </w:p>
    <w:p w14:paraId="7C6D710E" w14:textId="77777777" w:rsidR="00E9599D" w:rsidRPr="00FD080D" w:rsidRDefault="00E9599D" w:rsidP="00153E1C">
      <w:pPr>
        <w:shd w:val="clear" w:color="auto" w:fill="FFFFFF"/>
        <w:adjustRightInd w:val="0"/>
        <w:snapToGrid w:val="0"/>
        <w:spacing w:after="0" w:line="360" w:lineRule="auto"/>
        <w:jc w:val="both"/>
        <w:rPr>
          <w:rFonts w:ascii="Book Antiqua" w:eastAsia="Times New Roman" w:hAnsi="Book Antiqua"/>
          <w:b/>
          <w:i/>
          <w:color w:val="000000" w:themeColor="text1"/>
          <w:sz w:val="24"/>
          <w:szCs w:val="24"/>
          <w:u w:val="single"/>
        </w:rPr>
      </w:pPr>
    </w:p>
    <w:p w14:paraId="7312BB44" w14:textId="008B98E8" w:rsidR="005E2797" w:rsidRPr="00153E1C" w:rsidRDefault="005E2797" w:rsidP="00153E1C">
      <w:pPr>
        <w:shd w:val="clear" w:color="auto" w:fill="FFFFFF"/>
        <w:adjustRightInd w:val="0"/>
        <w:snapToGrid w:val="0"/>
        <w:spacing w:after="0" w:line="360" w:lineRule="auto"/>
        <w:jc w:val="both"/>
        <w:rPr>
          <w:rFonts w:ascii="Book Antiqua" w:eastAsia="Times New Roman" w:hAnsi="Book Antiqua"/>
          <w:b/>
          <w:i/>
          <w:color w:val="000000" w:themeColor="text1"/>
          <w:sz w:val="24"/>
          <w:szCs w:val="24"/>
        </w:rPr>
      </w:pPr>
      <w:r w:rsidRPr="00153E1C">
        <w:rPr>
          <w:rFonts w:ascii="Book Antiqua" w:eastAsia="Times New Roman" w:hAnsi="Book Antiqua"/>
          <w:b/>
          <w:i/>
          <w:color w:val="000000" w:themeColor="text1"/>
          <w:sz w:val="24"/>
          <w:szCs w:val="24"/>
        </w:rPr>
        <w:t xml:space="preserve">Research </w:t>
      </w:r>
      <w:r w:rsidR="004856AA" w:rsidRPr="00153E1C">
        <w:rPr>
          <w:rFonts w:ascii="Book Antiqua" w:eastAsia="Times New Roman" w:hAnsi="Book Antiqua"/>
          <w:b/>
          <w:i/>
          <w:color w:val="000000" w:themeColor="text1"/>
          <w:sz w:val="24"/>
          <w:szCs w:val="24"/>
        </w:rPr>
        <w:t>objectives</w:t>
      </w:r>
    </w:p>
    <w:p w14:paraId="5D707A9F" w14:textId="70996473" w:rsidR="005E2797" w:rsidRDefault="005E769D" w:rsidP="00153E1C">
      <w:pPr>
        <w:shd w:val="clear" w:color="auto" w:fill="FFFFFF"/>
        <w:adjustRightInd w:val="0"/>
        <w:snapToGrid w:val="0"/>
        <w:spacing w:after="0" w:line="360" w:lineRule="auto"/>
        <w:jc w:val="both"/>
        <w:rPr>
          <w:rFonts w:ascii="Book Antiqua" w:eastAsia="Times New Roman" w:hAnsi="Book Antiqua"/>
          <w:color w:val="000000" w:themeColor="text1"/>
          <w:sz w:val="24"/>
          <w:szCs w:val="24"/>
        </w:rPr>
      </w:pPr>
      <w:r w:rsidRPr="00FD080D">
        <w:rPr>
          <w:rFonts w:ascii="Book Antiqua" w:eastAsia="Times New Roman" w:hAnsi="Book Antiqua"/>
          <w:color w:val="000000" w:themeColor="text1"/>
          <w:sz w:val="24"/>
          <w:szCs w:val="24"/>
        </w:rPr>
        <w:t>The objective of the study was to determine the prevalence of complications in patients who did not receive immunomodulators or biologics for at least 2 years.</w:t>
      </w:r>
      <w:r w:rsidR="005A2593">
        <w:rPr>
          <w:rFonts w:ascii="Book Antiqua" w:eastAsia="Times New Roman" w:hAnsi="Book Antiqua"/>
          <w:color w:val="000000" w:themeColor="text1"/>
          <w:sz w:val="24"/>
          <w:szCs w:val="24"/>
        </w:rPr>
        <w:t xml:space="preserve"> </w:t>
      </w:r>
      <w:r w:rsidRPr="00FD080D">
        <w:rPr>
          <w:rFonts w:ascii="Book Antiqua" w:eastAsia="Times New Roman" w:hAnsi="Book Antiqua"/>
          <w:color w:val="000000" w:themeColor="text1"/>
          <w:sz w:val="24"/>
          <w:szCs w:val="24"/>
        </w:rPr>
        <w:t xml:space="preserve">We identified a small subset of patients in our cohort who were treated this way, </w:t>
      </w:r>
      <w:r w:rsidRPr="00FD080D">
        <w:rPr>
          <w:rFonts w:ascii="Book Antiqua" w:eastAsia="Times New Roman" w:hAnsi="Book Antiqua"/>
          <w:color w:val="000000" w:themeColor="text1"/>
          <w:sz w:val="24"/>
          <w:szCs w:val="24"/>
        </w:rPr>
        <w:lastRenderedPageBreak/>
        <w:t xml:space="preserve">we then reviewed charts in order to determine the event-free survival, </w:t>
      </w:r>
      <w:r w:rsidRPr="00153E1C">
        <w:rPr>
          <w:rFonts w:ascii="Book Antiqua" w:eastAsia="Times New Roman" w:hAnsi="Book Antiqua"/>
          <w:i/>
          <w:iCs/>
          <w:color w:val="000000" w:themeColor="text1"/>
          <w:sz w:val="24"/>
          <w:szCs w:val="24"/>
        </w:rPr>
        <w:t>i.e.</w:t>
      </w:r>
      <w:r w:rsidR="00153E1C">
        <w:rPr>
          <w:rFonts w:ascii="Book Antiqua" w:eastAsia="Times New Roman" w:hAnsi="Book Antiqua"/>
          <w:color w:val="000000" w:themeColor="text1"/>
          <w:sz w:val="24"/>
          <w:szCs w:val="24"/>
        </w:rPr>
        <w:t>,</w:t>
      </w:r>
      <w:r w:rsidRPr="00FD080D">
        <w:rPr>
          <w:rFonts w:ascii="Book Antiqua" w:eastAsia="Times New Roman" w:hAnsi="Book Antiqua"/>
          <w:color w:val="000000" w:themeColor="text1"/>
          <w:sz w:val="24"/>
          <w:szCs w:val="24"/>
        </w:rPr>
        <w:t xml:space="preserve"> the time until treatment was escalated to immunomodulators, biologics, or surgery.</w:t>
      </w:r>
    </w:p>
    <w:p w14:paraId="396F5052" w14:textId="77777777" w:rsidR="00153E1C" w:rsidRPr="00FD080D" w:rsidRDefault="00153E1C" w:rsidP="00153E1C">
      <w:pPr>
        <w:shd w:val="clear" w:color="auto" w:fill="FFFFFF"/>
        <w:adjustRightInd w:val="0"/>
        <w:snapToGrid w:val="0"/>
        <w:spacing w:after="0" w:line="360" w:lineRule="auto"/>
        <w:jc w:val="both"/>
        <w:rPr>
          <w:rFonts w:ascii="Book Antiqua" w:eastAsia="Times New Roman" w:hAnsi="Book Antiqua"/>
          <w:color w:val="000000" w:themeColor="text1"/>
          <w:sz w:val="24"/>
          <w:szCs w:val="24"/>
        </w:rPr>
      </w:pPr>
    </w:p>
    <w:p w14:paraId="31B0D55B" w14:textId="1E2186B5" w:rsidR="00F02772" w:rsidRPr="00153E1C" w:rsidRDefault="00F02772" w:rsidP="00153E1C">
      <w:pPr>
        <w:shd w:val="clear" w:color="auto" w:fill="FFFFFF"/>
        <w:adjustRightInd w:val="0"/>
        <w:snapToGrid w:val="0"/>
        <w:spacing w:after="0" w:line="360" w:lineRule="auto"/>
        <w:jc w:val="both"/>
        <w:rPr>
          <w:rFonts w:ascii="Book Antiqua" w:eastAsia="Times New Roman" w:hAnsi="Book Antiqua" w:cs="Times New Roman"/>
          <w:b/>
          <w:i/>
          <w:color w:val="000000" w:themeColor="text1"/>
          <w:sz w:val="24"/>
          <w:szCs w:val="24"/>
        </w:rPr>
      </w:pPr>
      <w:r w:rsidRPr="00153E1C">
        <w:rPr>
          <w:rFonts w:ascii="Book Antiqua" w:eastAsia="Times New Roman" w:hAnsi="Book Antiqua" w:cs="Times New Roman"/>
          <w:b/>
          <w:i/>
          <w:color w:val="000000" w:themeColor="text1"/>
          <w:sz w:val="24"/>
          <w:szCs w:val="24"/>
        </w:rPr>
        <w:t>Research methods</w:t>
      </w:r>
    </w:p>
    <w:p w14:paraId="27B564AD" w14:textId="46AA674D" w:rsidR="005B75F1" w:rsidRPr="00FD080D" w:rsidRDefault="00F02772" w:rsidP="00153E1C">
      <w:pPr>
        <w:shd w:val="clear" w:color="auto" w:fill="FFFFFF"/>
        <w:adjustRightInd w:val="0"/>
        <w:snapToGrid w:val="0"/>
        <w:spacing w:after="0" w:line="360" w:lineRule="auto"/>
        <w:jc w:val="both"/>
        <w:rPr>
          <w:rFonts w:ascii="Book Antiqua" w:eastAsia="Times New Roman" w:hAnsi="Book Antiqua" w:cs="Times New Roman"/>
          <w:color w:val="000000" w:themeColor="text1"/>
          <w:sz w:val="24"/>
          <w:szCs w:val="24"/>
        </w:rPr>
      </w:pPr>
      <w:r w:rsidRPr="00FD080D">
        <w:rPr>
          <w:rFonts w:ascii="Book Antiqua" w:eastAsia="Times New Roman" w:hAnsi="Book Antiqua" w:cs="Times New Roman"/>
          <w:color w:val="000000" w:themeColor="text1"/>
          <w:sz w:val="24"/>
          <w:szCs w:val="24"/>
        </w:rPr>
        <w:t>We conducted a retrospective chart review of the Inflammatory Bowel Disease Database at Boston Children</w:t>
      </w:r>
      <w:r w:rsidR="00153E1C">
        <w:rPr>
          <w:rFonts w:ascii="Book Antiqua" w:eastAsia="Times New Roman" w:hAnsi="Book Antiqua" w:cs="Times New Roman"/>
          <w:color w:val="000000" w:themeColor="text1"/>
          <w:sz w:val="24"/>
          <w:szCs w:val="24"/>
        </w:rPr>
        <w:t>’</w:t>
      </w:r>
      <w:r w:rsidRPr="00FD080D">
        <w:rPr>
          <w:rFonts w:ascii="Book Antiqua" w:eastAsia="Times New Roman" w:hAnsi="Book Antiqua" w:cs="Times New Roman"/>
          <w:color w:val="000000" w:themeColor="text1"/>
          <w:sz w:val="24"/>
          <w:szCs w:val="24"/>
        </w:rPr>
        <w:t xml:space="preserve">s Hospital. </w:t>
      </w:r>
      <w:r w:rsidR="002A1111" w:rsidRPr="00FD080D">
        <w:rPr>
          <w:rFonts w:ascii="Book Antiqua" w:eastAsia="Times New Roman" w:hAnsi="Book Antiqua" w:cs="Times New Roman"/>
          <w:color w:val="000000" w:themeColor="text1"/>
          <w:sz w:val="24"/>
          <w:szCs w:val="24"/>
        </w:rPr>
        <w:t xml:space="preserve">We went through the detailed clinic visits, laboratory studies and procedures for all the patients that met our inclusion criteria. And data was then filed into a Redcap database. </w:t>
      </w:r>
      <w:r w:rsidR="00AE2532" w:rsidRPr="00FD080D">
        <w:rPr>
          <w:rFonts w:ascii="Book Antiqua" w:eastAsia="Times New Roman" w:hAnsi="Book Antiqua" w:cs="Times New Roman"/>
          <w:sz w:val="24"/>
          <w:szCs w:val="24"/>
        </w:rPr>
        <w:t>Descriptive statistics were used to summarize subject characteristics at disease diagnosis. Chi-squared tests were utilized to assess categorical variables and independent T-tests were used to compare continuous variables. Z scores were used to describe height data.</w:t>
      </w:r>
    </w:p>
    <w:p w14:paraId="728AC115" w14:textId="77777777" w:rsidR="00D2768B" w:rsidRPr="00FD080D" w:rsidRDefault="00D2768B" w:rsidP="00153E1C">
      <w:pPr>
        <w:shd w:val="clear" w:color="auto" w:fill="FFFFFF"/>
        <w:adjustRightInd w:val="0"/>
        <w:snapToGrid w:val="0"/>
        <w:spacing w:after="0" w:line="360" w:lineRule="auto"/>
        <w:jc w:val="both"/>
        <w:rPr>
          <w:rFonts w:ascii="Book Antiqua" w:eastAsia="Times New Roman" w:hAnsi="Book Antiqua" w:cs="Times New Roman"/>
          <w:color w:val="000000" w:themeColor="text1"/>
          <w:sz w:val="24"/>
          <w:szCs w:val="24"/>
        </w:rPr>
      </w:pPr>
    </w:p>
    <w:p w14:paraId="586B4C7D" w14:textId="77777777" w:rsidR="000F4854" w:rsidRPr="00153E1C" w:rsidRDefault="000F4854" w:rsidP="00153E1C">
      <w:pPr>
        <w:shd w:val="clear" w:color="auto" w:fill="FFFFFF"/>
        <w:adjustRightInd w:val="0"/>
        <w:snapToGrid w:val="0"/>
        <w:spacing w:after="0" w:line="360" w:lineRule="auto"/>
        <w:jc w:val="both"/>
        <w:rPr>
          <w:rFonts w:ascii="Book Antiqua" w:eastAsia="Times New Roman" w:hAnsi="Book Antiqua"/>
          <w:b/>
          <w:i/>
          <w:color w:val="000000" w:themeColor="text1"/>
          <w:sz w:val="24"/>
          <w:szCs w:val="24"/>
        </w:rPr>
      </w:pPr>
      <w:r w:rsidRPr="00153E1C">
        <w:rPr>
          <w:rFonts w:ascii="Book Antiqua" w:eastAsia="Times New Roman" w:hAnsi="Book Antiqua"/>
          <w:b/>
          <w:i/>
          <w:color w:val="000000" w:themeColor="text1"/>
          <w:sz w:val="24"/>
          <w:szCs w:val="24"/>
        </w:rPr>
        <w:t>Research r</w:t>
      </w:r>
      <w:r w:rsidR="005B75F1" w:rsidRPr="00153E1C">
        <w:rPr>
          <w:rFonts w:ascii="Book Antiqua" w:eastAsia="Times New Roman" w:hAnsi="Book Antiqua"/>
          <w:b/>
          <w:i/>
          <w:color w:val="000000" w:themeColor="text1"/>
          <w:sz w:val="24"/>
          <w:szCs w:val="24"/>
        </w:rPr>
        <w:t>esults</w:t>
      </w:r>
    </w:p>
    <w:p w14:paraId="74E40BFF" w14:textId="40C2187B" w:rsidR="005B75F1" w:rsidRPr="00FD080D" w:rsidRDefault="005B75F1" w:rsidP="00153E1C">
      <w:pPr>
        <w:shd w:val="clear" w:color="auto" w:fill="FFFFFF"/>
        <w:adjustRightInd w:val="0"/>
        <w:snapToGrid w:val="0"/>
        <w:spacing w:after="0" w:line="360" w:lineRule="auto"/>
        <w:jc w:val="both"/>
        <w:rPr>
          <w:rFonts w:ascii="Book Antiqua" w:hAnsi="Book Antiqua"/>
          <w:color w:val="000000" w:themeColor="text1"/>
          <w:sz w:val="24"/>
          <w:szCs w:val="24"/>
        </w:rPr>
      </w:pPr>
      <w:r w:rsidRPr="00FD080D">
        <w:rPr>
          <w:rFonts w:ascii="Book Antiqua" w:eastAsia="Times New Roman" w:hAnsi="Book Antiqua"/>
          <w:color w:val="000000" w:themeColor="text1"/>
          <w:sz w:val="24"/>
          <w:szCs w:val="24"/>
        </w:rPr>
        <w:t>We identified a subset of patients who were able to avoid immune suppression for prolonged periods of time, up to a decade.</w:t>
      </w:r>
      <w:r w:rsidR="005A2593">
        <w:rPr>
          <w:rFonts w:ascii="Book Antiqua" w:eastAsia="Times New Roman" w:hAnsi="Book Antiqua"/>
          <w:color w:val="000000" w:themeColor="text1"/>
          <w:sz w:val="24"/>
          <w:szCs w:val="24"/>
        </w:rPr>
        <w:t xml:space="preserve"> </w:t>
      </w:r>
      <w:r w:rsidRPr="00FD080D">
        <w:rPr>
          <w:rFonts w:ascii="Book Antiqua" w:eastAsia="Times New Roman" w:hAnsi="Book Antiqua"/>
          <w:color w:val="000000" w:themeColor="text1"/>
          <w:sz w:val="24"/>
          <w:szCs w:val="24"/>
        </w:rPr>
        <w:t>Interestingly, only a subset of these patients (approximately 30%) required escalation to more potent immunosuppression on clinical grounds.</w:t>
      </w:r>
      <w:r w:rsidR="005A2593">
        <w:rPr>
          <w:rFonts w:ascii="Book Antiqua" w:eastAsia="Times New Roman" w:hAnsi="Book Antiqua"/>
          <w:color w:val="000000" w:themeColor="text1"/>
          <w:sz w:val="24"/>
          <w:szCs w:val="24"/>
        </w:rPr>
        <w:t xml:space="preserve"> </w:t>
      </w:r>
      <w:r w:rsidR="00D2768B" w:rsidRPr="00FD080D">
        <w:rPr>
          <w:rFonts w:ascii="Book Antiqua" w:eastAsia="Times New Roman" w:hAnsi="Book Antiqua"/>
          <w:color w:val="000000" w:themeColor="text1"/>
          <w:sz w:val="24"/>
          <w:szCs w:val="24"/>
        </w:rPr>
        <w:t>Patients that required steroid courses after the first 2 years and had more complications were more likely to require escalation in therapy.</w:t>
      </w:r>
      <w:r w:rsidR="003A60E1" w:rsidRPr="00FD080D">
        <w:rPr>
          <w:rFonts w:ascii="Book Antiqua" w:hAnsi="Book Antiqua"/>
          <w:color w:val="000000" w:themeColor="text1"/>
          <w:sz w:val="24"/>
          <w:szCs w:val="24"/>
        </w:rPr>
        <w:t xml:space="preserve"> </w:t>
      </w:r>
      <w:r w:rsidRPr="00FD080D">
        <w:rPr>
          <w:rFonts w:ascii="Book Antiqua" w:eastAsia="Times New Roman" w:hAnsi="Book Antiqua"/>
          <w:color w:val="000000" w:themeColor="text1"/>
          <w:sz w:val="24"/>
          <w:szCs w:val="24"/>
        </w:rPr>
        <w:t xml:space="preserve">However, treatment without immunosuppressive drugs (such as </w:t>
      </w:r>
      <w:proofErr w:type="spellStart"/>
      <w:r w:rsidRPr="00FD080D">
        <w:rPr>
          <w:rFonts w:ascii="Book Antiqua" w:eastAsia="Times New Roman" w:hAnsi="Book Antiqua"/>
          <w:color w:val="000000" w:themeColor="text1"/>
          <w:sz w:val="24"/>
          <w:szCs w:val="24"/>
        </w:rPr>
        <w:t>aminosalicylates</w:t>
      </w:r>
      <w:proofErr w:type="spellEnd"/>
      <w:r w:rsidRPr="00FD080D">
        <w:rPr>
          <w:rFonts w:ascii="Book Antiqua" w:eastAsia="Times New Roman" w:hAnsi="Book Antiqua"/>
          <w:color w:val="000000" w:themeColor="text1"/>
          <w:sz w:val="24"/>
          <w:szCs w:val="24"/>
        </w:rPr>
        <w:t xml:space="preserve">), while often resulting in clinical improvement, did not result in histologic healing </w:t>
      </w:r>
      <w:r w:rsidR="00186114" w:rsidRPr="00FD080D">
        <w:rPr>
          <w:rFonts w:ascii="Book Antiqua" w:eastAsia="Times New Roman" w:hAnsi="Book Antiqua"/>
          <w:color w:val="000000" w:themeColor="text1"/>
          <w:sz w:val="24"/>
          <w:szCs w:val="24"/>
        </w:rPr>
        <w:t>in</w:t>
      </w:r>
      <w:r w:rsidRPr="00FD080D">
        <w:rPr>
          <w:rFonts w:ascii="Book Antiqua" w:eastAsia="Times New Roman" w:hAnsi="Book Antiqua"/>
          <w:color w:val="000000" w:themeColor="text1"/>
          <w:sz w:val="24"/>
          <w:szCs w:val="24"/>
        </w:rPr>
        <w:t xml:space="preserve"> the vast majority of patients.</w:t>
      </w:r>
    </w:p>
    <w:p w14:paraId="6BAD3CF4" w14:textId="77777777" w:rsidR="005B75F1" w:rsidRPr="00FD080D" w:rsidRDefault="005B75F1" w:rsidP="00153E1C">
      <w:pPr>
        <w:shd w:val="clear" w:color="auto" w:fill="FFFFFF"/>
        <w:adjustRightInd w:val="0"/>
        <w:snapToGrid w:val="0"/>
        <w:spacing w:after="0" w:line="360" w:lineRule="auto"/>
        <w:jc w:val="both"/>
        <w:rPr>
          <w:rFonts w:ascii="Book Antiqua" w:eastAsia="Times New Roman" w:hAnsi="Book Antiqua" w:cs="Times New Roman"/>
          <w:color w:val="000000" w:themeColor="text1"/>
          <w:sz w:val="24"/>
          <w:szCs w:val="24"/>
        </w:rPr>
      </w:pPr>
      <w:r w:rsidRPr="00FD080D">
        <w:rPr>
          <w:rFonts w:ascii="Book Antiqua" w:eastAsia="Times New Roman" w:hAnsi="Book Antiqua"/>
          <w:color w:val="000000" w:themeColor="text1"/>
          <w:sz w:val="24"/>
          <w:szCs w:val="24"/>
        </w:rPr>
        <w:t> </w:t>
      </w:r>
    </w:p>
    <w:p w14:paraId="3E9A1C5E" w14:textId="30229866" w:rsidR="00F86C90" w:rsidRPr="00153E1C" w:rsidRDefault="00F86C90" w:rsidP="00153E1C">
      <w:pPr>
        <w:shd w:val="clear" w:color="auto" w:fill="FFFFFF"/>
        <w:adjustRightInd w:val="0"/>
        <w:snapToGrid w:val="0"/>
        <w:spacing w:after="0" w:line="360" w:lineRule="auto"/>
        <w:jc w:val="both"/>
        <w:rPr>
          <w:rFonts w:ascii="Book Antiqua" w:eastAsia="Times New Roman" w:hAnsi="Book Antiqua"/>
          <w:b/>
          <w:i/>
          <w:color w:val="000000" w:themeColor="text1"/>
          <w:sz w:val="24"/>
          <w:szCs w:val="24"/>
        </w:rPr>
      </w:pPr>
      <w:r w:rsidRPr="00153E1C">
        <w:rPr>
          <w:rFonts w:ascii="Book Antiqua" w:eastAsia="Times New Roman" w:hAnsi="Book Antiqua"/>
          <w:b/>
          <w:i/>
          <w:color w:val="000000" w:themeColor="text1"/>
          <w:sz w:val="24"/>
          <w:szCs w:val="24"/>
        </w:rPr>
        <w:t>Research c</w:t>
      </w:r>
      <w:r w:rsidR="005B75F1" w:rsidRPr="00153E1C">
        <w:rPr>
          <w:rFonts w:ascii="Book Antiqua" w:eastAsia="Times New Roman" w:hAnsi="Book Antiqua"/>
          <w:b/>
          <w:i/>
          <w:color w:val="000000" w:themeColor="text1"/>
          <w:sz w:val="24"/>
          <w:szCs w:val="24"/>
        </w:rPr>
        <w:t xml:space="preserve">onclusions </w:t>
      </w:r>
    </w:p>
    <w:p w14:paraId="79E1D4B5" w14:textId="27F982CA" w:rsidR="005B6349" w:rsidRDefault="005B75F1" w:rsidP="00153E1C">
      <w:pPr>
        <w:shd w:val="clear" w:color="auto" w:fill="FFFFFF"/>
        <w:adjustRightInd w:val="0"/>
        <w:snapToGrid w:val="0"/>
        <w:spacing w:after="0" w:line="360" w:lineRule="auto"/>
        <w:jc w:val="both"/>
        <w:rPr>
          <w:rFonts w:ascii="Book Antiqua" w:eastAsia="Times New Roman" w:hAnsi="Book Antiqua"/>
          <w:color w:val="000000" w:themeColor="text1"/>
          <w:sz w:val="24"/>
          <w:szCs w:val="24"/>
        </w:rPr>
      </w:pPr>
      <w:r w:rsidRPr="00FD080D">
        <w:rPr>
          <w:rFonts w:ascii="Book Antiqua" w:eastAsia="Times New Roman" w:hAnsi="Book Antiqua"/>
          <w:color w:val="000000" w:themeColor="text1"/>
          <w:sz w:val="24"/>
          <w:szCs w:val="24"/>
        </w:rPr>
        <w:t>Not every child with new onset Crohn</w:t>
      </w:r>
      <w:r w:rsidR="00153E1C">
        <w:rPr>
          <w:rFonts w:ascii="Book Antiqua" w:eastAsia="Times New Roman" w:hAnsi="Book Antiqua"/>
          <w:color w:val="000000" w:themeColor="text1"/>
          <w:sz w:val="24"/>
          <w:szCs w:val="24"/>
        </w:rPr>
        <w:t>’</w:t>
      </w:r>
      <w:r w:rsidRPr="00FD080D">
        <w:rPr>
          <w:rFonts w:ascii="Book Antiqua" w:eastAsia="Times New Roman" w:hAnsi="Book Antiqua"/>
          <w:color w:val="000000" w:themeColor="text1"/>
          <w:sz w:val="24"/>
          <w:szCs w:val="24"/>
        </w:rPr>
        <w:t>s disease requires the early institution of immunosuppressive agents (such as methotrexate, mercaptopurine, or anti-TNF treatment) immediately after diagnosis.</w:t>
      </w:r>
      <w:r w:rsidR="005A2593">
        <w:rPr>
          <w:rFonts w:ascii="Book Antiqua" w:eastAsia="Times New Roman" w:hAnsi="Book Antiqua"/>
          <w:color w:val="000000" w:themeColor="text1"/>
          <w:sz w:val="24"/>
          <w:szCs w:val="24"/>
        </w:rPr>
        <w:t xml:space="preserve"> </w:t>
      </w:r>
      <w:r w:rsidRPr="00FD080D">
        <w:rPr>
          <w:rFonts w:ascii="Book Antiqua" w:eastAsia="Times New Roman" w:hAnsi="Book Antiqua"/>
          <w:color w:val="000000" w:themeColor="text1"/>
          <w:sz w:val="24"/>
          <w:szCs w:val="24"/>
        </w:rPr>
        <w:t>There is a small subset of children with mild Crohn</w:t>
      </w:r>
      <w:r w:rsidR="00153E1C">
        <w:rPr>
          <w:rFonts w:ascii="Book Antiqua" w:eastAsia="Times New Roman" w:hAnsi="Book Antiqua"/>
          <w:color w:val="000000" w:themeColor="text1"/>
          <w:sz w:val="24"/>
          <w:szCs w:val="24"/>
        </w:rPr>
        <w:t>’</w:t>
      </w:r>
      <w:r w:rsidRPr="00FD080D">
        <w:rPr>
          <w:rFonts w:ascii="Book Antiqua" w:eastAsia="Times New Roman" w:hAnsi="Book Antiqua"/>
          <w:color w:val="000000" w:themeColor="text1"/>
          <w:sz w:val="24"/>
          <w:szCs w:val="24"/>
        </w:rPr>
        <w:t xml:space="preserve">s disease, who can be maintained on </w:t>
      </w:r>
      <w:proofErr w:type="spellStart"/>
      <w:r w:rsidRPr="00FD080D">
        <w:rPr>
          <w:rFonts w:ascii="Book Antiqua" w:eastAsia="Times New Roman" w:hAnsi="Book Antiqua"/>
          <w:color w:val="000000" w:themeColor="text1"/>
          <w:sz w:val="24"/>
          <w:szCs w:val="24"/>
        </w:rPr>
        <w:t>aminosalicylate</w:t>
      </w:r>
      <w:proofErr w:type="spellEnd"/>
      <w:r w:rsidRPr="00FD080D">
        <w:rPr>
          <w:rFonts w:ascii="Book Antiqua" w:eastAsia="Times New Roman" w:hAnsi="Book Antiqua"/>
          <w:color w:val="000000" w:themeColor="text1"/>
          <w:sz w:val="24"/>
          <w:szCs w:val="24"/>
        </w:rPr>
        <w:t xml:space="preserve"> therapy alone, and not require drug escalation for several years.</w:t>
      </w:r>
      <w:r w:rsidR="005A2593">
        <w:rPr>
          <w:rFonts w:ascii="Book Antiqua" w:eastAsia="Times New Roman" w:hAnsi="Book Antiqua"/>
          <w:color w:val="000000" w:themeColor="text1"/>
          <w:sz w:val="24"/>
          <w:szCs w:val="24"/>
        </w:rPr>
        <w:t xml:space="preserve"> </w:t>
      </w:r>
      <w:r w:rsidRPr="00FD080D">
        <w:rPr>
          <w:rFonts w:ascii="Book Antiqua" w:eastAsia="Times New Roman" w:hAnsi="Book Antiqua"/>
          <w:color w:val="000000" w:themeColor="text1"/>
          <w:sz w:val="24"/>
          <w:szCs w:val="24"/>
        </w:rPr>
        <w:t xml:space="preserve">Currently, the phenotype that may have the best response to </w:t>
      </w:r>
      <w:proofErr w:type="spellStart"/>
      <w:r w:rsidRPr="00FD080D">
        <w:rPr>
          <w:rFonts w:ascii="Book Antiqua" w:eastAsia="Times New Roman" w:hAnsi="Book Antiqua"/>
          <w:color w:val="000000" w:themeColor="text1"/>
          <w:sz w:val="24"/>
          <w:szCs w:val="24"/>
        </w:rPr>
        <w:t>aminosalicylate</w:t>
      </w:r>
      <w:proofErr w:type="spellEnd"/>
      <w:r w:rsidRPr="00FD080D">
        <w:rPr>
          <w:rFonts w:ascii="Book Antiqua" w:eastAsia="Times New Roman" w:hAnsi="Book Antiqua"/>
          <w:color w:val="000000" w:themeColor="text1"/>
          <w:sz w:val="24"/>
          <w:szCs w:val="24"/>
        </w:rPr>
        <w:t xml:space="preserve"> therapy is mild colonic disease.</w:t>
      </w:r>
    </w:p>
    <w:p w14:paraId="4D9F6935" w14:textId="77777777" w:rsidR="00153E1C" w:rsidRPr="00FD080D" w:rsidRDefault="00153E1C" w:rsidP="00153E1C">
      <w:pPr>
        <w:shd w:val="clear" w:color="auto" w:fill="FFFFFF"/>
        <w:adjustRightInd w:val="0"/>
        <w:snapToGrid w:val="0"/>
        <w:spacing w:after="0" w:line="360" w:lineRule="auto"/>
        <w:jc w:val="both"/>
        <w:rPr>
          <w:rFonts w:ascii="Book Antiqua" w:eastAsia="Times New Roman" w:hAnsi="Book Antiqua"/>
          <w:color w:val="000000" w:themeColor="text1"/>
          <w:sz w:val="24"/>
          <w:szCs w:val="24"/>
        </w:rPr>
      </w:pPr>
    </w:p>
    <w:p w14:paraId="0537FF7F" w14:textId="3C65A509" w:rsidR="005B6349" w:rsidRPr="00153E1C" w:rsidRDefault="005B6349" w:rsidP="00153E1C">
      <w:pPr>
        <w:shd w:val="clear" w:color="auto" w:fill="FFFFFF"/>
        <w:adjustRightInd w:val="0"/>
        <w:snapToGrid w:val="0"/>
        <w:spacing w:after="0" w:line="360" w:lineRule="auto"/>
        <w:jc w:val="both"/>
        <w:rPr>
          <w:rFonts w:ascii="Book Antiqua" w:eastAsia="Times New Roman" w:hAnsi="Book Antiqua"/>
          <w:b/>
          <w:i/>
          <w:color w:val="000000" w:themeColor="text1"/>
          <w:sz w:val="24"/>
          <w:szCs w:val="24"/>
        </w:rPr>
      </w:pPr>
      <w:r w:rsidRPr="00153E1C">
        <w:rPr>
          <w:rFonts w:ascii="Book Antiqua" w:eastAsia="Times New Roman" w:hAnsi="Book Antiqua"/>
          <w:b/>
          <w:i/>
          <w:color w:val="000000" w:themeColor="text1"/>
          <w:sz w:val="24"/>
          <w:szCs w:val="24"/>
        </w:rPr>
        <w:t>Research perspectives</w:t>
      </w:r>
    </w:p>
    <w:p w14:paraId="70085EA3" w14:textId="76C62478" w:rsidR="005B75F1" w:rsidRPr="00FD080D" w:rsidRDefault="00DB6FE6" w:rsidP="00153E1C">
      <w:pPr>
        <w:shd w:val="clear" w:color="auto" w:fill="FFFFFF"/>
        <w:adjustRightInd w:val="0"/>
        <w:snapToGrid w:val="0"/>
        <w:spacing w:after="0" w:line="360" w:lineRule="auto"/>
        <w:jc w:val="both"/>
        <w:rPr>
          <w:rFonts w:ascii="Book Antiqua" w:eastAsia="Times New Roman" w:hAnsi="Book Antiqua" w:cs="Times New Roman"/>
          <w:color w:val="000000" w:themeColor="text1"/>
          <w:sz w:val="24"/>
          <w:szCs w:val="24"/>
        </w:rPr>
      </w:pPr>
      <w:r w:rsidRPr="00FD080D">
        <w:rPr>
          <w:rFonts w:ascii="Book Antiqua" w:eastAsia="Times New Roman" w:hAnsi="Book Antiqua"/>
          <w:color w:val="000000" w:themeColor="text1"/>
          <w:sz w:val="24"/>
          <w:szCs w:val="24"/>
        </w:rPr>
        <w:t>M</w:t>
      </w:r>
      <w:r w:rsidR="00A302C0" w:rsidRPr="00FD080D">
        <w:rPr>
          <w:rFonts w:ascii="Book Antiqua" w:eastAsia="Times New Roman" w:hAnsi="Book Antiqua"/>
          <w:color w:val="000000" w:themeColor="text1"/>
          <w:sz w:val="24"/>
          <w:szCs w:val="24"/>
        </w:rPr>
        <w:t>ild Crohn</w:t>
      </w:r>
      <w:r w:rsidR="00153E1C">
        <w:rPr>
          <w:rFonts w:ascii="Book Antiqua" w:eastAsia="Times New Roman" w:hAnsi="Book Antiqua"/>
          <w:color w:val="000000" w:themeColor="text1"/>
          <w:sz w:val="24"/>
          <w:szCs w:val="24"/>
        </w:rPr>
        <w:t>’</w:t>
      </w:r>
      <w:r w:rsidR="00A302C0" w:rsidRPr="00FD080D">
        <w:rPr>
          <w:rFonts w:ascii="Book Antiqua" w:eastAsia="Times New Roman" w:hAnsi="Book Antiqua"/>
          <w:color w:val="000000" w:themeColor="text1"/>
          <w:sz w:val="24"/>
          <w:szCs w:val="24"/>
        </w:rPr>
        <w:t>s patients may be able to be identified in the future through genetic or serologic predictive models. </w:t>
      </w:r>
      <w:r w:rsidR="00173397" w:rsidRPr="00FD080D">
        <w:rPr>
          <w:rFonts w:ascii="Book Antiqua" w:eastAsia="Times New Roman" w:hAnsi="Book Antiqua"/>
          <w:color w:val="000000" w:themeColor="text1"/>
          <w:sz w:val="24"/>
          <w:szCs w:val="24"/>
        </w:rPr>
        <w:t>It</w:t>
      </w:r>
      <w:r w:rsidR="00153E1C">
        <w:rPr>
          <w:rFonts w:ascii="Book Antiqua" w:eastAsia="Times New Roman" w:hAnsi="Book Antiqua"/>
          <w:color w:val="000000" w:themeColor="text1"/>
          <w:sz w:val="24"/>
          <w:szCs w:val="24"/>
        </w:rPr>
        <w:t>’</w:t>
      </w:r>
      <w:r w:rsidR="00173397" w:rsidRPr="00FD080D">
        <w:rPr>
          <w:rFonts w:ascii="Book Antiqua" w:eastAsia="Times New Roman" w:hAnsi="Book Antiqua"/>
          <w:color w:val="000000" w:themeColor="text1"/>
          <w:sz w:val="24"/>
          <w:szCs w:val="24"/>
        </w:rPr>
        <w:t>s important to stratify low risk patients and prevent overtreatment</w:t>
      </w:r>
      <w:r w:rsidR="0038780E" w:rsidRPr="00FD080D">
        <w:rPr>
          <w:rFonts w:ascii="Book Antiqua" w:eastAsia="Times New Roman" w:hAnsi="Book Antiqua"/>
          <w:color w:val="000000" w:themeColor="text1"/>
          <w:sz w:val="24"/>
          <w:szCs w:val="24"/>
        </w:rPr>
        <w:t xml:space="preserve"> with immunomodulators and biologics.</w:t>
      </w:r>
      <w:r w:rsidR="00A302C0" w:rsidRPr="00FD080D">
        <w:rPr>
          <w:rFonts w:ascii="Book Antiqua" w:eastAsia="Times New Roman" w:hAnsi="Book Antiqua"/>
          <w:color w:val="000000" w:themeColor="text1"/>
          <w:sz w:val="24"/>
          <w:szCs w:val="24"/>
        </w:rPr>
        <w:t xml:space="preserve"> F</w:t>
      </w:r>
      <w:r w:rsidR="005B75F1" w:rsidRPr="00FD080D">
        <w:rPr>
          <w:rFonts w:ascii="Book Antiqua" w:eastAsia="Times New Roman" w:hAnsi="Book Antiqua"/>
          <w:color w:val="000000" w:themeColor="text1"/>
          <w:sz w:val="24"/>
          <w:szCs w:val="24"/>
        </w:rPr>
        <w:t xml:space="preserve">uture research </w:t>
      </w:r>
      <w:r w:rsidR="00A302C0" w:rsidRPr="00FD080D">
        <w:rPr>
          <w:rFonts w:ascii="Book Antiqua" w:eastAsia="Times New Roman" w:hAnsi="Book Antiqua"/>
          <w:color w:val="000000" w:themeColor="text1"/>
          <w:sz w:val="24"/>
          <w:szCs w:val="24"/>
        </w:rPr>
        <w:t>should focus on</w:t>
      </w:r>
      <w:r w:rsidR="005B75F1" w:rsidRPr="00FD080D">
        <w:rPr>
          <w:rFonts w:ascii="Book Antiqua" w:eastAsia="Times New Roman" w:hAnsi="Book Antiqua"/>
          <w:color w:val="000000" w:themeColor="text1"/>
          <w:sz w:val="24"/>
          <w:szCs w:val="24"/>
        </w:rPr>
        <w:t xml:space="preserve"> establishing more genotypic and environmental data to better characterize this low risk population</w:t>
      </w:r>
      <w:r w:rsidR="00186114" w:rsidRPr="00FD080D">
        <w:rPr>
          <w:rFonts w:ascii="Book Antiqua" w:eastAsia="Times New Roman" w:hAnsi="Book Antiqua"/>
          <w:color w:val="000000" w:themeColor="text1"/>
          <w:sz w:val="24"/>
          <w:szCs w:val="24"/>
        </w:rPr>
        <w:t>.</w:t>
      </w:r>
    </w:p>
    <w:p w14:paraId="566D94B6" w14:textId="00FE7F70" w:rsidR="00D53981" w:rsidRPr="00FD080D" w:rsidRDefault="00D53981" w:rsidP="00153E1C">
      <w:pPr>
        <w:adjustRightInd w:val="0"/>
        <w:snapToGrid w:val="0"/>
        <w:spacing w:after="0" w:line="360" w:lineRule="auto"/>
        <w:jc w:val="both"/>
        <w:rPr>
          <w:rFonts w:ascii="Book Antiqua" w:hAnsi="Book Antiqua"/>
          <w:sz w:val="24"/>
          <w:szCs w:val="24"/>
        </w:rPr>
      </w:pPr>
    </w:p>
    <w:p w14:paraId="44EEF018" w14:textId="77777777" w:rsidR="00D53981" w:rsidRPr="00FD080D" w:rsidRDefault="001B01CA" w:rsidP="00153E1C">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ab/>
        <w:t xml:space="preserve"> </w:t>
      </w:r>
      <w:r w:rsidRPr="00FD080D">
        <w:rPr>
          <w:rFonts w:ascii="Book Antiqua" w:hAnsi="Book Antiqua"/>
          <w:sz w:val="24"/>
          <w:szCs w:val="24"/>
        </w:rPr>
        <w:br w:type="page"/>
      </w:r>
    </w:p>
    <w:p w14:paraId="790B6B85" w14:textId="5B975FFB" w:rsidR="00D53981" w:rsidRPr="00153E1C" w:rsidRDefault="00153E1C" w:rsidP="00FD080D">
      <w:pPr>
        <w:adjustRightInd w:val="0"/>
        <w:snapToGrid w:val="0"/>
        <w:spacing w:after="0" w:line="360" w:lineRule="auto"/>
        <w:jc w:val="both"/>
        <w:rPr>
          <w:rFonts w:ascii="Book Antiqua" w:eastAsia="Times New Roman" w:hAnsi="Book Antiqua" w:cs="Times New Roman"/>
          <w:b/>
          <w:bCs/>
          <w:sz w:val="24"/>
          <w:szCs w:val="24"/>
        </w:rPr>
      </w:pPr>
      <w:r w:rsidRPr="00153E1C">
        <w:rPr>
          <w:rFonts w:ascii="Book Antiqua" w:eastAsia="Times New Roman" w:hAnsi="Book Antiqua" w:cs="Times New Roman"/>
          <w:b/>
          <w:bCs/>
          <w:sz w:val="24"/>
          <w:szCs w:val="24"/>
        </w:rPr>
        <w:lastRenderedPageBreak/>
        <w:t xml:space="preserve">REFERENCES </w:t>
      </w:r>
    </w:p>
    <w:p w14:paraId="57989DB8"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1 </w:t>
      </w:r>
      <w:proofErr w:type="spellStart"/>
      <w:r w:rsidRPr="00153E1C">
        <w:rPr>
          <w:rFonts w:ascii="Book Antiqua" w:hAnsi="Book Antiqua" w:cstheme="minorHAnsi"/>
          <w:b/>
          <w:bCs/>
          <w:sz w:val="24"/>
          <w:szCs w:val="24"/>
        </w:rPr>
        <w:t>Ruemmele</w:t>
      </w:r>
      <w:proofErr w:type="spellEnd"/>
      <w:r w:rsidRPr="00153E1C">
        <w:rPr>
          <w:rFonts w:ascii="Book Antiqua" w:hAnsi="Book Antiqua" w:cstheme="minorHAnsi"/>
          <w:b/>
          <w:bCs/>
          <w:sz w:val="24"/>
          <w:szCs w:val="24"/>
        </w:rPr>
        <w:t xml:space="preserve"> FM</w:t>
      </w:r>
      <w:r w:rsidRPr="00153E1C">
        <w:rPr>
          <w:rFonts w:ascii="Book Antiqua" w:hAnsi="Book Antiqua" w:cstheme="minorHAnsi"/>
          <w:sz w:val="24"/>
          <w:szCs w:val="24"/>
        </w:rPr>
        <w:t xml:space="preserve">, </w:t>
      </w:r>
      <w:proofErr w:type="spellStart"/>
      <w:r w:rsidRPr="00153E1C">
        <w:rPr>
          <w:rFonts w:ascii="Book Antiqua" w:hAnsi="Book Antiqua" w:cstheme="minorHAnsi"/>
          <w:sz w:val="24"/>
          <w:szCs w:val="24"/>
        </w:rPr>
        <w:t>Veres</w:t>
      </w:r>
      <w:proofErr w:type="spellEnd"/>
      <w:r w:rsidRPr="00153E1C">
        <w:rPr>
          <w:rFonts w:ascii="Book Antiqua" w:hAnsi="Book Antiqua" w:cstheme="minorHAnsi"/>
          <w:sz w:val="24"/>
          <w:szCs w:val="24"/>
        </w:rPr>
        <w:t xml:space="preserve"> G, </w:t>
      </w:r>
      <w:proofErr w:type="spellStart"/>
      <w:r w:rsidRPr="00153E1C">
        <w:rPr>
          <w:rFonts w:ascii="Book Antiqua" w:hAnsi="Book Antiqua" w:cstheme="minorHAnsi"/>
          <w:sz w:val="24"/>
          <w:szCs w:val="24"/>
        </w:rPr>
        <w:t>Kolho</w:t>
      </w:r>
      <w:proofErr w:type="spellEnd"/>
      <w:r w:rsidRPr="00153E1C">
        <w:rPr>
          <w:rFonts w:ascii="Book Antiqua" w:hAnsi="Book Antiqua" w:cstheme="minorHAnsi"/>
          <w:sz w:val="24"/>
          <w:szCs w:val="24"/>
        </w:rPr>
        <w:t xml:space="preserve"> KL, Griffiths A, Levine A, Escher JC, </w:t>
      </w:r>
      <w:proofErr w:type="spellStart"/>
      <w:r w:rsidRPr="00153E1C">
        <w:rPr>
          <w:rFonts w:ascii="Book Antiqua" w:hAnsi="Book Antiqua" w:cstheme="minorHAnsi"/>
          <w:sz w:val="24"/>
          <w:szCs w:val="24"/>
        </w:rPr>
        <w:t>Amil</w:t>
      </w:r>
      <w:proofErr w:type="spellEnd"/>
      <w:r w:rsidRPr="00153E1C">
        <w:rPr>
          <w:rFonts w:ascii="Book Antiqua" w:hAnsi="Book Antiqua" w:cstheme="minorHAnsi"/>
          <w:sz w:val="24"/>
          <w:szCs w:val="24"/>
        </w:rPr>
        <w:t xml:space="preserve"> Dias J, </w:t>
      </w:r>
      <w:proofErr w:type="spellStart"/>
      <w:r w:rsidRPr="00153E1C">
        <w:rPr>
          <w:rFonts w:ascii="Book Antiqua" w:hAnsi="Book Antiqua" w:cstheme="minorHAnsi"/>
          <w:sz w:val="24"/>
          <w:szCs w:val="24"/>
        </w:rPr>
        <w:t>Barabino</w:t>
      </w:r>
      <w:proofErr w:type="spellEnd"/>
      <w:r w:rsidRPr="00153E1C">
        <w:rPr>
          <w:rFonts w:ascii="Book Antiqua" w:hAnsi="Book Antiqua" w:cstheme="minorHAnsi"/>
          <w:sz w:val="24"/>
          <w:szCs w:val="24"/>
        </w:rPr>
        <w:t xml:space="preserve"> A, </w:t>
      </w:r>
      <w:proofErr w:type="spellStart"/>
      <w:r w:rsidRPr="00153E1C">
        <w:rPr>
          <w:rFonts w:ascii="Book Antiqua" w:hAnsi="Book Antiqua" w:cstheme="minorHAnsi"/>
          <w:sz w:val="24"/>
          <w:szCs w:val="24"/>
        </w:rPr>
        <w:t>Braegger</w:t>
      </w:r>
      <w:proofErr w:type="spellEnd"/>
      <w:r w:rsidRPr="00153E1C">
        <w:rPr>
          <w:rFonts w:ascii="Book Antiqua" w:hAnsi="Book Antiqua" w:cstheme="minorHAnsi"/>
          <w:sz w:val="24"/>
          <w:szCs w:val="24"/>
        </w:rPr>
        <w:t xml:space="preserve"> CP, </w:t>
      </w:r>
      <w:proofErr w:type="spellStart"/>
      <w:r w:rsidRPr="00153E1C">
        <w:rPr>
          <w:rFonts w:ascii="Book Antiqua" w:hAnsi="Book Antiqua" w:cstheme="minorHAnsi"/>
          <w:sz w:val="24"/>
          <w:szCs w:val="24"/>
        </w:rPr>
        <w:t>Bronsky</w:t>
      </w:r>
      <w:proofErr w:type="spellEnd"/>
      <w:r w:rsidRPr="00153E1C">
        <w:rPr>
          <w:rFonts w:ascii="Book Antiqua" w:hAnsi="Book Antiqua" w:cstheme="minorHAnsi"/>
          <w:sz w:val="24"/>
          <w:szCs w:val="24"/>
        </w:rPr>
        <w:t xml:space="preserve"> J, </w:t>
      </w:r>
      <w:proofErr w:type="spellStart"/>
      <w:r w:rsidRPr="00153E1C">
        <w:rPr>
          <w:rFonts w:ascii="Book Antiqua" w:hAnsi="Book Antiqua" w:cstheme="minorHAnsi"/>
          <w:sz w:val="24"/>
          <w:szCs w:val="24"/>
        </w:rPr>
        <w:t>Buderus</w:t>
      </w:r>
      <w:proofErr w:type="spellEnd"/>
      <w:r w:rsidRPr="00153E1C">
        <w:rPr>
          <w:rFonts w:ascii="Book Antiqua" w:hAnsi="Book Antiqua" w:cstheme="minorHAnsi"/>
          <w:sz w:val="24"/>
          <w:szCs w:val="24"/>
        </w:rPr>
        <w:t xml:space="preserve"> S, Martín-de-Carpi J, De Ridder L, Fagerberg UL, </w:t>
      </w:r>
      <w:proofErr w:type="spellStart"/>
      <w:r w:rsidRPr="00153E1C">
        <w:rPr>
          <w:rFonts w:ascii="Book Antiqua" w:hAnsi="Book Antiqua" w:cstheme="minorHAnsi"/>
          <w:sz w:val="24"/>
          <w:szCs w:val="24"/>
        </w:rPr>
        <w:t>Hugot</w:t>
      </w:r>
      <w:proofErr w:type="spellEnd"/>
      <w:r w:rsidRPr="00153E1C">
        <w:rPr>
          <w:rFonts w:ascii="Book Antiqua" w:hAnsi="Book Antiqua" w:cstheme="minorHAnsi"/>
          <w:sz w:val="24"/>
          <w:szCs w:val="24"/>
        </w:rPr>
        <w:t xml:space="preserve"> JP, </w:t>
      </w:r>
      <w:proofErr w:type="spellStart"/>
      <w:r w:rsidRPr="00153E1C">
        <w:rPr>
          <w:rFonts w:ascii="Book Antiqua" w:hAnsi="Book Antiqua" w:cstheme="minorHAnsi"/>
          <w:sz w:val="24"/>
          <w:szCs w:val="24"/>
        </w:rPr>
        <w:t>Kierkus</w:t>
      </w:r>
      <w:proofErr w:type="spellEnd"/>
      <w:r w:rsidRPr="00153E1C">
        <w:rPr>
          <w:rFonts w:ascii="Book Antiqua" w:hAnsi="Book Antiqua" w:cstheme="minorHAnsi"/>
          <w:sz w:val="24"/>
          <w:szCs w:val="24"/>
        </w:rPr>
        <w:t xml:space="preserve"> J, </w:t>
      </w:r>
      <w:proofErr w:type="spellStart"/>
      <w:r w:rsidRPr="00153E1C">
        <w:rPr>
          <w:rFonts w:ascii="Book Antiqua" w:hAnsi="Book Antiqua" w:cstheme="minorHAnsi"/>
          <w:sz w:val="24"/>
          <w:szCs w:val="24"/>
        </w:rPr>
        <w:t>Kolacek</w:t>
      </w:r>
      <w:proofErr w:type="spellEnd"/>
      <w:r w:rsidRPr="00153E1C">
        <w:rPr>
          <w:rFonts w:ascii="Book Antiqua" w:hAnsi="Book Antiqua" w:cstheme="minorHAnsi"/>
          <w:sz w:val="24"/>
          <w:szCs w:val="24"/>
        </w:rPr>
        <w:t xml:space="preserve"> S, </w:t>
      </w:r>
      <w:proofErr w:type="spellStart"/>
      <w:r w:rsidRPr="00153E1C">
        <w:rPr>
          <w:rFonts w:ascii="Book Antiqua" w:hAnsi="Book Antiqua" w:cstheme="minorHAnsi"/>
          <w:sz w:val="24"/>
          <w:szCs w:val="24"/>
        </w:rPr>
        <w:t>Koletzko</w:t>
      </w:r>
      <w:proofErr w:type="spellEnd"/>
      <w:r w:rsidRPr="00153E1C">
        <w:rPr>
          <w:rFonts w:ascii="Book Antiqua" w:hAnsi="Book Antiqua" w:cstheme="minorHAnsi"/>
          <w:sz w:val="24"/>
          <w:szCs w:val="24"/>
        </w:rPr>
        <w:t xml:space="preserve"> S, </w:t>
      </w:r>
      <w:proofErr w:type="spellStart"/>
      <w:r w:rsidRPr="00153E1C">
        <w:rPr>
          <w:rFonts w:ascii="Book Antiqua" w:hAnsi="Book Antiqua" w:cstheme="minorHAnsi"/>
          <w:sz w:val="24"/>
          <w:szCs w:val="24"/>
        </w:rPr>
        <w:t>Lionetti</w:t>
      </w:r>
      <w:proofErr w:type="spellEnd"/>
      <w:r w:rsidRPr="00153E1C">
        <w:rPr>
          <w:rFonts w:ascii="Book Antiqua" w:hAnsi="Book Antiqua" w:cstheme="minorHAnsi"/>
          <w:sz w:val="24"/>
          <w:szCs w:val="24"/>
        </w:rPr>
        <w:t xml:space="preserve"> P, Miele E, </w:t>
      </w:r>
      <w:proofErr w:type="spellStart"/>
      <w:r w:rsidRPr="00153E1C">
        <w:rPr>
          <w:rFonts w:ascii="Book Antiqua" w:hAnsi="Book Antiqua" w:cstheme="minorHAnsi"/>
          <w:sz w:val="24"/>
          <w:szCs w:val="24"/>
        </w:rPr>
        <w:t>Navas</w:t>
      </w:r>
      <w:proofErr w:type="spellEnd"/>
      <w:r w:rsidRPr="00153E1C">
        <w:rPr>
          <w:rFonts w:ascii="Book Antiqua" w:hAnsi="Book Antiqua" w:cstheme="minorHAnsi"/>
          <w:sz w:val="24"/>
          <w:szCs w:val="24"/>
        </w:rPr>
        <w:t xml:space="preserve"> López VM, </w:t>
      </w:r>
      <w:proofErr w:type="spellStart"/>
      <w:r w:rsidRPr="00153E1C">
        <w:rPr>
          <w:rFonts w:ascii="Book Antiqua" w:hAnsi="Book Antiqua" w:cstheme="minorHAnsi"/>
          <w:sz w:val="24"/>
          <w:szCs w:val="24"/>
        </w:rPr>
        <w:t>Paerregaard</w:t>
      </w:r>
      <w:proofErr w:type="spellEnd"/>
      <w:r w:rsidRPr="00153E1C">
        <w:rPr>
          <w:rFonts w:ascii="Book Antiqua" w:hAnsi="Book Antiqua" w:cstheme="minorHAnsi"/>
          <w:sz w:val="24"/>
          <w:szCs w:val="24"/>
        </w:rPr>
        <w:t xml:space="preserve"> A, Russell RK, </w:t>
      </w:r>
      <w:proofErr w:type="spellStart"/>
      <w:r w:rsidRPr="00153E1C">
        <w:rPr>
          <w:rFonts w:ascii="Book Antiqua" w:hAnsi="Book Antiqua" w:cstheme="minorHAnsi"/>
          <w:sz w:val="24"/>
          <w:szCs w:val="24"/>
        </w:rPr>
        <w:t>Serban</w:t>
      </w:r>
      <w:proofErr w:type="spellEnd"/>
      <w:r w:rsidRPr="00153E1C">
        <w:rPr>
          <w:rFonts w:ascii="Book Antiqua" w:hAnsi="Book Antiqua" w:cstheme="minorHAnsi"/>
          <w:sz w:val="24"/>
          <w:szCs w:val="24"/>
        </w:rPr>
        <w:t xml:space="preserve"> DE, </w:t>
      </w:r>
      <w:proofErr w:type="spellStart"/>
      <w:r w:rsidRPr="00153E1C">
        <w:rPr>
          <w:rFonts w:ascii="Book Antiqua" w:hAnsi="Book Antiqua" w:cstheme="minorHAnsi"/>
          <w:sz w:val="24"/>
          <w:szCs w:val="24"/>
        </w:rPr>
        <w:t>Shaoul</w:t>
      </w:r>
      <w:proofErr w:type="spellEnd"/>
      <w:r w:rsidRPr="00153E1C">
        <w:rPr>
          <w:rFonts w:ascii="Book Antiqua" w:hAnsi="Book Antiqua" w:cstheme="minorHAnsi"/>
          <w:sz w:val="24"/>
          <w:szCs w:val="24"/>
        </w:rPr>
        <w:t xml:space="preserve"> R, Van </w:t>
      </w:r>
      <w:proofErr w:type="spellStart"/>
      <w:r w:rsidRPr="00153E1C">
        <w:rPr>
          <w:rFonts w:ascii="Book Antiqua" w:hAnsi="Book Antiqua" w:cstheme="minorHAnsi"/>
          <w:sz w:val="24"/>
          <w:szCs w:val="24"/>
        </w:rPr>
        <w:t>Rheenen</w:t>
      </w:r>
      <w:proofErr w:type="spellEnd"/>
      <w:r w:rsidRPr="00153E1C">
        <w:rPr>
          <w:rFonts w:ascii="Book Antiqua" w:hAnsi="Book Antiqua" w:cstheme="minorHAnsi"/>
          <w:sz w:val="24"/>
          <w:szCs w:val="24"/>
        </w:rPr>
        <w:t xml:space="preserve"> P, </w:t>
      </w:r>
      <w:proofErr w:type="spellStart"/>
      <w:r w:rsidRPr="00153E1C">
        <w:rPr>
          <w:rFonts w:ascii="Book Antiqua" w:hAnsi="Book Antiqua" w:cstheme="minorHAnsi"/>
          <w:sz w:val="24"/>
          <w:szCs w:val="24"/>
        </w:rPr>
        <w:t>Veereman</w:t>
      </w:r>
      <w:proofErr w:type="spellEnd"/>
      <w:r w:rsidRPr="00153E1C">
        <w:rPr>
          <w:rFonts w:ascii="Book Antiqua" w:hAnsi="Book Antiqua" w:cstheme="minorHAnsi"/>
          <w:sz w:val="24"/>
          <w:szCs w:val="24"/>
        </w:rPr>
        <w:t xml:space="preserve"> G, Weiss B, Wilson D, </w:t>
      </w:r>
      <w:proofErr w:type="spellStart"/>
      <w:r w:rsidRPr="00153E1C">
        <w:rPr>
          <w:rFonts w:ascii="Book Antiqua" w:hAnsi="Book Antiqua" w:cstheme="minorHAnsi"/>
          <w:sz w:val="24"/>
          <w:szCs w:val="24"/>
        </w:rPr>
        <w:t>Dignass</w:t>
      </w:r>
      <w:proofErr w:type="spellEnd"/>
      <w:r w:rsidRPr="00153E1C">
        <w:rPr>
          <w:rFonts w:ascii="Book Antiqua" w:hAnsi="Book Antiqua" w:cstheme="minorHAnsi"/>
          <w:sz w:val="24"/>
          <w:szCs w:val="24"/>
        </w:rPr>
        <w:t xml:space="preserve"> A, Eliakim A, Winter H, Turner D; European Crohn's and Colitis </w:t>
      </w:r>
      <w:proofErr w:type="spellStart"/>
      <w:r w:rsidRPr="00153E1C">
        <w:rPr>
          <w:rFonts w:ascii="Book Antiqua" w:hAnsi="Book Antiqua" w:cstheme="minorHAnsi"/>
          <w:sz w:val="24"/>
          <w:szCs w:val="24"/>
        </w:rPr>
        <w:t>Organisation</w:t>
      </w:r>
      <w:proofErr w:type="spellEnd"/>
      <w:r w:rsidRPr="00153E1C">
        <w:rPr>
          <w:rFonts w:ascii="Book Antiqua" w:hAnsi="Book Antiqua" w:cstheme="minorHAnsi"/>
          <w:sz w:val="24"/>
          <w:szCs w:val="24"/>
        </w:rPr>
        <w:t>; European Society of Pediatric Gastroenterology, Hepatology and Nutrition. Consensus guidelines of ECCO/ESPGHAN on the medical management of pediatric Crohn's disease. </w:t>
      </w:r>
      <w:r w:rsidRPr="00153E1C">
        <w:rPr>
          <w:rFonts w:ascii="Book Antiqua" w:hAnsi="Book Antiqua" w:cstheme="minorHAnsi"/>
          <w:i/>
          <w:iCs/>
          <w:sz w:val="24"/>
          <w:szCs w:val="24"/>
        </w:rPr>
        <w:t xml:space="preserve">J </w:t>
      </w:r>
      <w:proofErr w:type="spellStart"/>
      <w:r w:rsidRPr="00153E1C">
        <w:rPr>
          <w:rFonts w:ascii="Book Antiqua" w:hAnsi="Book Antiqua" w:cstheme="minorHAnsi"/>
          <w:i/>
          <w:iCs/>
          <w:sz w:val="24"/>
          <w:szCs w:val="24"/>
        </w:rPr>
        <w:t>Crohns</w:t>
      </w:r>
      <w:proofErr w:type="spellEnd"/>
      <w:r w:rsidRPr="00153E1C">
        <w:rPr>
          <w:rFonts w:ascii="Book Antiqua" w:hAnsi="Book Antiqua" w:cstheme="minorHAnsi"/>
          <w:i/>
          <w:iCs/>
          <w:sz w:val="24"/>
          <w:szCs w:val="24"/>
        </w:rPr>
        <w:t xml:space="preserve"> Colitis</w:t>
      </w:r>
      <w:r w:rsidRPr="00153E1C">
        <w:rPr>
          <w:rFonts w:ascii="Book Antiqua" w:hAnsi="Book Antiqua" w:cstheme="minorHAnsi"/>
          <w:sz w:val="24"/>
          <w:szCs w:val="24"/>
        </w:rPr>
        <w:t> 2014; </w:t>
      </w:r>
      <w:r w:rsidRPr="00153E1C">
        <w:rPr>
          <w:rFonts w:ascii="Book Antiqua" w:hAnsi="Book Antiqua" w:cstheme="minorHAnsi"/>
          <w:b/>
          <w:bCs/>
          <w:sz w:val="24"/>
          <w:szCs w:val="24"/>
        </w:rPr>
        <w:t>8</w:t>
      </w:r>
      <w:r w:rsidRPr="00153E1C">
        <w:rPr>
          <w:rFonts w:ascii="Book Antiqua" w:hAnsi="Book Antiqua" w:cstheme="minorHAnsi"/>
          <w:sz w:val="24"/>
          <w:szCs w:val="24"/>
        </w:rPr>
        <w:t>: 1179-1207 [PMID: 24909831 DOI: 10.1016/j.crohns.2014.04.005]</w:t>
      </w:r>
    </w:p>
    <w:p w14:paraId="14E780B3"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2 </w:t>
      </w:r>
      <w:r w:rsidRPr="00153E1C">
        <w:rPr>
          <w:rFonts w:ascii="Book Antiqua" w:hAnsi="Book Antiqua" w:cstheme="minorHAnsi"/>
          <w:b/>
          <w:bCs/>
          <w:sz w:val="24"/>
          <w:szCs w:val="24"/>
        </w:rPr>
        <w:t>Conrad MA</w:t>
      </w:r>
      <w:r w:rsidRPr="00153E1C">
        <w:rPr>
          <w:rFonts w:ascii="Book Antiqua" w:hAnsi="Book Antiqua" w:cstheme="minorHAnsi"/>
          <w:sz w:val="24"/>
          <w:szCs w:val="24"/>
        </w:rPr>
        <w:t>, Rosh JR. Pediatric Inflammatory Bowel Disease. </w:t>
      </w:r>
      <w:proofErr w:type="spellStart"/>
      <w:r w:rsidRPr="00153E1C">
        <w:rPr>
          <w:rFonts w:ascii="Book Antiqua" w:hAnsi="Book Antiqua" w:cstheme="minorHAnsi"/>
          <w:i/>
          <w:iCs/>
          <w:sz w:val="24"/>
          <w:szCs w:val="24"/>
        </w:rPr>
        <w:t>Pediatr</w:t>
      </w:r>
      <w:proofErr w:type="spellEnd"/>
      <w:r w:rsidRPr="00153E1C">
        <w:rPr>
          <w:rFonts w:ascii="Book Antiqua" w:hAnsi="Book Antiqua" w:cstheme="minorHAnsi"/>
          <w:i/>
          <w:iCs/>
          <w:sz w:val="24"/>
          <w:szCs w:val="24"/>
        </w:rPr>
        <w:t xml:space="preserve"> Clin North Am</w:t>
      </w:r>
      <w:r w:rsidRPr="00153E1C">
        <w:rPr>
          <w:rFonts w:ascii="Book Antiqua" w:hAnsi="Book Antiqua" w:cstheme="minorHAnsi"/>
          <w:sz w:val="24"/>
          <w:szCs w:val="24"/>
        </w:rPr>
        <w:t> 2017; </w:t>
      </w:r>
      <w:r w:rsidRPr="00153E1C">
        <w:rPr>
          <w:rFonts w:ascii="Book Antiqua" w:hAnsi="Book Antiqua" w:cstheme="minorHAnsi"/>
          <w:b/>
          <w:bCs/>
          <w:sz w:val="24"/>
          <w:szCs w:val="24"/>
        </w:rPr>
        <w:t>64</w:t>
      </w:r>
      <w:r w:rsidRPr="00153E1C">
        <w:rPr>
          <w:rFonts w:ascii="Book Antiqua" w:hAnsi="Book Antiqua" w:cstheme="minorHAnsi"/>
          <w:sz w:val="24"/>
          <w:szCs w:val="24"/>
        </w:rPr>
        <w:t>: 577-591 [PMID: 28502439 DOI: 10.1016/j.pcl.2017.01.005]</w:t>
      </w:r>
    </w:p>
    <w:p w14:paraId="1041193D"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3 </w:t>
      </w:r>
      <w:r w:rsidRPr="00153E1C">
        <w:rPr>
          <w:rFonts w:ascii="Book Antiqua" w:hAnsi="Book Antiqua" w:cstheme="minorHAnsi"/>
          <w:b/>
          <w:bCs/>
          <w:sz w:val="24"/>
          <w:szCs w:val="24"/>
        </w:rPr>
        <w:t>Levine A</w:t>
      </w:r>
      <w:r w:rsidRPr="00153E1C">
        <w:rPr>
          <w:rFonts w:ascii="Book Antiqua" w:hAnsi="Book Antiqua" w:cstheme="minorHAnsi"/>
          <w:sz w:val="24"/>
          <w:szCs w:val="24"/>
        </w:rPr>
        <w:t xml:space="preserve">, Griffiths A, Markowitz J, Wilson DC, Turner D, Russell RK, Fell J, </w:t>
      </w:r>
      <w:proofErr w:type="spellStart"/>
      <w:r w:rsidRPr="00153E1C">
        <w:rPr>
          <w:rFonts w:ascii="Book Antiqua" w:hAnsi="Book Antiqua" w:cstheme="minorHAnsi"/>
          <w:sz w:val="24"/>
          <w:szCs w:val="24"/>
        </w:rPr>
        <w:t>Ruemmele</w:t>
      </w:r>
      <w:proofErr w:type="spellEnd"/>
      <w:r w:rsidRPr="00153E1C">
        <w:rPr>
          <w:rFonts w:ascii="Book Antiqua" w:hAnsi="Book Antiqua" w:cstheme="minorHAnsi"/>
          <w:sz w:val="24"/>
          <w:szCs w:val="24"/>
        </w:rPr>
        <w:t xml:space="preserve"> FM, Walters T, Sherlock M, Dubinsky M, </w:t>
      </w:r>
      <w:proofErr w:type="spellStart"/>
      <w:r w:rsidRPr="00153E1C">
        <w:rPr>
          <w:rFonts w:ascii="Book Antiqua" w:hAnsi="Book Antiqua" w:cstheme="minorHAnsi"/>
          <w:sz w:val="24"/>
          <w:szCs w:val="24"/>
        </w:rPr>
        <w:t>Hyams</w:t>
      </w:r>
      <w:proofErr w:type="spellEnd"/>
      <w:r w:rsidRPr="00153E1C">
        <w:rPr>
          <w:rFonts w:ascii="Book Antiqua" w:hAnsi="Book Antiqua" w:cstheme="minorHAnsi"/>
          <w:sz w:val="24"/>
          <w:szCs w:val="24"/>
        </w:rPr>
        <w:t xml:space="preserve"> JS. Pediatric modification of the Montreal classification for inflammatory bowel disease: the Paris classification. </w:t>
      </w:r>
      <w:proofErr w:type="spellStart"/>
      <w:r w:rsidRPr="00153E1C">
        <w:rPr>
          <w:rFonts w:ascii="Book Antiqua" w:hAnsi="Book Antiqua" w:cstheme="minorHAnsi"/>
          <w:i/>
          <w:iCs/>
          <w:sz w:val="24"/>
          <w:szCs w:val="24"/>
        </w:rPr>
        <w:t>Inflamm</w:t>
      </w:r>
      <w:proofErr w:type="spellEnd"/>
      <w:r w:rsidRPr="00153E1C">
        <w:rPr>
          <w:rFonts w:ascii="Book Antiqua" w:hAnsi="Book Antiqua" w:cstheme="minorHAnsi"/>
          <w:i/>
          <w:iCs/>
          <w:sz w:val="24"/>
          <w:szCs w:val="24"/>
        </w:rPr>
        <w:t xml:space="preserve"> Bowel Dis</w:t>
      </w:r>
      <w:r w:rsidRPr="00153E1C">
        <w:rPr>
          <w:rFonts w:ascii="Book Antiqua" w:hAnsi="Book Antiqua" w:cstheme="minorHAnsi"/>
          <w:sz w:val="24"/>
          <w:szCs w:val="24"/>
        </w:rPr>
        <w:t> 2011; </w:t>
      </w:r>
      <w:r w:rsidRPr="00153E1C">
        <w:rPr>
          <w:rFonts w:ascii="Book Antiqua" w:hAnsi="Book Antiqua" w:cstheme="minorHAnsi"/>
          <w:b/>
          <w:bCs/>
          <w:sz w:val="24"/>
          <w:szCs w:val="24"/>
        </w:rPr>
        <w:t>17</w:t>
      </w:r>
      <w:r w:rsidRPr="00153E1C">
        <w:rPr>
          <w:rFonts w:ascii="Book Antiqua" w:hAnsi="Book Antiqua" w:cstheme="minorHAnsi"/>
          <w:sz w:val="24"/>
          <w:szCs w:val="24"/>
        </w:rPr>
        <w:t>: 1314-1321 [PMID: 21560194 DOI: 10.1002/ibd.21493]</w:t>
      </w:r>
    </w:p>
    <w:p w14:paraId="2C71F435"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4 </w:t>
      </w:r>
      <w:r w:rsidRPr="00153E1C">
        <w:rPr>
          <w:rFonts w:ascii="Book Antiqua" w:hAnsi="Book Antiqua" w:cstheme="minorHAnsi"/>
          <w:b/>
          <w:bCs/>
          <w:sz w:val="24"/>
          <w:szCs w:val="24"/>
        </w:rPr>
        <w:t>Schaefer ME</w:t>
      </w:r>
      <w:r w:rsidRPr="00153E1C">
        <w:rPr>
          <w:rFonts w:ascii="Book Antiqua" w:hAnsi="Book Antiqua" w:cstheme="minorHAnsi"/>
          <w:sz w:val="24"/>
          <w:szCs w:val="24"/>
        </w:rPr>
        <w:t xml:space="preserve">, Machan JT, </w:t>
      </w:r>
      <w:proofErr w:type="spellStart"/>
      <w:r w:rsidRPr="00153E1C">
        <w:rPr>
          <w:rFonts w:ascii="Book Antiqua" w:hAnsi="Book Antiqua" w:cstheme="minorHAnsi"/>
          <w:sz w:val="24"/>
          <w:szCs w:val="24"/>
        </w:rPr>
        <w:t>Kawatu</w:t>
      </w:r>
      <w:proofErr w:type="spellEnd"/>
      <w:r w:rsidRPr="00153E1C">
        <w:rPr>
          <w:rFonts w:ascii="Book Antiqua" w:hAnsi="Book Antiqua" w:cstheme="minorHAnsi"/>
          <w:sz w:val="24"/>
          <w:szCs w:val="24"/>
        </w:rPr>
        <w:t xml:space="preserve"> D, Langton CR, Markowitz J, Crandall W, Mack DR, Evans JS, </w:t>
      </w:r>
      <w:proofErr w:type="spellStart"/>
      <w:r w:rsidRPr="00153E1C">
        <w:rPr>
          <w:rFonts w:ascii="Book Antiqua" w:hAnsi="Book Antiqua" w:cstheme="minorHAnsi"/>
          <w:sz w:val="24"/>
          <w:szCs w:val="24"/>
        </w:rPr>
        <w:t>Pfefferkorn</w:t>
      </w:r>
      <w:proofErr w:type="spellEnd"/>
      <w:r w:rsidRPr="00153E1C">
        <w:rPr>
          <w:rFonts w:ascii="Book Antiqua" w:hAnsi="Book Antiqua" w:cstheme="minorHAnsi"/>
          <w:sz w:val="24"/>
          <w:szCs w:val="24"/>
        </w:rPr>
        <w:t xml:space="preserve"> MD, Griffiths AM, </w:t>
      </w:r>
      <w:proofErr w:type="spellStart"/>
      <w:r w:rsidRPr="00153E1C">
        <w:rPr>
          <w:rFonts w:ascii="Book Antiqua" w:hAnsi="Book Antiqua" w:cstheme="minorHAnsi"/>
          <w:sz w:val="24"/>
          <w:szCs w:val="24"/>
        </w:rPr>
        <w:t>Otley</w:t>
      </w:r>
      <w:proofErr w:type="spellEnd"/>
      <w:r w:rsidRPr="00153E1C">
        <w:rPr>
          <w:rFonts w:ascii="Book Antiqua" w:hAnsi="Book Antiqua" w:cstheme="minorHAnsi"/>
          <w:sz w:val="24"/>
          <w:szCs w:val="24"/>
        </w:rPr>
        <w:t xml:space="preserve"> AR, </w:t>
      </w:r>
      <w:proofErr w:type="spellStart"/>
      <w:r w:rsidRPr="00153E1C">
        <w:rPr>
          <w:rFonts w:ascii="Book Antiqua" w:hAnsi="Book Antiqua" w:cstheme="minorHAnsi"/>
          <w:sz w:val="24"/>
          <w:szCs w:val="24"/>
        </w:rPr>
        <w:t>Bousvaros</w:t>
      </w:r>
      <w:proofErr w:type="spellEnd"/>
      <w:r w:rsidRPr="00153E1C">
        <w:rPr>
          <w:rFonts w:ascii="Book Antiqua" w:hAnsi="Book Antiqua" w:cstheme="minorHAnsi"/>
          <w:sz w:val="24"/>
          <w:szCs w:val="24"/>
        </w:rPr>
        <w:t xml:space="preserve"> A, </w:t>
      </w:r>
      <w:proofErr w:type="spellStart"/>
      <w:r w:rsidRPr="00153E1C">
        <w:rPr>
          <w:rFonts w:ascii="Book Antiqua" w:hAnsi="Book Antiqua" w:cstheme="minorHAnsi"/>
          <w:sz w:val="24"/>
          <w:szCs w:val="24"/>
        </w:rPr>
        <w:t>Kugathasan</w:t>
      </w:r>
      <w:proofErr w:type="spellEnd"/>
      <w:r w:rsidRPr="00153E1C">
        <w:rPr>
          <w:rFonts w:ascii="Book Antiqua" w:hAnsi="Book Antiqua" w:cstheme="minorHAnsi"/>
          <w:sz w:val="24"/>
          <w:szCs w:val="24"/>
        </w:rPr>
        <w:t xml:space="preserve"> S, Rosh JR, </w:t>
      </w:r>
      <w:proofErr w:type="spellStart"/>
      <w:r w:rsidRPr="00153E1C">
        <w:rPr>
          <w:rFonts w:ascii="Book Antiqua" w:hAnsi="Book Antiqua" w:cstheme="minorHAnsi"/>
          <w:sz w:val="24"/>
          <w:szCs w:val="24"/>
        </w:rPr>
        <w:t>Keljo</w:t>
      </w:r>
      <w:proofErr w:type="spellEnd"/>
      <w:r w:rsidRPr="00153E1C">
        <w:rPr>
          <w:rFonts w:ascii="Book Antiqua" w:hAnsi="Book Antiqua" w:cstheme="minorHAnsi"/>
          <w:sz w:val="24"/>
          <w:szCs w:val="24"/>
        </w:rPr>
        <w:t xml:space="preserve"> DJ, Carvalho RS, Tomer G, </w:t>
      </w:r>
      <w:proofErr w:type="spellStart"/>
      <w:r w:rsidRPr="00153E1C">
        <w:rPr>
          <w:rFonts w:ascii="Book Antiqua" w:hAnsi="Book Antiqua" w:cstheme="minorHAnsi"/>
          <w:sz w:val="24"/>
          <w:szCs w:val="24"/>
        </w:rPr>
        <w:t>Mamula</w:t>
      </w:r>
      <w:proofErr w:type="spellEnd"/>
      <w:r w:rsidRPr="00153E1C">
        <w:rPr>
          <w:rFonts w:ascii="Book Antiqua" w:hAnsi="Book Antiqua" w:cstheme="minorHAnsi"/>
          <w:sz w:val="24"/>
          <w:szCs w:val="24"/>
        </w:rPr>
        <w:t xml:space="preserve"> P, Kay MH, Kerzner B, Oliva-</w:t>
      </w:r>
      <w:proofErr w:type="spellStart"/>
      <w:r w:rsidRPr="00153E1C">
        <w:rPr>
          <w:rFonts w:ascii="Book Antiqua" w:hAnsi="Book Antiqua" w:cstheme="minorHAnsi"/>
          <w:sz w:val="24"/>
          <w:szCs w:val="24"/>
        </w:rPr>
        <w:t>Hemker</w:t>
      </w:r>
      <w:proofErr w:type="spellEnd"/>
      <w:r w:rsidRPr="00153E1C">
        <w:rPr>
          <w:rFonts w:ascii="Book Antiqua" w:hAnsi="Book Antiqua" w:cstheme="minorHAnsi"/>
          <w:sz w:val="24"/>
          <w:szCs w:val="24"/>
        </w:rPr>
        <w:t xml:space="preserve"> M, </w:t>
      </w:r>
      <w:proofErr w:type="spellStart"/>
      <w:r w:rsidRPr="00153E1C">
        <w:rPr>
          <w:rFonts w:ascii="Book Antiqua" w:hAnsi="Book Antiqua" w:cstheme="minorHAnsi"/>
          <w:sz w:val="24"/>
          <w:szCs w:val="24"/>
        </w:rPr>
        <w:t>Kappelman</w:t>
      </w:r>
      <w:proofErr w:type="spellEnd"/>
      <w:r w:rsidRPr="00153E1C">
        <w:rPr>
          <w:rFonts w:ascii="Book Antiqua" w:hAnsi="Book Antiqua" w:cstheme="minorHAnsi"/>
          <w:sz w:val="24"/>
          <w:szCs w:val="24"/>
        </w:rPr>
        <w:t xml:space="preserve"> MD, Saeed SA, </w:t>
      </w:r>
      <w:proofErr w:type="spellStart"/>
      <w:r w:rsidRPr="00153E1C">
        <w:rPr>
          <w:rFonts w:ascii="Book Antiqua" w:hAnsi="Book Antiqua" w:cstheme="minorHAnsi"/>
          <w:sz w:val="24"/>
          <w:szCs w:val="24"/>
        </w:rPr>
        <w:t>Hyams</w:t>
      </w:r>
      <w:proofErr w:type="spellEnd"/>
      <w:r w:rsidRPr="00153E1C">
        <w:rPr>
          <w:rFonts w:ascii="Book Antiqua" w:hAnsi="Book Antiqua" w:cstheme="minorHAnsi"/>
          <w:sz w:val="24"/>
          <w:szCs w:val="24"/>
        </w:rPr>
        <w:t xml:space="preserve"> JS, </w:t>
      </w:r>
      <w:proofErr w:type="spellStart"/>
      <w:r w:rsidRPr="00153E1C">
        <w:rPr>
          <w:rFonts w:ascii="Book Antiqua" w:hAnsi="Book Antiqua" w:cstheme="minorHAnsi"/>
          <w:sz w:val="24"/>
          <w:szCs w:val="24"/>
        </w:rPr>
        <w:t>Leleiko</w:t>
      </w:r>
      <w:proofErr w:type="spellEnd"/>
      <w:r w:rsidRPr="00153E1C">
        <w:rPr>
          <w:rFonts w:ascii="Book Antiqua" w:hAnsi="Book Antiqua" w:cstheme="minorHAnsi"/>
          <w:sz w:val="24"/>
          <w:szCs w:val="24"/>
        </w:rPr>
        <w:t xml:space="preserve"> NS. Factors that determine risk for surgery in pediatric patients with Crohn's disease. </w:t>
      </w:r>
      <w:r w:rsidRPr="00153E1C">
        <w:rPr>
          <w:rFonts w:ascii="Book Antiqua" w:hAnsi="Book Antiqua" w:cstheme="minorHAnsi"/>
          <w:i/>
          <w:iCs/>
          <w:sz w:val="24"/>
          <w:szCs w:val="24"/>
        </w:rPr>
        <w:t xml:space="preserve">Clin Gastroenterol </w:t>
      </w:r>
      <w:proofErr w:type="spellStart"/>
      <w:r w:rsidRPr="00153E1C">
        <w:rPr>
          <w:rFonts w:ascii="Book Antiqua" w:hAnsi="Book Antiqua" w:cstheme="minorHAnsi"/>
          <w:i/>
          <w:iCs/>
          <w:sz w:val="24"/>
          <w:szCs w:val="24"/>
        </w:rPr>
        <w:t>Hepatol</w:t>
      </w:r>
      <w:proofErr w:type="spellEnd"/>
      <w:r w:rsidRPr="00153E1C">
        <w:rPr>
          <w:rFonts w:ascii="Book Antiqua" w:hAnsi="Book Antiqua" w:cstheme="minorHAnsi"/>
          <w:sz w:val="24"/>
          <w:szCs w:val="24"/>
        </w:rPr>
        <w:t> 2010; </w:t>
      </w:r>
      <w:r w:rsidRPr="00153E1C">
        <w:rPr>
          <w:rFonts w:ascii="Book Antiqua" w:hAnsi="Book Antiqua" w:cstheme="minorHAnsi"/>
          <w:b/>
          <w:bCs/>
          <w:sz w:val="24"/>
          <w:szCs w:val="24"/>
        </w:rPr>
        <w:t>8</w:t>
      </w:r>
      <w:r w:rsidRPr="00153E1C">
        <w:rPr>
          <w:rFonts w:ascii="Book Antiqua" w:hAnsi="Book Antiqua" w:cstheme="minorHAnsi"/>
          <w:sz w:val="24"/>
          <w:szCs w:val="24"/>
        </w:rPr>
        <w:t>: 789-794 [PMID: 20566311 DOI: 10.1016/j.cgh.2010.05.021]</w:t>
      </w:r>
    </w:p>
    <w:p w14:paraId="2AB24DD4"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5 </w:t>
      </w:r>
      <w:proofErr w:type="spellStart"/>
      <w:r w:rsidRPr="00153E1C">
        <w:rPr>
          <w:rFonts w:ascii="Book Antiqua" w:hAnsi="Book Antiqua" w:cstheme="minorHAnsi"/>
          <w:b/>
          <w:bCs/>
          <w:sz w:val="24"/>
          <w:szCs w:val="24"/>
        </w:rPr>
        <w:t>Kugathasan</w:t>
      </w:r>
      <w:proofErr w:type="spellEnd"/>
      <w:r w:rsidRPr="00153E1C">
        <w:rPr>
          <w:rFonts w:ascii="Book Antiqua" w:hAnsi="Book Antiqua" w:cstheme="minorHAnsi"/>
          <w:b/>
          <w:bCs/>
          <w:sz w:val="24"/>
          <w:szCs w:val="24"/>
        </w:rPr>
        <w:t xml:space="preserve"> S</w:t>
      </w:r>
      <w:r w:rsidRPr="00153E1C">
        <w:rPr>
          <w:rFonts w:ascii="Book Antiqua" w:hAnsi="Book Antiqua" w:cstheme="minorHAnsi"/>
          <w:sz w:val="24"/>
          <w:szCs w:val="24"/>
        </w:rPr>
        <w:t xml:space="preserve">, Denson LA, Walters TD, Kim MO, </w:t>
      </w:r>
      <w:proofErr w:type="spellStart"/>
      <w:r w:rsidRPr="00153E1C">
        <w:rPr>
          <w:rFonts w:ascii="Book Antiqua" w:hAnsi="Book Antiqua" w:cstheme="minorHAnsi"/>
          <w:sz w:val="24"/>
          <w:szCs w:val="24"/>
        </w:rPr>
        <w:t>Marigorta</w:t>
      </w:r>
      <w:proofErr w:type="spellEnd"/>
      <w:r w:rsidRPr="00153E1C">
        <w:rPr>
          <w:rFonts w:ascii="Book Antiqua" w:hAnsi="Book Antiqua" w:cstheme="minorHAnsi"/>
          <w:sz w:val="24"/>
          <w:szCs w:val="24"/>
        </w:rPr>
        <w:t xml:space="preserve"> UM, Schirmer M, Mondal K, Liu C, Griffiths A, Noe JD, Crandall WV, Snapper S, </w:t>
      </w:r>
      <w:proofErr w:type="spellStart"/>
      <w:r w:rsidRPr="00153E1C">
        <w:rPr>
          <w:rFonts w:ascii="Book Antiqua" w:hAnsi="Book Antiqua" w:cstheme="minorHAnsi"/>
          <w:sz w:val="24"/>
          <w:szCs w:val="24"/>
        </w:rPr>
        <w:t>Rabizadeh</w:t>
      </w:r>
      <w:proofErr w:type="spellEnd"/>
      <w:r w:rsidRPr="00153E1C">
        <w:rPr>
          <w:rFonts w:ascii="Book Antiqua" w:hAnsi="Book Antiqua" w:cstheme="minorHAnsi"/>
          <w:sz w:val="24"/>
          <w:szCs w:val="24"/>
        </w:rPr>
        <w:t xml:space="preserve"> S, Rosh JR, Shapiro JM, </w:t>
      </w:r>
      <w:proofErr w:type="spellStart"/>
      <w:r w:rsidRPr="00153E1C">
        <w:rPr>
          <w:rFonts w:ascii="Book Antiqua" w:hAnsi="Book Antiqua" w:cstheme="minorHAnsi"/>
          <w:sz w:val="24"/>
          <w:szCs w:val="24"/>
        </w:rPr>
        <w:t>Guthery</w:t>
      </w:r>
      <w:proofErr w:type="spellEnd"/>
      <w:r w:rsidRPr="00153E1C">
        <w:rPr>
          <w:rFonts w:ascii="Book Antiqua" w:hAnsi="Book Antiqua" w:cstheme="minorHAnsi"/>
          <w:sz w:val="24"/>
          <w:szCs w:val="24"/>
        </w:rPr>
        <w:t xml:space="preserve"> S, Mack DR, </w:t>
      </w:r>
      <w:proofErr w:type="spellStart"/>
      <w:r w:rsidRPr="00153E1C">
        <w:rPr>
          <w:rFonts w:ascii="Book Antiqua" w:hAnsi="Book Antiqua" w:cstheme="minorHAnsi"/>
          <w:sz w:val="24"/>
          <w:szCs w:val="24"/>
        </w:rPr>
        <w:t>Kellermayer</w:t>
      </w:r>
      <w:proofErr w:type="spellEnd"/>
      <w:r w:rsidRPr="00153E1C">
        <w:rPr>
          <w:rFonts w:ascii="Book Antiqua" w:hAnsi="Book Antiqua" w:cstheme="minorHAnsi"/>
          <w:sz w:val="24"/>
          <w:szCs w:val="24"/>
        </w:rPr>
        <w:t xml:space="preserve"> R, </w:t>
      </w:r>
      <w:proofErr w:type="spellStart"/>
      <w:r w:rsidRPr="00153E1C">
        <w:rPr>
          <w:rFonts w:ascii="Book Antiqua" w:hAnsi="Book Antiqua" w:cstheme="minorHAnsi"/>
          <w:sz w:val="24"/>
          <w:szCs w:val="24"/>
        </w:rPr>
        <w:t>Kappelman</w:t>
      </w:r>
      <w:proofErr w:type="spellEnd"/>
      <w:r w:rsidRPr="00153E1C">
        <w:rPr>
          <w:rFonts w:ascii="Book Antiqua" w:hAnsi="Book Antiqua" w:cstheme="minorHAnsi"/>
          <w:sz w:val="24"/>
          <w:szCs w:val="24"/>
        </w:rPr>
        <w:t xml:space="preserve"> MD, Steiner S, Moulton DE, </w:t>
      </w:r>
      <w:proofErr w:type="spellStart"/>
      <w:r w:rsidRPr="00153E1C">
        <w:rPr>
          <w:rFonts w:ascii="Book Antiqua" w:hAnsi="Book Antiqua" w:cstheme="minorHAnsi"/>
          <w:sz w:val="24"/>
          <w:szCs w:val="24"/>
        </w:rPr>
        <w:t>Keljo</w:t>
      </w:r>
      <w:proofErr w:type="spellEnd"/>
      <w:r w:rsidRPr="00153E1C">
        <w:rPr>
          <w:rFonts w:ascii="Book Antiqua" w:hAnsi="Book Antiqua" w:cstheme="minorHAnsi"/>
          <w:sz w:val="24"/>
          <w:szCs w:val="24"/>
        </w:rPr>
        <w:t xml:space="preserve"> D, Cohen S, Oliva-</w:t>
      </w:r>
      <w:proofErr w:type="spellStart"/>
      <w:r w:rsidRPr="00153E1C">
        <w:rPr>
          <w:rFonts w:ascii="Book Antiqua" w:hAnsi="Book Antiqua" w:cstheme="minorHAnsi"/>
          <w:sz w:val="24"/>
          <w:szCs w:val="24"/>
        </w:rPr>
        <w:t>Hemker</w:t>
      </w:r>
      <w:proofErr w:type="spellEnd"/>
      <w:r w:rsidRPr="00153E1C">
        <w:rPr>
          <w:rFonts w:ascii="Book Antiqua" w:hAnsi="Book Antiqua" w:cstheme="minorHAnsi"/>
          <w:sz w:val="24"/>
          <w:szCs w:val="24"/>
        </w:rPr>
        <w:t xml:space="preserve"> M, Heyman MB, </w:t>
      </w:r>
      <w:proofErr w:type="spellStart"/>
      <w:r w:rsidRPr="00153E1C">
        <w:rPr>
          <w:rFonts w:ascii="Book Antiqua" w:hAnsi="Book Antiqua" w:cstheme="minorHAnsi"/>
          <w:sz w:val="24"/>
          <w:szCs w:val="24"/>
        </w:rPr>
        <w:t>Otley</w:t>
      </w:r>
      <w:proofErr w:type="spellEnd"/>
      <w:r w:rsidRPr="00153E1C">
        <w:rPr>
          <w:rFonts w:ascii="Book Antiqua" w:hAnsi="Book Antiqua" w:cstheme="minorHAnsi"/>
          <w:sz w:val="24"/>
          <w:szCs w:val="24"/>
        </w:rPr>
        <w:t xml:space="preserve"> AR, Baker </w:t>
      </w:r>
      <w:r w:rsidRPr="00153E1C">
        <w:rPr>
          <w:rFonts w:ascii="Book Antiqua" w:hAnsi="Book Antiqua" w:cstheme="minorHAnsi"/>
          <w:sz w:val="24"/>
          <w:szCs w:val="24"/>
        </w:rPr>
        <w:lastRenderedPageBreak/>
        <w:t xml:space="preserve">SS, Evans JS, Kirschner BS, Patel AS, </w:t>
      </w:r>
      <w:proofErr w:type="spellStart"/>
      <w:r w:rsidRPr="00153E1C">
        <w:rPr>
          <w:rFonts w:ascii="Book Antiqua" w:hAnsi="Book Antiqua" w:cstheme="minorHAnsi"/>
          <w:sz w:val="24"/>
          <w:szCs w:val="24"/>
        </w:rPr>
        <w:t>Ziring</w:t>
      </w:r>
      <w:proofErr w:type="spellEnd"/>
      <w:r w:rsidRPr="00153E1C">
        <w:rPr>
          <w:rFonts w:ascii="Book Antiqua" w:hAnsi="Book Antiqua" w:cstheme="minorHAnsi"/>
          <w:sz w:val="24"/>
          <w:szCs w:val="24"/>
        </w:rPr>
        <w:t xml:space="preserve"> D, </w:t>
      </w:r>
      <w:proofErr w:type="spellStart"/>
      <w:r w:rsidRPr="00153E1C">
        <w:rPr>
          <w:rFonts w:ascii="Book Antiqua" w:hAnsi="Book Antiqua" w:cstheme="minorHAnsi"/>
          <w:sz w:val="24"/>
          <w:szCs w:val="24"/>
        </w:rPr>
        <w:t>Trapnell</w:t>
      </w:r>
      <w:proofErr w:type="spellEnd"/>
      <w:r w:rsidRPr="00153E1C">
        <w:rPr>
          <w:rFonts w:ascii="Book Antiqua" w:hAnsi="Book Antiqua" w:cstheme="minorHAnsi"/>
          <w:sz w:val="24"/>
          <w:szCs w:val="24"/>
        </w:rPr>
        <w:t xml:space="preserve"> BC, Sylvester FA, Stephens MC, </w:t>
      </w:r>
      <w:proofErr w:type="spellStart"/>
      <w:r w:rsidRPr="00153E1C">
        <w:rPr>
          <w:rFonts w:ascii="Book Antiqua" w:hAnsi="Book Antiqua" w:cstheme="minorHAnsi"/>
          <w:sz w:val="24"/>
          <w:szCs w:val="24"/>
        </w:rPr>
        <w:t>Baldassano</w:t>
      </w:r>
      <w:proofErr w:type="spellEnd"/>
      <w:r w:rsidRPr="00153E1C">
        <w:rPr>
          <w:rFonts w:ascii="Book Antiqua" w:hAnsi="Book Antiqua" w:cstheme="minorHAnsi"/>
          <w:sz w:val="24"/>
          <w:szCs w:val="24"/>
        </w:rPr>
        <w:t xml:space="preserve"> RN, Markowitz JF, Cho J, Xavier RJ, </w:t>
      </w:r>
      <w:proofErr w:type="spellStart"/>
      <w:r w:rsidRPr="00153E1C">
        <w:rPr>
          <w:rFonts w:ascii="Book Antiqua" w:hAnsi="Book Antiqua" w:cstheme="minorHAnsi"/>
          <w:sz w:val="24"/>
          <w:szCs w:val="24"/>
        </w:rPr>
        <w:t>Huttenhower</w:t>
      </w:r>
      <w:proofErr w:type="spellEnd"/>
      <w:r w:rsidRPr="00153E1C">
        <w:rPr>
          <w:rFonts w:ascii="Book Antiqua" w:hAnsi="Book Antiqua" w:cstheme="minorHAnsi"/>
          <w:sz w:val="24"/>
          <w:szCs w:val="24"/>
        </w:rPr>
        <w:t xml:space="preserve"> C, </w:t>
      </w:r>
      <w:proofErr w:type="spellStart"/>
      <w:r w:rsidRPr="00153E1C">
        <w:rPr>
          <w:rFonts w:ascii="Book Antiqua" w:hAnsi="Book Antiqua" w:cstheme="minorHAnsi"/>
          <w:sz w:val="24"/>
          <w:szCs w:val="24"/>
        </w:rPr>
        <w:t>Aronow</w:t>
      </w:r>
      <w:proofErr w:type="spellEnd"/>
      <w:r w:rsidRPr="00153E1C">
        <w:rPr>
          <w:rFonts w:ascii="Book Antiqua" w:hAnsi="Book Antiqua" w:cstheme="minorHAnsi"/>
          <w:sz w:val="24"/>
          <w:szCs w:val="24"/>
        </w:rPr>
        <w:t xml:space="preserve"> BJ, Gibson G, </w:t>
      </w:r>
      <w:proofErr w:type="spellStart"/>
      <w:r w:rsidRPr="00153E1C">
        <w:rPr>
          <w:rFonts w:ascii="Book Antiqua" w:hAnsi="Book Antiqua" w:cstheme="minorHAnsi"/>
          <w:sz w:val="24"/>
          <w:szCs w:val="24"/>
        </w:rPr>
        <w:t>Hyams</w:t>
      </w:r>
      <w:proofErr w:type="spellEnd"/>
      <w:r w:rsidRPr="00153E1C">
        <w:rPr>
          <w:rFonts w:ascii="Book Antiqua" w:hAnsi="Book Antiqua" w:cstheme="minorHAnsi"/>
          <w:sz w:val="24"/>
          <w:szCs w:val="24"/>
        </w:rPr>
        <w:t xml:space="preserve"> JS, Dubinsky MC. Prediction of complicated disease course for children newly diagnosed with Crohn's disease: a </w:t>
      </w:r>
      <w:proofErr w:type="spellStart"/>
      <w:r w:rsidRPr="00153E1C">
        <w:rPr>
          <w:rFonts w:ascii="Book Antiqua" w:hAnsi="Book Antiqua" w:cstheme="minorHAnsi"/>
          <w:sz w:val="24"/>
          <w:szCs w:val="24"/>
        </w:rPr>
        <w:t>multicentre</w:t>
      </w:r>
      <w:proofErr w:type="spellEnd"/>
      <w:r w:rsidRPr="00153E1C">
        <w:rPr>
          <w:rFonts w:ascii="Book Antiqua" w:hAnsi="Book Antiqua" w:cstheme="minorHAnsi"/>
          <w:sz w:val="24"/>
          <w:szCs w:val="24"/>
        </w:rPr>
        <w:t xml:space="preserve"> inception cohort study. </w:t>
      </w:r>
      <w:r w:rsidRPr="00153E1C">
        <w:rPr>
          <w:rFonts w:ascii="Book Antiqua" w:hAnsi="Book Antiqua" w:cstheme="minorHAnsi"/>
          <w:i/>
          <w:iCs/>
          <w:sz w:val="24"/>
          <w:szCs w:val="24"/>
        </w:rPr>
        <w:t>Lancet</w:t>
      </w:r>
      <w:r w:rsidRPr="00153E1C">
        <w:rPr>
          <w:rFonts w:ascii="Book Antiqua" w:hAnsi="Book Antiqua" w:cstheme="minorHAnsi"/>
          <w:sz w:val="24"/>
          <w:szCs w:val="24"/>
        </w:rPr>
        <w:t> 2017; </w:t>
      </w:r>
      <w:r w:rsidRPr="00153E1C">
        <w:rPr>
          <w:rFonts w:ascii="Book Antiqua" w:hAnsi="Book Antiqua" w:cstheme="minorHAnsi"/>
          <w:b/>
          <w:bCs/>
          <w:sz w:val="24"/>
          <w:szCs w:val="24"/>
        </w:rPr>
        <w:t>389</w:t>
      </w:r>
      <w:r w:rsidRPr="00153E1C">
        <w:rPr>
          <w:rFonts w:ascii="Book Antiqua" w:hAnsi="Book Antiqua" w:cstheme="minorHAnsi"/>
          <w:sz w:val="24"/>
          <w:szCs w:val="24"/>
        </w:rPr>
        <w:t>: 1710-1718 [PMID: 28259484 DOI: 10.1016/S0140-6736(17)30317-3]</w:t>
      </w:r>
    </w:p>
    <w:p w14:paraId="156076D0"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6 </w:t>
      </w:r>
      <w:r w:rsidRPr="00153E1C">
        <w:rPr>
          <w:rFonts w:ascii="Book Antiqua" w:hAnsi="Book Antiqua" w:cstheme="minorHAnsi"/>
          <w:b/>
          <w:bCs/>
          <w:sz w:val="24"/>
          <w:szCs w:val="24"/>
        </w:rPr>
        <w:t>Dubinsky MC</w:t>
      </w:r>
      <w:r w:rsidRPr="00153E1C">
        <w:rPr>
          <w:rFonts w:ascii="Book Antiqua" w:hAnsi="Book Antiqua" w:cstheme="minorHAnsi"/>
          <w:sz w:val="24"/>
          <w:szCs w:val="24"/>
        </w:rPr>
        <w:t xml:space="preserve">, </w:t>
      </w:r>
      <w:proofErr w:type="spellStart"/>
      <w:r w:rsidRPr="00153E1C">
        <w:rPr>
          <w:rFonts w:ascii="Book Antiqua" w:hAnsi="Book Antiqua" w:cstheme="minorHAnsi"/>
          <w:sz w:val="24"/>
          <w:szCs w:val="24"/>
        </w:rPr>
        <w:t>Kugathasan</w:t>
      </w:r>
      <w:proofErr w:type="spellEnd"/>
      <w:r w:rsidRPr="00153E1C">
        <w:rPr>
          <w:rFonts w:ascii="Book Antiqua" w:hAnsi="Book Antiqua" w:cstheme="minorHAnsi"/>
          <w:sz w:val="24"/>
          <w:szCs w:val="24"/>
        </w:rPr>
        <w:t xml:space="preserve"> S, Mei L, </w:t>
      </w:r>
      <w:proofErr w:type="spellStart"/>
      <w:r w:rsidRPr="00153E1C">
        <w:rPr>
          <w:rFonts w:ascii="Book Antiqua" w:hAnsi="Book Antiqua" w:cstheme="minorHAnsi"/>
          <w:sz w:val="24"/>
          <w:szCs w:val="24"/>
        </w:rPr>
        <w:t>Picornell</w:t>
      </w:r>
      <w:proofErr w:type="spellEnd"/>
      <w:r w:rsidRPr="00153E1C">
        <w:rPr>
          <w:rFonts w:ascii="Book Antiqua" w:hAnsi="Book Antiqua" w:cstheme="minorHAnsi"/>
          <w:sz w:val="24"/>
          <w:szCs w:val="24"/>
        </w:rPr>
        <w:t xml:space="preserve"> Y, </w:t>
      </w:r>
      <w:proofErr w:type="spellStart"/>
      <w:r w:rsidRPr="00153E1C">
        <w:rPr>
          <w:rFonts w:ascii="Book Antiqua" w:hAnsi="Book Antiqua" w:cstheme="minorHAnsi"/>
          <w:sz w:val="24"/>
          <w:szCs w:val="24"/>
        </w:rPr>
        <w:t>Nebel</w:t>
      </w:r>
      <w:proofErr w:type="spellEnd"/>
      <w:r w:rsidRPr="00153E1C">
        <w:rPr>
          <w:rFonts w:ascii="Book Antiqua" w:hAnsi="Book Antiqua" w:cstheme="minorHAnsi"/>
          <w:sz w:val="24"/>
          <w:szCs w:val="24"/>
        </w:rPr>
        <w:t xml:space="preserve"> J, Wrobel I, </w:t>
      </w:r>
      <w:proofErr w:type="spellStart"/>
      <w:r w:rsidRPr="00153E1C">
        <w:rPr>
          <w:rFonts w:ascii="Book Antiqua" w:hAnsi="Book Antiqua" w:cstheme="minorHAnsi"/>
          <w:sz w:val="24"/>
          <w:szCs w:val="24"/>
        </w:rPr>
        <w:t>Quiros</w:t>
      </w:r>
      <w:proofErr w:type="spellEnd"/>
      <w:r w:rsidRPr="00153E1C">
        <w:rPr>
          <w:rFonts w:ascii="Book Antiqua" w:hAnsi="Book Antiqua" w:cstheme="minorHAnsi"/>
          <w:sz w:val="24"/>
          <w:szCs w:val="24"/>
        </w:rPr>
        <w:t xml:space="preserve"> A, Silber G, </w:t>
      </w:r>
      <w:proofErr w:type="spellStart"/>
      <w:r w:rsidRPr="00153E1C">
        <w:rPr>
          <w:rFonts w:ascii="Book Antiqua" w:hAnsi="Book Antiqua" w:cstheme="minorHAnsi"/>
          <w:sz w:val="24"/>
          <w:szCs w:val="24"/>
        </w:rPr>
        <w:t>Wahbeh</w:t>
      </w:r>
      <w:proofErr w:type="spellEnd"/>
      <w:r w:rsidRPr="00153E1C">
        <w:rPr>
          <w:rFonts w:ascii="Book Antiqua" w:hAnsi="Book Antiqua" w:cstheme="minorHAnsi"/>
          <w:sz w:val="24"/>
          <w:szCs w:val="24"/>
        </w:rPr>
        <w:t xml:space="preserve"> G, </w:t>
      </w:r>
      <w:proofErr w:type="spellStart"/>
      <w:r w:rsidRPr="00153E1C">
        <w:rPr>
          <w:rFonts w:ascii="Book Antiqua" w:hAnsi="Book Antiqua" w:cstheme="minorHAnsi"/>
          <w:sz w:val="24"/>
          <w:szCs w:val="24"/>
        </w:rPr>
        <w:t>Katzir</w:t>
      </w:r>
      <w:proofErr w:type="spellEnd"/>
      <w:r w:rsidRPr="00153E1C">
        <w:rPr>
          <w:rFonts w:ascii="Book Antiqua" w:hAnsi="Book Antiqua" w:cstheme="minorHAnsi"/>
          <w:sz w:val="24"/>
          <w:szCs w:val="24"/>
        </w:rPr>
        <w:t xml:space="preserve"> L, </w:t>
      </w:r>
      <w:proofErr w:type="spellStart"/>
      <w:r w:rsidRPr="00153E1C">
        <w:rPr>
          <w:rFonts w:ascii="Book Antiqua" w:hAnsi="Book Antiqua" w:cstheme="minorHAnsi"/>
          <w:sz w:val="24"/>
          <w:szCs w:val="24"/>
        </w:rPr>
        <w:t>Vasiliauskas</w:t>
      </w:r>
      <w:proofErr w:type="spellEnd"/>
      <w:r w:rsidRPr="00153E1C">
        <w:rPr>
          <w:rFonts w:ascii="Book Antiqua" w:hAnsi="Book Antiqua" w:cstheme="minorHAnsi"/>
          <w:sz w:val="24"/>
          <w:szCs w:val="24"/>
        </w:rPr>
        <w:t xml:space="preserve"> E, </w:t>
      </w:r>
      <w:proofErr w:type="spellStart"/>
      <w:r w:rsidRPr="00153E1C">
        <w:rPr>
          <w:rFonts w:ascii="Book Antiqua" w:hAnsi="Book Antiqua" w:cstheme="minorHAnsi"/>
          <w:sz w:val="24"/>
          <w:szCs w:val="24"/>
        </w:rPr>
        <w:t>Bahar</w:t>
      </w:r>
      <w:proofErr w:type="spellEnd"/>
      <w:r w:rsidRPr="00153E1C">
        <w:rPr>
          <w:rFonts w:ascii="Book Antiqua" w:hAnsi="Book Antiqua" w:cstheme="minorHAnsi"/>
          <w:sz w:val="24"/>
          <w:szCs w:val="24"/>
        </w:rPr>
        <w:t xml:space="preserve"> R, </w:t>
      </w:r>
      <w:proofErr w:type="spellStart"/>
      <w:r w:rsidRPr="00153E1C">
        <w:rPr>
          <w:rFonts w:ascii="Book Antiqua" w:hAnsi="Book Antiqua" w:cstheme="minorHAnsi"/>
          <w:sz w:val="24"/>
          <w:szCs w:val="24"/>
        </w:rPr>
        <w:t>Otley</w:t>
      </w:r>
      <w:proofErr w:type="spellEnd"/>
      <w:r w:rsidRPr="00153E1C">
        <w:rPr>
          <w:rFonts w:ascii="Book Antiqua" w:hAnsi="Book Antiqua" w:cstheme="minorHAnsi"/>
          <w:sz w:val="24"/>
          <w:szCs w:val="24"/>
        </w:rPr>
        <w:t xml:space="preserve"> A, Mack D, Evans J, Rosh J, </w:t>
      </w:r>
      <w:proofErr w:type="spellStart"/>
      <w:r w:rsidRPr="00153E1C">
        <w:rPr>
          <w:rFonts w:ascii="Book Antiqua" w:hAnsi="Book Antiqua" w:cstheme="minorHAnsi"/>
          <w:sz w:val="24"/>
          <w:szCs w:val="24"/>
        </w:rPr>
        <w:t>Hemker</w:t>
      </w:r>
      <w:proofErr w:type="spellEnd"/>
      <w:r w:rsidRPr="00153E1C">
        <w:rPr>
          <w:rFonts w:ascii="Book Antiqua" w:hAnsi="Book Antiqua" w:cstheme="minorHAnsi"/>
          <w:sz w:val="24"/>
          <w:szCs w:val="24"/>
        </w:rPr>
        <w:t xml:space="preserve"> MO, </w:t>
      </w:r>
      <w:proofErr w:type="spellStart"/>
      <w:r w:rsidRPr="00153E1C">
        <w:rPr>
          <w:rFonts w:ascii="Book Antiqua" w:hAnsi="Book Antiqua" w:cstheme="minorHAnsi"/>
          <w:sz w:val="24"/>
          <w:szCs w:val="24"/>
        </w:rPr>
        <w:t>Leleiko</w:t>
      </w:r>
      <w:proofErr w:type="spellEnd"/>
      <w:r w:rsidRPr="00153E1C">
        <w:rPr>
          <w:rFonts w:ascii="Book Antiqua" w:hAnsi="Book Antiqua" w:cstheme="minorHAnsi"/>
          <w:sz w:val="24"/>
          <w:szCs w:val="24"/>
        </w:rPr>
        <w:t xml:space="preserve"> N, Crandall W, Langton C, Landers C, Taylor KD, </w:t>
      </w:r>
      <w:proofErr w:type="spellStart"/>
      <w:r w:rsidRPr="00153E1C">
        <w:rPr>
          <w:rFonts w:ascii="Book Antiqua" w:hAnsi="Book Antiqua" w:cstheme="minorHAnsi"/>
          <w:sz w:val="24"/>
          <w:szCs w:val="24"/>
        </w:rPr>
        <w:t>Targan</w:t>
      </w:r>
      <w:proofErr w:type="spellEnd"/>
      <w:r w:rsidRPr="00153E1C">
        <w:rPr>
          <w:rFonts w:ascii="Book Antiqua" w:hAnsi="Book Antiqua" w:cstheme="minorHAnsi"/>
          <w:sz w:val="24"/>
          <w:szCs w:val="24"/>
        </w:rPr>
        <w:t xml:space="preserve"> SR, Rotter JI, Markowitz J, </w:t>
      </w:r>
      <w:proofErr w:type="spellStart"/>
      <w:r w:rsidRPr="00153E1C">
        <w:rPr>
          <w:rFonts w:ascii="Book Antiqua" w:hAnsi="Book Antiqua" w:cstheme="minorHAnsi"/>
          <w:sz w:val="24"/>
          <w:szCs w:val="24"/>
        </w:rPr>
        <w:t>Hyams</w:t>
      </w:r>
      <w:proofErr w:type="spellEnd"/>
      <w:r w:rsidRPr="00153E1C">
        <w:rPr>
          <w:rFonts w:ascii="Book Antiqua" w:hAnsi="Book Antiqua" w:cstheme="minorHAnsi"/>
          <w:sz w:val="24"/>
          <w:szCs w:val="24"/>
        </w:rPr>
        <w:t xml:space="preserve"> J; Western Regional Pediatric IBD Research Alliance; Pediatric IBD Collaborative Research Group; Wisconsin Pediatric IBD Alliance. Increased immune reactivity predicts aggressive complicating Crohn's disease in children. </w:t>
      </w:r>
      <w:r w:rsidRPr="00153E1C">
        <w:rPr>
          <w:rFonts w:ascii="Book Antiqua" w:hAnsi="Book Antiqua" w:cstheme="minorHAnsi"/>
          <w:i/>
          <w:iCs/>
          <w:sz w:val="24"/>
          <w:szCs w:val="24"/>
        </w:rPr>
        <w:t xml:space="preserve">Clin Gastroenterol </w:t>
      </w:r>
      <w:proofErr w:type="spellStart"/>
      <w:r w:rsidRPr="00153E1C">
        <w:rPr>
          <w:rFonts w:ascii="Book Antiqua" w:hAnsi="Book Antiqua" w:cstheme="minorHAnsi"/>
          <w:i/>
          <w:iCs/>
          <w:sz w:val="24"/>
          <w:szCs w:val="24"/>
        </w:rPr>
        <w:t>Hepatol</w:t>
      </w:r>
      <w:proofErr w:type="spellEnd"/>
      <w:r w:rsidRPr="00153E1C">
        <w:rPr>
          <w:rFonts w:ascii="Book Antiqua" w:hAnsi="Book Antiqua" w:cstheme="minorHAnsi"/>
          <w:sz w:val="24"/>
          <w:szCs w:val="24"/>
        </w:rPr>
        <w:t> 2008; </w:t>
      </w:r>
      <w:r w:rsidRPr="00153E1C">
        <w:rPr>
          <w:rFonts w:ascii="Book Antiqua" w:hAnsi="Book Antiqua" w:cstheme="minorHAnsi"/>
          <w:b/>
          <w:bCs/>
          <w:sz w:val="24"/>
          <w:szCs w:val="24"/>
        </w:rPr>
        <w:t>6</w:t>
      </w:r>
      <w:r w:rsidRPr="00153E1C">
        <w:rPr>
          <w:rFonts w:ascii="Book Antiqua" w:hAnsi="Book Antiqua" w:cstheme="minorHAnsi"/>
          <w:sz w:val="24"/>
          <w:szCs w:val="24"/>
        </w:rPr>
        <w:t>: 1105-1111 [PMID: 18619921 DOI: 10.1016/j.cgh.2008.04.032]</w:t>
      </w:r>
    </w:p>
    <w:p w14:paraId="30BAD744"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7 </w:t>
      </w:r>
      <w:r w:rsidRPr="00153E1C">
        <w:rPr>
          <w:rFonts w:ascii="Book Antiqua" w:hAnsi="Book Antiqua" w:cstheme="minorHAnsi"/>
          <w:b/>
          <w:bCs/>
          <w:sz w:val="24"/>
          <w:szCs w:val="24"/>
        </w:rPr>
        <w:t>Lahad A</w:t>
      </w:r>
      <w:r w:rsidRPr="00153E1C">
        <w:rPr>
          <w:rFonts w:ascii="Book Antiqua" w:hAnsi="Book Antiqua" w:cstheme="minorHAnsi"/>
          <w:sz w:val="24"/>
          <w:szCs w:val="24"/>
        </w:rPr>
        <w:t>, Weiss B. Current therapy of pediatric Crohn's disease. </w:t>
      </w:r>
      <w:r w:rsidRPr="00153E1C">
        <w:rPr>
          <w:rFonts w:ascii="Book Antiqua" w:hAnsi="Book Antiqua" w:cstheme="minorHAnsi"/>
          <w:i/>
          <w:iCs/>
          <w:sz w:val="24"/>
          <w:szCs w:val="24"/>
        </w:rPr>
        <w:t xml:space="preserve">World J </w:t>
      </w:r>
      <w:proofErr w:type="spellStart"/>
      <w:r w:rsidRPr="00153E1C">
        <w:rPr>
          <w:rFonts w:ascii="Book Antiqua" w:hAnsi="Book Antiqua" w:cstheme="minorHAnsi"/>
          <w:i/>
          <w:iCs/>
          <w:sz w:val="24"/>
          <w:szCs w:val="24"/>
        </w:rPr>
        <w:t>Gastrointest</w:t>
      </w:r>
      <w:proofErr w:type="spellEnd"/>
      <w:r w:rsidRPr="00153E1C">
        <w:rPr>
          <w:rFonts w:ascii="Book Antiqua" w:hAnsi="Book Antiqua" w:cstheme="minorHAnsi"/>
          <w:i/>
          <w:iCs/>
          <w:sz w:val="24"/>
          <w:szCs w:val="24"/>
        </w:rPr>
        <w:t xml:space="preserve"> </w:t>
      </w:r>
      <w:proofErr w:type="spellStart"/>
      <w:r w:rsidRPr="00153E1C">
        <w:rPr>
          <w:rFonts w:ascii="Book Antiqua" w:hAnsi="Book Antiqua" w:cstheme="minorHAnsi"/>
          <w:i/>
          <w:iCs/>
          <w:sz w:val="24"/>
          <w:szCs w:val="24"/>
        </w:rPr>
        <w:t>Pathophysiol</w:t>
      </w:r>
      <w:proofErr w:type="spellEnd"/>
      <w:r w:rsidRPr="00153E1C">
        <w:rPr>
          <w:rFonts w:ascii="Book Antiqua" w:hAnsi="Book Antiqua" w:cstheme="minorHAnsi"/>
          <w:sz w:val="24"/>
          <w:szCs w:val="24"/>
        </w:rPr>
        <w:t> 2015; </w:t>
      </w:r>
      <w:r w:rsidRPr="00153E1C">
        <w:rPr>
          <w:rFonts w:ascii="Book Antiqua" w:hAnsi="Book Antiqua" w:cstheme="minorHAnsi"/>
          <w:b/>
          <w:bCs/>
          <w:sz w:val="24"/>
          <w:szCs w:val="24"/>
        </w:rPr>
        <w:t>6</w:t>
      </w:r>
      <w:r w:rsidRPr="00153E1C">
        <w:rPr>
          <w:rFonts w:ascii="Book Antiqua" w:hAnsi="Book Antiqua" w:cstheme="minorHAnsi"/>
          <w:sz w:val="24"/>
          <w:szCs w:val="24"/>
        </w:rPr>
        <w:t>: 33-42 [PMID: 25977836 DOI: 10.4291/wjgp.v6.i2.33]</w:t>
      </w:r>
    </w:p>
    <w:p w14:paraId="0AE10D0B"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8 </w:t>
      </w:r>
      <w:proofErr w:type="spellStart"/>
      <w:r w:rsidRPr="00153E1C">
        <w:rPr>
          <w:rFonts w:ascii="Book Antiqua" w:hAnsi="Book Antiqua" w:cstheme="minorHAnsi"/>
          <w:b/>
          <w:bCs/>
          <w:sz w:val="24"/>
          <w:szCs w:val="24"/>
        </w:rPr>
        <w:t>Desreumaux</w:t>
      </w:r>
      <w:proofErr w:type="spellEnd"/>
      <w:r w:rsidRPr="00153E1C">
        <w:rPr>
          <w:rFonts w:ascii="Book Antiqua" w:hAnsi="Book Antiqua" w:cstheme="minorHAnsi"/>
          <w:b/>
          <w:bCs/>
          <w:sz w:val="24"/>
          <w:szCs w:val="24"/>
        </w:rPr>
        <w:t xml:space="preserve"> P</w:t>
      </w:r>
      <w:r w:rsidRPr="00153E1C">
        <w:rPr>
          <w:rFonts w:ascii="Book Antiqua" w:hAnsi="Book Antiqua" w:cstheme="minorHAnsi"/>
          <w:sz w:val="24"/>
          <w:szCs w:val="24"/>
        </w:rPr>
        <w:t>, Ghosh S. Review article: mode of action and delivery of 5-aminosalicylic acid - new evidence. </w:t>
      </w:r>
      <w:r w:rsidRPr="00153E1C">
        <w:rPr>
          <w:rFonts w:ascii="Book Antiqua" w:hAnsi="Book Antiqua" w:cstheme="minorHAnsi"/>
          <w:i/>
          <w:iCs/>
          <w:sz w:val="24"/>
          <w:szCs w:val="24"/>
        </w:rPr>
        <w:t xml:space="preserve">Aliment </w:t>
      </w:r>
      <w:proofErr w:type="spellStart"/>
      <w:r w:rsidRPr="00153E1C">
        <w:rPr>
          <w:rFonts w:ascii="Book Antiqua" w:hAnsi="Book Antiqua" w:cstheme="minorHAnsi"/>
          <w:i/>
          <w:iCs/>
          <w:sz w:val="24"/>
          <w:szCs w:val="24"/>
        </w:rPr>
        <w:t>Pharmacol</w:t>
      </w:r>
      <w:proofErr w:type="spellEnd"/>
      <w:r w:rsidRPr="00153E1C">
        <w:rPr>
          <w:rFonts w:ascii="Book Antiqua" w:hAnsi="Book Antiqua" w:cstheme="minorHAnsi"/>
          <w:i/>
          <w:iCs/>
          <w:sz w:val="24"/>
          <w:szCs w:val="24"/>
        </w:rPr>
        <w:t xml:space="preserve"> </w:t>
      </w:r>
      <w:proofErr w:type="spellStart"/>
      <w:r w:rsidRPr="00153E1C">
        <w:rPr>
          <w:rFonts w:ascii="Book Antiqua" w:hAnsi="Book Antiqua" w:cstheme="minorHAnsi"/>
          <w:i/>
          <w:iCs/>
          <w:sz w:val="24"/>
          <w:szCs w:val="24"/>
        </w:rPr>
        <w:t>Ther</w:t>
      </w:r>
      <w:proofErr w:type="spellEnd"/>
      <w:r w:rsidRPr="00153E1C">
        <w:rPr>
          <w:rFonts w:ascii="Book Antiqua" w:hAnsi="Book Antiqua" w:cstheme="minorHAnsi"/>
          <w:sz w:val="24"/>
          <w:szCs w:val="24"/>
        </w:rPr>
        <w:t> 2006; </w:t>
      </w:r>
      <w:r w:rsidRPr="00153E1C">
        <w:rPr>
          <w:rFonts w:ascii="Book Antiqua" w:hAnsi="Book Antiqua" w:cstheme="minorHAnsi"/>
          <w:b/>
          <w:bCs/>
          <w:sz w:val="24"/>
          <w:szCs w:val="24"/>
        </w:rPr>
        <w:t>24</w:t>
      </w:r>
      <w:r w:rsidRPr="00153E1C">
        <w:rPr>
          <w:rFonts w:ascii="Book Antiqua" w:hAnsi="Book Antiqua" w:cstheme="minorHAnsi"/>
          <w:sz w:val="24"/>
          <w:szCs w:val="24"/>
        </w:rPr>
        <w:t xml:space="preserve"> Suppl 1: 2-9 [PMID: 16939423 DOI: 10.1111/j.1365-2036.2006.03069.x]</w:t>
      </w:r>
    </w:p>
    <w:p w14:paraId="76BE2174"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9 </w:t>
      </w:r>
      <w:proofErr w:type="spellStart"/>
      <w:r w:rsidRPr="00153E1C">
        <w:rPr>
          <w:rFonts w:ascii="Book Antiqua" w:hAnsi="Book Antiqua" w:cstheme="minorHAnsi"/>
          <w:b/>
          <w:bCs/>
          <w:sz w:val="24"/>
          <w:szCs w:val="24"/>
        </w:rPr>
        <w:t>Hanauer</w:t>
      </w:r>
      <w:proofErr w:type="spellEnd"/>
      <w:r w:rsidRPr="00153E1C">
        <w:rPr>
          <w:rFonts w:ascii="Book Antiqua" w:hAnsi="Book Antiqua" w:cstheme="minorHAnsi"/>
          <w:b/>
          <w:bCs/>
          <w:sz w:val="24"/>
          <w:szCs w:val="24"/>
        </w:rPr>
        <w:t xml:space="preserve"> SB</w:t>
      </w:r>
      <w:r w:rsidRPr="00153E1C">
        <w:rPr>
          <w:rFonts w:ascii="Book Antiqua" w:hAnsi="Book Antiqua" w:cstheme="minorHAnsi"/>
          <w:sz w:val="24"/>
          <w:szCs w:val="24"/>
        </w:rPr>
        <w:t xml:space="preserve">, </w:t>
      </w:r>
      <w:proofErr w:type="spellStart"/>
      <w:r w:rsidRPr="00153E1C">
        <w:rPr>
          <w:rFonts w:ascii="Book Antiqua" w:hAnsi="Book Antiqua" w:cstheme="minorHAnsi"/>
          <w:sz w:val="24"/>
          <w:szCs w:val="24"/>
        </w:rPr>
        <w:t>Strömberg</w:t>
      </w:r>
      <w:proofErr w:type="spellEnd"/>
      <w:r w:rsidRPr="00153E1C">
        <w:rPr>
          <w:rFonts w:ascii="Book Antiqua" w:hAnsi="Book Antiqua" w:cstheme="minorHAnsi"/>
          <w:sz w:val="24"/>
          <w:szCs w:val="24"/>
        </w:rPr>
        <w:t xml:space="preserve"> U. Oral </w:t>
      </w:r>
      <w:proofErr w:type="spellStart"/>
      <w:r w:rsidRPr="00153E1C">
        <w:rPr>
          <w:rFonts w:ascii="Book Antiqua" w:hAnsi="Book Antiqua" w:cstheme="minorHAnsi"/>
          <w:sz w:val="24"/>
          <w:szCs w:val="24"/>
        </w:rPr>
        <w:t>Pentasa</w:t>
      </w:r>
      <w:proofErr w:type="spellEnd"/>
      <w:r w:rsidRPr="00153E1C">
        <w:rPr>
          <w:rFonts w:ascii="Book Antiqua" w:hAnsi="Book Antiqua" w:cstheme="minorHAnsi"/>
          <w:sz w:val="24"/>
          <w:szCs w:val="24"/>
        </w:rPr>
        <w:t xml:space="preserve"> in the treatment of active Crohn's disease: A meta-analysis of double-blind, placebo-controlled trials. </w:t>
      </w:r>
      <w:r w:rsidRPr="00153E1C">
        <w:rPr>
          <w:rFonts w:ascii="Book Antiqua" w:hAnsi="Book Antiqua" w:cstheme="minorHAnsi"/>
          <w:i/>
          <w:iCs/>
          <w:sz w:val="24"/>
          <w:szCs w:val="24"/>
        </w:rPr>
        <w:t xml:space="preserve">Clin Gastroenterol </w:t>
      </w:r>
      <w:proofErr w:type="spellStart"/>
      <w:r w:rsidRPr="00153E1C">
        <w:rPr>
          <w:rFonts w:ascii="Book Antiqua" w:hAnsi="Book Antiqua" w:cstheme="minorHAnsi"/>
          <w:i/>
          <w:iCs/>
          <w:sz w:val="24"/>
          <w:szCs w:val="24"/>
        </w:rPr>
        <w:t>Hepatol</w:t>
      </w:r>
      <w:proofErr w:type="spellEnd"/>
      <w:r w:rsidRPr="00153E1C">
        <w:rPr>
          <w:rFonts w:ascii="Book Antiqua" w:hAnsi="Book Antiqua" w:cstheme="minorHAnsi"/>
          <w:sz w:val="24"/>
          <w:szCs w:val="24"/>
        </w:rPr>
        <w:t> 2004; </w:t>
      </w:r>
      <w:r w:rsidRPr="00153E1C">
        <w:rPr>
          <w:rFonts w:ascii="Book Antiqua" w:hAnsi="Book Antiqua" w:cstheme="minorHAnsi"/>
          <w:b/>
          <w:bCs/>
          <w:sz w:val="24"/>
          <w:szCs w:val="24"/>
        </w:rPr>
        <w:t>2</w:t>
      </w:r>
      <w:r w:rsidRPr="00153E1C">
        <w:rPr>
          <w:rFonts w:ascii="Book Antiqua" w:hAnsi="Book Antiqua" w:cstheme="minorHAnsi"/>
          <w:sz w:val="24"/>
          <w:szCs w:val="24"/>
        </w:rPr>
        <w:t>: 379-388 [PMID: 15118975]</w:t>
      </w:r>
    </w:p>
    <w:p w14:paraId="771663C3"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10 </w:t>
      </w:r>
      <w:r w:rsidRPr="00153E1C">
        <w:rPr>
          <w:rFonts w:ascii="Book Antiqua" w:hAnsi="Book Antiqua" w:cstheme="minorHAnsi"/>
          <w:b/>
          <w:bCs/>
          <w:sz w:val="24"/>
          <w:szCs w:val="24"/>
        </w:rPr>
        <w:t xml:space="preserve">van </w:t>
      </w:r>
      <w:proofErr w:type="spellStart"/>
      <w:r w:rsidRPr="00153E1C">
        <w:rPr>
          <w:rFonts w:ascii="Book Antiqua" w:hAnsi="Book Antiqua" w:cstheme="minorHAnsi"/>
          <w:b/>
          <w:bCs/>
          <w:sz w:val="24"/>
          <w:szCs w:val="24"/>
        </w:rPr>
        <w:t>Bodegraven</w:t>
      </w:r>
      <w:proofErr w:type="spellEnd"/>
      <w:r w:rsidRPr="00153E1C">
        <w:rPr>
          <w:rFonts w:ascii="Book Antiqua" w:hAnsi="Book Antiqua" w:cstheme="minorHAnsi"/>
          <w:b/>
          <w:bCs/>
          <w:sz w:val="24"/>
          <w:szCs w:val="24"/>
        </w:rPr>
        <w:t xml:space="preserve"> AA</w:t>
      </w:r>
      <w:r w:rsidRPr="00153E1C">
        <w:rPr>
          <w:rFonts w:ascii="Book Antiqua" w:hAnsi="Book Antiqua" w:cstheme="minorHAnsi"/>
          <w:sz w:val="24"/>
          <w:szCs w:val="24"/>
        </w:rPr>
        <w:t>, Mulder CJ. Indications for 5-aminosalicylate in inflammatory bowel disease: is the body of evidence complete? </w:t>
      </w:r>
      <w:r w:rsidRPr="00153E1C">
        <w:rPr>
          <w:rFonts w:ascii="Book Antiqua" w:hAnsi="Book Antiqua" w:cstheme="minorHAnsi"/>
          <w:i/>
          <w:iCs/>
          <w:sz w:val="24"/>
          <w:szCs w:val="24"/>
        </w:rPr>
        <w:t>World J Gastroenterol</w:t>
      </w:r>
      <w:r w:rsidRPr="00153E1C">
        <w:rPr>
          <w:rFonts w:ascii="Book Antiqua" w:hAnsi="Book Antiqua" w:cstheme="minorHAnsi"/>
          <w:sz w:val="24"/>
          <w:szCs w:val="24"/>
        </w:rPr>
        <w:t> 2006; </w:t>
      </w:r>
      <w:r w:rsidRPr="00153E1C">
        <w:rPr>
          <w:rFonts w:ascii="Book Antiqua" w:hAnsi="Book Antiqua" w:cstheme="minorHAnsi"/>
          <w:b/>
          <w:bCs/>
          <w:sz w:val="24"/>
          <w:szCs w:val="24"/>
        </w:rPr>
        <w:t>12</w:t>
      </w:r>
      <w:r w:rsidRPr="00153E1C">
        <w:rPr>
          <w:rFonts w:ascii="Book Antiqua" w:hAnsi="Book Antiqua" w:cstheme="minorHAnsi"/>
          <w:sz w:val="24"/>
          <w:szCs w:val="24"/>
        </w:rPr>
        <w:t>: 6115-6123 [PMID: 17036381]</w:t>
      </w:r>
    </w:p>
    <w:p w14:paraId="30FE1D29"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11 </w:t>
      </w:r>
      <w:r w:rsidRPr="00153E1C">
        <w:rPr>
          <w:rFonts w:ascii="Book Antiqua" w:hAnsi="Book Antiqua" w:cstheme="minorHAnsi"/>
          <w:b/>
          <w:bCs/>
          <w:sz w:val="24"/>
          <w:szCs w:val="24"/>
        </w:rPr>
        <w:t>Lim WC</w:t>
      </w:r>
      <w:r w:rsidRPr="00153E1C">
        <w:rPr>
          <w:rFonts w:ascii="Book Antiqua" w:hAnsi="Book Antiqua" w:cstheme="minorHAnsi"/>
          <w:sz w:val="24"/>
          <w:szCs w:val="24"/>
        </w:rPr>
        <w:t xml:space="preserve">, Wang Y, MacDonald JK, </w:t>
      </w:r>
      <w:proofErr w:type="spellStart"/>
      <w:r w:rsidRPr="00153E1C">
        <w:rPr>
          <w:rFonts w:ascii="Book Antiqua" w:hAnsi="Book Antiqua" w:cstheme="minorHAnsi"/>
          <w:sz w:val="24"/>
          <w:szCs w:val="24"/>
        </w:rPr>
        <w:t>Hanauer</w:t>
      </w:r>
      <w:proofErr w:type="spellEnd"/>
      <w:r w:rsidRPr="00153E1C">
        <w:rPr>
          <w:rFonts w:ascii="Book Antiqua" w:hAnsi="Book Antiqua" w:cstheme="minorHAnsi"/>
          <w:sz w:val="24"/>
          <w:szCs w:val="24"/>
        </w:rPr>
        <w:t xml:space="preserve"> S. </w:t>
      </w:r>
      <w:proofErr w:type="spellStart"/>
      <w:r w:rsidRPr="00153E1C">
        <w:rPr>
          <w:rFonts w:ascii="Book Antiqua" w:hAnsi="Book Antiqua" w:cstheme="minorHAnsi"/>
          <w:sz w:val="24"/>
          <w:szCs w:val="24"/>
        </w:rPr>
        <w:t>Aminosalicylates</w:t>
      </w:r>
      <w:proofErr w:type="spellEnd"/>
      <w:r w:rsidRPr="00153E1C">
        <w:rPr>
          <w:rFonts w:ascii="Book Antiqua" w:hAnsi="Book Antiqua" w:cstheme="minorHAnsi"/>
          <w:sz w:val="24"/>
          <w:szCs w:val="24"/>
        </w:rPr>
        <w:t xml:space="preserve"> for induction of remission or response in Crohn's disease. </w:t>
      </w:r>
      <w:r w:rsidRPr="00153E1C">
        <w:rPr>
          <w:rFonts w:ascii="Book Antiqua" w:hAnsi="Book Antiqua" w:cstheme="minorHAnsi"/>
          <w:i/>
          <w:iCs/>
          <w:sz w:val="24"/>
          <w:szCs w:val="24"/>
        </w:rPr>
        <w:t>Cochrane Database Syst Rev</w:t>
      </w:r>
      <w:r w:rsidRPr="00153E1C">
        <w:rPr>
          <w:rFonts w:ascii="Book Antiqua" w:hAnsi="Book Antiqua" w:cstheme="minorHAnsi"/>
          <w:sz w:val="24"/>
          <w:szCs w:val="24"/>
        </w:rPr>
        <w:t> 2016; </w:t>
      </w:r>
      <w:r w:rsidRPr="00153E1C">
        <w:rPr>
          <w:rFonts w:ascii="Book Antiqua" w:hAnsi="Book Antiqua" w:cstheme="minorHAnsi"/>
          <w:b/>
          <w:bCs/>
          <w:sz w:val="24"/>
          <w:szCs w:val="24"/>
        </w:rPr>
        <w:t>7</w:t>
      </w:r>
      <w:r w:rsidRPr="00153E1C">
        <w:rPr>
          <w:rFonts w:ascii="Book Antiqua" w:hAnsi="Book Antiqua" w:cstheme="minorHAnsi"/>
          <w:sz w:val="24"/>
          <w:szCs w:val="24"/>
        </w:rPr>
        <w:t>: CD008870 [PMID: 27372735 DOI: 10.1002/14651858.CD008870.pub2]</w:t>
      </w:r>
    </w:p>
    <w:p w14:paraId="1FB18856"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lastRenderedPageBreak/>
        <w:t>12 </w:t>
      </w:r>
      <w:proofErr w:type="spellStart"/>
      <w:r w:rsidRPr="00153E1C">
        <w:rPr>
          <w:rFonts w:ascii="Book Antiqua" w:hAnsi="Book Antiqua" w:cstheme="minorHAnsi"/>
          <w:b/>
          <w:bCs/>
          <w:sz w:val="24"/>
          <w:szCs w:val="24"/>
        </w:rPr>
        <w:t>Hanauer</w:t>
      </w:r>
      <w:proofErr w:type="spellEnd"/>
      <w:r w:rsidRPr="00153E1C">
        <w:rPr>
          <w:rFonts w:ascii="Book Antiqua" w:hAnsi="Book Antiqua" w:cstheme="minorHAnsi"/>
          <w:b/>
          <w:bCs/>
          <w:sz w:val="24"/>
          <w:szCs w:val="24"/>
        </w:rPr>
        <w:t xml:space="preserve"> SB</w:t>
      </w:r>
      <w:r w:rsidRPr="00153E1C">
        <w:rPr>
          <w:rFonts w:ascii="Book Antiqua" w:hAnsi="Book Antiqua" w:cstheme="minorHAnsi"/>
          <w:sz w:val="24"/>
          <w:szCs w:val="24"/>
        </w:rPr>
        <w:t xml:space="preserve">. Review article: </w:t>
      </w:r>
      <w:proofErr w:type="spellStart"/>
      <w:r w:rsidRPr="00153E1C">
        <w:rPr>
          <w:rFonts w:ascii="Book Antiqua" w:hAnsi="Book Antiqua" w:cstheme="minorHAnsi"/>
          <w:sz w:val="24"/>
          <w:szCs w:val="24"/>
        </w:rPr>
        <w:t>aminosalicylates</w:t>
      </w:r>
      <w:proofErr w:type="spellEnd"/>
      <w:r w:rsidRPr="00153E1C">
        <w:rPr>
          <w:rFonts w:ascii="Book Antiqua" w:hAnsi="Book Antiqua" w:cstheme="minorHAnsi"/>
          <w:sz w:val="24"/>
          <w:szCs w:val="24"/>
        </w:rPr>
        <w:t xml:space="preserve"> in inflammatory bowel disease. </w:t>
      </w:r>
      <w:r w:rsidRPr="00153E1C">
        <w:rPr>
          <w:rFonts w:ascii="Book Antiqua" w:hAnsi="Book Antiqua" w:cstheme="minorHAnsi"/>
          <w:i/>
          <w:iCs/>
          <w:sz w:val="24"/>
          <w:szCs w:val="24"/>
        </w:rPr>
        <w:t xml:space="preserve">Aliment </w:t>
      </w:r>
      <w:proofErr w:type="spellStart"/>
      <w:r w:rsidRPr="00153E1C">
        <w:rPr>
          <w:rFonts w:ascii="Book Antiqua" w:hAnsi="Book Antiqua" w:cstheme="minorHAnsi"/>
          <w:i/>
          <w:iCs/>
          <w:sz w:val="24"/>
          <w:szCs w:val="24"/>
        </w:rPr>
        <w:t>Pharmacol</w:t>
      </w:r>
      <w:proofErr w:type="spellEnd"/>
      <w:r w:rsidRPr="00153E1C">
        <w:rPr>
          <w:rFonts w:ascii="Book Antiqua" w:hAnsi="Book Antiqua" w:cstheme="minorHAnsi"/>
          <w:i/>
          <w:iCs/>
          <w:sz w:val="24"/>
          <w:szCs w:val="24"/>
        </w:rPr>
        <w:t xml:space="preserve"> </w:t>
      </w:r>
      <w:proofErr w:type="spellStart"/>
      <w:r w:rsidRPr="00153E1C">
        <w:rPr>
          <w:rFonts w:ascii="Book Antiqua" w:hAnsi="Book Antiqua" w:cstheme="minorHAnsi"/>
          <w:i/>
          <w:iCs/>
          <w:sz w:val="24"/>
          <w:szCs w:val="24"/>
        </w:rPr>
        <w:t>Ther</w:t>
      </w:r>
      <w:proofErr w:type="spellEnd"/>
      <w:r w:rsidRPr="00153E1C">
        <w:rPr>
          <w:rFonts w:ascii="Book Antiqua" w:hAnsi="Book Antiqua" w:cstheme="minorHAnsi"/>
          <w:sz w:val="24"/>
          <w:szCs w:val="24"/>
        </w:rPr>
        <w:t> 2004; </w:t>
      </w:r>
      <w:r w:rsidRPr="00153E1C">
        <w:rPr>
          <w:rFonts w:ascii="Book Antiqua" w:hAnsi="Book Antiqua" w:cstheme="minorHAnsi"/>
          <w:b/>
          <w:bCs/>
          <w:sz w:val="24"/>
          <w:szCs w:val="24"/>
        </w:rPr>
        <w:t xml:space="preserve">20 </w:t>
      </w:r>
      <w:r w:rsidRPr="00153E1C">
        <w:rPr>
          <w:rFonts w:ascii="Book Antiqua" w:hAnsi="Book Antiqua" w:cstheme="minorHAnsi"/>
          <w:sz w:val="24"/>
          <w:szCs w:val="24"/>
        </w:rPr>
        <w:t>Suppl 4: 60-65 [PMID: 15352896 DOI: 10.1111/j.1365-2036.2004.02048.x]</w:t>
      </w:r>
    </w:p>
    <w:p w14:paraId="78C807EE"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13 </w:t>
      </w:r>
      <w:proofErr w:type="spellStart"/>
      <w:r w:rsidRPr="00153E1C">
        <w:rPr>
          <w:rFonts w:ascii="Book Antiqua" w:hAnsi="Book Antiqua" w:cstheme="minorHAnsi"/>
          <w:b/>
          <w:bCs/>
          <w:sz w:val="24"/>
          <w:szCs w:val="24"/>
        </w:rPr>
        <w:t>Gearry</w:t>
      </w:r>
      <w:proofErr w:type="spellEnd"/>
      <w:r w:rsidRPr="00153E1C">
        <w:rPr>
          <w:rFonts w:ascii="Book Antiqua" w:hAnsi="Book Antiqua" w:cstheme="minorHAnsi"/>
          <w:b/>
          <w:bCs/>
          <w:sz w:val="24"/>
          <w:szCs w:val="24"/>
        </w:rPr>
        <w:t xml:space="preserve"> RB</w:t>
      </w:r>
      <w:r w:rsidRPr="00153E1C">
        <w:rPr>
          <w:rFonts w:ascii="Book Antiqua" w:hAnsi="Book Antiqua" w:cstheme="minorHAnsi"/>
          <w:sz w:val="24"/>
          <w:szCs w:val="24"/>
        </w:rPr>
        <w:t xml:space="preserve">, </w:t>
      </w:r>
      <w:proofErr w:type="spellStart"/>
      <w:r w:rsidRPr="00153E1C">
        <w:rPr>
          <w:rFonts w:ascii="Book Antiqua" w:hAnsi="Book Antiqua" w:cstheme="minorHAnsi"/>
          <w:sz w:val="24"/>
          <w:szCs w:val="24"/>
        </w:rPr>
        <w:t>Ajlouni</w:t>
      </w:r>
      <w:proofErr w:type="spellEnd"/>
      <w:r w:rsidRPr="00153E1C">
        <w:rPr>
          <w:rFonts w:ascii="Book Antiqua" w:hAnsi="Book Antiqua" w:cstheme="minorHAnsi"/>
          <w:sz w:val="24"/>
          <w:szCs w:val="24"/>
        </w:rPr>
        <w:t xml:space="preserve"> Y, </w:t>
      </w:r>
      <w:proofErr w:type="spellStart"/>
      <w:r w:rsidRPr="00153E1C">
        <w:rPr>
          <w:rFonts w:ascii="Book Antiqua" w:hAnsi="Book Antiqua" w:cstheme="minorHAnsi"/>
          <w:sz w:val="24"/>
          <w:szCs w:val="24"/>
        </w:rPr>
        <w:t>Nandurkar</w:t>
      </w:r>
      <w:proofErr w:type="spellEnd"/>
      <w:r w:rsidRPr="00153E1C">
        <w:rPr>
          <w:rFonts w:ascii="Book Antiqua" w:hAnsi="Book Antiqua" w:cstheme="minorHAnsi"/>
          <w:sz w:val="24"/>
          <w:szCs w:val="24"/>
        </w:rPr>
        <w:t xml:space="preserve"> S, </w:t>
      </w:r>
      <w:proofErr w:type="spellStart"/>
      <w:r w:rsidRPr="00153E1C">
        <w:rPr>
          <w:rFonts w:ascii="Book Antiqua" w:hAnsi="Book Antiqua" w:cstheme="minorHAnsi"/>
          <w:sz w:val="24"/>
          <w:szCs w:val="24"/>
        </w:rPr>
        <w:t>Iser</w:t>
      </w:r>
      <w:proofErr w:type="spellEnd"/>
      <w:r w:rsidRPr="00153E1C">
        <w:rPr>
          <w:rFonts w:ascii="Book Antiqua" w:hAnsi="Book Antiqua" w:cstheme="minorHAnsi"/>
          <w:sz w:val="24"/>
          <w:szCs w:val="24"/>
        </w:rPr>
        <w:t xml:space="preserve"> JH, Gibson PR. 5-Aminosalicylic acid (</w:t>
      </w:r>
      <w:proofErr w:type="spellStart"/>
      <w:r w:rsidRPr="00153E1C">
        <w:rPr>
          <w:rFonts w:ascii="Book Antiqua" w:hAnsi="Book Antiqua" w:cstheme="minorHAnsi"/>
          <w:sz w:val="24"/>
          <w:szCs w:val="24"/>
        </w:rPr>
        <w:t>mesalazine</w:t>
      </w:r>
      <w:proofErr w:type="spellEnd"/>
      <w:r w:rsidRPr="00153E1C">
        <w:rPr>
          <w:rFonts w:ascii="Book Antiqua" w:hAnsi="Book Antiqua" w:cstheme="minorHAnsi"/>
          <w:sz w:val="24"/>
          <w:szCs w:val="24"/>
        </w:rPr>
        <w:t>) use in Crohn's disease: a survey of the opinions and practice of Australian gastroenterologists. </w:t>
      </w:r>
      <w:proofErr w:type="spellStart"/>
      <w:r w:rsidRPr="00153E1C">
        <w:rPr>
          <w:rFonts w:ascii="Book Antiqua" w:hAnsi="Book Antiqua" w:cstheme="minorHAnsi"/>
          <w:i/>
          <w:iCs/>
          <w:sz w:val="24"/>
          <w:szCs w:val="24"/>
        </w:rPr>
        <w:t>Inflamm</w:t>
      </w:r>
      <w:proofErr w:type="spellEnd"/>
      <w:r w:rsidRPr="00153E1C">
        <w:rPr>
          <w:rFonts w:ascii="Book Antiqua" w:hAnsi="Book Antiqua" w:cstheme="minorHAnsi"/>
          <w:i/>
          <w:iCs/>
          <w:sz w:val="24"/>
          <w:szCs w:val="24"/>
        </w:rPr>
        <w:t xml:space="preserve"> Bowel Dis</w:t>
      </w:r>
      <w:r w:rsidRPr="00153E1C">
        <w:rPr>
          <w:rFonts w:ascii="Book Antiqua" w:hAnsi="Book Antiqua" w:cstheme="minorHAnsi"/>
          <w:sz w:val="24"/>
          <w:szCs w:val="24"/>
        </w:rPr>
        <w:t> 2007; </w:t>
      </w:r>
      <w:r w:rsidRPr="00153E1C">
        <w:rPr>
          <w:rFonts w:ascii="Book Antiqua" w:hAnsi="Book Antiqua" w:cstheme="minorHAnsi"/>
          <w:b/>
          <w:bCs/>
          <w:sz w:val="24"/>
          <w:szCs w:val="24"/>
        </w:rPr>
        <w:t>13</w:t>
      </w:r>
      <w:r w:rsidRPr="00153E1C">
        <w:rPr>
          <w:rFonts w:ascii="Book Antiqua" w:hAnsi="Book Antiqua" w:cstheme="minorHAnsi"/>
          <w:sz w:val="24"/>
          <w:szCs w:val="24"/>
        </w:rPr>
        <w:t>: 1009-1015 [PMID: 17352386 DOI: 10.1002/ibd.20135]</w:t>
      </w:r>
    </w:p>
    <w:p w14:paraId="2CE53A9C"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14 </w:t>
      </w:r>
      <w:proofErr w:type="spellStart"/>
      <w:r w:rsidRPr="00153E1C">
        <w:rPr>
          <w:rFonts w:ascii="Book Antiqua" w:hAnsi="Book Antiqua" w:cstheme="minorHAnsi"/>
          <w:b/>
          <w:bCs/>
          <w:sz w:val="24"/>
          <w:szCs w:val="24"/>
        </w:rPr>
        <w:t>Mesker</w:t>
      </w:r>
      <w:proofErr w:type="spellEnd"/>
      <w:r w:rsidRPr="00153E1C">
        <w:rPr>
          <w:rFonts w:ascii="Book Antiqua" w:hAnsi="Book Antiqua" w:cstheme="minorHAnsi"/>
          <w:b/>
          <w:bCs/>
          <w:sz w:val="24"/>
          <w:szCs w:val="24"/>
        </w:rPr>
        <w:t xml:space="preserve"> T</w:t>
      </w:r>
      <w:r w:rsidRPr="00153E1C">
        <w:rPr>
          <w:rFonts w:ascii="Book Antiqua" w:hAnsi="Book Antiqua" w:cstheme="minorHAnsi"/>
          <w:sz w:val="24"/>
          <w:szCs w:val="24"/>
        </w:rPr>
        <w:t xml:space="preserve">, van </w:t>
      </w:r>
      <w:proofErr w:type="spellStart"/>
      <w:r w:rsidRPr="00153E1C">
        <w:rPr>
          <w:rFonts w:ascii="Book Antiqua" w:hAnsi="Book Antiqua" w:cstheme="minorHAnsi"/>
          <w:sz w:val="24"/>
          <w:szCs w:val="24"/>
        </w:rPr>
        <w:t>Rheenen</w:t>
      </w:r>
      <w:proofErr w:type="spellEnd"/>
      <w:r w:rsidRPr="00153E1C">
        <w:rPr>
          <w:rFonts w:ascii="Book Antiqua" w:hAnsi="Book Antiqua" w:cstheme="minorHAnsi"/>
          <w:sz w:val="24"/>
          <w:szCs w:val="24"/>
        </w:rPr>
        <w:t xml:space="preserve"> PF, </w:t>
      </w:r>
      <w:proofErr w:type="spellStart"/>
      <w:r w:rsidRPr="00153E1C">
        <w:rPr>
          <w:rFonts w:ascii="Book Antiqua" w:hAnsi="Book Antiqua" w:cstheme="minorHAnsi"/>
          <w:sz w:val="24"/>
          <w:szCs w:val="24"/>
        </w:rPr>
        <w:t>Norbruis</w:t>
      </w:r>
      <w:proofErr w:type="spellEnd"/>
      <w:r w:rsidRPr="00153E1C">
        <w:rPr>
          <w:rFonts w:ascii="Book Antiqua" w:hAnsi="Book Antiqua" w:cstheme="minorHAnsi"/>
          <w:sz w:val="24"/>
          <w:szCs w:val="24"/>
        </w:rPr>
        <w:t xml:space="preserve"> OF, </w:t>
      </w:r>
      <w:proofErr w:type="spellStart"/>
      <w:r w:rsidRPr="00153E1C">
        <w:rPr>
          <w:rFonts w:ascii="Book Antiqua" w:hAnsi="Book Antiqua" w:cstheme="minorHAnsi"/>
          <w:sz w:val="24"/>
          <w:szCs w:val="24"/>
        </w:rPr>
        <w:t>Uitentuis</w:t>
      </w:r>
      <w:proofErr w:type="spellEnd"/>
      <w:r w:rsidRPr="00153E1C">
        <w:rPr>
          <w:rFonts w:ascii="Book Antiqua" w:hAnsi="Book Antiqua" w:cstheme="minorHAnsi"/>
          <w:sz w:val="24"/>
          <w:szCs w:val="24"/>
        </w:rPr>
        <w:t xml:space="preserve"> J, </w:t>
      </w:r>
      <w:proofErr w:type="spellStart"/>
      <w:r w:rsidRPr="00153E1C">
        <w:rPr>
          <w:rFonts w:ascii="Book Antiqua" w:hAnsi="Book Antiqua" w:cstheme="minorHAnsi"/>
          <w:sz w:val="24"/>
          <w:szCs w:val="24"/>
        </w:rPr>
        <w:t>Waalkens</w:t>
      </w:r>
      <w:proofErr w:type="spellEnd"/>
      <w:r w:rsidRPr="00153E1C">
        <w:rPr>
          <w:rFonts w:ascii="Book Antiqua" w:hAnsi="Book Antiqua" w:cstheme="minorHAnsi"/>
          <w:sz w:val="24"/>
          <w:szCs w:val="24"/>
        </w:rPr>
        <w:t xml:space="preserve"> HJ, </w:t>
      </w:r>
      <w:proofErr w:type="spellStart"/>
      <w:r w:rsidRPr="00153E1C">
        <w:rPr>
          <w:rFonts w:ascii="Book Antiqua" w:hAnsi="Book Antiqua" w:cstheme="minorHAnsi"/>
          <w:sz w:val="24"/>
          <w:szCs w:val="24"/>
        </w:rPr>
        <w:t>Gonera</w:t>
      </w:r>
      <w:proofErr w:type="spellEnd"/>
      <w:r w:rsidRPr="00153E1C">
        <w:rPr>
          <w:rFonts w:ascii="Book Antiqua" w:hAnsi="Book Antiqua" w:cstheme="minorHAnsi"/>
          <w:sz w:val="24"/>
          <w:szCs w:val="24"/>
        </w:rPr>
        <w:t xml:space="preserve"> G, van </w:t>
      </w:r>
      <w:proofErr w:type="spellStart"/>
      <w:r w:rsidRPr="00153E1C">
        <w:rPr>
          <w:rFonts w:ascii="Book Antiqua" w:hAnsi="Book Antiqua" w:cstheme="minorHAnsi"/>
          <w:sz w:val="24"/>
          <w:szCs w:val="24"/>
        </w:rPr>
        <w:t>Overbeek</w:t>
      </w:r>
      <w:proofErr w:type="spellEnd"/>
      <w:r w:rsidRPr="00153E1C">
        <w:rPr>
          <w:rFonts w:ascii="Book Antiqua" w:hAnsi="Book Antiqua" w:cstheme="minorHAnsi"/>
          <w:sz w:val="24"/>
          <w:szCs w:val="24"/>
        </w:rPr>
        <w:t xml:space="preserve"> LA, Butler J, Rings EH. Pediatric Crohn's disease activity at diagnosis, its influence on pediatrician's prescribing behavior, and clinical outcome 5 years later. </w:t>
      </w:r>
      <w:proofErr w:type="spellStart"/>
      <w:r w:rsidRPr="00153E1C">
        <w:rPr>
          <w:rFonts w:ascii="Book Antiqua" w:hAnsi="Book Antiqua" w:cstheme="minorHAnsi"/>
          <w:i/>
          <w:iCs/>
          <w:sz w:val="24"/>
          <w:szCs w:val="24"/>
        </w:rPr>
        <w:t>Inflamm</w:t>
      </w:r>
      <w:proofErr w:type="spellEnd"/>
      <w:r w:rsidRPr="00153E1C">
        <w:rPr>
          <w:rFonts w:ascii="Book Antiqua" w:hAnsi="Book Antiqua" w:cstheme="minorHAnsi"/>
          <w:i/>
          <w:iCs/>
          <w:sz w:val="24"/>
          <w:szCs w:val="24"/>
        </w:rPr>
        <w:t xml:space="preserve"> Bowel Dis</w:t>
      </w:r>
      <w:r w:rsidRPr="00153E1C">
        <w:rPr>
          <w:rFonts w:ascii="Book Antiqua" w:hAnsi="Book Antiqua" w:cstheme="minorHAnsi"/>
          <w:sz w:val="24"/>
          <w:szCs w:val="24"/>
        </w:rPr>
        <w:t> 2009; </w:t>
      </w:r>
      <w:r w:rsidRPr="00153E1C">
        <w:rPr>
          <w:rFonts w:ascii="Book Antiqua" w:hAnsi="Book Antiqua" w:cstheme="minorHAnsi"/>
          <w:b/>
          <w:bCs/>
          <w:sz w:val="24"/>
          <w:szCs w:val="24"/>
        </w:rPr>
        <w:t>15</w:t>
      </w:r>
      <w:r w:rsidRPr="00153E1C">
        <w:rPr>
          <w:rFonts w:ascii="Book Antiqua" w:hAnsi="Book Antiqua" w:cstheme="minorHAnsi"/>
          <w:sz w:val="24"/>
          <w:szCs w:val="24"/>
        </w:rPr>
        <w:t>: 1670-1677 [PMID: 19418567 DOI: 10.1002/ibd.20950]</w:t>
      </w:r>
    </w:p>
    <w:p w14:paraId="710643F7"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15 </w:t>
      </w:r>
      <w:r w:rsidRPr="00153E1C">
        <w:rPr>
          <w:rFonts w:ascii="Book Antiqua" w:hAnsi="Book Antiqua" w:cstheme="minorHAnsi"/>
          <w:b/>
          <w:bCs/>
          <w:sz w:val="24"/>
          <w:szCs w:val="24"/>
        </w:rPr>
        <w:t>Vernier-</w:t>
      </w:r>
      <w:proofErr w:type="spellStart"/>
      <w:r w:rsidRPr="00153E1C">
        <w:rPr>
          <w:rFonts w:ascii="Book Antiqua" w:hAnsi="Book Antiqua" w:cstheme="minorHAnsi"/>
          <w:b/>
          <w:bCs/>
          <w:sz w:val="24"/>
          <w:szCs w:val="24"/>
        </w:rPr>
        <w:t>Massouille</w:t>
      </w:r>
      <w:proofErr w:type="spellEnd"/>
      <w:r w:rsidRPr="00153E1C">
        <w:rPr>
          <w:rFonts w:ascii="Book Antiqua" w:hAnsi="Book Antiqua" w:cstheme="minorHAnsi"/>
          <w:b/>
          <w:bCs/>
          <w:sz w:val="24"/>
          <w:szCs w:val="24"/>
        </w:rPr>
        <w:t xml:space="preserve"> G</w:t>
      </w:r>
      <w:r w:rsidRPr="00153E1C">
        <w:rPr>
          <w:rFonts w:ascii="Book Antiqua" w:hAnsi="Book Antiqua" w:cstheme="minorHAnsi"/>
          <w:sz w:val="24"/>
          <w:szCs w:val="24"/>
        </w:rPr>
        <w:t xml:space="preserve">, </w:t>
      </w:r>
      <w:proofErr w:type="spellStart"/>
      <w:r w:rsidRPr="00153E1C">
        <w:rPr>
          <w:rFonts w:ascii="Book Antiqua" w:hAnsi="Book Antiqua" w:cstheme="minorHAnsi"/>
          <w:sz w:val="24"/>
          <w:szCs w:val="24"/>
        </w:rPr>
        <w:t>Balde</w:t>
      </w:r>
      <w:proofErr w:type="spellEnd"/>
      <w:r w:rsidRPr="00153E1C">
        <w:rPr>
          <w:rFonts w:ascii="Book Antiqua" w:hAnsi="Book Antiqua" w:cstheme="minorHAnsi"/>
          <w:sz w:val="24"/>
          <w:szCs w:val="24"/>
        </w:rPr>
        <w:t xml:space="preserve"> M, </w:t>
      </w:r>
      <w:proofErr w:type="spellStart"/>
      <w:r w:rsidRPr="00153E1C">
        <w:rPr>
          <w:rFonts w:ascii="Book Antiqua" w:hAnsi="Book Antiqua" w:cstheme="minorHAnsi"/>
          <w:sz w:val="24"/>
          <w:szCs w:val="24"/>
        </w:rPr>
        <w:t>Salleron</w:t>
      </w:r>
      <w:proofErr w:type="spellEnd"/>
      <w:r w:rsidRPr="00153E1C">
        <w:rPr>
          <w:rFonts w:ascii="Book Antiqua" w:hAnsi="Book Antiqua" w:cstheme="minorHAnsi"/>
          <w:sz w:val="24"/>
          <w:szCs w:val="24"/>
        </w:rPr>
        <w:t xml:space="preserve"> J, </w:t>
      </w:r>
      <w:proofErr w:type="spellStart"/>
      <w:r w:rsidRPr="00153E1C">
        <w:rPr>
          <w:rFonts w:ascii="Book Antiqua" w:hAnsi="Book Antiqua" w:cstheme="minorHAnsi"/>
          <w:sz w:val="24"/>
          <w:szCs w:val="24"/>
        </w:rPr>
        <w:t>Turck</w:t>
      </w:r>
      <w:proofErr w:type="spellEnd"/>
      <w:r w:rsidRPr="00153E1C">
        <w:rPr>
          <w:rFonts w:ascii="Book Antiqua" w:hAnsi="Book Antiqua" w:cstheme="minorHAnsi"/>
          <w:sz w:val="24"/>
          <w:szCs w:val="24"/>
        </w:rPr>
        <w:t xml:space="preserve"> D, </w:t>
      </w:r>
      <w:proofErr w:type="spellStart"/>
      <w:r w:rsidRPr="00153E1C">
        <w:rPr>
          <w:rFonts w:ascii="Book Antiqua" w:hAnsi="Book Antiqua" w:cstheme="minorHAnsi"/>
          <w:sz w:val="24"/>
          <w:szCs w:val="24"/>
        </w:rPr>
        <w:t>Dupas</w:t>
      </w:r>
      <w:proofErr w:type="spellEnd"/>
      <w:r w:rsidRPr="00153E1C">
        <w:rPr>
          <w:rFonts w:ascii="Book Antiqua" w:hAnsi="Book Antiqua" w:cstheme="minorHAnsi"/>
          <w:sz w:val="24"/>
          <w:szCs w:val="24"/>
        </w:rPr>
        <w:t xml:space="preserve"> JL, </w:t>
      </w:r>
      <w:proofErr w:type="spellStart"/>
      <w:r w:rsidRPr="00153E1C">
        <w:rPr>
          <w:rFonts w:ascii="Book Antiqua" w:hAnsi="Book Antiqua" w:cstheme="minorHAnsi"/>
          <w:sz w:val="24"/>
          <w:szCs w:val="24"/>
        </w:rPr>
        <w:t>Mouterde</w:t>
      </w:r>
      <w:proofErr w:type="spellEnd"/>
      <w:r w:rsidRPr="00153E1C">
        <w:rPr>
          <w:rFonts w:ascii="Book Antiqua" w:hAnsi="Book Antiqua" w:cstheme="minorHAnsi"/>
          <w:sz w:val="24"/>
          <w:szCs w:val="24"/>
        </w:rPr>
        <w:t xml:space="preserve"> O, Merle V, </w:t>
      </w:r>
      <w:proofErr w:type="spellStart"/>
      <w:r w:rsidRPr="00153E1C">
        <w:rPr>
          <w:rFonts w:ascii="Book Antiqua" w:hAnsi="Book Antiqua" w:cstheme="minorHAnsi"/>
          <w:sz w:val="24"/>
          <w:szCs w:val="24"/>
        </w:rPr>
        <w:t>Salomez</w:t>
      </w:r>
      <w:proofErr w:type="spellEnd"/>
      <w:r w:rsidRPr="00153E1C">
        <w:rPr>
          <w:rFonts w:ascii="Book Antiqua" w:hAnsi="Book Antiqua" w:cstheme="minorHAnsi"/>
          <w:sz w:val="24"/>
          <w:szCs w:val="24"/>
        </w:rPr>
        <w:t xml:space="preserve"> JL, </w:t>
      </w:r>
      <w:proofErr w:type="spellStart"/>
      <w:r w:rsidRPr="00153E1C">
        <w:rPr>
          <w:rFonts w:ascii="Book Antiqua" w:hAnsi="Book Antiqua" w:cstheme="minorHAnsi"/>
          <w:sz w:val="24"/>
          <w:szCs w:val="24"/>
        </w:rPr>
        <w:t>Branche</w:t>
      </w:r>
      <w:proofErr w:type="spellEnd"/>
      <w:r w:rsidRPr="00153E1C">
        <w:rPr>
          <w:rFonts w:ascii="Book Antiqua" w:hAnsi="Book Antiqua" w:cstheme="minorHAnsi"/>
          <w:sz w:val="24"/>
          <w:szCs w:val="24"/>
        </w:rPr>
        <w:t xml:space="preserve"> J, Marti R, </w:t>
      </w:r>
      <w:proofErr w:type="spellStart"/>
      <w:r w:rsidRPr="00153E1C">
        <w:rPr>
          <w:rFonts w:ascii="Book Antiqua" w:hAnsi="Book Antiqua" w:cstheme="minorHAnsi"/>
          <w:sz w:val="24"/>
          <w:szCs w:val="24"/>
        </w:rPr>
        <w:t>Lerebours</w:t>
      </w:r>
      <w:proofErr w:type="spellEnd"/>
      <w:r w:rsidRPr="00153E1C">
        <w:rPr>
          <w:rFonts w:ascii="Book Antiqua" w:hAnsi="Book Antiqua" w:cstheme="minorHAnsi"/>
          <w:sz w:val="24"/>
          <w:szCs w:val="24"/>
        </w:rPr>
        <w:t xml:space="preserve"> E, </w:t>
      </w:r>
      <w:proofErr w:type="spellStart"/>
      <w:r w:rsidRPr="00153E1C">
        <w:rPr>
          <w:rFonts w:ascii="Book Antiqua" w:hAnsi="Book Antiqua" w:cstheme="minorHAnsi"/>
          <w:sz w:val="24"/>
          <w:szCs w:val="24"/>
        </w:rPr>
        <w:t>Cortot</w:t>
      </w:r>
      <w:proofErr w:type="spellEnd"/>
      <w:r w:rsidRPr="00153E1C">
        <w:rPr>
          <w:rFonts w:ascii="Book Antiqua" w:hAnsi="Book Antiqua" w:cstheme="minorHAnsi"/>
          <w:sz w:val="24"/>
          <w:szCs w:val="24"/>
        </w:rPr>
        <w:t xml:space="preserve"> A, Gower-Rousseau C, </w:t>
      </w:r>
      <w:proofErr w:type="spellStart"/>
      <w:r w:rsidRPr="00153E1C">
        <w:rPr>
          <w:rFonts w:ascii="Book Antiqua" w:hAnsi="Book Antiqua" w:cstheme="minorHAnsi"/>
          <w:sz w:val="24"/>
          <w:szCs w:val="24"/>
        </w:rPr>
        <w:t>Colombel</w:t>
      </w:r>
      <w:proofErr w:type="spellEnd"/>
      <w:r w:rsidRPr="00153E1C">
        <w:rPr>
          <w:rFonts w:ascii="Book Antiqua" w:hAnsi="Book Antiqua" w:cstheme="minorHAnsi"/>
          <w:sz w:val="24"/>
          <w:szCs w:val="24"/>
        </w:rPr>
        <w:t xml:space="preserve"> JF. Natural history of pediatric Crohn's disease: a population-based cohort study. </w:t>
      </w:r>
      <w:r w:rsidRPr="00153E1C">
        <w:rPr>
          <w:rFonts w:ascii="Book Antiqua" w:hAnsi="Book Antiqua" w:cstheme="minorHAnsi"/>
          <w:i/>
          <w:iCs/>
          <w:sz w:val="24"/>
          <w:szCs w:val="24"/>
        </w:rPr>
        <w:t>Gastroenterology</w:t>
      </w:r>
      <w:r w:rsidRPr="00153E1C">
        <w:rPr>
          <w:rFonts w:ascii="Book Antiqua" w:hAnsi="Book Antiqua" w:cstheme="minorHAnsi"/>
          <w:sz w:val="24"/>
          <w:szCs w:val="24"/>
        </w:rPr>
        <w:t> 2008; </w:t>
      </w:r>
      <w:r w:rsidRPr="00153E1C">
        <w:rPr>
          <w:rFonts w:ascii="Book Antiqua" w:hAnsi="Book Antiqua" w:cstheme="minorHAnsi"/>
          <w:b/>
          <w:bCs/>
          <w:sz w:val="24"/>
          <w:szCs w:val="24"/>
        </w:rPr>
        <w:t>135</w:t>
      </w:r>
      <w:r w:rsidRPr="00153E1C">
        <w:rPr>
          <w:rFonts w:ascii="Book Antiqua" w:hAnsi="Book Antiqua" w:cstheme="minorHAnsi"/>
          <w:sz w:val="24"/>
          <w:szCs w:val="24"/>
        </w:rPr>
        <w:t>: 1106-1113 [PMID: 18692056 DOI: 10.1053/j.gastro.2008.06.079]</w:t>
      </w:r>
    </w:p>
    <w:p w14:paraId="186A5E02"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16 </w:t>
      </w:r>
      <w:proofErr w:type="spellStart"/>
      <w:r w:rsidRPr="00153E1C">
        <w:rPr>
          <w:rFonts w:ascii="Book Antiqua" w:hAnsi="Book Antiqua" w:cstheme="minorHAnsi"/>
          <w:b/>
          <w:bCs/>
          <w:sz w:val="24"/>
          <w:szCs w:val="24"/>
        </w:rPr>
        <w:t>Melesse</w:t>
      </w:r>
      <w:proofErr w:type="spellEnd"/>
      <w:r w:rsidRPr="00153E1C">
        <w:rPr>
          <w:rFonts w:ascii="Book Antiqua" w:hAnsi="Book Antiqua" w:cstheme="minorHAnsi"/>
          <w:b/>
          <w:bCs/>
          <w:sz w:val="24"/>
          <w:szCs w:val="24"/>
        </w:rPr>
        <w:t xml:space="preserve"> DY</w:t>
      </w:r>
      <w:r w:rsidRPr="00153E1C">
        <w:rPr>
          <w:rFonts w:ascii="Book Antiqua" w:hAnsi="Book Antiqua" w:cstheme="minorHAnsi"/>
          <w:sz w:val="24"/>
          <w:szCs w:val="24"/>
        </w:rPr>
        <w:t xml:space="preserve">, </w:t>
      </w:r>
      <w:proofErr w:type="spellStart"/>
      <w:r w:rsidRPr="00153E1C">
        <w:rPr>
          <w:rFonts w:ascii="Book Antiqua" w:hAnsi="Book Antiqua" w:cstheme="minorHAnsi"/>
          <w:sz w:val="24"/>
          <w:szCs w:val="24"/>
        </w:rPr>
        <w:t>Targownik</w:t>
      </w:r>
      <w:proofErr w:type="spellEnd"/>
      <w:r w:rsidRPr="00153E1C">
        <w:rPr>
          <w:rFonts w:ascii="Book Antiqua" w:hAnsi="Book Antiqua" w:cstheme="minorHAnsi"/>
          <w:sz w:val="24"/>
          <w:szCs w:val="24"/>
        </w:rPr>
        <w:t xml:space="preserve"> LE, Singh H, Blanchard JF, Bernstein CN. Patterns and Predictors of Long-term Nonuse of Medical Therapy Among Persons with Inflammatory Bowel Disease. </w:t>
      </w:r>
      <w:proofErr w:type="spellStart"/>
      <w:r w:rsidRPr="00153E1C">
        <w:rPr>
          <w:rFonts w:ascii="Book Antiqua" w:hAnsi="Book Antiqua" w:cstheme="minorHAnsi"/>
          <w:i/>
          <w:iCs/>
          <w:sz w:val="24"/>
          <w:szCs w:val="24"/>
        </w:rPr>
        <w:t>Inflamm</w:t>
      </w:r>
      <w:proofErr w:type="spellEnd"/>
      <w:r w:rsidRPr="00153E1C">
        <w:rPr>
          <w:rFonts w:ascii="Book Antiqua" w:hAnsi="Book Antiqua" w:cstheme="minorHAnsi"/>
          <w:i/>
          <w:iCs/>
          <w:sz w:val="24"/>
          <w:szCs w:val="24"/>
        </w:rPr>
        <w:t xml:space="preserve"> Bowel Dis</w:t>
      </w:r>
      <w:r w:rsidRPr="00153E1C">
        <w:rPr>
          <w:rFonts w:ascii="Book Antiqua" w:hAnsi="Book Antiqua" w:cstheme="minorHAnsi"/>
          <w:sz w:val="24"/>
          <w:szCs w:val="24"/>
        </w:rPr>
        <w:t> 2015; </w:t>
      </w:r>
      <w:r w:rsidRPr="00153E1C">
        <w:rPr>
          <w:rFonts w:ascii="Book Antiqua" w:hAnsi="Book Antiqua" w:cstheme="minorHAnsi"/>
          <w:b/>
          <w:bCs/>
          <w:sz w:val="24"/>
          <w:szCs w:val="24"/>
        </w:rPr>
        <w:t>21</w:t>
      </w:r>
      <w:r w:rsidRPr="00153E1C">
        <w:rPr>
          <w:rFonts w:ascii="Book Antiqua" w:hAnsi="Book Antiqua" w:cstheme="minorHAnsi"/>
          <w:sz w:val="24"/>
          <w:szCs w:val="24"/>
        </w:rPr>
        <w:t>: 1615-1622 [PMID: 25970546 DOI: 10.1097/MIB.0000000000000418]</w:t>
      </w:r>
    </w:p>
    <w:p w14:paraId="43A52F32"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17 </w:t>
      </w:r>
      <w:proofErr w:type="spellStart"/>
      <w:r w:rsidRPr="00153E1C">
        <w:rPr>
          <w:rFonts w:ascii="Book Antiqua" w:hAnsi="Book Antiqua" w:cstheme="minorHAnsi"/>
          <w:b/>
          <w:bCs/>
          <w:sz w:val="24"/>
          <w:szCs w:val="24"/>
        </w:rPr>
        <w:t>Bhasin</w:t>
      </w:r>
      <w:proofErr w:type="spellEnd"/>
      <w:r w:rsidRPr="00153E1C">
        <w:rPr>
          <w:rFonts w:ascii="Book Antiqua" w:hAnsi="Book Antiqua" w:cstheme="minorHAnsi"/>
          <w:b/>
          <w:bCs/>
          <w:sz w:val="24"/>
          <w:szCs w:val="24"/>
        </w:rPr>
        <w:t xml:space="preserve"> S</w:t>
      </w:r>
      <w:r w:rsidRPr="00153E1C">
        <w:rPr>
          <w:rFonts w:ascii="Book Antiqua" w:hAnsi="Book Antiqua" w:cstheme="minorHAnsi"/>
          <w:sz w:val="24"/>
          <w:szCs w:val="24"/>
        </w:rPr>
        <w:t xml:space="preserve">, Singh H, </w:t>
      </w:r>
      <w:proofErr w:type="spellStart"/>
      <w:r w:rsidRPr="00153E1C">
        <w:rPr>
          <w:rFonts w:ascii="Book Antiqua" w:hAnsi="Book Antiqua" w:cstheme="minorHAnsi"/>
          <w:sz w:val="24"/>
          <w:szCs w:val="24"/>
        </w:rPr>
        <w:t>Targownik</w:t>
      </w:r>
      <w:proofErr w:type="spellEnd"/>
      <w:r w:rsidRPr="00153E1C">
        <w:rPr>
          <w:rFonts w:ascii="Book Antiqua" w:hAnsi="Book Antiqua" w:cstheme="minorHAnsi"/>
          <w:sz w:val="24"/>
          <w:szCs w:val="24"/>
        </w:rPr>
        <w:t xml:space="preserve"> LE, Israeli E, Bernstein CN. Rates and Reasons for Nonuse of Prescription Medication for Inflammatory Bowel Disease in a Referral Clinic. </w:t>
      </w:r>
      <w:proofErr w:type="spellStart"/>
      <w:r w:rsidRPr="00153E1C">
        <w:rPr>
          <w:rFonts w:ascii="Book Antiqua" w:hAnsi="Book Antiqua" w:cstheme="minorHAnsi"/>
          <w:i/>
          <w:iCs/>
          <w:sz w:val="24"/>
          <w:szCs w:val="24"/>
        </w:rPr>
        <w:t>Inflamm</w:t>
      </w:r>
      <w:proofErr w:type="spellEnd"/>
      <w:r w:rsidRPr="00153E1C">
        <w:rPr>
          <w:rFonts w:ascii="Book Antiqua" w:hAnsi="Book Antiqua" w:cstheme="minorHAnsi"/>
          <w:i/>
          <w:iCs/>
          <w:sz w:val="24"/>
          <w:szCs w:val="24"/>
        </w:rPr>
        <w:t xml:space="preserve"> Bowel Dis</w:t>
      </w:r>
      <w:r w:rsidRPr="00153E1C">
        <w:rPr>
          <w:rFonts w:ascii="Book Antiqua" w:hAnsi="Book Antiqua" w:cstheme="minorHAnsi"/>
          <w:sz w:val="24"/>
          <w:szCs w:val="24"/>
        </w:rPr>
        <w:t> 2016; </w:t>
      </w:r>
      <w:r w:rsidRPr="00153E1C">
        <w:rPr>
          <w:rFonts w:ascii="Book Antiqua" w:hAnsi="Book Antiqua" w:cstheme="minorHAnsi"/>
          <w:b/>
          <w:bCs/>
          <w:sz w:val="24"/>
          <w:szCs w:val="24"/>
        </w:rPr>
        <w:t>22</w:t>
      </w:r>
      <w:r w:rsidRPr="00153E1C">
        <w:rPr>
          <w:rFonts w:ascii="Book Antiqua" w:hAnsi="Book Antiqua" w:cstheme="minorHAnsi"/>
          <w:sz w:val="24"/>
          <w:szCs w:val="24"/>
        </w:rPr>
        <w:t>: 919-924 [PMID: 26933748 DOI: 10.1097/MIB.0000000000000753]</w:t>
      </w:r>
    </w:p>
    <w:p w14:paraId="33105B0B"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18 </w:t>
      </w:r>
      <w:r w:rsidRPr="00153E1C">
        <w:rPr>
          <w:rFonts w:ascii="Book Antiqua" w:hAnsi="Book Antiqua" w:cstheme="minorHAnsi"/>
          <w:b/>
          <w:bCs/>
          <w:sz w:val="24"/>
          <w:szCs w:val="24"/>
        </w:rPr>
        <w:t>Norton C</w:t>
      </w:r>
      <w:r w:rsidRPr="00153E1C">
        <w:rPr>
          <w:rFonts w:ascii="Book Antiqua" w:hAnsi="Book Antiqua" w:cstheme="minorHAnsi"/>
          <w:sz w:val="24"/>
          <w:szCs w:val="24"/>
        </w:rPr>
        <w:t xml:space="preserve">, </w:t>
      </w:r>
      <w:proofErr w:type="spellStart"/>
      <w:r w:rsidRPr="00153E1C">
        <w:rPr>
          <w:rFonts w:ascii="Book Antiqua" w:hAnsi="Book Antiqua" w:cstheme="minorHAnsi"/>
          <w:sz w:val="24"/>
          <w:szCs w:val="24"/>
        </w:rPr>
        <w:t>Czuber-Dochan</w:t>
      </w:r>
      <w:proofErr w:type="spellEnd"/>
      <w:r w:rsidRPr="00153E1C">
        <w:rPr>
          <w:rFonts w:ascii="Book Antiqua" w:hAnsi="Book Antiqua" w:cstheme="minorHAnsi"/>
          <w:sz w:val="24"/>
          <w:szCs w:val="24"/>
        </w:rPr>
        <w:t xml:space="preserve"> W, </w:t>
      </w:r>
      <w:proofErr w:type="spellStart"/>
      <w:r w:rsidRPr="00153E1C">
        <w:rPr>
          <w:rFonts w:ascii="Book Antiqua" w:hAnsi="Book Antiqua" w:cstheme="minorHAnsi"/>
          <w:sz w:val="24"/>
          <w:szCs w:val="24"/>
        </w:rPr>
        <w:t>Artom</w:t>
      </w:r>
      <w:proofErr w:type="spellEnd"/>
      <w:r w:rsidRPr="00153E1C">
        <w:rPr>
          <w:rFonts w:ascii="Book Antiqua" w:hAnsi="Book Antiqua" w:cstheme="minorHAnsi"/>
          <w:sz w:val="24"/>
          <w:szCs w:val="24"/>
        </w:rPr>
        <w:t xml:space="preserve"> M, Sweeney L, Hart A. Systematic review: interventions for abdominal pain management in inflammatory bowel disease. </w:t>
      </w:r>
      <w:r w:rsidRPr="00153E1C">
        <w:rPr>
          <w:rFonts w:ascii="Book Antiqua" w:hAnsi="Book Antiqua" w:cstheme="minorHAnsi"/>
          <w:i/>
          <w:iCs/>
          <w:sz w:val="24"/>
          <w:szCs w:val="24"/>
        </w:rPr>
        <w:t xml:space="preserve">Aliment </w:t>
      </w:r>
      <w:proofErr w:type="spellStart"/>
      <w:r w:rsidRPr="00153E1C">
        <w:rPr>
          <w:rFonts w:ascii="Book Antiqua" w:hAnsi="Book Antiqua" w:cstheme="minorHAnsi"/>
          <w:i/>
          <w:iCs/>
          <w:sz w:val="24"/>
          <w:szCs w:val="24"/>
        </w:rPr>
        <w:t>Pharmacol</w:t>
      </w:r>
      <w:proofErr w:type="spellEnd"/>
      <w:r w:rsidRPr="00153E1C">
        <w:rPr>
          <w:rFonts w:ascii="Book Antiqua" w:hAnsi="Book Antiqua" w:cstheme="minorHAnsi"/>
          <w:i/>
          <w:iCs/>
          <w:sz w:val="24"/>
          <w:szCs w:val="24"/>
        </w:rPr>
        <w:t xml:space="preserve"> </w:t>
      </w:r>
      <w:proofErr w:type="spellStart"/>
      <w:r w:rsidRPr="00153E1C">
        <w:rPr>
          <w:rFonts w:ascii="Book Antiqua" w:hAnsi="Book Antiqua" w:cstheme="minorHAnsi"/>
          <w:i/>
          <w:iCs/>
          <w:sz w:val="24"/>
          <w:szCs w:val="24"/>
        </w:rPr>
        <w:t>Ther</w:t>
      </w:r>
      <w:proofErr w:type="spellEnd"/>
      <w:r w:rsidRPr="00153E1C">
        <w:rPr>
          <w:rFonts w:ascii="Book Antiqua" w:hAnsi="Book Antiqua" w:cstheme="minorHAnsi"/>
          <w:sz w:val="24"/>
          <w:szCs w:val="24"/>
        </w:rPr>
        <w:t> 2017; </w:t>
      </w:r>
      <w:r w:rsidRPr="00153E1C">
        <w:rPr>
          <w:rFonts w:ascii="Book Antiqua" w:hAnsi="Book Antiqua" w:cstheme="minorHAnsi"/>
          <w:b/>
          <w:bCs/>
          <w:sz w:val="24"/>
          <w:szCs w:val="24"/>
        </w:rPr>
        <w:t>46</w:t>
      </w:r>
      <w:r w:rsidRPr="00153E1C">
        <w:rPr>
          <w:rFonts w:ascii="Book Antiqua" w:hAnsi="Book Antiqua" w:cstheme="minorHAnsi"/>
          <w:sz w:val="24"/>
          <w:szCs w:val="24"/>
        </w:rPr>
        <w:t>: 115-125 [PMID: 28470846 DOI: 10.1111/apt.14108]</w:t>
      </w:r>
    </w:p>
    <w:p w14:paraId="15819296"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lastRenderedPageBreak/>
        <w:t>19 </w:t>
      </w:r>
      <w:r w:rsidRPr="00153E1C">
        <w:rPr>
          <w:rFonts w:ascii="Book Antiqua" w:hAnsi="Book Antiqua" w:cstheme="minorHAnsi"/>
          <w:b/>
          <w:bCs/>
          <w:sz w:val="24"/>
          <w:szCs w:val="24"/>
        </w:rPr>
        <w:t>Levine A</w:t>
      </w:r>
      <w:r w:rsidRPr="00153E1C">
        <w:rPr>
          <w:rFonts w:ascii="Book Antiqua" w:hAnsi="Book Antiqua" w:cstheme="minorHAnsi"/>
          <w:sz w:val="24"/>
          <w:szCs w:val="24"/>
        </w:rPr>
        <w:t>, Turner D. Combined azithromycin and metronidazole therapy is effective in inducing remission in pediatric Crohn's disease. </w:t>
      </w:r>
      <w:r w:rsidRPr="00153E1C">
        <w:rPr>
          <w:rFonts w:ascii="Book Antiqua" w:hAnsi="Book Antiqua" w:cstheme="minorHAnsi"/>
          <w:i/>
          <w:iCs/>
          <w:sz w:val="24"/>
          <w:szCs w:val="24"/>
        </w:rPr>
        <w:t xml:space="preserve">J </w:t>
      </w:r>
      <w:proofErr w:type="spellStart"/>
      <w:r w:rsidRPr="00153E1C">
        <w:rPr>
          <w:rFonts w:ascii="Book Antiqua" w:hAnsi="Book Antiqua" w:cstheme="minorHAnsi"/>
          <w:i/>
          <w:iCs/>
          <w:sz w:val="24"/>
          <w:szCs w:val="24"/>
        </w:rPr>
        <w:t>Crohns</w:t>
      </w:r>
      <w:proofErr w:type="spellEnd"/>
      <w:r w:rsidRPr="00153E1C">
        <w:rPr>
          <w:rFonts w:ascii="Book Antiqua" w:hAnsi="Book Antiqua" w:cstheme="minorHAnsi"/>
          <w:i/>
          <w:iCs/>
          <w:sz w:val="24"/>
          <w:szCs w:val="24"/>
        </w:rPr>
        <w:t xml:space="preserve"> Colitis</w:t>
      </w:r>
      <w:r w:rsidRPr="00153E1C">
        <w:rPr>
          <w:rFonts w:ascii="Book Antiqua" w:hAnsi="Book Antiqua" w:cstheme="minorHAnsi"/>
          <w:sz w:val="24"/>
          <w:szCs w:val="24"/>
        </w:rPr>
        <w:t> 2011; </w:t>
      </w:r>
      <w:r w:rsidRPr="00153E1C">
        <w:rPr>
          <w:rFonts w:ascii="Book Antiqua" w:hAnsi="Book Antiqua" w:cstheme="minorHAnsi"/>
          <w:b/>
          <w:bCs/>
          <w:sz w:val="24"/>
          <w:szCs w:val="24"/>
        </w:rPr>
        <w:t>5</w:t>
      </w:r>
      <w:r w:rsidRPr="00153E1C">
        <w:rPr>
          <w:rFonts w:ascii="Book Antiqua" w:hAnsi="Book Antiqua" w:cstheme="minorHAnsi"/>
          <w:sz w:val="24"/>
          <w:szCs w:val="24"/>
        </w:rPr>
        <w:t>: 222-226 [PMID: 21575885 DOI: 10.1016/j.crohns.2011.01.006]</w:t>
      </w:r>
    </w:p>
    <w:p w14:paraId="26E132F3"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20 </w:t>
      </w:r>
      <w:r w:rsidRPr="00153E1C">
        <w:rPr>
          <w:rFonts w:ascii="Book Antiqua" w:hAnsi="Book Antiqua" w:cstheme="minorHAnsi"/>
          <w:b/>
          <w:bCs/>
          <w:sz w:val="24"/>
          <w:szCs w:val="24"/>
        </w:rPr>
        <w:t>Gupta K</w:t>
      </w:r>
      <w:r w:rsidRPr="00153E1C">
        <w:rPr>
          <w:rFonts w:ascii="Book Antiqua" w:hAnsi="Book Antiqua" w:cstheme="minorHAnsi"/>
          <w:sz w:val="24"/>
          <w:szCs w:val="24"/>
        </w:rPr>
        <w:t xml:space="preserve">, Noble A, </w:t>
      </w:r>
      <w:proofErr w:type="spellStart"/>
      <w:r w:rsidRPr="00153E1C">
        <w:rPr>
          <w:rFonts w:ascii="Book Antiqua" w:hAnsi="Book Antiqua" w:cstheme="minorHAnsi"/>
          <w:sz w:val="24"/>
          <w:szCs w:val="24"/>
        </w:rPr>
        <w:t>Kachelries</w:t>
      </w:r>
      <w:proofErr w:type="spellEnd"/>
      <w:r w:rsidRPr="00153E1C">
        <w:rPr>
          <w:rFonts w:ascii="Book Antiqua" w:hAnsi="Book Antiqua" w:cstheme="minorHAnsi"/>
          <w:sz w:val="24"/>
          <w:szCs w:val="24"/>
        </w:rPr>
        <w:t xml:space="preserve"> KE, </w:t>
      </w:r>
      <w:proofErr w:type="spellStart"/>
      <w:r w:rsidRPr="00153E1C">
        <w:rPr>
          <w:rFonts w:ascii="Book Antiqua" w:hAnsi="Book Antiqua" w:cstheme="minorHAnsi"/>
          <w:sz w:val="24"/>
          <w:szCs w:val="24"/>
        </w:rPr>
        <w:t>Albenberg</w:t>
      </w:r>
      <w:proofErr w:type="spellEnd"/>
      <w:r w:rsidRPr="00153E1C">
        <w:rPr>
          <w:rFonts w:ascii="Book Antiqua" w:hAnsi="Book Antiqua" w:cstheme="minorHAnsi"/>
          <w:sz w:val="24"/>
          <w:szCs w:val="24"/>
        </w:rPr>
        <w:t xml:space="preserve"> L, </w:t>
      </w:r>
      <w:proofErr w:type="spellStart"/>
      <w:r w:rsidRPr="00153E1C">
        <w:rPr>
          <w:rFonts w:ascii="Book Antiqua" w:hAnsi="Book Antiqua" w:cstheme="minorHAnsi"/>
          <w:sz w:val="24"/>
          <w:szCs w:val="24"/>
        </w:rPr>
        <w:t>Kelsen</w:t>
      </w:r>
      <w:proofErr w:type="spellEnd"/>
      <w:r w:rsidRPr="00153E1C">
        <w:rPr>
          <w:rFonts w:ascii="Book Antiqua" w:hAnsi="Book Antiqua" w:cstheme="minorHAnsi"/>
          <w:sz w:val="24"/>
          <w:szCs w:val="24"/>
        </w:rPr>
        <w:t xml:space="preserve"> JR, Grossman AB, </w:t>
      </w:r>
      <w:proofErr w:type="spellStart"/>
      <w:r w:rsidRPr="00153E1C">
        <w:rPr>
          <w:rFonts w:ascii="Book Antiqua" w:hAnsi="Book Antiqua" w:cstheme="minorHAnsi"/>
          <w:sz w:val="24"/>
          <w:szCs w:val="24"/>
        </w:rPr>
        <w:t>Baldassano</w:t>
      </w:r>
      <w:proofErr w:type="spellEnd"/>
      <w:r w:rsidRPr="00153E1C">
        <w:rPr>
          <w:rFonts w:ascii="Book Antiqua" w:hAnsi="Book Antiqua" w:cstheme="minorHAnsi"/>
          <w:sz w:val="24"/>
          <w:szCs w:val="24"/>
        </w:rPr>
        <w:t xml:space="preserve"> RN. A novel enteral nutrition protocol for the treatment of pediatric Crohn's disease. </w:t>
      </w:r>
      <w:proofErr w:type="spellStart"/>
      <w:r w:rsidRPr="00153E1C">
        <w:rPr>
          <w:rFonts w:ascii="Book Antiqua" w:hAnsi="Book Antiqua" w:cstheme="minorHAnsi"/>
          <w:i/>
          <w:iCs/>
          <w:sz w:val="24"/>
          <w:szCs w:val="24"/>
        </w:rPr>
        <w:t>Inflamm</w:t>
      </w:r>
      <w:proofErr w:type="spellEnd"/>
      <w:r w:rsidRPr="00153E1C">
        <w:rPr>
          <w:rFonts w:ascii="Book Antiqua" w:hAnsi="Book Antiqua" w:cstheme="minorHAnsi"/>
          <w:i/>
          <w:iCs/>
          <w:sz w:val="24"/>
          <w:szCs w:val="24"/>
        </w:rPr>
        <w:t xml:space="preserve"> Bowel Dis</w:t>
      </w:r>
      <w:r w:rsidRPr="00153E1C">
        <w:rPr>
          <w:rFonts w:ascii="Book Antiqua" w:hAnsi="Book Antiqua" w:cstheme="minorHAnsi"/>
          <w:sz w:val="24"/>
          <w:szCs w:val="24"/>
        </w:rPr>
        <w:t> 2013; </w:t>
      </w:r>
      <w:r w:rsidRPr="00153E1C">
        <w:rPr>
          <w:rFonts w:ascii="Book Antiqua" w:hAnsi="Book Antiqua" w:cstheme="minorHAnsi"/>
          <w:b/>
          <w:bCs/>
          <w:sz w:val="24"/>
          <w:szCs w:val="24"/>
        </w:rPr>
        <w:t>19</w:t>
      </w:r>
      <w:r w:rsidRPr="00153E1C">
        <w:rPr>
          <w:rFonts w:ascii="Book Antiqua" w:hAnsi="Book Antiqua" w:cstheme="minorHAnsi"/>
          <w:sz w:val="24"/>
          <w:szCs w:val="24"/>
        </w:rPr>
        <w:t>: 1374-1378 [PMID: 23567777 DOI: 10.1097/MIB.0b013e318281321b]</w:t>
      </w:r>
    </w:p>
    <w:p w14:paraId="286C5F6F" w14:textId="77777777" w:rsidR="00153E1C" w:rsidRPr="00153E1C" w:rsidRDefault="00153E1C" w:rsidP="00153E1C">
      <w:pPr>
        <w:adjustRightInd w:val="0"/>
        <w:snapToGrid w:val="0"/>
        <w:spacing w:after="0" w:line="360" w:lineRule="auto"/>
        <w:jc w:val="both"/>
        <w:rPr>
          <w:rFonts w:ascii="Book Antiqua" w:hAnsi="Book Antiqua" w:cstheme="minorHAnsi"/>
          <w:sz w:val="24"/>
          <w:szCs w:val="24"/>
        </w:rPr>
      </w:pPr>
      <w:r w:rsidRPr="00153E1C">
        <w:rPr>
          <w:rFonts w:ascii="Book Antiqua" w:hAnsi="Book Antiqua" w:cstheme="minorHAnsi"/>
          <w:sz w:val="24"/>
          <w:szCs w:val="24"/>
        </w:rPr>
        <w:t>21 </w:t>
      </w:r>
      <w:r w:rsidRPr="00153E1C">
        <w:rPr>
          <w:rFonts w:ascii="Book Antiqua" w:hAnsi="Book Antiqua" w:cstheme="minorHAnsi"/>
          <w:b/>
          <w:bCs/>
          <w:sz w:val="24"/>
          <w:szCs w:val="24"/>
        </w:rPr>
        <w:t>Cohen SA</w:t>
      </w:r>
      <w:r w:rsidRPr="00153E1C">
        <w:rPr>
          <w:rFonts w:ascii="Book Antiqua" w:hAnsi="Book Antiqua" w:cstheme="minorHAnsi"/>
          <w:sz w:val="24"/>
          <w:szCs w:val="24"/>
        </w:rPr>
        <w:t xml:space="preserve">, Gold BD, Oliva S, Lewis J, Stallworth A, Koch B, </w:t>
      </w:r>
      <w:proofErr w:type="spellStart"/>
      <w:r w:rsidRPr="00153E1C">
        <w:rPr>
          <w:rFonts w:ascii="Book Antiqua" w:hAnsi="Book Antiqua" w:cstheme="minorHAnsi"/>
          <w:sz w:val="24"/>
          <w:szCs w:val="24"/>
        </w:rPr>
        <w:t>Eshee</w:t>
      </w:r>
      <w:proofErr w:type="spellEnd"/>
      <w:r w:rsidRPr="00153E1C">
        <w:rPr>
          <w:rFonts w:ascii="Book Antiqua" w:hAnsi="Book Antiqua" w:cstheme="minorHAnsi"/>
          <w:sz w:val="24"/>
          <w:szCs w:val="24"/>
        </w:rPr>
        <w:t xml:space="preserve"> L, Mason D. Clinical and mucosal improvement with specific carbohydrate diet in pediatric Crohn disease. </w:t>
      </w:r>
      <w:r w:rsidRPr="00153E1C">
        <w:rPr>
          <w:rFonts w:ascii="Book Antiqua" w:hAnsi="Book Antiqua" w:cstheme="minorHAnsi"/>
          <w:i/>
          <w:iCs/>
          <w:sz w:val="24"/>
          <w:szCs w:val="24"/>
        </w:rPr>
        <w:t xml:space="preserve">J </w:t>
      </w:r>
      <w:proofErr w:type="spellStart"/>
      <w:r w:rsidRPr="00153E1C">
        <w:rPr>
          <w:rFonts w:ascii="Book Antiqua" w:hAnsi="Book Antiqua" w:cstheme="minorHAnsi"/>
          <w:i/>
          <w:iCs/>
          <w:sz w:val="24"/>
          <w:szCs w:val="24"/>
        </w:rPr>
        <w:t>Pediatr</w:t>
      </w:r>
      <w:proofErr w:type="spellEnd"/>
      <w:r w:rsidRPr="00153E1C">
        <w:rPr>
          <w:rFonts w:ascii="Book Antiqua" w:hAnsi="Book Antiqua" w:cstheme="minorHAnsi"/>
          <w:i/>
          <w:iCs/>
          <w:sz w:val="24"/>
          <w:szCs w:val="24"/>
        </w:rPr>
        <w:t xml:space="preserve"> Gastroenterol </w:t>
      </w:r>
      <w:proofErr w:type="spellStart"/>
      <w:r w:rsidRPr="00153E1C">
        <w:rPr>
          <w:rFonts w:ascii="Book Antiqua" w:hAnsi="Book Antiqua" w:cstheme="minorHAnsi"/>
          <w:i/>
          <w:iCs/>
          <w:sz w:val="24"/>
          <w:szCs w:val="24"/>
        </w:rPr>
        <w:t>Nutr</w:t>
      </w:r>
      <w:proofErr w:type="spellEnd"/>
      <w:r w:rsidRPr="00153E1C">
        <w:rPr>
          <w:rFonts w:ascii="Book Antiqua" w:hAnsi="Book Antiqua" w:cstheme="minorHAnsi"/>
          <w:sz w:val="24"/>
          <w:szCs w:val="24"/>
        </w:rPr>
        <w:t> 2014; </w:t>
      </w:r>
      <w:r w:rsidRPr="00153E1C">
        <w:rPr>
          <w:rFonts w:ascii="Book Antiqua" w:hAnsi="Book Antiqua" w:cstheme="minorHAnsi"/>
          <w:b/>
          <w:bCs/>
          <w:sz w:val="24"/>
          <w:szCs w:val="24"/>
        </w:rPr>
        <w:t>59</w:t>
      </w:r>
      <w:r w:rsidRPr="00153E1C">
        <w:rPr>
          <w:rFonts w:ascii="Book Antiqua" w:hAnsi="Book Antiqua" w:cstheme="minorHAnsi"/>
          <w:sz w:val="24"/>
          <w:szCs w:val="24"/>
        </w:rPr>
        <w:t>: 516-521 [PMID: 24897165 DOI: 10.1097/MPG.0000000000000449]</w:t>
      </w:r>
    </w:p>
    <w:p w14:paraId="4FB373B9" w14:textId="5327D1A7" w:rsidR="00D53981" w:rsidRDefault="00D53981" w:rsidP="00FD080D">
      <w:pPr>
        <w:adjustRightInd w:val="0"/>
        <w:snapToGrid w:val="0"/>
        <w:spacing w:after="0" w:line="360" w:lineRule="auto"/>
        <w:jc w:val="both"/>
        <w:rPr>
          <w:rFonts w:ascii="Book Antiqua" w:hAnsi="Book Antiqua"/>
          <w:sz w:val="24"/>
          <w:szCs w:val="24"/>
        </w:rPr>
      </w:pPr>
    </w:p>
    <w:p w14:paraId="5E920129" w14:textId="30541D06" w:rsidR="00491405" w:rsidRPr="00491405" w:rsidRDefault="00491405" w:rsidP="00491405">
      <w:pPr>
        <w:wordWrap w:val="0"/>
        <w:snapToGrid w:val="0"/>
        <w:spacing w:after="0" w:line="360" w:lineRule="auto"/>
        <w:jc w:val="right"/>
        <w:rPr>
          <w:rFonts w:ascii="Book Antiqua" w:eastAsia="SimSun" w:hAnsi="Book Antiqua" w:cs="Times New Roman"/>
          <w:b/>
          <w:bCs/>
          <w:color w:val="auto"/>
          <w:sz w:val="24"/>
          <w:szCs w:val="24"/>
          <w:lang w:eastAsia="zh-CN"/>
        </w:rPr>
      </w:pPr>
      <w:bookmarkStart w:id="40" w:name="OLE_LINK320"/>
      <w:bookmarkStart w:id="41" w:name="OLE_LINK387"/>
      <w:bookmarkStart w:id="42" w:name="OLE_LINK254"/>
      <w:bookmarkStart w:id="43" w:name="OLE_LINK149"/>
      <w:bookmarkStart w:id="44" w:name="OLE_LINK225"/>
      <w:bookmarkStart w:id="45" w:name="OLE_LINK207"/>
      <w:bookmarkStart w:id="46" w:name="OLE_LINK226"/>
      <w:bookmarkStart w:id="47" w:name="OLE_LINK212"/>
      <w:bookmarkStart w:id="48" w:name="OLE_LINK250"/>
      <w:bookmarkStart w:id="49" w:name="OLE_LINK281"/>
      <w:bookmarkStart w:id="50" w:name="OLE_LINK282"/>
      <w:bookmarkStart w:id="51" w:name="OLE_LINK313"/>
      <w:bookmarkStart w:id="52" w:name="OLE_LINK304"/>
      <w:bookmarkStart w:id="53" w:name="OLE_LINK321"/>
      <w:bookmarkStart w:id="54" w:name="OLE_LINK385"/>
      <w:bookmarkStart w:id="55" w:name="OLE_LINK400"/>
      <w:bookmarkStart w:id="56" w:name="OLE_LINK346"/>
      <w:bookmarkStart w:id="57" w:name="OLE_LINK371"/>
      <w:bookmarkStart w:id="58" w:name="OLE_LINK334"/>
      <w:bookmarkStart w:id="59" w:name="OLE_LINK1830"/>
      <w:bookmarkStart w:id="60" w:name="OLE_LINK457"/>
      <w:bookmarkStart w:id="61" w:name="OLE_LINK288"/>
      <w:bookmarkStart w:id="62" w:name="OLE_LINK384"/>
      <w:bookmarkStart w:id="63" w:name="OLE_LINK379"/>
      <w:bookmarkStart w:id="64" w:name="OLE_LINK303"/>
      <w:bookmarkStart w:id="65" w:name="OLE_LINK450"/>
      <w:bookmarkStart w:id="66" w:name="OLE_LINK489"/>
      <w:bookmarkStart w:id="67" w:name="OLE_LINK535"/>
      <w:bookmarkStart w:id="68" w:name="OLE_LINK648"/>
      <w:bookmarkStart w:id="69" w:name="OLE_LINK686"/>
      <w:bookmarkStart w:id="70" w:name="OLE_LINK471"/>
      <w:bookmarkStart w:id="71" w:name="OLE_LINK462"/>
      <w:bookmarkStart w:id="72" w:name="OLE_LINK519"/>
      <w:bookmarkStart w:id="73" w:name="OLE_LINK575"/>
      <w:bookmarkStart w:id="74" w:name="OLE_LINK491"/>
      <w:bookmarkStart w:id="75" w:name="OLE_LINK532"/>
      <w:bookmarkStart w:id="76" w:name="OLE_LINK572"/>
      <w:bookmarkStart w:id="77" w:name="OLE_LINK574"/>
      <w:bookmarkStart w:id="78" w:name="OLE_LINK480"/>
      <w:bookmarkStart w:id="79" w:name="OLE_LINK567"/>
      <w:bookmarkStart w:id="80" w:name="OLE_LINK2700"/>
      <w:bookmarkStart w:id="81" w:name="OLE_LINK581"/>
      <w:bookmarkStart w:id="82" w:name="OLE_LINK639"/>
      <w:bookmarkStart w:id="83" w:name="OLE_LINK688"/>
      <w:bookmarkStart w:id="84" w:name="OLE_LINK722"/>
      <w:bookmarkStart w:id="85" w:name="OLE_LINK542"/>
      <w:bookmarkStart w:id="86" w:name="OLE_LINK589"/>
      <w:bookmarkStart w:id="87" w:name="OLE_LINK582"/>
      <w:bookmarkStart w:id="88" w:name="OLE_LINK640"/>
      <w:bookmarkStart w:id="89" w:name="OLE_LINK714"/>
      <w:bookmarkStart w:id="90" w:name="OLE_LINK593"/>
      <w:bookmarkStart w:id="91" w:name="OLE_LINK716"/>
      <w:bookmarkStart w:id="92" w:name="OLE_LINK770"/>
      <w:bookmarkStart w:id="93" w:name="OLE_LINK801"/>
      <w:bookmarkStart w:id="94" w:name="OLE_LINK660"/>
      <w:bookmarkStart w:id="95" w:name="OLE_LINK781"/>
      <w:bookmarkStart w:id="96" w:name="OLE_LINK833"/>
      <w:bookmarkStart w:id="97" w:name="OLE_LINK642"/>
      <w:bookmarkStart w:id="98" w:name="OLE_LINK700"/>
      <w:bookmarkStart w:id="99" w:name="OLE_LINK792"/>
      <w:bookmarkStart w:id="100" w:name="OLE_LINK2882"/>
      <w:bookmarkStart w:id="101" w:name="OLE_LINK836"/>
      <w:bookmarkStart w:id="102" w:name="OLE_LINK889"/>
      <w:bookmarkStart w:id="103" w:name="OLE_LINK782"/>
      <w:bookmarkStart w:id="104" w:name="OLE_LINK826"/>
      <w:bookmarkStart w:id="105" w:name="OLE_LINK865"/>
      <w:bookmarkStart w:id="106" w:name="OLE_LINK856"/>
      <w:bookmarkStart w:id="107" w:name="OLE_LINK908"/>
      <w:bookmarkStart w:id="108" w:name="OLE_LINK980"/>
      <w:bookmarkStart w:id="109" w:name="OLE_LINK1018"/>
      <w:bookmarkStart w:id="110" w:name="OLE_LINK1049"/>
      <w:bookmarkStart w:id="111" w:name="OLE_LINK1076"/>
      <w:bookmarkStart w:id="112" w:name="OLE_LINK1106"/>
      <w:bookmarkStart w:id="113" w:name="OLE_LINK891"/>
      <w:bookmarkStart w:id="114" w:name="OLE_LINK943"/>
      <w:bookmarkStart w:id="115" w:name="OLE_LINK981"/>
      <w:bookmarkStart w:id="116" w:name="OLE_LINK1030"/>
      <w:bookmarkStart w:id="117" w:name="OLE_LINK847"/>
      <w:bookmarkStart w:id="118" w:name="OLE_LINK909"/>
      <w:bookmarkStart w:id="119" w:name="OLE_LINK906"/>
      <w:bookmarkStart w:id="120" w:name="OLE_LINK992"/>
      <w:bookmarkStart w:id="121" w:name="OLE_LINK993"/>
      <w:bookmarkStart w:id="122" w:name="OLE_LINK1052"/>
      <w:bookmarkStart w:id="123" w:name="OLE_LINK946"/>
      <w:bookmarkStart w:id="124" w:name="OLE_LINK911"/>
      <w:bookmarkStart w:id="125" w:name="OLE_LINK930"/>
      <w:bookmarkStart w:id="126" w:name="OLE_LINK1059"/>
      <w:bookmarkStart w:id="127" w:name="OLE_LINK1174"/>
      <w:bookmarkStart w:id="128" w:name="OLE_LINK1137"/>
      <w:bookmarkStart w:id="129" w:name="OLE_LINK1167"/>
      <w:bookmarkStart w:id="130" w:name="OLE_LINK1200"/>
      <w:bookmarkStart w:id="131" w:name="OLE_LINK1241"/>
      <w:bookmarkStart w:id="132" w:name="OLE_LINK1288"/>
      <w:bookmarkStart w:id="133" w:name="OLE_LINK1056"/>
      <w:bookmarkStart w:id="134" w:name="OLE_LINK1158"/>
      <w:bookmarkStart w:id="135" w:name="OLE_LINK1175"/>
      <w:bookmarkStart w:id="136" w:name="OLE_LINK1074"/>
      <w:bookmarkStart w:id="137" w:name="OLE_LINK1169"/>
      <w:bookmarkStart w:id="138" w:name="OLE_LINK386"/>
      <w:bookmarkStart w:id="139" w:name="OLE_LINK33"/>
      <w:bookmarkStart w:id="140" w:name="OLE_LINK34"/>
      <w:bookmarkStart w:id="141" w:name="OLE_LINK599"/>
      <w:bookmarkStart w:id="142" w:name="OLE_LINK87"/>
      <w:bookmarkStart w:id="143" w:name="OLE_LINK52"/>
      <w:bookmarkStart w:id="144" w:name="OLE_LINK57"/>
      <w:r w:rsidRPr="00491405">
        <w:rPr>
          <w:rFonts w:ascii="Book Antiqua" w:eastAsia="SimSun" w:hAnsi="Book Antiqua" w:cs="Times New Roman"/>
          <w:b/>
          <w:bCs/>
          <w:color w:val="auto"/>
          <w:sz w:val="24"/>
          <w:szCs w:val="24"/>
          <w:lang w:eastAsia="zh-CN"/>
        </w:rPr>
        <w:t>P-Reviewer:</w:t>
      </w:r>
      <w:r w:rsidRPr="00491405">
        <w:rPr>
          <w:rFonts w:ascii="Book Antiqua" w:eastAsia="SimSun" w:hAnsi="Book Antiqua" w:cs="Times New Roman" w:hint="eastAsia"/>
          <w:b/>
          <w:bCs/>
          <w:color w:val="auto"/>
          <w:sz w:val="24"/>
          <w:szCs w:val="24"/>
          <w:lang w:eastAsia="zh-CN"/>
        </w:rPr>
        <w:t xml:space="preserve"> </w:t>
      </w:r>
      <w:r w:rsidRPr="00491405">
        <w:rPr>
          <w:rFonts w:ascii="Book Antiqua" w:eastAsia="SimSun" w:hAnsi="Book Antiqua" w:cs="Times New Roman"/>
          <w:bCs/>
          <w:color w:val="auto"/>
          <w:sz w:val="24"/>
          <w:szCs w:val="24"/>
          <w:lang w:eastAsia="zh-CN"/>
        </w:rPr>
        <w:t>Chiba</w:t>
      </w:r>
      <w:r>
        <w:rPr>
          <w:rFonts w:ascii="Book Antiqua" w:eastAsia="SimSun" w:hAnsi="Book Antiqua" w:cs="Times New Roman"/>
          <w:bCs/>
          <w:color w:val="auto"/>
          <w:sz w:val="24"/>
          <w:szCs w:val="24"/>
          <w:lang w:eastAsia="zh-CN"/>
        </w:rPr>
        <w:t xml:space="preserve"> T, </w:t>
      </w:r>
      <w:r w:rsidRPr="00491405">
        <w:rPr>
          <w:rFonts w:ascii="Book Antiqua" w:eastAsia="SimSun" w:hAnsi="Book Antiqua" w:cs="Times New Roman"/>
          <w:bCs/>
          <w:color w:val="auto"/>
          <w:sz w:val="24"/>
          <w:szCs w:val="24"/>
          <w:lang w:eastAsia="zh-CN"/>
        </w:rPr>
        <w:t>Day</w:t>
      </w:r>
      <w:r>
        <w:rPr>
          <w:rFonts w:ascii="Book Antiqua" w:eastAsia="SimSun" w:hAnsi="Book Antiqua" w:cs="Times New Roman"/>
          <w:bCs/>
          <w:color w:val="auto"/>
          <w:sz w:val="24"/>
          <w:szCs w:val="24"/>
          <w:lang w:eastAsia="zh-CN"/>
        </w:rPr>
        <w:t xml:space="preserve"> AS</w:t>
      </w:r>
    </w:p>
    <w:p w14:paraId="224373A4" w14:textId="77777777" w:rsidR="00491405" w:rsidRPr="00491405" w:rsidRDefault="00491405" w:rsidP="00491405">
      <w:pPr>
        <w:snapToGrid w:val="0"/>
        <w:spacing w:after="0" w:line="360" w:lineRule="auto"/>
        <w:jc w:val="right"/>
        <w:rPr>
          <w:rFonts w:ascii="Book Antiqua" w:eastAsia="SimSun" w:hAnsi="Book Antiqua" w:cs="Times New Roman"/>
          <w:color w:val="auto"/>
          <w:sz w:val="24"/>
          <w:szCs w:val="24"/>
          <w:lang w:eastAsia="zh-CN"/>
        </w:rPr>
      </w:pPr>
      <w:r w:rsidRPr="00491405">
        <w:rPr>
          <w:rFonts w:ascii="Book Antiqua" w:eastAsia="SimSun" w:hAnsi="Book Antiqua" w:cs="Times New Roman"/>
          <w:b/>
          <w:bCs/>
          <w:color w:val="auto"/>
          <w:sz w:val="24"/>
          <w:szCs w:val="24"/>
          <w:lang w:eastAsia="zh-CN"/>
        </w:rPr>
        <w:t>S-Editor:</w:t>
      </w:r>
      <w:r w:rsidRPr="00491405">
        <w:rPr>
          <w:rFonts w:ascii="Book Antiqua" w:eastAsia="SimSun" w:hAnsi="Book Antiqua" w:cs="Times New Roman" w:hint="eastAsia"/>
          <w:color w:val="auto"/>
          <w:sz w:val="24"/>
          <w:szCs w:val="24"/>
          <w:lang w:eastAsia="zh-CN"/>
        </w:rPr>
        <w:t xml:space="preserve"> </w:t>
      </w:r>
      <w:r w:rsidRPr="00491405">
        <w:rPr>
          <w:rFonts w:ascii="Book Antiqua" w:eastAsia="SimSun" w:hAnsi="Book Antiqua" w:cs="Times New Roman"/>
          <w:color w:val="auto"/>
          <w:sz w:val="24"/>
          <w:szCs w:val="24"/>
          <w:lang w:eastAsia="zh-CN"/>
        </w:rPr>
        <w:t>Ma</w:t>
      </w:r>
      <w:r w:rsidRPr="00491405">
        <w:rPr>
          <w:rFonts w:ascii="Book Antiqua" w:eastAsia="SimSun" w:hAnsi="Book Antiqua" w:cs="Times New Roman" w:hint="eastAsia"/>
          <w:color w:val="auto"/>
          <w:sz w:val="24"/>
          <w:szCs w:val="24"/>
          <w:lang w:eastAsia="zh-CN"/>
        </w:rPr>
        <w:t xml:space="preserve"> </w:t>
      </w:r>
      <w:r w:rsidRPr="00491405">
        <w:rPr>
          <w:rFonts w:ascii="Book Antiqua" w:eastAsia="SimSun" w:hAnsi="Book Antiqua" w:cs="Times New Roman"/>
          <w:color w:val="auto"/>
          <w:sz w:val="24"/>
          <w:szCs w:val="24"/>
          <w:lang w:eastAsia="zh-CN"/>
        </w:rPr>
        <w:t>RY</w:t>
      </w:r>
      <w:r w:rsidRPr="00491405">
        <w:rPr>
          <w:rFonts w:ascii="Book Antiqua" w:eastAsia="SimSun" w:hAnsi="Book Antiqua" w:cs="Times New Roman" w:hint="eastAsia"/>
          <w:color w:val="auto"/>
          <w:sz w:val="24"/>
          <w:szCs w:val="24"/>
          <w:lang w:eastAsia="zh-CN"/>
        </w:rPr>
        <w:t xml:space="preserve"> </w:t>
      </w:r>
      <w:r w:rsidRPr="00491405">
        <w:rPr>
          <w:rFonts w:ascii="Book Antiqua" w:eastAsia="SimSun" w:hAnsi="Book Antiqua" w:cs="Times New Roman"/>
          <w:b/>
          <w:bCs/>
          <w:color w:val="auto"/>
          <w:sz w:val="24"/>
          <w:szCs w:val="24"/>
          <w:lang w:eastAsia="zh-CN"/>
        </w:rPr>
        <w:t>L-Editor:</w:t>
      </w:r>
      <w:r w:rsidRPr="00491405">
        <w:rPr>
          <w:rFonts w:ascii="Book Antiqua" w:eastAsia="SimSun" w:hAnsi="Book Antiqua" w:cs="Times New Roman"/>
          <w:color w:val="auto"/>
          <w:sz w:val="24"/>
          <w:szCs w:val="24"/>
          <w:lang w:eastAsia="zh-CN"/>
        </w:rPr>
        <w:t xml:space="preserve"> </w:t>
      </w:r>
      <w:r w:rsidRPr="00491405">
        <w:rPr>
          <w:rFonts w:ascii="Book Antiqua" w:eastAsia="SimSun" w:hAnsi="Book Antiqua" w:cs="Times New Roman"/>
          <w:b/>
          <w:bCs/>
          <w:color w:val="auto"/>
          <w:sz w:val="24"/>
          <w:szCs w:val="24"/>
          <w:lang w:eastAsia="zh-CN"/>
        </w:rPr>
        <w:t>E-Editor:</w:t>
      </w:r>
    </w:p>
    <w:p w14:paraId="10B80F2E" w14:textId="77777777" w:rsidR="00491405" w:rsidRPr="00491405" w:rsidRDefault="00491405" w:rsidP="00491405">
      <w:pPr>
        <w:shd w:val="clear" w:color="auto" w:fill="FFFFFF"/>
        <w:snapToGrid w:val="0"/>
        <w:spacing w:after="0" w:line="360" w:lineRule="auto"/>
        <w:jc w:val="both"/>
        <w:rPr>
          <w:rFonts w:ascii="Book Antiqua" w:eastAsia="SimSun" w:hAnsi="Book Antiqua" w:cs="Helvetica"/>
          <w:b/>
          <w:color w:val="auto"/>
          <w:sz w:val="24"/>
          <w:szCs w:val="24"/>
          <w:lang w:eastAsia="zh-CN"/>
        </w:rPr>
      </w:pPr>
      <w:bookmarkStart w:id="145" w:name="OLE_LINK880"/>
      <w:bookmarkStart w:id="146" w:name="OLE_LINK88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491405">
        <w:rPr>
          <w:rFonts w:ascii="Book Antiqua" w:eastAsia="SimSun" w:hAnsi="Book Antiqua" w:cs="Helvetica"/>
          <w:b/>
          <w:color w:val="auto"/>
          <w:sz w:val="24"/>
          <w:szCs w:val="24"/>
          <w:lang w:eastAsia="zh-CN"/>
        </w:rPr>
        <w:t xml:space="preserve">Specialty type: </w:t>
      </w:r>
      <w:r w:rsidRPr="00491405">
        <w:rPr>
          <w:rFonts w:ascii="Book Antiqua" w:eastAsia="SimSun" w:hAnsi="Book Antiqua" w:cs="Helvetica"/>
          <w:color w:val="auto"/>
          <w:sz w:val="24"/>
          <w:szCs w:val="24"/>
          <w:lang w:eastAsia="zh-CN"/>
        </w:rPr>
        <w:t>Gastroenterology and</w:t>
      </w:r>
      <w:r w:rsidRPr="00491405">
        <w:rPr>
          <w:rFonts w:ascii="Book Antiqua" w:eastAsia="SimSun" w:hAnsi="Book Antiqua" w:cs="Helvetica" w:hint="eastAsia"/>
          <w:color w:val="auto"/>
          <w:sz w:val="24"/>
          <w:szCs w:val="24"/>
          <w:lang w:eastAsia="zh-CN"/>
        </w:rPr>
        <w:t xml:space="preserve"> </w:t>
      </w:r>
      <w:r w:rsidRPr="00491405">
        <w:rPr>
          <w:rFonts w:ascii="Book Antiqua" w:eastAsia="SimSun" w:hAnsi="Book Antiqua" w:cs="Helvetica"/>
          <w:color w:val="auto"/>
          <w:sz w:val="24"/>
          <w:szCs w:val="24"/>
          <w:lang w:eastAsia="zh-CN"/>
        </w:rPr>
        <w:t>hepatology</w:t>
      </w:r>
    </w:p>
    <w:p w14:paraId="002B1ED2" w14:textId="33E53BA7" w:rsidR="00491405" w:rsidRPr="00491405" w:rsidRDefault="00491405" w:rsidP="00491405">
      <w:pPr>
        <w:shd w:val="clear" w:color="auto" w:fill="FFFFFF"/>
        <w:snapToGrid w:val="0"/>
        <w:spacing w:after="0" w:line="360" w:lineRule="auto"/>
        <w:jc w:val="both"/>
        <w:rPr>
          <w:rFonts w:ascii="Book Antiqua" w:eastAsia="SimSun" w:hAnsi="Book Antiqua" w:cs="Helvetica"/>
          <w:b/>
          <w:color w:val="auto"/>
          <w:sz w:val="24"/>
          <w:szCs w:val="24"/>
          <w:lang w:eastAsia="zh-CN"/>
        </w:rPr>
      </w:pPr>
      <w:r w:rsidRPr="00491405">
        <w:rPr>
          <w:rFonts w:ascii="Book Antiqua" w:eastAsia="SimSun" w:hAnsi="Book Antiqua" w:cs="Helvetica"/>
          <w:b/>
          <w:color w:val="auto"/>
          <w:sz w:val="24"/>
          <w:szCs w:val="24"/>
          <w:lang w:eastAsia="zh-CN"/>
        </w:rPr>
        <w:t xml:space="preserve">Country of origin: </w:t>
      </w:r>
      <w:r>
        <w:rPr>
          <w:rFonts w:ascii="Book Antiqua" w:eastAsia="SimSun" w:hAnsi="Book Antiqua" w:cs="Helvetica"/>
          <w:color w:val="auto"/>
          <w:sz w:val="24"/>
          <w:szCs w:val="24"/>
          <w:lang w:eastAsia="zh-CN"/>
        </w:rPr>
        <w:t>United States</w:t>
      </w:r>
    </w:p>
    <w:p w14:paraId="114A203B" w14:textId="77777777" w:rsidR="00491405" w:rsidRPr="00491405" w:rsidRDefault="00491405" w:rsidP="00491405">
      <w:pPr>
        <w:shd w:val="clear" w:color="auto" w:fill="FFFFFF"/>
        <w:snapToGrid w:val="0"/>
        <w:spacing w:after="0" w:line="360" w:lineRule="auto"/>
        <w:jc w:val="both"/>
        <w:rPr>
          <w:rFonts w:ascii="Book Antiqua" w:eastAsia="SimSun" w:hAnsi="Book Antiqua" w:cs="Helvetica"/>
          <w:b/>
          <w:color w:val="auto"/>
          <w:sz w:val="24"/>
          <w:szCs w:val="24"/>
          <w:lang w:eastAsia="zh-CN"/>
        </w:rPr>
      </w:pPr>
      <w:r w:rsidRPr="00491405">
        <w:rPr>
          <w:rFonts w:ascii="Book Antiqua" w:eastAsia="SimSun" w:hAnsi="Book Antiqua" w:cs="Helvetica"/>
          <w:b/>
          <w:color w:val="auto"/>
          <w:sz w:val="24"/>
          <w:szCs w:val="24"/>
          <w:lang w:eastAsia="zh-CN"/>
        </w:rPr>
        <w:t>Peer-review report classification</w:t>
      </w:r>
    </w:p>
    <w:p w14:paraId="63C324EA" w14:textId="1603930B" w:rsidR="00491405" w:rsidRPr="00491405" w:rsidRDefault="00491405" w:rsidP="00491405">
      <w:pPr>
        <w:shd w:val="clear" w:color="auto" w:fill="FFFFFF"/>
        <w:snapToGrid w:val="0"/>
        <w:spacing w:after="0" w:line="360" w:lineRule="auto"/>
        <w:jc w:val="both"/>
        <w:rPr>
          <w:rFonts w:ascii="Book Antiqua" w:eastAsia="SimSun" w:hAnsi="Book Antiqua" w:cs="Helvetica"/>
          <w:color w:val="auto"/>
          <w:sz w:val="24"/>
          <w:szCs w:val="24"/>
          <w:lang w:eastAsia="zh-CN"/>
        </w:rPr>
      </w:pPr>
      <w:r w:rsidRPr="00491405">
        <w:rPr>
          <w:rFonts w:ascii="Book Antiqua" w:eastAsia="SimSun" w:hAnsi="Book Antiqua" w:cs="Helvetica"/>
          <w:color w:val="auto"/>
          <w:sz w:val="24"/>
          <w:szCs w:val="24"/>
          <w:lang w:eastAsia="zh-CN"/>
        </w:rPr>
        <w:t xml:space="preserve">Grade A (Excellent): </w:t>
      </w:r>
      <w:r>
        <w:rPr>
          <w:rFonts w:ascii="Book Antiqua" w:eastAsia="SimSun" w:hAnsi="Book Antiqua" w:cs="Helvetica"/>
          <w:color w:val="auto"/>
          <w:sz w:val="24"/>
          <w:szCs w:val="24"/>
          <w:lang w:eastAsia="zh-CN"/>
        </w:rPr>
        <w:t>A</w:t>
      </w:r>
    </w:p>
    <w:p w14:paraId="506C1707" w14:textId="293FBADF" w:rsidR="00491405" w:rsidRPr="00491405" w:rsidRDefault="00491405" w:rsidP="00491405">
      <w:pPr>
        <w:shd w:val="clear" w:color="auto" w:fill="FFFFFF"/>
        <w:snapToGrid w:val="0"/>
        <w:spacing w:after="0" w:line="360" w:lineRule="auto"/>
        <w:jc w:val="both"/>
        <w:rPr>
          <w:rFonts w:ascii="Book Antiqua" w:eastAsia="SimSun" w:hAnsi="Book Antiqua" w:cs="Helvetica"/>
          <w:color w:val="auto"/>
          <w:sz w:val="24"/>
          <w:szCs w:val="24"/>
          <w:lang w:eastAsia="zh-CN"/>
        </w:rPr>
      </w:pPr>
      <w:r w:rsidRPr="00491405">
        <w:rPr>
          <w:rFonts w:ascii="Book Antiqua" w:eastAsia="SimSun" w:hAnsi="Book Antiqua" w:cs="Helvetica"/>
          <w:color w:val="auto"/>
          <w:sz w:val="24"/>
          <w:szCs w:val="24"/>
          <w:lang w:eastAsia="zh-CN"/>
        </w:rPr>
        <w:t xml:space="preserve">Grade B (Very good): </w:t>
      </w:r>
      <w:r>
        <w:rPr>
          <w:rFonts w:ascii="Book Antiqua" w:eastAsia="SimSun" w:hAnsi="Book Antiqua" w:cs="Helvetica"/>
          <w:color w:val="auto"/>
          <w:sz w:val="24"/>
          <w:szCs w:val="24"/>
          <w:lang w:eastAsia="zh-CN"/>
        </w:rPr>
        <w:t>0</w:t>
      </w:r>
    </w:p>
    <w:p w14:paraId="5DBC5AC8" w14:textId="38BF03D2" w:rsidR="00491405" w:rsidRPr="00491405" w:rsidRDefault="00491405" w:rsidP="00491405">
      <w:pPr>
        <w:shd w:val="clear" w:color="auto" w:fill="FFFFFF"/>
        <w:snapToGrid w:val="0"/>
        <w:spacing w:after="0" w:line="360" w:lineRule="auto"/>
        <w:jc w:val="both"/>
        <w:rPr>
          <w:rFonts w:ascii="Book Antiqua" w:eastAsia="SimSun" w:hAnsi="Book Antiqua" w:cs="Helvetica"/>
          <w:color w:val="auto"/>
          <w:sz w:val="24"/>
          <w:szCs w:val="24"/>
          <w:lang w:eastAsia="zh-CN"/>
        </w:rPr>
      </w:pPr>
      <w:r w:rsidRPr="00491405">
        <w:rPr>
          <w:rFonts w:ascii="Book Antiqua" w:eastAsia="SimSun" w:hAnsi="Book Antiqua" w:cs="Helvetica"/>
          <w:color w:val="auto"/>
          <w:sz w:val="24"/>
          <w:szCs w:val="24"/>
          <w:lang w:eastAsia="zh-CN"/>
        </w:rPr>
        <w:t xml:space="preserve">Grade C (Good): </w:t>
      </w:r>
      <w:r w:rsidRPr="00491405">
        <w:rPr>
          <w:rFonts w:ascii="Book Antiqua" w:eastAsia="SimSun" w:hAnsi="Book Antiqua" w:cs="Helvetica" w:hint="eastAsia"/>
          <w:color w:val="auto"/>
          <w:sz w:val="24"/>
          <w:szCs w:val="24"/>
          <w:lang w:eastAsia="zh-CN"/>
        </w:rPr>
        <w:t>C</w:t>
      </w:r>
    </w:p>
    <w:p w14:paraId="1DF3926F" w14:textId="77777777" w:rsidR="00491405" w:rsidRPr="00491405" w:rsidRDefault="00491405" w:rsidP="00491405">
      <w:pPr>
        <w:shd w:val="clear" w:color="auto" w:fill="FFFFFF"/>
        <w:snapToGrid w:val="0"/>
        <w:spacing w:after="0" w:line="360" w:lineRule="auto"/>
        <w:jc w:val="both"/>
        <w:rPr>
          <w:rFonts w:ascii="Book Antiqua" w:eastAsia="SimSun" w:hAnsi="Book Antiqua" w:cs="Helvetica"/>
          <w:color w:val="auto"/>
          <w:sz w:val="24"/>
          <w:szCs w:val="24"/>
          <w:lang w:eastAsia="zh-CN"/>
        </w:rPr>
      </w:pPr>
      <w:r w:rsidRPr="00491405">
        <w:rPr>
          <w:rFonts w:ascii="Book Antiqua" w:eastAsia="SimSun" w:hAnsi="Book Antiqua" w:cs="Helvetica"/>
          <w:color w:val="auto"/>
          <w:sz w:val="24"/>
          <w:szCs w:val="24"/>
          <w:lang w:eastAsia="zh-CN"/>
        </w:rPr>
        <w:t xml:space="preserve">Grade D (Fair): </w:t>
      </w:r>
      <w:r w:rsidRPr="00491405">
        <w:rPr>
          <w:rFonts w:ascii="Book Antiqua" w:eastAsia="SimSun" w:hAnsi="Book Antiqua" w:cs="Helvetica" w:hint="eastAsia"/>
          <w:color w:val="auto"/>
          <w:sz w:val="24"/>
          <w:szCs w:val="24"/>
          <w:lang w:eastAsia="zh-CN"/>
        </w:rPr>
        <w:t>0</w:t>
      </w:r>
    </w:p>
    <w:p w14:paraId="244575C2" w14:textId="77777777" w:rsidR="00491405" w:rsidRPr="00491405" w:rsidRDefault="00491405" w:rsidP="00491405">
      <w:pPr>
        <w:snapToGrid w:val="0"/>
        <w:spacing w:after="0" w:line="360" w:lineRule="auto"/>
        <w:jc w:val="both"/>
        <w:rPr>
          <w:rFonts w:ascii="Book Antiqua" w:eastAsia="SimSun" w:hAnsi="Book Antiqua" w:cs="Times New Roman"/>
          <w:b/>
          <w:iCs/>
          <w:color w:val="auto"/>
          <w:sz w:val="24"/>
          <w:szCs w:val="24"/>
          <w:lang w:eastAsia="zh-CN"/>
        </w:rPr>
      </w:pPr>
      <w:r w:rsidRPr="00491405">
        <w:rPr>
          <w:rFonts w:ascii="Book Antiqua" w:eastAsia="SimSun" w:hAnsi="Book Antiqua" w:cs="Helvetica"/>
          <w:color w:val="auto"/>
          <w:sz w:val="24"/>
          <w:szCs w:val="24"/>
          <w:lang w:eastAsia="zh-CN"/>
        </w:rPr>
        <w:t xml:space="preserve">Grade E (Poor): </w:t>
      </w:r>
      <w:r w:rsidRPr="00491405">
        <w:rPr>
          <w:rFonts w:ascii="Book Antiqua" w:eastAsia="SimSun" w:hAnsi="Book Antiqua" w:cs="Helvetica" w:hint="eastAsia"/>
          <w:color w:val="auto"/>
          <w:sz w:val="24"/>
          <w:szCs w:val="24"/>
          <w:lang w:eastAsia="zh-CN"/>
        </w:rPr>
        <w:t>0</w:t>
      </w:r>
      <w:bookmarkEnd w:id="138"/>
      <w:bookmarkEnd w:id="145"/>
      <w:bookmarkEnd w:id="146"/>
    </w:p>
    <w:bookmarkEnd w:id="139"/>
    <w:bookmarkEnd w:id="140"/>
    <w:bookmarkEnd w:id="141"/>
    <w:bookmarkEnd w:id="142"/>
    <w:p w14:paraId="39A2DBBE" w14:textId="17C34741" w:rsidR="00491405" w:rsidRPr="00FD080D" w:rsidRDefault="00491405" w:rsidP="00491405">
      <w:pPr>
        <w:adjustRightInd w:val="0"/>
        <w:snapToGrid w:val="0"/>
        <w:spacing w:after="0" w:line="360" w:lineRule="auto"/>
        <w:jc w:val="both"/>
        <w:rPr>
          <w:rFonts w:ascii="Book Antiqua" w:hAnsi="Book Antiqua"/>
          <w:sz w:val="24"/>
          <w:szCs w:val="24"/>
        </w:rPr>
      </w:pPr>
      <w:r w:rsidRPr="00491405">
        <w:rPr>
          <w:rFonts w:ascii="Book Antiqua" w:eastAsia="SimSun" w:hAnsi="Book Antiqua" w:cs="Times New Roman"/>
          <w:color w:val="auto"/>
          <w:sz w:val="24"/>
          <w:szCs w:val="24"/>
          <w:lang w:eastAsia="zh-CN"/>
        </w:rPr>
        <w:br w:type="page"/>
      </w:r>
      <w:bookmarkEnd w:id="143"/>
      <w:bookmarkEnd w:id="144"/>
    </w:p>
    <w:p w14:paraId="34F638A3" w14:textId="0EF5F25A" w:rsidR="00D53981" w:rsidRPr="00FD080D" w:rsidRDefault="00D53981" w:rsidP="00FD080D">
      <w:pPr>
        <w:adjustRightInd w:val="0"/>
        <w:snapToGrid w:val="0"/>
        <w:spacing w:after="0" w:line="360" w:lineRule="auto"/>
        <w:jc w:val="both"/>
        <w:rPr>
          <w:rFonts w:ascii="Book Antiqua" w:hAnsi="Book Antiqua"/>
          <w:sz w:val="24"/>
          <w:szCs w:val="24"/>
        </w:rPr>
      </w:pPr>
    </w:p>
    <w:p w14:paraId="0C5F11C8" w14:textId="24AF1877" w:rsidR="00DA2B40" w:rsidRPr="00FD080D" w:rsidRDefault="00DA2B40" w:rsidP="00DA2B40">
      <w:pPr>
        <w:adjustRightInd w:val="0"/>
        <w:snapToGrid w:val="0"/>
        <w:spacing w:after="0" w:line="360" w:lineRule="auto"/>
        <w:jc w:val="both"/>
        <w:rPr>
          <w:rFonts w:ascii="Book Antiqua" w:hAnsi="Book Antiqua"/>
          <w:sz w:val="24"/>
          <w:szCs w:val="24"/>
        </w:rPr>
      </w:pPr>
      <w:r>
        <w:rPr>
          <w:rFonts w:ascii="Book Antiqua" w:eastAsia="Times New Roman" w:hAnsi="Book Antiqua" w:cs="Times New Roman"/>
          <w:b/>
          <w:noProof/>
          <w:sz w:val="24"/>
          <w:szCs w:val="24"/>
        </w:rPr>
        <w:drawing>
          <wp:inline distT="0" distB="0" distL="0" distR="0" wp14:anchorId="28AD21BE" wp14:editId="3D97C332">
            <wp:extent cx="5486400" cy="38195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387502-E6F5-471C-A00E-CD7B52A7F671.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3819525"/>
                    </a:xfrm>
                    <a:prstGeom prst="rect">
                      <a:avLst/>
                    </a:prstGeom>
                  </pic:spPr>
                </pic:pic>
              </a:graphicData>
            </a:graphic>
          </wp:inline>
        </w:drawing>
      </w:r>
      <w:r w:rsidRPr="00FD080D">
        <w:rPr>
          <w:rFonts w:ascii="Book Antiqua" w:eastAsia="Times New Roman" w:hAnsi="Book Antiqua" w:cs="Times New Roman"/>
          <w:b/>
          <w:sz w:val="24"/>
          <w:szCs w:val="24"/>
        </w:rPr>
        <w:t>Figure 1</w:t>
      </w:r>
      <w:r w:rsidR="005A2593">
        <w:rPr>
          <w:rFonts w:ascii="Book Antiqua" w:eastAsia="Times New Roman" w:hAnsi="Book Antiqua" w:cs="Times New Roman"/>
          <w:b/>
          <w:sz w:val="24"/>
          <w:szCs w:val="24"/>
        </w:rPr>
        <w:t xml:space="preserve"> </w:t>
      </w:r>
      <w:r w:rsidRPr="00FD080D">
        <w:rPr>
          <w:rFonts w:ascii="Book Antiqua" w:eastAsia="Times New Roman" w:hAnsi="Book Antiqua" w:cs="Times New Roman"/>
          <w:b/>
          <w:sz w:val="24"/>
          <w:szCs w:val="24"/>
        </w:rPr>
        <w:t>Probability over time of</w:t>
      </w:r>
      <w:r w:rsidR="005A2593">
        <w:rPr>
          <w:rFonts w:ascii="Book Antiqua" w:eastAsia="Times New Roman" w:hAnsi="Book Antiqua" w:cs="Times New Roman"/>
          <w:b/>
          <w:sz w:val="24"/>
          <w:szCs w:val="24"/>
        </w:rPr>
        <w:t xml:space="preserve"> </w:t>
      </w:r>
      <w:r w:rsidRPr="00FD080D">
        <w:rPr>
          <w:rFonts w:ascii="Book Antiqua" w:eastAsia="Times New Roman" w:hAnsi="Book Antiqua" w:cs="Times New Roman"/>
          <w:b/>
          <w:sz w:val="24"/>
          <w:szCs w:val="24"/>
        </w:rPr>
        <w:t xml:space="preserve">avoiding treatment escalation in children with mild </w:t>
      </w:r>
      <w:r>
        <w:rPr>
          <w:rFonts w:ascii="Book Antiqua" w:eastAsia="Times New Roman" w:hAnsi="Book Antiqua" w:cs="Times New Roman"/>
          <w:b/>
          <w:sz w:val="24"/>
          <w:szCs w:val="24"/>
        </w:rPr>
        <w:t xml:space="preserve">Crohn’s disease. </w:t>
      </w:r>
      <w:r w:rsidRPr="00DA2B40">
        <w:rPr>
          <w:rFonts w:ascii="Book Antiqua" w:eastAsia="Times New Roman" w:hAnsi="Book Antiqua" w:cs="Times New Roman"/>
          <w:bCs/>
          <w:sz w:val="24"/>
          <w:szCs w:val="24"/>
        </w:rPr>
        <w:t xml:space="preserve">The </w:t>
      </w:r>
      <w:r>
        <w:rPr>
          <w:rFonts w:ascii="Book Antiqua" w:eastAsia="Times New Roman" w:hAnsi="Book Antiqua" w:cs="Times New Roman"/>
          <w:bCs/>
          <w:sz w:val="24"/>
          <w:szCs w:val="24"/>
        </w:rPr>
        <w:t>X</w:t>
      </w:r>
      <w:r w:rsidRPr="00DA2B40">
        <w:rPr>
          <w:rFonts w:ascii="Book Antiqua" w:eastAsia="Times New Roman" w:hAnsi="Book Antiqua" w:cs="Times New Roman"/>
          <w:bCs/>
          <w:sz w:val="24"/>
          <w:szCs w:val="24"/>
        </w:rPr>
        <w:t xml:space="preserve"> axis represents the number of months after the first 2 years of diagnosis. The </w:t>
      </w:r>
      <w:r>
        <w:rPr>
          <w:rFonts w:ascii="Book Antiqua" w:eastAsia="Times New Roman" w:hAnsi="Book Antiqua" w:cs="Times New Roman"/>
          <w:bCs/>
          <w:sz w:val="24"/>
          <w:szCs w:val="24"/>
        </w:rPr>
        <w:t>Y</w:t>
      </w:r>
      <w:r w:rsidRPr="00DA2B40">
        <w:rPr>
          <w:rFonts w:ascii="Book Antiqua" w:eastAsia="Times New Roman" w:hAnsi="Book Antiqua" w:cs="Times New Roman"/>
          <w:bCs/>
          <w:sz w:val="24"/>
          <w:szCs w:val="24"/>
        </w:rPr>
        <w:t xml:space="preserve"> axis represents the survival probability or the time to either escalation in therapy (</w:t>
      </w:r>
      <w:r w:rsidRPr="00DA2B40">
        <w:rPr>
          <w:rFonts w:ascii="Book Antiqua" w:eastAsia="Times New Roman" w:hAnsi="Book Antiqua" w:cs="Times New Roman"/>
          <w:bCs/>
          <w:i/>
          <w:iCs/>
          <w:sz w:val="24"/>
          <w:szCs w:val="24"/>
        </w:rPr>
        <w:t>i.e.</w:t>
      </w:r>
      <w:r>
        <w:rPr>
          <w:rFonts w:ascii="Book Antiqua" w:eastAsia="Times New Roman" w:hAnsi="Book Antiqua" w:cs="Times New Roman"/>
          <w:bCs/>
          <w:sz w:val="24"/>
          <w:szCs w:val="24"/>
        </w:rPr>
        <w:t>,</w:t>
      </w:r>
      <w:r w:rsidRPr="00DA2B40">
        <w:rPr>
          <w:rFonts w:ascii="Book Antiqua" w:eastAsia="Times New Roman" w:hAnsi="Book Antiqua" w:cs="Times New Roman"/>
          <w:bCs/>
          <w:sz w:val="24"/>
          <w:szCs w:val="24"/>
        </w:rPr>
        <w:t xml:space="preserve"> immunomodulators/biologics) </w:t>
      </w:r>
      <w:proofErr w:type="spellStart"/>
      <w:r w:rsidRPr="00DA2B40">
        <w:rPr>
          <w:rFonts w:ascii="Book Antiqua" w:eastAsia="Times New Roman" w:hAnsi="Book Antiqua" w:cs="Times New Roman"/>
          <w:bCs/>
          <w:sz w:val="24"/>
          <w:szCs w:val="24"/>
        </w:rPr>
        <w:t>andor</w:t>
      </w:r>
      <w:proofErr w:type="spellEnd"/>
      <w:r w:rsidRPr="00DA2B40">
        <w:rPr>
          <w:rFonts w:ascii="Book Antiqua" w:eastAsia="Times New Roman" w:hAnsi="Book Antiqua" w:cs="Times New Roman"/>
          <w:bCs/>
          <w:sz w:val="24"/>
          <w:szCs w:val="24"/>
        </w:rPr>
        <w:t xml:space="preserve"> surgery. After 6 years of additional follow up the probability of avoiding escalation to immunomodulators/biologics in selected patients was 70%.</w:t>
      </w:r>
    </w:p>
    <w:p w14:paraId="7921E79D" w14:textId="17396EA7" w:rsidR="00DA2B40" w:rsidRDefault="00DA2B40">
      <w:pPr>
        <w:rPr>
          <w:rFonts w:ascii="Book Antiqua" w:hAnsi="Book Antiqua"/>
          <w:sz w:val="24"/>
          <w:szCs w:val="24"/>
        </w:rPr>
      </w:pPr>
      <w:r>
        <w:rPr>
          <w:rFonts w:ascii="Book Antiqua" w:hAnsi="Book Antiqua"/>
          <w:sz w:val="24"/>
          <w:szCs w:val="24"/>
        </w:rPr>
        <w:br w:type="page"/>
      </w:r>
    </w:p>
    <w:p w14:paraId="1156B684" w14:textId="77DAAED6" w:rsidR="00D53981" w:rsidRPr="00FD080D" w:rsidRDefault="00DA2B40" w:rsidP="00FD080D">
      <w:pPr>
        <w:adjustRightInd w:val="0"/>
        <w:snapToGrid w:val="0"/>
        <w:spacing w:after="0" w:line="360" w:lineRule="auto"/>
        <w:jc w:val="both"/>
        <w:rPr>
          <w:rFonts w:ascii="Book Antiqua" w:hAnsi="Book Antiqua"/>
          <w:sz w:val="24"/>
          <w:szCs w:val="24"/>
        </w:rPr>
      </w:pPr>
      <w:r w:rsidRPr="00FD080D">
        <w:rPr>
          <w:rFonts w:ascii="Book Antiqua" w:hAnsi="Book Antiqua"/>
          <w:b/>
          <w:sz w:val="24"/>
          <w:szCs w:val="24"/>
        </w:rPr>
        <w:lastRenderedPageBreak/>
        <w:t>Table 1</w:t>
      </w:r>
      <w:r w:rsidR="005A2593">
        <w:rPr>
          <w:rFonts w:ascii="Book Antiqua" w:hAnsi="Book Antiqua"/>
          <w:b/>
          <w:sz w:val="24"/>
          <w:szCs w:val="24"/>
        </w:rPr>
        <w:t xml:space="preserve"> </w:t>
      </w:r>
      <w:r w:rsidRPr="00FD080D">
        <w:rPr>
          <w:rFonts w:ascii="Book Antiqua" w:hAnsi="Book Antiqua"/>
          <w:b/>
          <w:sz w:val="24"/>
          <w:szCs w:val="24"/>
        </w:rPr>
        <w:t xml:space="preserve">Characteristics of </w:t>
      </w:r>
      <w:r w:rsidR="007B0C7E">
        <w:rPr>
          <w:rFonts w:ascii="Book Antiqua" w:hAnsi="Book Antiqua"/>
          <w:b/>
          <w:sz w:val="24"/>
          <w:szCs w:val="24"/>
        </w:rPr>
        <w:t>m</w:t>
      </w:r>
      <w:r w:rsidRPr="00FD080D">
        <w:rPr>
          <w:rFonts w:ascii="Book Antiqua" w:hAnsi="Book Antiqua"/>
          <w:b/>
          <w:sz w:val="24"/>
          <w:szCs w:val="24"/>
        </w:rPr>
        <w:t>ild Crohn</w:t>
      </w:r>
      <w:r>
        <w:rPr>
          <w:rFonts w:ascii="Book Antiqua" w:hAnsi="Book Antiqua"/>
          <w:b/>
          <w:sz w:val="24"/>
          <w:szCs w:val="24"/>
        </w:rPr>
        <w:t>’</w:t>
      </w:r>
      <w:r w:rsidRPr="00FD080D">
        <w:rPr>
          <w:rFonts w:ascii="Book Antiqua" w:hAnsi="Book Antiqua"/>
          <w:b/>
          <w:sz w:val="24"/>
          <w:szCs w:val="24"/>
        </w:rPr>
        <w:t xml:space="preserve">s patients at </w:t>
      </w:r>
      <w:r w:rsidR="007B0C7E">
        <w:rPr>
          <w:rFonts w:ascii="Book Antiqua" w:hAnsi="Book Antiqua"/>
          <w:b/>
          <w:sz w:val="24"/>
          <w:szCs w:val="24"/>
        </w:rPr>
        <w:t>d</w:t>
      </w:r>
      <w:r w:rsidRPr="00FD080D">
        <w:rPr>
          <w:rFonts w:ascii="Book Antiqua" w:hAnsi="Book Antiqua"/>
          <w:b/>
          <w:sz w:val="24"/>
          <w:szCs w:val="24"/>
        </w:rPr>
        <w:t>iagnosis</w:t>
      </w:r>
      <w:r w:rsidR="007B0C7E" w:rsidRPr="007B0C7E">
        <w:rPr>
          <w:rFonts w:ascii="Book Antiqua" w:hAnsi="Book Antiqua"/>
          <w:b/>
          <w:i/>
          <w:iCs/>
          <w:sz w:val="24"/>
          <w:szCs w:val="24"/>
        </w:rPr>
        <w:t xml:space="preserve"> n</w:t>
      </w:r>
      <w:r w:rsidR="007B0C7E">
        <w:rPr>
          <w:rFonts w:ascii="Book Antiqua" w:hAnsi="Book Antiqua"/>
          <w:b/>
          <w:sz w:val="24"/>
          <w:szCs w:val="24"/>
        </w:rPr>
        <w:t xml:space="preserve"> (%)</w:t>
      </w:r>
    </w:p>
    <w:tbl>
      <w:tblPr>
        <w:tblStyle w:val="TableGrid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491"/>
        <w:gridCol w:w="2625"/>
        <w:gridCol w:w="816"/>
      </w:tblGrid>
      <w:tr w:rsidR="00D53981" w:rsidRPr="00FD080D" w14:paraId="7DE3FB82" w14:textId="77777777" w:rsidTr="007B0C7E">
        <w:trPr>
          <w:trHeight w:val="482"/>
        </w:trPr>
        <w:tc>
          <w:tcPr>
            <w:tcW w:w="2146" w:type="pct"/>
            <w:tcBorders>
              <w:top w:val="single" w:sz="4" w:space="0" w:color="auto"/>
              <w:bottom w:val="single" w:sz="4" w:space="0" w:color="auto"/>
            </w:tcBorders>
          </w:tcPr>
          <w:p w14:paraId="487C8C4F" w14:textId="77777777" w:rsidR="00D53981" w:rsidRPr="007B0C7E" w:rsidRDefault="001B01CA" w:rsidP="007B0C7E">
            <w:pPr>
              <w:adjustRightInd w:val="0"/>
              <w:snapToGrid w:val="0"/>
              <w:spacing w:line="360" w:lineRule="auto"/>
              <w:jc w:val="both"/>
              <w:rPr>
                <w:rFonts w:ascii="Book Antiqua" w:hAnsi="Book Antiqua"/>
                <w:b/>
                <w:bCs/>
                <w:sz w:val="24"/>
                <w:szCs w:val="24"/>
              </w:rPr>
            </w:pPr>
            <w:r w:rsidRPr="007B0C7E">
              <w:rPr>
                <w:rFonts w:ascii="Book Antiqua" w:hAnsi="Book Antiqua"/>
                <w:b/>
                <w:bCs/>
                <w:sz w:val="24"/>
                <w:szCs w:val="24"/>
              </w:rPr>
              <w:t xml:space="preserve">Variables </w:t>
            </w:r>
          </w:p>
        </w:tc>
        <w:tc>
          <w:tcPr>
            <w:tcW w:w="863" w:type="pct"/>
            <w:tcBorders>
              <w:top w:val="single" w:sz="4" w:space="0" w:color="auto"/>
              <w:bottom w:val="single" w:sz="4" w:space="0" w:color="auto"/>
            </w:tcBorders>
          </w:tcPr>
          <w:p w14:paraId="6D1F8724" w14:textId="7DE5A33A" w:rsidR="00D53981" w:rsidRPr="007B0C7E" w:rsidRDefault="001B01CA" w:rsidP="007B0C7E">
            <w:pPr>
              <w:adjustRightInd w:val="0"/>
              <w:snapToGrid w:val="0"/>
              <w:spacing w:line="360" w:lineRule="auto"/>
              <w:jc w:val="center"/>
              <w:rPr>
                <w:rFonts w:ascii="Book Antiqua" w:hAnsi="Book Antiqua"/>
                <w:b/>
                <w:bCs/>
                <w:sz w:val="24"/>
                <w:szCs w:val="24"/>
              </w:rPr>
            </w:pPr>
            <w:r w:rsidRPr="007B0C7E">
              <w:rPr>
                <w:rFonts w:ascii="Book Antiqua" w:hAnsi="Book Antiqua"/>
                <w:b/>
                <w:bCs/>
                <w:sz w:val="24"/>
                <w:szCs w:val="24"/>
              </w:rPr>
              <w:t>Mild case (</w:t>
            </w:r>
            <w:r w:rsidR="007B0C7E" w:rsidRPr="007B0C7E">
              <w:rPr>
                <w:rFonts w:ascii="Book Antiqua" w:hAnsi="Book Antiqua"/>
                <w:b/>
                <w:bCs/>
                <w:i/>
                <w:iCs/>
                <w:sz w:val="24"/>
                <w:szCs w:val="24"/>
              </w:rPr>
              <w:t>n</w:t>
            </w:r>
            <w:r w:rsidR="007B0C7E" w:rsidRPr="007B0C7E">
              <w:rPr>
                <w:rFonts w:ascii="Book Antiqua" w:hAnsi="Book Antiqua"/>
                <w:b/>
                <w:bCs/>
                <w:sz w:val="24"/>
                <w:szCs w:val="24"/>
              </w:rPr>
              <w:t xml:space="preserve"> = </w:t>
            </w:r>
            <w:r w:rsidRPr="007B0C7E">
              <w:rPr>
                <w:rFonts w:ascii="Book Antiqua" w:hAnsi="Book Antiqua"/>
                <w:b/>
                <w:bCs/>
                <w:sz w:val="24"/>
                <w:szCs w:val="24"/>
              </w:rPr>
              <w:t>29)</w:t>
            </w:r>
          </w:p>
        </w:tc>
        <w:tc>
          <w:tcPr>
            <w:tcW w:w="1519" w:type="pct"/>
            <w:tcBorders>
              <w:top w:val="single" w:sz="4" w:space="0" w:color="auto"/>
              <w:bottom w:val="single" w:sz="4" w:space="0" w:color="auto"/>
            </w:tcBorders>
          </w:tcPr>
          <w:p w14:paraId="6D90651D" w14:textId="6DB3EB58" w:rsidR="00D53981" w:rsidRPr="007B0C7E" w:rsidRDefault="001B01CA" w:rsidP="007B0C7E">
            <w:pPr>
              <w:adjustRightInd w:val="0"/>
              <w:snapToGrid w:val="0"/>
              <w:spacing w:line="360" w:lineRule="auto"/>
              <w:jc w:val="center"/>
              <w:rPr>
                <w:rFonts w:ascii="Book Antiqua" w:hAnsi="Book Antiqua"/>
                <w:b/>
                <w:bCs/>
                <w:sz w:val="24"/>
                <w:szCs w:val="24"/>
              </w:rPr>
            </w:pPr>
            <w:r w:rsidRPr="007B0C7E">
              <w:rPr>
                <w:rFonts w:ascii="Book Antiqua" w:hAnsi="Book Antiqua"/>
                <w:b/>
                <w:bCs/>
                <w:sz w:val="24"/>
                <w:szCs w:val="24"/>
              </w:rPr>
              <w:t>Moderate or severe case (</w:t>
            </w:r>
            <w:r w:rsidR="007B0C7E" w:rsidRPr="007B0C7E">
              <w:rPr>
                <w:rFonts w:ascii="Book Antiqua" w:hAnsi="Book Antiqua"/>
                <w:b/>
                <w:bCs/>
                <w:i/>
                <w:iCs/>
                <w:sz w:val="24"/>
                <w:szCs w:val="24"/>
              </w:rPr>
              <w:t>n</w:t>
            </w:r>
            <w:r w:rsidR="007B0C7E" w:rsidRPr="007B0C7E">
              <w:rPr>
                <w:rFonts w:ascii="Book Antiqua" w:hAnsi="Book Antiqua"/>
                <w:b/>
                <w:bCs/>
                <w:sz w:val="24"/>
                <w:szCs w:val="24"/>
              </w:rPr>
              <w:t xml:space="preserve"> = </w:t>
            </w:r>
            <w:r w:rsidRPr="007B0C7E">
              <w:rPr>
                <w:rFonts w:ascii="Book Antiqua" w:hAnsi="Book Antiqua"/>
                <w:b/>
                <w:bCs/>
                <w:sz w:val="24"/>
                <w:szCs w:val="24"/>
              </w:rPr>
              <w:t>58)</w:t>
            </w:r>
          </w:p>
        </w:tc>
        <w:tc>
          <w:tcPr>
            <w:tcW w:w="472" w:type="pct"/>
            <w:tcBorders>
              <w:top w:val="single" w:sz="4" w:space="0" w:color="auto"/>
              <w:bottom w:val="single" w:sz="4" w:space="0" w:color="auto"/>
            </w:tcBorders>
          </w:tcPr>
          <w:p w14:paraId="5783FF3F" w14:textId="495E1C0E" w:rsidR="00D53981" w:rsidRPr="007B0C7E" w:rsidRDefault="001B01CA" w:rsidP="007B0C7E">
            <w:pPr>
              <w:adjustRightInd w:val="0"/>
              <w:snapToGrid w:val="0"/>
              <w:spacing w:line="360" w:lineRule="auto"/>
              <w:jc w:val="center"/>
              <w:rPr>
                <w:rFonts w:ascii="Book Antiqua" w:hAnsi="Book Antiqua"/>
                <w:b/>
                <w:bCs/>
                <w:sz w:val="24"/>
                <w:szCs w:val="24"/>
              </w:rPr>
            </w:pPr>
            <w:r w:rsidRPr="007B0C7E">
              <w:rPr>
                <w:rFonts w:ascii="Book Antiqua" w:hAnsi="Book Antiqua"/>
                <w:b/>
                <w:bCs/>
                <w:i/>
                <w:iCs/>
                <w:sz w:val="24"/>
                <w:szCs w:val="24"/>
              </w:rPr>
              <w:t>P</w:t>
            </w:r>
            <w:r w:rsidRPr="007B0C7E">
              <w:rPr>
                <w:rFonts w:ascii="Book Antiqua" w:hAnsi="Book Antiqua"/>
                <w:b/>
                <w:bCs/>
                <w:sz w:val="24"/>
                <w:szCs w:val="24"/>
              </w:rPr>
              <w:t xml:space="preserve"> value</w:t>
            </w:r>
          </w:p>
        </w:tc>
      </w:tr>
      <w:tr w:rsidR="00D53981" w:rsidRPr="00FD080D" w14:paraId="2A785964" w14:textId="77777777" w:rsidTr="007B0C7E">
        <w:trPr>
          <w:trHeight w:val="480"/>
        </w:trPr>
        <w:tc>
          <w:tcPr>
            <w:tcW w:w="2146" w:type="pct"/>
            <w:tcBorders>
              <w:top w:val="single" w:sz="4" w:space="0" w:color="auto"/>
            </w:tcBorders>
          </w:tcPr>
          <w:p w14:paraId="2E34B273" w14:textId="73EF9FF1" w:rsidR="00D53981" w:rsidRPr="007B0C7E" w:rsidRDefault="001B01CA" w:rsidP="007B0C7E">
            <w:pPr>
              <w:adjustRightInd w:val="0"/>
              <w:snapToGrid w:val="0"/>
              <w:spacing w:line="360" w:lineRule="auto"/>
              <w:jc w:val="both"/>
              <w:rPr>
                <w:rFonts w:ascii="Book Antiqua" w:hAnsi="Book Antiqua"/>
                <w:sz w:val="24"/>
                <w:szCs w:val="24"/>
              </w:rPr>
            </w:pPr>
            <w:r w:rsidRPr="007B0C7E">
              <w:rPr>
                <w:rFonts w:ascii="Book Antiqua" w:hAnsi="Book Antiqua"/>
                <w:sz w:val="24"/>
                <w:szCs w:val="24"/>
              </w:rPr>
              <w:t xml:space="preserve">Age at diagnosis, </w:t>
            </w:r>
            <w:proofErr w:type="spellStart"/>
            <w:r w:rsidRPr="007B0C7E">
              <w:rPr>
                <w:rFonts w:ascii="Book Antiqua" w:hAnsi="Book Antiqua"/>
                <w:sz w:val="24"/>
                <w:szCs w:val="24"/>
              </w:rPr>
              <w:t>y</w:t>
            </w:r>
            <w:r w:rsidR="007B0C7E" w:rsidRPr="007B0C7E">
              <w:rPr>
                <w:rFonts w:ascii="Book Antiqua" w:hAnsi="Book Antiqua"/>
                <w:sz w:val="24"/>
                <w:szCs w:val="24"/>
              </w:rPr>
              <w:t>r</w:t>
            </w:r>
            <w:proofErr w:type="spellEnd"/>
            <w:r w:rsidRPr="007B0C7E">
              <w:rPr>
                <w:rFonts w:ascii="Book Antiqua" w:hAnsi="Book Antiqua"/>
                <w:sz w:val="24"/>
                <w:szCs w:val="24"/>
              </w:rPr>
              <w:t xml:space="preserve"> </w:t>
            </w:r>
          </w:p>
        </w:tc>
        <w:tc>
          <w:tcPr>
            <w:tcW w:w="863" w:type="pct"/>
            <w:tcBorders>
              <w:top w:val="single" w:sz="4" w:space="0" w:color="auto"/>
            </w:tcBorders>
          </w:tcPr>
          <w:p w14:paraId="36AEA1F2" w14:textId="2A5871CD"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10.0 (4.2)</w:t>
            </w:r>
          </w:p>
        </w:tc>
        <w:tc>
          <w:tcPr>
            <w:tcW w:w="1519" w:type="pct"/>
            <w:tcBorders>
              <w:top w:val="single" w:sz="4" w:space="0" w:color="auto"/>
            </w:tcBorders>
          </w:tcPr>
          <w:p w14:paraId="64879548" w14:textId="1E128F6E"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11.6</w:t>
            </w:r>
            <w:r w:rsidR="007B0C7E">
              <w:rPr>
                <w:rFonts w:ascii="Book Antiqua" w:hAnsi="Book Antiqua"/>
                <w:sz w:val="24"/>
                <w:szCs w:val="24"/>
              </w:rPr>
              <w:t xml:space="preserve"> </w:t>
            </w:r>
            <w:r w:rsidRPr="00FD080D">
              <w:rPr>
                <w:rFonts w:ascii="Book Antiqua" w:hAnsi="Book Antiqua"/>
                <w:sz w:val="24"/>
                <w:szCs w:val="24"/>
              </w:rPr>
              <w:t>(3.3)</w:t>
            </w:r>
          </w:p>
        </w:tc>
        <w:tc>
          <w:tcPr>
            <w:tcW w:w="472" w:type="pct"/>
            <w:tcBorders>
              <w:top w:val="single" w:sz="4" w:space="0" w:color="auto"/>
            </w:tcBorders>
          </w:tcPr>
          <w:p w14:paraId="4076D93A" w14:textId="3A67212C"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0.06</w:t>
            </w:r>
          </w:p>
        </w:tc>
      </w:tr>
      <w:tr w:rsidR="00D53981" w:rsidRPr="00FD080D" w14:paraId="53D91EDA" w14:textId="77777777" w:rsidTr="007B0C7E">
        <w:trPr>
          <w:trHeight w:val="482"/>
        </w:trPr>
        <w:tc>
          <w:tcPr>
            <w:tcW w:w="2146" w:type="pct"/>
          </w:tcPr>
          <w:p w14:paraId="660A2A91" w14:textId="77777777" w:rsidR="00D53981" w:rsidRPr="007B0C7E" w:rsidRDefault="001B01CA" w:rsidP="007B0C7E">
            <w:pPr>
              <w:adjustRightInd w:val="0"/>
              <w:snapToGrid w:val="0"/>
              <w:spacing w:line="360" w:lineRule="auto"/>
              <w:jc w:val="both"/>
              <w:rPr>
                <w:rFonts w:ascii="Book Antiqua" w:hAnsi="Book Antiqua"/>
                <w:sz w:val="24"/>
                <w:szCs w:val="24"/>
              </w:rPr>
            </w:pPr>
            <w:r w:rsidRPr="007B0C7E">
              <w:rPr>
                <w:rFonts w:ascii="Book Antiqua" w:hAnsi="Book Antiqua"/>
                <w:sz w:val="24"/>
                <w:szCs w:val="24"/>
              </w:rPr>
              <w:t xml:space="preserve">Male % </w:t>
            </w:r>
          </w:p>
        </w:tc>
        <w:tc>
          <w:tcPr>
            <w:tcW w:w="863" w:type="pct"/>
          </w:tcPr>
          <w:p w14:paraId="2F0FE354" w14:textId="49152D27"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15</w:t>
            </w:r>
            <w:r w:rsidR="007B0C7E">
              <w:rPr>
                <w:rFonts w:ascii="Book Antiqua" w:hAnsi="Book Antiqua"/>
                <w:sz w:val="24"/>
                <w:szCs w:val="24"/>
              </w:rPr>
              <w:t xml:space="preserve"> </w:t>
            </w:r>
            <w:r w:rsidRPr="00FD080D">
              <w:rPr>
                <w:rFonts w:ascii="Book Antiqua" w:hAnsi="Book Antiqua"/>
                <w:sz w:val="24"/>
                <w:szCs w:val="24"/>
              </w:rPr>
              <w:t>(51.7)</w:t>
            </w:r>
          </w:p>
        </w:tc>
        <w:tc>
          <w:tcPr>
            <w:tcW w:w="1519" w:type="pct"/>
          </w:tcPr>
          <w:p w14:paraId="0F90E183" w14:textId="4C7201DE"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29</w:t>
            </w:r>
            <w:r w:rsidR="007B0C7E">
              <w:rPr>
                <w:rFonts w:ascii="Book Antiqua" w:hAnsi="Book Antiqua"/>
                <w:sz w:val="24"/>
                <w:szCs w:val="24"/>
              </w:rPr>
              <w:t xml:space="preserve"> </w:t>
            </w:r>
            <w:r w:rsidRPr="00FD080D">
              <w:rPr>
                <w:rFonts w:ascii="Book Antiqua" w:hAnsi="Book Antiqua"/>
                <w:sz w:val="24"/>
                <w:szCs w:val="24"/>
              </w:rPr>
              <w:t>(52.7)</w:t>
            </w:r>
          </w:p>
        </w:tc>
        <w:tc>
          <w:tcPr>
            <w:tcW w:w="472" w:type="pct"/>
          </w:tcPr>
          <w:p w14:paraId="442829D1" w14:textId="217077E4"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0.93</w:t>
            </w:r>
          </w:p>
        </w:tc>
      </w:tr>
      <w:tr w:rsidR="00D53981" w:rsidRPr="00FD080D" w14:paraId="39F18CF2" w14:textId="77777777" w:rsidTr="007B0C7E">
        <w:trPr>
          <w:trHeight w:val="252"/>
        </w:trPr>
        <w:tc>
          <w:tcPr>
            <w:tcW w:w="2146" w:type="pct"/>
          </w:tcPr>
          <w:p w14:paraId="4B816890" w14:textId="23F0B519" w:rsidR="00D53981" w:rsidRPr="007B0C7E" w:rsidRDefault="001B01CA" w:rsidP="007B0C7E">
            <w:pPr>
              <w:adjustRightInd w:val="0"/>
              <w:snapToGrid w:val="0"/>
              <w:spacing w:line="360" w:lineRule="auto"/>
              <w:jc w:val="both"/>
              <w:rPr>
                <w:rFonts w:ascii="Book Antiqua" w:hAnsi="Book Antiqua"/>
                <w:sz w:val="24"/>
                <w:szCs w:val="24"/>
              </w:rPr>
            </w:pPr>
            <w:r w:rsidRPr="007B0C7E">
              <w:rPr>
                <w:rFonts w:ascii="Book Antiqua" w:hAnsi="Book Antiqua"/>
                <w:sz w:val="24"/>
                <w:szCs w:val="24"/>
              </w:rPr>
              <w:t>Paris Location at diagnosis</w:t>
            </w:r>
          </w:p>
        </w:tc>
        <w:tc>
          <w:tcPr>
            <w:tcW w:w="863" w:type="pct"/>
          </w:tcPr>
          <w:p w14:paraId="3E952E36" w14:textId="4CBE6D2D" w:rsidR="00D53981" w:rsidRPr="00FD080D" w:rsidRDefault="00D53981" w:rsidP="007B0C7E">
            <w:pPr>
              <w:adjustRightInd w:val="0"/>
              <w:snapToGrid w:val="0"/>
              <w:spacing w:line="360" w:lineRule="auto"/>
              <w:jc w:val="center"/>
              <w:rPr>
                <w:rFonts w:ascii="Book Antiqua" w:hAnsi="Book Antiqua"/>
                <w:sz w:val="24"/>
                <w:szCs w:val="24"/>
              </w:rPr>
            </w:pPr>
          </w:p>
        </w:tc>
        <w:tc>
          <w:tcPr>
            <w:tcW w:w="1519" w:type="pct"/>
          </w:tcPr>
          <w:p w14:paraId="7C1A958C" w14:textId="406F34C9" w:rsidR="00D53981" w:rsidRPr="00FD080D" w:rsidRDefault="00D53981" w:rsidP="007B0C7E">
            <w:pPr>
              <w:adjustRightInd w:val="0"/>
              <w:snapToGrid w:val="0"/>
              <w:spacing w:line="360" w:lineRule="auto"/>
              <w:jc w:val="center"/>
              <w:rPr>
                <w:rFonts w:ascii="Book Antiqua" w:hAnsi="Book Antiqua"/>
                <w:sz w:val="24"/>
                <w:szCs w:val="24"/>
              </w:rPr>
            </w:pPr>
          </w:p>
        </w:tc>
        <w:tc>
          <w:tcPr>
            <w:tcW w:w="472" w:type="pct"/>
          </w:tcPr>
          <w:p w14:paraId="22E80416" w14:textId="72B436AC" w:rsidR="00D53981" w:rsidRPr="00FD080D" w:rsidRDefault="00D53981" w:rsidP="007B0C7E">
            <w:pPr>
              <w:adjustRightInd w:val="0"/>
              <w:snapToGrid w:val="0"/>
              <w:spacing w:line="360" w:lineRule="auto"/>
              <w:jc w:val="center"/>
              <w:rPr>
                <w:rFonts w:ascii="Book Antiqua" w:hAnsi="Book Antiqua"/>
                <w:sz w:val="24"/>
                <w:szCs w:val="24"/>
              </w:rPr>
            </w:pPr>
          </w:p>
        </w:tc>
      </w:tr>
      <w:tr w:rsidR="00D53981" w:rsidRPr="00FD080D" w14:paraId="08124375" w14:textId="77777777" w:rsidTr="007B0C7E">
        <w:trPr>
          <w:trHeight w:val="482"/>
        </w:trPr>
        <w:tc>
          <w:tcPr>
            <w:tcW w:w="2146" w:type="pct"/>
          </w:tcPr>
          <w:p w14:paraId="47C71EBA" w14:textId="60FD86FA" w:rsidR="00D53981" w:rsidRPr="007B0C7E" w:rsidRDefault="005A2593" w:rsidP="007B0C7E">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1B01CA" w:rsidRPr="007B0C7E">
              <w:rPr>
                <w:rFonts w:ascii="Book Antiqua" w:hAnsi="Book Antiqua"/>
                <w:sz w:val="24"/>
                <w:szCs w:val="24"/>
              </w:rPr>
              <w:t>Lower 1/3</w:t>
            </w:r>
            <w:r>
              <w:rPr>
                <w:rFonts w:ascii="Book Antiqua" w:hAnsi="Book Antiqua"/>
                <w:sz w:val="24"/>
                <w:szCs w:val="24"/>
              </w:rPr>
              <w:t xml:space="preserve"> </w:t>
            </w:r>
            <w:r w:rsidR="001B01CA" w:rsidRPr="007B0C7E">
              <w:rPr>
                <w:rFonts w:ascii="Book Antiqua" w:hAnsi="Book Antiqua"/>
                <w:sz w:val="24"/>
                <w:szCs w:val="24"/>
              </w:rPr>
              <w:t xml:space="preserve">of ileum +/- base of cecum </w:t>
            </w:r>
          </w:p>
        </w:tc>
        <w:tc>
          <w:tcPr>
            <w:tcW w:w="863" w:type="pct"/>
          </w:tcPr>
          <w:p w14:paraId="3CF2949F" w14:textId="0548C9E8"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6</w:t>
            </w:r>
            <w:r w:rsidR="007B0C7E">
              <w:rPr>
                <w:rFonts w:ascii="Book Antiqua" w:hAnsi="Book Antiqua"/>
                <w:sz w:val="24"/>
                <w:szCs w:val="24"/>
              </w:rPr>
              <w:t xml:space="preserve"> </w:t>
            </w:r>
            <w:r w:rsidRPr="00FD080D">
              <w:rPr>
                <w:rFonts w:ascii="Book Antiqua" w:hAnsi="Book Antiqua"/>
                <w:sz w:val="24"/>
                <w:szCs w:val="24"/>
              </w:rPr>
              <w:t>(20.7)</w:t>
            </w:r>
          </w:p>
        </w:tc>
        <w:tc>
          <w:tcPr>
            <w:tcW w:w="1519" w:type="pct"/>
          </w:tcPr>
          <w:p w14:paraId="413C6371" w14:textId="54767650"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7</w:t>
            </w:r>
            <w:r w:rsidR="007B0C7E">
              <w:rPr>
                <w:rFonts w:ascii="Book Antiqua" w:hAnsi="Book Antiqua"/>
                <w:sz w:val="24"/>
                <w:szCs w:val="24"/>
              </w:rPr>
              <w:t xml:space="preserve"> </w:t>
            </w:r>
            <w:r w:rsidRPr="00FD080D">
              <w:rPr>
                <w:rFonts w:ascii="Book Antiqua" w:hAnsi="Book Antiqua"/>
                <w:sz w:val="24"/>
                <w:szCs w:val="24"/>
              </w:rPr>
              <w:t>(12.1)</w:t>
            </w:r>
          </w:p>
        </w:tc>
        <w:tc>
          <w:tcPr>
            <w:tcW w:w="472" w:type="pct"/>
          </w:tcPr>
          <w:p w14:paraId="44BFAB0F" w14:textId="06A26451"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0.29</w:t>
            </w:r>
          </w:p>
        </w:tc>
      </w:tr>
      <w:tr w:rsidR="00D53981" w:rsidRPr="00FD080D" w14:paraId="67615A93" w14:textId="77777777" w:rsidTr="007B0C7E">
        <w:trPr>
          <w:trHeight w:val="480"/>
        </w:trPr>
        <w:tc>
          <w:tcPr>
            <w:tcW w:w="2146" w:type="pct"/>
          </w:tcPr>
          <w:p w14:paraId="3FB28D49" w14:textId="722636E5" w:rsidR="00D53981" w:rsidRPr="007B0C7E" w:rsidRDefault="005A2593" w:rsidP="007B0C7E">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1B01CA" w:rsidRPr="007B0C7E">
              <w:rPr>
                <w:rFonts w:ascii="Book Antiqua" w:hAnsi="Book Antiqua"/>
                <w:sz w:val="24"/>
                <w:szCs w:val="24"/>
              </w:rPr>
              <w:t xml:space="preserve">Colon only </w:t>
            </w:r>
          </w:p>
        </w:tc>
        <w:tc>
          <w:tcPr>
            <w:tcW w:w="863" w:type="pct"/>
          </w:tcPr>
          <w:p w14:paraId="3FE302AF" w14:textId="5FA5BB45"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9</w:t>
            </w:r>
            <w:r w:rsidR="007B0C7E">
              <w:rPr>
                <w:rFonts w:ascii="Book Antiqua" w:hAnsi="Book Antiqua"/>
                <w:sz w:val="24"/>
                <w:szCs w:val="24"/>
              </w:rPr>
              <w:t xml:space="preserve"> </w:t>
            </w:r>
            <w:r w:rsidRPr="00FD080D">
              <w:rPr>
                <w:rFonts w:ascii="Book Antiqua" w:hAnsi="Book Antiqua"/>
                <w:sz w:val="24"/>
                <w:szCs w:val="24"/>
              </w:rPr>
              <w:t>(31.0)</w:t>
            </w:r>
          </w:p>
        </w:tc>
        <w:tc>
          <w:tcPr>
            <w:tcW w:w="1519" w:type="pct"/>
          </w:tcPr>
          <w:p w14:paraId="02EAD343" w14:textId="740E2898"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7</w:t>
            </w:r>
            <w:r w:rsidR="007B0C7E">
              <w:rPr>
                <w:rFonts w:ascii="Book Antiqua" w:hAnsi="Book Antiqua"/>
                <w:sz w:val="24"/>
                <w:szCs w:val="24"/>
              </w:rPr>
              <w:t xml:space="preserve"> </w:t>
            </w:r>
            <w:r w:rsidRPr="00FD080D">
              <w:rPr>
                <w:rFonts w:ascii="Book Antiqua" w:hAnsi="Book Antiqua"/>
                <w:sz w:val="24"/>
                <w:szCs w:val="24"/>
              </w:rPr>
              <w:t>(12.1)</w:t>
            </w:r>
          </w:p>
        </w:tc>
        <w:tc>
          <w:tcPr>
            <w:tcW w:w="472" w:type="pct"/>
          </w:tcPr>
          <w:p w14:paraId="05B76319" w14:textId="1EEF2668"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0.03</w:t>
            </w:r>
          </w:p>
        </w:tc>
      </w:tr>
      <w:tr w:rsidR="00D53981" w:rsidRPr="00FD080D" w14:paraId="3B2EFA63" w14:textId="77777777" w:rsidTr="007B0C7E">
        <w:trPr>
          <w:trHeight w:val="482"/>
        </w:trPr>
        <w:tc>
          <w:tcPr>
            <w:tcW w:w="2146" w:type="pct"/>
          </w:tcPr>
          <w:p w14:paraId="1CDC957B" w14:textId="1FB278B7" w:rsidR="00D53981" w:rsidRPr="007B0C7E" w:rsidRDefault="005A2593" w:rsidP="007B0C7E">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1B01CA" w:rsidRPr="007B0C7E">
              <w:rPr>
                <w:rFonts w:ascii="Book Antiqua" w:hAnsi="Book Antiqua"/>
                <w:sz w:val="24"/>
                <w:szCs w:val="24"/>
              </w:rPr>
              <w:t xml:space="preserve">Ileum </w:t>
            </w:r>
            <w:r w:rsidR="007B0C7E">
              <w:rPr>
                <w:rFonts w:ascii="Book Antiqua" w:hAnsi="Book Antiqua"/>
                <w:sz w:val="24"/>
                <w:szCs w:val="24"/>
              </w:rPr>
              <w:t>and</w:t>
            </w:r>
            <w:r w:rsidR="001B01CA" w:rsidRPr="007B0C7E">
              <w:rPr>
                <w:rFonts w:ascii="Book Antiqua" w:hAnsi="Book Antiqua"/>
                <w:sz w:val="24"/>
                <w:szCs w:val="24"/>
              </w:rPr>
              <w:t xml:space="preserve"> </w:t>
            </w:r>
            <w:r w:rsidR="007B0C7E">
              <w:rPr>
                <w:rFonts w:ascii="Book Antiqua" w:hAnsi="Book Antiqua"/>
                <w:sz w:val="24"/>
                <w:szCs w:val="24"/>
              </w:rPr>
              <w:t>c</w:t>
            </w:r>
            <w:r w:rsidR="001B01CA" w:rsidRPr="007B0C7E">
              <w:rPr>
                <w:rFonts w:ascii="Book Antiqua" w:hAnsi="Book Antiqua"/>
                <w:sz w:val="24"/>
                <w:szCs w:val="24"/>
              </w:rPr>
              <w:t xml:space="preserve">olon </w:t>
            </w:r>
          </w:p>
        </w:tc>
        <w:tc>
          <w:tcPr>
            <w:tcW w:w="863" w:type="pct"/>
          </w:tcPr>
          <w:p w14:paraId="555F634D" w14:textId="5E3849F3"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13</w:t>
            </w:r>
            <w:r w:rsidR="007B0C7E">
              <w:rPr>
                <w:rFonts w:ascii="Book Antiqua" w:hAnsi="Book Antiqua"/>
                <w:sz w:val="24"/>
                <w:szCs w:val="24"/>
              </w:rPr>
              <w:t xml:space="preserve"> </w:t>
            </w:r>
            <w:r w:rsidRPr="00FD080D">
              <w:rPr>
                <w:rFonts w:ascii="Book Antiqua" w:hAnsi="Book Antiqua"/>
                <w:sz w:val="24"/>
                <w:szCs w:val="24"/>
              </w:rPr>
              <w:t>(44.8)</w:t>
            </w:r>
          </w:p>
        </w:tc>
        <w:tc>
          <w:tcPr>
            <w:tcW w:w="1519" w:type="pct"/>
          </w:tcPr>
          <w:p w14:paraId="47717616" w14:textId="3079DD80"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41</w:t>
            </w:r>
            <w:r w:rsidR="007B0C7E">
              <w:rPr>
                <w:rFonts w:ascii="Book Antiqua" w:hAnsi="Book Antiqua"/>
                <w:sz w:val="24"/>
                <w:szCs w:val="24"/>
              </w:rPr>
              <w:t xml:space="preserve"> </w:t>
            </w:r>
            <w:r w:rsidRPr="00FD080D">
              <w:rPr>
                <w:rFonts w:ascii="Book Antiqua" w:hAnsi="Book Antiqua"/>
                <w:sz w:val="24"/>
                <w:szCs w:val="24"/>
              </w:rPr>
              <w:t>(70.7)</w:t>
            </w:r>
          </w:p>
        </w:tc>
        <w:tc>
          <w:tcPr>
            <w:tcW w:w="472" w:type="pct"/>
          </w:tcPr>
          <w:p w14:paraId="66CC0028" w14:textId="57A13959"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0.02</w:t>
            </w:r>
          </w:p>
        </w:tc>
      </w:tr>
      <w:tr w:rsidR="00D53981" w:rsidRPr="00FD080D" w14:paraId="238CB07B" w14:textId="77777777" w:rsidTr="007B0C7E">
        <w:trPr>
          <w:trHeight w:val="482"/>
        </w:trPr>
        <w:tc>
          <w:tcPr>
            <w:tcW w:w="2146" w:type="pct"/>
          </w:tcPr>
          <w:p w14:paraId="14488B79" w14:textId="1EC2F963" w:rsidR="00D53981" w:rsidRPr="007B0C7E" w:rsidRDefault="005A2593" w:rsidP="007B0C7E">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1B01CA" w:rsidRPr="007B0C7E">
              <w:rPr>
                <w:rFonts w:ascii="Book Antiqua" w:hAnsi="Book Antiqua"/>
                <w:sz w:val="24"/>
                <w:szCs w:val="24"/>
              </w:rPr>
              <w:t xml:space="preserve">Upper GI proximal to </w:t>
            </w:r>
            <w:r w:rsidR="00A55823">
              <w:rPr>
                <w:rFonts w:ascii="Book Antiqua" w:hAnsi="Book Antiqua"/>
                <w:sz w:val="24"/>
                <w:szCs w:val="24"/>
              </w:rPr>
              <w:t>l</w:t>
            </w:r>
            <w:r w:rsidR="001B01CA" w:rsidRPr="007B0C7E">
              <w:rPr>
                <w:rFonts w:ascii="Book Antiqua" w:hAnsi="Book Antiqua"/>
                <w:sz w:val="24"/>
                <w:szCs w:val="24"/>
              </w:rPr>
              <w:t xml:space="preserve">igament of </w:t>
            </w:r>
            <w:proofErr w:type="spellStart"/>
            <w:r w:rsidR="00A55823">
              <w:rPr>
                <w:rFonts w:ascii="Book Antiqua" w:hAnsi="Book Antiqua"/>
                <w:sz w:val="24"/>
                <w:szCs w:val="24"/>
              </w:rPr>
              <w:t>t</w:t>
            </w:r>
            <w:r w:rsidR="001B01CA" w:rsidRPr="007B0C7E">
              <w:rPr>
                <w:rFonts w:ascii="Book Antiqua" w:hAnsi="Book Antiqua"/>
                <w:sz w:val="24"/>
                <w:szCs w:val="24"/>
              </w:rPr>
              <w:t>reitz</w:t>
            </w:r>
            <w:proofErr w:type="spellEnd"/>
            <w:r w:rsidR="001B01CA" w:rsidRPr="007B0C7E">
              <w:rPr>
                <w:rFonts w:ascii="Book Antiqua" w:hAnsi="Book Antiqua"/>
                <w:sz w:val="24"/>
                <w:szCs w:val="24"/>
              </w:rPr>
              <w:t xml:space="preserve"> </w:t>
            </w:r>
          </w:p>
        </w:tc>
        <w:tc>
          <w:tcPr>
            <w:tcW w:w="863" w:type="pct"/>
          </w:tcPr>
          <w:p w14:paraId="3E1B5CD3" w14:textId="4E333265"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7</w:t>
            </w:r>
            <w:r w:rsidR="007B0C7E">
              <w:rPr>
                <w:rFonts w:ascii="Book Antiqua" w:hAnsi="Book Antiqua"/>
                <w:sz w:val="24"/>
                <w:szCs w:val="24"/>
              </w:rPr>
              <w:t xml:space="preserve"> </w:t>
            </w:r>
            <w:r w:rsidRPr="00FD080D">
              <w:rPr>
                <w:rFonts w:ascii="Book Antiqua" w:hAnsi="Book Antiqua"/>
                <w:sz w:val="24"/>
                <w:szCs w:val="24"/>
              </w:rPr>
              <w:t>(24.1)</w:t>
            </w:r>
          </w:p>
        </w:tc>
        <w:tc>
          <w:tcPr>
            <w:tcW w:w="1519" w:type="pct"/>
          </w:tcPr>
          <w:p w14:paraId="3AC4E983" w14:textId="1D211DB1"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25</w:t>
            </w:r>
            <w:r w:rsidR="007B0C7E">
              <w:rPr>
                <w:rFonts w:ascii="Book Antiqua" w:hAnsi="Book Antiqua"/>
                <w:sz w:val="24"/>
                <w:szCs w:val="24"/>
              </w:rPr>
              <w:t xml:space="preserve"> </w:t>
            </w:r>
            <w:r w:rsidRPr="00FD080D">
              <w:rPr>
                <w:rFonts w:ascii="Book Antiqua" w:hAnsi="Book Antiqua"/>
                <w:sz w:val="24"/>
                <w:szCs w:val="24"/>
              </w:rPr>
              <w:t>(43.1)</w:t>
            </w:r>
          </w:p>
        </w:tc>
        <w:tc>
          <w:tcPr>
            <w:tcW w:w="472" w:type="pct"/>
          </w:tcPr>
          <w:p w14:paraId="2F3F1EC8" w14:textId="5F21F5CE"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0.08</w:t>
            </w:r>
          </w:p>
        </w:tc>
      </w:tr>
      <w:tr w:rsidR="00D53981" w:rsidRPr="00FD080D" w14:paraId="00B40F98" w14:textId="77777777" w:rsidTr="007B0C7E">
        <w:trPr>
          <w:trHeight w:val="483"/>
        </w:trPr>
        <w:tc>
          <w:tcPr>
            <w:tcW w:w="2146" w:type="pct"/>
          </w:tcPr>
          <w:p w14:paraId="675B1FA5" w14:textId="6F52ADB0" w:rsidR="00D53981" w:rsidRPr="007B0C7E" w:rsidRDefault="005A2593" w:rsidP="007B0C7E">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1B01CA" w:rsidRPr="007B0C7E">
              <w:rPr>
                <w:rFonts w:ascii="Book Antiqua" w:hAnsi="Book Antiqua"/>
                <w:sz w:val="24"/>
                <w:szCs w:val="24"/>
              </w:rPr>
              <w:t xml:space="preserve">Distal to </w:t>
            </w:r>
            <w:r w:rsidR="00A55823">
              <w:rPr>
                <w:rFonts w:ascii="Book Antiqua" w:hAnsi="Book Antiqua"/>
                <w:sz w:val="24"/>
                <w:szCs w:val="24"/>
              </w:rPr>
              <w:t>l</w:t>
            </w:r>
            <w:r w:rsidR="001B01CA" w:rsidRPr="007B0C7E">
              <w:rPr>
                <w:rFonts w:ascii="Book Antiqua" w:hAnsi="Book Antiqua"/>
                <w:sz w:val="24"/>
                <w:szCs w:val="24"/>
              </w:rPr>
              <w:t xml:space="preserve">igament of </w:t>
            </w:r>
            <w:proofErr w:type="spellStart"/>
            <w:r w:rsidR="00A55823">
              <w:rPr>
                <w:rFonts w:ascii="Book Antiqua" w:hAnsi="Book Antiqua"/>
                <w:sz w:val="24"/>
                <w:szCs w:val="24"/>
              </w:rPr>
              <w:t>t</w:t>
            </w:r>
            <w:r w:rsidR="001B01CA" w:rsidRPr="007B0C7E">
              <w:rPr>
                <w:rFonts w:ascii="Book Antiqua" w:hAnsi="Book Antiqua"/>
                <w:sz w:val="24"/>
                <w:szCs w:val="24"/>
              </w:rPr>
              <w:t>reitz</w:t>
            </w:r>
            <w:proofErr w:type="spellEnd"/>
            <w:r w:rsidR="001B01CA" w:rsidRPr="007B0C7E">
              <w:rPr>
                <w:rFonts w:ascii="Book Antiqua" w:hAnsi="Book Antiqua"/>
                <w:sz w:val="24"/>
                <w:szCs w:val="24"/>
              </w:rPr>
              <w:t xml:space="preserve"> to proximal ileum </w:t>
            </w:r>
          </w:p>
        </w:tc>
        <w:tc>
          <w:tcPr>
            <w:tcW w:w="863" w:type="pct"/>
          </w:tcPr>
          <w:p w14:paraId="2DD9E94A" w14:textId="1A7CD057"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w:t>
            </w:r>
            <w:r w:rsidR="007B0C7E">
              <w:rPr>
                <w:rFonts w:ascii="Book Antiqua" w:hAnsi="Book Antiqua"/>
                <w:sz w:val="24"/>
                <w:szCs w:val="24"/>
              </w:rPr>
              <w:t xml:space="preserve"> </w:t>
            </w:r>
            <w:r w:rsidRPr="00FD080D">
              <w:rPr>
                <w:rFonts w:ascii="Book Antiqua" w:hAnsi="Book Antiqua"/>
                <w:sz w:val="24"/>
                <w:szCs w:val="24"/>
              </w:rPr>
              <w:t>(3.5)</w:t>
            </w:r>
          </w:p>
        </w:tc>
        <w:tc>
          <w:tcPr>
            <w:tcW w:w="1519" w:type="pct"/>
          </w:tcPr>
          <w:p w14:paraId="1BD78863" w14:textId="4151668F"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w:t>
            </w:r>
            <w:r w:rsidR="007B0C7E">
              <w:rPr>
                <w:rFonts w:ascii="Book Antiqua" w:hAnsi="Book Antiqua"/>
                <w:sz w:val="24"/>
                <w:szCs w:val="24"/>
              </w:rPr>
              <w:t xml:space="preserve"> </w:t>
            </w:r>
            <w:r w:rsidRPr="00FD080D">
              <w:rPr>
                <w:rFonts w:ascii="Book Antiqua" w:hAnsi="Book Antiqua"/>
                <w:sz w:val="24"/>
                <w:szCs w:val="24"/>
              </w:rPr>
              <w:t>(3.5)</w:t>
            </w:r>
          </w:p>
        </w:tc>
        <w:tc>
          <w:tcPr>
            <w:tcW w:w="472" w:type="pct"/>
          </w:tcPr>
          <w:p w14:paraId="369802E6" w14:textId="34DFBDF2"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1.00</w:t>
            </w:r>
          </w:p>
        </w:tc>
      </w:tr>
      <w:tr w:rsidR="00D53981" w:rsidRPr="00FD080D" w14:paraId="15A45E8E" w14:textId="77777777" w:rsidTr="007B0C7E">
        <w:trPr>
          <w:trHeight w:val="252"/>
        </w:trPr>
        <w:tc>
          <w:tcPr>
            <w:tcW w:w="2146" w:type="pct"/>
          </w:tcPr>
          <w:p w14:paraId="16C6EC20" w14:textId="64603F18" w:rsidR="00D53981" w:rsidRPr="007B0C7E" w:rsidRDefault="001B01CA" w:rsidP="007B0C7E">
            <w:pPr>
              <w:adjustRightInd w:val="0"/>
              <w:snapToGrid w:val="0"/>
              <w:spacing w:line="360" w:lineRule="auto"/>
              <w:jc w:val="both"/>
              <w:rPr>
                <w:rFonts w:ascii="Book Antiqua" w:hAnsi="Book Antiqua"/>
                <w:sz w:val="24"/>
                <w:szCs w:val="24"/>
              </w:rPr>
            </w:pPr>
            <w:r w:rsidRPr="007B0C7E">
              <w:rPr>
                <w:rFonts w:ascii="Book Antiqua" w:hAnsi="Book Antiqua"/>
                <w:sz w:val="24"/>
                <w:szCs w:val="24"/>
              </w:rPr>
              <w:t xml:space="preserve">Disease behavior at diagnosis </w:t>
            </w:r>
          </w:p>
        </w:tc>
        <w:tc>
          <w:tcPr>
            <w:tcW w:w="863" w:type="pct"/>
          </w:tcPr>
          <w:p w14:paraId="685D3A0D" w14:textId="6AD84454" w:rsidR="00D53981" w:rsidRPr="00FD080D" w:rsidRDefault="00D53981" w:rsidP="007B0C7E">
            <w:pPr>
              <w:adjustRightInd w:val="0"/>
              <w:snapToGrid w:val="0"/>
              <w:spacing w:line="360" w:lineRule="auto"/>
              <w:jc w:val="center"/>
              <w:rPr>
                <w:rFonts w:ascii="Book Antiqua" w:hAnsi="Book Antiqua"/>
                <w:sz w:val="24"/>
                <w:szCs w:val="24"/>
              </w:rPr>
            </w:pPr>
          </w:p>
        </w:tc>
        <w:tc>
          <w:tcPr>
            <w:tcW w:w="1519" w:type="pct"/>
          </w:tcPr>
          <w:p w14:paraId="5B88F36E" w14:textId="05C23631" w:rsidR="00D53981" w:rsidRPr="00FD080D" w:rsidRDefault="00D53981" w:rsidP="007B0C7E">
            <w:pPr>
              <w:adjustRightInd w:val="0"/>
              <w:snapToGrid w:val="0"/>
              <w:spacing w:line="360" w:lineRule="auto"/>
              <w:jc w:val="center"/>
              <w:rPr>
                <w:rFonts w:ascii="Book Antiqua" w:hAnsi="Book Antiqua"/>
                <w:sz w:val="24"/>
                <w:szCs w:val="24"/>
              </w:rPr>
            </w:pPr>
          </w:p>
        </w:tc>
        <w:tc>
          <w:tcPr>
            <w:tcW w:w="472" w:type="pct"/>
          </w:tcPr>
          <w:p w14:paraId="2FEF97EE" w14:textId="0686CC27" w:rsidR="00D53981" w:rsidRPr="00FD080D" w:rsidRDefault="00D53981" w:rsidP="007B0C7E">
            <w:pPr>
              <w:adjustRightInd w:val="0"/>
              <w:snapToGrid w:val="0"/>
              <w:spacing w:line="360" w:lineRule="auto"/>
              <w:jc w:val="center"/>
              <w:rPr>
                <w:rFonts w:ascii="Book Antiqua" w:hAnsi="Book Antiqua"/>
                <w:sz w:val="24"/>
                <w:szCs w:val="24"/>
              </w:rPr>
            </w:pPr>
          </w:p>
        </w:tc>
      </w:tr>
      <w:tr w:rsidR="00D53981" w:rsidRPr="00FD080D" w14:paraId="5FA90D46" w14:textId="77777777" w:rsidTr="007B0C7E">
        <w:trPr>
          <w:trHeight w:val="482"/>
        </w:trPr>
        <w:tc>
          <w:tcPr>
            <w:tcW w:w="2146" w:type="pct"/>
          </w:tcPr>
          <w:p w14:paraId="430D3927" w14:textId="530CA560" w:rsidR="00D53981" w:rsidRPr="007B0C7E" w:rsidRDefault="005A2593" w:rsidP="007B0C7E">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1B01CA" w:rsidRPr="007B0C7E">
              <w:rPr>
                <w:rFonts w:ascii="Book Antiqua" w:hAnsi="Book Antiqua"/>
                <w:sz w:val="24"/>
                <w:szCs w:val="24"/>
              </w:rPr>
              <w:t>Inflammatory (non-</w:t>
            </w:r>
            <w:proofErr w:type="spellStart"/>
            <w:r w:rsidR="001B01CA" w:rsidRPr="007B0C7E">
              <w:rPr>
                <w:rFonts w:ascii="Book Antiqua" w:hAnsi="Book Antiqua"/>
                <w:sz w:val="24"/>
                <w:szCs w:val="24"/>
              </w:rPr>
              <w:t>stricturing</w:t>
            </w:r>
            <w:proofErr w:type="spellEnd"/>
            <w:r w:rsidR="001B01CA" w:rsidRPr="007B0C7E">
              <w:rPr>
                <w:rFonts w:ascii="Book Antiqua" w:hAnsi="Book Antiqua"/>
                <w:sz w:val="24"/>
                <w:szCs w:val="24"/>
              </w:rPr>
              <w:t xml:space="preserve">, non-penetrating) </w:t>
            </w:r>
          </w:p>
        </w:tc>
        <w:tc>
          <w:tcPr>
            <w:tcW w:w="863" w:type="pct"/>
          </w:tcPr>
          <w:p w14:paraId="6D5660A3" w14:textId="06A5AA08"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28</w:t>
            </w:r>
            <w:r w:rsidR="007B0C7E">
              <w:rPr>
                <w:rFonts w:ascii="Book Antiqua" w:hAnsi="Book Antiqua"/>
                <w:sz w:val="24"/>
                <w:szCs w:val="24"/>
              </w:rPr>
              <w:t xml:space="preserve"> </w:t>
            </w:r>
            <w:r w:rsidRPr="00FD080D">
              <w:rPr>
                <w:rFonts w:ascii="Book Antiqua" w:hAnsi="Book Antiqua"/>
                <w:sz w:val="24"/>
                <w:szCs w:val="24"/>
              </w:rPr>
              <w:t>(96.6)</w:t>
            </w:r>
          </w:p>
        </w:tc>
        <w:tc>
          <w:tcPr>
            <w:tcW w:w="1519" w:type="pct"/>
          </w:tcPr>
          <w:p w14:paraId="25C63465" w14:textId="1C78992D"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51</w:t>
            </w:r>
            <w:r w:rsidR="007B0C7E">
              <w:rPr>
                <w:rFonts w:ascii="Book Antiqua" w:hAnsi="Book Antiqua"/>
                <w:sz w:val="24"/>
                <w:szCs w:val="24"/>
              </w:rPr>
              <w:t xml:space="preserve"> </w:t>
            </w:r>
            <w:r w:rsidRPr="00FD080D">
              <w:rPr>
                <w:rFonts w:ascii="Book Antiqua" w:hAnsi="Book Antiqua"/>
                <w:sz w:val="24"/>
                <w:szCs w:val="24"/>
              </w:rPr>
              <w:t>(87.9)</w:t>
            </w:r>
          </w:p>
        </w:tc>
        <w:tc>
          <w:tcPr>
            <w:tcW w:w="472" w:type="pct"/>
          </w:tcPr>
          <w:p w14:paraId="3FD4BED0" w14:textId="7C52A278"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0.19</w:t>
            </w:r>
          </w:p>
        </w:tc>
      </w:tr>
      <w:tr w:rsidR="00D53981" w:rsidRPr="00FD080D" w14:paraId="66C683CD" w14:textId="77777777" w:rsidTr="007B0C7E">
        <w:trPr>
          <w:trHeight w:val="482"/>
        </w:trPr>
        <w:tc>
          <w:tcPr>
            <w:tcW w:w="2146" w:type="pct"/>
          </w:tcPr>
          <w:p w14:paraId="736F1CDB" w14:textId="27A79524" w:rsidR="00D53981" w:rsidRPr="007B0C7E" w:rsidRDefault="005A2593" w:rsidP="007B0C7E">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proofErr w:type="spellStart"/>
            <w:r w:rsidR="00A55823">
              <w:rPr>
                <w:rFonts w:ascii="Book Antiqua" w:hAnsi="Book Antiqua"/>
                <w:sz w:val="24"/>
                <w:szCs w:val="24"/>
              </w:rPr>
              <w:t>S</w:t>
            </w:r>
            <w:r w:rsidR="001B01CA" w:rsidRPr="007B0C7E">
              <w:rPr>
                <w:rFonts w:ascii="Book Antiqua" w:hAnsi="Book Antiqua"/>
                <w:sz w:val="24"/>
                <w:szCs w:val="24"/>
              </w:rPr>
              <w:t>tricturing</w:t>
            </w:r>
            <w:proofErr w:type="spellEnd"/>
            <w:r w:rsidR="001B01CA" w:rsidRPr="007B0C7E">
              <w:rPr>
                <w:rFonts w:ascii="Book Antiqua" w:hAnsi="Book Antiqua"/>
                <w:sz w:val="24"/>
                <w:szCs w:val="24"/>
              </w:rPr>
              <w:t xml:space="preserve"> </w:t>
            </w:r>
          </w:p>
        </w:tc>
        <w:tc>
          <w:tcPr>
            <w:tcW w:w="863" w:type="pct"/>
          </w:tcPr>
          <w:p w14:paraId="08B2E304" w14:textId="59990386"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w:t>
            </w:r>
            <w:r w:rsidR="007B0C7E">
              <w:rPr>
                <w:rFonts w:ascii="Book Antiqua" w:hAnsi="Book Antiqua"/>
                <w:sz w:val="24"/>
                <w:szCs w:val="24"/>
              </w:rPr>
              <w:t xml:space="preserve"> </w:t>
            </w:r>
            <w:r w:rsidRPr="00FD080D">
              <w:rPr>
                <w:rFonts w:ascii="Book Antiqua" w:hAnsi="Book Antiqua"/>
                <w:sz w:val="24"/>
                <w:szCs w:val="24"/>
              </w:rPr>
              <w:t>(0)</w:t>
            </w:r>
          </w:p>
        </w:tc>
        <w:tc>
          <w:tcPr>
            <w:tcW w:w="1519" w:type="pct"/>
          </w:tcPr>
          <w:p w14:paraId="51BBC1D5" w14:textId="5E292403"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3</w:t>
            </w:r>
            <w:r w:rsidR="007B0C7E">
              <w:rPr>
                <w:rFonts w:ascii="Book Antiqua" w:hAnsi="Book Antiqua"/>
                <w:sz w:val="24"/>
                <w:szCs w:val="24"/>
              </w:rPr>
              <w:t xml:space="preserve"> </w:t>
            </w:r>
            <w:r w:rsidRPr="00FD080D">
              <w:rPr>
                <w:rFonts w:ascii="Book Antiqua" w:hAnsi="Book Antiqua"/>
                <w:sz w:val="24"/>
                <w:szCs w:val="24"/>
              </w:rPr>
              <w:t>(5.2)</w:t>
            </w:r>
          </w:p>
        </w:tc>
        <w:tc>
          <w:tcPr>
            <w:tcW w:w="472" w:type="pct"/>
          </w:tcPr>
          <w:p w14:paraId="2B07D6C1" w14:textId="092FDF8A"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0.21</w:t>
            </w:r>
          </w:p>
        </w:tc>
      </w:tr>
      <w:tr w:rsidR="00D53981" w:rsidRPr="00FD080D" w14:paraId="5F1C87D2" w14:textId="77777777" w:rsidTr="007B0C7E">
        <w:trPr>
          <w:trHeight w:val="482"/>
        </w:trPr>
        <w:tc>
          <w:tcPr>
            <w:tcW w:w="2146" w:type="pct"/>
          </w:tcPr>
          <w:p w14:paraId="68BB3992" w14:textId="4603949F" w:rsidR="00D53981" w:rsidRPr="007B0C7E" w:rsidRDefault="005A2593" w:rsidP="007B0C7E">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1B01CA" w:rsidRPr="007B0C7E">
              <w:rPr>
                <w:rFonts w:ascii="Book Antiqua" w:hAnsi="Book Antiqua"/>
                <w:sz w:val="24"/>
                <w:szCs w:val="24"/>
              </w:rPr>
              <w:t xml:space="preserve">Penetrating </w:t>
            </w:r>
          </w:p>
        </w:tc>
        <w:tc>
          <w:tcPr>
            <w:tcW w:w="863" w:type="pct"/>
          </w:tcPr>
          <w:p w14:paraId="719C77AB" w14:textId="6B577C5A"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w:t>
            </w:r>
            <w:r w:rsidR="007B0C7E">
              <w:rPr>
                <w:rFonts w:ascii="Book Antiqua" w:hAnsi="Book Antiqua"/>
                <w:sz w:val="24"/>
                <w:szCs w:val="24"/>
              </w:rPr>
              <w:t xml:space="preserve"> </w:t>
            </w:r>
            <w:r w:rsidRPr="00FD080D">
              <w:rPr>
                <w:rFonts w:ascii="Book Antiqua" w:hAnsi="Book Antiqua"/>
                <w:sz w:val="24"/>
                <w:szCs w:val="24"/>
              </w:rPr>
              <w:t>(0)</w:t>
            </w:r>
          </w:p>
        </w:tc>
        <w:tc>
          <w:tcPr>
            <w:tcW w:w="1519" w:type="pct"/>
          </w:tcPr>
          <w:p w14:paraId="1AA7CEF6" w14:textId="164A6CCD"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w:t>
            </w:r>
            <w:r w:rsidR="007B0C7E">
              <w:rPr>
                <w:rFonts w:ascii="Book Antiqua" w:hAnsi="Book Antiqua"/>
                <w:sz w:val="24"/>
                <w:szCs w:val="24"/>
              </w:rPr>
              <w:t xml:space="preserve"> </w:t>
            </w:r>
            <w:r w:rsidRPr="00FD080D">
              <w:rPr>
                <w:rFonts w:ascii="Book Antiqua" w:hAnsi="Book Antiqua"/>
                <w:sz w:val="24"/>
                <w:szCs w:val="24"/>
              </w:rPr>
              <w:t>(1.7)</w:t>
            </w:r>
          </w:p>
        </w:tc>
        <w:tc>
          <w:tcPr>
            <w:tcW w:w="472" w:type="pct"/>
          </w:tcPr>
          <w:p w14:paraId="32BB8650" w14:textId="0C9F740C"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0.48</w:t>
            </w:r>
          </w:p>
        </w:tc>
      </w:tr>
      <w:tr w:rsidR="00D53981" w:rsidRPr="00FD080D" w14:paraId="5FF2D436" w14:textId="77777777" w:rsidTr="007B0C7E">
        <w:trPr>
          <w:trHeight w:val="466"/>
        </w:trPr>
        <w:tc>
          <w:tcPr>
            <w:tcW w:w="2146" w:type="pct"/>
          </w:tcPr>
          <w:p w14:paraId="64937E8B" w14:textId="2DE667D1" w:rsidR="00D53981" w:rsidRPr="007B0C7E" w:rsidRDefault="005A2593" w:rsidP="007B0C7E">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1B01CA" w:rsidRPr="007B0C7E">
              <w:rPr>
                <w:rFonts w:ascii="Book Antiqua" w:hAnsi="Book Antiqua"/>
                <w:sz w:val="24"/>
                <w:szCs w:val="24"/>
              </w:rPr>
              <w:t xml:space="preserve">Perianal </w:t>
            </w:r>
          </w:p>
        </w:tc>
        <w:tc>
          <w:tcPr>
            <w:tcW w:w="863" w:type="pct"/>
          </w:tcPr>
          <w:p w14:paraId="096A92FC" w14:textId="403CC1B9"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3</w:t>
            </w:r>
            <w:r w:rsidR="007B0C7E">
              <w:rPr>
                <w:rFonts w:ascii="Book Antiqua" w:hAnsi="Book Antiqua"/>
                <w:sz w:val="24"/>
                <w:szCs w:val="24"/>
              </w:rPr>
              <w:t xml:space="preserve"> </w:t>
            </w:r>
            <w:r w:rsidRPr="00FD080D">
              <w:rPr>
                <w:rFonts w:ascii="Book Antiqua" w:hAnsi="Book Antiqua"/>
                <w:sz w:val="24"/>
                <w:szCs w:val="24"/>
              </w:rPr>
              <w:t>(10.3)</w:t>
            </w:r>
          </w:p>
        </w:tc>
        <w:tc>
          <w:tcPr>
            <w:tcW w:w="1519" w:type="pct"/>
          </w:tcPr>
          <w:p w14:paraId="58958405" w14:textId="75E0BA75"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12</w:t>
            </w:r>
            <w:r w:rsidR="007B0C7E">
              <w:rPr>
                <w:rFonts w:ascii="Book Antiqua" w:hAnsi="Book Antiqua"/>
                <w:sz w:val="24"/>
                <w:szCs w:val="24"/>
              </w:rPr>
              <w:t xml:space="preserve"> </w:t>
            </w:r>
            <w:r w:rsidRPr="00FD080D">
              <w:rPr>
                <w:rFonts w:ascii="Book Antiqua" w:hAnsi="Book Antiqua"/>
                <w:sz w:val="24"/>
                <w:szCs w:val="24"/>
              </w:rPr>
              <w:t>(20.7)</w:t>
            </w:r>
          </w:p>
        </w:tc>
        <w:tc>
          <w:tcPr>
            <w:tcW w:w="472" w:type="pct"/>
          </w:tcPr>
          <w:p w14:paraId="7AF68FAD" w14:textId="5C33ABB4"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0.23</w:t>
            </w:r>
          </w:p>
        </w:tc>
      </w:tr>
    </w:tbl>
    <w:p w14:paraId="01C3F8E8" w14:textId="2B5BB086" w:rsidR="00D53981" w:rsidRPr="00FD080D" w:rsidRDefault="007B0C7E" w:rsidP="00FD080D">
      <w:pPr>
        <w:adjustRightInd w:val="0"/>
        <w:snapToGrid w:val="0"/>
        <w:spacing w:after="0" w:line="360" w:lineRule="auto"/>
        <w:jc w:val="both"/>
        <w:rPr>
          <w:rFonts w:ascii="Book Antiqua" w:hAnsi="Book Antiqua"/>
          <w:sz w:val="24"/>
          <w:szCs w:val="24"/>
        </w:rPr>
      </w:pPr>
      <w:bookmarkStart w:id="147" w:name="OLE_LINK75"/>
      <w:bookmarkStart w:id="148" w:name="OLE_LINK76"/>
      <w:r>
        <w:rPr>
          <w:rFonts w:ascii="Book Antiqua" w:hAnsi="Book Antiqua" w:hint="eastAsia"/>
          <w:sz w:val="24"/>
          <w:szCs w:val="24"/>
        </w:rPr>
        <w:t>G</w:t>
      </w:r>
      <w:r>
        <w:rPr>
          <w:rFonts w:ascii="Book Antiqua" w:hAnsi="Book Antiqua"/>
          <w:sz w:val="24"/>
          <w:szCs w:val="24"/>
        </w:rPr>
        <w:t>I: Gastrointestinal.</w:t>
      </w:r>
    </w:p>
    <w:bookmarkEnd w:id="147"/>
    <w:bookmarkEnd w:id="148"/>
    <w:p w14:paraId="3DEC46A8" w14:textId="778FBDD9" w:rsidR="007B0C7E" w:rsidRDefault="007B0C7E">
      <w:pPr>
        <w:rPr>
          <w:rFonts w:ascii="Book Antiqua" w:eastAsia="Times New Roman" w:hAnsi="Book Antiqua" w:cs="Times New Roman"/>
          <w:sz w:val="24"/>
          <w:szCs w:val="24"/>
        </w:rPr>
      </w:pPr>
      <w:r>
        <w:rPr>
          <w:rFonts w:ascii="Book Antiqua" w:eastAsia="Times New Roman" w:hAnsi="Book Antiqua" w:cs="Times New Roman"/>
          <w:sz w:val="24"/>
          <w:szCs w:val="24"/>
        </w:rPr>
        <w:br w:type="page"/>
      </w:r>
    </w:p>
    <w:p w14:paraId="2C5F7073" w14:textId="4D312E31" w:rsidR="00D53981" w:rsidRPr="007B0C7E" w:rsidRDefault="007B0C7E" w:rsidP="00FD080D">
      <w:pPr>
        <w:adjustRightInd w:val="0"/>
        <w:snapToGrid w:val="0"/>
        <w:spacing w:after="0" w:line="360" w:lineRule="auto"/>
        <w:jc w:val="both"/>
        <w:rPr>
          <w:rFonts w:ascii="Book Antiqua" w:eastAsia="Times New Roman" w:hAnsi="Book Antiqua" w:cs="Times New Roman"/>
          <w:sz w:val="24"/>
          <w:szCs w:val="24"/>
        </w:rPr>
      </w:pPr>
      <w:r w:rsidRPr="00FD080D">
        <w:rPr>
          <w:rFonts w:ascii="Book Antiqua" w:hAnsi="Book Antiqua"/>
          <w:b/>
          <w:sz w:val="24"/>
          <w:szCs w:val="24"/>
        </w:rPr>
        <w:lastRenderedPageBreak/>
        <w:t>Table 2 Outcome of mild disease patients after the first 2 years of study entry</w:t>
      </w:r>
    </w:p>
    <w:tbl>
      <w:tblPr>
        <w:tblStyle w:val="TableGrid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6"/>
        <w:gridCol w:w="2734"/>
      </w:tblGrid>
      <w:tr w:rsidR="00D53981" w:rsidRPr="00FD080D" w14:paraId="6A8F7FF9" w14:textId="77777777" w:rsidTr="007B0C7E">
        <w:trPr>
          <w:trHeight w:val="496"/>
        </w:trPr>
        <w:tc>
          <w:tcPr>
            <w:tcW w:w="3418" w:type="pct"/>
            <w:tcBorders>
              <w:top w:val="single" w:sz="4" w:space="0" w:color="auto"/>
              <w:bottom w:val="single" w:sz="4" w:space="0" w:color="auto"/>
            </w:tcBorders>
          </w:tcPr>
          <w:p w14:paraId="4C8F3FFE" w14:textId="70CB4F54" w:rsidR="00D53981" w:rsidRPr="00FD080D" w:rsidRDefault="00D53981" w:rsidP="00FD080D">
            <w:pPr>
              <w:adjustRightInd w:val="0"/>
              <w:snapToGrid w:val="0"/>
              <w:spacing w:line="360" w:lineRule="auto"/>
              <w:jc w:val="both"/>
              <w:rPr>
                <w:rFonts w:ascii="Book Antiqua" w:hAnsi="Book Antiqua"/>
                <w:sz w:val="24"/>
                <w:szCs w:val="24"/>
              </w:rPr>
            </w:pPr>
          </w:p>
        </w:tc>
        <w:tc>
          <w:tcPr>
            <w:tcW w:w="1582" w:type="pct"/>
            <w:tcBorders>
              <w:top w:val="single" w:sz="4" w:space="0" w:color="auto"/>
              <w:bottom w:val="single" w:sz="4" w:space="0" w:color="auto"/>
            </w:tcBorders>
          </w:tcPr>
          <w:p w14:paraId="2E96CEFD" w14:textId="3D41A7AC" w:rsidR="00D53981" w:rsidRPr="007B0C7E" w:rsidRDefault="007B0C7E" w:rsidP="007B0C7E">
            <w:pPr>
              <w:adjustRightInd w:val="0"/>
              <w:snapToGrid w:val="0"/>
              <w:spacing w:line="360" w:lineRule="auto"/>
              <w:jc w:val="center"/>
              <w:rPr>
                <w:rFonts w:ascii="Book Antiqua" w:hAnsi="Book Antiqua"/>
                <w:b/>
                <w:bCs/>
                <w:sz w:val="24"/>
                <w:szCs w:val="24"/>
              </w:rPr>
            </w:pPr>
            <w:r w:rsidRPr="007B0C7E">
              <w:rPr>
                <w:rFonts w:ascii="Book Antiqua" w:hAnsi="Book Antiqua" w:hint="eastAsia"/>
                <w:b/>
                <w:bCs/>
                <w:i/>
                <w:iCs/>
                <w:sz w:val="24"/>
                <w:szCs w:val="24"/>
              </w:rPr>
              <w:t>n</w:t>
            </w:r>
            <w:r w:rsidRPr="007B0C7E">
              <w:rPr>
                <w:rFonts w:ascii="Book Antiqua" w:hAnsi="Book Antiqua"/>
                <w:b/>
                <w:bCs/>
                <w:sz w:val="24"/>
                <w:szCs w:val="24"/>
              </w:rPr>
              <w:t xml:space="preserve"> (%)</w:t>
            </w:r>
          </w:p>
        </w:tc>
      </w:tr>
      <w:tr w:rsidR="00D53981" w:rsidRPr="00FD080D" w14:paraId="65CD7699" w14:textId="77777777" w:rsidTr="00DF269B">
        <w:trPr>
          <w:trHeight w:val="344"/>
        </w:trPr>
        <w:tc>
          <w:tcPr>
            <w:tcW w:w="3418" w:type="pct"/>
            <w:tcBorders>
              <w:top w:val="single" w:sz="4" w:space="0" w:color="auto"/>
            </w:tcBorders>
          </w:tcPr>
          <w:p w14:paraId="1E2D58EA" w14:textId="70DF0222" w:rsidR="00D53981" w:rsidRPr="00FD080D" w:rsidRDefault="005A2593" w:rsidP="00FD080D">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7B0C7E" w:rsidRPr="00FD080D">
              <w:rPr>
                <w:rFonts w:ascii="Book Antiqua" w:hAnsi="Book Antiqua"/>
                <w:sz w:val="24"/>
                <w:szCs w:val="24"/>
              </w:rPr>
              <w:t xml:space="preserve">Starting immunomodulator </w:t>
            </w:r>
          </w:p>
        </w:tc>
        <w:tc>
          <w:tcPr>
            <w:tcW w:w="1582" w:type="pct"/>
            <w:tcBorders>
              <w:top w:val="single" w:sz="4" w:space="0" w:color="auto"/>
            </w:tcBorders>
          </w:tcPr>
          <w:p w14:paraId="4CB8BA3C" w14:textId="4249699F"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8</w:t>
            </w:r>
            <w:r w:rsidR="007B0C7E">
              <w:rPr>
                <w:rFonts w:ascii="Book Antiqua" w:hAnsi="Book Antiqua"/>
                <w:sz w:val="24"/>
                <w:szCs w:val="24"/>
              </w:rPr>
              <w:t xml:space="preserve"> </w:t>
            </w:r>
            <w:r w:rsidRPr="00FD080D">
              <w:rPr>
                <w:rFonts w:ascii="Book Antiqua" w:hAnsi="Book Antiqua"/>
                <w:sz w:val="24"/>
                <w:szCs w:val="24"/>
              </w:rPr>
              <w:t>(27.6)</w:t>
            </w:r>
          </w:p>
        </w:tc>
      </w:tr>
      <w:tr w:rsidR="00D53981" w:rsidRPr="00FD080D" w14:paraId="3DA2D6DD" w14:textId="77777777" w:rsidTr="00DF269B">
        <w:trPr>
          <w:trHeight w:val="318"/>
        </w:trPr>
        <w:tc>
          <w:tcPr>
            <w:tcW w:w="3418" w:type="pct"/>
          </w:tcPr>
          <w:p w14:paraId="164BAD84" w14:textId="61252B59" w:rsidR="00D53981" w:rsidRPr="00FD080D" w:rsidRDefault="005A2593" w:rsidP="00FD080D">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7B0C7E" w:rsidRPr="00FD080D">
              <w:rPr>
                <w:rFonts w:ascii="Book Antiqua" w:hAnsi="Book Antiqua"/>
                <w:sz w:val="24"/>
                <w:szCs w:val="24"/>
              </w:rPr>
              <w:t xml:space="preserve">Starting biologic </w:t>
            </w:r>
          </w:p>
        </w:tc>
        <w:tc>
          <w:tcPr>
            <w:tcW w:w="1582" w:type="pct"/>
          </w:tcPr>
          <w:p w14:paraId="704C63F0" w14:textId="1565CDF6"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w:t>
            </w:r>
          </w:p>
        </w:tc>
      </w:tr>
      <w:tr w:rsidR="00D53981" w:rsidRPr="00FD080D" w14:paraId="63B20DC6" w14:textId="77777777" w:rsidTr="00DF269B">
        <w:trPr>
          <w:trHeight w:val="139"/>
        </w:trPr>
        <w:tc>
          <w:tcPr>
            <w:tcW w:w="3418" w:type="pct"/>
          </w:tcPr>
          <w:p w14:paraId="2B19ACAF" w14:textId="276A45B2" w:rsidR="00D53981" w:rsidRPr="00FD080D" w:rsidRDefault="005A2593" w:rsidP="00FD080D">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7B0C7E" w:rsidRPr="00FD080D">
              <w:rPr>
                <w:rFonts w:ascii="Book Antiqua" w:hAnsi="Book Antiqua"/>
                <w:sz w:val="24"/>
                <w:szCs w:val="24"/>
              </w:rPr>
              <w:t xml:space="preserve">Starting immunomodulator and biologic </w:t>
            </w:r>
          </w:p>
        </w:tc>
        <w:tc>
          <w:tcPr>
            <w:tcW w:w="1582" w:type="pct"/>
          </w:tcPr>
          <w:p w14:paraId="13028B98" w14:textId="7D9B0319"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w:t>
            </w:r>
          </w:p>
        </w:tc>
      </w:tr>
      <w:tr w:rsidR="00D53981" w:rsidRPr="00FD080D" w14:paraId="6D54226A" w14:textId="77777777" w:rsidTr="00DF269B">
        <w:trPr>
          <w:trHeight w:val="131"/>
        </w:trPr>
        <w:tc>
          <w:tcPr>
            <w:tcW w:w="3418" w:type="pct"/>
          </w:tcPr>
          <w:p w14:paraId="40C750AD" w14:textId="34ECCDA3" w:rsidR="00D53981" w:rsidRPr="00FD080D" w:rsidRDefault="005A2593" w:rsidP="00FD080D">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7B0C7E" w:rsidRPr="00FD080D">
              <w:rPr>
                <w:rFonts w:ascii="Book Antiqua" w:hAnsi="Book Antiqua"/>
                <w:sz w:val="24"/>
                <w:szCs w:val="24"/>
              </w:rPr>
              <w:t xml:space="preserve">Surgery </w:t>
            </w:r>
          </w:p>
        </w:tc>
        <w:tc>
          <w:tcPr>
            <w:tcW w:w="1582" w:type="pct"/>
          </w:tcPr>
          <w:p w14:paraId="396EDE55" w14:textId="3ED2C0C8"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w:t>
            </w:r>
          </w:p>
        </w:tc>
      </w:tr>
      <w:tr w:rsidR="00D53981" w:rsidRPr="00FD080D" w14:paraId="6E4B13E4" w14:textId="77777777" w:rsidTr="00DF269B">
        <w:trPr>
          <w:trHeight w:val="109"/>
        </w:trPr>
        <w:tc>
          <w:tcPr>
            <w:tcW w:w="3418" w:type="pct"/>
          </w:tcPr>
          <w:p w14:paraId="4FB93DE9" w14:textId="523923FA" w:rsidR="00D53981" w:rsidRPr="00FD080D" w:rsidRDefault="005A2593" w:rsidP="00FD080D">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r w:rsidR="007B0C7E" w:rsidRPr="00FD080D">
              <w:rPr>
                <w:rFonts w:ascii="Book Antiqua" w:hAnsi="Book Antiqua"/>
                <w:sz w:val="24"/>
                <w:szCs w:val="24"/>
              </w:rPr>
              <w:t xml:space="preserve">Continued on minimal therapy </w:t>
            </w:r>
          </w:p>
        </w:tc>
        <w:tc>
          <w:tcPr>
            <w:tcW w:w="1582" w:type="pct"/>
          </w:tcPr>
          <w:p w14:paraId="1088E1CC" w14:textId="363A854F" w:rsidR="00D53981" w:rsidRPr="00FD080D" w:rsidRDefault="001B01CA" w:rsidP="007B0C7E">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21</w:t>
            </w:r>
            <w:r w:rsidR="007B0C7E">
              <w:rPr>
                <w:rFonts w:ascii="Book Antiqua" w:hAnsi="Book Antiqua"/>
                <w:sz w:val="24"/>
                <w:szCs w:val="24"/>
              </w:rPr>
              <w:t xml:space="preserve"> </w:t>
            </w:r>
            <w:r w:rsidRPr="00FD080D">
              <w:rPr>
                <w:rFonts w:ascii="Book Antiqua" w:hAnsi="Book Antiqua"/>
                <w:sz w:val="24"/>
                <w:szCs w:val="24"/>
              </w:rPr>
              <w:t>(72.4)</w:t>
            </w:r>
          </w:p>
        </w:tc>
      </w:tr>
    </w:tbl>
    <w:p w14:paraId="5147084A" w14:textId="42E858FC" w:rsidR="00D53981" w:rsidRPr="00FD080D" w:rsidRDefault="00D53981" w:rsidP="00FD080D">
      <w:pPr>
        <w:adjustRightInd w:val="0"/>
        <w:snapToGrid w:val="0"/>
        <w:spacing w:after="0" w:line="360" w:lineRule="auto"/>
        <w:jc w:val="both"/>
        <w:rPr>
          <w:rFonts w:ascii="Book Antiqua" w:hAnsi="Book Antiqua"/>
          <w:sz w:val="24"/>
          <w:szCs w:val="24"/>
        </w:rPr>
      </w:pPr>
    </w:p>
    <w:p w14:paraId="2D15DF78" w14:textId="02903D15" w:rsidR="00D53981" w:rsidRDefault="001B01CA" w:rsidP="00FD080D">
      <w:pPr>
        <w:adjustRightInd w:val="0"/>
        <w:snapToGrid w:val="0"/>
        <w:spacing w:after="0" w:line="360" w:lineRule="auto"/>
        <w:jc w:val="both"/>
        <w:rPr>
          <w:rFonts w:ascii="Book Antiqua" w:hAnsi="Book Antiqua"/>
          <w:sz w:val="24"/>
          <w:szCs w:val="24"/>
        </w:rPr>
      </w:pPr>
      <w:r w:rsidRPr="00FD080D">
        <w:rPr>
          <w:rFonts w:ascii="Book Antiqua" w:eastAsia="Times New Roman" w:hAnsi="Book Antiqua" w:cs="Times New Roman"/>
          <w:sz w:val="24"/>
          <w:szCs w:val="24"/>
        </w:rPr>
        <w:t xml:space="preserve"> </w:t>
      </w:r>
      <w:r w:rsidRPr="00FD080D">
        <w:rPr>
          <w:rFonts w:ascii="Book Antiqua" w:eastAsia="Times New Roman" w:hAnsi="Book Antiqua" w:cs="Times New Roman"/>
          <w:sz w:val="24"/>
          <w:szCs w:val="24"/>
        </w:rPr>
        <w:tab/>
        <w:t xml:space="preserve"> </w:t>
      </w:r>
      <w:r w:rsidRPr="00FD080D">
        <w:rPr>
          <w:rFonts w:ascii="Book Antiqua" w:hAnsi="Book Antiqua"/>
          <w:sz w:val="24"/>
          <w:szCs w:val="24"/>
        </w:rPr>
        <w:br w:type="page"/>
      </w:r>
    </w:p>
    <w:p w14:paraId="72841150" w14:textId="3685940F" w:rsidR="00A55823" w:rsidRPr="00FD080D" w:rsidRDefault="00A55823" w:rsidP="00FD080D">
      <w:pPr>
        <w:adjustRightInd w:val="0"/>
        <w:snapToGrid w:val="0"/>
        <w:spacing w:after="0" w:line="360" w:lineRule="auto"/>
        <w:jc w:val="both"/>
        <w:rPr>
          <w:rFonts w:ascii="Book Antiqua" w:hAnsi="Book Antiqua"/>
          <w:sz w:val="24"/>
          <w:szCs w:val="24"/>
        </w:rPr>
      </w:pPr>
      <w:r w:rsidRPr="00FD080D">
        <w:rPr>
          <w:rFonts w:ascii="Book Antiqua" w:hAnsi="Book Antiqua"/>
          <w:b/>
          <w:sz w:val="24"/>
          <w:szCs w:val="24"/>
        </w:rPr>
        <w:lastRenderedPageBreak/>
        <w:t>Table 3 Predictors of escalation to immunomodulators among mild Crohn</w:t>
      </w:r>
      <w:r>
        <w:rPr>
          <w:rFonts w:ascii="Book Antiqua" w:hAnsi="Book Antiqua"/>
          <w:b/>
          <w:sz w:val="24"/>
          <w:szCs w:val="24"/>
        </w:rPr>
        <w:t>’</w:t>
      </w:r>
      <w:r w:rsidRPr="00FD080D">
        <w:rPr>
          <w:rFonts w:ascii="Book Antiqua" w:hAnsi="Book Antiqua"/>
          <w:b/>
          <w:sz w:val="24"/>
          <w:szCs w:val="24"/>
        </w:rPr>
        <w:t>s patients</w:t>
      </w:r>
    </w:p>
    <w:tbl>
      <w:tblPr>
        <w:tblStyle w:val="TableGrid0"/>
        <w:tblW w:w="9783"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4"/>
        <w:gridCol w:w="3573"/>
        <w:gridCol w:w="816"/>
      </w:tblGrid>
      <w:tr w:rsidR="00D07796" w:rsidRPr="00FD080D" w14:paraId="14DFA151" w14:textId="77777777" w:rsidTr="00E81A16">
        <w:trPr>
          <w:trHeight w:val="485"/>
        </w:trPr>
        <w:tc>
          <w:tcPr>
            <w:tcW w:w="5394" w:type="dxa"/>
            <w:vMerge w:val="restart"/>
            <w:tcBorders>
              <w:top w:val="single" w:sz="4" w:space="0" w:color="auto"/>
            </w:tcBorders>
          </w:tcPr>
          <w:p w14:paraId="6074B998" w14:textId="406D6C0B" w:rsidR="00D07796" w:rsidRPr="00FD080D" w:rsidRDefault="00D07796" w:rsidP="00FD080D">
            <w:pPr>
              <w:adjustRightInd w:val="0"/>
              <w:snapToGrid w:val="0"/>
              <w:spacing w:line="360" w:lineRule="auto"/>
              <w:jc w:val="both"/>
              <w:rPr>
                <w:rFonts w:ascii="Book Antiqua" w:hAnsi="Book Antiqua"/>
                <w:sz w:val="24"/>
                <w:szCs w:val="24"/>
              </w:rPr>
            </w:pPr>
            <w:r>
              <w:rPr>
                <w:rFonts w:ascii="Book Antiqua" w:hAnsi="Book Antiqua"/>
                <w:sz w:val="24"/>
                <w:szCs w:val="24"/>
              </w:rPr>
              <w:t xml:space="preserve"> </w:t>
            </w:r>
          </w:p>
        </w:tc>
        <w:tc>
          <w:tcPr>
            <w:tcW w:w="3573" w:type="dxa"/>
            <w:tcBorders>
              <w:top w:val="single" w:sz="4" w:space="0" w:color="auto"/>
              <w:bottom w:val="nil"/>
            </w:tcBorders>
          </w:tcPr>
          <w:p w14:paraId="7900E3FE" w14:textId="428E3E63" w:rsidR="00D07796" w:rsidRPr="00A55823" w:rsidRDefault="00D07796" w:rsidP="00A55823">
            <w:pPr>
              <w:adjustRightInd w:val="0"/>
              <w:snapToGrid w:val="0"/>
              <w:spacing w:line="360" w:lineRule="auto"/>
              <w:jc w:val="center"/>
              <w:rPr>
                <w:rFonts w:ascii="Book Antiqua" w:hAnsi="Book Antiqua"/>
                <w:b/>
                <w:bCs/>
                <w:sz w:val="24"/>
                <w:szCs w:val="24"/>
              </w:rPr>
            </w:pPr>
            <w:r w:rsidRPr="00A55823">
              <w:rPr>
                <w:rFonts w:ascii="Book Antiqua" w:hAnsi="Book Antiqua"/>
                <w:b/>
                <w:bCs/>
                <w:sz w:val="24"/>
                <w:szCs w:val="24"/>
              </w:rPr>
              <w:t>Univariate</w:t>
            </w:r>
          </w:p>
        </w:tc>
        <w:tc>
          <w:tcPr>
            <w:tcW w:w="816" w:type="dxa"/>
            <w:vMerge w:val="restart"/>
            <w:tcBorders>
              <w:top w:val="single" w:sz="4" w:space="0" w:color="auto"/>
            </w:tcBorders>
          </w:tcPr>
          <w:p w14:paraId="32377711" w14:textId="45D7BF04" w:rsidR="00D07796" w:rsidRPr="00A55823" w:rsidRDefault="00D07796" w:rsidP="00A55823">
            <w:pPr>
              <w:adjustRightInd w:val="0"/>
              <w:snapToGrid w:val="0"/>
              <w:spacing w:line="360" w:lineRule="auto"/>
              <w:jc w:val="center"/>
              <w:rPr>
                <w:rFonts w:ascii="Book Antiqua" w:hAnsi="Book Antiqua"/>
                <w:b/>
                <w:bCs/>
                <w:sz w:val="24"/>
                <w:szCs w:val="24"/>
              </w:rPr>
            </w:pPr>
            <w:r w:rsidRPr="00A55823">
              <w:rPr>
                <w:rFonts w:ascii="Book Antiqua" w:hAnsi="Book Antiqua"/>
                <w:b/>
                <w:bCs/>
                <w:i/>
                <w:iCs/>
                <w:sz w:val="24"/>
                <w:szCs w:val="24"/>
              </w:rPr>
              <w:t>P</w:t>
            </w:r>
            <w:r w:rsidRPr="00A55823">
              <w:rPr>
                <w:rFonts w:ascii="Book Antiqua" w:hAnsi="Book Antiqua"/>
                <w:b/>
                <w:bCs/>
                <w:sz w:val="24"/>
                <w:szCs w:val="24"/>
              </w:rPr>
              <w:t xml:space="preserve"> value</w:t>
            </w:r>
          </w:p>
        </w:tc>
      </w:tr>
      <w:tr w:rsidR="00D07796" w:rsidRPr="00FD080D" w14:paraId="41B2BC71" w14:textId="77777777" w:rsidTr="00E81A16">
        <w:trPr>
          <w:trHeight w:val="485"/>
        </w:trPr>
        <w:tc>
          <w:tcPr>
            <w:tcW w:w="5394" w:type="dxa"/>
            <w:vMerge/>
            <w:tcBorders>
              <w:bottom w:val="single" w:sz="4" w:space="0" w:color="auto"/>
            </w:tcBorders>
          </w:tcPr>
          <w:p w14:paraId="623C679B" w14:textId="7FA0A9ED" w:rsidR="00D07796" w:rsidRPr="00FD080D" w:rsidRDefault="00D07796" w:rsidP="00FD080D">
            <w:pPr>
              <w:adjustRightInd w:val="0"/>
              <w:snapToGrid w:val="0"/>
              <w:spacing w:line="360" w:lineRule="auto"/>
              <w:jc w:val="both"/>
              <w:rPr>
                <w:rFonts w:ascii="Book Antiqua" w:hAnsi="Book Antiqua"/>
                <w:sz w:val="24"/>
                <w:szCs w:val="24"/>
              </w:rPr>
            </w:pPr>
          </w:p>
        </w:tc>
        <w:tc>
          <w:tcPr>
            <w:tcW w:w="3573" w:type="dxa"/>
            <w:tcBorders>
              <w:top w:val="nil"/>
              <w:bottom w:val="single" w:sz="4" w:space="0" w:color="auto"/>
            </w:tcBorders>
          </w:tcPr>
          <w:p w14:paraId="425F9494" w14:textId="1EF7F4B5" w:rsidR="00D07796" w:rsidRPr="00A55823" w:rsidRDefault="00D07796" w:rsidP="00A55823">
            <w:pPr>
              <w:adjustRightInd w:val="0"/>
              <w:snapToGrid w:val="0"/>
              <w:spacing w:line="360" w:lineRule="auto"/>
              <w:jc w:val="center"/>
              <w:rPr>
                <w:rFonts w:ascii="Book Antiqua" w:hAnsi="Book Antiqua"/>
                <w:b/>
                <w:bCs/>
                <w:sz w:val="24"/>
                <w:szCs w:val="24"/>
              </w:rPr>
            </w:pPr>
            <w:r w:rsidRPr="00A55823">
              <w:rPr>
                <w:rFonts w:ascii="Book Antiqua" w:hAnsi="Book Antiqua"/>
                <w:b/>
                <w:bCs/>
                <w:sz w:val="24"/>
                <w:szCs w:val="24"/>
              </w:rPr>
              <w:t>Hazard ratio (95%</w:t>
            </w:r>
            <w:r>
              <w:rPr>
                <w:rFonts w:ascii="Book Antiqua" w:hAnsi="Book Antiqua"/>
                <w:b/>
                <w:bCs/>
                <w:sz w:val="24"/>
                <w:szCs w:val="24"/>
              </w:rPr>
              <w:t>CI</w:t>
            </w:r>
            <w:r w:rsidRPr="00A55823">
              <w:rPr>
                <w:rFonts w:ascii="Book Antiqua" w:hAnsi="Book Antiqua"/>
                <w:b/>
                <w:bCs/>
                <w:sz w:val="24"/>
                <w:szCs w:val="24"/>
              </w:rPr>
              <w:t>)</w:t>
            </w:r>
          </w:p>
        </w:tc>
        <w:tc>
          <w:tcPr>
            <w:tcW w:w="816" w:type="dxa"/>
            <w:vMerge/>
            <w:tcBorders>
              <w:bottom w:val="single" w:sz="4" w:space="0" w:color="auto"/>
            </w:tcBorders>
          </w:tcPr>
          <w:p w14:paraId="67D3C17D" w14:textId="144568F2" w:rsidR="00D07796" w:rsidRPr="00A55823" w:rsidRDefault="00D07796" w:rsidP="00A55823">
            <w:pPr>
              <w:adjustRightInd w:val="0"/>
              <w:snapToGrid w:val="0"/>
              <w:spacing w:line="360" w:lineRule="auto"/>
              <w:jc w:val="center"/>
              <w:rPr>
                <w:rFonts w:ascii="Book Antiqua" w:hAnsi="Book Antiqua"/>
                <w:b/>
                <w:bCs/>
                <w:sz w:val="24"/>
                <w:szCs w:val="24"/>
              </w:rPr>
            </w:pPr>
          </w:p>
        </w:tc>
      </w:tr>
      <w:tr w:rsidR="00D53981" w:rsidRPr="00FD080D" w14:paraId="16620AA3" w14:textId="77777777" w:rsidTr="00E81A16">
        <w:trPr>
          <w:trHeight w:val="485"/>
        </w:trPr>
        <w:tc>
          <w:tcPr>
            <w:tcW w:w="5394" w:type="dxa"/>
            <w:tcBorders>
              <w:top w:val="single" w:sz="4" w:space="0" w:color="auto"/>
            </w:tcBorders>
          </w:tcPr>
          <w:p w14:paraId="00F40156" w14:textId="77777777"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Age at diagnosis </w:t>
            </w:r>
          </w:p>
        </w:tc>
        <w:tc>
          <w:tcPr>
            <w:tcW w:w="3573" w:type="dxa"/>
            <w:tcBorders>
              <w:top w:val="single" w:sz="4" w:space="0" w:color="auto"/>
            </w:tcBorders>
          </w:tcPr>
          <w:p w14:paraId="2BE40241" w14:textId="5D74A2B6"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1.24</w:t>
            </w:r>
            <w:r w:rsidR="00A55823">
              <w:rPr>
                <w:rFonts w:ascii="Book Antiqua" w:hAnsi="Book Antiqua"/>
                <w:sz w:val="24"/>
                <w:szCs w:val="24"/>
              </w:rPr>
              <w:t xml:space="preserve"> </w:t>
            </w:r>
            <w:r w:rsidRPr="00FD080D">
              <w:rPr>
                <w:rFonts w:ascii="Book Antiqua" w:hAnsi="Book Antiqua"/>
                <w:sz w:val="24"/>
                <w:szCs w:val="24"/>
              </w:rPr>
              <w:t>(0.97-1.59)</w:t>
            </w:r>
          </w:p>
        </w:tc>
        <w:tc>
          <w:tcPr>
            <w:tcW w:w="816" w:type="dxa"/>
            <w:tcBorders>
              <w:top w:val="single" w:sz="4" w:space="0" w:color="auto"/>
            </w:tcBorders>
          </w:tcPr>
          <w:p w14:paraId="6537526D" w14:textId="728BE12D"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0.09</w:t>
            </w:r>
          </w:p>
        </w:tc>
      </w:tr>
      <w:tr w:rsidR="00D53981" w:rsidRPr="00FD080D" w14:paraId="6A843E6B" w14:textId="77777777" w:rsidTr="00E81A16">
        <w:trPr>
          <w:trHeight w:val="485"/>
        </w:trPr>
        <w:tc>
          <w:tcPr>
            <w:tcW w:w="5394" w:type="dxa"/>
          </w:tcPr>
          <w:p w14:paraId="4A3EC1B7" w14:textId="76DDCA32"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Gender (</w:t>
            </w:r>
            <w:r w:rsidR="00A55823" w:rsidRPr="00FD080D">
              <w:rPr>
                <w:rFonts w:ascii="Book Antiqua" w:hAnsi="Book Antiqua"/>
                <w:sz w:val="24"/>
                <w:szCs w:val="24"/>
              </w:rPr>
              <w:t xml:space="preserve">female </w:t>
            </w:r>
            <w:r w:rsidR="00A55823" w:rsidRPr="00A55823">
              <w:rPr>
                <w:rFonts w:ascii="Book Antiqua" w:hAnsi="Book Antiqua"/>
                <w:i/>
                <w:iCs/>
                <w:sz w:val="24"/>
                <w:szCs w:val="24"/>
              </w:rPr>
              <w:t>vs</w:t>
            </w:r>
            <w:r w:rsidR="00A55823" w:rsidRPr="00FD080D">
              <w:rPr>
                <w:rFonts w:ascii="Book Antiqua" w:hAnsi="Book Antiqua"/>
                <w:sz w:val="24"/>
                <w:szCs w:val="24"/>
              </w:rPr>
              <w:t xml:space="preserve"> male) </w:t>
            </w:r>
          </w:p>
        </w:tc>
        <w:tc>
          <w:tcPr>
            <w:tcW w:w="3573" w:type="dxa"/>
          </w:tcPr>
          <w:p w14:paraId="649A73A7" w14:textId="5E930917"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0.67</w:t>
            </w:r>
            <w:r w:rsidR="00A55823">
              <w:rPr>
                <w:rFonts w:ascii="Book Antiqua" w:hAnsi="Book Antiqua"/>
                <w:sz w:val="24"/>
                <w:szCs w:val="24"/>
              </w:rPr>
              <w:t xml:space="preserve"> </w:t>
            </w:r>
            <w:r w:rsidRPr="00FD080D">
              <w:rPr>
                <w:rFonts w:ascii="Book Antiqua" w:hAnsi="Book Antiqua"/>
                <w:sz w:val="24"/>
                <w:szCs w:val="24"/>
              </w:rPr>
              <w:t>(0.15-3.00)</w:t>
            </w:r>
          </w:p>
        </w:tc>
        <w:tc>
          <w:tcPr>
            <w:tcW w:w="816" w:type="dxa"/>
          </w:tcPr>
          <w:p w14:paraId="1453B645" w14:textId="6F455213"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0.60</w:t>
            </w:r>
          </w:p>
        </w:tc>
      </w:tr>
      <w:tr w:rsidR="00D53981" w:rsidRPr="00FD080D" w14:paraId="30E1DCCC" w14:textId="77777777" w:rsidTr="00BF3C11">
        <w:trPr>
          <w:trHeight w:val="153"/>
        </w:trPr>
        <w:tc>
          <w:tcPr>
            <w:tcW w:w="5394" w:type="dxa"/>
          </w:tcPr>
          <w:p w14:paraId="6E5B8867" w14:textId="77777777"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Paris location at diagnosis </w:t>
            </w:r>
          </w:p>
        </w:tc>
        <w:tc>
          <w:tcPr>
            <w:tcW w:w="3573" w:type="dxa"/>
          </w:tcPr>
          <w:p w14:paraId="488CC916" w14:textId="516AA833" w:rsidR="00D53981" w:rsidRPr="00FD080D" w:rsidRDefault="00D53981" w:rsidP="00A55823">
            <w:pPr>
              <w:adjustRightInd w:val="0"/>
              <w:snapToGrid w:val="0"/>
              <w:spacing w:line="360" w:lineRule="auto"/>
              <w:jc w:val="center"/>
              <w:rPr>
                <w:rFonts w:ascii="Book Antiqua" w:hAnsi="Book Antiqua"/>
                <w:sz w:val="24"/>
                <w:szCs w:val="24"/>
              </w:rPr>
            </w:pPr>
          </w:p>
        </w:tc>
        <w:tc>
          <w:tcPr>
            <w:tcW w:w="816" w:type="dxa"/>
          </w:tcPr>
          <w:p w14:paraId="5C0B1999" w14:textId="03C38BC4" w:rsidR="00D53981" w:rsidRPr="00FD080D" w:rsidRDefault="00D53981" w:rsidP="00A55823">
            <w:pPr>
              <w:adjustRightInd w:val="0"/>
              <w:snapToGrid w:val="0"/>
              <w:spacing w:line="360" w:lineRule="auto"/>
              <w:jc w:val="center"/>
              <w:rPr>
                <w:rFonts w:ascii="Book Antiqua" w:hAnsi="Book Antiqua"/>
                <w:sz w:val="24"/>
                <w:szCs w:val="24"/>
              </w:rPr>
            </w:pPr>
          </w:p>
        </w:tc>
      </w:tr>
      <w:tr w:rsidR="00D53981" w:rsidRPr="00FD080D" w14:paraId="6D0CEBB6" w14:textId="77777777" w:rsidTr="00BF3C11">
        <w:trPr>
          <w:trHeight w:val="145"/>
        </w:trPr>
        <w:tc>
          <w:tcPr>
            <w:tcW w:w="5394" w:type="dxa"/>
          </w:tcPr>
          <w:p w14:paraId="63E04C42" w14:textId="77777777"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Lower 1/3 of ileum +/- base of cecum </w:t>
            </w:r>
          </w:p>
        </w:tc>
        <w:tc>
          <w:tcPr>
            <w:tcW w:w="3573" w:type="dxa"/>
          </w:tcPr>
          <w:p w14:paraId="2EDA6B20" w14:textId="49D0A38D"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1.29</w:t>
            </w:r>
            <w:r w:rsidR="00A55823">
              <w:rPr>
                <w:rFonts w:ascii="Book Antiqua" w:hAnsi="Book Antiqua"/>
                <w:sz w:val="24"/>
                <w:szCs w:val="24"/>
              </w:rPr>
              <w:t xml:space="preserve"> </w:t>
            </w:r>
            <w:r w:rsidRPr="00FD080D">
              <w:rPr>
                <w:rFonts w:ascii="Book Antiqua" w:hAnsi="Book Antiqua"/>
                <w:sz w:val="24"/>
                <w:szCs w:val="24"/>
              </w:rPr>
              <w:t>(0.30-5.66)</w:t>
            </w:r>
          </w:p>
        </w:tc>
        <w:tc>
          <w:tcPr>
            <w:tcW w:w="816" w:type="dxa"/>
          </w:tcPr>
          <w:p w14:paraId="0C4C7ABA" w14:textId="3E7C3ACF"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0.73</w:t>
            </w:r>
          </w:p>
        </w:tc>
      </w:tr>
      <w:tr w:rsidR="00D53981" w:rsidRPr="00FD080D" w14:paraId="5BB46B60" w14:textId="77777777" w:rsidTr="00BF3C11">
        <w:trPr>
          <w:trHeight w:val="123"/>
        </w:trPr>
        <w:tc>
          <w:tcPr>
            <w:tcW w:w="5394" w:type="dxa"/>
          </w:tcPr>
          <w:p w14:paraId="23BBA386" w14:textId="77777777"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Colon only </w:t>
            </w:r>
          </w:p>
        </w:tc>
        <w:tc>
          <w:tcPr>
            <w:tcW w:w="3573" w:type="dxa"/>
          </w:tcPr>
          <w:p w14:paraId="707D0FA3" w14:textId="641F3D26"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0.96</w:t>
            </w:r>
            <w:r w:rsidR="00A55823">
              <w:rPr>
                <w:rFonts w:ascii="Book Antiqua" w:hAnsi="Book Antiqua"/>
                <w:sz w:val="24"/>
                <w:szCs w:val="24"/>
              </w:rPr>
              <w:t xml:space="preserve"> </w:t>
            </w:r>
            <w:r w:rsidRPr="00FD080D">
              <w:rPr>
                <w:rFonts w:ascii="Book Antiqua" w:hAnsi="Book Antiqua"/>
                <w:sz w:val="24"/>
                <w:szCs w:val="24"/>
              </w:rPr>
              <w:t>(0.19-4.99)</w:t>
            </w:r>
          </w:p>
        </w:tc>
        <w:tc>
          <w:tcPr>
            <w:tcW w:w="816" w:type="dxa"/>
          </w:tcPr>
          <w:p w14:paraId="08CDD6C1" w14:textId="060445E2"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0.96</w:t>
            </w:r>
          </w:p>
        </w:tc>
      </w:tr>
      <w:tr w:rsidR="00D53981" w:rsidRPr="00FD080D" w14:paraId="7A3743DE" w14:textId="77777777" w:rsidTr="00E81A16">
        <w:trPr>
          <w:trHeight w:val="485"/>
        </w:trPr>
        <w:tc>
          <w:tcPr>
            <w:tcW w:w="5394" w:type="dxa"/>
          </w:tcPr>
          <w:p w14:paraId="338823BC" w14:textId="0B5B46F3"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Ileum </w:t>
            </w:r>
            <w:r w:rsidR="00A55823">
              <w:rPr>
                <w:rFonts w:ascii="Book Antiqua" w:hAnsi="Book Antiqua"/>
                <w:sz w:val="24"/>
                <w:szCs w:val="24"/>
              </w:rPr>
              <w:t>and</w:t>
            </w:r>
            <w:r w:rsidRPr="00FD080D">
              <w:rPr>
                <w:rFonts w:ascii="Book Antiqua" w:hAnsi="Book Antiqua"/>
                <w:sz w:val="24"/>
                <w:szCs w:val="24"/>
              </w:rPr>
              <w:t xml:space="preserve"> colon </w:t>
            </w:r>
          </w:p>
        </w:tc>
        <w:tc>
          <w:tcPr>
            <w:tcW w:w="3573" w:type="dxa"/>
          </w:tcPr>
          <w:p w14:paraId="08CF9F51" w14:textId="1D79CE59"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0.50</w:t>
            </w:r>
            <w:r w:rsidR="00A55823">
              <w:rPr>
                <w:rFonts w:ascii="Book Antiqua" w:hAnsi="Book Antiqua"/>
                <w:sz w:val="24"/>
                <w:szCs w:val="24"/>
              </w:rPr>
              <w:t xml:space="preserve"> </w:t>
            </w:r>
            <w:r w:rsidRPr="00FD080D">
              <w:rPr>
                <w:rFonts w:ascii="Book Antiqua" w:hAnsi="Book Antiqua"/>
                <w:sz w:val="24"/>
                <w:szCs w:val="24"/>
              </w:rPr>
              <w:t>(0.10-2.53)</w:t>
            </w:r>
          </w:p>
        </w:tc>
        <w:tc>
          <w:tcPr>
            <w:tcW w:w="816" w:type="dxa"/>
          </w:tcPr>
          <w:p w14:paraId="201FACDC" w14:textId="3F0FE2C0"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0.40</w:t>
            </w:r>
          </w:p>
        </w:tc>
      </w:tr>
      <w:tr w:rsidR="00D53981" w:rsidRPr="00FD080D" w14:paraId="7B4206F8" w14:textId="77777777" w:rsidTr="00E81A16">
        <w:trPr>
          <w:trHeight w:val="485"/>
        </w:trPr>
        <w:tc>
          <w:tcPr>
            <w:tcW w:w="5394" w:type="dxa"/>
          </w:tcPr>
          <w:p w14:paraId="35339495" w14:textId="77777777"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Upper GI proximal to Ligament of Treitz </w:t>
            </w:r>
          </w:p>
        </w:tc>
        <w:tc>
          <w:tcPr>
            <w:tcW w:w="3573" w:type="dxa"/>
          </w:tcPr>
          <w:p w14:paraId="16D7F891" w14:textId="64EDE341"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1.00</w:t>
            </w:r>
            <w:r w:rsidR="00A55823">
              <w:rPr>
                <w:rFonts w:ascii="Book Antiqua" w:hAnsi="Book Antiqua"/>
                <w:sz w:val="24"/>
                <w:szCs w:val="24"/>
              </w:rPr>
              <w:t xml:space="preserve"> </w:t>
            </w:r>
            <w:r w:rsidRPr="00FD080D">
              <w:rPr>
                <w:rFonts w:ascii="Book Antiqua" w:hAnsi="Book Antiqua"/>
                <w:sz w:val="24"/>
                <w:szCs w:val="24"/>
              </w:rPr>
              <w:t>(0.19-5.17)</w:t>
            </w:r>
          </w:p>
        </w:tc>
        <w:tc>
          <w:tcPr>
            <w:tcW w:w="816" w:type="dxa"/>
          </w:tcPr>
          <w:p w14:paraId="76677D62" w14:textId="009C39A3"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1.00</w:t>
            </w:r>
          </w:p>
        </w:tc>
      </w:tr>
      <w:tr w:rsidR="00D53981" w:rsidRPr="00FD080D" w14:paraId="720FF126" w14:textId="77777777" w:rsidTr="00E81A16">
        <w:trPr>
          <w:trHeight w:val="485"/>
        </w:trPr>
        <w:tc>
          <w:tcPr>
            <w:tcW w:w="5394" w:type="dxa"/>
          </w:tcPr>
          <w:p w14:paraId="2F12475D" w14:textId="77777777"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Distal to Ligament of Treitz to proximal ileum </w:t>
            </w:r>
          </w:p>
        </w:tc>
        <w:tc>
          <w:tcPr>
            <w:tcW w:w="3573" w:type="dxa"/>
          </w:tcPr>
          <w:p w14:paraId="6B488A95" w14:textId="153413ED"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5.46</w:t>
            </w:r>
            <w:r w:rsidR="00A55823">
              <w:rPr>
                <w:rFonts w:ascii="Book Antiqua" w:hAnsi="Book Antiqua"/>
                <w:sz w:val="24"/>
                <w:szCs w:val="24"/>
              </w:rPr>
              <w:t xml:space="preserve"> </w:t>
            </w:r>
            <w:r w:rsidRPr="00FD080D">
              <w:rPr>
                <w:rFonts w:ascii="Book Antiqua" w:hAnsi="Book Antiqua"/>
                <w:sz w:val="24"/>
                <w:szCs w:val="24"/>
              </w:rPr>
              <w:t>(0.61-49.27)</w:t>
            </w:r>
          </w:p>
        </w:tc>
        <w:tc>
          <w:tcPr>
            <w:tcW w:w="816" w:type="dxa"/>
          </w:tcPr>
          <w:p w14:paraId="58F96120" w14:textId="5249F72A"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0.13</w:t>
            </w:r>
          </w:p>
        </w:tc>
      </w:tr>
      <w:tr w:rsidR="00D53981" w:rsidRPr="00FD080D" w14:paraId="457BCAF4" w14:textId="77777777" w:rsidTr="00E81A16">
        <w:trPr>
          <w:trHeight w:val="485"/>
        </w:trPr>
        <w:tc>
          <w:tcPr>
            <w:tcW w:w="5394" w:type="dxa"/>
          </w:tcPr>
          <w:p w14:paraId="68A3278D" w14:textId="37D4181F"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Any steroids in the first 2 </w:t>
            </w:r>
            <w:proofErr w:type="spellStart"/>
            <w:r w:rsidRPr="00FD080D">
              <w:rPr>
                <w:rFonts w:ascii="Book Antiqua" w:hAnsi="Book Antiqua"/>
                <w:sz w:val="24"/>
                <w:szCs w:val="24"/>
              </w:rPr>
              <w:t>y</w:t>
            </w:r>
            <w:r w:rsidR="00A55823">
              <w:rPr>
                <w:rFonts w:ascii="Book Antiqua" w:hAnsi="Book Antiqua"/>
                <w:sz w:val="24"/>
                <w:szCs w:val="24"/>
              </w:rPr>
              <w:t>r</w:t>
            </w:r>
            <w:proofErr w:type="spellEnd"/>
            <w:r w:rsidRPr="00FD080D">
              <w:rPr>
                <w:rFonts w:ascii="Book Antiqua" w:hAnsi="Book Antiqua"/>
                <w:sz w:val="24"/>
                <w:szCs w:val="24"/>
              </w:rPr>
              <w:t xml:space="preserve"> </w:t>
            </w:r>
          </w:p>
        </w:tc>
        <w:tc>
          <w:tcPr>
            <w:tcW w:w="3573" w:type="dxa"/>
          </w:tcPr>
          <w:p w14:paraId="56314A07" w14:textId="09ED2060"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1.26</w:t>
            </w:r>
            <w:r w:rsidR="00A55823">
              <w:rPr>
                <w:rFonts w:ascii="Book Antiqua" w:hAnsi="Book Antiqua"/>
                <w:sz w:val="24"/>
                <w:szCs w:val="24"/>
              </w:rPr>
              <w:t xml:space="preserve"> </w:t>
            </w:r>
            <w:r w:rsidRPr="00FD080D">
              <w:rPr>
                <w:rFonts w:ascii="Book Antiqua" w:hAnsi="Book Antiqua"/>
                <w:sz w:val="24"/>
                <w:szCs w:val="24"/>
              </w:rPr>
              <w:t>(0.30-5.35)</w:t>
            </w:r>
          </w:p>
        </w:tc>
        <w:tc>
          <w:tcPr>
            <w:tcW w:w="816" w:type="dxa"/>
          </w:tcPr>
          <w:p w14:paraId="3BF1C769" w14:textId="47B32113"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0.75</w:t>
            </w:r>
          </w:p>
        </w:tc>
      </w:tr>
      <w:tr w:rsidR="00D53981" w:rsidRPr="00FD080D" w14:paraId="52C50A19" w14:textId="77777777" w:rsidTr="00E81A16">
        <w:trPr>
          <w:trHeight w:val="485"/>
        </w:trPr>
        <w:tc>
          <w:tcPr>
            <w:tcW w:w="5394" w:type="dxa"/>
          </w:tcPr>
          <w:p w14:paraId="3925DB3E" w14:textId="5917F98F"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Any steroids after the first 2 </w:t>
            </w:r>
            <w:proofErr w:type="spellStart"/>
            <w:r w:rsidRPr="00FD080D">
              <w:rPr>
                <w:rFonts w:ascii="Book Antiqua" w:hAnsi="Book Antiqua"/>
                <w:sz w:val="24"/>
                <w:szCs w:val="24"/>
              </w:rPr>
              <w:t>y</w:t>
            </w:r>
            <w:r w:rsidR="00A55823">
              <w:rPr>
                <w:rFonts w:ascii="Book Antiqua" w:hAnsi="Book Antiqua"/>
                <w:sz w:val="24"/>
                <w:szCs w:val="24"/>
              </w:rPr>
              <w:t>r</w:t>
            </w:r>
            <w:proofErr w:type="spellEnd"/>
          </w:p>
        </w:tc>
        <w:tc>
          <w:tcPr>
            <w:tcW w:w="3573" w:type="dxa"/>
          </w:tcPr>
          <w:p w14:paraId="7C58A2E0" w14:textId="68FFBBF8"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12.1</w:t>
            </w:r>
            <w:r w:rsidR="00A55823">
              <w:rPr>
                <w:rFonts w:ascii="Book Antiqua" w:hAnsi="Book Antiqua"/>
                <w:sz w:val="24"/>
                <w:szCs w:val="24"/>
              </w:rPr>
              <w:t xml:space="preserve"> </w:t>
            </w:r>
            <w:r w:rsidRPr="00FD080D">
              <w:rPr>
                <w:rFonts w:ascii="Book Antiqua" w:hAnsi="Book Antiqua"/>
                <w:sz w:val="24"/>
                <w:szCs w:val="24"/>
              </w:rPr>
              <w:t>(1.4-102.7)</w:t>
            </w:r>
          </w:p>
        </w:tc>
        <w:tc>
          <w:tcPr>
            <w:tcW w:w="816" w:type="dxa"/>
          </w:tcPr>
          <w:p w14:paraId="6F6D64E8" w14:textId="70B7C1C2"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0.02</w:t>
            </w:r>
          </w:p>
        </w:tc>
      </w:tr>
      <w:tr w:rsidR="00D53981" w:rsidRPr="00FD080D" w14:paraId="7847B907" w14:textId="77777777" w:rsidTr="00E81A16">
        <w:trPr>
          <w:trHeight w:val="469"/>
        </w:trPr>
        <w:tc>
          <w:tcPr>
            <w:tcW w:w="5394" w:type="dxa"/>
          </w:tcPr>
          <w:p w14:paraId="6C21379F" w14:textId="77777777"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Complications </w:t>
            </w:r>
          </w:p>
        </w:tc>
        <w:tc>
          <w:tcPr>
            <w:tcW w:w="3573" w:type="dxa"/>
          </w:tcPr>
          <w:p w14:paraId="515FC719" w14:textId="35DB02AB"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5.6</w:t>
            </w:r>
            <w:r w:rsidR="00A55823">
              <w:rPr>
                <w:rFonts w:ascii="Book Antiqua" w:hAnsi="Book Antiqua"/>
                <w:sz w:val="24"/>
                <w:szCs w:val="24"/>
              </w:rPr>
              <w:t xml:space="preserve"> </w:t>
            </w:r>
            <w:r w:rsidRPr="00FD080D">
              <w:rPr>
                <w:rFonts w:ascii="Book Antiqua" w:hAnsi="Book Antiqua"/>
                <w:sz w:val="24"/>
                <w:szCs w:val="24"/>
              </w:rPr>
              <w:t>(1.3-24.9)</w:t>
            </w:r>
          </w:p>
        </w:tc>
        <w:tc>
          <w:tcPr>
            <w:tcW w:w="816" w:type="dxa"/>
          </w:tcPr>
          <w:p w14:paraId="6265D921" w14:textId="5FA2C62F" w:rsidR="00D53981" w:rsidRPr="00FD080D" w:rsidRDefault="001B01CA" w:rsidP="00A55823">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0.02</w:t>
            </w:r>
          </w:p>
        </w:tc>
      </w:tr>
    </w:tbl>
    <w:p w14:paraId="72922CEA" w14:textId="36AE72BE" w:rsidR="00D53981" w:rsidRPr="00FD080D" w:rsidRDefault="00A55823" w:rsidP="00FD080D">
      <w:pPr>
        <w:adjustRightInd w:val="0"/>
        <w:snapToGrid w:val="0"/>
        <w:spacing w:after="0" w:line="360" w:lineRule="auto"/>
        <w:jc w:val="both"/>
        <w:rPr>
          <w:rFonts w:ascii="Book Antiqua" w:hAnsi="Book Antiqua"/>
          <w:sz w:val="24"/>
          <w:szCs w:val="24"/>
        </w:rPr>
      </w:pPr>
      <w:r>
        <w:rPr>
          <w:rFonts w:ascii="Book Antiqua" w:hAnsi="Book Antiqua" w:hint="eastAsia"/>
          <w:sz w:val="24"/>
          <w:szCs w:val="24"/>
        </w:rPr>
        <w:t>G</w:t>
      </w:r>
      <w:r>
        <w:rPr>
          <w:rFonts w:ascii="Book Antiqua" w:hAnsi="Book Antiqua"/>
          <w:sz w:val="24"/>
          <w:szCs w:val="24"/>
        </w:rPr>
        <w:t>I: Gastrointestinal.</w:t>
      </w:r>
    </w:p>
    <w:p w14:paraId="4ED1294F" w14:textId="77777777" w:rsidR="00A55823" w:rsidRDefault="00A55823">
      <w:pPr>
        <w:rPr>
          <w:rFonts w:ascii="Book Antiqua" w:hAnsi="Book Antiqua"/>
          <w:b/>
          <w:sz w:val="24"/>
          <w:szCs w:val="24"/>
        </w:rPr>
      </w:pPr>
      <w:r>
        <w:rPr>
          <w:rFonts w:ascii="Book Antiqua" w:hAnsi="Book Antiqua"/>
          <w:b/>
          <w:sz w:val="24"/>
          <w:szCs w:val="24"/>
        </w:rPr>
        <w:br w:type="page"/>
      </w:r>
    </w:p>
    <w:p w14:paraId="543CEDCC" w14:textId="54DA1E81"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hAnsi="Book Antiqua"/>
          <w:b/>
          <w:sz w:val="24"/>
          <w:szCs w:val="24"/>
        </w:rPr>
        <w:lastRenderedPageBreak/>
        <w:t>Table 4 Detailed outcomes of 29 patients on no immunosuppressive therapy for mild Crohn</w:t>
      </w:r>
      <w:r w:rsidR="00153E1C">
        <w:rPr>
          <w:rFonts w:ascii="Book Antiqua" w:hAnsi="Book Antiqua"/>
          <w:b/>
          <w:sz w:val="24"/>
          <w:szCs w:val="24"/>
        </w:rPr>
        <w:t>’</w:t>
      </w:r>
      <w:r w:rsidRPr="00FD080D">
        <w:rPr>
          <w:rFonts w:ascii="Book Antiqua" w:hAnsi="Book Antiqua"/>
          <w:b/>
          <w:sz w:val="24"/>
          <w:szCs w:val="24"/>
        </w:rPr>
        <w:t xml:space="preserve">s disease </w:t>
      </w:r>
    </w:p>
    <w:tbl>
      <w:tblPr>
        <w:tblStyle w:val="TableGrid"/>
        <w:tblW w:w="5000" w:type="pct"/>
        <w:tblInd w:w="0" w:type="dxa"/>
        <w:tblBorders>
          <w:top w:val="single" w:sz="4" w:space="0" w:color="000000"/>
          <w:bottom w:val="single" w:sz="4" w:space="0" w:color="000000"/>
        </w:tblBorders>
        <w:tblCellMar>
          <w:top w:w="35" w:type="dxa"/>
          <w:left w:w="108" w:type="dxa"/>
          <w:right w:w="72" w:type="dxa"/>
        </w:tblCellMar>
        <w:tblLook w:val="04A0" w:firstRow="1" w:lastRow="0" w:firstColumn="1" w:lastColumn="0" w:noHBand="0" w:noVBand="1"/>
      </w:tblPr>
      <w:tblGrid>
        <w:gridCol w:w="1551"/>
        <w:gridCol w:w="1556"/>
        <w:gridCol w:w="1789"/>
        <w:gridCol w:w="1794"/>
        <w:gridCol w:w="1950"/>
      </w:tblGrid>
      <w:tr w:rsidR="00D53981" w:rsidRPr="00FD080D" w14:paraId="0DD81DA7" w14:textId="77777777" w:rsidTr="006D4235">
        <w:trPr>
          <w:trHeight w:val="1354"/>
        </w:trPr>
        <w:tc>
          <w:tcPr>
            <w:tcW w:w="994" w:type="pct"/>
            <w:tcBorders>
              <w:top w:val="single" w:sz="4" w:space="0" w:color="000000"/>
              <w:bottom w:val="single" w:sz="4" w:space="0" w:color="auto"/>
            </w:tcBorders>
          </w:tcPr>
          <w:p w14:paraId="407B8E04" w14:textId="77777777" w:rsidR="00D53981" w:rsidRPr="006D4235" w:rsidRDefault="001B01CA" w:rsidP="00FD080D">
            <w:pPr>
              <w:adjustRightInd w:val="0"/>
              <w:snapToGrid w:val="0"/>
              <w:spacing w:line="360" w:lineRule="auto"/>
              <w:jc w:val="both"/>
              <w:rPr>
                <w:rFonts w:ascii="Book Antiqua" w:hAnsi="Book Antiqua"/>
                <w:b/>
                <w:bCs/>
                <w:sz w:val="24"/>
                <w:szCs w:val="24"/>
              </w:rPr>
            </w:pPr>
            <w:r w:rsidRPr="006D4235">
              <w:rPr>
                <w:rFonts w:ascii="Book Antiqua" w:hAnsi="Book Antiqua"/>
                <w:b/>
                <w:bCs/>
                <w:sz w:val="24"/>
                <w:szCs w:val="24"/>
              </w:rPr>
              <w:t xml:space="preserve">Year (age) of diagnosis </w:t>
            </w:r>
          </w:p>
        </w:tc>
        <w:tc>
          <w:tcPr>
            <w:tcW w:w="997" w:type="pct"/>
            <w:tcBorders>
              <w:top w:val="single" w:sz="4" w:space="0" w:color="000000"/>
              <w:bottom w:val="single" w:sz="4" w:space="0" w:color="auto"/>
            </w:tcBorders>
          </w:tcPr>
          <w:p w14:paraId="5F04004D" w14:textId="0960089F" w:rsidR="00D53981" w:rsidRPr="006D4235" w:rsidRDefault="001B01CA" w:rsidP="006D4235">
            <w:pPr>
              <w:adjustRightInd w:val="0"/>
              <w:snapToGrid w:val="0"/>
              <w:spacing w:line="360" w:lineRule="auto"/>
              <w:jc w:val="center"/>
              <w:rPr>
                <w:rFonts w:ascii="Book Antiqua" w:hAnsi="Book Antiqua"/>
                <w:b/>
                <w:bCs/>
                <w:sz w:val="24"/>
                <w:szCs w:val="24"/>
              </w:rPr>
            </w:pPr>
            <w:r w:rsidRPr="006D4235">
              <w:rPr>
                <w:rFonts w:ascii="Book Antiqua" w:hAnsi="Book Antiqua"/>
                <w:b/>
                <w:bCs/>
                <w:sz w:val="24"/>
                <w:szCs w:val="24"/>
              </w:rPr>
              <w:t xml:space="preserve">Duration of </w:t>
            </w:r>
            <w:proofErr w:type="spellStart"/>
            <w:r w:rsidRPr="006D4235">
              <w:rPr>
                <w:rFonts w:ascii="Book Antiqua" w:hAnsi="Book Antiqua"/>
                <w:b/>
                <w:bCs/>
                <w:sz w:val="24"/>
                <w:szCs w:val="24"/>
              </w:rPr>
              <w:t>followup</w:t>
            </w:r>
            <w:proofErr w:type="spellEnd"/>
            <w:r w:rsidRPr="006D4235">
              <w:rPr>
                <w:rFonts w:ascii="Book Antiqua" w:hAnsi="Book Antiqua"/>
                <w:b/>
                <w:bCs/>
                <w:sz w:val="24"/>
                <w:szCs w:val="24"/>
              </w:rPr>
              <w:t xml:space="preserve"> after initial 2 </w:t>
            </w:r>
            <w:proofErr w:type="spellStart"/>
            <w:r w:rsidRPr="006D4235">
              <w:rPr>
                <w:rFonts w:ascii="Book Antiqua" w:hAnsi="Book Antiqua"/>
                <w:b/>
                <w:bCs/>
                <w:sz w:val="24"/>
                <w:szCs w:val="24"/>
              </w:rPr>
              <w:t>y</w:t>
            </w:r>
            <w:r w:rsidR="006D4235" w:rsidRPr="006D4235">
              <w:rPr>
                <w:rFonts w:ascii="Book Antiqua" w:hAnsi="Book Antiqua"/>
                <w:b/>
                <w:bCs/>
                <w:sz w:val="24"/>
                <w:szCs w:val="24"/>
              </w:rPr>
              <w:t>r</w:t>
            </w:r>
            <w:proofErr w:type="spellEnd"/>
            <w:r w:rsidRPr="006D4235">
              <w:rPr>
                <w:rFonts w:ascii="Book Antiqua" w:hAnsi="Book Antiqua"/>
                <w:b/>
                <w:bCs/>
                <w:sz w:val="24"/>
                <w:szCs w:val="24"/>
              </w:rPr>
              <w:t xml:space="preserve"> of treatment (</w:t>
            </w:r>
            <w:proofErr w:type="spellStart"/>
            <w:r w:rsidRPr="006D4235">
              <w:rPr>
                <w:rFonts w:ascii="Book Antiqua" w:hAnsi="Book Antiqua"/>
                <w:b/>
                <w:bCs/>
                <w:sz w:val="24"/>
                <w:szCs w:val="24"/>
              </w:rPr>
              <w:t>mo</w:t>
            </w:r>
            <w:proofErr w:type="spellEnd"/>
            <w:r w:rsidRPr="006D4235">
              <w:rPr>
                <w:rFonts w:ascii="Book Antiqua" w:hAnsi="Book Antiqua"/>
                <w:b/>
                <w:bCs/>
                <w:sz w:val="24"/>
                <w:szCs w:val="24"/>
              </w:rPr>
              <w:t>)</w:t>
            </w:r>
          </w:p>
        </w:tc>
        <w:tc>
          <w:tcPr>
            <w:tcW w:w="956" w:type="pct"/>
            <w:tcBorders>
              <w:top w:val="single" w:sz="4" w:space="0" w:color="000000"/>
              <w:bottom w:val="single" w:sz="4" w:space="0" w:color="auto"/>
            </w:tcBorders>
          </w:tcPr>
          <w:p w14:paraId="378C6370" w14:textId="44375F34" w:rsidR="00D53981" w:rsidRPr="006D4235" w:rsidRDefault="001B01CA" w:rsidP="006D4235">
            <w:pPr>
              <w:adjustRightInd w:val="0"/>
              <w:snapToGrid w:val="0"/>
              <w:spacing w:line="360" w:lineRule="auto"/>
              <w:jc w:val="center"/>
              <w:rPr>
                <w:rFonts w:ascii="Book Antiqua" w:hAnsi="Book Antiqua"/>
                <w:b/>
                <w:bCs/>
                <w:sz w:val="24"/>
                <w:szCs w:val="24"/>
              </w:rPr>
            </w:pPr>
            <w:proofErr w:type="spellStart"/>
            <w:r w:rsidRPr="006D4235">
              <w:rPr>
                <w:rFonts w:ascii="Book Antiqua" w:hAnsi="Book Antiqua"/>
                <w:b/>
                <w:bCs/>
                <w:sz w:val="24"/>
                <w:szCs w:val="24"/>
              </w:rPr>
              <w:t>Followup</w:t>
            </w:r>
            <w:proofErr w:type="spellEnd"/>
            <w:r w:rsidRPr="006D4235">
              <w:rPr>
                <w:rFonts w:ascii="Book Antiqua" w:hAnsi="Book Antiqua"/>
                <w:b/>
                <w:bCs/>
                <w:sz w:val="24"/>
                <w:szCs w:val="24"/>
              </w:rPr>
              <w:t xml:space="preserve"> colonoscopy histology findings</w:t>
            </w:r>
          </w:p>
        </w:tc>
        <w:tc>
          <w:tcPr>
            <w:tcW w:w="1010" w:type="pct"/>
            <w:tcBorders>
              <w:top w:val="single" w:sz="4" w:space="0" w:color="000000"/>
              <w:bottom w:val="single" w:sz="4" w:space="0" w:color="auto"/>
            </w:tcBorders>
          </w:tcPr>
          <w:p w14:paraId="1FCF94E2" w14:textId="1B4C2483" w:rsidR="00D53981" w:rsidRPr="006D4235" w:rsidRDefault="001B01CA" w:rsidP="006D4235">
            <w:pPr>
              <w:adjustRightInd w:val="0"/>
              <w:snapToGrid w:val="0"/>
              <w:spacing w:line="360" w:lineRule="auto"/>
              <w:jc w:val="center"/>
              <w:rPr>
                <w:rFonts w:ascii="Book Antiqua" w:hAnsi="Book Antiqua"/>
                <w:b/>
                <w:bCs/>
                <w:sz w:val="24"/>
                <w:szCs w:val="24"/>
              </w:rPr>
            </w:pPr>
            <w:r w:rsidRPr="006D4235">
              <w:rPr>
                <w:rFonts w:ascii="Book Antiqua" w:hAnsi="Book Antiqua"/>
                <w:b/>
                <w:bCs/>
                <w:sz w:val="24"/>
                <w:szCs w:val="24"/>
              </w:rPr>
              <w:t>Medications</w:t>
            </w:r>
          </w:p>
        </w:tc>
        <w:tc>
          <w:tcPr>
            <w:tcW w:w="1043" w:type="pct"/>
            <w:tcBorders>
              <w:top w:val="single" w:sz="4" w:space="0" w:color="000000"/>
              <w:bottom w:val="single" w:sz="4" w:space="0" w:color="auto"/>
            </w:tcBorders>
          </w:tcPr>
          <w:p w14:paraId="798F69BB" w14:textId="5321682A" w:rsidR="00D53981" w:rsidRPr="006D4235" w:rsidRDefault="001B01CA" w:rsidP="006D4235">
            <w:pPr>
              <w:adjustRightInd w:val="0"/>
              <w:snapToGrid w:val="0"/>
              <w:spacing w:line="360" w:lineRule="auto"/>
              <w:jc w:val="center"/>
              <w:rPr>
                <w:rFonts w:ascii="Book Antiqua" w:hAnsi="Book Antiqua"/>
                <w:b/>
                <w:bCs/>
                <w:sz w:val="24"/>
                <w:szCs w:val="24"/>
              </w:rPr>
            </w:pPr>
            <w:r w:rsidRPr="006D4235">
              <w:rPr>
                <w:rFonts w:ascii="Book Antiqua" w:hAnsi="Book Antiqua"/>
                <w:b/>
                <w:bCs/>
                <w:sz w:val="24"/>
                <w:szCs w:val="24"/>
              </w:rPr>
              <w:t>Outcome/ complications</w:t>
            </w:r>
          </w:p>
        </w:tc>
      </w:tr>
      <w:tr w:rsidR="00D53981" w:rsidRPr="00FD080D" w14:paraId="128D8E26" w14:textId="77777777" w:rsidTr="006D4235">
        <w:trPr>
          <w:trHeight w:val="595"/>
        </w:trPr>
        <w:tc>
          <w:tcPr>
            <w:tcW w:w="994" w:type="pct"/>
            <w:tcBorders>
              <w:top w:val="single" w:sz="4" w:space="0" w:color="auto"/>
            </w:tcBorders>
          </w:tcPr>
          <w:p w14:paraId="36F646BE" w14:textId="6AACD914"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2002 (10</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Borders>
              <w:top w:val="single" w:sz="4" w:space="0" w:color="auto"/>
            </w:tcBorders>
          </w:tcPr>
          <w:p w14:paraId="2104ADE8" w14:textId="43A6046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111</w:t>
            </w:r>
          </w:p>
        </w:tc>
        <w:tc>
          <w:tcPr>
            <w:tcW w:w="956" w:type="pct"/>
            <w:tcBorders>
              <w:top w:val="single" w:sz="4" w:space="0" w:color="auto"/>
            </w:tcBorders>
          </w:tcPr>
          <w:p w14:paraId="4B9070AD" w14:textId="6247993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2007</w:t>
            </w:r>
            <w:r w:rsidR="006D4235">
              <w:rPr>
                <w:rFonts w:ascii="Book Antiqua" w:hAnsi="Book Antiqua"/>
                <w:sz w:val="24"/>
                <w:szCs w:val="24"/>
              </w:rPr>
              <w:t>-</w:t>
            </w:r>
            <w:r w:rsidRPr="00FD080D">
              <w:rPr>
                <w:rFonts w:ascii="Book Antiqua" w:hAnsi="Book Antiqua"/>
                <w:sz w:val="24"/>
                <w:szCs w:val="24"/>
              </w:rPr>
              <w:t>normal colonoscopy</w:t>
            </w:r>
          </w:p>
        </w:tc>
        <w:tc>
          <w:tcPr>
            <w:tcW w:w="1010" w:type="pct"/>
            <w:tcBorders>
              <w:top w:val="single" w:sz="4" w:space="0" w:color="auto"/>
            </w:tcBorders>
          </w:tcPr>
          <w:p w14:paraId="7F3F7D0D" w14:textId="4D58CE80"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Asacol</w:t>
            </w:r>
            <w:proofErr w:type="spellEnd"/>
            <w:r w:rsidRPr="00FD080D">
              <w:rPr>
                <w:rFonts w:ascii="Book Antiqua" w:hAnsi="Book Antiqua"/>
                <w:sz w:val="24"/>
                <w:szCs w:val="24"/>
              </w:rPr>
              <w:t>), prednisone</w:t>
            </w:r>
          </w:p>
        </w:tc>
        <w:tc>
          <w:tcPr>
            <w:tcW w:w="1043" w:type="pct"/>
            <w:tcBorders>
              <w:top w:val="single" w:sz="4" w:space="0" w:color="auto"/>
            </w:tcBorders>
          </w:tcPr>
          <w:p w14:paraId="41AD649E" w14:textId="62F6D42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Escalation to 6MP(age 20)</w:t>
            </w:r>
          </w:p>
          <w:p w14:paraId="33F9D5D8" w14:textId="323592DE"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Surgery for ileal stricture (age 22)</w:t>
            </w:r>
          </w:p>
        </w:tc>
      </w:tr>
      <w:tr w:rsidR="00D53981" w:rsidRPr="00FD080D" w14:paraId="7F3419AF" w14:textId="77777777" w:rsidTr="006D4235">
        <w:trPr>
          <w:trHeight w:val="595"/>
        </w:trPr>
        <w:tc>
          <w:tcPr>
            <w:tcW w:w="994" w:type="pct"/>
          </w:tcPr>
          <w:p w14:paraId="5B92F0A4" w14:textId="11135B0B"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2004 (12</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2F269D32" w14:textId="4C50190D"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49</w:t>
            </w:r>
          </w:p>
        </w:tc>
        <w:tc>
          <w:tcPr>
            <w:tcW w:w="956" w:type="pct"/>
          </w:tcPr>
          <w:p w14:paraId="776943EE" w14:textId="0B4E8A1D"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2009</w:t>
            </w:r>
            <w:r w:rsidR="006D4235">
              <w:rPr>
                <w:rFonts w:ascii="Book Antiqua" w:hAnsi="Book Antiqua"/>
                <w:sz w:val="24"/>
                <w:szCs w:val="24"/>
              </w:rPr>
              <w:t>-</w:t>
            </w:r>
            <w:r w:rsidRPr="00FD080D">
              <w:rPr>
                <w:rFonts w:ascii="Book Antiqua" w:hAnsi="Book Antiqua"/>
                <w:sz w:val="24"/>
                <w:szCs w:val="24"/>
              </w:rPr>
              <w:t>Noncaseating granulomas in TI and throughout colon.</w:t>
            </w:r>
          </w:p>
        </w:tc>
        <w:tc>
          <w:tcPr>
            <w:tcW w:w="1010" w:type="pct"/>
          </w:tcPr>
          <w:p w14:paraId="1C5FE737" w14:textId="58426A8A"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Pentasa</w:t>
            </w:r>
            <w:proofErr w:type="spellEnd"/>
            <w:r w:rsidRPr="00FD080D">
              <w:rPr>
                <w:rFonts w:ascii="Book Antiqua" w:hAnsi="Book Antiqua"/>
                <w:sz w:val="24"/>
                <w:szCs w:val="24"/>
              </w:rPr>
              <w:t xml:space="preserve">, </w:t>
            </w:r>
            <w:proofErr w:type="spellStart"/>
            <w:r w:rsidRPr="00FD080D">
              <w:rPr>
                <w:rFonts w:ascii="Book Antiqua" w:hAnsi="Book Antiqua"/>
                <w:sz w:val="24"/>
                <w:szCs w:val="24"/>
              </w:rPr>
              <w:t>Lialda</w:t>
            </w:r>
            <w:proofErr w:type="spellEnd"/>
            <w:r w:rsidRPr="00FD080D">
              <w:rPr>
                <w:rFonts w:ascii="Book Antiqua" w:hAnsi="Book Antiqua"/>
                <w:sz w:val="24"/>
                <w:szCs w:val="24"/>
              </w:rPr>
              <w:t>)</w:t>
            </w:r>
          </w:p>
        </w:tc>
        <w:tc>
          <w:tcPr>
            <w:tcW w:w="1043" w:type="pct"/>
          </w:tcPr>
          <w:p w14:paraId="2635F63C" w14:textId="06FE2447"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Stayed on ASA, no escalation</w:t>
            </w:r>
          </w:p>
        </w:tc>
      </w:tr>
      <w:tr w:rsidR="00D53981" w:rsidRPr="00FD080D" w14:paraId="769492EB" w14:textId="77777777" w:rsidTr="006D4235">
        <w:trPr>
          <w:trHeight w:val="596"/>
        </w:trPr>
        <w:tc>
          <w:tcPr>
            <w:tcW w:w="994" w:type="pct"/>
          </w:tcPr>
          <w:p w14:paraId="0CCA5021" w14:textId="261DF074"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2001 (9</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4870B7B6" w14:textId="5EC259BC"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32</w:t>
            </w:r>
          </w:p>
        </w:tc>
        <w:tc>
          <w:tcPr>
            <w:tcW w:w="956" w:type="pct"/>
          </w:tcPr>
          <w:p w14:paraId="2744A406" w14:textId="60F96600"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Not done</w:t>
            </w:r>
          </w:p>
        </w:tc>
        <w:tc>
          <w:tcPr>
            <w:tcW w:w="1010" w:type="pct"/>
          </w:tcPr>
          <w:p w14:paraId="0F554B08" w14:textId="5ACAECA2"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prednisone</w:t>
            </w:r>
          </w:p>
        </w:tc>
        <w:tc>
          <w:tcPr>
            <w:tcW w:w="1043" w:type="pct"/>
          </w:tcPr>
          <w:p w14:paraId="562C2502" w14:textId="35E4EC80"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Stayed on ASA, no prednisone after induction, no escalation</w:t>
            </w:r>
          </w:p>
        </w:tc>
      </w:tr>
      <w:tr w:rsidR="00D53981" w:rsidRPr="00FD080D" w14:paraId="76CA1BD4" w14:textId="77777777" w:rsidTr="006D4235">
        <w:trPr>
          <w:trHeight w:val="598"/>
        </w:trPr>
        <w:tc>
          <w:tcPr>
            <w:tcW w:w="994" w:type="pct"/>
          </w:tcPr>
          <w:p w14:paraId="3CD52F5E" w14:textId="05825D52"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2002 (10</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5986F580" w14:textId="2A51C8B0"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131</w:t>
            </w:r>
          </w:p>
        </w:tc>
        <w:tc>
          <w:tcPr>
            <w:tcW w:w="956" w:type="pct"/>
          </w:tcPr>
          <w:p w14:paraId="29850CDD" w14:textId="1E8CC7C7"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2009- chronic active ileitis with ulceration</w:t>
            </w:r>
          </w:p>
        </w:tc>
        <w:tc>
          <w:tcPr>
            <w:tcW w:w="1010" w:type="pct"/>
          </w:tcPr>
          <w:p w14:paraId="704B3A32" w14:textId="19D8EDD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Pentasa</w:t>
            </w:r>
            <w:proofErr w:type="spellEnd"/>
            <w:r w:rsidRPr="00FD080D">
              <w:rPr>
                <w:rFonts w:ascii="Book Antiqua" w:hAnsi="Book Antiqua"/>
                <w:sz w:val="24"/>
                <w:szCs w:val="24"/>
              </w:rPr>
              <w:t xml:space="preserve">, </w:t>
            </w:r>
            <w:proofErr w:type="spellStart"/>
            <w:r w:rsidRPr="00FD080D">
              <w:rPr>
                <w:rFonts w:ascii="Book Antiqua" w:hAnsi="Book Antiqua"/>
                <w:sz w:val="24"/>
                <w:szCs w:val="24"/>
              </w:rPr>
              <w:t>Lialda</w:t>
            </w:r>
            <w:proofErr w:type="spellEnd"/>
            <w:r w:rsidRPr="00FD080D">
              <w:rPr>
                <w:rFonts w:ascii="Book Antiqua" w:hAnsi="Book Antiqua"/>
                <w:sz w:val="24"/>
                <w:szCs w:val="24"/>
              </w:rPr>
              <w:t>)</w:t>
            </w:r>
          </w:p>
        </w:tc>
        <w:tc>
          <w:tcPr>
            <w:tcW w:w="1043" w:type="pct"/>
          </w:tcPr>
          <w:p w14:paraId="11048E0C" w14:textId="4AC0F8B1"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2015</w:t>
            </w:r>
            <w:r w:rsidR="006D4235">
              <w:rPr>
                <w:rFonts w:ascii="Book Antiqua" w:hAnsi="Book Antiqua"/>
                <w:sz w:val="24"/>
                <w:szCs w:val="24"/>
              </w:rPr>
              <w:t>-</w:t>
            </w:r>
            <w:r w:rsidRPr="00FD080D">
              <w:rPr>
                <w:rFonts w:ascii="Book Antiqua" w:hAnsi="Book Antiqua"/>
                <w:sz w:val="24"/>
                <w:szCs w:val="24"/>
              </w:rPr>
              <w:t>escalation to mercaptopurine, then adalimumab</w:t>
            </w:r>
          </w:p>
        </w:tc>
      </w:tr>
      <w:tr w:rsidR="00D53981" w:rsidRPr="00FD080D" w14:paraId="2BF391A0" w14:textId="77777777" w:rsidTr="006D4235">
        <w:trPr>
          <w:trHeight w:val="595"/>
        </w:trPr>
        <w:tc>
          <w:tcPr>
            <w:tcW w:w="994" w:type="pct"/>
          </w:tcPr>
          <w:p w14:paraId="429A7A11" w14:textId="201B7517"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lastRenderedPageBreak/>
              <w:t>2003 (10</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3B49C74D" w14:textId="71E56620"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66</w:t>
            </w:r>
          </w:p>
        </w:tc>
        <w:tc>
          <w:tcPr>
            <w:tcW w:w="956" w:type="pct"/>
          </w:tcPr>
          <w:p w14:paraId="186FA8BF" w14:textId="02C77CE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2010</w:t>
            </w:r>
            <w:r w:rsidR="006D4235">
              <w:rPr>
                <w:rFonts w:ascii="Book Antiqua" w:hAnsi="Book Antiqua"/>
                <w:sz w:val="24"/>
                <w:szCs w:val="24"/>
              </w:rPr>
              <w:t>-</w:t>
            </w:r>
            <w:r w:rsidRPr="00FD080D">
              <w:rPr>
                <w:rFonts w:ascii="Book Antiqua" w:hAnsi="Book Antiqua"/>
                <w:sz w:val="24"/>
                <w:szCs w:val="24"/>
              </w:rPr>
              <w:t>severely active</w:t>
            </w:r>
          </w:p>
          <w:p w14:paraId="0EA95DB7" w14:textId="753C6DB2"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ileitis</w:t>
            </w:r>
          </w:p>
        </w:tc>
        <w:tc>
          <w:tcPr>
            <w:tcW w:w="1010" w:type="pct"/>
          </w:tcPr>
          <w:p w14:paraId="127CDD0C" w14:textId="2A494F1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Pentasa</w:t>
            </w:r>
            <w:proofErr w:type="spellEnd"/>
            <w:r w:rsidRPr="00FD080D">
              <w:rPr>
                <w:rFonts w:ascii="Book Antiqua" w:hAnsi="Book Antiqua"/>
                <w:sz w:val="24"/>
                <w:szCs w:val="24"/>
              </w:rPr>
              <w:t>), 3 courses of prednisone over 3 years</w:t>
            </w:r>
          </w:p>
        </w:tc>
        <w:tc>
          <w:tcPr>
            <w:tcW w:w="1043" w:type="pct"/>
          </w:tcPr>
          <w:p w14:paraId="5B38C53D" w14:textId="012FF04B"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2012</w:t>
            </w:r>
            <w:r w:rsidR="006D4235">
              <w:rPr>
                <w:rFonts w:ascii="Book Antiqua" w:hAnsi="Book Antiqua"/>
                <w:sz w:val="24"/>
                <w:szCs w:val="24"/>
              </w:rPr>
              <w:t>-</w:t>
            </w:r>
            <w:r w:rsidRPr="00FD080D">
              <w:rPr>
                <w:rFonts w:ascii="Book Antiqua" w:hAnsi="Book Antiqua"/>
                <w:sz w:val="24"/>
                <w:szCs w:val="24"/>
              </w:rPr>
              <w:t>began mercaptopurine</w:t>
            </w:r>
          </w:p>
        </w:tc>
      </w:tr>
      <w:tr w:rsidR="00D53981" w:rsidRPr="00FD080D" w14:paraId="67E8AE8A" w14:textId="77777777" w:rsidTr="006D4235">
        <w:trPr>
          <w:trHeight w:val="792"/>
        </w:trPr>
        <w:tc>
          <w:tcPr>
            <w:tcW w:w="994" w:type="pct"/>
          </w:tcPr>
          <w:p w14:paraId="3A266025" w14:textId="1D553596"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2005 (13</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6D434E0B" w14:textId="146DEE79"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15</w:t>
            </w:r>
          </w:p>
        </w:tc>
        <w:tc>
          <w:tcPr>
            <w:tcW w:w="956" w:type="pct"/>
          </w:tcPr>
          <w:p w14:paraId="4A15FDB2" w14:textId="586265A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Not done</w:t>
            </w:r>
          </w:p>
        </w:tc>
        <w:tc>
          <w:tcPr>
            <w:tcW w:w="1010" w:type="pct"/>
          </w:tcPr>
          <w:p w14:paraId="48B27FB0" w14:textId="51E2C5BB"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Asacol</w:t>
            </w:r>
            <w:proofErr w:type="spellEnd"/>
            <w:r w:rsidRPr="00FD080D">
              <w:rPr>
                <w:rFonts w:ascii="Book Antiqua" w:hAnsi="Book Antiqua"/>
                <w:sz w:val="24"/>
                <w:szCs w:val="24"/>
              </w:rPr>
              <w:t>)</w:t>
            </w:r>
          </w:p>
        </w:tc>
        <w:tc>
          <w:tcPr>
            <w:tcW w:w="1043" w:type="pct"/>
          </w:tcPr>
          <w:p w14:paraId="02D95D9B" w14:textId="03C87FC3"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Ileal phlegmon, treated with antibiotics and subsequent mercaptopurine</w:t>
            </w:r>
          </w:p>
        </w:tc>
      </w:tr>
      <w:tr w:rsidR="00D53981" w:rsidRPr="00FD080D" w14:paraId="1874E72B" w14:textId="77777777" w:rsidTr="006D4235">
        <w:trPr>
          <w:trHeight w:val="595"/>
        </w:trPr>
        <w:tc>
          <w:tcPr>
            <w:tcW w:w="994" w:type="pct"/>
          </w:tcPr>
          <w:p w14:paraId="647CDCEB" w14:textId="68F574F6"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2010 (16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25340CB9" w14:textId="3DDA13BD"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43</w:t>
            </w:r>
          </w:p>
        </w:tc>
        <w:tc>
          <w:tcPr>
            <w:tcW w:w="956" w:type="pct"/>
          </w:tcPr>
          <w:p w14:paraId="58D8D784" w14:textId="60CD27B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2014</w:t>
            </w:r>
            <w:r w:rsidR="006D4235">
              <w:rPr>
                <w:rFonts w:ascii="Book Antiqua" w:hAnsi="Book Antiqua"/>
                <w:sz w:val="24"/>
                <w:szCs w:val="24"/>
              </w:rPr>
              <w:t>-</w:t>
            </w:r>
            <w:r w:rsidRPr="00FD080D">
              <w:rPr>
                <w:rFonts w:ascii="Book Antiqua" w:hAnsi="Book Antiqua"/>
                <w:sz w:val="24"/>
                <w:szCs w:val="24"/>
              </w:rPr>
              <w:t>nonnecrotizing granuloma throughout the colon</w:t>
            </w:r>
          </w:p>
        </w:tc>
        <w:tc>
          <w:tcPr>
            <w:tcW w:w="1010" w:type="pct"/>
          </w:tcPr>
          <w:p w14:paraId="11D0D9A5" w14:textId="5002C805"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Asacol</w:t>
            </w:r>
            <w:proofErr w:type="spellEnd"/>
            <w:r w:rsidRPr="00FD080D">
              <w:rPr>
                <w:rFonts w:ascii="Book Antiqua" w:hAnsi="Book Antiqua"/>
                <w:sz w:val="24"/>
                <w:szCs w:val="24"/>
              </w:rPr>
              <w:t>)</w:t>
            </w:r>
          </w:p>
        </w:tc>
        <w:tc>
          <w:tcPr>
            <w:tcW w:w="1043" w:type="pct"/>
          </w:tcPr>
          <w:p w14:paraId="143A37A1" w14:textId="15C04C2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Stayed on ASA, no escalation.</w:t>
            </w:r>
          </w:p>
        </w:tc>
      </w:tr>
      <w:tr w:rsidR="00D53981" w:rsidRPr="00FD080D" w14:paraId="1CE56055" w14:textId="77777777" w:rsidTr="006D4235">
        <w:trPr>
          <w:trHeight w:val="401"/>
        </w:trPr>
        <w:tc>
          <w:tcPr>
            <w:tcW w:w="994" w:type="pct"/>
          </w:tcPr>
          <w:p w14:paraId="57D521A1" w14:textId="2B94E76C"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2010 (16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2678027E" w14:textId="0D36099A"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w:t>
            </w:r>
          </w:p>
        </w:tc>
        <w:tc>
          <w:tcPr>
            <w:tcW w:w="956" w:type="pct"/>
          </w:tcPr>
          <w:p w14:paraId="65046FEA" w14:textId="6D1B0A7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Not done</w:t>
            </w:r>
          </w:p>
        </w:tc>
        <w:tc>
          <w:tcPr>
            <w:tcW w:w="1010" w:type="pct"/>
          </w:tcPr>
          <w:p w14:paraId="76466388" w14:textId="416DA045"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Asacol</w:t>
            </w:r>
            <w:proofErr w:type="spellEnd"/>
            <w:r w:rsidRPr="00FD080D">
              <w:rPr>
                <w:rFonts w:ascii="Book Antiqua" w:hAnsi="Book Antiqua"/>
                <w:sz w:val="24"/>
                <w:szCs w:val="24"/>
              </w:rPr>
              <w:t>), hydrocortisone</w:t>
            </w:r>
          </w:p>
        </w:tc>
        <w:tc>
          <w:tcPr>
            <w:tcW w:w="1043" w:type="pct"/>
          </w:tcPr>
          <w:p w14:paraId="05655E75" w14:textId="25AA4884"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Stayed on ASA, no steroid after initial induction</w:t>
            </w:r>
          </w:p>
        </w:tc>
      </w:tr>
      <w:tr w:rsidR="00D53981" w:rsidRPr="00FD080D" w14:paraId="02406BBB" w14:textId="77777777" w:rsidTr="006D4235">
        <w:trPr>
          <w:trHeight w:val="792"/>
        </w:trPr>
        <w:tc>
          <w:tcPr>
            <w:tcW w:w="994" w:type="pct"/>
          </w:tcPr>
          <w:p w14:paraId="26AD6EB4" w14:textId="3FEB36AA"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2008 (14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667CB05A" w14:textId="10ACB471"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63</w:t>
            </w:r>
          </w:p>
        </w:tc>
        <w:tc>
          <w:tcPr>
            <w:tcW w:w="956" w:type="pct"/>
          </w:tcPr>
          <w:p w14:paraId="5886590A" w14:textId="0A22C61C"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2010</w:t>
            </w:r>
            <w:r w:rsidR="006D4235">
              <w:rPr>
                <w:rFonts w:ascii="Book Antiqua" w:hAnsi="Book Antiqua"/>
                <w:sz w:val="24"/>
                <w:szCs w:val="24"/>
              </w:rPr>
              <w:t>-</w:t>
            </w:r>
            <w:r w:rsidRPr="00FD080D">
              <w:rPr>
                <w:rFonts w:ascii="Book Antiqua" w:hAnsi="Book Antiqua"/>
                <w:sz w:val="24"/>
                <w:szCs w:val="24"/>
              </w:rPr>
              <w:t>mild active</w:t>
            </w:r>
          </w:p>
          <w:p w14:paraId="3512C780" w14:textId="3F8AF96C"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ileitis colitis in</w:t>
            </w:r>
          </w:p>
          <w:p w14:paraId="2C7C3E70" w14:textId="518F7AC7"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ascending and sigmoid colon</w:t>
            </w:r>
          </w:p>
        </w:tc>
        <w:tc>
          <w:tcPr>
            <w:tcW w:w="1010" w:type="pct"/>
          </w:tcPr>
          <w:p w14:paraId="3574065C" w14:textId="0865F645"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Asacol</w:t>
            </w:r>
            <w:proofErr w:type="spellEnd"/>
            <w:r w:rsidRPr="00FD080D">
              <w:rPr>
                <w:rFonts w:ascii="Book Antiqua" w:hAnsi="Book Antiqua"/>
                <w:sz w:val="24"/>
                <w:szCs w:val="24"/>
              </w:rPr>
              <w:t>), metronidazole</w:t>
            </w:r>
          </w:p>
        </w:tc>
        <w:tc>
          <w:tcPr>
            <w:tcW w:w="1043" w:type="pct"/>
          </w:tcPr>
          <w:p w14:paraId="3F24CFB0" w14:textId="4AA55D9A"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Stayed on ASA, no escalation</w:t>
            </w:r>
          </w:p>
        </w:tc>
      </w:tr>
      <w:tr w:rsidR="00D53981" w:rsidRPr="00FD080D" w14:paraId="0D4403C5" w14:textId="77777777" w:rsidTr="006D4235">
        <w:trPr>
          <w:trHeight w:val="790"/>
        </w:trPr>
        <w:tc>
          <w:tcPr>
            <w:tcW w:w="994" w:type="pct"/>
          </w:tcPr>
          <w:p w14:paraId="7C71A1C6" w14:textId="3D9CFCB0"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2012 (17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2E5815A8" w14:textId="4504C10D"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7</w:t>
            </w:r>
          </w:p>
        </w:tc>
        <w:tc>
          <w:tcPr>
            <w:tcW w:w="956" w:type="pct"/>
          </w:tcPr>
          <w:p w14:paraId="044387A8" w14:textId="50C4B651"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2014</w:t>
            </w:r>
            <w:r w:rsidR="006D4235">
              <w:rPr>
                <w:rFonts w:ascii="Book Antiqua" w:hAnsi="Book Antiqua"/>
                <w:sz w:val="24"/>
                <w:szCs w:val="24"/>
              </w:rPr>
              <w:t>-</w:t>
            </w:r>
            <w:r w:rsidRPr="00FD080D">
              <w:rPr>
                <w:rFonts w:ascii="Book Antiqua" w:hAnsi="Book Antiqua"/>
                <w:sz w:val="24"/>
                <w:szCs w:val="24"/>
              </w:rPr>
              <w:t>nonnecrotizing granulomas in left colon</w:t>
            </w:r>
          </w:p>
        </w:tc>
        <w:tc>
          <w:tcPr>
            <w:tcW w:w="1010" w:type="pct"/>
          </w:tcPr>
          <w:p w14:paraId="2DB7DF4C" w14:textId="522020B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Pentasa</w:t>
            </w:r>
            <w:proofErr w:type="spellEnd"/>
            <w:r w:rsidRPr="00FD080D">
              <w:rPr>
                <w:rFonts w:ascii="Book Antiqua" w:hAnsi="Book Antiqua"/>
                <w:sz w:val="24"/>
                <w:szCs w:val="24"/>
              </w:rPr>
              <w:t>)</w:t>
            </w:r>
          </w:p>
        </w:tc>
        <w:tc>
          <w:tcPr>
            <w:tcW w:w="1043" w:type="pct"/>
          </w:tcPr>
          <w:p w14:paraId="01FE20FC" w14:textId="3593C14E"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Escalation to mercaptopurine, then adalimumab</w:t>
            </w:r>
          </w:p>
        </w:tc>
      </w:tr>
      <w:tr w:rsidR="00D53981" w:rsidRPr="00FD080D" w14:paraId="0BE34F9A" w14:textId="77777777" w:rsidTr="006D4235">
        <w:trPr>
          <w:trHeight w:val="792"/>
        </w:trPr>
        <w:tc>
          <w:tcPr>
            <w:tcW w:w="994" w:type="pct"/>
          </w:tcPr>
          <w:p w14:paraId="05515418" w14:textId="1330A9CE"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lastRenderedPageBreak/>
              <w:t>2008 (14</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1C13D7AE" w14:textId="006BA95A"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65</w:t>
            </w:r>
          </w:p>
        </w:tc>
        <w:tc>
          <w:tcPr>
            <w:tcW w:w="956" w:type="pct"/>
          </w:tcPr>
          <w:p w14:paraId="4045F6EB" w14:textId="18B4C3EE"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2012</w:t>
            </w:r>
            <w:r w:rsidR="006D4235">
              <w:rPr>
                <w:rFonts w:ascii="Book Antiqua" w:hAnsi="Book Antiqua"/>
                <w:sz w:val="24"/>
                <w:szCs w:val="24"/>
              </w:rPr>
              <w:t>-</w:t>
            </w:r>
            <w:r w:rsidRPr="00FD080D">
              <w:rPr>
                <w:rFonts w:ascii="Book Antiqua" w:hAnsi="Book Antiqua"/>
                <w:sz w:val="24"/>
                <w:szCs w:val="24"/>
              </w:rPr>
              <w:t>normal ileum,</w:t>
            </w:r>
          </w:p>
          <w:p w14:paraId="571E7DF8" w14:textId="47EFB4FD"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chronic active colitis</w:t>
            </w:r>
            <w:r w:rsidR="005A2593">
              <w:rPr>
                <w:rFonts w:ascii="Book Antiqua" w:hAnsi="Book Antiqua"/>
                <w:sz w:val="24"/>
                <w:szCs w:val="24"/>
              </w:rPr>
              <w:t xml:space="preserve"> </w:t>
            </w:r>
            <w:r w:rsidRPr="00FD080D">
              <w:rPr>
                <w:rFonts w:ascii="Book Antiqua" w:hAnsi="Book Antiqua"/>
                <w:sz w:val="24"/>
                <w:szCs w:val="24"/>
              </w:rPr>
              <w:t>2016</w:t>
            </w:r>
            <w:r w:rsidR="006D4235">
              <w:rPr>
                <w:rFonts w:ascii="Book Antiqua" w:hAnsi="Book Antiqua"/>
                <w:sz w:val="24"/>
                <w:szCs w:val="24"/>
              </w:rPr>
              <w:t>-</w:t>
            </w:r>
            <w:r w:rsidRPr="00FD080D">
              <w:rPr>
                <w:rFonts w:ascii="Book Antiqua" w:hAnsi="Book Antiqua"/>
                <w:sz w:val="24"/>
                <w:szCs w:val="24"/>
              </w:rPr>
              <w:t>normal colonoscopy</w:t>
            </w:r>
          </w:p>
        </w:tc>
        <w:tc>
          <w:tcPr>
            <w:tcW w:w="1010" w:type="pct"/>
          </w:tcPr>
          <w:p w14:paraId="47D382D0" w14:textId="389EC8D3"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Pentasa</w:t>
            </w:r>
            <w:proofErr w:type="spellEnd"/>
            <w:r w:rsidRPr="00FD080D">
              <w:rPr>
                <w:rFonts w:ascii="Book Antiqua" w:hAnsi="Book Antiqua"/>
                <w:sz w:val="24"/>
                <w:szCs w:val="24"/>
              </w:rPr>
              <w:t>), budesonide</w:t>
            </w:r>
          </w:p>
        </w:tc>
        <w:tc>
          <w:tcPr>
            <w:tcW w:w="1043" w:type="pct"/>
          </w:tcPr>
          <w:p w14:paraId="184E38BC" w14:textId="3E8B175A"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r w:rsidR="00D53981" w:rsidRPr="00FD080D" w14:paraId="17FBEB93" w14:textId="77777777" w:rsidTr="006D4235">
        <w:trPr>
          <w:trHeight w:val="595"/>
        </w:trPr>
        <w:tc>
          <w:tcPr>
            <w:tcW w:w="994" w:type="pct"/>
          </w:tcPr>
          <w:p w14:paraId="2A718F7A" w14:textId="4CEF070C"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2008 (13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619A0E90" w14:textId="790BA33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47</w:t>
            </w:r>
          </w:p>
        </w:tc>
        <w:tc>
          <w:tcPr>
            <w:tcW w:w="956" w:type="pct"/>
          </w:tcPr>
          <w:p w14:paraId="6E2DA2F2" w14:textId="6455514D"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2014</w:t>
            </w:r>
            <w:r w:rsidR="006D4235">
              <w:rPr>
                <w:rFonts w:ascii="Book Antiqua" w:hAnsi="Book Antiqua"/>
                <w:sz w:val="24"/>
                <w:szCs w:val="24"/>
              </w:rPr>
              <w:t>-</w:t>
            </w:r>
            <w:r w:rsidRPr="00FD080D">
              <w:rPr>
                <w:rFonts w:ascii="Book Antiqua" w:hAnsi="Book Antiqua"/>
                <w:sz w:val="24"/>
                <w:szCs w:val="24"/>
              </w:rPr>
              <w:t>mild active colitis, in ascending, granuloma in ileum</w:t>
            </w:r>
          </w:p>
        </w:tc>
        <w:tc>
          <w:tcPr>
            <w:tcW w:w="1010" w:type="pct"/>
          </w:tcPr>
          <w:p w14:paraId="67D108AF" w14:textId="5DC3156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Pentasa</w:t>
            </w:r>
            <w:proofErr w:type="spellEnd"/>
            <w:r w:rsidRPr="00FD080D">
              <w:rPr>
                <w:rFonts w:ascii="Book Antiqua" w:hAnsi="Book Antiqua"/>
                <w:sz w:val="24"/>
                <w:szCs w:val="24"/>
              </w:rPr>
              <w:t>), metronidazole</w:t>
            </w:r>
          </w:p>
        </w:tc>
        <w:tc>
          <w:tcPr>
            <w:tcW w:w="1043" w:type="pct"/>
          </w:tcPr>
          <w:p w14:paraId="59471BA2" w14:textId="2018C46C"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6MP initiated</w:t>
            </w:r>
          </w:p>
        </w:tc>
      </w:tr>
      <w:tr w:rsidR="00D53981" w:rsidRPr="00FD080D" w14:paraId="57ACF809" w14:textId="77777777" w:rsidTr="006D4235">
        <w:trPr>
          <w:trHeight w:val="401"/>
        </w:trPr>
        <w:tc>
          <w:tcPr>
            <w:tcW w:w="994" w:type="pct"/>
          </w:tcPr>
          <w:p w14:paraId="36891216" w14:textId="347DA7BA"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2007 (12</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4387ABDC" w14:textId="713418F5"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71</w:t>
            </w:r>
          </w:p>
        </w:tc>
        <w:tc>
          <w:tcPr>
            <w:tcW w:w="956" w:type="pct"/>
          </w:tcPr>
          <w:p w14:paraId="46D8F6E8" w14:textId="47100FE1"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2016</w:t>
            </w:r>
            <w:r w:rsidR="006D4235">
              <w:rPr>
                <w:rFonts w:ascii="Book Antiqua" w:hAnsi="Book Antiqua"/>
                <w:sz w:val="24"/>
                <w:szCs w:val="24"/>
              </w:rPr>
              <w:t>-</w:t>
            </w:r>
            <w:r w:rsidRPr="00FD080D">
              <w:rPr>
                <w:rFonts w:ascii="Book Antiqua" w:hAnsi="Book Antiqua"/>
                <w:sz w:val="24"/>
                <w:szCs w:val="24"/>
              </w:rPr>
              <w:t>Inactive colitis at IC valve</w:t>
            </w:r>
          </w:p>
        </w:tc>
        <w:tc>
          <w:tcPr>
            <w:tcW w:w="1010" w:type="pct"/>
          </w:tcPr>
          <w:p w14:paraId="0C84EFE9" w14:textId="1889287F"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Asacol</w:t>
            </w:r>
            <w:proofErr w:type="spellEnd"/>
            <w:r w:rsidRPr="00FD080D">
              <w:rPr>
                <w:rFonts w:ascii="Book Antiqua" w:hAnsi="Book Antiqua"/>
                <w:sz w:val="24"/>
                <w:szCs w:val="24"/>
              </w:rPr>
              <w:t>)</w:t>
            </w:r>
          </w:p>
        </w:tc>
        <w:tc>
          <w:tcPr>
            <w:tcW w:w="1043" w:type="pct"/>
          </w:tcPr>
          <w:p w14:paraId="62F47803" w14:textId="60E34350"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Ileal stricture in 2016, no surgery yet</w:t>
            </w:r>
          </w:p>
        </w:tc>
      </w:tr>
      <w:tr w:rsidR="00D53981" w:rsidRPr="00FD080D" w14:paraId="67082ADF" w14:textId="77777777" w:rsidTr="006D4235">
        <w:trPr>
          <w:trHeight w:val="598"/>
        </w:trPr>
        <w:tc>
          <w:tcPr>
            <w:tcW w:w="994" w:type="pct"/>
          </w:tcPr>
          <w:p w14:paraId="21B44F28" w14:textId="53985ABE"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2008 (13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1D4D7BDD" w14:textId="099A303A"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21</w:t>
            </w:r>
          </w:p>
        </w:tc>
        <w:tc>
          <w:tcPr>
            <w:tcW w:w="956" w:type="pct"/>
          </w:tcPr>
          <w:p w14:paraId="409587F4" w14:textId="39FAEDB1"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2009</w:t>
            </w:r>
            <w:r w:rsidR="006D4235">
              <w:rPr>
                <w:rFonts w:ascii="Book Antiqua" w:hAnsi="Book Antiqua"/>
                <w:sz w:val="24"/>
                <w:szCs w:val="24"/>
              </w:rPr>
              <w:t>-</w:t>
            </w:r>
            <w:r w:rsidRPr="00FD080D">
              <w:rPr>
                <w:rFonts w:ascii="Book Antiqua" w:hAnsi="Book Antiqua"/>
                <w:sz w:val="24"/>
                <w:szCs w:val="24"/>
              </w:rPr>
              <w:t>active colitis in cecum, inactive in remainder of colon</w:t>
            </w:r>
          </w:p>
        </w:tc>
        <w:tc>
          <w:tcPr>
            <w:tcW w:w="1010" w:type="pct"/>
          </w:tcPr>
          <w:p w14:paraId="438D7E19" w14:textId="50A5F4DB"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Pentasa</w:t>
            </w:r>
            <w:proofErr w:type="spellEnd"/>
            <w:r w:rsidRPr="00FD080D">
              <w:rPr>
                <w:rFonts w:ascii="Book Antiqua" w:hAnsi="Book Antiqua"/>
                <w:sz w:val="24"/>
                <w:szCs w:val="24"/>
              </w:rPr>
              <w:t xml:space="preserve">, </w:t>
            </w:r>
            <w:proofErr w:type="spellStart"/>
            <w:r w:rsidRPr="00FD080D">
              <w:rPr>
                <w:rFonts w:ascii="Book Antiqua" w:hAnsi="Book Antiqua"/>
                <w:sz w:val="24"/>
                <w:szCs w:val="24"/>
              </w:rPr>
              <w:t>Lialda</w:t>
            </w:r>
            <w:proofErr w:type="spellEnd"/>
            <w:r w:rsidRPr="00FD080D">
              <w:rPr>
                <w:rFonts w:ascii="Book Antiqua" w:hAnsi="Book Antiqua"/>
                <w:sz w:val="24"/>
                <w:szCs w:val="24"/>
              </w:rPr>
              <w:t>)</w:t>
            </w:r>
          </w:p>
        </w:tc>
        <w:tc>
          <w:tcPr>
            <w:tcW w:w="1043" w:type="pct"/>
          </w:tcPr>
          <w:p w14:paraId="262B527C" w14:textId="09AF4F67"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Discontinued all therapy, never hospitalized</w:t>
            </w:r>
          </w:p>
        </w:tc>
      </w:tr>
      <w:tr w:rsidR="00D53981" w:rsidRPr="00FD080D" w14:paraId="739FA987" w14:textId="77777777" w:rsidTr="006D4235">
        <w:trPr>
          <w:trHeight w:val="398"/>
        </w:trPr>
        <w:tc>
          <w:tcPr>
            <w:tcW w:w="994" w:type="pct"/>
          </w:tcPr>
          <w:p w14:paraId="3F61A652" w14:textId="16DE1281"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2005 (10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2036748D" w14:textId="2585CDBA"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14</w:t>
            </w:r>
          </w:p>
        </w:tc>
        <w:tc>
          <w:tcPr>
            <w:tcW w:w="956" w:type="pct"/>
          </w:tcPr>
          <w:p w14:paraId="64221A1D" w14:textId="193231F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None prior to escalation</w:t>
            </w:r>
          </w:p>
        </w:tc>
        <w:tc>
          <w:tcPr>
            <w:tcW w:w="1010" w:type="pct"/>
          </w:tcPr>
          <w:p w14:paraId="0B50C306" w14:textId="35B3789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Pentasa</w:t>
            </w:r>
            <w:proofErr w:type="spellEnd"/>
            <w:r w:rsidRPr="00FD080D">
              <w:rPr>
                <w:rFonts w:ascii="Book Antiqua" w:hAnsi="Book Antiqua"/>
                <w:sz w:val="24"/>
                <w:szCs w:val="24"/>
              </w:rPr>
              <w:t>), metronidazole</w:t>
            </w:r>
          </w:p>
        </w:tc>
        <w:tc>
          <w:tcPr>
            <w:tcW w:w="1043" w:type="pct"/>
          </w:tcPr>
          <w:p w14:paraId="345673A7" w14:textId="41262AF9"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6MP, then infliximab</w:t>
            </w:r>
          </w:p>
        </w:tc>
      </w:tr>
      <w:tr w:rsidR="00D53981" w:rsidRPr="00FD080D" w14:paraId="4EDF1F7B" w14:textId="77777777" w:rsidTr="006D4235">
        <w:trPr>
          <w:trHeight w:val="401"/>
        </w:trPr>
        <w:tc>
          <w:tcPr>
            <w:tcW w:w="994" w:type="pct"/>
          </w:tcPr>
          <w:p w14:paraId="4F379468" w14:textId="60788C6B"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2010 (15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22453712" w14:textId="704B5E6F"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6</w:t>
            </w:r>
          </w:p>
        </w:tc>
        <w:tc>
          <w:tcPr>
            <w:tcW w:w="956" w:type="pct"/>
          </w:tcPr>
          <w:p w14:paraId="545E667C" w14:textId="1672A93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None</w:t>
            </w:r>
          </w:p>
        </w:tc>
        <w:tc>
          <w:tcPr>
            <w:tcW w:w="1010" w:type="pct"/>
          </w:tcPr>
          <w:p w14:paraId="448E7EAF" w14:textId="47D22AD9"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Pentasa</w:t>
            </w:r>
            <w:proofErr w:type="spellEnd"/>
            <w:r w:rsidRPr="00FD080D">
              <w:rPr>
                <w:rFonts w:ascii="Book Antiqua" w:hAnsi="Book Antiqua"/>
                <w:sz w:val="24"/>
                <w:szCs w:val="24"/>
              </w:rPr>
              <w:t>), prednisone induction</w:t>
            </w:r>
          </w:p>
        </w:tc>
        <w:tc>
          <w:tcPr>
            <w:tcW w:w="1043" w:type="pct"/>
          </w:tcPr>
          <w:p w14:paraId="299EDF09" w14:textId="64C2A371"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r w:rsidR="00D53981" w:rsidRPr="00FD080D" w14:paraId="317442ED" w14:textId="77777777" w:rsidTr="006D4235">
        <w:trPr>
          <w:trHeight w:val="401"/>
        </w:trPr>
        <w:tc>
          <w:tcPr>
            <w:tcW w:w="994" w:type="pct"/>
          </w:tcPr>
          <w:p w14:paraId="60C788E6" w14:textId="72B800D1"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lastRenderedPageBreak/>
              <w:t>2005 (9</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61DBC9E0" w14:textId="1A051360"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85</w:t>
            </w:r>
          </w:p>
        </w:tc>
        <w:tc>
          <w:tcPr>
            <w:tcW w:w="956" w:type="pct"/>
          </w:tcPr>
          <w:p w14:paraId="47DC8CE9" w14:textId="696F5954"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2013</w:t>
            </w:r>
            <w:r w:rsidR="006D4235">
              <w:rPr>
                <w:rFonts w:ascii="Book Antiqua" w:hAnsi="Book Antiqua"/>
                <w:sz w:val="24"/>
                <w:szCs w:val="24"/>
              </w:rPr>
              <w:t>-</w:t>
            </w:r>
            <w:r w:rsidRPr="00FD080D">
              <w:rPr>
                <w:rFonts w:ascii="Book Antiqua" w:hAnsi="Book Antiqua"/>
                <w:sz w:val="24"/>
                <w:szCs w:val="24"/>
              </w:rPr>
              <w:t>focal mild</w:t>
            </w:r>
          </w:p>
          <w:p w14:paraId="7316AE1E" w14:textId="534C567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ileitis</w:t>
            </w:r>
          </w:p>
        </w:tc>
        <w:tc>
          <w:tcPr>
            <w:tcW w:w="1010" w:type="pct"/>
          </w:tcPr>
          <w:p w14:paraId="4822AF2E" w14:textId="329DCFC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Pentasa</w:t>
            </w:r>
            <w:proofErr w:type="spellEnd"/>
            <w:r w:rsidRPr="00FD080D">
              <w:rPr>
                <w:rFonts w:ascii="Book Antiqua" w:hAnsi="Book Antiqua"/>
                <w:sz w:val="24"/>
                <w:szCs w:val="24"/>
              </w:rPr>
              <w:t>), metronidazole</w:t>
            </w:r>
          </w:p>
        </w:tc>
        <w:tc>
          <w:tcPr>
            <w:tcW w:w="1043" w:type="pct"/>
          </w:tcPr>
          <w:p w14:paraId="75A76255" w14:textId="6B38AFC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r w:rsidR="00D53981" w:rsidRPr="00FD080D" w14:paraId="3CD83590" w14:textId="77777777" w:rsidTr="006D4235">
        <w:trPr>
          <w:trHeight w:val="598"/>
        </w:trPr>
        <w:tc>
          <w:tcPr>
            <w:tcW w:w="994" w:type="pct"/>
          </w:tcPr>
          <w:p w14:paraId="5438553D" w14:textId="18044F49"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2000 (4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102AE885" w14:textId="78BC3EC1"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w:t>
            </w:r>
          </w:p>
        </w:tc>
        <w:tc>
          <w:tcPr>
            <w:tcW w:w="956" w:type="pct"/>
          </w:tcPr>
          <w:p w14:paraId="5926E43F" w14:textId="68C06DD1"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Not done</w:t>
            </w:r>
          </w:p>
        </w:tc>
        <w:tc>
          <w:tcPr>
            <w:tcW w:w="1010" w:type="pct"/>
          </w:tcPr>
          <w:p w14:paraId="440F2BFD" w14:textId="3941E6EF"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 xml:space="preserve">Sulfasalazine, </w:t>
            </w:r>
            <w:proofErr w:type="spellStart"/>
            <w:r w:rsidRPr="00FD080D">
              <w:rPr>
                <w:rFonts w:ascii="Book Antiqua" w:hAnsi="Book Antiqua"/>
                <w:sz w:val="24"/>
                <w:szCs w:val="24"/>
              </w:rPr>
              <w:t>flagyl</w:t>
            </w:r>
            <w:proofErr w:type="spellEnd"/>
          </w:p>
        </w:tc>
        <w:tc>
          <w:tcPr>
            <w:tcW w:w="1043" w:type="pct"/>
          </w:tcPr>
          <w:p w14:paraId="1517605B" w14:textId="304529E7"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Begun infliximab for colonic and perianal disease</w:t>
            </w:r>
          </w:p>
        </w:tc>
      </w:tr>
      <w:tr w:rsidR="00D53981" w:rsidRPr="00FD080D" w14:paraId="78A55381" w14:textId="77777777" w:rsidTr="006D4235">
        <w:trPr>
          <w:trHeight w:val="401"/>
        </w:trPr>
        <w:tc>
          <w:tcPr>
            <w:tcW w:w="994" w:type="pct"/>
          </w:tcPr>
          <w:p w14:paraId="4D8B991F" w14:textId="6F098DCF"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2002 (12</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7F7E22DC" w14:textId="68655CE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38</w:t>
            </w:r>
          </w:p>
        </w:tc>
        <w:tc>
          <w:tcPr>
            <w:tcW w:w="956" w:type="pct"/>
          </w:tcPr>
          <w:p w14:paraId="250C41A4" w14:textId="1FA3D404"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2012</w:t>
            </w:r>
            <w:r w:rsidR="006D4235">
              <w:rPr>
                <w:rFonts w:ascii="Book Antiqua" w:hAnsi="Book Antiqua"/>
                <w:sz w:val="24"/>
                <w:szCs w:val="24"/>
              </w:rPr>
              <w:t>-</w:t>
            </w:r>
            <w:r w:rsidRPr="00FD080D">
              <w:rPr>
                <w:rFonts w:ascii="Book Antiqua" w:hAnsi="Book Antiqua"/>
                <w:sz w:val="24"/>
                <w:szCs w:val="24"/>
              </w:rPr>
              <w:t>normal colonoscopy</w:t>
            </w:r>
          </w:p>
        </w:tc>
        <w:tc>
          <w:tcPr>
            <w:tcW w:w="1010" w:type="pct"/>
          </w:tcPr>
          <w:p w14:paraId="623F03D2" w14:textId="7E306EF9"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(mesalamine), prednisone</w:t>
            </w:r>
          </w:p>
        </w:tc>
        <w:tc>
          <w:tcPr>
            <w:tcW w:w="1043" w:type="pct"/>
          </w:tcPr>
          <w:p w14:paraId="268287ED" w14:textId="231E3BCC"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r w:rsidR="00D53981" w:rsidRPr="00FD080D" w14:paraId="4F943A8C" w14:textId="77777777" w:rsidTr="006D4235">
        <w:trPr>
          <w:trHeight w:val="792"/>
        </w:trPr>
        <w:tc>
          <w:tcPr>
            <w:tcW w:w="994" w:type="pct"/>
          </w:tcPr>
          <w:p w14:paraId="798175D8" w14:textId="4AFA7F15"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2006 (9</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7692D494" w14:textId="59E8C5F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87</w:t>
            </w:r>
          </w:p>
        </w:tc>
        <w:tc>
          <w:tcPr>
            <w:tcW w:w="956" w:type="pct"/>
          </w:tcPr>
          <w:p w14:paraId="79F22E5E" w14:textId="6104FA07"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2016</w:t>
            </w:r>
            <w:r w:rsidR="006D4235">
              <w:rPr>
                <w:rFonts w:ascii="Book Antiqua" w:hAnsi="Book Antiqua"/>
                <w:sz w:val="24"/>
                <w:szCs w:val="24"/>
              </w:rPr>
              <w:t>-</w:t>
            </w:r>
            <w:r w:rsidRPr="00FD080D">
              <w:rPr>
                <w:rFonts w:ascii="Book Antiqua" w:hAnsi="Book Antiqua"/>
                <w:sz w:val="24"/>
                <w:szCs w:val="24"/>
              </w:rPr>
              <w:t>chronic active colitis, non-</w:t>
            </w:r>
          </w:p>
          <w:p w14:paraId="5AE9CF0C" w14:textId="51FF9229"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necrotizing granuloma in transverse colon</w:t>
            </w:r>
          </w:p>
        </w:tc>
        <w:tc>
          <w:tcPr>
            <w:tcW w:w="1010" w:type="pct"/>
          </w:tcPr>
          <w:p w14:paraId="56B8E5C9" w14:textId="54970B4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Pentasa</w:t>
            </w:r>
            <w:proofErr w:type="spellEnd"/>
            <w:r w:rsidRPr="00FD080D">
              <w:rPr>
                <w:rFonts w:ascii="Book Antiqua" w:hAnsi="Book Antiqua"/>
                <w:sz w:val="24"/>
                <w:szCs w:val="24"/>
              </w:rPr>
              <w:t>), two courses of steroids in first two years</w:t>
            </w:r>
          </w:p>
        </w:tc>
        <w:tc>
          <w:tcPr>
            <w:tcW w:w="1043" w:type="pct"/>
          </w:tcPr>
          <w:p w14:paraId="0E54357A" w14:textId="4198A192"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r w:rsidR="00D53981" w:rsidRPr="00FD080D" w14:paraId="1C431368" w14:textId="77777777" w:rsidTr="006D4235">
        <w:trPr>
          <w:trHeight w:val="401"/>
        </w:trPr>
        <w:tc>
          <w:tcPr>
            <w:tcW w:w="994" w:type="pct"/>
          </w:tcPr>
          <w:p w14:paraId="0496F3AA" w14:textId="35998BA6"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2002 (4</w:t>
            </w:r>
            <w:r w:rsidR="006D4235">
              <w:rPr>
                <w:rFonts w:ascii="Book Antiqua" w:hAnsi="Book Antiqua"/>
                <w:sz w:val="24"/>
                <w:szCs w:val="24"/>
              </w:rPr>
              <w:t xml:space="preserve"> </w:t>
            </w:r>
            <w:proofErr w:type="spellStart"/>
            <w:r w:rsidR="006D4235"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2E0E7C54" w14:textId="177B44C5"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136</w:t>
            </w:r>
          </w:p>
        </w:tc>
        <w:tc>
          <w:tcPr>
            <w:tcW w:w="956" w:type="pct"/>
          </w:tcPr>
          <w:p w14:paraId="7CC46580" w14:textId="5E815C60"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2010</w:t>
            </w:r>
            <w:r w:rsidR="006D4235">
              <w:rPr>
                <w:rFonts w:ascii="Book Antiqua" w:hAnsi="Book Antiqua"/>
                <w:sz w:val="24"/>
                <w:szCs w:val="24"/>
              </w:rPr>
              <w:t>-</w:t>
            </w:r>
            <w:r w:rsidRPr="00FD080D">
              <w:rPr>
                <w:rFonts w:ascii="Book Antiqua" w:hAnsi="Book Antiqua"/>
                <w:sz w:val="24"/>
                <w:szCs w:val="24"/>
              </w:rPr>
              <w:t>mild active colitis</w:t>
            </w:r>
          </w:p>
        </w:tc>
        <w:tc>
          <w:tcPr>
            <w:tcW w:w="1010" w:type="pct"/>
          </w:tcPr>
          <w:p w14:paraId="1576C82E" w14:textId="6B02AEBA"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Sulfasalazine, budesonide</w:t>
            </w:r>
          </w:p>
        </w:tc>
        <w:tc>
          <w:tcPr>
            <w:tcW w:w="1043" w:type="pct"/>
          </w:tcPr>
          <w:p w14:paraId="08EA36C0" w14:textId="60F5FDF2"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r w:rsidR="00D53981" w:rsidRPr="00FD080D" w14:paraId="353F3C09" w14:textId="77777777" w:rsidTr="006D4235">
        <w:trPr>
          <w:trHeight w:val="278"/>
        </w:trPr>
        <w:tc>
          <w:tcPr>
            <w:tcW w:w="994" w:type="pct"/>
          </w:tcPr>
          <w:p w14:paraId="544C4456" w14:textId="36B54D5A"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2001 (3</w:t>
            </w:r>
            <w:r w:rsidR="006D4235">
              <w:rPr>
                <w:rFonts w:ascii="Book Antiqua" w:hAnsi="Book Antiqua"/>
                <w:sz w:val="24"/>
                <w:szCs w:val="24"/>
              </w:rPr>
              <w:t xml:space="preserve"> </w:t>
            </w:r>
            <w:proofErr w:type="spellStart"/>
            <w:r w:rsidR="006D4235"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0CE682FE" w14:textId="581C07CD"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100</w:t>
            </w:r>
          </w:p>
        </w:tc>
        <w:tc>
          <w:tcPr>
            <w:tcW w:w="956" w:type="pct"/>
          </w:tcPr>
          <w:p w14:paraId="023C0565" w14:textId="466429F9"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Not done</w:t>
            </w:r>
          </w:p>
        </w:tc>
        <w:tc>
          <w:tcPr>
            <w:tcW w:w="1010" w:type="pct"/>
          </w:tcPr>
          <w:p w14:paraId="53A7B33B" w14:textId="0BAB21E2"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Sulfasalazine, budesonide</w:t>
            </w:r>
          </w:p>
        </w:tc>
        <w:tc>
          <w:tcPr>
            <w:tcW w:w="1043" w:type="pct"/>
          </w:tcPr>
          <w:p w14:paraId="6393B979" w14:textId="3F3F8835"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r w:rsidR="00D53981" w:rsidRPr="00FD080D" w14:paraId="33A3DE7F" w14:textId="77777777" w:rsidTr="006D4235">
        <w:trPr>
          <w:trHeight w:val="595"/>
        </w:trPr>
        <w:tc>
          <w:tcPr>
            <w:tcW w:w="994" w:type="pct"/>
          </w:tcPr>
          <w:p w14:paraId="55EF0062" w14:textId="58011680"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2003 (5</w:t>
            </w:r>
            <w:r w:rsidR="006D4235">
              <w:rPr>
                <w:rFonts w:ascii="Book Antiqua" w:hAnsi="Book Antiqua"/>
                <w:sz w:val="24"/>
                <w:szCs w:val="24"/>
              </w:rPr>
              <w:t xml:space="preserve"> </w:t>
            </w:r>
            <w:proofErr w:type="spellStart"/>
            <w:r w:rsidR="006D4235"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4CEE84A5" w14:textId="0359406F"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118</w:t>
            </w:r>
          </w:p>
        </w:tc>
        <w:tc>
          <w:tcPr>
            <w:tcW w:w="956" w:type="pct"/>
          </w:tcPr>
          <w:p w14:paraId="75638DFF" w14:textId="5AB3E0A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2012</w:t>
            </w:r>
            <w:r w:rsidR="006D4235">
              <w:rPr>
                <w:rFonts w:ascii="Book Antiqua" w:hAnsi="Book Antiqua"/>
                <w:sz w:val="24"/>
                <w:szCs w:val="24"/>
              </w:rPr>
              <w:t>-</w:t>
            </w:r>
            <w:r w:rsidRPr="00FD080D">
              <w:rPr>
                <w:rFonts w:ascii="Book Antiqua" w:hAnsi="Book Antiqua"/>
                <w:sz w:val="24"/>
                <w:szCs w:val="24"/>
              </w:rPr>
              <w:t>focal moderately active</w:t>
            </w:r>
          </w:p>
          <w:p w14:paraId="074B6A99" w14:textId="15740342"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colitis</w:t>
            </w:r>
          </w:p>
        </w:tc>
        <w:tc>
          <w:tcPr>
            <w:tcW w:w="1010" w:type="pct"/>
          </w:tcPr>
          <w:p w14:paraId="734525E7" w14:textId="1EADBF2A"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Sulfasalazine, prednisone</w:t>
            </w:r>
          </w:p>
        </w:tc>
        <w:tc>
          <w:tcPr>
            <w:tcW w:w="1043" w:type="pct"/>
          </w:tcPr>
          <w:p w14:paraId="3ECC0335" w14:textId="0A8B6CFA"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r w:rsidR="00D53981" w:rsidRPr="00FD080D" w14:paraId="7A36B510" w14:textId="77777777" w:rsidTr="006D4235">
        <w:trPr>
          <w:trHeight w:val="401"/>
        </w:trPr>
        <w:tc>
          <w:tcPr>
            <w:tcW w:w="994" w:type="pct"/>
          </w:tcPr>
          <w:p w14:paraId="309B8A99" w14:textId="08ED2773"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 xml:space="preserve">2009 (10 </w:t>
            </w:r>
            <w:proofErr w:type="spellStart"/>
            <w:r w:rsidR="006D4235"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5A20EEF7" w14:textId="21E06792"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41</w:t>
            </w:r>
          </w:p>
        </w:tc>
        <w:tc>
          <w:tcPr>
            <w:tcW w:w="956" w:type="pct"/>
          </w:tcPr>
          <w:p w14:paraId="3C7C5C56" w14:textId="340C59FA"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2014</w:t>
            </w:r>
            <w:r w:rsidR="006D4235">
              <w:rPr>
                <w:rFonts w:ascii="Book Antiqua" w:hAnsi="Book Antiqua"/>
                <w:sz w:val="24"/>
                <w:szCs w:val="24"/>
              </w:rPr>
              <w:t>-</w:t>
            </w:r>
            <w:r w:rsidRPr="00FD080D">
              <w:rPr>
                <w:rFonts w:ascii="Book Antiqua" w:hAnsi="Book Antiqua"/>
                <w:sz w:val="24"/>
                <w:szCs w:val="24"/>
              </w:rPr>
              <w:t>focal acute inflammation</w:t>
            </w:r>
          </w:p>
        </w:tc>
        <w:tc>
          <w:tcPr>
            <w:tcW w:w="1010" w:type="pct"/>
          </w:tcPr>
          <w:p w14:paraId="09EF2A95" w14:textId="3BEC02B0"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5ASA (</w:t>
            </w:r>
            <w:proofErr w:type="spellStart"/>
            <w:r w:rsidRPr="00FD080D">
              <w:rPr>
                <w:rFonts w:ascii="Book Antiqua" w:hAnsi="Book Antiqua"/>
                <w:sz w:val="24"/>
                <w:szCs w:val="24"/>
              </w:rPr>
              <w:t>Asacol</w:t>
            </w:r>
            <w:proofErr w:type="spellEnd"/>
            <w:r w:rsidRPr="00FD080D">
              <w:rPr>
                <w:rFonts w:ascii="Book Antiqua" w:hAnsi="Book Antiqua"/>
                <w:sz w:val="24"/>
                <w:szCs w:val="24"/>
              </w:rPr>
              <w:t>),</w:t>
            </w:r>
          </w:p>
          <w:p w14:paraId="374159B7" w14:textId="682FEE8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Budesonide</w:t>
            </w:r>
          </w:p>
        </w:tc>
        <w:tc>
          <w:tcPr>
            <w:tcW w:w="1043" w:type="pct"/>
          </w:tcPr>
          <w:p w14:paraId="611B952C" w14:textId="11DEB405"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r w:rsidR="00D53981" w:rsidRPr="00FD080D" w14:paraId="1CBDACCF" w14:textId="77777777" w:rsidTr="006D4235">
        <w:trPr>
          <w:trHeight w:val="401"/>
        </w:trPr>
        <w:tc>
          <w:tcPr>
            <w:tcW w:w="994" w:type="pct"/>
          </w:tcPr>
          <w:p w14:paraId="1FCD1F39" w14:textId="091BCC30"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lastRenderedPageBreak/>
              <w:t>2005 (7</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1B33A3A7" w14:textId="27ACEAC6"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99</w:t>
            </w:r>
          </w:p>
        </w:tc>
        <w:tc>
          <w:tcPr>
            <w:tcW w:w="956" w:type="pct"/>
          </w:tcPr>
          <w:p w14:paraId="2719FE42" w14:textId="56C5554A"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2014</w:t>
            </w:r>
            <w:r w:rsidR="006D4235">
              <w:rPr>
                <w:rFonts w:ascii="Book Antiqua" w:hAnsi="Book Antiqua"/>
                <w:sz w:val="24"/>
                <w:szCs w:val="24"/>
              </w:rPr>
              <w:t>-</w:t>
            </w:r>
            <w:r w:rsidRPr="00FD080D">
              <w:rPr>
                <w:rFonts w:ascii="Book Antiqua" w:hAnsi="Book Antiqua"/>
                <w:sz w:val="24"/>
                <w:szCs w:val="24"/>
              </w:rPr>
              <w:t>mildly active colitis</w:t>
            </w:r>
          </w:p>
        </w:tc>
        <w:tc>
          <w:tcPr>
            <w:tcW w:w="1010" w:type="pct"/>
          </w:tcPr>
          <w:p w14:paraId="2B3BF37C" w14:textId="2EF48156" w:rsidR="00D53981" w:rsidRPr="00FD080D" w:rsidRDefault="001B01CA" w:rsidP="006D4235">
            <w:pPr>
              <w:adjustRightInd w:val="0"/>
              <w:snapToGrid w:val="0"/>
              <w:spacing w:line="360" w:lineRule="auto"/>
              <w:jc w:val="center"/>
              <w:rPr>
                <w:rFonts w:ascii="Book Antiqua" w:hAnsi="Book Antiqua"/>
                <w:sz w:val="24"/>
                <w:szCs w:val="24"/>
              </w:rPr>
            </w:pPr>
            <w:proofErr w:type="spellStart"/>
            <w:r w:rsidRPr="00FD080D">
              <w:rPr>
                <w:rFonts w:ascii="Book Antiqua" w:hAnsi="Book Antiqua"/>
                <w:sz w:val="24"/>
                <w:szCs w:val="24"/>
              </w:rPr>
              <w:t>Pentasa</w:t>
            </w:r>
            <w:proofErr w:type="spellEnd"/>
          </w:p>
        </w:tc>
        <w:tc>
          <w:tcPr>
            <w:tcW w:w="1043" w:type="pct"/>
          </w:tcPr>
          <w:p w14:paraId="35F896CB" w14:textId="75127CC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r w:rsidR="00D53981" w:rsidRPr="00FD080D" w14:paraId="2591B2D0" w14:textId="77777777" w:rsidTr="006D4235">
        <w:trPr>
          <w:trHeight w:val="401"/>
        </w:trPr>
        <w:tc>
          <w:tcPr>
            <w:tcW w:w="994" w:type="pct"/>
          </w:tcPr>
          <w:p w14:paraId="339B4A7B" w14:textId="4693F876"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2007 (6</w:t>
            </w:r>
            <w:r w:rsidR="006D4235">
              <w:rPr>
                <w:rFonts w:ascii="Book Antiqua" w:hAnsi="Book Antiqua"/>
                <w:sz w:val="24"/>
                <w:szCs w:val="24"/>
              </w:rPr>
              <w:t xml:space="preserve"> </w:t>
            </w:r>
            <w:proofErr w:type="spellStart"/>
            <w:r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67851CE2" w14:textId="6149FBDE"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97</w:t>
            </w:r>
          </w:p>
        </w:tc>
        <w:tc>
          <w:tcPr>
            <w:tcW w:w="956" w:type="pct"/>
          </w:tcPr>
          <w:p w14:paraId="78B1FFE3" w14:textId="6E504D2F"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2013- chronic inactive colitis</w:t>
            </w:r>
          </w:p>
        </w:tc>
        <w:tc>
          <w:tcPr>
            <w:tcW w:w="1010" w:type="pct"/>
          </w:tcPr>
          <w:p w14:paraId="5FB295FC" w14:textId="19AE069A" w:rsidR="00D53981" w:rsidRPr="00FD080D" w:rsidRDefault="001B01CA" w:rsidP="006D4235">
            <w:pPr>
              <w:adjustRightInd w:val="0"/>
              <w:snapToGrid w:val="0"/>
              <w:spacing w:line="360" w:lineRule="auto"/>
              <w:jc w:val="center"/>
              <w:rPr>
                <w:rFonts w:ascii="Book Antiqua" w:hAnsi="Book Antiqua"/>
                <w:sz w:val="24"/>
                <w:szCs w:val="24"/>
              </w:rPr>
            </w:pPr>
            <w:proofErr w:type="spellStart"/>
            <w:r w:rsidRPr="00FD080D">
              <w:rPr>
                <w:rFonts w:ascii="Book Antiqua" w:hAnsi="Book Antiqua"/>
                <w:sz w:val="24"/>
                <w:szCs w:val="24"/>
              </w:rPr>
              <w:t>Pentasa</w:t>
            </w:r>
            <w:proofErr w:type="spellEnd"/>
            <w:r w:rsidRPr="00FD080D">
              <w:rPr>
                <w:rFonts w:ascii="Book Antiqua" w:hAnsi="Book Antiqua"/>
                <w:sz w:val="24"/>
                <w:szCs w:val="24"/>
              </w:rPr>
              <w:t>, Sulfasalazine</w:t>
            </w:r>
          </w:p>
        </w:tc>
        <w:tc>
          <w:tcPr>
            <w:tcW w:w="1043" w:type="pct"/>
          </w:tcPr>
          <w:p w14:paraId="6130BB63" w14:textId="4440059B"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r w:rsidR="00D53981" w:rsidRPr="00FD080D" w14:paraId="7D1F1FFF" w14:textId="77777777" w:rsidTr="006D4235">
        <w:trPr>
          <w:trHeight w:val="595"/>
        </w:trPr>
        <w:tc>
          <w:tcPr>
            <w:tcW w:w="994" w:type="pct"/>
          </w:tcPr>
          <w:p w14:paraId="618593FA" w14:textId="4B1AA9E3"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2012 (10</w:t>
            </w:r>
            <w:r w:rsidR="006D4235">
              <w:rPr>
                <w:rFonts w:ascii="Book Antiqua" w:hAnsi="Book Antiqua"/>
                <w:sz w:val="24"/>
                <w:szCs w:val="24"/>
              </w:rPr>
              <w:t xml:space="preserve"> </w:t>
            </w:r>
            <w:proofErr w:type="spellStart"/>
            <w:r w:rsidR="006D4235"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5C8AC36C" w14:textId="6723E5F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16</w:t>
            </w:r>
          </w:p>
        </w:tc>
        <w:tc>
          <w:tcPr>
            <w:tcW w:w="956" w:type="pct"/>
          </w:tcPr>
          <w:p w14:paraId="5277EBC3" w14:textId="3E25611E"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2013</w:t>
            </w:r>
            <w:r w:rsidR="006D4235">
              <w:rPr>
                <w:rFonts w:ascii="Book Antiqua" w:hAnsi="Book Antiqua"/>
                <w:sz w:val="24"/>
                <w:szCs w:val="24"/>
              </w:rPr>
              <w:t>-</w:t>
            </w:r>
            <w:r w:rsidRPr="00FD080D">
              <w:rPr>
                <w:rFonts w:ascii="Book Antiqua" w:hAnsi="Book Antiqua"/>
                <w:sz w:val="24"/>
                <w:szCs w:val="24"/>
              </w:rPr>
              <w:t>mild active</w:t>
            </w:r>
          </w:p>
          <w:p w14:paraId="5D9C7666" w14:textId="43911282"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colitis with</w:t>
            </w:r>
          </w:p>
          <w:p w14:paraId="567709BC" w14:textId="2F7FD793"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granulomata</w:t>
            </w:r>
          </w:p>
        </w:tc>
        <w:tc>
          <w:tcPr>
            <w:tcW w:w="1010" w:type="pct"/>
          </w:tcPr>
          <w:p w14:paraId="2FBD539B" w14:textId="567DEDC7" w:rsidR="00D53981" w:rsidRPr="00FD080D" w:rsidRDefault="001B01CA" w:rsidP="006D4235">
            <w:pPr>
              <w:adjustRightInd w:val="0"/>
              <w:snapToGrid w:val="0"/>
              <w:spacing w:line="360" w:lineRule="auto"/>
              <w:jc w:val="center"/>
              <w:rPr>
                <w:rFonts w:ascii="Book Antiqua" w:hAnsi="Book Antiqua"/>
                <w:sz w:val="24"/>
                <w:szCs w:val="24"/>
              </w:rPr>
            </w:pPr>
            <w:proofErr w:type="spellStart"/>
            <w:r w:rsidRPr="00FD080D">
              <w:rPr>
                <w:rFonts w:ascii="Book Antiqua" w:hAnsi="Book Antiqua"/>
                <w:sz w:val="24"/>
                <w:szCs w:val="24"/>
              </w:rPr>
              <w:t>Asacol</w:t>
            </w:r>
            <w:proofErr w:type="spellEnd"/>
            <w:r w:rsidRPr="00FD080D">
              <w:rPr>
                <w:rFonts w:ascii="Book Antiqua" w:hAnsi="Book Antiqua"/>
                <w:sz w:val="24"/>
                <w:szCs w:val="24"/>
              </w:rPr>
              <w:t>, prednisone induction</w:t>
            </w:r>
          </w:p>
        </w:tc>
        <w:tc>
          <w:tcPr>
            <w:tcW w:w="1043" w:type="pct"/>
          </w:tcPr>
          <w:p w14:paraId="0D3D20C7" w14:textId="3817E128"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r w:rsidR="00D53981" w:rsidRPr="00FD080D" w14:paraId="4F4CB3D4" w14:textId="77777777" w:rsidTr="006D4235">
        <w:trPr>
          <w:trHeight w:val="278"/>
        </w:trPr>
        <w:tc>
          <w:tcPr>
            <w:tcW w:w="994" w:type="pct"/>
          </w:tcPr>
          <w:p w14:paraId="2E1B7233" w14:textId="666AB19D"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2008 (3</w:t>
            </w:r>
            <w:r w:rsidR="006D4235">
              <w:rPr>
                <w:rFonts w:ascii="Book Antiqua" w:hAnsi="Book Antiqua"/>
                <w:sz w:val="24"/>
                <w:szCs w:val="24"/>
              </w:rPr>
              <w:t xml:space="preserve"> </w:t>
            </w:r>
            <w:proofErr w:type="spellStart"/>
            <w:r w:rsidR="006D4235"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6DF8CC0A" w14:textId="07258AA9"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54</w:t>
            </w:r>
          </w:p>
        </w:tc>
        <w:tc>
          <w:tcPr>
            <w:tcW w:w="956" w:type="pct"/>
          </w:tcPr>
          <w:p w14:paraId="7CB8A0B4" w14:textId="464521AD"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Not done</w:t>
            </w:r>
          </w:p>
        </w:tc>
        <w:tc>
          <w:tcPr>
            <w:tcW w:w="1010" w:type="pct"/>
          </w:tcPr>
          <w:p w14:paraId="51FA0A02" w14:textId="6529D119"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Sulfasalazine, probiotics</w:t>
            </w:r>
          </w:p>
        </w:tc>
        <w:tc>
          <w:tcPr>
            <w:tcW w:w="1043" w:type="pct"/>
          </w:tcPr>
          <w:p w14:paraId="005EC8DF" w14:textId="10479177"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r w:rsidR="00D53981" w:rsidRPr="00FD080D" w14:paraId="5676AB08" w14:textId="77777777" w:rsidTr="006D4235">
        <w:trPr>
          <w:trHeight w:val="598"/>
        </w:trPr>
        <w:tc>
          <w:tcPr>
            <w:tcW w:w="994" w:type="pct"/>
          </w:tcPr>
          <w:p w14:paraId="4C9BBB49" w14:textId="67080F0C" w:rsidR="00D53981" w:rsidRPr="00FD080D" w:rsidRDefault="001B01CA" w:rsidP="00FD080D">
            <w:pPr>
              <w:adjustRightInd w:val="0"/>
              <w:snapToGrid w:val="0"/>
              <w:spacing w:line="360" w:lineRule="auto"/>
              <w:jc w:val="both"/>
              <w:rPr>
                <w:rFonts w:ascii="Book Antiqua" w:hAnsi="Book Antiqua"/>
                <w:sz w:val="24"/>
                <w:szCs w:val="24"/>
              </w:rPr>
            </w:pPr>
            <w:r w:rsidRPr="00FD080D">
              <w:rPr>
                <w:rFonts w:ascii="Book Antiqua" w:hAnsi="Book Antiqua"/>
                <w:sz w:val="24"/>
                <w:szCs w:val="24"/>
              </w:rPr>
              <w:t>2010 (3</w:t>
            </w:r>
            <w:r w:rsidR="006D4235">
              <w:rPr>
                <w:rFonts w:ascii="Book Antiqua" w:hAnsi="Book Antiqua"/>
                <w:sz w:val="24"/>
                <w:szCs w:val="24"/>
              </w:rPr>
              <w:t xml:space="preserve"> </w:t>
            </w:r>
            <w:proofErr w:type="spellStart"/>
            <w:r w:rsidR="006D4235" w:rsidRPr="00FD080D">
              <w:rPr>
                <w:rFonts w:ascii="Book Antiqua" w:hAnsi="Book Antiqua"/>
                <w:sz w:val="24"/>
                <w:szCs w:val="24"/>
              </w:rPr>
              <w:t>y</w:t>
            </w:r>
            <w:r w:rsidR="006D4235">
              <w:rPr>
                <w:rFonts w:ascii="Book Antiqua" w:hAnsi="Book Antiqua"/>
                <w:sz w:val="24"/>
                <w:szCs w:val="24"/>
              </w:rPr>
              <w:t>r</w:t>
            </w:r>
            <w:proofErr w:type="spellEnd"/>
            <w:r w:rsidRPr="00FD080D">
              <w:rPr>
                <w:rFonts w:ascii="Book Antiqua" w:hAnsi="Book Antiqua"/>
                <w:sz w:val="24"/>
                <w:szCs w:val="24"/>
              </w:rPr>
              <w:t xml:space="preserve">) </w:t>
            </w:r>
          </w:p>
        </w:tc>
        <w:tc>
          <w:tcPr>
            <w:tcW w:w="997" w:type="pct"/>
          </w:tcPr>
          <w:p w14:paraId="0D6CBDA2" w14:textId="24A42C7E"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11</w:t>
            </w:r>
          </w:p>
        </w:tc>
        <w:tc>
          <w:tcPr>
            <w:tcW w:w="956" w:type="pct"/>
          </w:tcPr>
          <w:p w14:paraId="1FB3A8B9" w14:textId="46FABFA4"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2012</w:t>
            </w:r>
            <w:r w:rsidR="006D4235">
              <w:rPr>
                <w:rFonts w:ascii="Book Antiqua" w:hAnsi="Book Antiqua"/>
                <w:sz w:val="24"/>
                <w:szCs w:val="24"/>
              </w:rPr>
              <w:t>-</w:t>
            </w:r>
            <w:r w:rsidRPr="00FD080D">
              <w:rPr>
                <w:rFonts w:ascii="Book Antiqua" w:hAnsi="Book Antiqua"/>
                <w:sz w:val="24"/>
                <w:szCs w:val="24"/>
              </w:rPr>
              <w:t>chronic</w:t>
            </w:r>
          </w:p>
          <w:p w14:paraId="4A5C95E0" w14:textId="759F786F"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moderately active</w:t>
            </w:r>
          </w:p>
          <w:p w14:paraId="5CEE95F4" w14:textId="01DC2733"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colitis</w:t>
            </w:r>
          </w:p>
        </w:tc>
        <w:tc>
          <w:tcPr>
            <w:tcW w:w="1010" w:type="pct"/>
          </w:tcPr>
          <w:p w14:paraId="47FB9AD7" w14:textId="75D88027"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Sulfasalazine, prednisone induction</w:t>
            </w:r>
          </w:p>
        </w:tc>
        <w:tc>
          <w:tcPr>
            <w:tcW w:w="1043" w:type="pct"/>
          </w:tcPr>
          <w:p w14:paraId="1A7004D9" w14:textId="0DB953F5" w:rsidR="00D53981" w:rsidRPr="00FD080D" w:rsidRDefault="001B01CA" w:rsidP="006D4235">
            <w:pPr>
              <w:adjustRightInd w:val="0"/>
              <w:snapToGrid w:val="0"/>
              <w:spacing w:line="360" w:lineRule="auto"/>
              <w:jc w:val="center"/>
              <w:rPr>
                <w:rFonts w:ascii="Book Antiqua" w:hAnsi="Book Antiqua"/>
                <w:sz w:val="24"/>
                <w:szCs w:val="24"/>
              </w:rPr>
            </w:pPr>
            <w:r w:rsidRPr="00FD080D">
              <w:rPr>
                <w:rFonts w:ascii="Book Antiqua" w:hAnsi="Book Antiqua"/>
                <w:sz w:val="24"/>
                <w:szCs w:val="24"/>
              </w:rPr>
              <w:t>No escalation</w:t>
            </w:r>
          </w:p>
        </w:tc>
      </w:tr>
    </w:tbl>
    <w:p w14:paraId="218C4692" w14:textId="77777777" w:rsidR="00D53981" w:rsidRPr="00FD080D" w:rsidRDefault="001B01CA" w:rsidP="00FD080D">
      <w:pPr>
        <w:adjustRightInd w:val="0"/>
        <w:snapToGrid w:val="0"/>
        <w:spacing w:after="0" w:line="360" w:lineRule="auto"/>
        <w:jc w:val="both"/>
        <w:rPr>
          <w:rFonts w:ascii="Book Antiqua" w:hAnsi="Book Antiqua"/>
          <w:sz w:val="24"/>
          <w:szCs w:val="24"/>
        </w:rPr>
      </w:pPr>
      <w:r w:rsidRPr="00FD080D">
        <w:rPr>
          <w:rFonts w:ascii="Book Antiqua" w:hAnsi="Book Antiqua"/>
          <w:sz w:val="24"/>
          <w:szCs w:val="24"/>
        </w:rPr>
        <w:t xml:space="preserve"> </w:t>
      </w:r>
    </w:p>
    <w:sectPr w:rsidR="00D53981" w:rsidRPr="00FD080D" w:rsidSect="00FD080D">
      <w:type w:val="continuous"/>
      <w:pgSz w:w="12240" w:h="15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D6702" w14:textId="77777777" w:rsidR="002D73CE" w:rsidRDefault="002D73CE" w:rsidP="001F2D13">
      <w:pPr>
        <w:spacing w:after="0" w:line="240" w:lineRule="auto"/>
      </w:pPr>
      <w:r>
        <w:separator/>
      </w:r>
    </w:p>
  </w:endnote>
  <w:endnote w:type="continuationSeparator" w:id="0">
    <w:p w14:paraId="4E169CE5" w14:textId="77777777" w:rsidR="002D73CE" w:rsidRDefault="002D73CE" w:rsidP="001F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233CA" w14:textId="77777777" w:rsidR="002D73CE" w:rsidRDefault="002D73CE" w:rsidP="001F2D13">
      <w:pPr>
        <w:spacing w:after="0" w:line="240" w:lineRule="auto"/>
      </w:pPr>
      <w:r>
        <w:separator/>
      </w:r>
    </w:p>
  </w:footnote>
  <w:footnote w:type="continuationSeparator" w:id="0">
    <w:p w14:paraId="65BEAA44" w14:textId="77777777" w:rsidR="002D73CE" w:rsidRDefault="002D73CE" w:rsidP="001F2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3B6E"/>
    <w:multiLevelType w:val="hybridMultilevel"/>
    <w:tmpl w:val="41361D34"/>
    <w:lvl w:ilvl="0" w:tplc="0240AA28">
      <w:start w:val="1"/>
      <w:numFmt w:val="decimal"/>
      <w:lvlText w:val="%1"/>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F8E1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BE14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92B5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FABF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420A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A605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1C0E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0413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411ECE"/>
    <w:multiLevelType w:val="hybridMultilevel"/>
    <w:tmpl w:val="DC426360"/>
    <w:lvl w:ilvl="0" w:tplc="D5CA5F66">
      <w:start w:val="1"/>
      <w:numFmt w:val="decimal"/>
      <w:lvlText w:val="%1."/>
      <w:lvlJc w:val="left"/>
      <w:pPr>
        <w:ind w:left="1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3256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D86B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D2FA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7676A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3E7B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98F3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28AB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9639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411F5C"/>
    <w:multiLevelType w:val="hybridMultilevel"/>
    <w:tmpl w:val="729C6770"/>
    <w:lvl w:ilvl="0" w:tplc="D4021072">
      <w:start w:val="1"/>
      <w:numFmt w:val="bullet"/>
      <w:lvlText w:val="•"/>
      <w:lvlJc w:val="left"/>
      <w:pPr>
        <w:ind w:left="2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62CC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4612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60C7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C00B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1ED0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3E0F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6EDD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94E3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BD2A3B"/>
    <w:multiLevelType w:val="hybridMultilevel"/>
    <w:tmpl w:val="9F4C971C"/>
    <w:lvl w:ilvl="0" w:tplc="97DC740A">
      <w:start w:val="1"/>
      <w:numFmt w:val="bullet"/>
      <w:lvlText w:val=""/>
      <w:lvlJc w:val="left"/>
      <w:pPr>
        <w:tabs>
          <w:tab w:val="num" w:pos="720"/>
        </w:tabs>
        <w:ind w:left="720" w:hanging="360"/>
      </w:pPr>
      <w:rPr>
        <w:rFonts w:ascii="Wingdings" w:hAnsi="Wingdings" w:hint="default"/>
      </w:rPr>
    </w:lvl>
    <w:lvl w:ilvl="1" w:tplc="24DA1AD4" w:tentative="1">
      <w:start w:val="1"/>
      <w:numFmt w:val="bullet"/>
      <w:lvlText w:val=""/>
      <w:lvlJc w:val="left"/>
      <w:pPr>
        <w:tabs>
          <w:tab w:val="num" w:pos="1440"/>
        </w:tabs>
        <w:ind w:left="1440" w:hanging="360"/>
      </w:pPr>
      <w:rPr>
        <w:rFonts w:ascii="Wingdings" w:hAnsi="Wingdings" w:hint="default"/>
      </w:rPr>
    </w:lvl>
    <w:lvl w:ilvl="2" w:tplc="7C5AEBF2" w:tentative="1">
      <w:start w:val="1"/>
      <w:numFmt w:val="bullet"/>
      <w:lvlText w:val=""/>
      <w:lvlJc w:val="left"/>
      <w:pPr>
        <w:tabs>
          <w:tab w:val="num" w:pos="2160"/>
        </w:tabs>
        <w:ind w:left="2160" w:hanging="360"/>
      </w:pPr>
      <w:rPr>
        <w:rFonts w:ascii="Wingdings" w:hAnsi="Wingdings" w:hint="default"/>
      </w:rPr>
    </w:lvl>
    <w:lvl w:ilvl="3" w:tplc="4E7C7CB2" w:tentative="1">
      <w:start w:val="1"/>
      <w:numFmt w:val="bullet"/>
      <w:lvlText w:val=""/>
      <w:lvlJc w:val="left"/>
      <w:pPr>
        <w:tabs>
          <w:tab w:val="num" w:pos="2880"/>
        </w:tabs>
        <w:ind w:left="2880" w:hanging="360"/>
      </w:pPr>
      <w:rPr>
        <w:rFonts w:ascii="Wingdings" w:hAnsi="Wingdings" w:hint="default"/>
      </w:rPr>
    </w:lvl>
    <w:lvl w:ilvl="4" w:tplc="30F6A2F8" w:tentative="1">
      <w:start w:val="1"/>
      <w:numFmt w:val="bullet"/>
      <w:lvlText w:val=""/>
      <w:lvlJc w:val="left"/>
      <w:pPr>
        <w:tabs>
          <w:tab w:val="num" w:pos="3600"/>
        </w:tabs>
        <w:ind w:left="3600" w:hanging="360"/>
      </w:pPr>
      <w:rPr>
        <w:rFonts w:ascii="Wingdings" w:hAnsi="Wingdings" w:hint="default"/>
      </w:rPr>
    </w:lvl>
    <w:lvl w:ilvl="5" w:tplc="6DAA6E98" w:tentative="1">
      <w:start w:val="1"/>
      <w:numFmt w:val="bullet"/>
      <w:lvlText w:val=""/>
      <w:lvlJc w:val="left"/>
      <w:pPr>
        <w:tabs>
          <w:tab w:val="num" w:pos="4320"/>
        </w:tabs>
        <w:ind w:left="4320" w:hanging="360"/>
      </w:pPr>
      <w:rPr>
        <w:rFonts w:ascii="Wingdings" w:hAnsi="Wingdings" w:hint="default"/>
      </w:rPr>
    </w:lvl>
    <w:lvl w:ilvl="6" w:tplc="2F4CE2E2" w:tentative="1">
      <w:start w:val="1"/>
      <w:numFmt w:val="bullet"/>
      <w:lvlText w:val=""/>
      <w:lvlJc w:val="left"/>
      <w:pPr>
        <w:tabs>
          <w:tab w:val="num" w:pos="5040"/>
        </w:tabs>
        <w:ind w:left="5040" w:hanging="360"/>
      </w:pPr>
      <w:rPr>
        <w:rFonts w:ascii="Wingdings" w:hAnsi="Wingdings" w:hint="default"/>
      </w:rPr>
    </w:lvl>
    <w:lvl w:ilvl="7" w:tplc="A558D432" w:tentative="1">
      <w:start w:val="1"/>
      <w:numFmt w:val="bullet"/>
      <w:lvlText w:val=""/>
      <w:lvlJc w:val="left"/>
      <w:pPr>
        <w:tabs>
          <w:tab w:val="num" w:pos="5760"/>
        </w:tabs>
        <w:ind w:left="5760" w:hanging="360"/>
      </w:pPr>
      <w:rPr>
        <w:rFonts w:ascii="Wingdings" w:hAnsi="Wingdings" w:hint="default"/>
      </w:rPr>
    </w:lvl>
    <w:lvl w:ilvl="8" w:tplc="3E187F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B2F79"/>
    <w:multiLevelType w:val="hybridMultilevel"/>
    <w:tmpl w:val="E1DE91FE"/>
    <w:lvl w:ilvl="0" w:tplc="483452D8">
      <w:start w:val="1"/>
      <w:numFmt w:val="decimal"/>
      <w:lvlText w:val="%1"/>
      <w:lvlJc w:val="left"/>
      <w:pPr>
        <w:ind w:left="152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C3622170">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16E256D6">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EAE26A48">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DC50A946">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8860539E">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298EAC64">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F16EAD96">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FBF21CE0">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34322C55"/>
    <w:multiLevelType w:val="hybridMultilevel"/>
    <w:tmpl w:val="D1600A30"/>
    <w:lvl w:ilvl="0" w:tplc="227094EE">
      <w:start w:val="1"/>
      <w:numFmt w:val="bullet"/>
      <w:lvlText w:val="•"/>
      <w:lvlJc w:val="left"/>
      <w:pPr>
        <w:ind w:left="719"/>
      </w:pPr>
      <w:rPr>
        <w:rFonts w:ascii="Arial" w:eastAsia="Arial" w:hAnsi="Arial" w:cs="Arial"/>
        <w:b w:val="0"/>
        <w:i w:val="0"/>
        <w:strike w:val="0"/>
        <w:dstrike w:val="0"/>
        <w:color w:val="B5082E"/>
        <w:sz w:val="18"/>
        <w:szCs w:val="18"/>
        <w:u w:val="single" w:color="B5082E"/>
        <w:bdr w:val="none" w:sz="0" w:space="0" w:color="auto"/>
        <w:shd w:val="clear" w:color="auto" w:fill="auto"/>
        <w:vertAlign w:val="baseline"/>
      </w:rPr>
    </w:lvl>
    <w:lvl w:ilvl="1" w:tplc="E8AA873A">
      <w:start w:val="1"/>
      <w:numFmt w:val="bullet"/>
      <w:lvlText w:val="o"/>
      <w:lvlJc w:val="left"/>
      <w:pPr>
        <w:ind w:left="1353"/>
      </w:pPr>
      <w:rPr>
        <w:rFonts w:ascii="Segoe UI Symbol" w:eastAsia="Segoe UI Symbol" w:hAnsi="Segoe UI Symbol" w:cs="Segoe UI Symbol"/>
        <w:b w:val="0"/>
        <w:i w:val="0"/>
        <w:strike w:val="0"/>
        <w:dstrike w:val="0"/>
        <w:color w:val="B5082E"/>
        <w:sz w:val="18"/>
        <w:szCs w:val="18"/>
        <w:u w:val="single" w:color="B5082E"/>
        <w:bdr w:val="none" w:sz="0" w:space="0" w:color="auto"/>
        <w:shd w:val="clear" w:color="auto" w:fill="auto"/>
        <w:vertAlign w:val="baseline"/>
      </w:rPr>
    </w:lvl>
    <w:lvl w:ilvl="2" w:tplc="3FC6E1FA">
      <w:start w:val="1"/>
      <w:numFmt w:val="bullet"/>
      <w:lvlText w:val="▪"/>
      <w:lvlJc w:val="left"/>
      <w:pPr>
        <w:ind w:left="2073"/>
      </w:pPr>
      <w:rPr>
        <w:rFonts w:ascii="Segoe UI Symbol" w:eastAsia="Segoe UI Symbol" w:hAnsi="Segoe UI Symbol" w:cs="Segoe UI Symbol"/>
        <w:b w:val="0"/>
        <w:i w:val="0"/>
        <w:strike w:val="0"/>
        <w:dstrike w:val="0"/>
        <w:color w:val="B5082E"/>
        <w:sz w:val="18"/>
        <w:szCs w:val="18"/>
        <w:u w:val="single" w:color="B5082E"/>
        <w:bdr w:val="none" w:sz="0" w:space="0" w:color="auto"/>
        <w:shd w:val="clear" w:color="auto" w:fill="auto"/>
        <w:vertAlign w:val="baseline"/>
      </w:rPr>
    </w:lvl>
    <w:lvl w:ilvl="3" w:tplc="D554B48E">
      <w:start w:val="1"/>
      <w:numFmt w:val="bullet"/>
      <w:lvlText w:val="•"/>
      <w:lvlJc w:val="left"/>
      <w:pPr>
        <w:ind w:left="2793"/>
      </w:pPr>
      <w:rPr>
        <w:rFonts w:ascii="Arial" w:eastAsia="Arial" w:hAnsi="Arial" w:cs="Arial"/>
        <w:b w:val="0"/>
        <w:i w:val="0"/>
        <w:strike w:val="0"/>
        <w:dstrike w:val="0"/>
        <w:color w:val="B5082E"/>
        <w:sz w:val="18"/>
        <w:szCs w:val="18"/>
        <w:u w:val="single" w:color="B5082E"/>
        <w:bdr w:val="none" w:sz="0" w:space="0" w:color="auto"/>
        <w:shd w:val="clear" w:color="auto" w:fill="auto"/>
        <w:vertAlign w:val="baseline"/>
      </w:rPr>
    </w:lvl>
    <w:lvl w:ilvl="4" w:tplc="359E3E1A">
      <w:start w:val="1"/>
      <w:numFmt w:val="bullet"/>
      <w:lvlText w:val="o"/>
      <w:lvlJc w:val="left"/>
      <w:pPr>
        <w:ind w:left="3513"/>
      </w:pPr>
      <w:rPr>
        <w:rFonts w:ascii="Segoe UI Symbol" w:eastAsia="Segoe UI Symbol" w:hAnsi="Segoe UI Symbol" w:cs="Segoe UI Symbol"/>
        <w:b w:val="0"/>
        <w:i w:val="0"/>
        <w:strike w:val="0"/>
        <w:dstrike w:val="0"/>
        <w:color w:val="B5082E"/>
        <w:sz w:val="18"/>
        <w:szCs w:val="18"/>
        <w:u w:val="single" w:color="B5082E"/>
        <w:bdr w:val="none" w:sz="0" w:space="0" w:color="auto"/>
        <w:shd w:val="clear" w:color="auto" w:fill="auto"/>
        <w:vertAlign w:val="baseline"/>
      </w:rPr>
    </w:lvl>
    <w:lvl w:ilvl="5" w:tplc="B81EC7F2">
      <w:start w:val="1"/>
      <w:numFmt w:val="bullet"/>
      <w:lvlText w:val="▪"/>
      <w:lvlJc w:val="left"/>
      <w:pPr>
        <w:ind w:left="4233"/>
      </w:pPr>
      <w:rPr>
        <w:rFonts w:ascii="Segoe UI Symbol" w:eastAsia="Segoe UI Symbol" w:hAnsi="Segoe UI Symbol" w:cs="Segoe UI Symbol"/>
        <w:b w:val="0"/>
        <w:i w:val="0"/>
        <w:strike w:val="0"/>
        <w:dstrike w:val="0"/>
        <w:color w:val="B5082E"/>
        <w:sz w:val="18"/>
        <w:szCs w:val="18"/>
        <w:u w:val="single" w:color="B5082E"/>
        <w:bdr w:val="none" w:sz="0" w:space="0" w:color="auto"/>
        <w:shd w:val="clear" w:color="auto" w:fill="auto"/>
        <w:vertAlign w:val="baseline"/>
      </w:rPr>
    </w:lvl>
    <w:lvl w:ilvl="6" w:tplc="25C8B6E0">
      <w:start w:val="1"/>
      <w:numFmt w:val="bullet"/>
      <w:lvlText w:val="•"/>
      <w:lvlJc w:val="left"/>
      <w:pPr>
        <w:ind w:left="4953"/>
      </w:pPr>
      <w:rPr>
        <w:rFonts w:ascii="Arial" w:eastAsia="Arial" w:hAnsi="Arial" w:cs="Arial"/>
        <w:b w:val="0"/>
        <w:i w:val="0"/>
        <w:strike w:val="0"/>
        <w:dstrike w:val="0"/>
        <w:color w:val="B5082E"/>
        <w:sz w:val="18"/>
        <w:szCs w:val="18"/>
        <w:u w:val="single" w:color="B5082E"/>
        <w:bdr w:val="none" w:sz="0" w:space="0" w:color="auto"/>
        <w:shd w:val="clear" w:color="auto" w:fill="auto"/>
        <w:vertAlign w:val="baseline"/>
      </w:rPr>
    </w:lvl>
    <w:lvl w:ilvl="7" w:tplc="353E02B4">
      <w:start w:val="1"/>
      <w:numFmt w:val="bullet"/>
      <w:lvlText w:val="o"/>
      <w:lvlJc w:val="left"/>
      <w:pPr>
        <w:ind w:left="5673"/>
      </w:pPr>
      <w:rPr>
        <w:rFonts w:ascii="Segoe UI Symbol" w:eastAsia="Segoe UI Symbol" w:hAnsi="Segoe UI Symbol" w:cs="Segoe UI Symbol"/>
        <w:b w:val="0"/>
        <w:i w:val="0"/>
        <w:strike w:val="0"/>
        <w:dstrike w:val="0"/>
        <w:color w:val="B5082E"/>
        <w:sz w:val="18"/>
        <w:szCs w:val="18"/>
        <w:u w:val="single" w:color="B5082E"/>
        <w:bdr w:val="none" w:sz="0" w:space="0" w:color="auto"/>
        <w:shd w:val="clear" w:color="auto" w:fill="auto"/>
        <w:vertAlign w:val="baseline"/>
      </w:rPr>
    </w:lvl>
    <w:lvl w:ilvl="8" w:tplc="186A1E94">
      <w:start w:val="1"/>
      <w:numFmt w:val="bullet"/>
      <w:lvlText w:val="▪"/>
      <w:lvlJc w:val="left"/>
      <w:pPr>
        <w:ind w:left="6393"/>
      </w:pPr>
      <w:rPr>
        <w:rFonts w:ascii="Segoe UI Symbol" w:eastAsia="Segoe UI Symbol" w:hAnsi="Segoe UI Symbol" w:cs="Segoe UI Symbol"/>
        <w:b w:val="0"/>
        <w:i w:val="0"/>
        <w:strike w:val="0"/>
        <w:dstrike w:val="0"/>
        <w:color w:val="B5082E"/>
        <w:sz w:val="18"/>
        <w:szCs w:val="18"/>
        <w:u w:val="single" w:color="B5082E"/>
        <w:bdr w:val="none" w:sz="0" w:space="0" w:color="auto"/>
        <w:shd w:val="clear" w:color="auto" w:fill="auto"/>
        <w:vertAlign w:val="baseline"/>
      </w:rPr>
    </w:lvl>
  </w:abstractNum>
  <w:abstractNum w:abstractNumId="6" w15:restartNumberingAfterBreak="0">
    <w:nsid w:val="4DBA2E10"/>
    <w:multiLevelType w:val="hybridMultilevel"/>
    <w:tmpl w:val="A820647E"/>
    <w:lvl w:ilvl="0" w:tplc="AF76AFE0">
      <w:start w:val="1"/>
      <w:numFmt w:val="decimal"/>
      <w:lvlText w:val="%1)"/>
      <w:lvlJc w:val="left"/>
      <w:pPr>
        <w:ind w:left="1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A4B8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EC33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58F0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2E04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9888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5E63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026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4C82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8F30AA"/>
    <w:multiLevelType w:val="hybridMultilevel"/>
    <w:tmpl w:val="27788B08"/>
    <w:lvl w:ilvl="0" w:tplc="41908B78">
      <w:start w:val="1"/>
      <w:numFmt w:val="decimal"/>
      <w:lvlText w:val="%1."/>
      <w:lvlJc w:val="left"/>
      <w:pPr>
        <w:ind w:left="1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8012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C4E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906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CC04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7AB6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0C9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947E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5434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3377CE9"/>
    <w:multiLevelType w:val="hybridMultilevel"/>
    <w:tmpl w:val="892A922A"/>
    <w:lvl w:ilvl="0" w:tplc="E108A0FA">
      <w:start w:val="1"/>
      <w:numFmt w:val="decimal"/>
      <w:lvlText w:val="%1."/>
      <w:lvlJc w:val="left"/>
      <w:pPr>
        <w:ind w:left="1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B0A994">
      <w:start w:val="1"/>
      <w:numFmt w:val="lowerLetter"/>
      <w:lvlText w:val="%2"/>
      <w:lvlJc w:val="left"/>
      <w:pPr>
        <w:ind w:left="2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624222">
      <w:start w:val="1"/>
      <w:numFmt w:val="lowerRoman"/>
      <w:lvlText w:val="%3"/>
      <w:lvlJc w:val="left"/>
      <w:pPr>
        <w:ind w:left="3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44B3B6">
      <w:start w:val="1"/>
      <w:numFmt w:val="decimal"/>
      <w:lvlText w:val="%4"/>
      <w:lvlJc w:val="left"/>
      <w:pPr>
        <w:ind w:left="3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D69868">
      <w:start w:val="1"/>
      <w:numFmt w:val="lowerLetter"/>
      <w:lvlText w:val="%5"/>
      <w:lvlJc w:val="left"/>
      <w:pPr>
        <w:ind w:left="4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5CD0EE">
      <w:start w:val="1"/>
      <w:numFmt w:val="lowerRoman"/>
      <w:lvlText w:val="%6"/>
      <w:lvlJc w:val="left"/>
      <w:pPr>
        <w:ind w:left="5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063ABE">
      <w:start w:val="1"/>
      <w:numFmt w:val="decimal"/>
      <w:lvlText w:val="%7"/>
      <w:lvlJc w:val="left"/>
      <w:pPr>
        <w:ind w:left="6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2E6E4A">
      <w:start w:val="1"/>
      <w:numFmt w:val="lowerLetter"/>
      <w:lvlText w:val="%8"/>
      <w:lvlJc w:val="left"/>
      <w:pPr>
        <w:ind w:left="6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DED69E">
      <w:start w:val="1"/>
      <w:numFmt w:val="lowerRoman"/>
      <w:lvlText w:val="%9"/>
      <w:lvlJc w:val="left"/>
      <w:pPr>
        <w:ind w:left="7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3712DDD"/>
    <w:multiLevelType w:val="hybridMultilevel"/>
    <w:tmpl w:val="41361D34"/>
    <w:lvl w:ilvl="0" w:tplc="0240AA28">
      <w:start w:val="1"/>
      <w:numFmt w:val="decimal"/>
      <w:lvlText w:val="%1"/>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F8E1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BE14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92B5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FABF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420A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A605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1C0E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0413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85F61AE"/>
    <w:multiLevelType w:val="hybridMultilevel"/>
    <w:tmpl w:val="339659EE"/>
    <w:lvl w:ilvl="0" w:tplc="84E6EAD0">
      <w:start w:val="3"/>
      <w:numFmt w:val="decimal"/>
      <w:lvlText w:val="%1)"/>
      <w:lvlJc w:val="left"/>
      <w:pPr>
        <w:ind w:left="1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8E4E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DEA5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BC7E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341E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66CA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763B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B228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AACD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1C97A06"/>
    <w:multiLevelType w:val="hybridMultilevel"/>
    <w:tmpl w:val="2966839C"/>
    <w:lvl w:ilvl="0" w:tplc="655257B8">
      <w:start w:val="1"/>
      <w:numFmt w:val="decimal"/>
      <w:lvlText w:val="%1."/>
      <w:lvlJc w:val="left"/>
      <w:pPr>
        <w:ind w:left="1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0FF88">
      <w:start w:val="1"/>
      <w:numFmt w:val="lowerLetter"/>
      <w:lvlText w:val="%2"/>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E4938E">
      <w:start w:val="1"/>
      <w:numFmt w:val="lowerRoman"/>
      <w:lvlText w:val="%3"/>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56CD9E">
      <w:start w:val="1"/>
      <w:numFmt w:val="decimal"/>
      <w:lvlText w:val="%4"/>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850E6">
      <w:start w:val="1"/>
      <w:numFmt w:val="lowerLetter"/>
      <w:lvlText w:val="%5"/>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2E41DA">
      <w:start w:val="1"/>
      <w:numFmt w:val="lowerRoman"/>
      <w:lvlText w:val="%6"/>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60CBE">
      <w:start w:val="1"/>
      <w:numFmt w:val="decimal"/>
      <w:lvlText w:val="%7"/>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208B4">
      <w:start w:val="1"/>
      <w:numFmt w:val="lowerLetter"/>
      <w:lvlText w:val="%8"/>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34F6BE">
      <w:start w:val="1"/>
      <w:numFmt w:val="lowerRoman"/>
      <w:lvlText w:val="%9"/>
      <w:lvlJc w:val="left"/>
      <w:pPr>
        <w:ind w:left="7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23C3527"/>
    <w:multiLevelType w:val="hybridMultilevel"/>
    <w:tmpl w:val="D49C129A"/>
    <w:lvl w:ilvl="0" w:tplc="23886BF0">
      <w:start w:val="1"/>
      <w:numFmt w:val="bullet"/>
      <w:lvlText w:val=""/>
      <w:lvlJc w:val="left"/>
      <w:pPr>
        <w:tabs>
          <w:tab w:val="num" w:pos="720"/>
        </w:tabs>
        <w:ind w:left="720" w:hanging="360"/>
      </w:pPr>
      <w:rPr>
        <w:rFonts w:ascii="Wingdings" w:hAnsi="Wingdings" w:hint="default"/>
      </w:rPr>
    </w:lvl>
    <w:lvl w:ilvl="1" w:tplc="4006BC24">
      <w:numFmt w:val="bullet"/>
      <w:lvlText w:val=""/>
      <w:lvlJc w:val="left"/>
      <w:pPr>
        <w:tabs>
          <w:tab w:val="num" w:pos="1440"/>
        </w:tabs>
        <w:ind w:left="1440" w:hanging="360"/>
      </w:pPr>
      <w:rPr>
        <w:rFonts w:ascii="Wingdings" w:hAnsi="Wingdings" w:hint="default"/>
      </w:rPr>
    </w:lvl>
    <w:lvl w:ilvl="2" w:tplc="66F0939C" w:tentative="1">
      <w:start w:val="1"/>
      <w:numFmt w:val="bullet"/>
      <w:lvlText w:val=""/>
      <w:lvlJc w:val="left"/>
      <w:pPr>
        <w:tabs>
          <w:tab w:val="num" w:pos="2160"/>
        </w:tabs>
        <w:ind w:left="2160" w:hanging="360"/>
      </w:pPr>
      <w:rPr>
        <w:rFonts w:ascii="Wingdings" w:hAnsi="Wingdings" w:hint="default"/>
      </w:rPr>
    </w:lvl>
    <w:lvl w:ilvl="3" w:tplc="44B41E32" w:tentative="1">
      <w:start w:val="1"/>
      <w:numFmt w:val="bullet"/>
      <w:lvlText w:val=""/>
      <w:lvlJc w:val="left"/>
      <w:pPr>
        <w:tabs>
          <w:tab w:val="num" w:pos="2880"/>
        </w:tabs>
        <w:ind w:left="2880" w:hanging="360"/>
      </w:pPr>
      <w:rPr>
        <w:rFonts w:ascii="Wingdings" w:hAnsi="Wingdings" w:hint="default"/>
      </w:rPr>
    </w:lvl>
    <w:lvl w:ilvl="4" w:tplc="ABF8C8E6" w:tentative="1">
      <w:start w:val="1"/>
      <w:numFmt w:val="bullet"/>
      <w:lvlText w:val=""/>
      <w:lvlJc w:val="left"/>
      <w:pPr>
        <w:tabs>
          <w:tab w:val="num" w:pos="3600"/>
        </w:tabs>
        <w:ind w:left="3600" w:hanging="360"/>
      </w:pPr>
      <w:rPr>
        <w:rFonts w:ascii="Wingdings" w:hAnsi="Wingdings" w:hint="default"/>
      </w:rPr>
    </w:lvl>
    <w:lvl w:ilvl="5" w:tplc="96D2648E" w:tentative="1">
      <w:start w:val="1"/>
      <w:numFmt w:val="bullet"/>
      <w:lvlText w:val=""/>
      <w:lvlJc w:val="left"/>
      <w:pPr>
        <w:tabs>
          <w:tab w:val="num" w:pos="4320"/>
        </w:tabs>
        <w:ind w:left="4320" w:hanging="360"/>
      </w:pPr>
      <w:rPr>
        <w:rFonts w:ascii="Wingdings" w:hAnsi="Wingdings" w:hint="default"/>
      </w:rPr>
    </w:lvl>
    <w:lvl w:ilvl="6" w:tplc="FD9871EC" w:tentative="1">
      <w:start w:val="1"/>
      <w:numFmt w:val="bullet"/>
      <w:lvlText w:val=""/>
      <w:lvlJc w:val="left"/>
      <w:pPr>
        <w:tabs>
          <w:tab w:val="num" w:pos="5040"/>
        </w:tabs>
        <w:ind w:left="5040" w:hanging="360"/>
      </w:pPr>
      <w:rPr>
        <w:rFonts w:ascii="Wingdings" w:hAnsi="Wingdings" w:hint="default"/>
      </w:rPr>
    </w:lvl>
    <w:lvl w:ilvl="7" w:tplc="E43EC0EC" w:tentative="1">
      <w:start w:val="1"/>
      <w:numFmt w:val="bullet"/>
      <w:lvlText w:val=""/>
      <w:lvlJc w:val="left"/>
      <w:pPr>
        <w:tabs>
          <w:tab w:val="num" w:pos="5760"/>
        </w:tabs>
        <w:ind w:left="5760" w:hanging="360"/>
      </w:pPr>
      <w:rPr>
        <w:rFonts w:ascii="Wingdings" w:hAnsi="Wingdings" w:hint="default"/>
      </w:rPr>
    </w:lvl>
    <w:lvl w:ilvl="8" w:tplc="B6B8482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042051"/>
    <w:multiLevelType w:val="hybridMultilevel"/>
    <w:tmpl w:val="0040D216"/>
    <w:lvl w:ilvl="0" w:tplc="2E7EF9B0">
      <w:start w:val="1"/>
      <w:numFmt w:val="bullet"/>
      <w:lvlText w:val=""/>
      <w:lvlJc w:val="left"/>
      <w:pPr>
        <w:tabs>
          <w:tab w:val="num" w:pos="720"/>
        </w:tabs>
        <w:ind w:left="720" w:hanging="360"/>
      </w:pPr>
      <w:rPr>
        <w:rFonts w:ascii="Wingdings" w:hAnsi="Wingdings" w:hint="default"/>
      </w:rPr>
    </w:lvl>
    <w:lvl w:ilvl="1" w:tplc="5978EDA0" w:tentative="1">
      <w:start w:val="1"/>
      <w:numFmt w:val="bullet"/>
      <w:lvlText w:val=""/>
      <w:lvlJc w:val="left"/>
      <w:pPr>
        <w:tabs>
          <w:tab w:val="num" w:pos="1440"/>
        </w:tabs>
        <w:ind w:left="1440" w:hanging="360"/>
      </w:pPr>
      <w:rPr>
        <w:rFonts w:ascii="Wingdings" w:hAnsi="Wingdings" w:hint="default"/>
      </w:rPr>
    </w:lvl>
    <w:lvl w:ilvl="2" w:tplc="984AEC3C" w:tentative="1">
      <w:start w:val="1"/>
      <w:numFmt w:val="bullet"/>
      <w:lvlText w:val=""/>
      <w:lvlJc w:val="left"/>
      <w:pPr>
        <w:tabs>
          <w:tab w:val="num" w:pos="2160"/>
        </w:tabs>
        <w:ind w:left="2160" w:hanging="360"/>
      </w:pPr>
      <w:rPr>
        <w:rFonts w:ascii="Wingdings" w:hAnsi="Wingdings" w:hint="default"/>
      </w:rPr>
    </w:lvl>
    <w:lvl w:ilvl="3" w:tplc="56F094C6" w:tentative="1">
      <w:start w:val="1"/>
      <w:numFmt w:val="bullet"/>
      <w:lvlText w:val=""/>
      <w:lvlJc w:val="left"/>
      <w:pPr>
        <w:tabs>
          <w:tab w:val="num" w:pos="2880"/>
        </w:tabs>
        <w:ind w:left="2880" w:hanging="360"/>
      </w:pPr>
      <w:rPr>
        <w:rFonts w:ascii="Wingdings" w:hAnsi="Wingdings" w:hint="default"/>
      </w:rPr>
    </w:lvl>
    <w:lvl w:ilvl="4" w:tplc="FE7A17E4" w:tentative="1">
      <w:start w:val="1"/>
      <w:numFmt w:val="bullet"/>
      <w:lvlText w:val=""/>
      <w:lvlJc w:val="left"/>
      <w:pPr>
        <w:tabs>
          <w:tab w:val="num" w:pos="3600"/>
        </w:tabs>
        <w:ind w:left="3600" w:hanging="360"/>
      </w:pPr>
      <w:rPr>
        <w:rFonts w:ascii="Wingdings" w:hAnsi="Wingdings" w:hint="default"/>
      </w:rPr>
    </w:lvl>
    <w:lvl w:ilvl="5" w:tplc="FE721E1E" w:tentative="1">
      <w:start w:val="1"/>
      <w:numFmt w:val="bullet"/>
      <w:lvlText w:val=""/>
      <w:lvlJc w:val="left"/>
      <w:pPr>
        <w:tabs>
          <w:tab w:val="num" w:pos="4320"/>
        </w:tabs>
        <w:ind w:left="4320" w:hanging="360"/>
      </w:pPr>
      <w:rPr>
        <w:rFonts w:ascii="Wingdings" w:hAnsi="Wingdings" w:hint="default"/>
      </w:rPr>
    </w:lvl>
    <w:lvl w:ilvl="6" w:tplc="ED86CEB2" w:tentative="1">
      <w:start w:val="1"/>
      <w:numFmt w:val="bullet"/>
      <w:lvlText w:val=""/>
      <w:lvlJc w:val="left"/>
      <w:pPr>
        <w:tabs>
          <w:tab w:val="num" w:pos="5040"/>
        </w:tabs>
        <w:ind w:left="5040" w:hanging="360"/>
      </w:pPr>
      <w:rPr>
        <w:rFonts w:ascii="Wingdings" w:hAnsi="Wingdings" w:hint="default"/>
      </w:rPr>
    </w:lvl>
    <w:lvl w:ilvl="7" w:tplc="06F42D06" w:tentative="1">
      <w:start w:val="1"/>
      <w:numFmt w:val="bullet"/>
      <w:lvlText w:val=""/>
      <w:lvlJc w:val="left"/>
      <w:pPr>
        <w:tabs>
          <w:tab w:val="num" w:pos="5760"/>
        </w:tabs>
        <w:ind w:left="5760" w:hanging="360"/>
      </w:pPr>
      <w:rPr>
        <w:rFonts w:ascii="Wingdings" w:hAnsi="Wingdings" w:hint="default"/>
      </w:rPr>
    </w:lvl>
    <w:lvl w:ilvl="8" w:tplc="A23433C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11"/>
  </w:num>
  <w:num w:numId="6">
    <w:abstractNumId w:val="5"/>
  </w:num>
  <w:num w:numId="7">
    <w:abstractNumId w:val="4"/>
  </w:num>
  <w:num w:numId="8">
    <w:abstractNumId w:val="2"/>
  </w:num>
  <w:num w:numId="9">
    <w:abstractNumId w:val="7"/>
  </w:num>
  <w:num w:numId="10">
    <w:abstractNumId w:val="0"/>
  </w:num>
  <w:num w:numId="11">
    <w:abstractNumId w:val="9"/>
  </w:num>
  <w:num w:numId="12">
    <w:abstractNumId w:val="13"/>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D53981"/>
    <w:rsid w:val="00004CE7"/>
    <w:rsid w:val="00005496"/>
    <w:rsid w:val="000178CE"/>
    <w:rsid w:val="000323D8"/>
    <w:rsid w:val="0003757D"/>
    <w:rsid w:val="000716C1"/>
    <w:rsid w:val="0009628E"/>
    <w:rsid w:val="000A349B"/>
    <w:rsid w:val="000B0FDC"/>
    <w:rsid w:val="000B4933"/>
    <w:rsid w:val="000B5FA1"/>
    <w:rsid w:val="000D5B7C"/>
    <w:rsid w:val="000D715A"/>
    <w:rsid w:val="000F0841"/>
    <w:rsid w:val="000F4854"/>
    <w:rsid w:val="00102336"/>
    <w:rsid w:val="00114B52"/>
    <w:rsid w:val="001203A6"/>
    <w:rsid w:val="001349A5"/>
    <w:rsid w:val="0015209E"/>
    <w:rsid w:val="00153E1C"/>
    <w:rsid w:val="00155489"/>
    <w:rsid w:val="00157BDD"/>
    <w:rsid w:val="00166D12"/>
    <w:rsid w:val="0017251B"/>
    <w:rsid w:val="00173397"/>
    <w:rsid w:val="001760AC"/>
    <w:rsid w:val="001764EA"/>
    <w:rsid w:val="00176893"/>
    <w:rsid w:val="00184D67"/>
    <w:rsid w:val="00186114"/>
    <w:rsid w:val="00192CF8"/>
    <w:rsid w:val="00194C13"/>
    <w:rsid w:val="001B01CA"/>
    <w:rsid w:val="001C6C0F"/>
    <w:rsid w:val="001E5645"/>
    <w:rsid w:val="001F1ACE"/>
    <w:rsid w:val="001F2D13"/>
    <w:rsid w:val="00207B7A"/>
    <w:rsid w:val="002478AC"/>
    <w:rsid w:val="00255CB7"/>
    <w:rsid w:val="00293791"/>
    <w:rsid w:val="002952EE"/>
    <w:rsid w:val="002A1111"/>
    <w:rsid w:val="002A2391"/>
    <w:rsid w:val="002B2777"/>
    <w:rsid w:val="002C0544"/>
    <w:rsid w:val="002D0D79"/>
    <w:rsid w:val="002D6528"/>
    <w:rsid w:val="002D73CE"/>
    <w:rsid w:val="002E3628"/>
    <w:rsid w:val="002F2835"/>
    <w:rsid w:val="003022EE"/>
    <w:rsid w:val="00320B29"/>
    <w:rsid w:val="00320E7C"/>
    <w:rsid w:val="003237D1"/>
    <w:rsid w:val="00342B85"/>
    <w:rsid w:val="00345324"/>
    <w:rsid w:val="00350357"/>
    <w:rsid w:val="00361A6D"/>
    <w:rsid w:val="00366F56"/>
    <w:rsid w:val="00367A04"/>
    <w:rsid w:val="00372C17"/>
    <w:rsid w:val="00387245"/>
    <w:rsid w:val="0038780E"/>
    <w:rsid w:val="003A60E1"/>
    <w:rsid w:val="003B1EE6"/>
    <w:rsid w:val="00420CE6"/>
    <w:rsid w:val="00447B40"/>
    <w:rsid w:val="0045069C"/>
    <w:rsid w:val="00465F6E"/>
    <w:rsid w:val="00474E1C"/>
    <w:rsid w:val="00477B8D"/>
    <w:rsid w:val="004856AA"/>
    <w:rsid w:val="00491405"/>
    <w:rsid w:val="00492F9C"/>
    <w:rsid w:val="004B2F00"/>
    <w:rsid w:val="004D29E3"/>
    <w:rsid w:val="004E007B"/>
    <w:rsid w:val="004F2D22"/>
    <w:rsid w:val="00513140"/>
    <w:rsid w:val="00520D07"/>
    <w:rsid w:val="00521F04"/>
    <w:rsid w:val="00523560"/>
    <w:rsid w:val="00540B8C"/>
    <w:rsid w:val="005462CB"/>
    <w:rsid w:val="005A2593"/>
    <w:rsid w:val="005A756A"/>
    <w:rsid w:val="005B6349"/>
    <w:rsid w:val="005B75F1"/>
    <w:rsid w:val="005E2797"/>
    <w:rsid w:val="005E6058"/>
    <w:rsid w:val="005E769D"/>
    <w:rsid w:val="005F5076"/>
    <w:rsid w:val="006202AE"/>
    <w:rsid w:val="0062132B"/>
    <w:rsid w:val="00621BF9"/>
    <w:rsid w:val="006269EB"/>
    <w:rsid w:val="006275B1"/>
    <w:rsid w:val="00660F98"/>
    <w:rsid w:val="006D4235"/>
    <w:rsid w:val="006F26C0"/>
    <w:rsid w:val="00706740"/>
    <w:rsid w:val="00724FB3"/>
    <w:rsid w:val="00732E8E"/>
    <w:rsid w:val="007609EE"/>
    <w:rsid w:val="00763494"/>
    <w:rsid w:val="00764415"/>
    <w:rsid w:val="007733C9"/>
    <w:rsid w:val="00790133"/>
    <w:rsid w:val="007950CC"/>
    <w:rsid w:val="007B0C7E"/>
    <w:rsid w:val="007B6DB2"/>
    <w:rsid w:val="007B6E12"/>
    <w:rsid w:val="007C0AD3"/>
    <w:rsid w:val="0083705D"/>
    <w:rsid w:val="00853976"/>
    <w:rsid w:val="0087622D"/>
    <w:rsid w:val="00876FB3"/>
    <w:rsid w:val="0089672C"/>
    <w:rsid w:val="008B56D2"/>
    <w:rsid w:val="008B7E9D"/>
    <w:rsid w:val="008D492B"/>
    <w:rsid w:val="008D6744"/>
    <w:rsid w:val="008D7830"/>
    <w:rsid w:val="0093186D"/>
    <w:rsid w:val="00942C2A"/>
    <w:rsid w:val="00962A00"/>
    <w:rsid w:val="00977A3C"/>
    <w:rsid w:val="00980C87"/>
    <w:rsid w:val="00995523"/>
    <w:rsid w:val="009B076B"/>
    <w:rsid w:val="009C21D9"/>
    <w:rsid w:val="009C4A8E"/>
    <w:rsid w:val="009E35BF"/>
    <w:rsid w:val="00A04AAC"/>
    <w:rsid w:val="00A0715F"/>
    <w:rsid w:val="00A161D0"/>
    <w:rsid w:val="00A302C0"/>
    <w:rsid w:val="00A34A29"/>
    <w:rsid w:val="00A37EF8"/>
    <w:rsid w:val="00A55823"/>
    <w:rsid w:val="00A70AC3"/>
    <w:rsid w:val="00A70C18"/>
    <w:rsid w:val="00A72832"/>
    <w:rsid w:val="00A76997"/>
    <w:rsid w:val="00AA1AB6"/>
    <w:rsid w:val="00AB3AE3"/>
    <w:rsid w:val="00AB5420"/>
    <w:rsid w:val="00AC1E58"/>
    <w:rsid w:val="00AC3321"/>
    <w:rsid w:val="00AC3CC4"/>
    <w:rsid w:val="00AC671A"/>
    <w:rsid w:val="00AD07C6"/>
    <w:rsid w:val="00AD12D0"/>
    <w:rsid w:val="00AE2532"/>
    <w:rsid w:val="00AF430D"/>
    <w:rsid w:val="00AF5EC1"/>
    <w:rsid w:val="00B07442"/>
    <w:rsid w:val="00B12E43"/>
    <w:rsid w:val="00B20BCF"/>
    <w:rsid w:val="00B31AC6"/>
    <w:rsid w:val="00B34B71"/>
    <w:rsid w:val="00B769D9"/>
    <w:rsid w:val="00BC29A3"/>
    <w:rsid w:val="00BF2DE3"/>
    <w:rsid w:val="00BF3C11"/>
    <w:rsid w:val="00C153BB"/>
    <w:rsid w:val="00C31261"/>
    <w:rsid w:val="00C655EE"/>
    <w:rsid w:val="00C8327E"/>
    <w:rsid w:val="00CA0C0E"/>
    <w:rsid w:val="00CF0061"/>
    <w:rsid w:val="00D03CBA"/>
    <w:rsid w:val="00D064C1"/>
    <w:rsid w:val="00D07796"/>
    <w:rsid w:val="00D12C06"/>
    <w:rsid w:val="00D2768B"/>
    <w:rsid w:val="00D53981"/>
    <w:rsid w:val="00D55321"/>
    <w:rsid w:val="00D56E80"/>
    <w:rsid w:val="00D66601"/>
    <w:rsid w:val="00D703AB"/>
    <w:rsid w:val="00D7169C"/>
    <w:rsid w:val="00D7202B"/>
    <w:rsid w:val="00D94687"/>
    <w:rsid w:val="00D96363"/>
    <w:rsid w:val="00D97D25"/>
    <w:rsid w:val="00DA0C84"/>
    <w:rsid w:val="00DA2B40"/>
    <w:rsid w:val="00DB6FE6"/>
    <w:rsid w:val="00DF269B"/>
    <w:rsid w:val="00DF5555"/>
    <w:rsid w:val="00E16766"/>
    <w:rsid w:val="00E57432"/>
    <w:rsid w:val="00E71E22"/>
    <w:rsid w:val="00E8086A"/>
    <w:rsid w:val="00E81A16"/>
    <w:rsid w:val="00E9599D"/>
    <w:rsid w:val="00EB464B"/>
    <w:rsid w:val="00EB6281"/>
    <w:rsid w:val="00ED58F4"/>
    <w:rsid w:val="00F02772"/>
    <w:rsid w:val="00F147A9"/>
    <w:rsid w:val="00F22374"/>
    <w:rsid w:val="00F40474"/>
    <w:rsid w:val="00F40783"/>
    <w:rsid w:val="00F430D0"/>
    <w:rsid w:val="00F86C90"/>
    <w:rsid w:val="00F9008E"/>
    <w:rsid w:val="00F92D45"/>
    <w:rsid w:val="00FA3E92"/>
    <w:rsid w:val="00FD080D"/>
    <w:rsid w:val="00FD4751"/>
    <w:rsid w:val="00FD70A1"/>
    <w:rsid w:val="00FE0336"/>
    <w:rsid w:val="00FE2BBB"/>
    <w:rsid w:val="00FE3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1566B"/>
  <w15:docId w15:val="{76836D5D-9B92-49A2-841D-60283592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F2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D13"/>
    <w:rPr>
      <w:rFonts w:ascii="Calibri" w:eastAsia="Calibri" w:hAnsi="Calibri" w:cs="Calibri"/>
      <w:color w:val="000000"/>
    </w:rPr>
  </w:style>
  <w:style w:type="paragraph" w:styleId="Footer">
    <w:name w:val="footer"/>
    <w:basedOn w:val="Normal"/>
    <w:link w:val="FooterChar"/>
    <w:uiPriority w:val="99"/>
    <w:unhideWhenUsed/>
    <w:rsid w:val="001F2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D13"/>
    <w:rPr>
      <w:rFonts w:ascii="Calibri" w:eastAsia="Calibri" w:hAnsi="Calibri" w:cs="Calibri"/>
      <w:color w:val="000000"/>
    </w:rPr>
  </w:style>
  <w:style w:type="paragraph" w:styleId="BalloonText">
    <w:name w:val="Balloon Text"/>
    <w:basedOn w:val="Normal"/>
    <w:link w:val="BalloonTextChar"/>
    <w:uiPriority w:val="99"/>
    <w:semiHidden/>
    <w:unhideWhenUsed/>
    <w:rsid w:val="0000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496"/>
    <w:rPr>
      <w:rFonts w:ascii="Tahoma" w:eastAsia="Calibri" w:hAnsi="Tahoma" w:cs="Tahoma"/>
      <w:color w:val="000000"/>
      <w:sz w:val="16"/>
      <w:szCs w:val="16"/>
    </w:rPr>
  </w:style>
  <w:style w:type="character" w:styleId="Hyperlink">
    <w:name w:val="Hyperlink"/>
    <w:basedOn w:val="DefaultParagraphFont"/>
    <w:uiPriority w:val="99"/>
    <w:unhideWhenUsed/>
    <w:rsid w:val="001C6C0F"/>
    <w:rPr>
      <w:color w:val="0000FF"/>
      <w:u w:val="single"/>
    </w:rPr>
  </w:style>
  <w:style w:type="paragraph" w:styleId="ListParagraph">
    <w:name w:val="List Paragraph"/>
    <w:basedOn w:val="Normal"/>
    <w:uiPriority w:val="34"/>
    <w:qFormat/>
    <w:rsid w:val="00962A00"/>
    <w:pPr>
      <w:spacing w:after="0" w:line="240" w:lineRule="auto"/>
      <w:ind w:left="720"/>
      <w:contextualSpacing/>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2C0544"/>
    <w:rPr>
      <w:color w:val="605E5C"/>
      <w:shd w:val="clear" w:color="auto" w:fill="E1DFDD"/>
    </w:rPr>
  </w:style>
  <w:style w:type="table" w:styleId="TableGrid0">
    <w:name w:val="Table Grid"/>
    <w:basedOn w:val="TableNormal"/>
    <w:uiPriority w:val="39"/>
    <w:rsid w:val="00DA2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8916">
      <w:bodyDiv w:val="1"/>
      <w:marLeft w:val="0"/>
      <w:marRight w:val="0"/>
      <w:marTop w:val="0"/>
      <w:marBottom w:val="0"/>
      <w:divBdr>
        <w:top w:val="none" w:sz="0" w:space="0" w:color="auto"/>
        <w:left w:val="none" w:sz="0" w:space="0" w:color="auto"/>
        <w:bottom w:val="none" w:sz="0" w:space="0" w:color="auto"/>
        <w:right w:val="none" w:sz="0" w:space="0" w:color="auto"/>
      </w:divBdr>
    </w:div>
    <w:div w:id="403841631">
      <w:bodyDiv w:val="1"/>
      <w:marLeft w:val="0"/>
      <w:marRight w:val="0"/>
      <w:marTop w:val="0"/>
      <w:marBottom w:val="0"/>
      <w:divBdr>
        <w:top w:val="none" w:sz="0" w:space="0" w:color="auto"/>
        <w:left w:val="none" w:sz="0" w:space="0" w:color="auto"/>
        <w:bottom w:val="none" w:sz="0" w:space="0" w:color="auto"/>
        <w:right w:val="none" w:sz="0" w:space="0" w:color="auto"/>
      </w:divBdr>
      <w:divsChild>
        <w:div w:id="1460488486">
          <w:marLeft w:val="648"/>
          <w:marRight w:val="0"/>
          <w:marTop w:val="140"/>
          <w:marBottom w:val="0"/>
          <w:divBdr>
            <w:top w:val="none" w:sz="0" w:space="0" w:color="auto"/>
            <w:left w:val="none" w:sz="0" w:space="0" w:color="auto"/>
            <w:bottom w:val="none" w:sz="0" w:space="0" w:color="auto"/>
            <w:right w:val="none" w:sz="0" w:space="0" w:color="auto"/>
          </w:divBdr>
        </w:div>
        <w:div w:id="1250848529">
          <w:marLeft w:val="1166"/>
          <w:marRight w:val="0"/>
          <w:marTop w:val="106"/>
          <w:marBottom w:val="0"/>
          <w:divBdr>
            <w:top w:val="none" w:sz="0" w:space="0" w:color="auto"/>
            <w:left w:val="none" w:sz="0" w:space="0" w:color="auto"/>
            <w:bottom w:val="none" w:sz="0" w:space="0" w:color="auto"/>
            <w:right w:val="none" w:sz="0" w:space="0" w:color="auto"/>
          </w:divBdr>
        </w:div>
        <w:div w:id="866793437">
          <w:marLeft w:val="648"/>
          <w:marRight w:val="0"/>
          <w:marTop w:val="140"/>
          <w:marBottom w:val="0"/>
          <w:divBdr>
            <w:top w:val="none" w:sz="0" w:space="0" w:color="auto"/>
            <w:left w:val="none" w:sz="0" w:space="0" w:color="auto"/>
            <w:bottom w:val="none" w:sz="0" w:space="0" w:color="auto"/>
            <w:right w:val="none" w:sz="0" w:space="0" w:color="auto"/>
          </w:divBdr>
        </w:div>
        <w:div w:id="2042196126">
          <w:marLeft w:val="1166"/>
          <w:marRight w:val="0"/>
          <w:marTop w:val="106"/>
          <w:marBottom w:val="0"/>
          <w:divBdr>
            <w:top w:val="none" w:sz="0" w:space="0" w:color="auto"/>
            <w:left w:val="none" w:sz="0" w:space="0" w:color="auto"/>
            <w:bottom w:val="none" w:sz="0" w:space="0" w:color="auto"/>
            <w:right w:val="none" w:sz="0" w:space="0" w:color="auto"/>
          </w:divBdr>
        </w:div>
        <w:div w:id="1327048253">
          <w:marLeft w:val="1166"/>
          <w:marRight w:val="0"/>
          <w:marTop w:val="106"/>
          <w:marBottom w:val="0"/>
          <w:divBdr>
            <w:top w:val="none" w:sz="0" w:space="0" w:color="auto"/>
            <w:left w:val="none" w:sz="0" w:space="0" w:color="auto"/>
            <w:bottom w:val="none" w:sz="0" w:space="0" w:color="auto"/>
            <w:right w:val="none" w:sz="0" w:space="0" w:color="auto"/>
          </w:divBdr>
        </w:div>
        <w:div w:id="859859721">
          <w:marLeft w:val="1166"/>
          <w:marRight w:val="0"/>
          <w:marTop w:val="106"/>
          <w:marBottom w:val="0"/>
          <w:divBdr>
            <w:top w:val="none" w:sz="0" w:space="0" w:color="auto"/>
            <w:left w:val="none" w:sz="0" w:space="0" w:color="auto"/>
            <w:bottom w:val="none" w:sz="0" w:space="0" w:color="auto"/>
            <w:right w:val="none" w:sz="0" w:space="0" w:color="auto"/>
          </w:divBdr>
        </w:div>
        <w:div w:id="1796757090">
          <w:marLeft w:val="1166"/>
          <w:marRight w:val="0"/>
          <w:marTop w:val="106"/>
          <w:marBottom w:val="0"/>
          <w:divBdr>
            <w:top w:val="none" w:sz="0" w:space="0" w:color="auto"/>
            <w:left w:val="none" w:sz="0" w:space="0" w:color="auto"/>
            <w:bottom w:val="none" w:sz="0" w:space="0" w:color="auto"/>
            <w:right w:val="none" w:sz="0" w:space="0" w:color="auto"/>
          </w:divBdr>
        </w:div>
        <w:div w:id="1656300223">
          <w:marLeft w:val="1166"/>
          <w:marRight w:val="0"/>
          <w:marTop w:val="106"/>
          <w:marBottom w:val="0"/>
          <w:divBdr>
            <w:top w:val="none" w:sz="0" w:space="0" w:color="auto"/>
            <w:left w:val="none" w:sz="0" w:space="0" w:color="auto"/>
            <w:bottom w:val="none" w:sz="0" w:space="0" w:color="auto"/>
            <w:right w:val="none" w:sz="0" w:space="0" w:color="auto"/>
          </w:divBdr>
        </w:div>
      </w:divsChild>
    </w:div>
    <w:div w:id="437797776">
      <w:bodyDiv w:val="1"/>
      <w:marLeft w:val="0"/>
      <w:marRight w:val="0"/>
      <w:marTop w:val="0"/>
      <w:marBottom w:val="0"/>
      <w:divBdr>
        <w:top w:val="none" w:sz="0" w:space="0" w:color="auto"/>
        <w:left w:val="none" w:sz="0" w:space="0" w:color="auto"/>
        <w:bottom w:val="none" w:sz="0" w:space="0" w:color="auto"/>
        <w:right w:val="none" w:sz="0" w:space="0" w:color="auto"/>
      </w:divBdr>
    </w:div>
    <w:div w:id="689138516">
      <w:bodyDiv w:val="1"/>
      <w:marLeft w:val="0"/>
      <w:marRight w:val="0"/>
      <w:marTop w:val="0"/>
      <w:marBottom w:val="0"/>
      <w:divBdr>
        <w:top w:val="none" w:sz="0" w:space="0" w:color="auto"/>
        <w:left w:val="none" w:sz="0" w:space="0" w:color="auto"/>
        <w:bottom w:val="none" w:sz="0" w:space="0" w:color="auto"/>
        <w:right w:val="none" w:sz="0" w:space="0" w:color="auto"/>
      </w:divBdr>
    </w:div>
    <w:div w:id="1286620113">
      <w:bodyDiv w:val="1"/>
      <w:marLeft w:val="0"/>
      <w:marRight w:val="0"/>
      <w:marTop w:val="0"/>
      <w:marBottom w:val="0"/>
      <w:divBdr>
        <w:top w:val="none" w:sz="0" w:space="0" w:color="auto"/>
        <w:left w:val="none" w:sz="0" w:space="0" w:color="auto"/>
        <w:bottom w:val="none" w:sz="0" w:space="0" w:color="auto"/>
        <w:right w:val="none" w:sz="0" w:space="0" w:color="auto"/>
      </w:divBdr>
    </w:div>
    <w:div w:id="1494103074">
      <w:bodyDiv w:val="1"/>
      <w:marLeft w:val="0"/>
      <w:marRight w:val="0"/>
      <w:marTop w:val="0"/>
      <w:marBottom w:val="0"/>
      <w:divBdr>
        <w:top w:val="none" w:sz="0" w:space="0" w:color="auto"/>
        <w:left w:val="none" w:sz="0" w:space="0" w:color="auto"/>
        <w:bottom w:val="none" w:sz="0" w:space="0" w:color="auto"/>
        <w:right w:val="none" w:sz="0" w:space="0" w:color="auto"/>
      </w:divBdr>
    </w:div>
    <w:div w:id="1638875044">
      <w:bodyDiv w:val="1"/>
      <w:marLeft w:val="0"/>
      <w:marRight w:val="0"/>
      <w:marTop w:val="0"/>
      <w:marBottom w:val="0"/>
      <w:divBdr>
        <w:top w:val="none" w:sz="0" w:space="0" w:color="auto"/>
        <w:left w:val="none" w:sz="0" w:space="0" w:color="auto"/>
        <w:bottom w:val="none" w:sz="0" w:space="0" w:color="auto"/>
        <w:right w:val="none" w:sz="0" w:space="0" w:color="auto"/>
      </w:divBdr>
      <w:divsChild>
        <w:div w:id="229385378">
          <w:marLeft w:val="648"/>
          <w:marRight w:val="0"/>
          <w:marTop w:val="140"/>
          <w:marBottom w:val="0"/>
          <w:divBdr>
            <w:top w:val="none" w:sz="0" w:space="0" w:color="auto"/>
            <w:left w:val="none" w:sz="0" w:space="0" w:color="auto"/>
            <w:bottom w:val="none" w:sz="0" w:space="0" w:color="auto"/>
            <w:right w:val="none" w:sz="0" w:space="0" w:color="auto"/>
          </w:divBdr>
        </w:div>
      </w:divsChild>
    </w:div>
    <w:div w:id="2108963896">
      <w:bodyDiv w:val="1"/>
      <w:marLeft w:val="0"/>
      <w:marRight w:val="0"/>
      <w:marTop w:val="0"/>
      <w:marBottom w:val="0"/>
      <w:divBdr>
        <w:top w:val="none" w:sz="0" w:space="0" w:color="auto"/>
        <w:left w:val="none" w:sz="0" w:space="0" w:color="auto"/>
        <w:bottom w:val="none" w:sz="0" w:space="0" w:color="auto"/>
        <w:right w:val="none" w:sz="0" w:space="0" w:color="auto"/>
      </w:divBdr>
      <w:divsChild>
        <w:div w:id="1570070904">
          <w:marLeft w:val="648"/>
          <w:marRight w:val="0"/>
          <w:marTop w:val="140"/>
          <w:marBottom w:val="0"/>
          <w:divBdr>
            <w:top w:val="none" w:sz="0" w:space="0" w:color="auto"/>
            <w:left w:val="none" w:sz="0" w:space="0" w:color="auto"/>
            <w:bottom w:val="none" w:sz="0" w:space="0" w:color="auto"/>
            <w:right w:val="none" w:sz="0" w:space="0" w:color="auto"/>
          </w:divBdr>
        </w:div>
        <w:div w:id="1453480849">
          <w:marLeft w:val="648"/>
          <w:marRight w:val="0"/>
          <w:marTop w:val="1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9703-3217" TargetMode="External"/><Relationship Id="rId13" Type="http://schemas.openxmlformats.org/officeDocument/2006/relationships/hyperlink" Target="mailto:ysharma115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2-9815-34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rcid.org/0000-0002-5732-3359" TargetMode="External"/><Relationship Id="rId4" Type="http://schemas.openxmlformats.org/officeDocument/2006/relationships/settings" Target="settings.xml"/><Relationship Id="rId9" Type="http://schemas.openxmlformats.org/officeDocument/2006/relationships/hyperlink" Target="http://orcid.org/0000%200002%208807%202871"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0FD39-27E5-44EC-873C-EED12BA3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6606</Words>
  <Characters>37657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dc:creator>
  <cp:keywords/>
  <dc:description/>
  <cp:lastModifiedBy>Lian-Sheng Ma</cp:lastModifiedBy>
  <cp:revision>2</cp:revision>
  <dcterms:created xsi:type="dcterms:W3CDTF">2019-07-05T18:22:00Z</dcterms:created>
  <dcterms:modified xsi:type="dcterms:W3CDTF">2019-07-05T18:22:00Z</dcterms:modified>
</cp:coreProperties>
</file>