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8020C" w14:textId="77777777" w:rsidR="005B3C70" w:rsidRPr="005B3C70" w:rsidRDefault="005B3C70" w:rsidP="00487AFC">
      <w:pPr>
        <w:widowControl/>
        <w:spacing w:line="360" w:lineRule="auto"/>
        <w:outlineLvl w:val="0"/>
        <w:rPr>
          <w:rFonts w:ascii="Book Antiqua" w:hAnsi="Book Antiqua" w:cs="Times New Roman"/>
          <w:b/>
          <w:color w:val="000000"/>
          <w:kern w:val="0"/>
          <w:sz w:val="24"/>
          <w:szCs w:val="24"/>
          <w:highlight w:val="white"/>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31"/>
      <w:bookmarkStart w:id="12" w:name="OLE_LINK23"/>
      <w:bookmarkStart w:id="13" w:name="OLE_LINK373"/>
      <w:bookmarkStart w:id="14" w:name="_Hlk530923617"/>
      <w:r w:rsidRPr="005B3C70">
        <w:rPr>
          <w:rFonts w:ascii="Book Antiqua" w:hAnsi="Book Antiqua" w:cs="Times New Roman"/>
          <w:b/>
          <w:color w:val="000000"/>
          <w:kern w:val="0"/>
          <w:sz w:val="24"/>
          <w:szCs w:val="24"/>
          <w:highlight w:val="white"/>
        </w:rPr>
        <w:t xml:space="preserve">Name of </w:t>
      </w:r>
      <w:r w:rsidRPr="005B3C70">
        <w:rPr>
          <w:rFonts w:ascii="Book Antiqua" w:hAnsi="Book Antiqua" w:cs="Times New Roman"/>
          <w:b/>
          <w:caps/>
          <w:color w:val="000000"/>
          <w:kern w:val="0"/>
          <w:sz w:val="24"/>
          <w:szCs w:val="24"/>
          <w:highlight w:val="white"/>
        </w:rPr>
        <w:t>j</w:t>
      </w:r>
      <w:r w:rsidRPr="005B3C70">
        <w:rPr>
          <w:rFonts w:ascii="Book Antiqua" w:hAnsi="Book Antiqua" w:cs="Times New Roman"/>
          <w:b/>
          <w:color w:val="000000"/>
          <w:kern w:val="0"/>
          <w:sz w:val="24"/>
          <w:szCs w:val="24"/>
          <w:highlight w:val="white"/>
        </w:rPr>
        <w:t xml:space="preserve">ournal: </w:t>
      </w:r>
      <w:bookmarkStart w:id="15" w:name="OLE_LINK718"/>
      <w:bookmarkStart w:id="16" w:name="OLE_LINK719"/>
      <w:r w:rsidRPr="005B3C70">
        <w:rPr>
          <w:rFonts w:ascii="Book Antiqua" w:hAnsi="Book Antiqua" w:cs="Times New Roman"/>
          <w:b/>
          <w:i/>
          <w:color w:val="000000"/>
          <w:kern w:val="0"/>
          <w:sz w:val="24"/>
          <w:szCs w:val="24"/>
          <w:highlight w:val="white"/>
        </w:rPr>
        <w:t>World Journal of Gastroenterology</w:t>
      </w:r>
      <w:bookmarkEnd w:id="15"/>
      <w:bookmarkEnd w:id="16"/>
    </w:p>
    <w:p w14:paraId="6D335A5A" w14:textId="6854319C" w:rsidR="005B3C70" w:rsidRPr="005B3C70" w:rsidRDefault="005B3C70" w:rsidP="00487AFC">
      <w:pPr>
        <w:widowControl/>
        <w:spacing w:line="360" w:lineRule="auto"/>
        <w:outlineLvl w:val="0"/>
        <w:rPr>
          <w:rFonts w:ascii="Book Antiqua" w:hAnsi="Book Antiqua" w:cs="Times New Roman"/>
          <w:b/>
          <w:i/>
          <w:color w:val="000000"/>
          <w:kern w:val="0"/>
          <w:sz w:val="24"/>
          <w:szCs w:val="24"/>
          <w:highlight w:val="white"/>
        </w:rPr>
      </w:pPr>
      <w:bookmarkStart w:id="17" w:name="OLE_LINK485"/>
      <w:bookmarkStart w:id="18" w:name="OLE_LINK486"/>
      <w:bookmarkStart w:id="19" w:name="OLE_LINK661"/>
      <w:bookmarkStart w:id="20" w:name="OLE_LINK768"/>
      <w:bookmarkStart w:id="21" w:name="OLE_LINK514"/>
      <w:bookmarkStart w:id="22" w:name="OLE_LINK515"/>
      <w:r w:rsidRPr="005B3C70">
        <w:rPr>
          <w:rFonts w:ascii="Book Antiqua" w:hAnsi="Book Antiqua" w:cs="Times New Roman"/>
          <w:b/>
          <w:color w:val="000000"/>
          <w:kern w:val="0"/>
          <w:sz w:val="24"/>
          <w:szCs w:val="24"/>
          <w:highlight w:val="white"/>
        </w:rPr>
        <w:t>Manuscript NO:</w:t>
      </w:r>
      <w:bookmarkEnd w:id="17"/>
      <w:bookmarkEnd w:id="18"/>
      <w:bookmarkEnd w:id="19"/>
      <w:bookmarkEnd w:id="20"/>
      <w:r w:rsidRPr="005B3C70">
        <w:rPr>
          <w:rFonts w:ascii="Book Antiqua" w:hAnsi="Book Antiqua" w:cs="Times New Roman"/>
          <w:b/>
          <w:color w:val="000000"/>
          <w:kern w:val="0"/>
          <w:sz w:val="24"/>
          <w:szCs w:val="24"/>
          <w:highlight w:val="white"/>
        </w:rPr>
        <w:t xml:space="preserve"> </w:t>
      </w:r>
      <w:r>
        <w:rPr>
          <w:rFonts w:ascii="Book Antiqua" w:hAnsi="Book Antiqua" w:cs="Times New Roman"/>
          <w:b/>
          <w:color w:val="000000"/>
          <w:kern w:val="0"/>
          <w:sz w:val="24"/>
          <w:szCs w:val="24"/>
        </w:rPr>
        <w:t>44765</w:t>
      </w:r>
    </w:p>
    <w:bookmarkEnd w:id="21"/>
    <w:bookmarkEnd w:id="22"/>
    <w:p w14:paraId="661E2049" w14:textId="77777777" w:rsidR="005B3C70" w:rsidRPr="005B3C70" w:rsidRDefault="005B3C70" w:rsidP="00487AFC">
      <w:pPr>
        <w:widowControl/>
        <w:spacing w:line="360" w:lineRule="auto"/>
        <w:outlineLvl w:val="0"/>
        <w:rPr>
          <w:rFonts w:ascii="Book Antiqua" w:hAnsi="Book Antiqua" w:cs="Times New Roman"/>
          <w:b/>
          <w:color w:val="000000"/>
          <w:kern w:val="0"/>
          <w:sz w:val="24"/>
          <w:szCs w:val="24"/>
        </w:rPr>
      </w:pPr>
      <w:r w:rsidRPr="005B3C70">
        <w:rPr>
          <w:rFonts w:ascii="Book Antiqua" w:hAnsi="Book Antiqua" w:cs="Times New Roman"/>
          <w:b/>
          <w:color w:val="000000"/>
          <w:kern w:val="0"/>
          <w:sz w:val="24"/>
          <w:szCs w:val="24"/>
          <w:highlight w:val="white"/>
        </w:rPr>
        <w:t xml:space="preserve">Manuscript </w:t>
      </w:r>
      <w:r w:rsidRPr="005B3C70">
        <w:rPr>
          <w:rFonts w:ascii="Book Antiqua" w:hAnsi="Book Antiqua" w:cs="Times New Roman"/>
          <w:b/>
          <w:caps/>
          <w:color w:val="000000"/>
          <w:kern w:val="0"/>
          <w:sz w:val="24"/>
          <w:szCs w:val="24"/>
          <w:highlight w:val="white"/>
        </w:rPr>
        <w:t>t</w:t>
      </w:r>
      <w:r w:rsidRPr="005B3C70">
        <w:rPr>
          <w:rFonts w:ascii="Book Antiqua" w:hAnsi="Book Antiqua" w:cs="Times New Roman"/>
          <w:b/>
          <w:color w:val="000000"/>
          <w:kern w:val="0"/>
          <w:sz w:val="24"/>
          <w:szCs w:val="24"/>
          <w:highlight w:val="white"/>
        </w:rPr>
        <w:t>ype</w:t>
      </w:r>
      <w:r w:rsidRPr="005B3C70">
        <w:rPr>
          <w:rFonts w:ascii="Book Antiqua" w:hAnsi="Book Antiqua" w:cs="Times New Roman"/>
          <w:b/>
          <w:color w:val="000000"/>
          <w:kern w:val="0"/>
          <w:sz w:val="24"/>
          <w:szCs w:val="24"/>
        </w:rPr>
        <w:t>:</w:t>
      </w:r>
      <w:bookmarkEnd w:id="0"/>
      <w:bookmarkEnd w:id="1"/>
      <w:bookmarkEnd w:id="2"/>
      <w:bookmarkEnd w:id="3"/>
      <w:bookmarkEnd w:id="4"/>
      <w:bookmarkEnd w:id="5"/>
      <w:bookmarkEnd w:id="6"/>
      <w:bookmarkEnd w:id="7"/>
      <w:bookmarkEnd w:id="8"/>
      <w:bookmarkEnd w:id="9"/>
      <w:bookmarkEnd w:id="10"/>
      <w:r w:rsidRPr="005B3C70">
        <w:rPr>
          <w:rFonts w:ascii="Book Antiqua" w:hAnsi="Book Antiqua" w:cs="Times New Roman"/>
          <w:b/>
          <w:color w:val="000000"/>
          <w:kern w:val="0"/>
          <w:sz w:val="24"/>
          <w:szCs w:val="24"/>
        </w:rPr>
        <w:t xml:space="preserve"> </w:t>
      </w:r>
      <w:bookmarkStart w:id="23" w:name="OLE_LINK12"/>
      <w:bookmarkStart w:id="24" w:name="OLE_LINK13"/>
      <w:r w:rsidRPr="005B3C70">
        <w:rPr>
          <w:rFonts w:ascii="Book Antiqua" w:hAnsi="Book Antiqua" w:cs="Times New Roman"/>
          <w:b/>
          <w:color w:val="000000"/>
          <w:kern w:val="0"/>
          <w:sz w:val="24"/>
          <w:szCs w:val="24"/>
        </w:rPr>
        <w:t>ORIGINAL ARTICLE</w:t>
      </w:r>
      <w:bookmarkEnd w:id="11"/>
      <w:bookmarkEnd w:id="23"/>
      <w:bookmarkEnd w:id="24"/>
    </w:p>
    <w:p w14:paraId="2CC97872" w14:textId="77777777" w:rsidR="005B3C70" w:rsidRPr="005B3C70" w:rsidRDefault="005B3C70" w:rsidP="005B3C70">
      <w:pPr>
        <w:widowControl/>
        <w:spacing w:line="360" w:lineRule="auto"/>
        <w:rPr>
          <w:rFonts w:ascii="Book Antiqua" w:hAnsi="Book Antiqua" w:cs="Times New Roman"/>
          <w:b/>
          <w:color w:val="000000"/>
          <w:kern w:val="0"/>
          <w:sz w:val="24"/>
          <w:szCs w:val="24"/>
        </w:rPr>
      </w:pPr>
      <w:bookmarkStart w:id="25" w:name="OLE_LINK45"/>
    </w:p>
    <w:bookmarkEnd w:id="25"/>
    <w:p w14:paraId="0FF55A7B" w14:textId="77777777" w:rsidR="005B3C70" w:rsidRDefault="005B3C70" w:rsidP="00487AFC">
      <w:pPr>
        <w:pStyle w:val="a7"/>
        <w:adjustRightInd w:val="0"/>
        <w:snapToGrid w:val="0"/>
        <w:spacing w:line="360" w:lineRule="auto"/>
        <w:ind w:firstLineChars="0" w:firstLine="0"/>
        <w:outlineLvl w:val="0"/>
        <w:rPr>
          <w:rFonts w:ascii="Book Antiqua" w:hAnsi="Book Antiqua"/>
          <w:b/>
          <w:color w:val="000000"/>
          <w:sz w:val="24"/>
          <w:szCs w:val="24"/>
        </w:rPr>
      </w:pPr>
      <w:r w:rsidRPr="005B3C70">
        <w:rPr>
          <w:rFonts w:ascii="Book Antiqua" w:eastAsia="幼圆" w:hAnsi="Book Antiqua" w:cs="Times New Roman"/>
          <w:b/>
          <w:i/>
          <w:kern w:val="0"/>
          <w:sz w:val="24"/>
          <w:szCs w:val="24"/>
        </w:rPr>
        <w:t>Retrospective Study</w:t>
      </w:r>
      <w:bookmarkEnd w:id="12"/>
      <w:bookmarkEnd w:id="13"/>
    </w:p>
    <w:p w14:paraId="4431AB02" w14:textId="529CE458" w:rsidR="006900F1" w:rsidRPr="00704D1E" w:rsidRDefault="006900F1" w:rsidP="005B3C70">
      <w:pPr>
        <w:pStyle w:val="a7"/>
        <w:adjustRightInd w:val="0"/>
        <w:snapToGrid w:val="0"/>
        <w:spacing w:line="360" w:lineRule="auto"/>
        <w:ind w:firstLineChars="0" w:firstLine="0"/>
        <w:rPr>
          <w:rFonts w:ascii="Book Antiqua" w:hAnsi="Book Antiqua" w:cs="Times New Roman"/>
          <w:b/>
          <w:color w:val="000000" w:themeColor="text1"/>
          <w:sz w:val="24"/>
          <w:szCs w:val="24"/>
        </w:rPr>
      </w:pPr>
      <w:r w:rsidRPr="00704D1E">
        <w:rPr>
          <w:rFonts w:ascii="Book Antiqua" w:hAnsi="Book Antiqua"/>
          <w:b/>
          <w:color w:val="000000" w:themeColor="text1"/>
          <w:sz w:val="24"/>
          <w:szCs w:val="24"/>
        </w:rPr>
        <w:t>Clinical characteristics of non</w:t>
      </w:r>
      <w:r w:rsidR="00C32A0B" w:rsidRPr="00704D1E">
        <w:rPr>
          <w:rFonts w:ascii="Book Antiqua" w:hAnsi="Book Antiqua"/>
          <w:b/>
          <w:color w:val="000000" w:themeColor="text1"/>
          <w:sz w:val="24"/>
          <w:szCs w:val="24"/>
        </w:rPr>
        <w:t>-</w:t>
      </w:r>
      <w:r w:rsidRPr="00704D1E">
        <w:rPr>
          <w:rFonts w:ascii="Book Antiqua" w:hAnsi="Book Antiqua"/>
          <w:b/>
          <w:color w:val="000000" w:themeColor="text1"/>
          <w:sz w:val="24"/>
          <w:szCs w:val="24"/>
        </w:rPr>
        <w:t>alcoholic fatty liver disease in Chinese adult hypopituitary patients</w:t>
      </w:r>
    </w:p>
    <w:bookmarkEnd w:id="14"/>
    <w:p w14:paraId="46211E3C" w14:textId="77777777" w:rsidR="00EA1AAD" w:rsidRPr="00704D1E" w:rsidRDefault="00EA1AAD" w:rsidP="00704D1E">
      <w:pPr>
        <w:pStyle w:val="a7"/>
        <w:adjustRightInd w:val="0"/>
        <w:snapToGrid w:val="0"/>
        <w:spacing w:line="360" w:lineRule="auto"/>
        <w:ind w:firstLineChars="0" w:firstLine="0"/>
        <w:rPr>
          <w:rFonts w:ascii="Book Antiqua" w:hAnsi="Book Antiqua" w:cs="Times New Roman"/>
          <w:color w:val="000000" w:themeColor="text1"/>
          <w:sz w:val="24"/>
          <w:szCs w:val="24"/>
        </w:rPr>
      </w:pPr>
    </w:p>
    <w:p w14:paraId="48DE0B33" w14:textId="7D51AE89" w:rsidR="005810A0" w:rsidRPr="00704D1E" w:rsidRDefault="005810A0" w:rsidP="00487AFC">
      <w:pPr>
        <w:pStyle w:val="a7"/>
        <w:adjustRightInd w:val="0"/>
        <w:snapToGrid w:val="0"/>
        <w:spacing w:line="360" w:lineRule="auto"/>
        <w:ind w:firstLineChars="0" w:firstLine="0"/>
        <w:outlineLvl w:val="0"/>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Yuan</w:t>
      </w:r>
      <w:r w:rsidR="00EA1AAD" w:rsidRPr="00704D1E">
        <w:rPr>
          <w:rFonts w:ascii="Book Antiqua" w:hAnsi="Book Antiqua" w:cs="Times New Roman"/>
          <w:color w:val="000000" w:themeColor="text1"/>
          <w:sz w:val="24"/>
          <w:szCs w:val="24"/>
        </w:rPr>
        <w:t xml:space="preserve"> XX</w:t>
      </w:r>
      <w:r w:rsidRPr="00704D1E">
        <w:rPr>
          <w:rFonts w:ascii="Book Antiqua" w:hAnsi="Book Antiqua" w:cs="Times New Roman"/>
          <w:color w:val="000000" w:themeColor="text1"/>
          <w:sz w:val="24"/>
          <w:szCs w:val="24"/>
        </w:rPr>
        <w:t xml:space="preserve"> </w:t>
      </w:r>
      <w:r w:rsidRPr="00704D1E">
        <w:rPr>
          <w:rFonts w:ascii="Book Antiqua" w:hAnsi="Book Antiqua" w:cs="Times New Roman"/>
          <w:i/>
          <w:color w:val="000000" w:themeColor="text1"/>
          <w:sz w:val="24"/>
          <w:szCs w:val="24"/>
        </w:rPr>
        <w:t>et al</w:t>
      </w:r>
      <w:r w:rsidRPr="00704D1E">
        <w:rPr>
          <w:rFonts w:ascii="Book Antiqua" w:hAnsi="Book Antiqua" w:cs="Times New Roman"/>
          <w:color w:val="000000" w:themeColor="text1"/>
          <w:sz w:val="24"/>
          <w:szCs w:val="24"/>
        </w:rPr>
        <w:t xml:space="preserve">. </w:t>
      </w:r>
      <w:r w:rsidR="005B3C70">
        <w:rPr>
          <w:rFonts w:ascii="Book Antiqua" w:hAnsi="Book Antiqua" w:cs="Times New Roman"/>
          <w:color w:val="000000" w:themeColor="text1"/>
          <w:sz w:val="24"/>
          <w:szCs w:val="24"/>
        </w:rPr>
        <w:t>NAFLD</w:t>
      </w:r>
      <w:r w:rsidR="006900F1" w:rsidRPr="00704D1E">
        <w:rPr>
          <w:rFonts w:ascii="Book Antiqua" w:hAnsi="Book Antiqua" w:cs="Times New Roman"/>
          <w:color w:val="000000" w:themeColor="text1"/>
          <w:sz w:val="24"/>
          <w:szCs w:val="24"/>
        </w:rPr>
        <w:t xml:space="preserve"> in hypopituitarism</w:t>
      </w:r>
    </w:p>
    <w:p w14:paraId="4E1F6A82" w14:textId="77777777" w:rsidR="00CC1152" w:rsidRPr="00704D1E" w:rsidRDefault="00CC1152" w:rsidP="00704D1E">
      <w:pPr>
        <w:pStyle w:val="a7"/>
        <w:adjustRightInd w:val="0"/>
        <w:snapToGrid w:val="0"/>
        <w:spacing w:line="360" w:lineRule="auto"/>
        <w:ind w:firstLineChars="0" w:firstLine="0"/>
        <w:rPr>
          <w:rFonts w:ascii="Book Antiqua" w:hAnsi="Book Antiqua" w:cs="Times New Roman"/>
          <w:color w:val="000000" w:themeColor="text1"/>
          <w:sz w:val="24"/>
          <w:szCs w:val="24"/>
        </w:rPr>
      </w:pPr>
    </w:p>
    <w:p w14:paraId="662C0276" w14:textId="4108616B" w:rsidR="005810A0" w:rsidRPr="00704D1E" w:rsidRDefault="005810A0" w:rsidP="00704D1E">
      <w:pPr>
        <w:pStyle w:val="a7"/>
        <w:adjustRightInd w:val="0"/>
        <w:snapToGrid w:val="0"/>
        <w:spacing w:line="360" w:lineRule="auto"/>
        <w:ind w:firstLineChars="0" w:firstLine="0"/>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Xian</w:t>
      </w:r>
      <w:r w:rsidR="00EA1AAD" w:rsidRPr="00704D1E">
        <w:rPr>
          <w:rFonts w:ascii="Book Antiqua" w:hAnsi="Book Antiqua" w:cs="Times New Roman"/>
          <w:color w:val="000000" w:themeColor="text1"/>
          <w:sz w:val="24"/>
          <w:szCs w:val="24"/>
        </w:rPr>
        <w:t>-X</w:t>
      </w:r>
      <w:r w:rsidRPr="00704D1E">
        <w:rPr>
          <w:rFonts w:ascii="Book Antiqua" w:hAnsi="Book Antiqua" w:cs="Times New Roman"/>
          <w:color w:val="000000" w:themeColor="text1"/>
          <w:sz w:val="24"/>
          <w:szCs w:val="24"/>
        </w:rPr>
        <w:t>ian Yuan, Hui</w:t>
      </w:r>
      <w:r w:rsidR="00EA1AAD" w:rsidRPr="00704D1E">
        <w:rPr>
          <w:rFonts w:ascii="Book Antiqua" w:hAnsi="Book Antiqua" w:cs="Times New Roman"/>
          <w:color w:val="000000" w:themeColor="text1"/>
          <w:sz w:val="24"/>
          <w:szCs w:val="24"/>
        </w:rPr>
        <w:t>-J</w:t>
      </w:r>
      <w:r w:rsidRPr="00704D1E">
        <w:rPr>
          <w:rFonts w:ascii="Book Antiqua" w:hAnsi="Book Antiqua" w:cs="Times New Roman"/>
          <w:color w:val="000000" w:themeColor="text1"/>
          <w:sz w:val="24"/>
          <w:szCs w:val="24"/>
        </w:rPr>
        <w:t>uan Zhu, Hui Pan, Shi Chen, Ze</w:t>
      </w:r>
      <w:r w:rsidR="00EA1AAD" w:rsidRPr="00704D1E">
        <w:rPr>
          <w:rFonts w:ascii="Book Antiqua" w:hAnsi="Book Antiqua" w:cs="Times New Roman"/>
          <w:color w:val="000000" w:themeColor="text1"/>
          <w:sz w:val="24"/>
          <w:szCs w:val="24"/>
        </w:rPr>
        <w:t>-Y</w:t>
      </w:r>
      <w:r w:rsidRPr="00704D1E">
        <w:rPr>
          <w:rFonts w:ascii="Book Antiqua" w:hAnsi="Book Antiqua" w:cs="Times New Roman"/>
          <w:color w:val="000000" w:themeColor="text1"/>
          <w:sz w:val="24"/>
          <w:szCs w:val="24"/>
        </w:rPr>
        <w:t xml:space="preserve">u Liu, </w:t>
      </w:r>
      <w:r w:rsidR="004701AB" w:rsidRPr="00704D1E">
        <w:rPr>
          <w:rFonts w:ascii="Book Antiqua" w:hAnsi="Book Antiqua" w:cs="Times New Roman"/>
          <w:color w:val="000000" w:themeColor="text1"/>
          <w:sz w:val="24"/>
          <w:szCs w:val="24"/>
        </w:rPr>
        <w:t>Yue Li</w:t>
      </w:r>
      <w:r w:rsidR="00C47FD3" w:rsidRPr="00704D1E">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Lin</w:t>
      </w:r>
      <w:r w:rsidR="00EA1AAD" w:rsidRPr="00704D1E">
        <w:rPr>
          <w:rFonts w:ascii="Book Antiqua" w:hAnsi="Book Antiqua" w:cs="Times New Roman"/>
          <w:color w:val="000000" w:themeColor="text1"/>
          <w:sz w:val="24"/>
          <w:szCs w:val="24"/>
        </w:rPr>
        <w:t>-</w:t>
      </w:r>
      <w:proofErr w:type="spellStart"/>
      <w:r w:rsidR="00EA1AAD" w:rsidRPr="00704D1E">
        <w:rPr>
          <w:rFonts w:ascii="Book Antiqua" w:hAnsi="Book Antiqua" w:cs="Times New Roman"/>
          <w:color w:val="000000" w:themeColor="text1"/>
          <w:sz w:val="24"/>
          <w:szCs w:val="24"/>
        </w:rPr>
        <w:t>J</w:t>
      </w:r>
      <w:r w:rsidRPr="00704D1E">
        <w:rPr>
          <w:rFonts w:ascii="Book Antiqua" w:hAnsi="Book Antiqua" w:cs="Times New Roman"/>
          <w:color w:val="000000" w:themeColor="text1"/>
          <w:sz w:val="24"/>
          <w:szCs w:val="24"/>
        </w:rPr>
        <w:t>ie</w:t>
      </w:r>
      <w:proofErr w:type="spellEnd"/>
      <w:r w:rsidRPr="00704D1E">
        <w:rPr>
          <w:rFonts w:ascii="Book Antiqua" w:hAnsi="Book Antiqua" w:cs="Times New Roman"/>
          <w:color w:val="000000" w:themeColor="text1"/>
          <w:sz w:val="24"/>
          <w:szCs w:val="24"/>
        </w:rPr>
        <w:t xml:space="preserve"> Wang, Lin Lu,</w:t>
      </w:r>
      <w:r w:rsidR="00C47FD3" w:rsidRPr="00704D1E">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Hong</w:t>
      </w:r>
      <w:r w:rsidR="00EA1AAD" w:rsidRPr="00704D1E">
        <w:rPr>
          <w:rFonts w:ascii="Book Antiqua" w:hAnsi="Book Antiqua" w:cs="Times New Roman"/>
          <w:color w:val="000000" w:themeColor="text1"/>
          <w:sz w:val="24"/>
          <w:szCs w:val="24"/>
        </w:rPr>
        <w:t>-B</w:t>
      </w:r>
      <w:r w:rsidRPr="00704D1E">
        <w:rPr>
          <w:rFonts w:ascii="Book Antiqua" w:hAnsi="Book Antiqua" w:cs="Times New Roman"/>
          <w:color w:val="000000" w:themeColor="text1"/>
          <w:sz w:val="24"/>
          <w:szCs w:val="24"/>
        </w:rPr>
        <w:t>o Yang, Feng</w:t>
      </w:r>
      <w:r w:rsidR="00EA1AAD" w:rsidRPr="00704D1E">
        <w:rPr>
          <w:rFonts w:ascii="Book Antiqua" w:hAnsi="Book Antiqua" w:cs="Times New Roman"/>
          <w:color w:val="000000" w:themeColor="text1"/>
          <w:sz w:val="24"/>
          <w:szCs w:val="24"/>
        </w:rPr>
        <w:t>-Y</w:t>
      </w:r>
      <w:r w:rsidRPr="00704D1E">
        <w:rPr>
          <w:rFonts w:ascii="Book Antiqua" w:hAnsi="Book Antiqua" w:cs="Times New Roman"/>
          <w:color w:val="000000" w:themeColor="text1"/>
          <w:sz w:val="24"/>
          <w:szCs w:val="24"/>
        </w:rPr>
        <w:t>ing Gong</w:t>
      </w:r>
    </w:p>
    <w:p w14:paraId="1C2DEEFC" w14:textId="77777777" w:rsidR="00CC1152" w:rsidRPr="00704D1E" w:rsidRDefault="00CC1152" w:rsidP="00704D1E">
      <w:pPr>
        <w:pStyle w:val="a7"/>
        <w:adjustRightInd w:val="0"/>
        <w:snapToGrid w:val="0"/>
        <w:spacing w:line="360" w:lineRule="auto"/>
        <w:ind w:firstLineChars="0" w:firstLine="0"/>
        <w:rPr>
          <w:rFonts w:ascii="Book Antiqua" w:hAnsi="Book Antiqua" w:cs="Times New Roman"/>
          <w:b/>
          <w:color w:val="000000" w:themeColor="text1"/>
          <w:sz w:val="24"/>
          <w:szCs w:val="24"/>
        </w:rPr>
      </w:pPr>
    </w:p>
    <w:p w14:paraId="72AB83CB" w14:textId="6D0723C2" w:rsidR="005810A0" w:rsidRPr="00704D1E" w:rsidRDefault="005810A0" w:rsidP="00704D1E">
      <w:pPr>
        <w:pStyle w:val="a7"/>
        <w:adjustRightInd w:val="0"/>
        <w:snapToGrid w:val="0"/>
        <w:spacing w:line="360" w:lineRule="auto"/>
        <w:ind w:firstLineChars="0" w:firstLine="0"/>
        <w:rPr>
          <w:rFonts w:ascii="Book Antiqua" w:hAnsi="Book Antiqua" w:cs="Times New Roman"/>
          <w:color w:val="000000" w:themeColor="text1"/>
          <w:sz w:val="24"/>
          <w:szCs w:val="24"/>
        </w:rPr>
      </w:pPr>
      <w:r w:rsidRPr="00704D1E">
        <w:rPr>
          <w:rFonts w:ascii="Book Antiqua" w:hAnsi="Book Antiqua" w:cs="Times New Roman"/>
          <w:b/>
          <w:color w:val="000000" w:themeColor="text1"/>
          <w:sz w:val="24"/>
          <w:szCs w:val="24"/>
        </w:rPr>
        <w:t>Xian</w:t>
      </w:r>
      <w:r w:rsidR="00EA1AAD" w:rsidRPr="00704D1E">
        <w:rPr>
          <w:rFonts w:ascii="Book Antiqua" w:hAnsi="Book Antiqua" w:cs="Times New Roman"/>
          <w:b/>
          <w:color w:val="000000" w:themeColor="text1"/>
          <w:sz w:val="24"/>
          <w:szCs w:val="24"/>
        </w:rPr>
        <w:t>-X</w:t>
      </w:r>
      <w:r w:rsidRPr="00704D1E">
        <w:rPr>
          <w:rFonts w:ascii="Book Antiqua" w:hAnsi="Book Antiqua" w:cs="Times New Roman"/>
          <w:b/>
          <w:color w:val="000000" w:themeColor="text1"/>
          <w:sz w:val="24"/>
          <w:szCs w:val="24"/>
        </w:rPr>
        <w:t>ian Yuan, Hui</w:t>
      </w:r>
      <w:r w:rsidR="00EA1AAD" w:rsidRPr="00704D1E">
        <w:rPr>
          <w:rFonts w:ascii="Book Antiqua" w:hAnsi="Book Antiqua" w:cs="Times New Roman"/>
          <w:b/>
          <w:color w:val="000000" w:themeColor="text1"/>
          <w:sz w:val="24"/>
          <w:szCs w:val="24"/>
        </w:rPr>
        <w:t>-J</w:t>
      </w:r>
      <w:r w:rsidRPr="00704D1E">
        <w:rPr>
          <w:rFonts w:ascii="Book Antiqua" w:hAnsi="Book Antiqua" w:cs="Times New Roman"/>
          <w:b/>
          <w:color w:val="000000" w:themeColor="text1"/>
          <w:sz w:val="24"/>
          <w:szCs w:val="24"/>
        </w:rPr>
        <w:t>uan Zhu, Hui Pan, Shi Chen, Lin</w:t>
      </w:r>
      <w:r w:rsidR="00EA1AAD" w:rsidRPr="00704D1E">
        <w:rPr>
          <w:rFonts w:ascii="Book Antiqua" w:hAnsi="Book Antiqua" w:cs="Times New Roman"/>
          <w:b/>
          <w:color w:val="000000" w:themeColor="text1"/>
          <w:sz w:val="24"/>
          <w:szCs w:val="24"/>
        </w:rPr>
        <w:t>-</w:t>
      </w:r>
      <w:proofErr w:type="spellStart"/>
      <w:r w:rsidR="00EA1AAD" w:rsidRPr="00704D1E">
        <w:rPr>
          <w:rFonts w:ascii="Book Antiqua" w:hAnsi="Book Antiqua" w:cs="Times New Roman"/>
          <w:b/>
          <w:color w:val="000000" w:themeColor="text1"/>
          <w:sz w:val="24"/>
          <w:szCs w:val="24"/>
        </w:rPr>
        <w:t>J</w:t>
      </w:r>
      <w:r w:rsidRPr="00704D1E">
        <w:rPr>
          <w:rFonts w:ascii="Book Antiqua" w:hAnsi="Book Antiqua" w:cs="Times New Roman"/>
          <w:b/>
          <w:color w:val="000000" w:themeColor="text1"/>
          <w:sz w:val="24"/>
          <w:szCs w:val="24"/>
        </w:rPr>
        <w:t>ie</w:t>
      </w:r>
      <w:proofErr w:type="spellEnd"/>
      <w:r w:rsidRPr="00704D1E">
        <w:rPr>
          <w:rFonts w:ascii="Book Antiqua" w:hAnsi="Book Antiqua" w:cs="Times New Roman"/>
          <w:b/>
          <w:color w:val="000000" w:themeColor="text1"/>
          <w:sz w:val="24"/>
          <w:szCs w:val="24"/>
        </w:rPr>
        <w:t xml:space="preserve"> Wang, Lin Lu, Hong</w:t>
      </w:r>
      <w:r w:rsidR="00EA1AAD" w:rsidRPr="00704D1E">
        <w:rPr>
          <w:rFonts w:ascii="Book Antiqua" w:hAnsi="Book Antiqua" w:cs="Times New Roman"/>
          <w:b/>
          <w:color w:val="000000" w:themeColor="text1"/>
          <w:sz w:val="24"/>
          <w:szCs w:val="24"/>
        </w:rPr>
        <w:t>-B</w:t>
      </w:r>
      <w:r w:rsidRPr="00704D1E">
        <w:rPr>
          <w:rFonts w:ascii="Book Antiqua" w:hAnsi="Book Antiqua" w:cs="Times New Roman"/>
          <w:b/>
          <w:color w:val="000000" w:themeColor="text1"/>
          <w:sz w:val="24"/>
          <w:szCs w:val="24"/>
        </w:rPr>
        <w:t>o Yang, Feng</w:t>
      </w:r>
      <w:r w:rsidR="00EA1AAD" w:rsidRPr="00704D1E">
        <w:rPr>
          <w:rFonts w:ascii="Book Antiqua" w:hAnsi="Book Antiqua" w:cs="Times New Roman"/>
          <w:b/>
          <w:color w:val="000000" w:themeColor="text1"/>
          <w:sz w:val="24"/>
          <w:szCs w:val="24"/>
        </w:rPr>
        <w:t>-Y</w:t>
      </w:r>
      <w:r w:rsidRPr="00704D1E">
        <w:rPr>
          <w:rFonts w:ascii="Book Antiqua" w:hAnsi="Book Antiqua" w:cs="Times New Roman"/>
          <w:b/>
          <w:color w:val="000000" w:themeColor="text1"/>
          <w:sz w:val="24"/>
          <w:szCs w:val="24"/>
        </w:rPr>
        <w:t>ing Gong,</w:t>
      </w:r>
      <w:r w:rsidRPr="00704D1E">
        <w:rPr>
          <w:rFonts w:ascii="Book Antiqua" w:hAnsi="Book Antiqua" w:cs="Times New Roman"/>
          <w:color w:val="000000" w:themeColor="text1"/>
          <w:sz w:val="24"/>
          <w:szCs w:val="24"/>
        </w:rPr>
        <w:t xml:space="preserve"> Department of Endocrinology, Key Laboratory of Endocrinology of National Health Commission of the People's Republic of China, The Translational Medicine Center of </w:t>
      </w:r>
      <w:r w:rsidR="00487AFC" w:rsidRPr="00704D1E">
        <w:rPr>
          <w:rFonts w:ascii="Book Antiqua" w:hAnsi="Book Antiqua" w:cs="Times New Roman"/>
          <w:color w:val="000000" w:themeColor="text1"/>
          <w:sz w:val="24"/>
          <w:szCs w:val="24"/>
        </w:rPr>
        <w:t>Peking Union Medical College Hospital</w:t>
      </w:r>
      <w:r w:rsidRPr="00704D1E">
        <w:rPr>
          <w:rFonts w:ascii="Book Antiqua" w:hAnsi="Book Antiqua" w:cs="Times New Roman"/>
          <w:color w:val="000000" w:themeColor="text1"/>
          <w:sz w:val="24"/>
          <w:szCs w:val="24"/>
        </w:rPr>
        <w:t>, Peking Union Medical College Hospital, Chinese Academy of Medical Sciences and Peking Union Medical</w:t>
      </w:r>
      <w:r w:rsidR="005B3C70">
        <w:rPr>
          <w:rFonts w:ascii="Book Antiqua" w:hAnsi="Book Antiqua" w:cs="Times New Roman"/>
          <w:color w:val="000000" w:themeColor="text1"/>
          <w:sz w:val="24"/>
          <w:szCs w:val="24"/>
        </w:rPr>
        <w:t xml:space="preserve"> College, Beijing 100730, China</w:t>
      </w:r>
    </w:p>
    <w:p w14:paraId="1F0767B1" w14:textId="77777777" w:rsidR="00CC1152" w:rsidRPr="00704D1E" w:rsidRDefault="00CC1152" w:rsidP="00704D1E">
      <w:pPr>
        <w:pStyle w:val="a7"/>
        <w:adjustRightInd w:val="0"/>
        <w:snapToGrid w:val="0"/>
        <w:spacing w:line="360" w:lineRule="auto"/>
        <w:ind w:firstLineChars="0" w:firstLine="0"/>
        <w:rPr>
          <w:rFonts w:ascii="Book Antiqua" w:hAnsi="Book Antiqua" w:cs="Times New Roman"/>
          <w:b/>
          <w:color w:val="000000" w:themeColor="text1"/>
          <w:sz w:val="24"/>
          <w:szCs w:val="24"/>
        </w:rPr>
      </w:pPr>
    </w:p>
    <w:p w14:paraId="2CF3B97E" w14:textId="38ABBB41" w:rsidR="005810A0" w:rsidRPr="00704D1E" w:rsidRDefault="005810A0" w:rsidP="00704D1E">
      <w:pPr>
        <w:pStyle w:val="a7"/>
        <w:adjustRightInd w:val="0"/>
        <w:snapToGrid w:val="0"/>
        <w:spacing w:line="360" w:lineRule="auto"/>
        <w:ind w:firstLineChars="0" w:firstLine="0"/>
        <w:rPr>
          <w:rFonts w:ascii="Book Antiqua" w:hAnsi="Book Antiqua" w:cs="Times New Roman"/>
          <w:color w:val="000000" w:themeColor="text1"/>
          <w:sz w:val="24"/>
          <w:szCs w:val="24"/>
        </w:rPr>
      </w:pPr>
      <w:r w:rsidRPr="00704D1E">
        <w:rPr>
          <w:rFonts w:ascii="Book Antiqua" w:hAnsi="Book Antiqua" w:cs="Times New Roman"/>
          <w:b/>
          <w:color w:val="000000" w:themeColor="text1"/>
          <w:sz w:val="24"/>
          <w:szCs w:val="24"/>
        </w:rPr>
        <w:t>Ze</w:t>
      </w:r>
      <w:r w:rsidR="00EA1AAD" w:rsidRPr="00704D1E">
        <w:rPr>
          <w:rFonts w:ascii="Book Antiqua" w:hAnsi="Book Antiqua" w:cs="Times New Roman"/>
          <w:b/>
          <w:color w:val="000000" w:themeColor="text1"/>
          <w:sz w:val="24"/>
          <w:szCs w:val="24"/>
        </w:rPr>
        <w:t>-Y</w:t>
      </w:r>
      <w:r w:rsidRPr="00704D1E">
        <w:rPr>
          <w:rFonts w:ascii="Book Antiqua" w:hAnsi="Book Antiqua" w:cs="Times New Roman"/>
          <w:b/>
          <w:color w:val="000000" w:themeColor="text1"/>
          <w:sz w:val="24"/>
          <w:szCs w:val="24"/>
        </w:rPr>
        <w:t>u Liu,</w:t>
      </w:r>
      <w:r w:rsidRPr="00704D1E">
        <w:rPr>
          <w:rFonts w:ascii="Book Antiqua" w:hAnsi="Book Antiqua" w:cs="Times New Roman"/>
          <w:color w:val="000000" w:themeColor="text1"/>
          <w:sz w:val="24"/>
          <w:szCs w:val="24"/>
        </w:rPr>
        <w:t xml:space="preserve"> Department of Radiology, Peking Union Medical College Hospital, Chinese Academy of Medical Sciences and Peking</w:t>
      </w:r>
      <w:r w:rsidR="005B3C70">
        <w:rPr>
          <w:rFonts w:ascii="Book Antiqua" w:hAnsi="Book Antiqua" w:cs="Times New Roman"/>
          <w:color w:val="000000" w:themeColor="text1"/>
          <w:sz w:val="24"/>
          <w:szCs w:val="24"/>
        </w:rPr>
        <w:t xml:space="preserve"> Union Medical College, Beijing 100730, China</w:t>
      </w:r>
    </w:p>
    <w:p w14:paraId="7CABFF0F" w14:textId="77777777" w:rsidR="00CC1152" w:rsidRPr="00704D1E" w:rsidRDefault="00CC1152" w:rsidP="00704D1E">
      <w:pPr>
        <w:pStyle w:val="a7"/>
        <w:adjustRightInd w:val="0"/>
        <w:snapToGrid w:val="0"/>
        <w:spacing w:line="360" w:lineRule="auto"/>
        <w:ind w:firstLineChars="0" w:firstLine="0"/>
        <w:rPr>
          <w:rFonts w:ascii="Book Antiqua" w:hAnsi="Book Antiqua" w:cs="Times New Roman"/>
          <w:b/>
          <w:color w:val="000000" w:themeColor="text1"/>
          <w:sz w:val="24"/>
          <w:szCs w:val="24"/>
        </w:rPr>
      </w:pPr>
    </w:p>
    <w:p w14:paraId="763FEDAB" w14:textId="581188D7" w:rsidR="005810A0" w:rsidRPr="00704D1E" w:rsidRDefault="004701AB" w:rsidP="00704D1E">
      <w:pPr>
        <w:pStyle w:val="a7"/>
        <w:adjustRightInd w:val="0"/>
        <w:snapToGrid w:val="0"/>
        <w:spacing w:line="360" w:lineRule="auto"/>
        <w:ind w:firstLineChars="0" w:firstLine="0"/>
        <w:rPr>
          <w:rFonts w:ascii="Book Antiqua" w:hAnsi="Book Antiqua" w:cs="Times New Roman"/>
          <w:color w:val="000000" w:themeColor="text1"/>
          <w:sz w:val="24"/>
          <w:szCs w:val="24"/>
        </w:rPr>
      </w:pPr>
      <w:r w:rsidRPr="00704D1E">
        <w:rPr>
          <w:rFonts w:ascii="Book Antiqua" w:hAnsi="Book Antiqua" w:cs="Times New Roman"/>
          <w:b/>
          <w:color w:val="000000" w:themeColor="text1"/>
          <w:sz w:val="24"/>
          <w:szCs w:val="24"/>
        </w:rPr>
        <w:t>Yue Li</w:t>
      </w:r>
      <w:r w:rsidR="005810A0" w:rsidRPr="00704D1E">
        <w:rPr>
          <w:rFonts w:ascii="Book Antiqua" w:hAnsi="Book Antiqua" w:cs="Times New Roman"/>
          <w:b/>
          <w:color w:val="000000" w:themeColor="text1"/>
          <w:sz w:val="24"/>
          <w:szCs w:val="24"/>
        </w:rPr>
        <w:t>,</w:t>
      </w:r>
      <w:r w:rsidR="005810A0" w:rsidRPr="00704D1E">
        <w:rPr>
          <w:rFonts w:ascii="Book Antiqua" w:hAnsi="Book Antiqua" w:cs="Times New Roman"/>
          <w:color w:val="000000" w:themeColor="text1"/>
          <w:sz w:val="24"/>
          <w:szCs w:val="24"/>
        </w:rPr>
        <w:t xml:space="preserve"> Department of </w:t>
      </w:r>
      <w:r w:rsidR="00C47FD3" w:rsidRPr="00704D1E">
        <w:rPr>
          <w:rFonts w:ascii="Book Antiqua" w:hAnsi="Book Antiqua" w:cs="Times New Roman"/>
          <w:color w:val="000000" w:themeColor="text1"/>
          <w:sz w:val="24"/>
          <w:szCs w:val="24"/>
        </w:rPr>
        <w:t>Gastroenterology</w:t>
      </w:r>
      <w:r w:rsidR="005810A0" w:rsidRPr="00704D1E">
        <w:rPr>
          <w:rFonts w:ascii="Book Antiqua" w:hAnsi="Book Antiqua" w:cs="Times New Roman"/>
          <w:color w:val="000000" w:themeColor="text1"/>
          <w:sz w:val="24"/>
          <w:szCs w:val="24"/>
        </w:rPr>
        <w:t>, Peking Union Medical College Hospital, Chinese Academy of Medical Sciences and Peking</w:t>
      </w:r>
      <w:r w:rsidR="005B3C70">
        <w:rPr>
          <w:rFonts w:ascii="Book Antiqua" w:hAnsi="Book Antiqua" w:cs="Times New Roman"/>
          <w:color w:val="000000" w:themeColor="text1"/>
          <w:sz w:val="24"/>
          <w:szCs w:val="24"/>
        </w:rPr>
        <w:t xml:space="preserve"> Union Medical College, Beijing 100730, China</w:t>
      </w:r>
    </w:p>
    <w:p w14:paraId="4F875C1A" w14:textId="77777777" w:rsidR="00CC1152" w:rsidRPr="00704D1E" w:rsidRDefault="00CC1152" w:rsidP="00704D1E">
      <w:pPr>
        <w:pStyle w:val="a7"/>
        <w:adjustRightInd w:val="0"/>
        <w:snapToGrid w:val="0"/>
        <w:spacing w:line="360" w:lineRule="auto"/>
        <w:ind w:firstLineChars="0" w:firstLine="0"/>
        <w:rPr>
          <w:rFonts w:ascii="Book Antiqua" w:hAnsi="Book Antiqua" w:cs="Times New Roman"/>
          <w:color w:val="000000" w:themeColor="text1"/>
          <w:sz w:val="24"/>
          <w:szCs w:val="24"/>
        </w:rPr>
      </w:pPr>
    </w:p>
    <w:p w14:paraId="7A7CD666" w14:textId="2274DDDF" w:rsidR="005810A0" w:rsidRPr="00704D1E" w:rsidRDefault="005810A0" w:rsidP="00704D1E">
      <w:pPr>
        <w:pStyle w:val="a7"/>
        <w:adjustRightInd w:val="0"/>
        <w:snapToGrid w:val="0"/>
        <w:spacing w:line="360" w:lineRule="auto"/>
        <w:ind w:firstLineChars="0" w:firstLine="0"/>
        <w:rPr>
          <w:rFonts w:ascii="Book Antiqua" w:hAnsi="Book Antiqua" w:cs="Times New Roman"/>
          <w:color w:val="000000" w:themeColor="text1"/>
          <w:sz w:val="24"/>
          <w:szCs w:val="24"/>
        </w:rPr>
      </w:pPr>
      <w:r w:rsidRPr="00704D1E">
        <w:rPr>
          <w:rFonts w:ascii="Book Antiqua" w:hAnsi="Book Antiqua" w:cs="Times New Roman"/>
          <w:b/>
          <w:color w:val="000000" w:themeColor="text1"/>
          <w:sz w:val="24"/>
          <w:szCs w:val="24"/>
        </w:rPr>
        <w:t>ORCID number</w:t>
      </w:r>
      <w:r w:rsidRPr="005B3C70">
        <w:rPr>
          <w:rFonts w:ascii="Book Antiqua" w:hAnsi="Book Antiqua" w:cs="Times New Roman"/>
          <w:b/>
          <w:color w:val="000000" w:themeColor="text1"/>
          <w:sz w:val="24"/>
          <w:szCs w:val="24"/>
        </w:rPr>
        <w:t>:</w:t>
      </w:r>
      <w:r w:rsidRPr="00704D1E">
        <w:rPr>
          <w:rFonts w:ascii="Book Antiqua" w:hAnsi="Book Antiqua" w:cs="Times New Roman"/>
          <w:color w:val="000000" w:themeColor="text1"/>
          <w:sz w:val="24"/>
          <w:szCs w:val="24"/>
        </w:rPr>
        <w:t xml:space="preserve"> </w:t>
      </w:r>
      <w:r w:rsidR="006900F1" w:rsidRPr="00704D1E">
        <w:rPr>
          <w:rFonts w:ascii="Book Antiqua" w:hAnsi="Book Antiqua" w:cs="Times New Roman"/>
          <w:color w:val="000000" w:themeColor="text1"/>
          <w:sz w:val="24"/>
          <w:szCs w:val="24"/>
        </w:rPr>
        <w:t>Xian</w:t>
      </w:r>
      <w:r w:rsidR="00F03F32" w:rsidRPr="00704D1E">
        <w:rPr>
          <w:rFonts w:ascii="Book Antiqua" w:hAnsi="Book Antiqua" w:cs="Times New Roman"/>
          <w:color w:val="000000" w:themeColor="text1"/>
          <w:sz w:val="24"/>
          <w:szCs w:val="24"/>
        </w:rPr>
        <w:t>-X</w:t>
      </w:r>
      <w:r w:rsidR="006900F1" w:rsidRPr="00704D1E">
        <w:rPr>
          <w:rFonts w:ascii="Book Antiqua" w:hAnsi="Book Antiqua" w:cs="Times New Roman"/>
          <w:color w:val="000000" w:themeColor="text1"/>
          <w:sz w:val="24"/>
          <w:szCs w:val="24"/>
        </w:rPr>
        <w:t>ian Yuan (0000-0001-8762-8471); Hui</w:t>
      </w:r>
      <w:r w:rsidR="00F03F32" w:rsidRPr="00704D1E">
        <w:rPr>
          <w:rFonts w:ascii="Book Antiqua" w:hAnsi="Book Antiqua" w:cs="Times New Roman"/>
          <w:color w:val="000000" w:themeColor="text1"/>
          <w:sz w:val="24"/>
          <w:szCs w:val="24"/>
        </w:rPr>
        <w:t>-J</w:t>
      </w:r>
      <w:r w:rsidR="006900F1" w:rsidRPr="00704D1E">
        <w:rPr>
          <w:rFonts w:ascii="Book Antiqua" w:hAnsi="Book Antiqua" w:cs="Times New Roman"/>
          <w:color w:val="000000" w:themeColor="text1"/>
          <w:sz w:val="24"/>
          <w:szCs w:val="24"/>
        </w:rPr>
        <w:t>uan Zhu (</w:t>
      </w:r>
      <w:r w:rsidR="00434ED0" w:rsidRPr="00704D1E">
        <w:rPr>
          <w:rFonts w:ascii="Book Antiqua" w:hAnsi="Book Antiqua" w:cs="Times New Roman"/>
          <w:color w:val="000000" w:themeColor="text1"/>
          <w:sz w:val="24"/>
          <w:szCs w:val="24"/>
        </w:rPr>
        <w:t>0000-0001-5172-6870</w:t>
      </w:r>
      <w:r w:rsidR="006900F1" w:rsidRPr="00704D1E">
        <w:rPr>
          <w:rFonts w:ascii="Book Antiqua" w:hAnsi="Book Antiqua" w:cs="Times New Roman"/>
          <w:color w:val="000000" w:themeColor="text1"/>
          <w:sz w:val="24"/>
          <w:szCs w:val="24"/>
        </w:rPr>
        <w:t>);</w:t>
      </w:r>
      <w:r w:rsidR="00434ED0" w:rsidRPr="00704D1E">
        <w:rPr>
          <w:rFonts w:ascii="Book Antiqua" w:hAnsi="Book Antiqua" w:cs="Times New Roman"/>
          <w:color w:val="000000" w:themeColor="text1"/>
          <w:sz w:val="24"/>
          <w:szCs w:val="24"/>
        </w:rPr>
        <w:t xml:space="preserve"> </w:t>
      </w:r>
      <w:r w:rsidR="006900F1" w:rsidRPr="00704D1E">
        <w:rPr>
          <w:rFonts w:ascii="Book Antiqua" w:hAnsi="Book Antiqua" w:cs="Times New Roman"/>
          <w:color w:val="000000" w:themeColor="text1"/>
          <w:sz w:val="24"/>
          <w:szCs w:val="24"/>
        </w:rPr>
        <w:t>Hui Pan</w:t>
      </w:r>
      <w:r w:rsidR="00592CA7" w:rsidRPr="00704D1E">
        <w:rPr>
          <w:rFonts w:ascii="Book Antiqua" w:hAnsi="Book Antiqua" w:cs="Times New Roman"/>
          <w:color w:val="000000" w:themeColor="text1"/>
          <w:sz w:val="24"/>
          <w:szCs w:val="24"/>
        </w:rPr>
        <w:t xml:space="preserve"> </w:t>
      </w:r>
      <w:r w:rsidR="006900F1" w:rsidRPr="00704D1E">
        <w:rPr>
          <w:rFonts w:ascii="Book Antiqua" w:hAnsi="Book Antiqua" w:cs="Times New Roman"/>
          <w:color w:val="000000" w:themeColor="text1"/>
          <w:sz w:val="24"/>
          <w:szCs w:val="24"/>
        </w:rPr>
        <w:t>(</w:t>
      </w:r>
      <w:r w:rsidR="00AD5C01" w:rsidRPr="00704D1E">
        <w:rPr>
          <w:rFonts w:ascii="Book Antiqua" w:hAnsi="Book Antiqua" w:cs="Times New Roman"/>
          <w:color w:val="000000" w:themeColor="text1"/>
          <w:sz w:val="24"/>
          <w:szCs w:val="24"/>
        </w:rPr>
        <w:t>0000-0003-2413-0646</w:t>
      </w:r>
      <w:r w:rsidR="006900F1" w:rsidRPr="00704D1E">
        <w:rPr>
          <w:rFonts w:ascii="Book Antiqua" w:hAnsi="Book Antiqua" w:cs="Times New Roman"/>
          <w:color w:val="000000" w:themeColor="text1"/>
          <w:sz w:val="24"/>
          <w:szCs w:val="24"/>
        </w:rPr>
        <w:t>); Shi Chen (0000-0002-6473-5511); Ze</w:t>
      </w:r>
      <w:r w:rsidR="00F03F32" w:rsidRPr="00704D1E">
        <w:rPr>
          <w:rFonts w:ascii="Book Antiqua" w:hAnsi="Book Antiqua" w:cs="Times New Roman"/>
          <w:color w:val="000000" w:themeColor="text1"/>
          <w:sz w:val="24"/>
          <w:szCs w:val="24"/>
        </w:rPr>
        <w:t>-Y</w:t>
      </w:r>
      <w:r w:rsidR="006900F1" w:rsidRPr="00704D1E">
        <w:rPr>
          <w:rFonts w:ascii="Book Antiqua" w:hAnsi="Book Antiqua" w:cs="Times New Roman"/>
          <w:color w:val="000000" w:themeColor="text1"/>
          <w:sz w:val="24"/>
          <w:szCs w:val="24"/>
        </w:rPr>
        <w:t>u Liu (0000-0001-7318-9340);</w:t>
      </w:r>
      <w:r w:rsidR="006900F1" w:rsidRPr="00704D1E">
        <w:rPr>
          <w:rFonts w:ascii="Book Antiqua" w:hAnsi="Book Antiqua" w:cs="Times New Roman"/>
          <w:color w:val="000000" w:themeColor="text1"/>
          <w:sz w:val="24"/>
          <w:szCs w:val="24"/>
          <w:vertAlign w:val="superscript"/>
        </w:rPr>
        <w:t xml:space="preserve"> </w:t>
      </w:r>
      <w:r w:rsidR="004701AB" w:rsidRPr="00704D1E">
        <w:rPr>
          <w:rFonts w:ascii="Book Antiqua" w:hAnsi="Book Antiqua" w:cs="Times New Roman"/>
          <w:color w:val="000000" w:themeColor="text1"/>
          <w:sz w:val="24"/>
          <w:szCs w:val="24"/>
        </w:rPr>
        <w:t>Yue Li</w:t>
      </w:r>
      <w:r w:rsidR="00C47FD3" w:rsidRPr="00704D1E">
        <w:rPr>
          <w:rFonts w:ascii="Book Antiqua" w:hAnsi="Book Antiqua" w:cs="Times New Roman"/>
          <w:color w:val="000000" w:themeColor="text1"/>
          <w:sz w:val="24"/>
          <w:szCs w:val="24"/>
        </w:rPr>
        <w:t xml:space="preserve"> (</w:t>
      </w:r>
      <w:r w:rsidR="002A4D6A" w:rsidRPr="00704D1E">
        <w:rPr>
          <w:rFonts w:ascii="Book Antiqua" w:hAnsi="Book Antiqua" w:cs="Times New Roman"/>
          <w:color w:val="000000" w:themeColor="text1"/>
          <w:sz w:val="24"/>
          <w:szCs w:val="24"/>
        </w:rPr>
        <w:t>0000-000</w:t>
      </w:r>
      <w:r w:rsidR="00D967E6" w:rsidRPr="00704D1E">
        <w:rPr>
          <w:rFonts w:ascii="Book Antiqua" w:hAnsi="Book Antiqua" w:cs="Times New Roman"/>
          <w:color w:val="000000" w:themeColor="text1"/>
          <w:sz w:val="24"/>
          <w:szCs w:val="24"/>
        </w:rPr>
        <w:t>1-6799-1812</w:t>
      </w:r>
      <w:r w:rsidR="002A4D6A" w:rsidRPr="00704D1E">
        <w:rPr>
          <w:rFonts w:ascii="Book Antiqua" w:hAnsi="Book Antiqua" w:cs="Times New Roman"/>
          <w:color w:val="000000" w:themeColor="text1"/>
          <w:sz w:val="24"/>
          <w:szCs w:val="24"/>
        </w:rPr>
        <w:t xml:space="preserve">); </w:t>
      </w:r>
      <w:r w:rsidR="006900F1" w:rsidRPr="00704D1E">
        <w:rPr>
          <w:rFonts w:ascii="Book Antiqua" w:hAnsi="Book Antiqua" w:cs="Times New Roman"/>
          <w:color w:val="000000" w:themeColor="text1"/>
          <w:sz w:val="24"/>
          <w:szCs w:val="24"/>
        </w:rPr>
        <w:t>Lin</w:t>
      </w:r>
      <w:r w:rsidR="00F03F32" w:rsidRPr="00704D1E">
        <w:rPr>
          <w:rFonts w:ascii="Book Antiqua" w:hAnsi="Book Antiqua" w:cs="Times New Roman"/>
          <w:color w:val="000000" w:themeColor="text1"/>
          <w:sz w:val="24"/>
          <w:szCs w:val="24"/>
        </w:rPr>
        <w:t>-</w:t>
      </w:r>
      <w:proofErr w:type="spellStart"/>
      <w:r w:rsidR="00F03F32" w:rsidRPr="00704D1E">
        <w:rPr>
          <w:rFonts w:ascii="Book Antiqua" w:hAnsi="Book Antiqua" w:cs="Times New Roman"/>
          <w:color w:val="000000" w:themeColor="text1"/>
          <w:sz w:val="24"/>
          <w:szCs w:val="24"/>
        </w:rPr>
        <w:t>J</w:t>
      </w:r>
      <w:r w:rsidR="006900F1" w:rsidRPr="00704D1E">
        <w:rPr>
          <w:rFonts w:ascii="Book Antiqua" w:hAnsi="Book Antiqua" w:cs="Times New Roman"/>
          <w:color w:val="000000" w:themeColor="text1"/>
          <w:sz w:val="24"/>
          <w:szCs w:val="24"/>
        </w:rPr>
        <w:t>ie</w:t>
      </w:r>
      <w:proofErr w:type="spellEnd"/>
      <w:r w:rsidR="006900F1" w:rsidRPr="00704D1E">
        <w:rPr>
          <w:rFonts w:ascii="Book Antiqua" w:hAnsi="Book Antiqua" w:cs="Times New Roman"/>
          <w:color w:val="000000" w:themeColor="text1"/>
          <w:sz w:val="24"/>
          <w:szCs w:val="24"/>
        </w:rPr>
        <w:t xml:space="preserve"> </w:t>
      </w:r>
      <w:r w:rsidR="006900F1" w:rsidRPr="00704D1E">
        <w:rPr>
          <w:rFonts w:ascii="Book Antiqua" w:hAnsi="Book Antiqua" w:cs="Times New Roman"/>
          <w:color w:val="000000" w:themeColor="text1"/>
          <w:sz w:val="24"/>
          <w:szCs w:val="24"/>
        </w:rPr>
        <w:lastRenderedPageBreak/>
        <w:t>Wang (</w:t>
      </w:r>
      <w:r w:rsidR="00B13080" w:rsidRPr="00704D1E">
        <w:rPr>
          <w:rFonts w:ascii="Book Antiqua" w:hAnsi="Book Antiqua" w:cs="Times New Roman"/>
          <w:color w:val="000000" w:themeColor="text1"/>
          <w:sz w:val="24"/>
          <w:szCs w:val="24"/>
        </w:rPr>
        <w:t>0000-0002-9548-0398</w:t>
      </w:r>
      <w:r w:rsidR="006900F1" w:rsidRPr="00704D1E">
        <w:rPr>
          <w:rFonts w:ascii="Book Antiqua" w:hAnsi="Book Antiqua" w:cs="Times New Roman"/>
          <w:color w:val="000000" w:themeColor="text1"/>
          <w:sz w:val="24"/>
          <w:szCs w:val="24"/>
        </w:rPr>
        <w:t>); Lin Lu (0000-0003-3379-8277); Hong</w:t>
      </w:r>
      <w:r w:rsidR="00F03F32" w:rsidRPr="00704D1E">
        <w:rPr>
          <w:rFonts w:ascii="Book Antiqua" w:hAnsi="Book Antiqua" w:cs="Times New Roman"/>
          <w:color w:val="000000" w:themeColor="text1"/>
          <w:sz w:val="24"/>
          <w:szCs w:val="24"/>
        </w:rPr>
        <w:t>-B</w:t>
      </w:r>
      <w:r w:rsidR="006900F1" w:rsidRPr="00704D1E">
        <w:rPr>
          <w:rFonts w:ascii="Book Antiqua" w:hAnsi="Book Antiqua" w:cs="Times New Roman"/>
          <w:color w:val="000000" w:themeColor="text1"/>
          <w:sz w:val="24"/>
          <w:szCs w:val="24"/>
        </w:rPr>
        <w:t>o Yang (</w:t>
      </w:r>
      <w:r w:rsidR="00AD5C01" w:rsidRPr="00704D1E">
        <w:rPr>
          <w:rFonts w:ascii="Book Antiqua" w:hAnsi="Book Antiqua" w:cs="Times New Roman"/>
          <w:color w:val="000000" w:themeColor="text1"/>
          <w:sz w:val="24"/>
          <w:szCs w:val="24"/>
        </w:rPr>
        <w:t>0000-0003-2985-8265</w:t>
      </w:r>
      <w:r w:rsidR="006900F1" w:rsidRPr="00704D1E">
        <w:rPr>
          <w:rFonts w:ascii="Book Antiqua" w:hAnsi="Book Antiqua" w:cs="Times New Roman"/>
          <w:color w:val="000000" w:themeColor="text1"/>
          <w:sz w:val="24"/>
          <w:szCs w:val="24"/>
        </w:rPr>
        <w:t>); Feng</w:t>
      </w:r>
      <w:r w:rsidR="00F03F32" w:rsidRPr="00704D1E">
        <w:rPr>
          <w:rFonts w:ascii="Book Antiqua" w:hAnsi="Book Antiqua" w:cs="Times New Roman"/>
          <w:color w:val="000000" w:themeColor="text1"/>
          <w:sz w:val="24"/>
          <w:szCs w:val="24"/>
        </w:rPr>
        <w:t>-Y</w:t>
      </w:r>
      <w:r w:rsidR="006900F1" w:rsidRPr="00704D1E">
        <w:rPr>
          <w:rFonts w:ascii="Book Antiqua" w:hAnsi="Book Antiqua" w:cs="Times New Roman"/>
          <w:color w:val="000000" w:themeColor="text1"/>
          <w:sz w:val="24"/>
          <w:szCs w:val="24"/>
        </w:rPr>
        <w:t>ing Gong (0000-000</w:t>
      </w:r>
      <w:r w:rsidR="00D967E6" w:rsidRPr="00704D1E">
        <w:rPr>
          <w:rFonts w:ascii="Book Antiqua" w:hAnsi="Book Antiqua" w:cs="Times New Roman"/>
          <w:color w:val="000000" w:themeColor="text1"/>
          <w:sz w:val="24"/>
          <w:szCs w:val="24"/>
        </w:rPr>
        <w:t>2</w:t>
      </w:r>
      <w:r w:rsidR="006900F1" w:rsidRPr="00704D1E">
        <w:rPr>
          <w:rFonts w:ascii="Book Antiqua" w:hAnsi="Book Antiqua" w:cs="Times New Roman"/>
          <w:color w:val="000000" w:themeColor="text1"/>
          <w:sz w:val="24"/>
          <w:szCs w:val="24"/>
        </w:rPr>
        <w:t>-</w:t>
      </w:r>
      <w:r w:rsidR="00D967E6" w:rsidRPr="00704D1E">
        <w:rPr>
          <w:rFonts w:ascii="Book Antiqua" w:hAnsi="Book Antiqua" w:cs="Times New Roman"/>
          <w:color w:val="000000" w:themeColor="text1"/>
          <w:sz w:val="24"/>
          <w:szCs w:val="24"/>
        </w:rPr>
        <w:t>6361</w:t>
      </w:r>
      <w:r w:rsidR="006900F1" w:rsidRPr="00704D1E">
        <w:rPr>
          <w:rFonts w:ascii="Book Antiqua" w:hAnsi="Book Antiqua" w:cs="Times New Roman"/>
          <w:color w:val="000000" w:themeColor="text1"/>
          <w:sz w:val="24"/>
          <w:szCs w:val="24"/>
        </w:rPr>
        <w:t>-</w:t>
      </w:r>
      <w:r w:rsidR="00D967E6" w:rsidRPr="00704D1E">
        <w:rPr>
          <w:rFonts w:ascii="Book Antiqua" w:hAnsi="Book Antiqua" w:cs="Times New Roman"/>
          <w:color w:val="000000" w:themeColor="text1"/>
          <w:sz w:val="24"/>
          <w:szCs w:val="24"/>
        </w:rPr>
        <w:t>3811</w:t>
      </w:r>
      <w:r w:rsidR="006900F1" w:rsidRPr="00704D1E">
        <w:rPr>
          <w:rFonts w:ascii="Book Antiqua" w:hAnsi="Book Antiqua" w:cs="Times New Roman"/>
          <w:color w:val="000000" w:themeColor="text1"/>
          <w:sz w:val="24"/>
          <w:szCs w:val="24"/>
        </w:rPr>
        <w:t>).</w:t>
      </w:r>
    </w:p>
    <w:p w14:paraId="71D9D442" w14:textId="77777777" w:rsidR="00CC1152" w:rsidRPr="00704D1E" w:rsidRDefault="00CC1152" w:rsidP="00704D1E">
      <w:pPr>
        <w:pStyle w:val="a7"/>
        <w:adjustRightInd w:val="0"/>
        <w:snapToGrid w:val="0"/>
        <w:spacing w:line="360" w:lineRule="auto"/>
        <w:ind w:firstLineChars="0" w:firstLine="0"/>
        <w:rPr>
          <w:rFonts w:ascii="Book Antiqua" w:hAnsi="Book Antiqua" w:cs="Times New Roman"/>
          <w:color w:val="000000" w:themeColor="text1"/>
          <w:sz w:val="24"/>
          <w:szCs w:val="24"/>
        </w:rPr>
      </w:pPr>
    </w:p>
    <w:p w14:paraId="42335ACA" w14:textId="726B837A" w:rsidR="006F5CD7" w:rsidRPr="00704D1E" w:rsidRDefault="005810A0" w:rsidP="00704D1E">
      <w:pPr>
        <w:pStyle w:val="a7"/>
        <w:adjustRightInd w:val="0"/>
        <w:snapToGrid w:val="0"/>
        <w:spacing w:line="360" w:lineRule="auto"/>
        <w:ind w:firstLineChars="0" w:firstLine="0"/>
        <w:rPr>
          <w:rFonts w:ascii="Book Antiqua" w:hAnsi="Book Antiqua" w:cs="Times New Roman"/>
          <w:color w:val="000000" w:themeColor="text1"/>
          <w:sz w:val="24"/>
          <w:szCs w:val="24"/>
        </w:rPr>
      </w:pPr>
      <w:r w:rsidRPr="00704D1E">
        <w:rPr>
          <w:rFonts w:ascii="Book Antiqua" w:hAnsi="Book Antiqua" w:cs="Times New Roman"/>
          <w:b/>
          <w:color w:val="000000" w:themeColor="text1"/>
          <w:sz w:val="24"/>
          <w:szCs w:val="24"/>
        </w:rPr>
        <w:t>Author contributions</w:t>
      </w:r>
      <w:r w:rsidRPr="005B3C70">
        <w:rPr>
          <w:rFonts w:ascii="Book Antiqua" w:hAnsi="Book Antiqua" w:cs="Times New Roman"/>
          <w:b/>
          <w:color w:val="000000" w:themeColor="text1"/>
          <w:sz w:val="24"/>
          <w:szCs w:val="24"/>
        </w:rPr>
        <w:t>:</w:t>
      </w:r>
      <w:r w:rsidRPr="00704D1E">
        <w:rPr>
          <w:rFonts w:ascii="Book Antiqua" w:hAnsi="Book Antiqua" w:cs="Times New Roman"/>
          <w:color w:val="000000" w:themeColor="text1"/>
          <w:sz w:val="24"/>
          <w:szCs w:val="24"/>
        </w:rPr>
        <w:t xml:space="preserve"> </w:t>
      </w:r>
      <w:r w:rsidR="006900F1" w:rsidRPr="00704D1E">
        <w:rPr>
          <w:rFonts w:ascii="Book Antiqua" w:hAnsi="Book Antiqua" w:cs="Times New Roman"/>
          <w:color w:val="000000" w:themeColor="text1"/>
          <w:sz w:val="24"/>
          <w:szCs w:val="24"/>
        </w:rPr>
        <w:t>All authors helped to perform the research</w:t>
      </w:r>
      <w:r w:rsidR="001934E4">
        <w:rPr>
          <w:rFonts w:ascii="Book Antiqua" w:hAnsi="Book Antiqua" w:cs="Times New Roman"/>
          <w:color w:val="000000" w:themeColor="text1"/>
          <w:sz w:val="24"/>
          <w:szCs w:val="24"/>
        </w:rPr>
        <w:t>;</w:t>
      </w:r>
      <w:r w:rsidR="001934E4" w:rsidRPr="00704D1E">
        <w:rPr>
          <w:rFonts w:ascii="Book Antiqua" w:hAnsi="Book Antiqua" w:cs="Times New Roman"/>
          <w:color w:val="000000" w:themeColor="text1"/>
          <w:sz w:val="24"/>
          <w:szCs w:val="24"/>
        </w:rPr>
        <w:t xml:space="preserve"> </w:t>
      </w:r>
      <w:r w:rsidR="006F5CD7" w:rsidRPr="00704D1E">
        <w:rPr>
          <w:rFonts w:ascii="Book Antiqua" w:hAnsi="Book Antiqua" w:cs="Times New Roman"/>
          <w:color w:val="000000" w:themeColor="text1"/>
          <w:sz w:val="24"/>
          <w:szCs w:val="24"/>
        </w:rPr>
        <w:t>Zhu</w:t>
      </w:r>
      <w:r w:rsidR="00F03F32" w:rsidRPr="00704D1E">
        <w:rPr>
          <w:rFonts w:ascii="Book Antiqua" w:hAnsi="Book Antiqua" w:cs="Times New Roman"/>
          <w:color w:val="000000" w:themeColor="text1"/>
          <w:sz w:val="24"/>
          <w:szCs w:val="24"/>
        </w:rPr>
        <w:t xml:space="preserve"> HJ</w:t>
      </w:r>
      <w:r w:rsidR="006F5CD7" w:rsidRPr="00704D1E">
        <w:rPr>
          <w:rFonts w:ascii="Book Antiqua" w:hAnsi="Book Antiqua" w:cs="Times New Roman"/>
          <w:color w:val="000000" w:themeColor="text1"/>
          <w:sz w:val="24"/>
          <w:szCs w:val="24"/>
        </w:rPr>
        <w:t xml:space="preserve"> conceived and designed the project;</w:t>
      </w:r>
      <w:r w:rsidR="00F03F32" w:rsidRPr="00704D1E">
        <w:rPr>
          <w:rFonts w:ascii="Book Antiqua" w:hAnsi="Book Antiqua" w:cs="Times New Roman"/>
          <w:color w:val="000000" w:themeColor="text1"/>
          <w:sz w:val="24"/>
          <w:szCs w:val="24"/>
        </w:rPr>
        <w:t xml:space="preserve"> </w:t>
      </w:r>
      <w:r w:rsidR="006F5CD7" w:rsidRPr="00704D1E">
        <w:rPr>
          <w:rFonts w:ascii="Book Antiqua" w:hAnsi="Book Antiqua" w:cs="Times New Roman"/>
          <w:color w:val="000000" w:themeColor="text1"/>
          <w:sz w:val="24"/>
          <w:szCs w:val="24"/>
        </w:rPr>
        <w:t>Pan</w:t>
      </w:r>
      <w:r w:rsidR="00F03F32" w:rsidRPr="00704D1E">
        <w:rPr>
          <w:rFonts w:ascii="Book Antiqua" w:hAnsi="Book Antiqua" w:cs="Times New Roman"/>
          <w:color w:val="000000" w:themeColor="text1"/>
          <w:sz w:val="24"/>
          <w:szCs w:val="24"/>
        </w:rPr>
        <w:t xml:space="preserve"> H</w:t>
      </w:r>
      <w:r w:rsidR="006F5CD7" w:rsidRPr="00704D1E">
        <w:rPr>
          <w:rFonts w:ascii="Book Antiqua" w:hAnsi="Book Antiqua" w:cs="Times New Roman"/>
          <w:color w:val="000000" w:themeColor="text1"/>
          <w:sz w:val="24"/>
          <w:szCs w:val="24"/>
        </w:rPr>
        <w:t>,</w:t>
      </w:r>
      <w:r w:rsidR="00F03F32" w:rsidRPr="00704D1E">
        <w:rPr>
          <w:rFonts w:ascii="Book Antiqua" w:hAnsi="Book Antiqua" w:cs="Times New Roman"/>
          <w:color w:val="000000" w:themeColor="text1"/>
          <w:sz w:val="24"/>
          <w:szCs w:val="24"/>
        </w:rPr>
        <w:t xml:space="preserve"> </w:t>
      </w:r>
      <w:r w:rsidR="006F5CD7" w:rsidRPr="00704D1E">
        <w:rPr>
          <w:rFonts w:ascii="Book Antiqua" w:hAnsi="Book Antiqua" w:cs="Times New Roman"/>
          <w:color w:val="000000" w:themeColor="text1"/>
          <w:sz w:val="24"/>
          <w:szCs w:val="24"/>
        </w:rPr>
        <w:t xml:space="preserve">Gong </w:t>
      </w:r>
      <w:r w:rsidR="00F03F32" w:rsidRPr="00704D1E">
        <w:rPr>
          <w:rFonts w:ascii="Book Antiqua" w:hAnsi="Book Antiqua" w:cs="Times New Roman"/>
          <w:color w:val="000000" w:themeColor="text1"/>
          <w:sz w:val="24"/>
          <w:szCs w:val="24"/>
        </w:rPr>
        <w:t>FY</w:t>
      </w:r>
      <w:r w:rsidR="001934E4">
        <w:rPr>
          <w:rFonts w:ascii="Book Antiqua" w:hAnsi="Book Antiqua" w:cs="Times New Roman"/>
          <w:color w:val="000000" w:themeColor="text1"/>
          <w:sz w:val="24"/>
          <w:szCs w:val="24"/>
        </w:rPr>
        <w:t>,</w:t>
      </w:r>
      <w:r w:rsidR="00F03F32" w:rsidRPr="00704D1E">
        <w:rPr>
          <w:rFonts w:ascii="Book Antiqua" w:hAnsi="Book Antiqua" w:cs="Times New Roman"/>
          <w:color w:val="000000" w:themeColor="text1"/>
          <w:sz w:val="24"/>
          <w:szCs w:val="24"/>
        </w:rPr>
        <w:t xml:space="preserve"> </w:t>
      </w:r>
      <w:r w:rsidR="006F5CD7" w:rsidRPr="00704D1E">
        <w:rPr>
          <w:rFonts w:ascii="Book Antiqua" w:hAnsi="Book Antiqua" w:cs="Times New Roman"/>
          <w:color w:val="000000" w:themeColor="text1"/>
          <w:sz w:val="24"/>
          <w:szCs w:val="24"/>
        </w:rPr>
        <w:t>and</w:t>
      </w:r>
      <w:r w:rsidR="00F03F32" w:rsidRPr="00704D1E">
        <w:rPr>
          <w:rFonts w:ascii="Book Antiqua" w:hAnsi="Book Antiqua" w:cs="Times New Roman"/>
          <w:color w:val="000000" w:themeColor="text1"/>
          <w:sz w:val="24"/>
          <w:szCs w:val="24"/>
        </w:rPr>
        <w:t xml:space="preserve"> </w:t>
      </w:r>
      <w:r w:rsidR="006F5CD7" w:rsidRPr="00704D1E">
        <w:rPr>
          <w:rFonts w:ascii="Book Antiqua" w:hAnsi="Book Antiqua" w:cs="Times New Roman"/>
          <w:color w:val="000000" w:themeColor="text1"/>
          <w:sz w:val="24"/>
          <w:szCs w:val="24"/>
        </w:rPr>
        <w:t xml:space="preserve">Zhu </w:t>
      </w:r>
      <w:r w:rsidR="00F03F32" w:rsidRPr="00704D1E">
        <w:rPr>
          <w:rFonts w:ascii="Book Antiqua" w:hAnsi="Book Antiqua" w:cs="Times New Roman"/>
          <w:color w:val="000000" w:themeColor="text1"/>
          <w:sz w:val="24"/>
          <w:szCs w:val="24"/>
        </w:rPr>
        <w:t xml:space="preserve">HJ </w:t>
      </w:r>
      <w:r w:rsidR="006F5CD7" w:rsidRPr="00704D1E">
        <w:rPr>
          <w:rFonts w:ascii="Book Antiqua" w:hAnsi="Book Antiqua" w:cs="Times New Roman"/>
          <w:color w:val="000000" w:themeColor="text1"/>
          <w:sz w:val="24"/>
          <w:szCs w:val="24"/>
        </w:rPr>
        <w:t>contributed to the project management</w:t>
      </w:r>
      <w:r w:rsidR="001934E4">
        <w:rPr>
          <w:rFonts w:ascii="Book Antiqua" w:hAnsi="Book Antiqua" w:cs="Times New Roman"/>
          <w:color w:val="000000" w:themeColor="text1"/>
          <w:sz w:val="24"/>
          <w:szCs w:val="24"/>
        </w:rPr>
        <w:t>;</w:t>
      </w:r>
      <w:r w:rsidR="001934E4" w:rsidRPr="00704D1E">
        <w:rPr>
          <w:rFonts w:ascii="Book Antiqua" w:hAnsi="Book Antiqua" w:cs="Times New Roman"/>
          <w:color w:val="000000" w:themeColor="text1"/>
          <w:sz w:val="24"/>
          <w:szCs w:val="24"/>
        </w:rPr>
        <w:t xml:space="preserve"> </w:t>
      </w:r>
      <w:r w:rsidR="006F5CD7" w:rsidRPr="00704D1E">
        <w:rPr>
          <w:rFonts w:ascii="Book Antiqua" w:hAnsi="Book Antiqua" w:cs="Times New Roman"/>
          <w:color w:val="000000" w:themeColor="text1"/>
          <w:sz w:val="24"/>
          <w:szCs w:val="24"/>
        </w:rPr>
        <w:t>Chen</w:t>
      </w:r>
      <w:r w:rsidR="00F03F32" w:rsidRPr="00704D1E">
        <w:rPr>
          <w:rFonts w:ascii="Book Antiqua" w:hAnsi="Book Antiqua" w:cs="Times New Roman"/>
          <w:color w:val="000000" w:themeColor="text1"/>
          <w:sz w:val="24"/>
          <w:szCs w:val="24"/>
        </w:rPr>
        <w:t xml:space="preserve"> S</w:t>
      </w:r>
      <w:r w:rsidR="006F5CD7" w:rsidRPr="00704D1E">
        <w:rPr>
          <w:rFonts w:ascii="Book Antiqua" w:hAnsi="Book Antiqua" w:cs="Times New Roman"/>
          <w:color w:val="000000" w:themeColor="text1"/>
          <w:sz w:val="24"/>
          <w:szCs w:val="24"/>
        </w:rPr>
        <w:t>,</w:t>
      </w:r>
      <w:r w:rsidR="00F03F32" w:rsidRPr="00704D1E">
        <w:rPr>
          <w:rFonts w:ascii="Book Antiqua" w:hAnsi="Book Antiqua" w:cs="Times New Roman"/>
          <w:color w:val="000000" w:themeColor="text1"/>
          <w:sz w:val="24"/>
          <w:szCs w:val="24"/>
        </w:rPr>
        <w:t xml:space="preserve"> </w:t>
      </w:r>
      <w:r w:rsidR="006F5CD7" w:rsidRPr="00704D1E">
        <w:rPr>
          <w:rFonts w:ascii="Book Antiqua" w:hAnsi="Book Antiqua" w:cs="Times New Roman"/>
          <w:color w:val="000000" w:themeColor="text1"/>
          <w:sz w:val="24"/>
          <w:szCs w:val="24"/>
        </w:rPr>
        <w:t>Wang</w:t>
      </w:r>
      <w:r w:rsidR="00F03F32" w:rsidRPr="00704D1E">
        <w:rPr>
          <w:rFonts w:ascii="Book Antiqua" w:hAnsi="Book Antiqua" w:cs="Times New Roman"/>
          <w:color w:val="000000" w:themeColor="text1"/>
          <w:sz w:val="24"/>
          <w:szCs w:val="24"/>
        </w:rPr>
        <w:t xml:space="preserve"> LJ, </w:t>
      </w:r>
      <w:r w:rsidR="006F5CD7" w:rsidRPr="00704D1E">
        <w:rPr>
          <w:rFonts w:ascii="Book Antiqua" w:hAnsi="Book Antiqua" w:cs="Times New Roman"/>
          <w:color w:val="000000" w:themeColor="text1"/>
          <w:sz w:val="24"/>
          <w:szCs w:val="24"/>
        </w:rPr>
        <w:t>Lu</w:t>
      </w:r>
      <w:r w:rsidR="004701AB" w:rsidRPr="00704D1E">
        <w:rPr>
          <w:rFonts w:ascii="Book Antiqua" w:hAnsi="Book Antiqua" w:cs="Times New Roman"/>
          <w:color w:val="000000" w:themeColor="text1"/>
          <w:sz w:val="24"/>
          <w:szCs w:val="24"/>
        </w:rPr>
        <w:t xml:space="preserve"> </w:t>
      </w:r>
      <w:r w:rsidR="00F03F32" w:rsidRPr="00704D1E">
        <w:rPr>
          <w:rFonts w:ascii="Book Antiqua" w:hAnsi="Book Antiqua" w:cs="Times New Roman"/>
          <w:color w:val="000000" w:themeColor="text1"/>
          <w:sz w:val="24"/>
          <w:szCs w:val="24"/>
        </w:rPr>
        <w:t>L</w:t>
      </w:r>
      <w:r w:rsidR="001934E4">
        <w:rPr>
          <w:rFonts w:ascii="Book Antiqua" w:hAnsi="Book Antiqua" w:cs="Times New Roman"/>
          <w:color w:val="000000" w:themeColor="text1"/>
          <w:sz w:val="24"/>
          <w:szCs w:val="24"/>
        </w:rPr>
        <w:t>,</w:t>
      </w:r>
      <w:r w:rsidR="00F03F32" w:rsidRPr="00704D1E">
        <w:rPr>
          <w:rFonts w:ascii="Book Antiqua" w:hAnsi="Book Antiqua" w:cs="Times New Roman"/>
          <w:color w:val="000000" w:themeColor="text1"/>
          <w:sz w:val="24"/>
          <w:szCs w:val="24"/>
        </w:rPr>
        <w:t xml:space="preserve"> </w:t>
      </w:r>
      <w:r w:rsidR="004701AB" w:rsidRPr="00704D1E">
        <w:rPr>
          <w:rFonts w:ascii="Book Antiqua" w:hAnsi="Book Antiqua" w:cs="Times New Roman"/>
          <w:color w:val="000000" w:themeColor="text1"/>
          <w:sz w:val="24"/>
          <w:szCs w:val="24"/>
        </w:rPr>
        <w:t>and</w:t>
      </w:r>
      <w:r w:rsidR="00F03F32" w:rsidRPr="00704D1E">
        <w:rPr>
          <w:rFonts w:ascii="Book Antiqua" w:hAnsi="Book Antiqua" w:cs="Times New Roman"/>
          <w:color w:val="000000" w:themeColor="text1"/>
          <w:sz w:val="24"/>
          <w:szCs w:val="24"/>
        </w:rPr>
        <w:t xml:space="preserve"> </w:t>
      </w:r>
      <w:r w:rsidR="006F5CD7" w:rsidRPr="00704D1E">
        <w:rPr>
          <w:rFonts w:ascii="Book Antiqua" w:hAnsi="Book Antiqua" w:cs="Times New Roman"/>
          <w:color w:val="000000" w:themeColor="text1"/>
          <w:sz w:val="24"/>
          <w:szCs w:val="24"/>
        </w:rPr>
        <w:t>Yang</w:t>
      </w:r>
      <w:r w:rsidR="00F03F32" w:rsidRPr="00704D1E">
        <w:rPr>
          <w:rFonts w:ascii="Book Antiqua" w:hAnsi="Book Antiqua" w:cs="Times New Roman"/>
          <w:color w:val="000000" w:themeColor="text1"/>
          <w:sz w:val="24"/>
          <w:szCs w:val="24"/>
        </w:rPr>
        <w:t xml:space="preserve"> HB</w:t>
      </w:r>
      <w:r w:rsidR="006F5CD7" w:rsidRPr="00704D1E">
        <w:rPr>
          <w:rFonts w:ascii="Book Antiqua" w:hAnsi="Book Antiqua" w:cs="Times New Roman"/>
          <w:color w:val="000000" w:themeColor="text1"/>
          <w:sz w:val="24"/>
          <w:szCs w:val="24"/>
        </w:rPr>
        <w:t xml:space="preserve"> took part in the collection of clinical samples</w:t>
      </w:r>
      <w:r w:rsidR="001934E4">
        <w:rPr>
          <w:rFonts w:ascii="Book Antiqua" w:hAnsi="Book Antiqua" w:cs="Times New Roman"/>
          <w:color w:val="000000" w:themeColor="text1"/>
          <w:sz w:val="24"/>
          <w:szCs w:val="24"/>
        </w:rPr>
        <w:t>;</w:t>
      </w:r>
      <w:r w:rsidR="001934E4" w:rsidRPr="00704D1E">
        <w:rPr>
          <w:rFonts w:ascii="Book Antiqua" w:hAnsi="Book Antiqua" w:cs="Times New Roman"/>
          <w:color w:val="000000" w:themeColor="text1"/>
          <w:sz w:val="24"/>
          <w:szCs w:val="24"/>
        </w:rPr>
        <w:t xml:space="preserve"> </w:t>
      </w:r>
      <w:r w:rsidR="006F5CD7" w:rsidRPr="00704D1E">
        <w:rPr>
          <w:rFonts w:ascii="Book Antiqua" w:hAnsi="Book Antiqua" w:cs="Times New Roman"/>
          <w:color w:val="000000" w:themeColor="text1"/>
          <w:sz w:val="24"/>
          <w:szCs w:val="24"/>
        </w:rPr>
        <w:t xml:space="preserve">Yuan </w:t>
      </w:r>
      <w:r w:rsidR="00F03F32" w:rsidRPr="00704D1E">
        <w:rPr>
          <w:rFonts w:ascii="Book Antiqua" w:hAnsi="Book Antiqua" w:cs="Times New Roman"/>
          <w:color w:val="000000" w:themeColor="text1"/>
          <w:sz w:val="24"/>
          <w:szCs w:val="24"/>
        </w:rPr>
        <w:t xml:space="preserve">XX </w:t>
      </w:r>
      <w:r w:rsidR="006F5CD7" w:rsidRPr="00704D1E">
        <w:rPr>
          <w:rFonts w:ascii="Book Antiqua" w:hAnsi="Book Antiqua" w:cs="Times New Roman"/>
          <w:color w:val="000000" w:themeColor="text1"/>
          <w:sz w:val="24"/>
          <w:szCs w:val="24"/>
        </w:rPr>
        <w:t xml:space="preserve">and Liu </w:t>
      </w:r>
      <w:r w:rsidR="00F03F32" w:rsidRPr="00704D1E">
        <w:rPr>
          <w:rFonts w:ascii="Book Antiqua" w:hAnsi="Book Antiqua" w:cs="Times New Roman"/>
          <w:color w:val="000000" w:themeColor="text1"/>
          <w:sz w:val="24"/>
          <w:szCs w:val="24"/>
        </w:rPr>
        <w:t xml:space="preserve">ZY </w:t>
      </w:r>
      <w:r w:rsidR="006F5CD7" w:rsidRPr="00704D1E">
        <w:rPr>
          <w:rFonts w:ascii="Book Antiqua" w:hAnsi="Book Antiqua" w:cs="Times New Roman"/>
          <w:color w:val="000000" w:themeColor="text1"/>
          <w:sz w:val="24"/>
          <w:szCs w:val="24"/>
        </w:rPr>
        <w:t>took part in the statistical analysis</w:t>
      </w:r>
      <w:r w:rsidR="001934E4">
        <w:rPr>
          <w:rFonts w:ascii="Book Antiqua" w:hAnsi="Book Antiqua" w:cs="Times New Roman"/>
          <w:color w:val="000000" w:themeColor="text1"/>
          <w:sz w:val="24"/>
          <w:szCs w:val="24"/>
        </w:rPr>
        <w:t xml:space="preserve">; </w:t>
      </w:r>
      <w:r w:rsidR="006F5CD7" w:rsidRPr="00704D1E">
        <w:rPr>
          <w:rFonts w:ascii="Book Antiqua" w:hAnsi="Book Antiqua" w:cs="Times New Roman"/>
          <w:color w:val="000000" w:themeColor="text1"/>
          <w:sz w:val="24"/>
          <w:szCs w:val="24"/>
        </w:rPr>
        <w:t xml:space="preserve">Yuan </w:t>
      </w:r>
      <w:r w:rsidR="00F03F32" w:rsidRPr="00704D1E">
        <w:rPr>
          <w:rFonts w:ascii="Book Antiqua" w:hAnsi="Book Antiqua" w:cs="Times New Roman"/>
          <w:color w:val="000000" w:themeColor="text1"/>
          <w:sz w:val="24"/>
          <w:szCs w:val="24"/>
        </w:rPr>
        <w:t xml:space="preserve">XX </w:t>
      </w:r>
      <w:r w:rsidR="006F5CD7" w:rsidRPr="00704D1E">
        <w:rPr>
          <w:rFonts w:ascii="Book Antiqua" w:hAnsi="Book Antiqua" w:cs="Times New Roman"/>
          <w:color w:val="000000" w:themeColor="text1"/>
          <w:sz w:val="24"/>
          <w:szCs w:val="24"/>
        </w:rPr>
        <w:t>and</w:t>
      </w:r>
      <w:r w:rsidR="00F03F32" w:rsidRPr="00704D1E">
        <w:rPr>
          <w:rFonts w:ascii="Book Antiqua" w:hAnsi="Book Antiqua" w:cs="Times New Roman"/>
          <w:color w:val="000000" w:themeColor="text1"/>
          <w:sz w:val="24"/>
          <w:szCs w:val="24"/>
        </w:rPr>
        <w:t xml:space="preserve"> </w:t>
      </w:r>
      <w:r w:rsidR="006F5CD7" w:rsidRPr="00704D1E">
        <w:rPr>
          <w:rFonts w:ascii="Book Antiqua" w:hAnsi="Book Antiqua" w:cs="Times New Roman"/>
          <w:color w:val="000000" w:themeColor="text1"/>
          <w:sz w:val="24"/>
          <w:szCs w:val="24"/>
        </w:rPr>
        <w:t xml:space="preserve">Zhu </w:t>
      </w:r>
      <w:r w:rsidR="00F03F32" w:rsidRPr="00704D1E">
        <w:rPr>
          <w:rFonts w:ascii="Book Antiqua" w:hAnsi="Book Antiqua" w:cs="Times New Roman"/>
          <w:color w:val="000000" w:themeColor="text1"/>
          <w:sz w:val="24"/>
          <w:szCs w:val="24"/>
        </w:rPr>
        <w:t xml:space="preserve">HJ </w:t>
      </w:r>
      <w:r w:rsidR="006F5CD7" w:rsidRPr="00704D1E">
        <w:rPr>
          <w:rFonts w:ascii="Book Antiqua" w:hAnsi="Book Antiqua" w:cs="Times New Roman"/>
          <w:color w:val="000000" w:themeColor="text1"/>
          <w:sz w:val="24"/>
          <w:szCs w:val="24"/>
        </w:rPr>
        <w:t xml:space="preserve">wrote the </w:t>
      </w:r>
      <w:proofErr w:type="spellStart"/>
      <w:r w:rsidR="006F5CD7" w:rsidRPr="00704D1E">
        <w:rPr>
          <w:rFonts w:ascii="Book Antiqua" w:hAnsi="Book Antiqua" w:cs="Times New Roman"/>
          <w:color w:val="000000" w:themeColor="text1"/>
          <w:sz w:val="24"/>
          <w:szCs w:val="24"/>
        </w:rPr>
        <w:t>manuscrip</w:t>
      </w:r>
      <w:proofErr w:type="spellEnd"/>
      <w:r w:rsidR="001934E4">
        <w:rPr>
          <w:rFonts w:ascii="Book Antiqua" w:hAnsi="Book Antiqua" w:cs="Times New Roman"/>
          <w:color w:val="000000" w:themeColor="text1"/>
          <w:sz w:val="24"/>
          <w:szCs w:val="24"/>
        </w:rPr>
        <w:t>;</w:t>
      </w:r>
      <w:r w:rsidR="004701AB" w:rsidRPr="00704D1E">
        <w:rPr>
          <w:rFonts w:ascii="Book Antiqua" w:hAnsi="Book Antiqua" w:cs="Times New Roman"/>
          <w:color w:val="000000" w:themeColor="text1"/>
          <w:sz w:val="24"/>
          <w:szCs w:val="24"/>
        </w:rPr>
        <w:t xml:space="preserve"> and</w:t>
      </w:r>
      <w:r w:rsidR="00F03F32" w:rsidRPr="00704D1E">
        <w:rPr>
          <w:rFonts w:ascii="Book Antiqua" w:hAnsi="Book Antiqua" w:cs="Times New Roman"/>
          <w:color w:val="000000" w:themeColor="text1"/>
          <w:sz w:val="24"/>
          <w:szCs w:val="24"/>
        </w:rPr>
        <w:t xml:space="preserve"> </w:t>
      </w:r>
      <w:r w:rsidR="004701AB" w:rsidRPr="00704D1E">
        <w:rPr>
          <w:rFonts w:ascii="Book Antiqua" w:hAnsi="Book Antiqua" w:cs="Times New Roman"/>
          <w:color w:val="000000" w:themeColor="text1"/>
          <w:sz w:val="24"/>
          <w:szCs w:val="24"/>
        </w:rPr>
        <w:t xml:space="preserve">Li </w:t>
      </w:r>
      <w:r w:rsidR="00F03F32" w:rsidRPr="00704D1E">
        <w:rPr>
          <w:rFonts w:ascii="Book Antiqua" w:hAnsi="Book Antiqua" w:cs="Times New Roman"/>
          <w:color w:val="000000" w:themeColor="text1"/>
          <w:sz w:val="24"/>
          <w:szCs w:val="24"/>
        </w:rPr>
        <w:t xml:space="preserve">Y </w:t>
      </w:r>
      <w:r w:rsidR="004701AB" w:rsidRPr="00704D1E">
        <w:rPr>
          <w:rFonts w:ascii="Book Antiqua" w:hAnsi="Book Antiqua" w:cs="Times New Roman"/>
          <w:color w:val="000000" w:themeColor="text1"/>
          <w:sz w:val="24"/>
          <w:szCs w:val="24"/>
        </w:rPr>
        <w:t>took part in the revision of the manuscript</w:t>
      </w:r>
      <w:r w:rsidR="006F5CD7" w:rsidRPr="00704D1E">
        <w:rPr>
          <w:rFonts w:ascii="Book Antiqua" w:hAnsi="Book Antiqua" w:cs="Times New Roman"/>
          <w:color w:val="000000" w:themeColor="text1"/>
          <w:sz w:val="24"/>
          <w:szCs w:val="24"/>
        </w:rPr>
        <w:t>.</w:t>
      </w:r>
    </w:p>
    <w:p w14:paraId="35727061" w14:textId="77777777" w:rsidR="00CC1152" w:rsidRPr="00704D1E" w:rsidRDefault="00CC1152" w:rsidP="00704D1E">
      <w:pPr>
        <w:pStyle w:val="a7"/>
        <w:adjustRightInd w:val="0"/>
        <w:snapToGrid w:val="0"/>
        <w:spacing w:line="360" w:lineRule="auto"/>
        <w:ind w:firstLineChars="0" w:firstLine="0"/>
        <w:rPr>
          <w:rFonts w:ascii="Book Antiqua" w:hAnsi="Book Antiqua" w:cs="Times New Roman"/>
          <w:color w:val="000000" w:themeColor="text1"/>
          <w:sz w:val="24"/>
          <w:szCs w:val="24"/>
        </w:rPr>
      </w:pPr>
    </w:p>
    <w:p w14:paraId="09217371" w14:textId="58C2ADDB" w:rsidR="005810A0" w:rsidRPr="00704D1E" w:rsidRDefault="005810A0" w:rsidP="00704D1E">
      <w:pPr>
        <w:pStyle w:val="a7"/>
        <w:adjustRightInd w:val="0"/>
        <w:snapToGrid w:val="0"/>
        <w:spacing w:line="360" w:lineRule="auto"/>
        <w:ind w:firstLineChars="0" w:firstLine="0"/>
        <w:rPr>
          <w:rFonts w:ascii="Book Antiqua" w:hAnsi="Book Antiqua" w:cs="Times New Roman"/>
          <w:color w:val="000000" w:themeColor="text1"/>
          <w:sz w:val="24"/>
          <w:szCs w:val="24"/>
        </w:rPr>
      </w:pPr>
      <w:r w:rsidRPr="00704D1E">
        <w:rPr>
          <w:rFonts w:ascii="Book Antiqua" w:hAnsi="Book Antiqua" w:cs="Times New Roman"/>
          <w:b/>
          <w:color w:val="000000" w:themeColor="text1"/>
          <w:sz w:val="24"/>
          <w:szCs w:val="24"/>
        </w:rPr>
        <w:t>Supported by</w:t>
      </w:r>
      <w:r w:rsidRPr="00704D1E">
        <w:rPr>
          <w:rFonts w:ascii="Book Antiqua" w:hAnsi="Book Antiqua" w:cs="Times New Roman"/>
          <w:color w:val="000000" w:themeColor="text1"/>
          <w:sz w:val="24"/>
          <w:szCs w:val="24"/>
        </w:rPr>
        <w:t xml:space="preserve"> </w:t>
      </w:r>
      <w:r w:rsidR="009B194C" w:rsidRPr="00704D1E">
        <w:rPr>
          <w:rFonts w:ascii="Book Antiqua" w:hAnsi="Book Antiqua" w:cs="Times New Roman"/>
          <w:color w:val="000000" w:themeColor="text1"/>
          <w:sz w:val="24"/>
          <w:szCs w:val="24"/>
        </w:rPr>
        <w:t>the National Key Program of Clinical Science</w:t>
      </w:r>
      <w:r w:rsidR="005B3C70">
        <w:rPr>
          <w:rFonts w:ascii="Book Antiqua" w:hAnsi="Book Antiqua" w:cs="Times New Roman"/>
          <w:color w:val="000000" w:themeColor="text1"/>
          <w:sz w:val="24"/>
          <w:szCs w:val="24"/>
        </w:rPr>
        <w:t>, No. WBYZ 2011-873;</w:t>
      </w:r>
      <w:r w:rsidR="00572BB3" w:rsidRPr="00704D1E">
        <w:rPr>
          <w:rFonts w:ascii="Book Antiqua" w:hAnsi="Book Antiqua" w:cs="Times New Roman"/>
          <w:color w:val="000000" w:themeColor="text1"/>
          <w:sz w:val="24"/>
          <w:szCs w:val="24"/>
        </w:rPr>
        <w:t xml:space="preserve"> </w:t>
      </w:r>
      <w:r w:rsidR="009B194C" w:rsidRPr="00704D1E">
        <w:rPr>
          <w:rFonts w:ascii="Book Antiqua" w:hAnsi="Book Antiqua" w:cs="Times New Roman"/>
          <w:color w:val="000000" w:themeColor="text1"/>
          <w:sz w:val="24"/>
          <w:szCs w:val="24"/>
        </w:rPr>
        <w:t>the Chinese Academy of Medical Sciences</w:t>
      </w:r>
      <w:r w:rsidR="00CC1152" w:rsidRPr="00704D1E">
        <w:rPr>
          <w:rFonts w:ascii="Book Antiqua" w:hAnsi="Book Antiqua" w:cs="Times New Roman"/>
          <w:color w:val="000000" w:themeColor="text1"/>
          <w:sz w:val="24"/>
          <w:szCs w:val="24"/>
        </w:rPr>
        <w:t xml:space="preserve"> </w:t>
      </w:r>
      <w:r w:rsidR="009B194C" w:rsidRPr="00704D1E">
        <w:rPr>
          <w:rFonts w:ascii="Book Antiqua" w:hAnsi="Book Antiqua" w:cs="Times New Roman"/>
          <w:color w:val="000000" w:themeColor="text1"/>
          <w:sz w:val="24"/>
          <w:szCs w:val="24"/>
        </w:rPr>
        <w:t>Innovation Fund for Medical Science</w:t>
      </w:r>
      <w:r w:rsidR="001934E4">
        <w:rPr>
          <w:rFonts w:ascii="Book Antiqua" w:hAnsi="Book Antiqua" w:cs="Times New Roman"/>
          <w:color w:val="000000" w:themeColor="text1"/>
          <w:sz w:val="24"/>
          <w:szCs w:val="24"/>
        </w:rPr>
        <w:t>s</w:t>
      </w:r>
      <w:r w:rsidR="005B3C70">
        <w:rPr>
          <w:rFonts w:ascii="Book Antiqua" w:hAnsi="Book Antiqua" w:cs="Times New Roman"/>
          <w:color w:val="000000" w:themeColor="text1"/>
          <w:sz w:val="24"/>
          <w:szCs w:val="24"/>
        </w:rPr>
        <w:t xml:space="preserve">, No. </w:t>
      </w:r>
      <w:r w:rsidR="009B194C" w:rsidRPr="00704D1E">
        <w:rPr>
          <w:rFonts w:ascii="Book Antiqua" w:hAnsi="Book Antiqua" w:cs="Times New Roman"/>
          <w:color w:val="000000" w:themeColor="text1"/>
          <w:sz w:val="24"/>
          <w:szCs w:val="24"/>
        </w:rPr>
        <w:t>2016YFC0901500</w:t>
      </w:r>
      <w:r w:rsidR="005B3C70">
        <w:rPr>
          <w:rFonts w:ascii="Book Antiqua" w:hAnsi="Book Antiqua" w:cs="Times New Roman"/>
          <w:color w:val="000000" w:themeColor="text1"/>
          <w:sz w:val="24"/>
          <w:szCs w:val="24"/>
        </w:rPr>
        <w:t>;</w:t>
      </w:r>
      <w:r w:rsidR="00572BB3" w:rsidRPr="00704D1E">
        <w:rPr>
          <w:rFonts w:ascii="Book Antiqua" w:hAnsi="Book Antiqua" w:cs="Times New Roman"/>
          <w:color w:val="000000" w:themeColor="text1"/>
          <w:sz w:val="24"/>
          <w:szCs w:val="24"/>
        </w:rPr>
        <w:t xml:space="preserve"> and the Special Research Fund for Central Universities</w:t>
      </w:r>
      <w:r w:rsidR="005B3C70">
        <w:rPr>
          <w:rFonts w:ascii="Book Antiqua" w:hAnsi="Book Antiqua" w:cs="Times New Roman"/>
          <w:color w:val="000000" w:themeColor="text1"/>
          <w:sz w:val="24"/>
          <w:szCs w:val="24"/>
        </w:rPr>
        <w:t>, Peking Union Medical College, No. 2017PT31004</w:t>
      </w:r>
      <w:r w:rsidR="00572BB3" w:rsidRPr="00704D1E">
        <w:rPr>
          <w:rFonts w:ascii="Book Antiqua" w:hAnsi="Book Antiqua" w:cs="Times New Roman"/>
          <w:color w:val="000000" w:themeColor="text1"/>
          <w:sz w:val="24"/>
          <w:szCs w:val="24"/>
        </w:rPr>
        <w:t>.</w:t>
      </w:r>
    </w:p>
    <w:p w14:paraId="06253020" w14:textId="77777777" w:rsidR="00CC1152" w:rsidRPr="00704D1E" w:rsidRDefault="00CC1152" w:rsidP="00704D1E">
      <w:pPr>
        <w:pStyle w:val="a7"/>
        <w:adjustRightInd w:val="0"/>
        <w:snapToGrid w:val="0"/>
        <w:spacing w:line="360" w:lineRule="auto"/>
        <w:ind w:firstLineChars="0" w:firstLine="0"/>
        <w:rPr>
          <w:rFonts w:ascii="Book Antiqua" w:hAnsi="Book Antiqua" w:cs="Times New Roman"/>
          <w:color w:val="000000" w:themeColor="text1"/>
          <w:sz w:val="24"/>
          <w:szCs w:val="24"/>
        </w:rPr>
      </w:pPr>
    </w:p>
    <w:p w14:paraId="71F14C48" w14:textId="219FE166" w:rsidR="009B194C" w:rsidRPr="00704D1E" w:rsidRDefault="009B194C" w:rsidP="00704D1E">
      <w:pPr>
        <w:pStyle w:val="a7"/>
        <w:adjustRightInd w:val="0"/>
        <w:snapToGrid w:val="0"/>
        <w:spacing w:line="360" w:lineRule="auto"/>
        <w:ind w:firstLineChars="0" w:firstLine="0"/>
        <w:rPr>
          <w:rFonts w:ascii="Book Antiqua" w:hAnsi="Book Antiqua" w:cs="Times New Roman"/>
          <w:color w:val="000000" w:themeColor="text1"/>
          <w:sz w:val="24"/>
          <w:szCs w:val="24"/>
        </w:rPr>
      </w:pPr>
      <w:r w:rsidRPr="00704D1E">
        <w:rPr>
          <w:rFonts w:ascii="Book Antiqua" w:hAnsi="Book Antiqua" w:cs="Times New Roman"/>
          <w:b/>
          <w:color w:val="000000" w:themeColor="text1"/>
          <w:sz w:val="24"/>
          <w:szCs w:val="24"/>
        </w:rPr>
        <w:t>Institutional review board statement:</w:t>
      </w:r>
      <w:r w:rsidR="00AD7DA8" w:rsidRPr="00704D1E">
        <w:rPr>
          <w:rFonts w:ascii="Book Antiqua" w:hAnsi="Book Antiqua" w:cs="Times New Roman"/>
          <w:b/>
          <w:color w:val="000000" w:themeColor="text1"/>
          <w:sz w:val="24"/>
          <w:szCs w:val="24"/>
        </w:rPr>
        <w:t xml:space="preserve"> </w:t>
      </w:r>
      <w:r w:rsidR="00AD7DA8" w:rsidRPr="00704D1E">
        <w:rPr>
          <w:rFonts w:ascii="Book Antiqua" w:hAnsi="Book Antiqua" w:cs="Times New Roman"/>
          <w:color w:val="000000" w:themeColor="text1"/>
          <w:sz w:val="24"/>
          <w:szCs w:val="24"/>
        </w:rPr>
        <w:t xml:space="preserve">This study was reviewed and approved by the Ethics Committee of the </w:t>
      </w:r>
      <w:bookmarkStart w:id="26" w:name="OLE_LINK571"/>
      <w:r w:rsidR="00AD7DA8" w:rsidRPr="00704D1E">
        <w:rPr>
          <w:rFonts w:ascii="Book Antiqua" w:hAnsi="Book Antiqua" w:cs="Times New Roman"/>
          <w:color w:val="000000" w:themeColor="text1"/>
          <w:sz w:val="24"/>
          <w:szCs w:val="24"/>
        </w:rPr>
        <w:t>Peking Union Medical College Hospital</w:t>
      </w:r>
      <w:bookmarkEnd w:id="26"/>
      <w:r w:rsidR="001934E4">
        <w:rPr>
          <w:rFonts w:ascii="Book Antiqua" w:hAnsi="Book Antiqua" w:cs="Times New Roman"/>
          <w:color w:val="000000" w:themeColor="text1"/>
          <w:sz w:val="24"/>
          <w:szCs w:val="24"/>
        </w:rPr>
        <w:t xml:space="preserve"> (</w:t>
      </w:r>
      <w:r w:rsidR="002B49CD" w:rsidRPr="00704D1E">
        <w:rPr>
          <w:rFonts w:ascii="Book Antiqua" w:hAnsi="Book Antiqua" w:cs="Times New Roman"/>
          <w:color w:val="000000" w:themeColor="text1"/>
          <w:sz w:val="24"/>
          <w:szCs w:val="24"/>
        </w:rPr>
        <w:t>No. JS1233</w:t>
      </w:r>
      <w:r w:rsidR="001934E4">
        <w:rPr>
          <w:rFonts w:ascii="Book Antiqua" w:hAnsi="Book Antiqua" w:cs="Times New Roman"/>
          <w:color w:val="000000" w:themeColor="text1"/>
          <w:sz w:val="24"/>
          <w:szCs w:val="24"/>
        </w:rPr>
        <w:t>)</w:t>
      </w:r>
      <w:r w:rsidR="002B49CD" w:rsidRPr="00704D1E">
        <w:rPr>
          <w:rFonts w:ascii="Book Antiqua" w:hAnsi="Book Antiqua" w:cs="Times New Roman"/>
          <w:color w:val="000000" w:themeColor="text1"/>
          <w:sz w:val="24"/>
          <w:szCs w:val="24"/>
        </w:rPr>
        <w:t>.</w:t>
      </w:r>
    </w:p>
    <w:p w14:paraId="5C38A6D9" w14:textId="77777777" w:rsidR="00CC1152" w:rsidRPr="00704D1E" w:rsidRDefault="00CC1152" w:rsidP="00704D1E">
      <w:pPr>
        <w:pStyle w:val="a7"/>
        <w:adjustRightInd w:val="0"/>
        <w:snapToGrid w:val="0"/>
        <w:spacing w:line="360" w:lineRule="auto"/>
        <w:ind w:firstLineChars="0" w:firstLine="0"/>
        <w:rPr>
          <w:rFonts w:ascii="Book Antiqua" w:hAnsi="Book Antiqua" w:cs="Times New Roman"/>
          <w:b/>
          <w:color w:val="000000" w:themeColor="text1"/>
          <w:sz w:val="24"/>
          <w:szCs w:val="24"/>
        </w:rPr>
      </w:pPr>
    </w:p>
    <w:p w14:paraId="23E59D02" w14:textId="165D9A3A" w:rsidR="009B194C" w:rsidRPr="00704D1E" w:rsidRDefault="009B194C" w:rsidP="00704D1E">
      <w:pPr>
        <w:pStyle w:val="a7"/>
        <w:adjustRightInd w:val="0"/>
        <w:snapToGrid w:val="0"/>
        <w:spacing w:line="360" w:lineRule="auto"/>
        <w:ind w:firstLineChars="0" w:firstLine="0"/>
        <w:rPr>
          <w:rFonts w:ascii="Book Antiqua" w:hAnsi="Book Antiqua" w:cs="Times New Roman"/>
          <w:color w:val="000000" w:themeColor="text1"/>
          <w:sz w:val="24"/>
          <w:szCs w:val="24"/>
        </w:rPr>
      </w:pPr>
      <w:r w:rsidRPr="00704D1E">
        <w:rPr>
          <w:rFonts w:ascii="Book Antiqua" w:hAnsi="Book Antiqua" w:cs="Times New Roman"/>
          <w:b/>
          <w:color w:val="000000" w:themeColor="text1"/>
          <w:sz w:val="24"/>
          <w:szCs w:val="24"/>
        </w:rPr>
        <w:t>Informed consent statement:</w:t>
      </w:r>
      <w:r w:rsidR="00AD7DA8" w:rsidRPr="00704D1E">
        <w:rPr>
          <w:rFonts w:ascii="Book Antiqua" w:hAnsi="Book Antiqua"/>
          <w:color w:val="000000" w:themeColor="text1"/>
          <w:sz w:val="24"/>
          <w:szCs w:val="24"/>
        </w:rPr>
        <w:t xml:space="preserve"> </w:t>
      </w:r>
      <w:r w:rsidR="00AD7DA8" w:rsidRPr="00704D1E">
        <w:rPr>
          <w:rFonts w:ascii="Book Antiqua" w:hAnsi="Book Antiqua" w:cs="Times New Roman"/>
          <w:color w:val="000000" w:themeColor="text1"/>
          <w:sz w:val="24"/>
          <w:szCs w:val="24"/>
        </w:rPr>
        <w:t xml:space="preserve">Patients were not required to give informed consent to the study because the analysis used anonymous clinical data that were obtained from the Electronic Medical Record of </w:t>
      </w:r>
      <w:r w:rsidR="00E416E8" w:rsidRPr="00704D1E">
        <w:rPr>
          <w:rFonts w:ascii="Book Antiqua" w:hAnsi="Book Antiqua" w:cs="Times New Roman"/>
          <w:color w:val="000000" w:themeColor="text1"/>
          <w:sz w:val="24"/>
          <w:szCs w:val="24"/>
        </w:rPr>
        <w:t>Peking Union Medical College Hospital</w:t>
      </w:r>
      <w:r w:rsidR="00AD7DA8" w:rsidRPr="00704D1E">
        <w:rPr>
          <w:rFonts w:ascii="Book Antiqua" w:hAnsi="Book Antiqua" w:cs="Times New Roman"/>
          <w:color w:val="000000" w:themeColor="text1"/>
          <w:sz w:val="24"/>
          <w:szCs w:val="24"/>
        </w:rPr>
        <w:t>.</w:t>
      </w:r>
    </w:p>
    <w:p w14:paraId="4D41C146" w14:textId="77777777" w:rsidR="00CC1152" w:rsidRPr="00704D1E" w:rsidRDefault="00CC1152" w:rsidP="00704D1E">
      <w:pPr>
        <w:pStyle w:val="a7"/>
        <w:adjustRightInd w:val="0"/>
        <w:snapToGrid w:val="0"/>
        <w:spacing w:line="360" w:lineRule="auto"/>
        <w:ind w:firstLineChars="0" w:firstLine="0"/>
        <w:rPr>
          <w:rFonts w:ascii="Book Antiqua" w:hAnsi="Book Antiqua" w:cs="Times New Roman"/>
          <w:b/>
          <w:color w:val="000000" w:themeColor="text1"/>
          <w:sz w:val="24"/>
          <w:szCs w:val="24"/>
        </w:rPr>
      </w:pPr>
    </w:p>
    <w:p w14:paraId="4317D63A" w14:textId="6EA07FF4" w:rsidR="009B194C" w:rsidRPr="00704D1E" w:rsidRDefault="009B194C"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b/>
          <w:color w:val="000000" w:themeColor="text1"/>
          <w:sz w:val="24"/>
          <w:szCs w:val="24"/>
        </w:rPr>
        <w:t>Conflict-of-interest statement:</w:t>
      </w:r>
      <w:r w:rsidRPr="00704D1E">
        <w:rPr>
          <w:rFonts w:ascii="Book Antiqua" w:hAnsi="Book Antiqua" w:cs="Times New Roman"/>
          <w:color w:val="000000" w:themeColor="text1"/>
          <w:sz w:val="24"/>
          <w:szCs w:val="24"/>
        </w:rPr>
        <w:t xml:space="preserve"> There is no conflict of interest regarding the work presented in this manuscript.</w:t>
      </w:r>
    </w:p>
    <w:p w14:paraId="1E59B891" w14:textId="77777777" w:rsidR="00CC1152" w:rsidRPr="00704D1E" w:rsidRDefault="00CC1152" w:rsidP="00704D1E">
      <w:pPr>
        <w:adjustRightInd w:val="0"/>
        <w:snapToGrid w:val="0"/>
        <w:spacing w:line="360" w:lineRule="auto"/>
        <w:rPr>
          <w:rFonts w:ascii="Book Antiqua" w:hAnsi="Book Antiqua" w:cs="Times New Roman"/>
          <w:color w:val="000000" w:themeColor="text1"/>
          <w:sz w:val="24"/>
          <w:szCs w:val="24"/>
        </w:rPr>
      </w:pPr>
    </w:p>
    <w:p w14:paraId="29B122DE" w14:textId="730A4F24" w:rsidR="009B194C" w:rsidRPr="00704D1E" w:rsidRDefault="009B194C" w:rsidP="00487AFC">
      <w:pPr>
        <w:adjustRightInd w:val="0"/>
        <w:snapToGrid w:val="0"/>
        <w:spacing w:line="360" w:lineRule="auto"/>
        <w:outlineLvl w:val="0"/>
        <w:rPr>
          <w:rFonts w:ascii="Book Antiqua" w:hAnsi="Book Antiqua" w:cs="Times New Roman"/>
          <w:color w:val="000000" w:themeColor="text1"/>
          <w:sz w:val="24"/>
          <w:szCs w:val="24"/>
        </w:rPr>
      </w:pPr>
      <w:r w:rsidRPr="00704D1E">
        <w:rPr>
          <w:rFonts w:ascii="Book Antiqua" w:hAnsi="Book Antiqua" w:cs="Times New Roman"/>
          <w:b/>
          <w:color w:val="000000" w:themeColor="text1"/>
          <w:sz w:val="24"/>
          <w:szCs w:val="24"/>
        </w:rPr>
        <w:t>Date sharing statement:</w:t>
      </w:r>
      <w:r w:rsidR="00AD7DA8" w:rsidRPr="00704D1E">
        <w:rPr>
          <w:rFonts w:ascii="Book Antiqua" w:hAnsi="Book Antiqua" w:cs="Times New Roman"/>
          <w:b/>
          <w:color w:val="000000" w:themeColor="text1"/>
          <w:sz w:val="24"/>
          <w:szCs w:val="24"/>
        </w:rPr>
        <w:t xml:space="preserve"> </w:t>
      </w:r>
      <w:r w:rsidR="00AD7DA8" w:rsidRPr="00704D1E">
        <w:rPr>
          <w:rFonts w:ascii="Book Antiqua" w:hAnsi="Book Antiqua" w:cs="Times New Roman"/>
          <w:color w:val="000000" w:themeColor="text1"/>
          <w:sz w:val="24"/>
          <w:szCs w:val="24"/>
        </w:rPr>
        <w:t>No additional data are available.</w:t>
      </w:r>
    </w:p>
    <w:p w14:paraId="6D8B0851" w14:textId="77777777" w:rsidR="00CC1152" w:rsidRDefault="00CC1152" w:rsidP="00704D1E">
      <w:pPr>
        <w:adjustRightInd w:val="0"/>
        <w:snapToGrid w:val="0"/>
        <w:spacing w:line="360" w:lineRule="auto"/>
        <w:rPr>
          <w:rFonts w:ascii="Book Antiqua" w:hAnsi="Book Antiqua" w:cs="Times New Roman"/>
          <w:b/>
          <w:color w:val="000000" w:themeColor="text1"/>
          <w:sz w:val="24"/>
          <w:szCs w:val="24"/>
        </w:rPr>
      </w:pPr>
    </w:p>
    <w:p w14:paraId="6AF756C2" w14:textId="24BA4F52" w:rsidR="00E416E8" w:rsidRPr="00E416E8" w:rsidRDefault="00E416E8" w:rsidP="00E416E8">
      <w:pPr>
        <w:widowControl/>
        <w:snapToGrid w:val="0"/>
        <w:spacing w:line="360" w:lineRule="auto"/>
        <w:rPr>
          <w:rFonts w:ascii="Book Antiqua" w:hAnsi="Book Antiqua" w:cs="Times New Roman"/>
          <w:kern w:val="0"/>
          <w:sz w:val="24"/>
          <w:szCs w:val="24"/>
        </w:rPr>
      </w:pPr>
      <w:bookmarkStart w:id="27" w:name="OLE_LINK25"/>
      <w:bookmarkStart w:id="28" w:name="OLE_LINK26"/>
      <w:bookmarkStart w:id="29" w:name="OLE_LINK375"/>
      <w:bookmarkStart w:id="30" w:name="OLE_LINK32"/>
      <w:bookmarkStart w:id="31" w:name="OLE_LINK381"/>
      <w:bookmarkStart w:id="32" w:name="OLE_LINK413"/>
      <w:bookmarkStart w:id="33" w:name="OLE_LINK146"/>
      <w:r w:rsidRPr="00E416E8">
        <w:rPr>
          <w:rFonts w:ascii="Book Antiqua" w:hAnsi="Book Antiqua" w:cs="Times New Roman"/>
          <w:b/>
          <w:color w:val="000000"/>
          <w:kern w:val="0"/>
          <w:sz w:val="24"/>
          <w:szCs w:val="24"/>
        </w:rPr>
        <w:t xml:space="preserve">Open-Access: </w:t>
      </w:r>
      <w:r w:rsidRPr="00E416E8">
        <w:rPr>
          <w:rFonts w:ascii="Book Antiqua" w:hAnsi="Book Antiqua" w:cs="Times New Roman"/>
          <w:color w:val="000000"/>
          <w:kern w:val="0"/>
          <w:sz w:val="24"/>
          <w:szCs w:val="24"/>
        </w:rPr>
        <w:t xml:space="preserve">This is an </w:t>
      </w:r>
      <w:r w:rsidRPr="00E416E8">
        <w:rPr>
          <w:rFonts w:ascii="Book Antiqua" w:hAnsi="Book Antiqua" w:cs="宋体"/>
          <w:kern w:val="0"/>
          <w:sz w:val="24"/>
          <w:szCs w:val="24"/>
        </w:rPr>
        <w:t xml:space="preserve">open-access article that was </w:t>
      </w:r>
      <w:r w:rsidRPr="00E416E8">
        <w:rPr>
          <w:rFonts w:ascii="Book Antiqua" w:hAnsi="Book Antiqua" w:cs="Times New Roman"/>
          <w:kern w:val="0"/>
          <w:sz w:val="24"/>
          <w:szCs w:val="24"/>
        </w:rPr>
        <w:t xml:space="preserve">selected by an in-house editor and fully peer-reviewed by external reviewers. It is </w:t>
      </w:r>
      <w:r w:rsidRPr="00E416E8">
        <w:rPr>
          <w:rFonts w:ascii="Book Antiqua" w:hAnsi="Book Antiqua" w:cs="宋体"/>
          <w:kern w:val="0"/>
          <w:sz w:val="24"/>
          <w:szCs w:val="24"/>
        </w:rPr>
        <w:t xml:space="preserve">distributed in </w:t>
      </w:r>
      <w:r w:rsidRPr="00E416E8">
        <w:rPr>
          <w:rFonts w:ascii="Book Antiqua" w:hAnsi="Book Antiqua" w:cs="宋体"/>
          <w:kern w:val="0"/>
          <w:sz w:val="24"/>
          <w:szCs w:val="24"/>
        </w:rPr>
        <w:lastRenderedPageBreak/>
        <w:t xml:space="preserve">accordance with </w:t>
      </w:r>
      <w:r w:rsidRPr="00E416E8">
        <w:rPr>
          <w:rFonts w:ascii="Book Antiqua" w:hAnsi="Book Antiqua" w:cs="Times New Roman"/>
          <w:kern w:val="0"/>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E416E8">
        <w:rPr>
          <w:rFonts w:ascii="Book Antiqua" w:hAnsi="Book Antiqua" w:cs="Times New Roman"/>
          <w:color w:val="0000FF"/>
          <w:kern w:val="0"/>
          <w:sz w:val="24"/>
          <w:szCs w:val="24"/>
          <w:u w:val="single"/>
        </w:rPr>
        <w:t>http://creativecommons.org/licenses/by-nc/4.0/</w:t>
      </w:r>
    </w:p>
    <w:p w14:paraId="2DC84418" w14:textId="77777777" w:rsidR="00E416E8" w:rsidRPr="00E416E8" w:rsidRDefault="00E416E8" w:rsidP="00E416E8">
      <w:pPr>
        <w:widowControl/>
        <w:snapToGrid w:val="0"/>
        <w:spacing w:line="360" w:lineRule="auto"/>
        <w:rPr>
          <w:rFonts w:ascii="Book Antiqua" w:hAnsi="Book Antiqua" w:cs="Times New Roman"/>
          <w:kern w:val="0"/>
          <w:sz w:val="24"/>
          <w:szCs w:val="24"/>
        </w:rPr>
      </w:pPr>
    </w:p>
    <w:p w14:paraId="1FF24FE1" w14:textId="76E90AAE" w:rsidR="00E416E8" w:rsidRDefault="00E416E8" w:rsidP="00487AFC">
      <w:pPr>
        <w:adjustRightInd w:val="0"/>
        <w:snapToGrid w:val="0"/>
        <w:spacing w:line="360" w:lineRule="auto"/>
        <w:outlineLvl w:val="0"/>
        <w:rPr>
          <w:rFonts w:ascii="Book Antiqua" w:hAnsi="Book Antiqua" w:cs="Times New Roman"/>
          <w:bCs/>
          <w:kern w:val="0"/>
          <w:sz w:val="24"/>
          <w:szCs w:val="24"/>
        </w:rPr>
      </w:pPr>
      <w:bookmarkStart w:id="34" w:name="OLE_LINK11"/>
      <w:r w:rsidRPr="00E416E8">
        <w:rPr>
          <w:rFonts w:ascii="Book Antiqua" w:hAnsi="Book Antiqua" w:cs="Times New Roman"/>
          <w:b/>
          <w:bCs/>
          <w:kern w:val="0"/>
          <w:sz w:val="24"/>
          <w:szCs w:val="24"/>
          <w:highlight w:val="white"/>
        </w:rPr>
        <w:t>Manuscript source:</w:t>
      </w:r>
      <w:r w:rsidRPr="00E416E8">
        <w:rPr>
          <w:rFonts w:ascii="Book Antiqua" w:hAnsi="Book Antiqua" w:cs="Times New Roman" w:hint="eastAsia"/>
          <w:b/>
          <w:bCs/>
          <w:kern w:val="0"/>
          <w:sz w:val="24"/>
          <w:szCs w:val="24"/>
          <w:highlight w:val="white"/>
        </w:rPr>
        <w:t xml:space="preserve"> </w:t>
      </w:r>
      <w:r w:rsidRPr="00E416E8">
        <w:rPr>
          <w:rFonts w:ascii="Book Antiqua" w:hAnsi="Book Antiqua" w:cs="Times New Roman"/>
          <w:bCs/>
          <w:kern w:val="0"/>
          <w:sz w:val="24"/>
          <w:szCs w:val="24"/>
          <w:highlight w:val="white"/>
        </w:rPr>
        <w:t>Unsolicited manuscript</w:t>
      </w:r>
      <w:bookmarkEnd w:id="27"/>
      <w:bookmarkEnd w:id="28"/>
      <w:bookmarkEnd w:id="29"/>
      <w:bookmarkEnd w:id="30"/>
      <w:bookmarkEnd w:id="31"/>
      <w:bookmarkEnd w:id="32"/>
      <w:bookmarkEnd w:id="33"/>
      <w:bookmarkEnd w:id="34"/>
    </w:p>
    <w:p w14:paraId="654BBDBA" w14:textId="77777777" w:rsidR="00E416E8" w:rsidRPr="00704D1E" w:rsidRDefault="00E416E8" w:rsidP="00E416E8">
      <w:pPr>
        <w:adjustRightInd w:val="0"/>
        <w:snapToGrid w:val="0"/>
        <w:spacing w:line="360" w:lineRule="auto"/>
        <w:rPr>
          <w:rFonts w:ascii="Book Antiqua" w:hAnsi="Book Antiqua" w:cs="Times New Roman"/>
          <w:b/>
          <w:color w:val="000000" w:themeColor="text1"/>
          <w:sz w:val="24"/>
          <w:szCs w:val="24"/>
        </w:rPr>
      </w:pPr>
    </w:p>
    <w:p w14:paraId="3A5A0917" w14:textId="0A2CD814" w:rsidR="009B194C" w:rsidRPr="00704D1E" w:rsidRDefault="009B194C"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b/>
          <w:color w:val="000000" w:themeColor="text1"/>
          <w:sz w:val="24"/>
          <w:szCs w:val="24"/>
        </w:rPr>
        <w:t>Correspond</w:t>
      </w:r>
      <w:r w:rsidR="00F03F32" w:rsidRPr="00704D1E">
        <w:rPr>
          <w:rFonts w:ascii="Book Antiqua" w:hAnsi="Book Antiqua" w:cs="Times New Roman"/>
          <w:b/>
          <w:color w:val="000000" w:themeColor="text1"/>
          <w:sz w:val="24"/>
          <w:szCs w:val="24"/>
        </w:rPr>
        <w:t>ing author</w:t>
      </w:r>
      <w:r w:rsidRPr="00704D1E">
        <w:rPr>
          <w:rFonts w:ascii="Book Antiqua" w:hAnsi="Book Antiqua" w:cs="Times New Roman"/>
          <w:b/>
          <w:color w:val="000000" w:themeColor="text1"/>
          <w:sz w:val="24"/>
          <w:szCs w:val="24"/>
        </w:rPr>
        <w:t>:</w:t>
      </w:r>
      <w:r w:rsidRPr="00704D1E">
        <w:rPr>
          <w:rFonts w:ascii="Book Antiqua" w:hAnsi="Book Antiqua" w:cs="Times New Roman"/>
          <w:color w:val="000000" w:themeColor="text1"/>
          <w:sz w:val="24"/>
          <w:szCs w:val="24"/>
        </w:rPr>
        <w:t xml:space="preserve"> </w:t>
      </w:r>
      <w:bookmarkStart w:id="35" w:name="OLE_LINK590"/>
      <w:bookmarkStart w:id="36" w:name="OLE_LINK591"/>
      <w:r w:rsidRPr="00E416E8">
        <w:rPr>
          <w:rFonts w:ascii="Book Antiqua" w:hAnsi="Book Antiqua" w:cs="Times New Roman"/>
          <w:b/>
          <w:color w:val="000000" w:themeColor="text1"/>
          <w:sz w:val="24"/>
          <w:szCs w:val="24"/>
        </w:rPr>
        <w:t>Hui</w:t>
      </w:r>
      <w:r w:rsidR="00F03F32" w:rsidRPr="00E416E8">
        <w:rPr>
          <w:rFonts w:ascii="Book Antiqua" w:hAnsi="Book Antiqua" w:cs="Times New Roman"/>
          <w:b/>
          <w:color w:val="000000" w:themeColor="text1"/>
          <w:sz w:val="24"/>
          <w:szCs w:val="24"/>
        </w:rPr>
        <w:t>-J</w:t>
      </w:r>
      <w:r w:rsidRPr="00E416E8">
        <w:rPr>
          <w:rFonts w:ascii="Book Antiqua" w:hAnsi="Book Antiqua" w:cs="Times New Roman"/>
          <w:b/>
          <w:color w:val="000000" w:themeColor="text1"/>
          <w:sz w:val="24"/>
          <w:szCs w:val="24"/>
        </w:rPr>
        <w:t>uan</w:t>
      </w:r>
      <w:bookmarkEnd w:id="35"/>
      <w:bookmarkEnd w:id="36"/>
      <w:r w:rsidRPr="00E416E8">
        <w:rPr>
          <w:rFonts w:ascii="Book Antiqua" w:hAnsi="Book Antiqua" w:cs="Times New Roman"/>
          <w:b/>
          <w:color w:val="000000" w:themeColor="text1"/>
          <w:sz w:val="24"/>
          <w:szCs w:val="24"/>
        </w:rPr>
        <w:t xml:space="preserve"> Zhu, MD, </w:t>
      </w:r>
      <w:r w:rsidR="00E416E8" w:rsidRPr="00E416E8">
        <w:rPr>
          <w:rFonts w:ascii="Book Antiqua" w:hAnsi="Book Antiqua" w:cs="Times New Roman"/>
          <w:b/>
          <w:color w:val="000000" w:themeColor="text1"/>
          <w:sz w:val="24"/>
          <w:szCs w:val="24"/>
        </w:rPr>
        <w:t xml:space="preserve">Professor, </w:t>
      </w:r>
      <w:r w:rsidRPr="00704D1E">
        <w:rPr>
          <w:rFonts w:ascii="Book Antiqua" w:hAnsi="Book Antiqua" w:cs="Times New Roman"/>
          <w:color w:val="000000" w:themeColor="text1"/>
          <w:sz w:val="24"/>
          <w:szCs w:val="24"/>
        </w:rPr>
        <w:t xml:space="preserve">Department of Endocrinology, Key Laboratory of Endocrinology of National Health Commission of the People's Republic of China, The Translational Medicine Center of </w:t>
      </w:r>
      <w:r w:rsidR="00487AFC" w:rsidRPr="00704D1E">
        <w:rPr>
          <w:rFonts w:ascii="Book Antiqua" w:hAnsi="Book Antiqua" w:cs="Times New Roman"/>
          <w:color w:val="000000" w:themeColor="text1"/>
          <w:sz w:val="24"/>
          <w:szCs w:val="24"/>
        </w:rPr>
        <w:t>Peking Union Medical College Hospital</w:t>
      </w:r>
      <w:r w:rsidRPr="00704D1E">
        <w:rPr>
          <w:rFonts w:ascii="Book Antiqua" w:hAnsi="Book Antiqua" w:cs="Times New Roman"/>
          <w:color w:val="000000" w:themeColor="text1"/>
          <w:sz w:val="24"/>
          <w:szCs w:val="24"/>
        </w:rPr>
        <w:t xml:space="preserve">, Peking Union Medical College Hospital, Chinese Academy of Medical Sciences and Peking Union Medical College, </w:t>
      </w:r>
      <w:r w:rsidR="00E416E8" w:rsidRPr="00E416E8">
        <w:rPr>
          <w:rFonts w:ascii="Book Antiqua" w:hAnsi="Book Antiqua" w:cs="Times New Roman"/>
          <w:color w:val="000000" w:themeColor="text1"/>
          <w:sz w:val="24"/>
          <w:szCs w:val="24"/>
        </w:rPr>
        <w:t>No. 1</w:t>
      </w:r>
      <w:r w:rsidR="001934E4">
        <w:rPr>
          <w:rFonts w:ascii="Book Antiqua" w:hAnsi="Book Antiqua" w:cs="Times New Roman"/>
          <w:color w:val="000000" w:themeColor="text1"/>
          <w:sz w:val="24"/>
          <w:szCs w:val="24"/>
        </w:rPr>
        <w:t>,</w:t>
      </w:r>
      <w:r w:rsidR="00E416E8" w:rsidRPr="00E416E8">
        <w:rPr>
          <w:rFonts w:ascii="Book Antiqua" w:hAnsi="Book Antiqua" w:cs="Times New Roman"/>
          <w:color w:val="000000" w:themeColor="text1"/>
          <w:sz w:val="24"/>
          <w:szCs w:val="24"/>
        </w:rPr>
        <w:t xml:space="preserve"> </w:t>
      </w:r>
      <w:proofErr w:type="spellStart"/>
      <w:r w:rsidR="00E416E8" w:rsidRPr="00E416E8">
        <w:rPr>
          <w:rFonts w:ascii="Book Antiqua" w:hAnsi="Book Antiqua" w:cs="Times New Roman"/>
          <w:color w:val="000000" w:themeColor="text1"/>
          <w:sz w:val="24"/>
          <w:szCs w:val="24"/>
        </w:rPr>
        <w:t>Shuaifuyuan</w:t>
      </w:r>
      <w:proofErr w:type="spellEnd"/>
      <w:r w:rsidR="00E416E8" w:rsidRPr="00E416E8">
        <w:rPr>
          <w:rFonts w:ascii="Book Antiqua" w:hAnsi="Book Antiqua" w:cs="Times New Roman"/>
          <w:color w:val="000000" w:themeColor="text1"/>
          <w:sz w:val="24"/>
          <w:szCs w:val="24"/>
        </w:rPr>
        <w:t xml:space="preserve">, </w:t>
      </w:r>
      <w:proofErr w:type="spellStart"/>
      <w:r w:rsidR="00E416E8" w:rsidRPr="00E416E8">
        <w:rPr>
          <w:rFonts w:ascii="Book Antiqua" w:hAnsi="Book Antiqua" w:cs="Times New Roman"/>
          <w:color w:val="000000" w:themeColor="text1"/>
          <w:sz w:val="24"/>
          <w:szCs w:val="24"/>
        </w:rPr>
        <w:t>Dongcheng</w:t>
      </w:r>
      <w:proofErr w:type="spellEnd"/>
      <w:r w:rsidR="00E416E8" w:rsidRPr="00E416E8">
        <w:rPr>
          <w:rFonts w:ascii="Book Antiqua" w:hAnsi="Book Antiqua" w:cs="Times New Roman"/>
          <w:color w:val="000000" w:themeColor="text1"/>
          <w:sz w:val="24"/>
          <w:szCs w:val="24"/>
        </w:rPr>
        <w:t xml:space="preserve"> District</w:t>
      </w:r>
      <w:r w:rsidR="00E416E8">
        <w:rPr>
          <w:rFonts w:ascii="Book Antiqua" w:hAnsi="Book Antiqua" w:cs="Times New Roman"/>
          <w:color w:val="000000" w:themeColor="text1"/>
          <w:sz w:val="24"/>
          <w:szCs w:val="24"/>
        </w:rPr>
        <w:t xml:space="preserve">, Beijing 100730, China. </w:t>
      </w:r>
      <w:r w:rsidRPr="00704D1E">
        <w:rPr>
          <w:rStyle w:val="af"/>
          <w:rFonts w:ascii="Book Antiqua" w:hAnsi="Book Antiqua" w:cs="Times New Roman"/>
          <w:color w:val="000000" w:themeColor="text1"/>
          <w:sz w:val="24"/>
          <w:szCs w:val="24"/>
          <w:u w:val="none"/>
        </w:rPr>
        <w:t>shengxin2004@163.com</w:t>
      </w:r>
    </w:p>
    <w:p w14:paraId="71AAF23D" w14:textId="21868D1E" w:rsidR="009B194C" w:rsidRPr="00704D1E" w:rsidRDefault="009B194C" w:rsidP="00704D1E">
      <w:pPr>
        <w:adjustRightInd w:val="0"/>
        <w:snapToGrid w:val="0"/>
        <w:spacing w:line="360" w:lineRule="auto"/>
        <w:rPr>
          <w:rFonts w:ascii="Book Antiqua" w:hAnsi="Book Antiqua" w:cs="Times New Roman"/>
          <w:b/>
          <w:color w:val="000000" w:themeColor="text1"/>
          <w:sz w:val="24"/>
          <w:szCs w:val="24"/>
        </w:rPr>
      </w:pPr>
      <w:r w:rsidRPr="00704D1E">
        <w:rPr>
          <w:rFonts w:ascii="Book Antiqua" w:hAnsi="Book Antiqua" w:cs="Times New Roman"/>
          <w:b/>
          <w:color w:val="000000" w:themeColor="text1"/>
          <w:sz w:val="24"/>
          <w:szCs w:val="24"/>
        </w:rPr>
        <w:t>Telephone:</w:t>
      </w:r>
      <w:r w:rsidR="002E2344" w:rsidRPr="00704D1E">
        <w:rPr>
          <w:rFonts w:ascii="Book Antiqua" w:hAnsi="Book Antiqua" w:cs="Times New Roman"/>
          <w:b/>
          <w:color w:val="000000" w:themeColor="text1"/>
          <w:sz w:val="24"/>
          <w:szCs w:val="24"/>
        </w:rPr>
        <w:t xml:space="preserve"> </w:t>
      </w:r>
      <w:bookmarkStart w:id="37" w:name="OLE_LINK592"/>
      <w:r w:rsidR="00E416E8">
        <w:rPr>
          <w:rFonts w:ascii="Book Antiqua" w:hAnsi="Book Antiqua" w:cs="Times New Roman"/>
          <w:color w:val="000000" w:themeColor="text1"/>
          <w:sz w:val="24"/>
          <w:szCs w:val="24"/>
        </w:rPr>
        <w:t>+86-</w:t>
      </w:r>
      <w:r w:rsidR="002E2344" w:rsidRPr="00704D1E">
        <w:rPr>
          <w:rFonts w:ascii="Book Antiqua" w:hAnsi="Book Antiqua" w:cs="Times New Roman"/>
          <w:color w:val="000000" w:themeColor="text1"/>
          <w:sz w:val="24"/>
          <w:szCs w:val="24"/>
        </w:rPr>
        <w:t>10-69155073</w:t>
      </w:r>
      <w:bookmarkEnd w:id="37"/>
    </w:p>
    <w:p w14:paraId="32850C3F" w14:textId="5B475F3E" w:rsidR="009B194C" w:rsidRPr="00704D1E" w:rsidRDefault="009B194C"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b/>
          <w:color w:val="000000" w:themeColor="text1"/>
          <w:sz w:val="24"/>
          <w:szCs w:val="24"/>
        </w:rPr>
        <w:t>Fax:</w:t>
      </w:r>
      <w:r w:rsidR="002E2344" w:rsidRPr="00704D1E">
        <w:rPr>
          <w:rFonts w:ascii="Book Antiqua" w:hAnsi="Book Antiqua" w:cs="Times New Roman"/>
          <w:b/>
          <w:color w:val="000000" w:themeColor="text1"/>
          <w:sz w:val="24"/>
          <w:szCs w:val="24"/>
        </w:rPr>
        <w:t xml:space="preserve"> </w:t>
      </w:r>
      <w:r w:rsidR="00E416E8">
        <w:rPr>
          <w:rFonts w:ascii="Book Antiqua" w:hAnsi="Book Antiqua" w:cs="Times New Roman"/>
          <w:color w:val="000000" w:themeColor="text1"/>
          <w:sz w:val="24"/>
          <w:szCs w:val="24"/>
        </w:rPr>
        <w:t>+86-</w:t>
      </w:r>
      <w:r w:rsidR="002E2344" w:rsidRPr="00704D1E">
        <w:rPr>
          <w:rFonts w:ascii="Book Antiqua" w:hAnsi="Book Antiqua" w:cs="Times New Roman"/>
          <w:color w:val="000000" w:themeColor="text1"/>
          <w:sz w:val="24"/>
          <w:szCs w:val="24"/>
        </w:rPr>
        <w:t>10-69155073</w:t>
      </w:r>
    </w:p>
    <w:p w14:paraId="0E0C6C8B" w14:textId="77777777" w:rsidR="0085535A" w:rsidRDefault="0085535A" w:rsidP="00704D1E">
      <w:pPr>
        <w:adjustRightInd w:val="0"/>
        <w:snapToGrid w:val="0"/>
        <w:spacing w:line="360" w:lineRule="auto"/>
        <w:rPr>
          <w:rFonts w:ascii="Book Antiqua" w:hAnsi="Book Antiqua" w:cs="Times New Roman"/>
          <w:b/>
          <w:color w:val="000000" w:themeColor="text1"/>
          <w:sz w:val="24"/>
          <w:szCs w:val="24"/>
        </w:rPr>
      </w:pPr>
    </w:p>
    <w:p w14:paraId="78C0EC4A" w14:textId="19DA85F7" w:rsidR="00E416E8" w:rsidRPr="00E416E8" w:rsidRDefault="00E416E8" w:rsidP="00487AFC">
      <w:pPr>
        <w:widowControl/>
        <w:adjustRightInd w:val="0"/>
        <w:snapToGrid w:val="0"/>
        <w:spacing w:line="360" w:lineRule="auto"/>
        <w:outlineLvl w:val="0"/>
        <w:rPr>
          <w:rFonts w:ascii="Book Antiqua" w:hAnsi="Book Antiqua" w:cs="Times New Roman"/>
          <w:b/>
          <w:kern w:val="0"/>
          <w:sz w:val="24"/>
          <w:szCs w:val="24"/>
        </w:rPr>
      </w:pPr>
      <w:bookmarkStart w:id="38" w:name="OLE_LINK14"/>
      <w:bookmarkStart w:id="39" w:name="OLE_LINK16"/>
      <w:bookmarkStart w:id="40" w:name="OLE_LINK51"/>
      <w:bookmarkStart w:id="41" w:name="OLE_LINK27"/>
      <w:bookmarkStart w:id="42" w:name="OLE_LINK382"/>
      <w:bookmarkStart w:id="43" w:name="OLE_LINK30"/>
      <w:bookmarkStart w:id="44" w:name="OLE_LINK376"/>
      <w:bookmarkStart w:id="45" w:name="OLE_LINK35"/>
      <w:r w:rsidRPr="00E416E8">
        <w:rPr>
          <w:rFonts w:ascii="Book Antiqua" w:hAnsi="Book Antiqua" w:cs="Times New Roman"/>
          <w:b/>
          <w:kern w:val="0"/>
          <w:sz w:val="24"/>
          <w:szCs w:val="24"/>
        </w:rPr>
        <w:t>Received:</w:t>
      </w:r>
      <w:bookmarkStart w:id="46" w:name="OLE_LINK570"/>
      <w:r w:rsidRPr="00E416E8">
        <w:rPr>
          <w:rFonts w:ascii="Book Antiqua" w:hAnsi="Book Antiqua" w:cs="Times New Roman"/>
          <w:b/>
          <w:kern w:val="0"/>
          <w:sz w:val="24"/>
          <w:szCs w:val="24"/>
        </w:rPr>
        <w:t xml:space="preserve"> </w:t>
      </w:r>
      <w:r>
        <w:rPr>
          <w:rFonts w:ascii="Book Antiqua" w:hAnsi="Book Antiqua" w:cs="Times New Roman"/>
          <w:kern w:val="0"/>
          <w:sz w:val="24"/>
          <w:szCs w:val="24"/>
        </w:rPr>
        <w:t>January</w:t>
      </w:r>
      <w:r>
        <w:rPr>
          <w:rFonts w:ascii="Book Antiqua" w:eastAsia="等线" w:hAnsi="Book Antiqua" w:cs="Times New Roman"/>
          <w:kern w:val="0"/>
          <w:sz w:val="24"/>
          <w:szCs w:val="24"/>
        </w:rPr>
        <w:t xml:space="preserve"> 13</w:t>
      </w:r>
      <w:r w:rsidRPr="00E416E8">
        <w:rPr>
          <w:rFonts w:ascii="Book Antiqua" w:eastAsia="等线" w:hAnsi="Book Antiqua" w:cs="Times New Roman"/>
          <w:kern w:val="0"/>
          <w:sz w:val="24"/>
          <w:szCs w:val="24"/>
        </w:rPr>
        <w:t>, 201</w:t>
      </w:r>
      <w:r>
        <w:rPr>
          <w:rFonts w:ascii="Book Antiqua" w:eastAsia="等线" w:hAnsi="Book Antiqua" w:cs="Times New Roman"/>
          <w:kern w:val="0"/>
          <w:sz w:val="24"/>
          <w:szCs w:val="24"/>
        </w:rPr>
        <w:t>9</w:t>
      </w:r>
      <w:bookmarkEnd w:id="46"/>
    </w:p>
    <w:p w14:paraId="1C35C3BA" w14:textId="253745F4" w:rsidR="00E416E8" w:rsidRPr="00E416E8" w:rsidRDefault="00E416E8" w:rsidP="00487AFC">
      <w:pPr>
        <w:widowControl/>
        <w:adjustRightInd w:val="0"/>
        <w:snapToGrid w:val="0"/>
        <w:spacing w:line="360" w:lineRule="auto"/>
        <w:outlineLvl w:val="0"/>
        <w:rPr>
          <w:rFonts w:ascii="Book Antiqua" w:eastAsia="等线" w:hAnsi="Book Antiqua" w:cs="Times New Roman"/>
          <w:b/>
          <w:kern w:val="0"/>
          <w:sz w:val="24"/>
          <w:szCs w:val="24"/>
        </w:rPr>
      </w:pPr>
      <w:r w:rsidRPr="00E416E8">
        <w:rPr>
          <w:rFonts w:ascii="Book Antiqua" w:hAnsi="Book Antiqua" w:cs="Times New Roman"/>
          <w:b/>
          <w:kern w:val="0"/>
          <w:sz w:val="24"/>
          <w:szCs w:val="24"/>
        </w:rPr>
        <w:t>Peer-review started:</w:t>
      </w:r>
      <w:r w:rsidRPr="00E416E8">
        <w:rPr>
          <w:rFonts w:ascii="Book Antiqua" w:eastAsia="等线" w:hAnsi="Book Antiqua" w:cs="Times New Roman"/>
          <w:b/>
          <w:kern w:val="0"/>
          <w:sz w:val="24"/>
          <w:szCs w:val="24"/>
        </w:rPr>
        <w:t xml:space="preserve"> </w:t>
      </w:r>
      <w:r>
        <w:rPr>
          <w:rFonts w:ascii="Book Antiqua" w:hAnsi="Book Antiqua" w:cs="Times New Roman"/>
          <w:kern w:val="0"/>
          <w:sz w:val="24"/>
          <w:szCs w:val="24"/>
        </w:rPr>
        <w:t>January</w:t>
      </w:r>
      <w:r>
        <w:rPr>
          <w:rFonts w:ascii="Book Antiqua" w:eastAsia="等线" w:hAnsi="Book Antiqua" w:cs="Times New Roman"/>
          <w:kern w:val="0"/>
          <w:sz w:val="24"/>
          <w:szCs w:val="24"/>
        </w:rPr>
        <w:t xml:space="preserve"> 14</w:t>
      </w:r>
      <w:r w:rsidRPr="00E416E8">
        <w:rPr>
          <w:rFonts w:ascii="Book Antiqua" w:eastAsia="等线" w:hAnsi="Book Antiqua" w:cs="Times New Roman"/>
          <w:kern w:val="0"/>
          <w:sz w:val="24"/>
          <w:szCs w:val="24"/>
        </w:rPr>
        <w:t>, 201</w:t>
      </w:r>
      <w:r>
        <w:rPr>
          <w:rFonts w:ascii="Book Antiqua" w:eastAsia="等线" w:hAnsi="Book Antiqua" w:cs="Times New Roman"/>
          <w:kern w:val="0"/>
          <w:sz w:val="24"/>
          <w:szCs w:val="24"/>
        </w:rPr>
        <w:t>9</w:t>
      </w:r>
    </w:p>
    <w:p w14:paraId="55A27F53" w14:textId="1AC4D315" w:rsidR="00E416E8" w:rsidRPr="00E416E8" w:rsidRDefault="00E416E8" w:rsidP="00487AFC">
      <w:pPr>
        <w:widowControl/>
        <w:adjustRightInd w:val="0"/>
        <w:snapToGrid w:val="0"/>
        <w:spacing w:line="360" w:lineRule="auto"/>
        <w:outlineLvl w:val="0"/>
        <w:rPr>
          <w:rFonts w:ascii="Book Antiqua" w:eastAsia="等线" w:hAnsi="Book Antiqua" w:cs="Times New Roman"/>
          <w:b/>
          <w:kern w:val="0"/>
          <w:sz w:val="24"/>
          <w:szCs w:val="24"/>
        </w:rPr>
      </w:pPr>
      <w:r w:rsidRPr="00E416E8">
        <w:rPr>
          <w:rFonts w:ascii="Book Antiqua" w:hAnsi="Book Antiqua" w:cs="Times New Roman"/>
          <w:b/>
          <w:kern w:val="0"/>
          <w:sz w:val="24"/>
          <w:szCs w:val="24"/>
        </w:rPr>
        <w:t>First decision:</w:t>
      </w:r>
      <w:r w:rsidRPr="00E416E8">
        <w:rPr>
          <w:rFonts w:ascii="Book Antiqua" w:eastAsia="等线" w:hAnsi="Book Antiqua" w:cs="Times New Roman"/>
          <w:b/>
          <w:kern w:val="0"/>
          <w:sz w:val="24"/>
          <w:szCs w:val="24"/>
        </w:rPr>
        <w:t xml:space="preserve"> </w:t>
      </w:r>
      <w:r>
        <w:rPr>
          <w:rFonts w:ascii="Book Antiqua" w:hAnsi="Book Antiqua" w:cs="Times New Roman"/>
          <w:kern w:val="0"/>
          <w:sz w:val="24"/>
          <w:szCs w:val="24"/>
        </w:rPr>
        <w:t>February</w:t>
      </w:r>
      <w:r>
        <w:rPr>
          <w:rFonts w:ascii="Book Antiqua" w:eastAsia="等线" w:hAnsi="Book Antiqua" w:cs="Times New Roman"/>
          <w:kern w:val="0"/>
          <w:sz w:val="24"/>
          <w:szCs w:val="24"/>
        </w:rPr>
        <w:t xml:space="preserve"> 13</w:t>
      </w:r>
      <w:r w:rsidRPr="00E416E8">
        <w:rPr>
          <w:rFonts w:ascii="Book Antiqua" w:eastAsia="等线" w:hAnsi="Book Antiqua" w:cs="Times New Roman"/>
          <w:kern w:val="0"/>
          <w:sz w:val="24"/>
          <w:szCs w:val="24"/>
        </w:rPr>
        <w:t>, 201</w:t>
      </w:r>
      <w:r>
        <w:rPr>
          <w:rFonts w:ascii="Book Antiqua" w:eastAsia="等线" w:hAnsi="Book Antiqua" w:cs="Times New Roman"/>
          <w:kern w:val="0"/>
          <w:sz w:val="24"/>
          <w:szCs w:val="24"/>
        </w:rPr>
        <w:t>9</w:t>
      </w:r>
    </w:p>
    <w:p w14:paraId="55FB7B4D" w14:textId="3E309F7A" w:rsidR="00E416E8" w:rsidRPr="00E416E8" w:rsidRDefault="00E416E8" w:rsidP="00E416E8">
      <w:pPr>
        <w:widowControl/>
        <w:adjustRightInd w:val="0"/>
        <w:snapToGrid w:val="0"/>
        <w:spacing w:line="360" w:lineRule="auto"/>
        <w:rPr>
          <w:rFonts w:ascii="Book Antiqua" w:hAnsi="Book Antiqua" w:cs="Times New Roman"/>
          <w:b/>
          <w:kern w:val="0"/>
          <w:sz w:val="24"/>
          <w:szCs w:val="24"/>
        </w:rPr>
      </w:pPr>
      <w:r w:rsidRPr="00E416E8">
        <w:rPr>
          <w:rFonts w:ascii="Book Antiqua" w:hAnsi="Book Antiqua" w:cs="Times New Roman"/>
          <w:b/>
          <w:kern w:val="0"/>
          <w:sz w:val="24"/>
          <w:szCs w:val="24"/>
        </w:rPr>
        <w:t xml:space="preserve">Revised: </w:t>
      </w:r>
      <w:r>
        <w:rPr>
          <w:rFonts w:ascii="Book Antiqua" w:hAnsi="Book Antiqua" w:cs="Times New Roman"/>
          <w:kern w:val="0"/>
          <w:sz w:val="24"/>
          <w:szCs w:val="24"/>
        </w:rPr>
        <w:t>March 13</w:t>
      </w:r>
      <w:r w:rsidRPr="00E416E8">
        <w:rPr>
          <w:rFonts w:ascii="Book Antiqua" w:hAnsi="Book Antiqua" w:cs="Times New Roman"/>
          <w:kern w:val="0"/>
          <w:sz w:val="24"/>
          <w:szCs w:val="24"/>
        </w:rPr>
        <w:t>, 201</w:t>
      </w:r>
      <w:r>
        <w:rPr>
          <w:rFonts w:ascii="Book Antiqua" w:hAnsi="Book Antiqua" w:cs="Times New Roman"/>
          <w:kern w:val="0"/>
          <w:sz w:val="24"/>
          <w:szCs w:val="24"/>
        </w:rPr>
        <w:t>9</w:t>
      </w:r>
    </w:p>
    <w:p w14:paraId="2BB6253F" w14:textId="5375D3D2" w:rsidR="00E416E8" w:rsidRPr="00E416E8" w:rsidRDefault="00E416E8" w:rsidP="00487AFC">
      <w:pPr>
        <w:widowControl/>
        <w:adjustRightInd w:val="0"/>
        <w:snapToGrid w:val="0"/>
        <w:spacing w:line="360" w:lineRule="auto"/>
        <w:outlineLvl w:val="0"/>
        <w:rPr>
          <w:rFonts w:ascii="Book Antiqua" w:hAnsi="Book Antiqua" w:cs="Times New Roman"/>
          <w:b/>
          <w:kern w:val="0"/>
          <w:sz w:val="24"/>
          <w:szCs w:val="24"/>
        </w:rPr>
      </w:pPr>
      <w:r w:rsidRPr="00E416E8">
        <w:rPr>
          <w:rFonts w:ascii="Book Antiqua" w:hAnsi="Book Antiqua" w:cs="Times New Roman"/>
          <w:b/>
          <w:kern w:val="0"/>
          <w:sz w:val="24"/>
          <w:szCs w:val="24"/>
        </w:rPr>
        <w:t>Accepted:</w:t>
      </w:r>
      <w:r w:rsidR="00A1540C" w:rsidRPr="00A1540C">
        <w:t xml:space="preserve"> </w:t>
      </w:r>
      <w:r w:rsidR="00A1540C" w:rsidRPr="00A1540C">
        <w:rPr>
          <w:rFonts w:ascii="Book Antiqua" w:hAnsi="Book Antiqua" w:cs="Times New Roman"/>
          <w:kern w:val="0"/>
          <w:sz w:val="24"/>
          <w:szCs w:val="24"/>
        </w:rPr>
        <w:t>March 15, 2019</w:t>
      </w:r>
      <w:r w:rsidRPr="00E416E8">
        <w:rPr>
          <w:rFonts w:ascii="Book Antiqua" w:hAnsi="Book Antiqua" w:cs="Times New Roman"/>
          <w:b/>
          <w:kern w:val="0"/>
          <w:sz w:val="24"/>
          <w:szCs w:val="24"/>
        </w:rPr>
        <w:t xml:space="preserve"> </w:t>
      </w:r>
    </w:p>
    <w:p w14:paraId="05BFA76D" w14:textId="4D1FE867" w:rsidR="00E416E8" w:rsidRPr="00E416E8" w:rsidRDefault="00E416E8" w:rsidP="00487AFC">
      <w:pPr>
        <w:widowControl/>
        <w:adjustRightInd w:val="0"/>
        <w:snapToGrid w:val="0"/>
        <w:spacing w:line="360" w:lineRule="auto"/>
        <w:outlineLvl w:val="0"/>
        <w:rPr>
          <w:rFonts w:ascii="Book Antiqua" w:hAnsi="Book Antiqua" w:cs="Times New Roman"/>
          <w:b/>
          <w:kern w:val="0"/>
          <w:sz w:val="24"/>
          <w:szCs w:val="24"/>
        </w:rPr>
      </w:pPr>
      <w:r w:rsidRPr="00E416E8">
        <w:rPr>
          <w:rFonts w:ascii="Book Antiqua" w:hAnsi="Book Antiqua" w:cs="Times New Roman"/>
          <w:b/>
          <w:kern w:val="0"/>
          <w:sz w:val="24"/>
          <w:szCs w:val="24"/>
        </w:rPr>
        <w:t>Article in press:</w:t>
      </w:r>
      <w:r w:rsidR="00B71F01" w:rsidRPr="00B71F01">
        <w:rPr>
          <w:rFonts w:ascii="Book Antiqua" w:hAnsi="Book Antiqua" w:cs="Times New Roman"/>
          <w:kern w:val="0"/>
          <w:sz w:val="24"/>
          <w:szCs w:val="24"/>
        </w:rPr>
        <w:t xml:space="preserve"> </w:t>
      </w:r>
      <w:r w:rsidR="00B71F01" w:rsidRPr="00A1540C">
        <w:rPr>
          <w:rFonts w:ascii="Book Antiqua" w:hAnsi="Book Antiqua" w:cs="Times New Roman"/>
          <w:kern w:val="0"/>
          <w:sz w:val="24"/>
          <w:szCs w:val="24"/>
        </w:rPr>
        <w:t xml:space="preserve">March </w:t>
      </w:r>
      <w:r w:rsidR="00B71F01">
        <w:rPr>
          <w:rFonts w:ascii="Book Antiqua" w:hAnsi="Book Antiqua" w:cs="Times New Roman"/>
          <w:kern w:val="0"/>
          <w:sz w:val="24"/>
          <w:szCs w:val="24"/>
        </w:rPr>
        <w:t>16</w:t>
      </w:r>
      <w:r w:rsidR="00B71F01" w:rsidRPr="00A1540C">
        <w:rPr>
          <w:rFonts w:ascii="Book Antiqua" w:hAnsi="Book Antiqua" w:cs="Times New Roman"/>
          <w:kern w:val="0"/>
          <w:sz w:val="24"/>
          <w:szCs w:val="24"/>
        </w:rPr>
        <w:t>, 2019</w:t>
      </w:r>
    </w:p>
    <w:p w14:paraId="2486A34B" w14:textId="2618E2CA" w:rsidR="00E416E8" w:rsidRPr="00E416E8" w:rsidRDefault="00E416E8" w:rsidP="00487AFC">
      <w:pPr>
        <w:widowControl/>
        <w:snapToGrid w:val="0"/>
        <w:spacing w:line="360" w:lineRule="auto"/>
        <w:outlineLvl w:val="0"/>
        <w:rPr>
          <w:rFonts w:ascii="Book Antiqua" w:hAnsi="Book Antiqua" w:cs="Times New Roman"/>
          <w:color w:val="000000"/>
          <w:kern w:val="0"/>
          <w:sz w:val="24"/>
          <w:szCs w:val="24"/>
        </w:rPr>
      </w:pPr>
      <w:r w:rsidRPr="00E416E8">
        <w:rPr>
          <w:rFonts w:ascii="Book Antiqua" w:hAnsi="Book Antiqua" w:cs="Times New Roman"/>
          <w:b/>
          <w:kern w:val="0"/>
          <w:sz w:val="24"/>
          <w:szCs w:val="24"/>
        </w:rPr>
        <w:t>Published online:</w:t>
      </w:r>
      <w:bookmarkEnd w:id="38"/>
      <w:bookmarkEnd w:id="39"/>
      <w:bookmarkEnd w:id="40"/>
      <w:bookmarkEnd w:id="41"/>
      <w:bookmarkEnd w:id="42"/>
      <w:r w:rsidR="00B71F01" w:rsidRPr="00B71F01">
        <w:rPr>
          <w:rFonts w:ascii="Book Antiqua" w:hAnsi="Book Antiqua" w:cs="Times New Roman"/>
          <w:kern w:val="0"/>
          <w:sz w:val="24"/>
          <w:szCs w:val="24"/>
        </w:rPr>
        <w:t xml:space="preserve"> </w:t>
      </w:r>
      <w:r w:rsidR="00B71F01">
        <w:rPr>
          <w:rFonts w:ascii="Book Antiqua" w:hAnsi="Book Antiqua" w:cs="Times New Roman" w:hint="eastAsia"/>
          <w:kern w:val="0"/>
          <w:sz w:val="24"/>
          <w:szCs w:val="24"/>
        </w:rPr>
        <w:t>April</w:t>
      </w:r>
      <w:r w:rsidR="00B71F01" w:rsidRPr="00A1540C">
        <w:rPr>
          <w:rFonts w:ascii="Book Antiqua" w:hAnsi="Book Antiqua" w:cs="Times New Roman"/>
          <w:kern w:val="0"/>
          <w:sz w:val="24"/>
          <w:szCs w:val="24"/>
        </w:rPr>
        <w:t xml:space="preserve"> </w:t>
      </w:r>
      <w:r w:rsidR="00B71F01">
        <w:rPr>
          <w:rFonts w:ascii="Book Antiqua" w:hAnsi="Book Antiqua" w:cs="Times New Roman"/>
          <w:kern w:val="0"/>
          <w:sz w:val="24"/>
          <w:szCs w:val="24"/>
        </w:rPr>
        <w:t>14</w:t>
      </w:r>
      <w:r w:rsidR="00B71F01" w:rsidRPr="00A1540C">
        <w:rPr>
          <w:rFonts w:ascii="Book Antiqua" w:hAnsi="Book Antiqua" w:cs="Times New Roman"/>
          <w:kern w:val="0"/>
          <w:sz w:val="24"/>
          <w:szCs w:val="24"/>
        </w:rPr>
        <w:t>, 2019</w:t>
      </w:r>
    </w:p>
    <w:bookmarkEnd w:id="43"/>
    <w:bookmarkEnd w:id="44"/>
    <w:bookmarkEnd w:id="45"/>
    <w:p w14:paraId="7E647B2C" w14:textId="77777777" w:rsidR="00E416E8" w:rsidRDefault="00E416E8">
      <w:pPr>
        <w:widowControl/>
        <w:jc w:val="left"/>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14:paraId="38D16125" w14:textId="0C10DFC0" w:rsidR="0085535A" w:rsidRPr="00704D1E" w:rsidRDefault="0085535A" w:rsidP="00487AFC">
      <w:pPr>
        <w:adjustRightInd w:val="0"/>
        <w:snapToGrid w:val="0"/>
        <w:spacing w:line="360" w:lineRule="auto"/>
        <w:outlineLvl w:val="0"/>
        <w:rPr>
          <w:rFonts w:ascii="Book Antiqua" w:hAnsi="Book Antiqua" w:cs="Times New Roman"/>
          <w:b/>
          <w:color w:val="000000" w:themeColor="text1"/>
          <w:sz w:val="24"/>
          <w:szCs w:val="24"/>
        </w:rPr>
      </w:pPr>
      <w:r w:rsidRPr="00704D1E">
        <w:rPr>
          <w:rFonts w:ascii="Book Antiqua" w:hAnsi="Book Antiqua" w:cs="Times New Roman"/>
          <w:b/>
          <w:color w:val="000000" w:themeColor="text1"/>
          <w:sz w:val="24"/>
          <w:szCs w:val="24"/>
        </w:rPr>
        <w:lastRenderedPageBreak/>
        <w:t>Abstract</w:t>
      </w:r>
    </w:p>
    <w:p w14:paraId="53888A9A" w14:textId="77777777" w:rsidR="0085535A" w:rsidRPr="00704D1E" w:rsidRDefault="0085535A" w:rsidP="00487AFC">
      <w:pPr>
        <w:adjustRightInd w:val="0"/>
        <w:snapToGrid w:val="0"/>
        <w:spacing w:line="360" w:lineRule="auto"/>
        <w:outlineLvl w:val="0"/>
        <w:rPr>
          <w:rFonts w:ascii="Book Antiqua" w:hAnsi="Book Antiqua" w:cs="Times New Roman"/>
          <w:b/>
          <w:i/>
          <w:color w:val="000000" w:themeColor="text1"/>
          <w:sz w:val="24"/>
          <w:szCs w:val="24"/>
        </w:rPr>
      </w:pPr>
      <w:r w:rsidRPr="00704D1E">
        <w:rPr>
          <w:rFonts w:ascii="Book Antiqua" w:hAnsi="Book Antiqua" w:cs="Times New Roman"/>
          <w:b/>
          <w:i/>
          <w:color w:val="000000" w:themeColor="text1"/>
          <w:sz w:val="24"/>
          <w:szCs w:val="24"/>
        </w:rPr>
        <w:t>BACKGROUND</w:t>
      </w:r>
    </w:p>
    <w:p w14:paraId="3623AD6F" w14:textId="06BCB844" w:rsidR="0085535A" w:rsidRPr="00704D1E" w:rsidRDefault="00B8193A" w:rsidP="00704D1E">
      <w:pPr>
        <w:adjustRightInd w:val="0"/>
        <w:snapToGrid w:val="0"/>
        <w:spacing w:line="360" w:lineRule="auto"/>
        <w:rPr>
          <w:rFonts w:ascii="Book Antiqua" w:hAnsi="Book Antiqua" w:cs="Times New Roman"/>
          <w:color w:val="000000" w:themeColor="text1"/>
          <w:sz w:val="24"/>
          <w:szCs w:val="24"/>
        </w:rPr>
      </w:pPr>
      <w:bookmarkStart w:id="47" w:name="_Hlk530923842"/>
      <w:r w:rsidRPr="00704D1E">
        <w:rPr>
          <w:rFonts w:ascii="Book Antiqua" w:hAnsi="Book Antiqua" w:cs="Times New Roman"/>
          <w:color w:val="000000" w:themeColor="text1"/>
          <w:sz w:val="24"/>
          <w:szCs w:val="24"/>
        </w:rPr>
        <w:t>Patients with hypothalamic-pituitary disease have the feature of central obesity, insulin resistance</w:t>
      </w:r>
      <w:r w:rsidR="001934E4">
        <w:rPr>
          <w:rFonts w:ascii="Book Antiqua" w:hAnsi="Book Antiqua" w:cs="Times New Roman"/>
          <w:color w:val="000000" w:themeColor="text1"/>
          <w:sz w:val="24"/>
          <w:szCs w:val="24"/>
        </w:rPr>
        <w:t>,</w:t>
      </w:r>
      <w:r w:rsidRPr="00704D1E">
        <w:rPr>
          <w:rFonts w:ascii="Book Antiqua" w:hAnsi="Book Antiqua" w:cs="Times New Roman"/>
          <w:color w:val="000000" w:themeColor="text1"/>
          <w:sz w:val="24"/>
          <w:szCs w:val="24"/>
        </w:rPr>
        <w:t xml:space="preserve"> and dyslipidemia, and there is increased prevalence of liver dysfunction consistent with </w:t>
      </w:r>
      <w:r w:rsidR="009E6884" w:rsidRPr="00704D1E">
        <w:rPr>
          <w:rFonts w:ascii="Book Antiqua" w:hAnsi="Book Antiqua"/>
          <w:color w:val="000000" w:themeColor="text1"/>
          <w:sz w:val="24"/>
          <w:szCs w:val="24"/>
        </w:rPr>
        <w:t>non</w:t>
      </w:r>
      <w:r w:rsidR="00C32A0B" w:rsidRPr="00704D1E">
        <w:rPr>
          <w:rFonts w:ascii="Book Antiqua" w:hAnsi="Book Antiqua"/>
          <w:color w:val="000000" w:themeColor="text1"/>
          <w:sz w:val="24"/>
          <w:szCs w:val="24"/>
        </w:rPr>
        <w:t>-</w:t>
      </w:r>
      <w:r w:rsidR="009E6884" w:rsidRPr="00704D1E">
        <w:rPr>
          <w:rFonts w:ascii="Book Antiqua" w:hAnsi="Book Antiqua"/>
          <w:color w:val="000000" w:themeColor="text1"/>
          <w:sz w:val="24"/>
          <w:szCs w:val="24"/>
        </w:rPr>
        <w:t>alcoholic fatty liver disease</w:t>
      </w:r>
      <w:r w:rsidR="009E6884" w:rsidRPr="00704D1E">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NAFLD</w:t>
      </w:r>
      <w:r w:rsidR="009E6884" w:rsidRPr="00704D1E">
        <w:rPr>
          <w:rFonts w:ascii="Book Antiqua" w:hAnsi="Book Antiqua" w:cs="Times New Roman"/>
          <w:color w:val="000000" w:themeColor="text1"/>
          <w:sz w:val="24"/>
          <w:szCs w:val="24"/>
        </w:rPr>
        <w:t>)</w:t>
      </w:r>
      <w:r w:rsidRPr="00704D1E">
        <w:rPr>
          <w:rFonts w:ascii="Book Antiqua" w:hAnsi="Book Antiqua" w:cs="Times New Roman"/>
          <w:color w:val="000000" w:themeColor="text1"/>
          <w:sz w:val="24"/>
          <w:szCs w:val="24"/>
        </w:rPr>
        <w:t xml:space="preserve"> in this population. The causes of hypopituitarism in the reported studies varied and combined pituitary hormone deficiency including central diabetes insipidus is much common in this population. This retrospective cross-sectional study was performed to analyze</w:t>
      </w:r>
      <w:r w:rsidR="001934E4">
        <w:rPr>
          <w:rFonts w:ascii="Book Antiqua" w:hAnsi="Book Antiqua" w:cs="Times New Roman"/>
          <w:color w:val="000000" w:themeColor="text1"/>
          <w:sz w:val="24"/>
          <w:szCs w:val="24"/>
        </w:rPr>
        <w:t xml:space="preserve"> the</w:t>
      </w:r>
      <w:r w:rsidRPr="00704D1E">
        <w:rPr>
          <w:rFonts w:ascii="Book Antiqua" w:hAnsi="Book Antiqua" w:cs="Times New Roman"/>
          <w:color w:val="000000" w:themeColor="text1"/>
          <w:sz w:val="24"/>
          <w:szCs w:val="24"/>
        </w:rPr>
        <w:t xml:space="preserve"> clinical characteristics and related factors with NAFLD and cirrhosis in Chinese adult hypopituitary/panhypopituitary patients.</w:t>
      </w:r>
      <w:bookmarkEnd w:id="47"/>
    </w:p>
    <w:p w14:paraId="6D5E2F42" w14:textId="77777777" w:rsidR="00B8193A" w:rsidRPr="00704D1E" w:rsidRDefault="00B8193A" w:rsidP="00704D1E">
      <w:pPr>
        <w:adjustRightInd w:val="0"/>
        <w:snapToGrid w:val="0"/>
        <w:spacing w:line="360" w:lineRule="auto"/>
        <w:rPr>
          <w:rFonts w:ascii="Book Antiqua" w:hAnsi="Book Antiqua" w:cs="Times New Roman"/>
          <w:color w:val="000000" w:themeColor="text1"/>
          <w:sz w:val="24"/>
          <w:szCs w:val="24"/>
        </w:rPr>
      </w:pPr>
    </w:p>
    <w:p w14:paraId="383A1EB2" w14:textId="0DACB836" w:rsidR="0085535A" w:rsidRPr="00704D1E" w:rsidRDefault="0085535A" w:rsidP="00487AFC">
      <w:pPr>
        <w:adjustRightInd w:val="0"/>
        <w:snapToGrid w:val="0"/>
        <w:spacing w:line="360" w:lineRule="auto"/>
        <w:outlineLvl w:val="0"/>
        <w:rPr>
          <w:rFonts w:ascii="Book Antiqua" w:hAnsi="Book Antiqua" w:cs="Times New Roman"/>
          <w:b/>
          <w:i/>
          <w:color w:val="000000" w:themeColor="text1"/>
          <w:sz w:val="24"/>
          <w:szCs w:val="24"/>
        </w:rPr>
      </w:pPr>
      <w:r w:rsidRPr="00704D1E">
        <w:rPr>
          <w:rFonts w:ascii="Book Antiqua" w:hAnsi="Book Antiqua" w:cs="Times New Roman"/>
          <w:b/>
          <w:i/>
          <w:color w:val="000000" w:themeColor="text1"/>
          <w:sz w:val="24"/>
          <w:szCs w:val="24"/>
        </w:rPr>
        <w:t>AIM</w:t>
      </w:r>
    </w:p>
    <w:p w14:paraId="28B869F5" w14:textId="0D96DD33" w:rsidR="0085535A" w:rsidRPr="00704D1E" w:rsidRDefault="0085535A" w:rsidP="00704D1E">
      <w:pPr>
        <w:adjustRightInd w:val="0"/>
        <w:snapToGrid w:val="0"/>
        <w:spacing w:line="360" w:lineRule="auto"/>
        <w:rPr>
          <w:rFonts w:ascii="Book Antiqua" w:hAnsi="Book Antiqua" w:cs="Times New Roman"/>
          <w:b/>
          <w:color w:val="000000" w:themeColor="text1"/>
          <w:sz w:val="24"/>
          <w:szCs w:val="24"/>
        </w:rPr>
      </w:pPr>
      <w:r w:rsidRPr="00405834">
        <w:rPr>
          <w:rFonts w:ascii="Book Antiqua" w:hAnsi="Book Antiqua" w:cs="Times New Roman"/>
          <w:caps/>
          <w:color w:val="000000" w:themeColor="text1"/>
          <w:sz w:val="24"/>
          <w:szCs w:val="24"/>
        </w:rPr>
        <w:t>t</w:t>
      </w:r>
      <w:r w:rsidRPr="00704D1E">
        <w:rPr>
          <w:rFonts w:ascii="Book Antiqua" w:hAnsi="Book Antiqua" w:cs="Times New Roman"/>
          <w:color w:val="000000" w:themeColor="text1"/>
          <w:sz w:val="24"/>
          <w:szCs w:val="24"/>
        </w:rPr>
        <w:t xml:space="preserve">o analyze </w:t>
      </w:r>
      <w:r w:rsidR="001934E4">
        <w:rPr>
          <w:rFonts w:ascii="Book Antiqua" w:hAnsi="Book Antiqua" w:cs="Times New Roman"/>
          <w:color w:val="000000" w:themeColor="text1"/>
          <w:sz w:val="24"/>
          <w:szCs w:val="24"/>
        </w:rPr>
        <w:t xml:space="preserve">the </w:t>
      </w:r>
      <w:r w:rsidRPr="00704D1E">
        <w:rPr>
          <w:rFonts w:ascii="Book Antiqua" w:hAnsi="Book Antiqua" w:cs="Times New Roman"/>
          <w:color w:val="000000" w:themeColor="text1"/>
          <w:sz w:val="24"/>
          <w:szCs w:val="24"/>
        </w:rPr>
        <w:t xml:space="preserve">clinical characteristics </w:t>
      </w:r>
      <w:r w:rsidR="001934E4">
        <w:rPr>
          <w:rFonts w:ascii="Book Antiqua" w:hAnsi="Book Antiqua" w:cs="Times New Roman"/>
          <w:color w:val="000000" w:themeColor="text1"/>
          <w:sz w:val="24"/>
          <w:szCs w:val="24"/>
        </w:rPr>
        <w:t xml:space="preserve">of </w:t>
      </w:r>
      <w:r w:rsidRPr="00704D1E">
        <w:rPr>
          <w:rFonts w:ascii="Book Antiqua" w:hAnsi="Book Antiqua" w:cs="Times New Roman"/>
          <w:color w:val="000000" w:themeColor="text1"/>
          <w:sz w:val="24"/>
          <w:szCs w:val="24"/>
        </w:rPr>
        <w:t xml:space="preserve">and related risk factors </w:t>
      </w:r>
      <w:r w:rsidR="001934E4">
        <w:rPr>
          <w:rFonts w:ascii="Book Antiqua" w:hAnsi="Book Antiqua" w:cs="Times New Roman"/>
          <w:color w:val="000000" w:themeColor="text1"/>
          <w:sz w:val="24"/>
          <w:szCs w:val="24"/>
        </w:rPr>
        <w:t>for</w:t>
      </w:r>
      <w:r w:rsidR="001934E4" w:rsidRPr="00704D1E">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NAFLD in Chinese adult hypopituitary patients.</w:t>
      </w:r>
    </w:p>
    <w:p w14:paraId="401567A1" w14:textId="77777777" w:rsidR="0085535A" w:rsidRPr="00704D1E" w:rsidRDefault="0085535A" w:rsidP="00704D1E">
      <w:pPr>
        <w:adjustRightInd w:val="0"/>
        <w:snapToGrid w:val="0"/>
        <w:spacing w:line="360" w:lineRule="auto"/>
        <w:rPr>
          <w:rFonts w:ascii="Book Antiqua" w:hAnsi="Book Antiqua" w:cs="Times New Roman"/>
          <w:b/>
          <w:color w:val="000000" w:themeColor="text1"/>
          <w:sz w:val="24"/>
          <w:szCs w:val="24"/>
        </w:rPr>
      </w:pPr>
    </w:p>
    <w:p w14:paraId="45C5A6EF" w14:textId="11C14F8C" w:rsidR="0085535A" w:rsidRPr="00704D1E" w:rsidRDefault="0085535A" w:rsidP="00487AFC">
      <w:pPr>
        <w:adjustRightInd w:val="0"/>
        <w:snapToGrid w:val="0"/>
        <w:spacing w:line="360" w:lineRule="auto"/>
        <w:outlineLvl w:val="0"/>
        <w:rPr>
          <w:rFonts w:ascii="Book Antiqua" w:hAnsi="Book Antiqua" w:cs="Times New Roman"/>
          <w:b/>
          <w:i/>
          <w:color w:val="000000" w:themeColor="text1"/>
          <w:sz w:val="24"/>
          <w:szCs w:val="24"/>
        </w:rPr>
      </w:pPr>
      <w:r w:rsidRPr="00704D1E">
        <w:rPr>
          <w:rFonts w:ascii="Book Antiqua" w:hAnsi="Book Antiqua" w:cs="Times New Roman"/>
          <w:b/>
          <w:i/>
          <w:color w:val="000000" w:themeColor="text1"/>
          <w:sz w:val="24"/>
          <w:szCs w:val="24"/>
        </w:rPr>
        <w:t>METHODS</w:t>
      </w:r>
    </w:p>
    <w:p w14:paraId="4AA1EAE0" w14:textId="17D34041" w:rsidR="0085535A" w:rsidRPr="00704D1E" w:rsidRDefault="009E6884"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 xml:space="preserve">Adult Chinese patients with hypopituitarism and/or panhypopituitarism were enrolled at the </w:t>
      </w:r>
      <w:r w:rsidR="001934E4">
        <w:rPr>
          <w:rFonts w:ascii="Book Antiqua" w:hAnsi="Book Antiqua" w:cs="Times New Roman"/>
          <w:color w:val="000000" w:themeColor="text1"/>
          <w:sz w:val="24"/>
          <w:szCs w:val="24"/>
        </w:rPr>
        <w:t>P</w:t>
      </w:r>
      <w:r w:rsidR="001934E4" w:rsidRPr="00704D1E">
        <w:rPr>
          <w:rFonts w:ascii="Book Antiqua" w:hAnsi="Book Antiqua" w:cs="Times New Roman"/>
          <w:color w:val="000000" w:themeColor="text1"/>
          <w:sz w:val="24"/>
          <w:szCs w:val="24"/>
        </w:rPr>
        <w:t xml:space="preserve">ituitary </w:t>
      </w:r>
      <w:r w:rsidR="001934E4">
        <w:rPr>
          <w:rFonts w:ascii="Book Antiqua" w:hAnsi="Book Antiqua" w:cs="Times New Roman"/>
          <w:color w:val="000000" w:themeColor="text1"/>
          <w:sz w:val="24"/>
          <w:szCs w:val="24"/>
        </w:rPr>
        <w:t>C</w:t>
      </w:r>
      <w:r w:rsidR="001934E4" w:rsidRPr="00704D1E">
        <w:rPr>
          <w:rFonts w:ascii="Book Antiqua" w:hAnsi="Book Antiqua" w:cs="Times New Roman"/>
          <w:color w:val="000000" w:themeColor="text1"/>
          <w:sz w:val="24"/>
          <w:szCs w:val="24"/>
        </w:rPr>
        <w:t xml:space="preserve">enter </w:t>
      </w:r>
      <w:r w:rsidRPr="00704D1E">
        <w:rPr>
          <w:rFonts w:ascii="Book Antiqua" w:hAnsi="Book Antiqua" w:cs="Times New Roman"/>
          <w:color w:val="000000" w:themeColor="text1"/>
          <w:sz w:val="24"/>
          <w:szCs w:val="24"/>
        </w:rPr>
        <w:t xml:space="preserve">of </w:t>
      </w:r>
      <w:r w:rsidR="00487AFC" w:rsidRPr="00704D1E">
        <w:rPr>
          <w:rFonts w:ascii="Book Antiqua" w:hAnsi="Book Antiqua" w:cs="Times New Roman"/>
          <w:color w:val="000000" w:themeColor="text1"/>
          <w:sz w:val="24"/>
          <w:szCs w:val="24"/>
        </w:rPr>
        <w:t xml:space="preserve">Peking Union Medical College Hospital </w:t>
      </w:r>
      <w:r w:rsidRPr="00704D1E">
        <w:rPr>
          <w:rFonts w:ascii="Book Antiqua" w:hAnsi="Book Antiqua" w:cs="Times New Roman"/>
          <w:color w:val="000000" w:themeColor="text1"/>
          <w:sz w:val="24"/>
          <w:szCs w:val="24"/>
        </w:rPr>
        <w:t xml:space="preserve">between August 2012 and April 2018. According to abdominal ultrasonography, these patients were divided into </w:t>
      </w:r>
      <w:r w:rsidR="001934E4">
        <w:rPr>
          <w:rFonts w:ascii="Book Antiqua" w:hAnsi="Book Antiqua" w:cs="Times New Roman"/>
          <w:color w:val="000000" w:themeColor="text1"/>
          <w:sz w:val="24"/>
          <w:szCs w:val="24"/>
        </w:rPr>
        <w:t>an</w:t>
      </w:r>
      <w:r w:rsidR="001934E4" w:rsidRPr="00704D1E">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 xml:space="preserve">NAFLD (-) group and </w:t>
      </w:r>
      <w:r w:rsidR="001934E4">
        <w:rPr>
          <w:rFonts w:ascii="Book Antiqua" w:hAnsi="Book Antiqua" w:cs="Times New Roman"/>
          <w:color w:val="000000" w:themeColor="text1"/>
          <w:sz w:val="24"/>
          <w:szCs w:val="24"/>
        </w:rPr>
        <w:t>an</w:t>
      </w:r>
      <w:r w:rsidR="001934E4" w:rsidRPr="00704D1E">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 xml:space="preserve">NAFLD (+) group, and the latter was further divided into </w:t>
      </w:r>
      <w:r w:rsidR="001934E4">
        <w:rPr>
          <w:rFonts w:ascii="Book Antiqua" w:hAnsi="Book Antiqua" w:cs="Times New Roman"/>
          <w:color w:val="000000" w:themeColor="text1"/>
          <w:sz w:val="24"/>
          <w:szCs w:val="24"/>
        </w:rPr>
        <w:t>an</w:t>
      </w:r>
      <w:r w:rsidR="001934E4" w:rsidRPr="00704D1E">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 xml:space="preserve">NAFLD group and </w:t>
      </w:r>
      <w:r w:rsidR="001934E4">
        <w:rPr>
          <w:rFonts w:ascii="Book Antiqua" w:hAnsi="Book Antiqua" w:cs="Times New Roman"/>
          <w:color w:val="000000" w:themeColor="text1"/>
          <w:sz w:val="24"/>
          <w:szCs w:val="24"/>
        </w:rPr>
        <w:t>a</w:t>
      </w:r>
      <w:r w:rsidR="001934E4" w:rsidRPr="00704D1E">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cirrhotic group. The data, such as patient characteristics, diagnosis</w:t>
      </w:r>
      <w:r w:rsidR="001934E4">
        <w:rPr>
          <w:rFonts w:ascii="Book Antiqua" w:hAnsi="Book Antiqua" w:cs="Times New Roman"/>
          <w:color w:val="000000" w:themeColor="text1"/>
          <w:sz w:val="24"/>
          <w:szCs w:val="24"/>
        </w:rPr>
        <w:t>,</w:t>
      </w:r>
      <w:r w:rsidRPr="00704D1E">
        <w:rPr>
          <w:rFonts w:ascii="Book Antiqua" w:hAnsi="Book Antiqua" w:cs="Times New Roman"/>
          <w:color w:val="000000" w:themeColor="text1"/>
          <w:sz w:val="24"/>
          <w:szCs w:val="24"/>
        </w:rPr>
        <w:t xml:space="preserve"> and treatment, were extracted from medical records, and statistical analysis was performed.</w:t>
      </w:r>
    </w:p>
    <w:p w14:paraId="6BBF3636" w14:textId="77777777" w:rsidR="0085535A" w:rsidRPr="00704D1E" w:rsidRDefault="0085535A" w:rsidP="00704D1E">
      <w:pPr>
        <w:adjustRightInd w:val="0"/>
        <w:snapToGrid w:val="0"/>
        <w:spacing w:line="360" w:lineRule="auto"/>
        <w:rPr>
          <w:rFonts w:ascii="Book Antiqua" w:hAnsi="Book Antiqua" w:cs="Times New Roman"/>
          <w:b/>
          <w:color w:val="000000" w:themeColor="text1"/>
          <w:sz w:val="24"/>
          <w:szCs w:val="24"/>
        </w:rPr>
      </w:pPr>
    </w:p>
    <w:p w14:paraId="40BC7B3A" w14:textId="1035670E" w:rsidR="0085535A" w:rsidRPr="00704D1E" w:rsidRDefault="0085535A" w:rsidP="00487AFC">
      <w:pPr>
        <w:adjustRightInd w:val="0"/>
        <w:snapToGrid w:val="0"/>
        <w:spacing w:line="360" w:lineRule="auto"/>
        <w:outlineLvl w:val="0"/>
        <w:rPr>
          <w:rFonts w:ascii="Book Antiqua" w:hAnsi="Book Antiqua" w:cs="Times New Roman"/>
          <w:b/>
          <w:i/>
          <w:color w:val="000000" w:themeColor="text1"/>
          <w:sz w:val="24"/>
          <w:szCs w:val="24"/>
        </w:rPr>
      </w:pPr>
      <w:r w:rsidRPr="00704D1E">
        <w:rPr>
          <w:rFonts w:ascii="Book Antiqua" w:hAnsi="Book Antiqua" w:cs="Times New Roman"/>
          <w:b/>
          <w:i/>
          <w:color w:val="000000" w:themeColor="text1"/>
          <w:sz w:val="24"/>
          <w:szCs w:val="24"/>
        </w:rPr>
        <w:t>RESULTS</w:t>
      </w:r>
    </w:p>
    <w:p w14:paraId="19D03079" w14:textId="5D7C9E88" w:rsidR="0085535A" w:rsidRPr="00704D1E" w:rsidRDefault="009E6884"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 xml:space="preserve">A total of 36 </w:t>
      </w:r>
      <w:r w:rsidR="00487AFC">
        <w:rPr>
          <w:rFonts w:ascii="Book Antiqua" w:hAnsi="Book Antiqua" w:cs="Times New Roman"/>
          <w:color w:val="000000" w:themeColor="text1"/>
          <w:sz w:val="24"/>
          <w:szCs w:val="24"/>
        </w:rPr>
        <w:t>male</w:t>
      </w:r>
      <w:r w:rsidRPr="00704D1E">
        <w:rPr>
          <w:rFonts w:ascii="Book Antiqua" w:hAnsi="Book Antiqua" w:cs="Times New Roman"/>
          <w:color w:val="000000" w:themeColor="text1"/>
          <w:sz w:val="24"/>
          <w:szCs w:val="24"/>
        </w:rPr>
        <w:t xml:space="preserve"> and 14 female adult Chinese patients with hypopituitarism were included in this retrospective study; 43 (87.0%) of these patients exhibited growth hormone </w:t>
      </w:r>
      <w:r w:rsidR="00487AFC">
        <w:rPr>
          <w:rFonts w:ascii="Book Antiqua" w:hAnsi="Book Antiqua" w:cs="Times New Roman"/>
          <w:color w:val="000000" w:themeColor="text1"/>
          <w:sz w:val="24"/>
          <w:szCs w:val="24"/>
        </w:rPr>
        <w:t xml:space="preserve">(GH) </w:t>
      </w:r>
      <w:r w:rsidRPr="00704D1E">
        <w:rPr>
          <w:rFonts w:ascii="Book Antiqua" w:hAnsi="Book Antiqua" w:cs="Times New Roman"/>
          <w:color w:val="000000" w:themeColor="text1"/>
          <w:sz w:val="24"/>
          <w:szCs w:val="24"/>
        </w:rPr>
        <w:t xml:space="preserve">deficiency, and 39 (78.3%) had diabetes insipidus. A total of 27 (54.0%) patients were diagnosed with NAFLD, while </w:t>
      </w:r>
      <w:r w:rsidR="001934E4">
        <w:rPr>
          <w:rFonts w:ascii="Book Antiqua" w:hAnsi="Book Antiqua" w:cs="Times New Roman"/>
          <w:color w:val="000000" w:themeColor="text1"/>
          <w:sz w:val="24"/>
          <w:szCs w:val="24"/>
        </w:rPr>
        <w:t>seven</w:t>
      </w:r>
      <w:r w:rsidR="001934E4" w:rsidRPr="00704D1E">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 xml:space="preserve">patients </w:t>
      </w:r>
      <w:r w:rsidRPr="00704D1E">
        <w:rPr>
          <w:rFonts w:ascii="Book Antiqua" w:hAnsi="Book Antiqua" w:cs="Times New Roman"/>
          <w:color w:val="000000" w:themeColor="text1"/>
          <w:sz w:val="24"/>
          <w:szCs w:val="24"/>
        </w:rPr>
        <w:lastRenderedPageBreak/>
        <w:t xml:space="preserve">were cirrhotic. No significant differences were noted in serum GH </w:t>
      </w:r>
      <w:r w:rsidR="001934E4">
        <w:rPr>
          <w:rFonts w:ascii="Book Antiqua" w:hAnsi="Book Antiqua" w:cs="Times New Roman"/>
          <w:color w:val="000000" w:themeColor="text1"/>
          <w:sz w:val="24"/>
          <w:szCs w:val="24"/>
        </w:rPr>
        <w:t>or</w:t>
      </w:r>
      <w:r w:rsidR="001934E4" w:rsidRPr="00704D1E">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insulin-like growth factor 1 among patients with cirrhosis, subjects with NAFLD</w:t>
      </w:r>
      <w:r w:rsidR="001934E4">
        <w:rPr>
          <w:rFonts w:ascii="Book Antiqua" w:hAnsi="Book Antiqua" w:cs="Times New Roman"/>
          <w:color w:val="000000" w:themeColor="text1"/>
          <w:sz w:val="24"/>
          <w:szCs w:val="24"/>
        </w:rPr>
        <w:t>,</w:t>
      </w:r>
      <w:r w:rsidRPr="00704D1E">
        <w:rPr>
          <w:rFonts w:ascii="Book Antiqua" w:hAnsi="Book Antiqua" w:cs="Times New Roman"/>
          <w:color w:val="000000" w:themeColor="text1"/>
          <w:sz w:val="24"/>
          <w:szCs w:val="24"/>
        </w:rPr>
        <w:t xml:space="preserve"> and those without NAFLD. However, plasma osmolality and serum sodium concentration of the cirrhotic patients were 314.9 </w:t>
      </w:r>
      <w:proofErr w:type="spellStart"/>
      <w:r w:rsidRPr="00704D1E">
        <w:rPr>
          <w:rFonts w:ascii="Book Antiqua" w:hAnsi="Book Antiqua" w:cs="Times New Roman"/>
          <w:color w:val="000000" w:themeColor="text1"/>
          <w:sz w:val="24"/>
          <w:szCs w:val="24"/>
        </w:rPr>
        <w:t>mOsm</w:t>
      </w:r>
      <w:proofErr w:type="spellEnd"/>
      <w:r w:rsidRPr="00704D1E">
        <w:rPr>
          <w:rFonts w:ascii="Book Antiqua" w:hAnsi="Book Antiqua" w:cs="Times New Roman"/>
          <w:color w:val="000000" w:themeColor="text1"/>
          <w:sz w:val="24"/>
          <w:szCs w:val="24"/>
        </w:rPr>
        <w:t>/kgH</w:t>
      </w:r>
      <w:r w:rsidRPr="00704D1E">
        <w:rPr>
          <w:rFonts w:ascii="Book Antiqua" w:hAnsi="Book Antiqua" w:cs="Times New Roman"/>
          <w:color w:val="000000" w:themeColor="text1"/>
          <w:sz w:val="24"/>
          <w:szCs w:val="24"/>
          <w:vertAlign w:val="subscript"/>
        </w:rPr>
        <w:t>2</w:t>
      </w:r>
      <w:r w:rsidRPr="00704D1E">
        <w:rPr>
          <w:rFonts w:ascii="Book Antiqua" w:hAnsi="Book Antiqua" w:cs="Times New Roman"/>
          <w:color w:val="000000" w:themeColor="text1"/>
          <w:sz w:val="24"/>
          <w:szCs w:val="24"/>
        </w:rPr>
        <w:t>O and 151.0 mmol/</w:t>
      </w:r>
      <w:r w:rsidR="00487AFC">
        <w:rPr>
          <w:rFonts w:ascii="Book Antiqua" w:hAnsi="Book Antiqua" w:cs="Times New Roman"/>
          <w:color w:val="000000" w:themeColor="text1"/>
          <w:sz w:val="24"/>
          <w:szCs w:val="24"/>
        </w:rPr>
        <w:t>L</w:t>
      </w:r>
      <w:r w:rsidRPr="00704D1E">
        <w:rPr>
          <w:rFonts w:ascii="Book Antiqua" w:hAnsi="Book Antiqua" w:cs="Times New Roman"/>
          <w:color w:val="000000" w:themeColor="text1"/>
          <w:sz w:val="24"/>
          <w:szCs w:val="24"/>
        </w:rPr>
        <w:t>, respectively, which were significantly higher than those of the NAFLD patients (</w:t>
      </w:r>
      <w:r w:rsidRPr="00704D1E">
        <w:rPr>
          <w:rFonts w:ascii="Book Antiqua" w:hAnsi="Book Antiqua" w:cs="Times New Roman"/>
          <w:i/>
          <w:color w:val="000000" w:themeColor="text1"/>
          <w:sz w:val="24"/>
          <w:szCs w:val="24"/>
        </w:rPr>
        <w:t>P</w:t>
      </w:r>
      <w:r w:rsidRPr="00704D1E">
        <w:rPr>
          <w:rFonts w:ascii="Book Antiqua" w:hAnsi="Book Antiqua" w:cs="Times New Roman"/>
          <w:color w:val="000000" w:themeColor="text1"/>
          <w:sz w:val="24"/>
          <w:szCs w:val="24"/>
        </w:rPr>
        <w:t xml:space="preserve"> = 0.036 and 0.042, respectively). Overweight/obesity and insulin resistance were common metabolic disorders in this population. </w:t>
      </w:r>
      <w:bookmarkStart w:id="48" w:name="_Hlk1467994"/>
      <w:bookmarkStart w:id="49" w:name="_Hlk2840758"/>
      <w:r w:rsidRPr="00704D1E">
        <w:rPr>
          <w:rFonts w:ascii="Book Antiqua" w:hAnsi="Book Antiqua" w:cs="Times New Roman"/>
          <w:color w:val="000000" w:themeColor="text1"/>
          <w:sz w:val="24"/>
          <w:szCs w:val="24"/>
        </w:rPr>
        <w:t xml:space="preserve">The </w:t>
      </w:r>
      <w:r w:rsidR="00487AFC">
        <w:rPr>
          <w:rFonts w:ascii="Book Antiqua" w:hAnsi="Book Antiqua" w:cs="Times New Roman"/>
          <w:color w:val="000000" w:themeColor="text1"/>
          <w:sz w:val="24"/>
          <w:szCs w:val="24"/>
        </w:rPr>
        <w:t>body mass index</w:t>
      </w:r>
      <w:r w:rsidR="00487AFC" w:rsidRPr="00704D1E">
        <w:rPr>
          <w:rFonts w:ascii="Book Antiqua" w:hAnsi="Book Antiqua" w:cs="Times New Roman"/>
          <w:color w:val="000000" w:themeColor="text1"/>
          <w:sz w:val="24"/>
          <w:szCs w:val="24"/>
        </w:rPr>
        <w:t xml:space="preserve"> </w:t>
      </w:r>
      <w:r w:rsidR="00487AFC">
        <w:rPr>
          <w:rFonts w:ascii="Book Antiqua" w:hAnsi="Book Antiqua" w:cs="Times New Roman"/>
          <w:color w:val="000000" w:themeColor="text1"/>
          <w:sz w:val="24"/>
          <w:szCs w:val="24"/>
        </w:rPr>
        <w:t>(</w:t>
      </w:r>
      <w:r w:rsidRPr="00704D1E">
        <w:rPr>
          <w:rFonts w:ascii="Book Antiqua" w:hAnsi="Book Antiqua" w:cs="Times New Roman"/>
          <w:color w:val="000000" w:themeColor="text1"/>
          <w:sz w:val="24"/>
          <w:szCs w:val="24"/>
        </w:rPr>
        <w:t>BMI</w:t>
      </w:r>
      <w:r w:rsidR="00487AFC">
        <w:rPr>
          <w:rFonts w:ascii="Book Antiqua" w:hAnsi="Book Antiqua" w:cs="Times New Roman"/>
          <w:color w:val="000000" w:themeColor="text1"/>
          <w:sz w:val="24"/>
          <w:szCs w:val="24"/>
        </w:rPr>
        <w:t>)</w:t>
      </w:r>
      <w:r w:rsidRPr="00704D1E">
        <w:rPr>
          <w:rFonts w:ascii="Book Antiqua" w:hAnsi="Book Antiqua" w:cs="Times New Roman"/>
          <w:color w:val="000000" w:themeColor="text1"/>
          <w:sz w:val="24"/>
          <w:szCs w:val="24"/>
        </w:rPr>
        <w:t xml:space="preserve"> and </w:t>
      </w:r>
      <w:r w:rsidR="00B5455D">
        <w:rPr>
          <w:rFonts w:ascii="Book Antiqua" w:hAnsi="Book Antiqua" w:cs="Times New Roman"/>
          <w:color w:val="000000" w:themeColor="text1"/>
          <w:sz w:val="24"/>
          <w:szCs w:val="24"/>
        </w:rPr>
        <w:t>h</w:t>
      </w:r>
      <w:r w:rsidR="00B5455D" w:rsidRPr="00704D1E">
        <w:rPr>
          <w:rFonts w:ascii="Book Antiqua" w:hAnsi="Book Antiqua" w:cs="Times New Roman"/>
          <w:color w:val="000000" w:themeColor="text1"/>
          <w:sz w:val="24"/>
          <w:szCs w:val="24"/>
        </w:rPr>
        <w:t>omeostasis model assessment of insulin resistance</w:t>
      </w:r>
      <w:r w:rsidRPr="00704D1E">
        <w:rPr>
          <w:rFonts w:ascii="Book Antiqua" w:hAnsi="Book Antiqua" w:cs="Times New Roman"/>
          <w:color w:val="000000" w:themeColor="text1"/>
          <w:sz w:val="24"/>
          <w:szCs w:val="24"/>
        </w:rPr>
        <w:t xml:space="preserve"> parameters of the cirrhotic patients were 27.7 kg/m</w:t>
      </w:r>
      <w:r w:rsidRPr="00704D1E">
        <w:rPr>
          <w:rFonts w:ascii="Book Antiqua" w:hAnsi="Book Antiqua" w:cs="Times New Roman"/>
          <w:color w:val="000000" w:themeColor="text1"/>
          <w:sz w:val="24"/>
          <w:szCs w:val="24"/>
          <w:vertAlign w:val="superscript"/>
        </w:rPr>
        <w:t>2</w:t>
      </w:r>
      <w:r w:rsidRPr="00704D1E">
        <w:rPr>
          <w:rFonts w:ascii="Book Antiqua" w:hAnsi="Book Antiqua" w:cs="Times New Roman"/>
          <w:color w:val="000000" w:themeColor="text1"/>
          <w:sz w:val="24"/>
          <w:szCs w:val="24"/>
        </w:rPr>
        <w:t xml:space="preserve"> and 9.57, respectively, which were significantly higher than those of the patients without NAFLD (</w:t>
      </w:r>
      <w:r w:rsidRPr="00704D1E">
        <w:rPr>
          <w:rFonts w:ascii="Book Antiqua" w:hAnsi="Book Antiqua" w:cs="Times New Roman"/>
          <w:i/>
          <w:color w:val="000000" w:themeColor="text1"/>
          <w:sz w:val="24"/>
          <w:szCs w:val="24"/>
        </w:rPr>
        <w:t>P</w:t>
      </w:r>
      <w:r w:rsidRPr="00704D1E">
        <w:rPr>
          <w:rFonts w:ascii="Book Antiqua" w:hAnsi="Book Antiqua" w:cs="Times New Roman"/>
          <w:color w:val="000000" w:themeColor="text1"/>
          <w:sz w:val="24"/>
          <w:szCs w:val="24"/>
        </w:rPr>
        <w:t xml:space="preserve"> = 0.011 and 0.044, respectively)</w:t>
      </w:r>
      <w:bookmarkEnd w:id="48"/>
      <w:r w:rsidRPr="00704D1E">
        <w:rPr>
          <w:rFonts w:ascii="Book Antiqua" w:hAnsi="Book Antiqua" w:cs="Times New Roman"/>
          <w:color w:val="000000" w:themeColor="text1"/>
          <w:sz w:val="24"/>
          <w:szCs w:val="24"/>
        </w:rPr>
        <w:t>.</w:t>
      </w:r>
      <w:bookmarkEnd w:id="49"/>
      <w:r w:rsidRPr="00704D1E">
        <w:rPr>
          <w:rFonts w:ascii="Book Antiqua" w:hAnsi="Book Antiqua" w:cs="Times New Roman"/>
          <w:color w:val="000000" w:themeColor="text1"/>
          <w:sz w:val="24"/>
          <w:szCs w:val="24"/>
        </w:rPr>
        <w:t xml:space="preserve"> A correlation analysis was performed, and fasting insulin concentration was positively associated with plasma osmolality in patients with NAFLD, after adjusting for gender, age</w:t>
      </w:r>
      <w:r w:rsidR="00487AFC">
        <w:rPr>
          <w:rFonts w:ascii="Book Antiqua" w:hAnsi="Book Antiqua" w:cs="Times New Roman"/>
          <w:color w:val="000000" w:themeColor="text1"/>
          <w:sz w:val="24"/>
          <w:szCs w:val="24"/>
        </w:rPr>
        <w:t>, and BMI</w:t>
      </w:r>
      <w:r w:rsidRPr="00704D1E">
        <w:rPr>
          <w:rFonts w:ascii="Book Antiqua" w:hAnsi="Book Antiqua" w:cs="Times New Roman"/>
          <w:color w:val="000000" w:themeColor="text1"/>
          <w:sz w:val="24"/>
          <w:szCs w:val="24"/>
        </w:rPr>
        <w:t xml:space="preserve"> (</w:t>
      </w:r>
      <w:r w:rsidRPr="00704D1E">
        <w:rPr>
          <w:rFonts w:ascii="Book Antiqua" w:hAnsi="Book Antiqua" w:cs="Times New Roman"/>
          <w:i/>
          <w:color w:val="000000" w:themeColor="text1"/>
          <w:sz w:val="24"/>
          <w:szCs w:val="24"/>
        </w:rPr>
        <w:t>r</w:t>
      </w:r>
      <w:r w:rsidRPr="00704D1E">
        <w:rPr>
          <w:rFonts w:ascii="Book Antiqua" w:hAnsi="Book Antiqua" w:cs="Times New Roman"/>
          <w:color w:val="000000" w:themeColor="text1"/>
          <w:sz w:val="24"/>
          <w:szCs w:val="24"/>
        </w:rPr>
        <w:t xml:space="preserve"> = 0.540, </w:t>
      </w:r>
      <w:r w:rsidRPr="00704D1E">
        <w:rPr>
          <w:rFonts w:ascii="Book Antiqua" w:hAnsi="Book Antiqua" w:cs="Times New Roman"/>
          <w:i/>
          <w:color w:val="000000" w:themeColor="text1"/>
          <w:sz w:val="24"/>
          <w:szCs w:val="24"/>
        </w:rPr>
        <w:t>P</w:t>
      </w:r>
      <w:r w:rsidRPr="00704D1E">
        <w:rPr>
          <w:rFonts w:ascii="Book Antiqua" w:hAnsi="Book Antiqua" w:cs="Times New Roman"/>
          <w:color w:val="000000" w:themeColor="text1"/>
          <w:sz w:val="24"/>
          <w:szCs w:val="24"/>
        </w:rPr>
        <w:t xml:space="preserve"> = 0.046), but no correlation was noted in patients without NAFLD.</w:t>
      </w:r>
    </w:p>
    <w:p w14:paraId="497C769E" w14:textId="77777777" w:rsidR="0085535A" w:rsidRPr="00704D1E" w:rsidRDefault="0085535A" w:rsidP="00704D1E">
      <w:pPr>
        <w:adjustRightInd w:val="0"/>
        <w:snapToGrid w:val="0"/>
        <w:spacing w:line="360" w:lineRule="auto"/>
        <w:rPr>
          <w:rFonts w:ascii="Book Antiqua" w:hAnsi="Book Antiqua" w:cs="Times New Roman"/>
          <w:b/>
          <w:color w:val="000000" w:themeColor="text1"/>
          <w:sz w:val="24"/>
          <w:szCs w:val="24"/>
        </w:rPr>
      </w:pPr>
    </w:p>
    <w:p w14:paraId="62E0419C" w14:textId="24A42DC4" w:rsidR="0085535A" w:rsidRPr="00704D1E" w:rsidRDefault="0085535A" w:rsidP="00487AFC">
      <w:pPr>
        <w:adjustRightInd w:val="0"/>
        <w:snapToGrid w:val="0"/>
        <w:spacing w:line="360" w:lineRule="auto"/>
        <w:outlineLvl w:val="0"/>
        <w:rPr>
          <w:rFonts w:ascii="Book Antiqua" w:hAnsi="Book Antiqua" w:cs="Times New Roman"/>
          <w:b/>
          <w:i/>
          <w:color w:val="000000" w:themeColor="text1"/>
          <w:sz w:val="24"/>
          <w:szCs w:val="24"/>
        </w:rPr>
      </w:pPr>
      <w:r w:rsidRPr="00704D1E">
        <w:rPr>
          <w:rFonts w:ascii="Book Antiqua" w:hAnsi="Book Antiqua" w:cs="Times New Roman"/>
          <w:b/>
          <w:i/>
          <w:color w:val="000000" w:themeColor="text1"/>
          <w:sz w:val="24"/>
          <w:szCs w:val="24"/>
        </w:rPr>
        <w:t>CONCLUSION</w:t>
      </w:r>
    </w:p>
    <w:p w14:paraId="5041EB97" w14:textId="451751BE" w:rsidR="0085535A" w:rsidRPr="00704D1E" w:rsidRDefault="009E6884"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 xml:space="preserve">NAFLD is common in patients with hypopituitarism. </w:t>
      </w:r>
      <w:r w:rsidR="001934E4">
        <w:rPr>
          <w:rFonts w:ascii="Book Antiqua" w:hAnsi="Book Antiqua" w:cs="Times New Roman"/>
          <w:color w:val="000000" w:themeColor="text1"/>
          <w:sz w:val="24"/>
          <w:szCs w:val="24"/>
        </w:rPr>
        <w:t>P</w:t>
      </w:r>
      <w:r w:rsidRPr="00704D1E">
        <w:rPr>
          <w:rFonts w:ascii="Book Antiqua" w:hAnsi="Book Antiqua" w:cs="Times New Roman"/>
          <w:color w:val="000000" w:themeColor="text1"/>
          <w:sz w:val="24"/>
          <w:szCs w:val="24"/>
        </w:rPr>
        <w:t xml:space="preserve">lasma osmolality and serum sodium levels of hypopituitary patients with cirrhosis </w:t>
      </w:r>
      <w:r w:rsidR="001934E4">
        <w:rPr>
          <w:rFonts w:ascii="Book Antiqua" w:hAnsi="Book Antiqua" w:cs="Times New Roman"/>
          <w:color w:val="000000" w:themeColor="text1"/>
          <w:sz w:val="24"/>
          <w:szCs w:val="24"/>
        </w:rPr>
        <w:t>are</w:t>
      </w:r>
      <w:r w:rsidR="001934E4" w:rsidRPr="00704D1E">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 xml:space="preserve">higher than those of subjects with NAFLD, and fasting insulin concentration </w:t>
      </w:r>
      <w:r w:rsidR="001934E4">
        <w:rPr>
          <w:rFonts w:ascii="Book Antiqua" w:hAnsi="Book Antiqua" w:cs="Times New Roman"/>
          <w:color w:val="000000" w:themeColor="text1"/>
          <w:sz w:val="24"/>
          <w:szCs w:val="24"/>
        </w:rPr>
        <w:t>i</w:t>
      </w:r>
      <w:r w:rsidR="001934E4" w:rsidRPr="00704D1E">
        <w:rPr>
          <w:rFonts w:ascii="Book Antiqua" w:hAnsi="Book Antiqua" w:cs="Times New Roman"/>
          <w:color w:val="000000" w:themeColor="text1"/>
          <w:sz w:val="24"/>
          <w:szCs w:val="24"/>
        </w:rPr>
        <w:t xml:space="preserve">s </w:t>
      </w:r>
      <w:r w:rsidRPr="00704D1E">
        <w:rPr>
          <w:rFonts w:ascii="Book Antiqua" w:hAnsi="Book Antiqua" w:cs="Times New Roman"/>
          <w:color w:val="000000" w:themeColor="text1"/>
          <w:sz w:val="24"/>
          <w:szCs w:val="24"/>
        </w:rPr>
        <w:t xml:space="preserve">positively associated with plasma osmolality in patients with NAFLD, which </w:t>
      </w:r>
      <w:r w:rsidR="001934E4" w:rsidRPr="00704D1E">
        <w:rPr>
          <w:rFonts w:ascii="Book Antiqua" w:hAnsi="Book Antiqua" w:cs="Times New Roman"/>
          <w:color w:val="000000" w:themeColor="text1"/>
          <w:sz w:val="24"/>
          <w:szCs w:val="24"/>
        </w:rPr>
        <w:t>suggest</w:t>
      </w:r>
      <w:r w:rsidR="001934E4">
        <w:rPr>
          <w:rFonts w:ascii="Book Antiqua" w:hAnsi="Book Antiqua" w:cs="Times New Roman"/>
          <w:color w:val="000000" w:themeColor="text1"/>
          <w:sz w:val="24"/>
          <w:szCs w:val="24"/>
        </w:rPr>
        <w:t>s</w:t>
      </w:r>
      <w:r w:rsidR="001934E4" w:rsidRPr="00704D1E">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that hyperosmolality might be a contributor to the worsening of NAFLD in hypopituitary patients.</w:t>
      </w:r>
    </w:p>
    <w:p w14:paraId="492F6813" w14:textId="77777777" w:rsidR="00FB266A" w:rsidRPr="00704D1E" w:rsidRDefault="00FB266A" w:rsidP="00704D1E">
      <w:pPr>
        <w:adjustRightInd w:val="0"/>
        <w:snapToGrid w:val="0"/>
        <w:spacing w:line="360" w:lineRule="auto"/>
        <w:rPr>
          <w:rFonts w:ascii="Book Antiqua" w:hAnsi="Book Antiqua" w:cs="Times New Roman"/>
          <w:b/>
          <w:color w:val="000000" w:themeColor="text1"/>
          <w:sz w:val="24"/>
          <w:szCs w:val="24"/>
        </w:rPr>
      </w:pPr>
    </w:p>
    <w:p w14:paraId="7DE72A9D" w14:textId="0C04FE84" w:rsidR="009B194C" w:rsidRPr="00704D1E" w:rsidRDefault="009B194C" w:rsidP="00704D1E">
      <w:pPr>
        <w:adjustRightInd w:val="0"/>
        <w:snapToGrid w:val="0"/>
        <w:spacing w:line="360" w:lineRule="auto"/>
        <w:rPr>
          <w:rFonts w:ascii="Book Antiqua" w:hAnsi="Book Antiqua" w:cs="Times New Roman"/>
          <w:b/>
          <w:color w:val="000000" w:themeColor="text1"/>
          <w:sz w:val="24"/>
          <w:szCs w:val="24"/>
        </w:rPr>
      </w:pPr>
      <w:r w:rsidRPr="00704D1E">
        <w:rPr>
          <w:rFonts w:ascii="Book Antiqua" w:hAnsi="Book Antiqua" w:cs="Times New Roman"/>
          <w:b/>
          <w:color w:val="000000" w:themeColor="text1"/>
          <w:sz w:val="24"/>
          <w:szCs w:val="24"/>
        </w:rPr>
        <w:t xml:space="preserve">Key words: </w:t>
      </w:r>
      <w:r w:rsidRPr="00704D1E">
        <w:rPr>
          <w:rFonts w:ascii="Book Antiqua" w:hAnsi="Book Antiqua" w:cs="Times New Roman"/>
          <w:color w:val="000000" w:themeColor="text1"/>
          <w:sz w:val="24"/>
          <w:szCs w:val="24"/>
        </w:rPr>
        <w:t>Hypopituitarism; Non</w:t>
      </w:r>
      <w:r w:rsidR="00C32A0B" w:rsidRPr="00704D1E">
        <w:rPr>
          <w:rFonts w:ascii="Book Antiqua" w:hAnsi="Book Antiqua" w:cs="Times New Roman"/>
          <w:color w:val="000000" w:themeColor="text1"/>
          <w:sz w:val="24"/>
          <w:szCs w:val="24"/>
        </w:rPr>
        <w:t>-</w:t>
      </w:r>
      <w:r w:rsidRPr="00704D1E">
        <w:rPr>
          <w:rFonts w:ascii="Book Antiqua" w:hAnsi="Book Antiqua" w:cs="Times New Roman"/>
          <w:color w:val="000000" w:themeColor="text1"/>
          <w:sz w:val="24"/>
          <w:szCs w:val="24"/>
        </w:rPr>
        <w:t>alcoholic fatty liver disease; Cirrhosis; Diabetes insipidus; Plasma osmolality</w:t>
      </w:r>
    </w:p>
    <w:p w14:paraId="04FEF288" w14:textId="77777777" w:rsidR="0085535A" w:rsidRDefault="0085535A" w:rsidP="00704D1E">
      <w:pPr>
        <w:adjustRightInd w:val="0"/>
        <w:snapToGrid w:val="0"/>
        <w:spacing w:line="360" w:lineRule="auto"/>
        <w:rPr>
          <w:rFonts w:ascii="Book Antiqua" w:hAnsi="Book Antiqua" w:cs="Times New Roman"/>
          <w:b/>
          <w:color w:val="000000" w:themeColor="text1"/>
          <w:sz w:val="24"/>
          <w:szCs w:val="24"/>
          <w:highlight w:val="yellow"/>
        </w:rPr>
      </w:pPr>
    </w:p>
    <w:p w14:paraId="0A3BF587" w14:textId="1B0E7350" w:rsidR="00487AFC" w:rsidRDefault="00487AFC" w:rsidP="00704D1E">
      <w:pPr>
        <w:adjustRightInd w:val="0"/>
        <w:snapToGrid w:val="0"/>
        <w:spacing w:line="360" w:lineRule="auto"/>
        <w:rPr>
          <w:rFonts w:ascii="Book Antiqua" w:hAnsi="Book Antiqua" w:cs="Times New Roman"/>
          <w:kern w:val="0"/>
          <w:sz w:val="24"/>
          <w:szCs w:val="24"/>
        </w:rPr>
      </w:pPr>
      <w:bookmarkStart w:id="50" w:name="OLE_LINK43"/>
      <w:bookmarkStart w:id="51" w:name="OLE_LINK44"/>
      <w:r w:rsidRPr="00487AFC">
        <w:rPr>
          <w:rFonts w:ascii="Book Antiqua" w:hAnsi="Book Antiqua" w:cs="Times New Roman"/>
          <w:b/>
          <w:kern w:val="0"/>
          <w:sz w:val="24"/>
          <w:szCs w:val="24"/>
        </w:rPr>
        <w:t>© The Author(s) 201</w:t>
      </w:r>
      <w:r w:rsidRPr="00487AFC">
        <w:rPr>
          <w:rFonts w:ascii="Book Antiqua" w:hAnsi="Book Antiqua" w:cs="Times New Roman" w:hint="eastAsia"/>
          <w:b/>
          <w:kern w:val="0"/>
          <w:sz w:val="24"/>
          <w:szCs w:val="24"/>
        </w:rPr>
        <w:t>9</w:t>
      </w:r>
      <w:r w:rsidRPr="00487AFC">
        <w:rPr>
          <w:rFonts w:ascii="Book Antiqua" w:hAnsi="Book Antiqua" w:cs="Times New Roman"/>
          <w:b/>
          <w:kern w:val="0"/>
          <w:sz w:val="24"/>
          <w:szCs w:val="24"/>
        </w:rPr>
        <w:t xml:space="preserve">. </w:t>
      </w:r>
      <w:r w:rsidRPr="00487AFC">
        <w:rPr>
          <w:rFonts w:ascii="Book Antiqua" w:hAnsi="Book Antiqua" w:cs="Times New Roman"/>
          <w:kern w:val="0"/>
          <w:sz w:val="24"/>
          <w:szCs w:val="24"/>
        </w:rPr>
        <w:t xml:space="preserve">Published by </w:t>
      </w:r>
      <w:proofErr w:type="spellStart"/>
      <w:r w:rsidRPr="00487AFC">
        <w:rPr>
          <w:rFonts w:ascii="Book Antiqua" w:hAnsi="Book Antiqua" w:cs="Times New Roman"/>
          <w:kern w:val="0"/>
          <w:sz w:val="24"/>
          <w:szCs w:val="24"/>
        </w:rPr>
        <w:t>Baishideng</w:t>
      </w:r>
      <w:proofErr w:type="spellEnd"/>
      <w:r w:rsidRPr="00487AFC">
        <w:rPr>
          <w:rFonts w:ascii="Book Antiqua" w:hAnsi="Book Antiqua" w:cs="Times New Roman"/>
          <w:kern w:val="0"/>
          <w:sz w:val="24"/>
          <w:szCs w:val="24"/>
        </w:rPr>
        <w:t xml:space="preserve"> Publishing Group Inc. All rights reserved.</w:t>
      </w:r>
      <w:bookmarkEnd w:id="50"/>
      <w:bookmarkEnd w:id="51"/>
    </w:p>
    <w:p w14:paraId="146A7DAF" w14:textId="77777777" w:rsidR="00487AFC" w:rsidRPr="00704D1E" w:rsidRDefault="00487AFC" w:rsidP="00704D1E">
      <w:pPr>
        <w:adjustRightInd w:val="0"/>
        <w:snapToGrid w:val="0"/>
        <w:spacing w:line="360" w:lineRule="auto"/>
        <w:rPr>
          <w:rFonts w:ascii="Book Antiqua" w:hAnsi="Book Antiqua" w:cs="Times New Roman"/>
          <w:b/>
          <w:color w:val="000000" w:themeColor="text1"/>
          <w:sz w:val="24"/>
          <w:szCs w:val="24"/>
          <w:highlight w:val="yellow"/>
        </w:rPr>
      </w:pPr>
    </w:p>
    <w:p w14:paraId="4EB89B28" w14:textId="02557D7E" w:rsidR="009B194C" w:rsidRPr="00704D1E" w:rsidRDefault="009B194C" w:rsidP="00704D1E">
      <w:pPr>
        <w:adjustRightInd w:val="0"/>
        <w:snapToGrid w:val="0"/>
        <w:spacing w:line="360" w:lineRule="auto"/>
        <w:rPr>
          <w:rFonts w:ascii="Book Antiqua" w:hAnsi="Book Antiqua" w:cs="Times New Roman"/>
          <w:b/>
          <w:color w:val="000000" w:themeColor="text1"/>
          <w:sz w:val="24"/>
          <w:szCs w:val="24"/>
        </w:rPr>
      </w:pPr>
      <w:r w:rsidRPr="00704D1E">
        <w:rPr>
          <w:rFonts w:ascii="Book Antiqua" w:hAnsi="Book Antiqua" w:cs="Times New Roman"/>
          <w:b/>
          <w:color w:val="000000" w:themeColor="text1"/>
          <w:sz w:val="24"/>
          <w:szCs w:val="24"/>
        </w:rPr>
        <w:t>Core tip:</w:t>
      </w:r>
      <w:r w:rsidR="00A70E6E" w:rsidRPr="00704D1E">
        <w:rPr>
          <w:rFonts w:ascii="Book Antiqua" w:hAnsi="Book Antiqua" w:cs="Times New Roman"/>
          <w:b/>
          <w:color w:val="000000" w:themeColor="text1"/>
          <w:sz w:val="24"/>
          <w:szCs w:val="24"/>
        </w:rPr>
        <w:t xml:space="preserve"> </w:t>
      </w:r>
      <w:r w:rsidR="009E6884" w:rsidRPr="00704D1E">
        <w:rPr>
          <w:rFonts w:ascii="Book Antiqua" w:hAnsi="Book Antiqua" w:cs="Times New Roman"/>
          <w:color w:val="000000" w:themeColor="text1"/>
          <w:sz w:val="24"/>
          <w:szCs w:val="24"/>
        </w:rPr>
        <w:t xml:space="preserve">Fifty-four percent of hypopituitary patients in this retrospective study were diagnosed with </w:t>
      </w:r>
      <w:r w:rsidR="00487AFC" w:rsidRPr="00704D1E">
        <w:rPr>
          <w:rFonts w:ascii="Book Antiqua" w:hAnsi="Book Antiqua"/>
          <w:color w:val="000000" w:themeColor="text1"/>
          <w:sz w:val="24"/>
          <w:szCs w:val="24"/>
        </w:rPr>
        <w:t>non-alcoholic fatty liver disease</w:t>
      </w:r>
      <w:r w:rsidR="00487AFC" w:rsidRPr="00704D1E">
        <w:rPr>
          <w:rFonts w:ascii="Book Antiqua" w:hAnsi="Book Antiqua" w:cs="Times New Roman"/>
          <w:color w:val="000000" w:themeColor="text1"/>
          <w:sz w:val="24"/>
          <w:szCs w:val="24"/>
        </w:rPr>
        <w:t xml:space="preserve"> (NAFLD)</w:t>
      </w:r>
      <w:r w:rsidR="009E6884" w:rsidRPr="00704D1E">
        <w:rPr>
          <w:rFonts w:ascii="Book Antiqua" w:hAnsi="Book Antiqua" w:cs="Times New Roman"/>
          <w:color w:val="000000" w:themeColor="text1"/>
          <w:sz w:val="24"/>
          <w:szCs w:val="24"/>
        </w:rPr>
        <w:t xml:space="preserve">, which was </w:t>
      </w:r>
      <w:r w:rsidR="009E6884" w:rsidRPr="00704D1E">
        <w:rPr>
          <w:rFonts w:ascii="Book Antiqua" w:hAnsi="Book Antiqua" w:cs="Times New Roman"/>
          <w:color w:val="000000" w:themeColor="text1"/>
          <w:sz w:val="24"/>
          <w:szCs w:val="24"/>
        </w:rPr>
        <w:lastRenderedPageBreak/>
        <w:t xml:space="preserve">significantly higher than that of the general adult population in China. </w:t>
      </w:r>
      <w:r w:rsidR="00487AFC">
        <w:rPr>
          <w:rFonts w:ascii="Book Antiqua" w:hAnsi="Book Antiqua" w:cs="Times New Roman"/>
          <w:color w:val="000000" w:themeColor="text1"/>
          <w:sz w:val="24"/>
          <w:szCs w:val="24"/>
        </w:rPr>
        <w:t>G</w:t>
      </w:r>
      <w:r w:rsidR="00487AFC" w:rsidRPr="00704D1E">
        <w:rPr>
          <w:rFonts w:ascii="Book Antiqua" w:hAnsi="Book Antiqua" w:cs="Times New Roman"/>
          <w:color w:val="000000" w:themeColor="text1"/>
          <w:sz w:val="24"/>
          <w:szCs w:val="24"/>
        </w:rPr>
        <w:t xml:space="preserve">rowth hormone </w:t>
      </w:r>
      <w:r w:rsidR="00487AFC">
        <w:rPr>
          <w:rFonts w:ascii="Book Antiqua" w:hAnsi="Book Antiqua" w:cs="Times New Roman"/>
          <w:color w:val="000000" w:themeColor="text1"/>
          <w:sz w:val="24"/>
          <w:szCs w:val="24"/>
        </w:rPr>
        <w:t xml:space="preserve">(GH) </w:t>
      </w:r>
      <w:r w:rsidR="00487AFC" w:rsidRPr="00704D1E">
        <w:rPr>
          <w:rFonts w:ascii="Book Antiqua" w:hAnsi="Book Antiqua" w:cs="Times New Roman"/>
          <w:color w:val="000000" w:themeColor="text1"/>
          <w:sz w:val="24"/>
          <w:szCs w:val="24"/>
        </w:rPr>
        <w:t>deficiency</w:t>
      </w:r>
      <w:r w:rsidR="009E6884" w:rsidRPr="00704D1E">
        <w:rPr>
          <w:rFonts w:ascii="Book Antiqua" w:hAnsi="Book Antiqua" w:cs="Times New Roman"/>
          <w:color w:val="000000" w:themeColor="text1"/>
          <w:sz w:val="24"/>
          <w:szCs w:val="24"/>
        </w:rPr>
        <w:t xml:space="preserve"> has been considered an important contributing factor to NAFLD in those patients. However, no significant differences were noted in GH </w:t>
      </w:r>
      <w:r w:rsidR="001934E4">
        <w:rPr>
          <w:rFonts w:ascii="Book Antiqua" w:hAnsi="Book Antiqua" w:cs="Times New Roman"/>
          <w:color w:val="000000" w:themeColor="text1"/>
          <w:sz w:val="24"/>
          <w:szCs w:val="24"/>
        </w:rPr>
        <w:t>or</w:t>
      </w:r>
      <w:r w:rsidR="001934E4" w:rsidRPr="00704D1E">
        <w:rPr>
          <w:rFonts w:ascii="Book Antiqua" w:hAnsi="Book Antiqua" w:cs="Times New Roman"/>
          <w:color w:val="000000" w:themeColor="text1"/>
          <w:sz w:val="24"/>
          <w:szCs w:val="24"/>
        </w:rPr>
        <w:t xml:space="preserve"> </w:t>
      </w:r>
      <w:r w:rsidR="00487AFC" w:rsidRPr="00704D1E">
        <w:rPr>
          <w:rFonts w:ascii="Book Antiqua" w:hAnsi="Book Antiqua" w:cs="Times New Roman"/>
          <w:color w:val="000000" w:themeColor="text1"/>
          <w:sz w:val="24"/>
          <w:szCs w:val="24"/>
        </w:rPr>
        <w:t>insulin-like growth factor 1</w:t>
      </w:r>
      <w:r w:rsidR="009E6884" w:rsidRPr="00704D1E">
        <w:rPr>
          <w:rFonts w:ascii="Book Antiqua" w:hAnsi="Book Antiqua" w:cs="Times New Roman"/>
          <w:color w:val="000000" w:themeColor="text1"/>
          <w:sz w:val="24"/>
          <w:szCs w:val="24"/>
        </w:rPr>
        <w:t xml:space="preserve"> among patients with cirrhosis, subjects with NAFLD</w:t>
      </w:r>
      <w:r w:rsidR="001934E4">
        <w:rPr>
          <w:rFonts w:ascii="Book Antiqua" w:hAnsi="Book Antiqua" w:cs="Times New Roman"/>
          <w:color w:val="000000" w:themeColor="text1"/>
          <w:sz w:val="24"/>
          <w:szCs w:val="24"/>
        </w:rPr>
        <w:t>,</w:t>
      </w:r>
      <w:r w:rsidR="009E6884" w:rsidRPr="00704D1E">
        <w:rPr>
          <w:rFonts w:ascii="Book Antiqua" w:hAnsi="Book Antiqua" w:cs="Times New Roman"/>
          <w:color w:val="000000" w:themeColor="text1"/>
          <w:sz w:val="24"/>
          <w:szCs w:val="24"/>
        </w:rPr>
        <w:t xml:space="preserve"> and those without NAFLD in this study. Interestingly, we found that plasma osmolality and serum sodium concentration of the cirrhotic patients were significantly higher than those of the NAFLD patients. In addition, fasting insulin concentration was positively associated with plasma osmolality in patients with NAFLD. Additional studies are required to confirm that hyperosmolality may be a significant contributor to the worsening of NAFLD in hypopituitary patients.</w:t>
      </w:r>
    </w:p>
    <w:p w14:paraId="21B709CE" w14:textId="77777777" w:rsidR="00937963" w:rsidRPr="00704D1E" w:rsidRDefault="00937963" w:rsidP="00704D1E">
      <w:pPr>
        <w:pStyle w:val="a7"/>
        <w:adjustRightInd w:val="0"/>
        <w:snapToGrid w:val="0"/>
        <w:spacing w:line="360" w:lineRule="auto"/>
        <w:ind w:firstLineChars="0" w:firstLine="0"/>
        <w:rPr>
          <w:rFonts w:ascii="Book Antiqua" w:hAnsi="Book Antiqua" w:cs="Times New Roman"/>
          <w:color w:val="000000" w:themeColor="text1"/>
          <w:sz w:val="24"/>
          <w:szCs w:val="24"/>
        </w:rPr>
      </w:pPr>
    </w:p>
    <w:p w14:paraId="6BEB1499" w14:textId="77777777" w:rsidR="00B71F01" w:rsidRDefault="00B71F01" w:rsidP="00704D1E">
      <w:pPr>
        <w:pStyle w:val="a7"/>
        <w:adjustRightInd w:val="0"/>
        <w:snapToGrid w:val="0"/>
        <w:spacing w:line="360" w:lineRule="auto"/>
        <w:ind w:firstLineChars="0" w:firstLine="0"/>
        <w:rPr>
          <w:rFonts w:ascii="Book Antiqua" w:hAnsi="Book Antiqua"/>
          <w:color w:val="000000"/>
          <w:kern w:val="0"/>
          <w:sz w:val="24"/>
          <w:szCs w:val="24"/>
        </w:rPr>
      </w:pPr>
      <w:r w:rsidRPr="00B71F01">
        <w:rPr>
          <w:rFonts w:ascii="Book Antiqua" w:hAnsi="Book Antiqua" w:cs="Times New Roman"/>
          <w:b/>
          <w:color w:val="000000" w:themeColor="text1"/>
          <w:sz w:val="24"/>
          <w:szCs w:val="24"/>
        </w:rPr>
        <w:t>C</w:t>
      </w:r>
      <w:r w:rsidRPr="00B71F01">
        <w:rPr>
          <w:rFonts w:ascii="Book Antiqua" w:hAnsi="Book Antiqua" w:cs="Times New Roman" w:hint="eastAsia"/>
          <w:b/>
          <w:color w:val="000000" w:themeColor="text1"/>
          <w:sz w:val="24"/>
          <w:szCs w:val="24"/>
        </w:rPr>
        <w:t>itation</w:t>
      </w:r>
      <w:r>
        <w:rPr>
          <w:rFonts w:ascii="Book Antiqua" w:hAnsi="Book Antiqua" w:cs="Times New Roman" w:hint="eastAsia"/>
          <w:color w:val="000000" w:themeColor="text1"/>
          <w:sz w:val="24"/>
          <w:szCs w:val="24"/>
        </w:rPr>
        <w:t>:</w:t>
      </w:r>
      <w:r>
        <w:rPr>
          <w:rFonts w:ascii="Book Antiqua" w:hAnsi="Book Antiqua" w:cs="Times New Roman"/>
          <w:color w:val="000000" w:themeColor="text1"/>
          <w:sz w:val="24"/>
          <w:szCs w:val="24"/>
        </w:rPr>
        <w:t xml:space="preserve"> </w:t>
      </w:r>
      <w:r w:rsidR="009B194C" w:rsidRPr="00704D1E">
        <w:rPr>
          <w:rFonts w:ascii="Book Antiqua" w:hAnsi="Book Antiqua" w:cs="Times New Roman"/>
          <w:color w:val="000000" w:themeColor="text1"/>
          <w:sz w:val="24"/>
          <w:szCs w:val="24"/>
        </w:rPr>
        <w:t>Yuan</w:t>
      </w:r>
      <w:r w:rsidR="00487AFC">
        <w:rPr>
          <w:rFonts w:ascii="Book Antiqua" w:hAnsi="Book Antiqua" w:cs="Times New Roman"/>
          <w:color w:val="000000" w:themeColor="text1"/>
          <w:sz w:val="24"/>
          <w:szCs w:val="24"/>
        </w:rPr>
        <w:t xml:space="preserve"> XX</w:t>
      </w:r>
      <w:r w:rsidR="009B194C" w:rsidRPr="00704D1E">
        <w:rPr>
          <w:rFonts w:ascii="Book Antiqua" w:hAnsi="Book Antiqua" w:cs="Times New Roman"/>
          <w:color w:val="000000" w:themeColor="text1"/>
          <w:sz w:val="24"/>
          <w:szCs w:val="24"/>
        </w:rPr>
        <w:t>, Zhu</w:t>
      </w:r>
      <w:r w:rsidR="00487AFC">
        <w:rPr>
          <w:rFonts w:ascii="Book Antiqua" w:hAnsi="Book Antiqua" w:cs="Times New Roman"/>
          <w:color w:val="000000" w:themeColor="text1"/>
          <w:sz w:val="24"/>
          <w:szCs w:val="24"/>
        </w:rPr>
        <w:t xml:space="preserve"> HJ</w:t>
      </w:r>
      <w:r w:rsidR="009B194C" w:rsidRPr="00704D1E">
        <w:rPr>
          <w:rFonts w:ascii="Book Antiqua" w:hAnsi="Book Antiqua" w:cs="Times New Roman"/>
          <w:color w:val="000000" w:themeColor="text1"/>
          <w:sz w:val="24"/>
          <w:szCs w:val="24"/>
        </w:rPr>
        <w:t>, Pan</w:t>
      </w:r>
      <w:r w:rsidR="00487AFC">
        <w:rPr>
          <w:rFonts w:ascii="Book Antiqua" w:hAnsi="Book Antiqua" w:cs="Times New Roman"/>
          <w:color w:val="000000" w:themeColor="text1"/>
          <w:sz w:val="24"/>
          <w:szCs w:val="24"/>
        </w:rPr>
        <w:t xml:space="preserve"> H</w:t>
      </w:r>
      <w:r w:rsidR="009B194C" w:rsidRPr="00704D1E">
        <w:rPr>
          <w:rFonts w:ascii="Book Antiqua" w:hAnsi="Book Antiqua" w:cs="Times New Roman"/>
          <w:color w:val="000000" w:themeColor="text1"/>
          <w:sz w:val="24"/>
          <w:szCs w:val="24"/>
        </w:rPr>
        <w:t>, Chen</w:t>
      </w:r>
      <w:r w:rsidR="00487AFC">
        <w:rPr>
          <w:rFonts w:ascii="Book Antiqua" w:hAnsi="Book Antiqua" w:cs="Times New Roman"/>
          <w:color w:val="000000" w:themeColor="text1"/>
          <w:sz w:val="24"/>
          <w:szCs w:val="24"/>
        </w:rPr>
        <w:t xml:space="preserve"> S</w:t>
      </w:r>
      <w:r w:rsidR="009B194C" w:rsidRPr="00704D1E">
        <w:rPr>
          <w:rFonts w:ascii="Book Antiqua" w:hAnsi="Book Antiqua" w:cs="Times New Roman"/>
          <w:color w:val="000000" w:themeColor="text1"/>
          <w:sz w:val="24"/>
          <w:szCs w:val="24"/>
        </w:rPr>
        <w:t>, Liu</w:t>
      </w:r>
      <w:r w:rsidR="00487AFC">
        <w:rPr>
          <w:rFonts w:ascii="Book Antiqua" w:hAnsi="Book Antiqua" w:cs="Times New Roman"/>
          <w:color w:val="000000" w:themeColor="text1"/>
          <w:sz w:val="24"/>
          <w:szCs w:val="24"/>
        </w:rPr>
        <w:t xml:space="preserve"> ZY</w:t>
      </w:r>
      <w:r w:rsidR="009B194C" w:rsidRPr="00704D1E">
        <w:rPr>
          <w:rFonts w:ascii="Book Antiqua" w:hAnsi="Book Antiqua" w:cs="Times New Roman"/>
          <w:color w:val="000000" w:themeColor="text1"/>
          <w:sz w:val="24"/>
          <w:szCs w:val="24"/>
        </w:rPr>
        <w:t>,</w:t>
      </w:r>
      <w:r w:rsidR="009B194C" w:rsidRPr="00704D1E">
        <w:rPr>
          <w:rFonts w:ascii="Book Antiqua" w:hAnsi="Book Antiqua" w:cs="Times New Roman"/>
          <w:color w:val="000000" w:themeColor="text1"/>
          <w:sz w:val="24"/>
          <w:szCs w:val="24"/>
          <w:vertAlign w:val="superscript"/>
        </w:rPr>
        <w:t xml:space="preserve"> </w:t>
      </w:r>
      <w:r w:rsidR="00494459">
        <w:rPr>
          <w:rFonts w:ascii="Book Antiqua" w:hAnsi="Book Antiqua" w:cs="Times New Roman"/>
          <w:color w:val="000000" w:themeColor="text1"/>
          <w:sz w:val="24"/>
          <w:szCs w:val="24"/>
        </w:rPr>
        <w:t>Li Y</w:t>
      </w:r>
      <w:r w:rsidR="002A4D6A" w:rsidRPr="00704D1E">
        <w:rPr>
          <w:rFonts w:ascii="Book Antiqua" w:hAnsi="Book Antiqua" w:cs="Times New Roman"/>
          <w:color w:val="000000" w:themeColor="text1"/>
          <w:sz w:val="24"/>
          <w:szCs w:val="24"/>
        </w:rPr>
        <w:t xml:space="preserve">, </w:t>
      </w:r>
      <w:r w:rsidR="009B194C" w:rsidRPr="00704D1E">
        <w:rPr>
          <w:rFonts w:ascii="Book Antiqua" w:hAnsi="Book Antiqua" w:cs="Times New Roman"/>
          <w:color w:val="000000" w:themeColor="text1"/>
          <w:sz w:val="24"/>
          <w:szCs w:val="24"/>
        </w:rPr>
        <w:t>Wang</w:t>
      </w:r>
      <w:r w:rsidR="00487AFC">
        <w:rPr>
          <w:rFonts w:ascii="Book Antiqua" w:hAnsi="Book Antiqua" w:cs="Times New Roman"/>
          <w:color w:val="000000" w:themeColor="text1"/>
          <w:sz w:val="24"/>
          <w:szCs w:val="24"/>
        </w:rPr>
        <w:t xml:space="preserve"> LJ</w:t>
      </w:r>
      <w:r w:rsidR="009B194C" w:rsidRPr="00704D1E">
        <w:rPr>
          <w:rFonts w:ascii="Book Antiqua" w:hAnsi="Book Antiqua" w:cs="Times New Roman"/>
          <w:color w:val="000000" w:themeColor="text1"/>
          <w:sz w:val="24"/>
          <w:szCs w:val="24"/>
        </w:rPr>
        <w:t>, Lu</w:t>
      </w:r>
      <w:r w:rsidR="00487AFC">
        <w:rPr>
          <w:rFonts w:ascii="Book Antiqua" w:hAnsi="Book Antiqua" w:cs="Times New Roman"/>
          <w:color w:val="000000" w:themeColor="text1"/>
          <w:sz w:val="24"/>
          <w:szCs w:val="24"/>
        </w:rPr>
        <w:t xml:space="preserve"> L</w:t>
      </w:r>
      <w:r w:rsidR="009B194C" w:rsidRPr="00704D1E">
        <w:rPr>
          <w:rFonts w:ascii="Book Antiqua" w:hAnsi="Book Antiqua" w:cs="Times New Roman"/>
          <w:color w:val="000000" w:themeColor="text1"/>
          <w:sz w:val="24"/>
          <w:szCs w:val="24"/>
        </w:rPr>
        <w:t>,</w:t>
      </w:r>
      <w:r w:rsidR="002A4D6A" w:rsidRPr="00704D1E">
        <w:rPr>
          <w:rFonts w:ascii="Book Antiqua" w:hAnsi="Book Antiqua" w:cs="Times New Roman"/>
          <w:color w:val="000000" w:themeColor="text1"/>
          <w:sz w:val="24"/>
          <w:szCs w:val="24"/>
        </w:rPr>
        <w:t xml:space="preserve"> </w:t>
      </w:r>
      <w:r w:rsidR="009B194C" w:rsidRPr="00704D1E">
        <w:rPr>
          <w:rFonts w:ascii="Book Antiqua" w:hAnsi="Book Antiqua" w:cs="Times New Roman"/>
          <w:color w:val="000000" w:themeColor="text1"/>
          <w:sz w:val="24"/>
          <w:szCs w:val="24"/>
        </w:rPr>
        <w:t>Yang</w:t>
      </w:r>
      <w:r w:rsidR="00487AFC">
        <w:rPr>
          <w:rFonts w:ascii="Book Antiqua" w:hAnsi="Book Antiqua" w:cs="Times New Roman"/>
          <w:color w:val="000000" w:themeColor="text1"/>
          <w:sz w:val="24"/>
          <w:szCs w:val="24"/>
        </w:rPr>
        <w:t xml:space="preserve"> HB</w:t>
      </w:r>
      <w:r w:rsidR="009B194C" w:rsidRPr="00704D1E">
        <w:rPr>
          <w:rFonts w:ascii="Book Antiqua" w:hAnsi="Book Antiqua" w:cs="Times New Roman"/>
          <w:color w:val="000000" w:themeColor="text1"/>
          <w:sz w:val="24"/>
          <w:szCs w:val="24"/>
        </w:rPr>
        <w:t>, Gong</w:t>
      </w:r>
      <w:r w:rsidR="00487AFC">
        <w:rPr>
          <w:rFonts w:ascii="Book Antiqua" w:hAnsi="Book Antiqua" w:cs="Times New Roman"/>
          <w:color w:val="000000" w:themeColor="text1"/>
          <w:sz w:val="24"/>
          <w:szCs w:val="24"/>
        </w:rPr>
        <w:t xml:space="preserve"> FY</w:t>
      </w:r>
      <w:r w:rsidR="009B194C" w:rsidRPr="00704D1E">
        <w:rPr>
          <w:rFonts w:ascii="Book Antiqua" w:hAnsi="Book Antiqua" w:cs="Times New Roman"/>
          <w:color w:val="000000" w:themeColor="text1"/>
          <w:sz w:val="24"/>
          <w:szCs w:val="24"/>
        </w:rPr>
        <w:t xml:space="preserve">. </w:t>
      </w:r>
      <w:r w:rsidR="00AD7DA8" w:rsidRPr="00704D1E">
        <w:rPr>
          <w:rFonts w:ascii="Book Antiqua" w:hAnsi="Book Antiqua" w:cs="Times New Roman"/>
          <w:color w:val="000000" w:themeColor="text1"/>
          <w:sz w:val="24"/>
          <w:szCs w:val="24"/>
        </w:rPr>
        <w:t>Clinical characteristics of non-alcoholic fatty liver disease in Chinese adult hypopituitary patients.</w:t>
      </w:r>
      <w:r w:rsidR="00487AFC">
        <w:rPr>
          <w:rFonts w:ascii="Book Antiqua" w:hAnsi="Book Antiqua" w:cs="Times New Roman"/>
          <w:color w:val="000000" w:themeColor="text1"/>
          <w:sz w:val="24"/>
          <w:szCs w:val="24"/>
        </w:rPr>
        <w:t xml:space="preserve"> </w:t>
      </w:r>
      <w:r>
        <w:rPr>
          <w:rFonts w:ascii="Book Antiqua" w:hAnsi="Book Antiqua"/>
          <w:i/>
          <w:color w:val="000000"/>
          <w:kern w:val="0"/>
          <w:sz w:val="24"/>
          <w:szCs w:val="24"/>
        </w:rPr>
        <w:t xml:space="preserve">World J Gastroenterol </w:t>
      </w:r>
      <w:r>
        <w:rPr>
          <w:rFonts w:ascii="Book Antiqua" w:hAnsi="Book Antiqua"/>
          <w:color w:val="000000"/>
          <w:kern w:val="0"/>
          <w:sz w:val="24"/>
          <w:szCs w:val="24"/>
        </w:rPr>
        <w:t xml:space="preserve">2019; 25(14): 1741-1752  </w:t>
      </w:r>
    </w:p>
    <w:p w14:paraId="7E80E302" w14:textId="77777777" w:rsidR="00B71F01" w:rsidRDefault="00B71F01" w:rsidP="00704D1E">
      <w:pPr>
        <w:pStyle w:val="a7"/>
        <w:adjustRightInd w:val="0"/>
        <w:snapToGrid w:val="0"/>
        <w:spacing w:line="360" w:lineRule="auto"/>
        <w:ind w:firstLineChars="0" w:firstLine="0"/>
        <w:rPr>
          <w:rFonts w:ascii="Book Antiqua" w:hAnsi="Book Antiqua"/>
          <w:kern w:val="0"/>
          <w:sz w:val="24"/>
          <w:szCs w:val="24"/>
        </w:rPr>
      </w:pPr>
      <w:r w:rsidRPr="00B71F01">
        <w:rPr>
          <w:rFonts w:ascii="Book Antiqua" w:hAnsi="Book Antiqua"/>
          <w:b/>
          <w:color w:val="000000"/>
          <w:kern w:val="0"/>
          <w:sz w:val="24"/>
          <w:szCs w:val="24"/>
        </w:rPr>
        <w:t>URL</w:t>
      </w:r>
      <w:r>
        <w:rPr>
          <w:rFonts w:ascii="Book Antiqua" w:hAnsi="Book Antiqua"/>
          <w:color w:val="000000"/>
          <w:kern w:val="0"/>
          <w:sz w:val="24"/>
          <w:szCs w:val="24"/>
        </w:rPr>
        <w:t xml:space="preserve">: </w:t>
      </w:r>
      <w:r>
        <w:rPr>
          <w:rFonts w:ascii="Book Antiqua" w:hAnsi="Book Antiqua"/>
          <w:kern w:val="0"/>
          <w:sz w:val="24"/>
          <w:szCs w:val="24"/>
        </w:rPr>
        <w:t xml:space="preserve">https://www.wjgnet.com/1007-9327/full/v25/i14/1741.htm  </w:t>
      </w:r>
    </w:p>
    <w:p w14:paraId="0CD9CC49" w14:textId="34821C35" w:rsidR="00AD7DA8" w:rsidRPr="00704D1E" w:rsidRDefault="00B71F01" w:rsidP="00704D1E">
      <w:pPr>
        <w:pStyle w:val="a7"/>
        <w:adjustRightInd w:val="0"/>
        <w:snapToGrid w:val="0"/>
        <w:spacing w:line="360" w:lineRule="auto"/>
        <w:ind w:firstLineChars="0" w:firstLine="0"/>
        <w:rPr>
          <w:rFonts w:ascii="Book Antiqua" w:hAnsi="Book Antiqua" w:cs="Times New Roman"/>
          <w:color w:val="000000" w:themeColor="text1"/>
          <w:sz w:val="24"/>
          <w:szCs w:val="24"/>
        </w:rPr>
      </w:pPr>
      <w:r w:rsidRPr="00B71F01">
        <w:rPr>
          <w:rFonts w:ascii="Book Antiqua" w:hAnsi="Book Antiqua"/>
          <w:b/>
          <w:kern w:val="0"/>
          <w:sz w:val="24"/>
          <w:szCs w:val="24"/>
        </w:rPr>
        <w:t>DOI</w:t>
      </w:r>
      <w:r>
        <w:rPr>
          <w:rFonts w:ascii="Book Antiqua" w:hAnsi="Book Antiqua"/>
          <w:kern w:val="0"/>
          <w:sz w:val="24"/>
          <w:szCs w:val="24"/>
        </w:rPr>
        <w:t>: https://dx.doi.org/10.3748/wjg.v25.i14.1741</w:t>
      </w:r>
    </w:p>
    <w:p w14:paraId="34FBF1D9" w14:textId="15E1CF12" w:rsidR="00BA5AA2" w:rsidRPr="00704D1E" w:rsidRDefault="00BA5AA2" w:rsidP="00704D1E">
      <w:pPr>
        <w:adjustRightInd w:val="0"/>
        <w:snapToGrid w:val="0"/>
        <w:spacing w:line="360" w:lineRule="auto"/>
        <w:rPr>
          <w:rFonts w:ascii="Book Antiqua" w:hAnsi="Book Antiqua" w:cs="Times New Roman"/>
          <w:b/>
          <w:color w:val="000000" w:themeColor="text1"/>
          <w:sz w:val="24"/>
          <w:szCs w:val="24"/>
        </w:rPr>
        <w:sectPr w:rsidR="00BA5AA2" w:rsidRPr="00704D1E" w:rsidSect="009F7DE6">
          <w:footerReference w:type="default" r:id="rId7"/>
          <w:pgSz w:w="11906" w:h="16838"/>
          <w:pgMar w:top="1440" w:right="1797" w:bottom="1440" w:left="1797" w:header="851" w:footer="992" w:gutter="0"/>
          <w:cols w:space="425"/>
          <w:docGrid w:type="linesAndChars" w:linePitch="312"/>
        </w:sectPr>
      </w:pPr>
    </w:p>
    <w:p w14:paraId="4079D92A" w14:textId="248C6F2A" w:rsidR="002E1C97" w:rsidRPr="00704D1E" w:rsidRDefault="009A37AE" w:rsidP="00487AFC">
      <w:pPr>
        <w:adjustRightInd w:val="0"/>
        <w:snapToGrid w:val="0"/>
        <w:spacing w:line="360" w:lineRule="auto"/>
        <w:outlineLvl w:val="0"/>
        <w:rPr>
          <w:rFonts w:ascii="Book Antiqua" w:hAnsi="Book Antiqua" w:cs="Times New Roman"/>
          <w:b/>
          <w:color w:val="000000" w:themeColor="text1"/>
          <w:sz w:val="24"/>
          <w:szCs w:val="24"/>
        </w:rPr>
      </w:pPr>
      <w:r w:rsidRPr="00704D1E">
        <w:rPr>
          <w:rFonts w:ascii="Book Antiqua" w:hAnsi="Book Antiqua" w:cs="Times New Roman"/>
          <w:b/>
          <w:color w:val="000000" w:themeColor="text1"/>
          <w:sz w:val="24"/>
          <w:szCs w:val="24"/>
        </w:rPr>
        <w:lastRenderedPageBreak/>
        <w:t>I</w:t>
      </w:r>
      <w:r w:rsidR="00217248" w:rsidRPr="00704D1E">
        <w:rPr>
          <w:rFonts w:ascii="Book Antiqua" w:hAnsi="Book Antiqua" w:cs="Times New Roman"/>
          <w:b/>
          <w:color w:val="000000" w:themeColor="text1"/>
          <w:sz w:val="24"/>
          <w:szCs w:val="24"/>
        </w:rPr>
        <w:t>NTRODUCTION</w:t>
      </w:r>
    </w:p>
    <w:p w14:paraId="1D8CF71A" w14:textId="0A6DBB74" w:rsidR="00654A2A" w:rsidRPr="00704D1E" w:rsidRDefault="00E95559"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 xml:space="preserve">Primary </w:t>
      </w:r>
      <w:bookmarkStart w:id="52" w:name="_Hlk504310015"/>
      <w:r w:rsidRPr="00704D1E">
        <w:rPr>
          <w:rFonts w:ascii="Book Antiqua" w:hAnsi="Book Antiqua" w:cs="Times New Roman"/>
          <w:color w:val="000000" w:themeColor="text1"/>
          <w:sz w:val="24"/>
          <w:szCs w:val="24"/>
        </w:rPr>
        <w:t>non</w:t>
      </w:r>
      <w:r w:rsidR="00C32A0B" w:rsidRPr="00704D1E">
        <w:rPr>
          <w:rFonts w:ascii="Book Antiqua" w:hAnsi="Book Antiqua" w:cs="Times New Roman"/>
          <w:color w:val="000000" w:themeColor="text1"/>
          <w:sz w:val="24"/>
          <w:szCs w:val="24"/>
        </w:rPr>
        <w:t>-</w:t>
      </w:r>
      <w:r w:rsidRPr="00704D1E">
        <w:rPr>
          <w:rFonts w:ascii="Book Antiqua" w:hAnsi="Book Antiqua" w:cs="Times New Roman"/>
          <w:color w:val="000000" w:themeColor="text1"/>
          <w:sz w:val="24"/>
          <w:szCs w:val="24"/>
        </w:rPr>
        <w:t>alcoholic fatty liver disease</w:t>
      </w:r>
      <w:bookmarkEnd w:id="52"/>
      <w:r w:rsidRPr="00704D1E">
        <w:rPr>
          <w:rFonts w:ascii="Book Antiqua" w:hAnsi="Book Antiqua" w:cs="Times New Roman"/>
          <w:color w:val="000000" w:themeColor="text1"/>
          <w:sz w:val="24"/>
          <w:szCs w:val="24"/>
        </w:rPr>
        <w:t xml:space="preserve"> (NAFLD) is caused by an excess of fat in the liver (steatosis) that is not the result of excessive alcohol consumption or other secondary </w:t>
      </w:r>
      <w:proofErr w:type="gramStart"/>
      <w:r w:rsidRPr="00704D1E">
        <w:rPr>
          <w:rFonts w:ascii="Book Antiqua" w:hAnsi="Book Antiqua" w:cs="Times New Roman"/>
          <w:color w:val="000000" w:themeColor="text1"/>
          <w:sz w:val="24"/>
          <w:szCs w:val="24"/>
        </w:rPr>
        <w:t>causes</w:t>
      </w:r>
      <w:r w:rsidR="00B5455D">
        <w:rPr>
          <w:rFonts w:ascii="Book Antiqua" w:hAnsi="Book Antiqua" w:cs="Times New Roman"/>
          <w:color w:val="000000" w:themeColor="text1"/>
          <w:sz w:val="24"/>
          <w:szCs w:val="24"/>
          <w:vertAlign w:val="superscript"/>
        </w:rPr>
        <w:t>[</w:t>
      </w:r>
      <w:proofErr w:type="gramEnd"/>
      <w:r w:rsidR="00B5455D">
        <w:rPr>
          <w:rFonts w:ascii="Book Antiqua" w:hAnsi="Book Antiqua" w:cs="Times New Roman"/>
          <w:color w:val="000000" w:themeColor="text1"/>
          <w:sz w:val="24"/>
          <w:szCs w:val="24"/>
          <w:vertAlign w:val="superscript"/>
        </w:rPr>
        <w:t>1,</w:t>
      </w:r>
      <w:r w:rsidRPr="00704D1E">
        <w:rPr>
          <w:rFonts w:ascii="Book Antiqua" w:hAnsi="Book Antiqua" w:cs="Times New Roman"/>
          <w:color w:val="000000" w:themeColor="text1"/>
          <w:sz w:val="24"/>
          <w:szCs w:val="24"/>
          <w:vertAlign w:val="superscript"/>
        </w:rPr>
        <w:t>2]</w:t>
      </w:r>
      <w:r w:rsidRPr="00704D1E">
        <w:rPr>
          <w:rFonts w:ascii="Book Antiqua" w:hAnsi="Book Antiqua" w:cs="Times New Roman"/>
          <w:color w:val="000000" w:themeColor="text1"/>
          <w:sz w:val="24"/>
          <w:szCs w:val="24"/>
        </w:rPr>
        <w:t xml:space="preserve">. The disease can be presented in the form of hepatic steatosis, inflammatory </w:t>
      </w:r>
      <w:bookmarkStart w:id="53" w:name="_Hlk524805642"/>
      <w:r w:rsidRPr="00704D1E">
        <w:rPr>
          <w:rFonts w:ascii="Book Antiqua" w:hAnsi="Book Antiqua" w:cs="Times New Roman"/>
          <w:color w:val="000000" w:themeColor="text1"/>
          <w:sz w:val="24"/>
          <w:szCs w:val="24"/>
        </w:rPr>
        <w:t>non</w:t>
      </w:r>
      <w:r w:rsidR="00C32A0B" w:rsidRPr="00704D1E">
        <w:rPr>
          <w:rFonts w:ascii="Book Antiqua" w:hAnsi="Book Antiqua" w:cs="Times New Roman"/>
          <w:color w:val="000000" w:themeColor="text1"/>
          <w:sz w:val="24"/>
          <w:szCs w:val="24"/>
        </w:rPr>
        <w:t>-</w:t>
      </w:r>
      <w:r w:rsidRPr="00704D1E">
        <w:rPr>
          <w:rFonts w:ascii="Book Antiqua" w:hAnsi="Book Antiqua" w:cs="Times New Roman"/>
          <w:color w:val="000000" w:themeColor="text1"/>
          <w:sz w:val="24"/>
          <w:szCs w:val="24"/>
        </w:rPr>
        <w:t>alcoholic steatohepatitis</w:t>
      </w:r>
      <w:bookmarkEnd w:id="53"/>
      <w:r w:rsidRPr="00704D1E">
        <w:rPr>
          <w:rFonts w:ascii="Book Antiqua" w:hAnsi="Book Antiqua" w:cs="Times New Roman"/>
          <w:color w:val="000000" w:themeColor="text1"/>
          <w:sz w:val="24"/>
          <w:szCs w:val="24"/>
        </w:rPr>
        <w:t xml:space="preserve"> (NASH), fibrosis and/or </w:t>
      </w:r>
      <w:proofErr w:type="gramStart"/>
      <w:r w:rsidRPr="00704D1E">
        <w:rPr>
          <w:rFonts w:ascii="Book Antiqua" w:hAnsi="Book Antiqua" w:cs="Times New Roman"/>
          <w:color w:val="000000" w:themeColor="text1"/>
          <w:sz w:val="24"/>
          <w:szCs w:val="24"/>
        </w:rPr>
        <w:t>cirrhosis</w:t>
      </w:r>
      <w:r w:rsidR="00B5455D">
        <w:rPr>
          <w:rFonts w:ascii="Book Antiqua" w:hAnsi="Book Antiqua" w:cs="Times New Roman"/>
          <w:color w:val="000000" w:themeColor="text1"/>
          <w:sz w:val="24"/>
          <w:szCs w:val="24"/>
          <w:vertAlign w:val="superscript"/>
        </w:rPr>
        <w:t>[</w:t>
      </w:r>
      <w:proofErr w:type="gramEnd"/>
      <w:r w:rsidR="00B5455D">
        <w:rPr>
          <w:rFonts w:ascii="Book Antiqua" w:hAnsi="Book Antiqua" w:cs="Times New Roman"/>
          <w:color w:val="000000" w:themeColor="text1"/>
          <w:sz w:val="24"/>
          <w:szCs w:val="24"/>
          <w:vertAlign w:val="superscript"/>
        </w:rPr>
        <w:t>1,</w:t>
      </w:r>
      <w:r w:rsidRPr="00704D1E">
        <w:rPr>
          <w:rFonts w:ascii="Book Antiqua" w:hAnsi="Book Antiqua" w:cs="Times New Roman"/>
          <w:color w:val="000000" w:themeColor="text1"/>
          <w:sz w:val="24"/>
          <w:szCs w:val="24"/>
          <w:vertAlign w:val="superscript"/>
        </w:rPr>
        <w:t>2]</w:t>
      </w:r>
      <w:r w:rsidRPr="00704D1E">
        <w:rPr>
          <w:rFonts w:ascii="Book Antiqua" w:hAnsi="Book Antiqua" w:cs="Times New Roman"/>
          <w:color w:val="000000" w:themeColor="text1"/>
          <w:sz w:val="24"/>
          <w:szCs w:val="24"/>
        </w:rPr>
        <w:t>. Approximately 2</w:t>
      </w:r>
      <w:r w:rsidR="00B5455D">
        <w:rPr>
          <w:rFonts w:ascii="Book Antiqua" w:hAnsi="Book Antiqua" w:cs="Times New Roman"/>
          <w:color w:val="000000" w:themeColor="text1"/>
          <w:sz w:val="24"/>
          <w:szCs w:val="24"/>
        </w:rPr>
        <w:t>%</w:t>
      </w:r>
      <w:r w:rsidRPr="00704D1E">
        <w:rPr>
          <w:rFonts w:ascii="Book Antiqua" w:hAnsi="Book Antiqua" w:cs="Times New Roman"/>
          <w:color w:val="000000" w:themeColor="text1"/>
          <w:sz w:val="24"/>
          <w:szCs w:val="24"/>
        </w:rPr>
        <w:t xml:space="preserve">-3% of NAFLD patients develop NASH, which carries a 20% potential risk of evolving further and causing </w:t>
      </w:r>
      <w:proofErr w:type="gramStart"/>
      <w:r w:rsidRPr="00704D1E">
        <w:rPr>
          <w:rFonts w:ascii="Book Antiqua" w:hAnsi="Book Antiqua" w:cs="Times New Roman"/>
          <w:color w:val="000000" w:themeColor="text1"/>
          <w:sz w:val="24"/>
          <w:szCs w:val="24"/>
        </w:rPr>
        <w:t>cirrhosis</w:t>
      </w:r>
      <w:r w:rsidR="00B5455D">
        <w:rPr>
          <w:rFonts w:ascii="Book Antiqua" w:hAnsi="Book Antiqua" w:cs="Times New Roman"/>
          <w:color w:val="000000" w:themeColor="text1"/>
          <w:sz w:val="24"/>
          <w:szCs w:val="24"/>
          <w:vertAlign w:val="superscript"/>
        </w:rPr>
        <w:t>[</w:t>
      </w:r>
      <w:proofErr w:type="gramEnd"/>
      <w:r w:rsidR="00B5455D">
        <w:rPr>
          <w:rFonts w:ascii="Book Antiqua" w:hAnsi="Book Antiqua" w:cs="Times New Roman"/>
          <w:color w:val="000000" w:themeColor="text1"/>
          <w:sz w:val="24"/>
          <w:szCs w:val="24"/>
          <w:vertAlign w:val="superscript"/>
        </w:rPr>
        <w:t>1,</w:t>
      </w:r>
      <w:r w:rsidRPr="00704D1E">
        <w:rPr>
          <w:rFonts w:ascii="Book Antiqua" w:hAnsi="Book Antiqua" w:cs="Times New Roman"/>
          <w:color w:val="000000" w:themeColor="text1"/>
          <w:sz w:val="24"/>
          <w:szCs w:val="24"/>
          <w:vertAlign w:val="superscript"/>
        </w:rPr>
        <w:t>3]</w:t>
      </w:r>
      <w:r w:rsidRPr="00704D1E">
        <w:rPr>
          <w:rFonts w:ascii="Book Antiqua" w:hAnsi="Book Antiqua" w:cs="Times New Roman"/>
          <w:color w:val="000000" w:themeColor="text1"/>
          <w:sz w:val="24"/>
          <w:szCs w:val="24"/>
        </w:rPr>
        <w:t xml:space="preserve">. Furthermore, NAFLD patients are five times more likely to develop hepatocellular carcinoma in the absence of cirrhosis compared with hepatitis C </w:t>
      </w:r>
      <w:proofErr w:type="gramStart"/>
      <w:r w:rsidRPr="00704D1E">
        <w:rPr>
          <w:rFonts w:ascii="Book Antiqua" w:hAnsi="Book Antiqua" w:cs="Times New Roman"/>
          <w:color w:val="000000" w:themeColor="text1"/>
          <w:sz w:val="24"/>
          <w:szCs w:val="24"/>
        </w:rPr>
        <w:t>patients</w:t>
      </w:r>
      <w:r w:rsidR="00B5455D">
        <w:rPr>
          <w:rFonts w:ascii="Book Antiqua" w:hAnsi="Book Antiqua" w:cs="Times New Roman"/>
          <w:color w:val="000000" w:themeColor="text1"/>
          <w:sz w:val="24"/>
          <w:szCs w:val="24"/>
          <w:vertAlign w:val="superscript"/>
        </w:rPr>
        <w:t>[</w:t>
      </w:r>
      <w:proofErr w:type="gramEnd"/>
      <w:r w:rsidR="00B5455D">
        <w:rPr>
          <w:rFonts w:ascii="Book Antiqua" w:hAnsi="Book Antiqua" w:cs="Times New Roman"/>
          <w:color w:val="000000" w:themeColor="text1"/>
          <w:sz w:val="24"/>
          <w:szCs w:val="24"/>
          <w:vertAlign w:val="superscript"/>
        </w:rPr>
        <w:t>4,</w:t>
      </w:r>
      <w:r w:rsidRPr="00704D1E">
        <w:rPr>
          <w:rFonts w:ascii="Book Antiqua" w:hAnsi="Book Antiqua" w:cs="Times New Roman"/>
          <w:color w:val="000000" w:themeColor="text1"/>
          <w:sz w:val="24"/>
          <w:szCs w:val="24"/>
          <w:vertAlign w:val="superscript"/>
        </w:rPr>
        <w:t>5]</w:t>
      </w:r>
      <w:r w:rsidRPr="00704D1E">
        <w:rPr>
          <w:rFonts w:ascii="Book Antiqua" w:hAnsi="Book Antiqua" w:cs="Times New Roman"/>
          <w:color w:val="000000" w:themeColor="text1"/>
          <w:sz w:val="24"/>
          <w:szCs w:val="24"/>
        </w:rPr>
        <w:t>. However, the pathogenesis of NAFLD and its progression</w:t>
      </w:r>
      <w:r w:rsidR="002C13E8">
        <w:rPr>
          <w:rFonts w:ascii="Book Antiqua" w:hAnsi="Book Antiqua" w:cs="Times New Roman"/>
          <w:color w:val="000000" w:themeColor="text1"/>
          <w:sz w:val="24"/>
          <w:szCs w:val="24"/>
        </w:rPr>
        <w:t xml:space="preserve"> are</w:t>
      </w:r>
      <w:r w:rsidRPr="00704D1E">
        <w:rPr>
          <w:rFonts w:ascii="Book Antiqua" w:hAnsi="Book Antiqua" w:cs="Times New Roman"/>
          <w:color w:val="000000" w:themeColor="text1"/>
          <w:sz w:val="24"/>
          <w:szCs w:val="24"/>
        </w:rPr>
        <w:t xml:space="preserve"> a complex process, and the “multiple-hit” hypothesis proposed by Buzzetti </w:t>
      </w:r>
      <w:r w:rsidRPr="00704D1E">
        <w:rPr>
          <w:rFonts w:ascii="Book Antiqua" w:hAnsi="Book Antiqua" w:cs="Times New Roman"/>
          <w:i/>
          <w:color w:val="000000" w:themeColor="text1"/>
          <w:sz w:val="24"/>
          <w:szCs w:val="24"/>
        </w:rPr>
        <w:t xml:space="preserve">et </w:t>
      </w:r>
      <w:proofErr w:type="gramStart"/>
      <w:r w:rsidRPr="00704D1E">
        <w:rPr>
          <w:rFonts w:ascii="Book Antiqua" w:hAnsi="Book Antiqua" w:cs="Times New Roman"/>
          <w:i/>
          <w:color w:val="000000" w:themeColor="text1"/>
          <w:sz w:val="24"/>
          <w:szCs w:val="24"/>
        </w:rPr>
        <w:t>al</w:t>
      </w:r>
      <w:r w:rsidR="00B5455D" w:rsidRPr="00704D1E">
        <w:rPr>
          <w:rFonts w:ascii="Book Antiqua" w:hAnsi="Book Antiqua" w:cs="Times New Roman"/>
          <w:color w:val="000000" w:themeColor="text1"/>
          <w:sz w:val="24"/>
          <w:szCs w:val="24"/>
          <w:vertAlign w:val="superscript"/>
        </w:rPr>
        <w:t>[</w:t>
      </w:r>
      <w:proofErr w:type="gramEnd"/>
      <w:r w:rsidR="00B5455D" w:rsidRPr="00704D1E">
        <w:rPr>
          <w:rFonts w:ascii="Book Antiqua" w:hAnsi="Book Antiqua" w:cs="Times New Roman"/>
          <w:color w:val="000000" w:themeColor="text1"/>
          <w:sz w:val="24"/>
          <w:szCs w:val="24"/>
          <w:vertAlign w:val="superscript"/>
        </w:rPr>
        <w:t>6]</w:t>
      </w:r>
      <w:r w:rsidRPr="00704D1E">
        <w:rPr>
          <w:rFonts w:ascii="Book Antiqua" w:hAnsi="Book Antiqua" w:cs="Times New Roman"/>
          <w:color w:val="000000" w:themeColor="text1"/>
          <w:sz w:val="24"/>
          <w:szCs w:val="24"/>
        </w:rPr>
        <w:t xml:space="preserve"> in 2016 suggested that simple steatosis and NASH not only exhibited different risks of progression but might also reflect different disease entities in terms of pathogenesis. Multiple insults, including insulin resistance, obesity</w:t>
      </w:r>
      <w:r w:rsidR="002C13E8">
        <w:rPr>
          <w:rFonts w:ascii="Book Antiqua" w:hAnsi="Book Antiqua" w:cs="Times New Roman"/>
          <w:color w:val="000000" w:themeColor="text1"/>
          <w:sz w:val="24"/>
          <w:szCs w:val="24"/>
        </w:rPr>
        <w:t>,</w:t>
      </w:r>
      <w:r w:rsidRPr="00704D1E">
        <w:rPr>
          <w:rFonts w:ascii="Book Antiqua" w:hAnsi="Book Antiqua" w:cs="Times New Roman"/>
          <w:color w:val="000000" w:themeColor="text1"/>
          <w:sz w:val="24"/>
          <w:szCs w:val="24"/>
        </w:rPr>
        <w:t xml:space="preserve"> and gut microbiota, contribute to the development of steatosis and liver </w:t>
      </w:r>
      <w:proofErr w:type="gramStart"/>
      <w:r w:rsidRPr="00704D1E">
        <w:rPr>
          <w:rFonts w:ascii="Book Antiqua" w:hAnsi="Book Antiqua" w:cs="Times New Roman"/>
          <w:color w:val="000000" w:themeColor="text1"/>
          <w:sz w:val="24"/>
          <w:szCs w:val="24"/>
        </w:rPr>
        <w:t>inflammation</w:t>
      </w:r>
      <w:r w:rsidRPr="00704D1E">
        <w:rPr>
          <w:rFonts w:ascii="Book Antiqua" w:hAnsi="Book Antiqua" w:cs="Times New Roman"/>
          <w:color w:val="000000" w:themeColor="text1"/>
          <w:sz w:val="24"/>
          <w:szCs w:val="24"/>
          <w:vertAlign w:val="superscript"/>
        </w:rPr>
        <w:t>[</w:t>
      </w:r>
      <w:proofErr w:type="gramEnd"/>
      <w:r w:rsidRPr="00704D1E">
        <w:rPr>
          <w:rFonts w:ascii="Book Antiqua" w:hAnsi="Book Antiqua" w:cs="Times New Roman"/>
          <w:color w:val="000000" w:themeColor="text1"/>
          <w:sz w:val="24"/>
          <w:szCs w:val="24"/>
          <w:vertAlign w:val="superscript"/>
        </w:rPr>
        <w:t>6]</w:t>
      </w:r>
      <w:r w:rsidRPr="00704D1E">
        <w:rPr>
          <w:rFonts w:ascii="Book Antiqua" w:hAnsi="Book Antiqua" w:cs="Times New Roman"/>
          <w:color w:val="000000" w:themeColor="text1"/>
          <w:sz w:val="24"/>
          <w:szCs w:val="24"/>
        </w:rPr>
        <w:t>.</w:t>
      </w:r>
    </w:p>
    <w:p w14:paraId="43F067ED" w14:textId="713F2728" w:rsidR="00D35761" w:rsidRPr="00704D1E" w:rsidRDefault="00B5455D" w:rsidP="00B5455D">
      <w:pPr>
        <w:adjustRightInd w:val="0"/>
        <w:snapToGrid w:val="0"/>
        <w:spacing w:line="360" w:lineRule="auto"/>
        <w:rPr>
          <w:rFonts w:ascii="Book Antiqua" w:hAnsi="Book Antiqua" w:cs="Times New Roman"/>
          <w:color w:val="000000" w:themeColor="text1"/>
          <w:sz w:val="24"/>
          <w:szCs w:val="24"/>
        </w:rPr>
      </w:pPr>
      <w:bookmarkStart w:id="54" w:name="_Hlk530923012"/>
      <w:r>
        <w:rPr>
          <w:rFonts w:ascii="Book Antiqua" w:hAnsi="Book Antiqua" w:cs="Times New Roman"/>
          <w:color w:val="000000" w:themeColor="text1"/>
          <w:sz w:val="24"/>
          <w:szCs w:val="24"/>
        </w:rPr>
        <w:t xml:space="preserve">  </w:t>
      </w:r>
      <w:r w:rsidR="00E95559" w:rsidRPr="00704D1E">
        <w:rPr>
          <w:rFonts w:ascii="Book Antiqua" w:hAnsi="Book Antiqua" w:cs="Times New Roman"/>
          <w:color w:val="000000" w:themeColor="text1"/>
          <w:sz w:val="24"/>
          <w:szCs w:val="24"/>
        </w:rPr>
        <w:t>Patients with hypothalamic-pituitary disease present with central obesity, insulin resistance</w:t>
      </w:r>
      <w:r w:rsidR="002C13E8">
        <w:rPr>
          <w:rFonts w:ascii="Book Antiqua" w:hAnsi="Book Antiqua" w:cs="Times New Roman"/>
          <w:color w:val="000000" w:themeColor="text1"/>
          <w:sz w:val="24"/>
          <w:szCs w:val="24"/>
        </w:rPr>
        <w:t>,</w:t>
      </w:r>
      <w:r w:rsidR="00E95559" w:rsidRPr="00704D1E">
        <w:rPr>
          <w:rFonts w:ascii="Book Antiqua" w:hAnsi="Book Antiqua" w:cs="Times New Roman"/>
          <w:color w:val="000000" w:themeColor="text1"/>
          <w:sz w:val="24"/>
          <w:szCs w:val="24"/>
        </w:rPr>
        <w:t xml:space="preserve"> and dyslipidemia, whereas</w:t>
      </w:r>
      <w:r w:rsidR="002C13E8">
        <w:rPr>
          <w:rFonts w:ascii="Book Antiqua" w:hAnsi="Book Antiqua" w:cs="Times New Roman"/>
          <w:color w:val="000000" w:themeColor="text1"/>
          <w:sz w:val="24"/>
          <w:szCs w:val="24"/>
        </w:rPr>
        <w:t xml:space="preserve"> </w:t>
      </w:r>
      <w:r w:rsidR="00E95559" w:rsidRPr="00704D1E">
        <w:rPr>
          <w:rFonts w:ascii="Book Antiqua" w:hAnsi="Book Antiqua" w:cs="Times New Roman"/>
          <w:color w:val="000000" w:themeColor="text1"/>
          <w:sz w:val="24"/>
          <w:szCs w:val="24"/>
        </w:rPr>
        <w:t xml:space="preserve">liver dysfunction and NAFLD are common symptoms in this </w:t>
      </w:r>
      <w:proofErr w:type="gramStart"/>
      <w:r w:rsidR="00E95559" w:rsidRPr="00704D1E">
        <w:rPr>
          <w:rFonts w:ascii="Book Antiqua" w:hAnsi="Book Antiqua" w:cs="Times New Roman"/>
          <w:color w:val="000000" w:themeColor="text1"/>
          <w:sz w:val="24"/>
          <w:szCs w:val="24"/>
        </w:rPr>
        <w:t>subpopulation</w:t>
      </w:r>
      <w:r w:rsidR="00E95559" w:rsidRPr="00704D1E">
        <w:rPr>
          <w:rFonts w:ascii="Book Antiqua" w:hAnsi="Book Antiqua" w:cs="Times New Roman"/>
          <w:color w:val="000000" w:themeColor="text1"/>
          <w:sz w:val="24"/>
          <w:szCs w:val="24"/>
          <w:vertAlign w:val="superscript"/>
        </w:rPr>
        <w:t>[</w:t>
      </w:r>
      <w:proofErr w:type="gramEnd"/>
      <w:r w:rsidR="00E95559" w:rsidRPr="00704D1E">
        <w:rPr>
          <w:rFonts w:ascii="Book Antiqua" w:hAnsi="Book Antiqua" w:cs="Times New Roman"/>
          <w:color w:val="000000" w:themeColor="text1"/>
          <w:sz w:val="24"/>
          <w:szCs w:val="24"/>
          <w:vertAlign w:val="superscript"/>
        </w:rPr>
        <w:t>7-10]</w:t>
      </w:r>
      <w:r w:rsidR="00E95559" w:rsidRPr="00704D1E">
        <w:rPr>
          <w:rFonts w:ascii="Book Antiqua" w:hAnsi="Book Antiqua" w:cs="Times New Roman"/>
          <w:color w:val="000000" w:themeColor="text1"/>
          <w:sz w:val="24"/>
          <w:szCs w:val="24"/>
        </w:rPr>
        <w:t xml:space="preserve">. Hong </w:t>
      </w:r>
      <w:r w:rsidR="00E95559" w:rsidRPr="00704D1E">
        <w:rPr>
          <w:rFonts w:ascii="Book Antiqua" w:hAnsi="Book Antiqua" w:cs="Times New Roman"/>
          <w:i/>
          <w:color w:val="000000" w:themeColor="text1"/>
          <w:sz w:val="24"/>
          <w:szCs w:val="24"/>
        </w:rPr>
        <w:t xml:space="preserve">et </w:t>
      </w:r>
      <w:proofErr w:type="gramStart"/>
      <w:r w:rsidR="00E95559" w:rsidRPr="00704D1E">
        <w:rPr>
          <w:rFonts w:ascii="Book Antiqua" w:hAnsi="Book Antiqua" w:cs="Times New Roman"/>
          <w:i/>
          <w:color w:val="000000" w:themeColor="text1"/>
          <w:sz w:val="24"/>
          <w:szCs w:val="24"/>
        </w:rPr>
        <w:t>al</w:t>
      </w:r>
      <w:r w:rsidRPr="00704D1E">
        <w:rPr>
          <w:rFonts w:ascii="Book Antiqua" w:hAnsi="Book Antiqua" w:cs="Times New Roman"/>
          <w:color w:val="000000" w:themeColor="text1"/>
          <w:sz w:val="24"/>
          <w:szCs w:val="24"/>
          <w:vertAlign w:val="superscript"/>
        </w:rPr>
        <w:t>[</w:t>
      </w:r>
      <w:proofErr w:type="gramEnd"/>
      <w:r w:rsidRPr="00704D1E">
        <w:rPr>
          <w:rFonts w:ascii="Book Antiqua" w:hAnsi="Book Antiqua" w:cs="Times New Roman"/>
          <w:color w:val="000000" w:themeColor="text1"/>
          <w:sz w:val="24"/>
          <w:szCs w:val="24"/>
          <w:vertAlign w:val="superscript"/>
        </w:rPr>
        <w:t>8]</w:t>
      </w:r>
      <w:r w:rsidR="00E95559" w:rsidRPr="00704D1E">
        <w:rPr>
          <w:rFonts w:ascii="Book Antiqua" w:hAnsi="Book Antiqua" w:cs="Times New Roman"/>
          <w:color w:val="000000" w:themeColor="text1"/>
          <w:sz w:val="24"/>
          <w:szCs w:val="24"/>
        </w:rPr>
        <w:t xml:space="preserve"> reported that the frequency of fatty liver on abdominal ultrasonography in male subjects with hypopituitarism was significantly higher compared with tha</w:t>
      </w:r>
      <w:r>
        <w:rPr>
          <w:rFonts w:ascii="Book Antiqua" w:hAnsi="Book Antiqua" w:cs="Times New Roman"/>
          <w:color w:val="000000" w:themeColor="text1"/>
          <w:sz w:val="24"/>
          <w:szCs w:val="24"/>
        </w:rPr>
        <w:t xml:space="preserve">t of control subjects (70.6% </w:t>
      </w:r>
      <w:r w:rsidRPr="00B5455D">
        <w:rPr>
          <w:rFonts w:ascii="Book Antiqua" w:hAnsi="Book Antiqua" w:cs="Times New Roman"/>
          <w:i/>
          <w:color w:val="000000" w:themeColor="text1"/>
          <w:sz w:val="24"/>
          <w:szCs w:val="24"/>
        </w:rPr>
        <w:t>vs</w:t>
      </w:r>
      <w:r w:rsidR="00E95559" w:rsidRPr="00704D1E">
        <w:rPr>
          <w:rFonts w:ascii="Book Antiqua" w:hAnsi="Book Antiqua" w:cs="Times New Roman"/>
          <w:color w:val="000000" w:themeColor="text1"/>
          <w:sz w:val="24"/>
          <w:szCs w:val="24"/>
        </w:rPr>
        <w:t xml:space="preserve"> 32.5%). Growth hormone </w:t>
      </w:r>
      <w:r>
        <w:rPr>
          <w:rFonts w:ascii="Book Antiqua" w:hAnsi="Book Antiqua" w:cs="Times New Roman"/>
          <w:color w:val="000000" w:themeColor="text1"/>
          <w:sz w:val="24"/>
          <w:szCs w:val="24"/>
        </w:rPr>
        <w:t xml:space="preserve">(GH) </w:t>
      </w:r>
      <w:r w:rsidR="00E95559" w:rsidRPr="00704D1E">
        <w:rPr>
          <w:rFonts w:ascii="Book Antiqua" w:hAnsi="Book Antiqua" w:cs="Times New Roman"/>
          <w:color w:val="000000" w:themeColor="text1"/>
          <w:sz w:val="24"/>
          <w:szCs w:val="24"/>
        </w:rPr>
        <w:t xml:space="preserve">deficiency (GHD) has been considered an important contributing factor to these metabolic changes in hypopituitary </w:t>
      </w:r>
      <w:proofErr w:type="gramStart"/>
      <w:r w:rsidR="00E95559" w:rsidRPr="00704D1E">
        <w:rPr>
          <w:rFonts w:ascii="Book Antiqua" w:hAnsi="Book Antiqua" w:cs="Times New Roman"/>
          <w:color w:val="000000" w:themeColor="text1"/>
          <w:sz w:val="24"/>
          <w:szCs w:val="24"/>
        </w:rPr>
        <w:t>patients</w:t>
      </w:r>
      <w:r w:rsidR="00E95559" w:rsidRPr="00704D1E">
        <w:rPr>
          <w:rFonts w:ascii="Book Antiqua" w:hAnsi="Book Antiqua" w:cs="Times New Roman"/>
          <w:color w:val="000000" w:themeColor="text1"/>
          <w:sz w:val="24"/>
          <w:szCs w:val="24"/>
          <w:vertAlign w:val="superscript"/>
        </w:rPr>
        <w:t>[</w:t>
      </w:r>
      <w:proofErr w:type="gramEnd"/>
      <w:r w:rsidR="00E95559" w:rsidRPr="00704D1E">
        <w:rPr>
          <w:rFonts w:ascii="Book Antiqua" w:hAnsi="Book Antiqua" w:cs="Times New Roman"/>
          <w:color w:val="000000" w:themeColor="text1"/>
          <w:sz w:val="24"/>
          <w:szCs w:val="24"/>
          <w:vertAlign w:val="superscript"/>
        </w:rPr>
        <w:t>11-13]</w:t>
      </w:r>
      <w:r w:rsidR="00E95559" w:rsidRPr="00704D1E">
        <w:rPr>
          <w:rFonts w:ascii="Book Antiqua" w:hAnsi="Book Antiqua" w:cs="Times New Roman"/>
          <w:color w:val="000000" w:themeColor="text1"/>
          <w:sz w:val="24"/>
          <w:szCs w:val="24"/>
        </w:rPr>
        <w:t xml:space="preserve">. However, the causes of hypopituitarism in the reported studies varied, and combined pituitary hormone deficiency, including central diabetes insipidus, was more common in this subpopulation. To the best of our knowledge, the imbalance of central diabetes insipidus and concomitant </w:t>
      </w:r>
      <w:r w:rsidR="002C13E8" w:rsidRPr="00704D1E">
        <w:rPr>
          <w:rFonts w:ascii="Book Antiqua" w:hAnsi="Book Antiqua" w:cs="Times New Roman"/>
          <w:color w:val="000000" w:themeColor="text1"/>
          <w:sz w:val="24"/>
          <w:szCs w:val="24"/>
        </w:rPr>
        <w:t xml:space="preserve">serum </w:t>
      </w:r>
      <w:r w:rsidR="00E95559" w:rsidRPr="00704D1E">
        <w:rPr>
          <w:rFonts w:ascii="Book Antiqua" w:hAnsi="Book Antiqua" w:cs="Times New Roman"/>
          <w:color w:val="000000" w:themeColor="text1"/>
          <w:sz w:val="24"/>
          <w:szCs w:val="24"/>
        </w:rPr>
        <w:t>electrolyte</w:t>
      </w:r>
      <w:r w:rsidR="002C13E8">
        <w:rPr>
          <w:rFonts w:ascii="Book Antiqua" w:hAnsi="Book Antiqua" w:cs="Times New Roman"/>
          <w:color w:val="000000" w:themeColor="text1"/>
          <w:sz w:val="24"/>
          <w:szCs w:val="24"/>
        </w:rPr>
        <w:t xml:space="preserve"> </w:t>
      </w:r>
      <w:r w:rsidR="00E95559" w:rsidRPr="00704D1E">
        <w:rPr>
          <w:rFonts w:ascii="Book Antiqua" w:hAnsi="Book Antiqua" w:cs="Times New Roman"/>
          <w:color w:val="000000" w:themeColor="text1"/>
          <w:sz w:val="24"/>
          <w:szCs w:val="24"/>
        </w:rPr>
        <w:t>concentration has not been investigated with regard to the pathophysiology of NAFLD in patients with hypopituitarism. The aim of this retrospective cross-sectional study was to compare Chinese adult hypopituitary patients with NAFLD and those without NAFLD in terms of their clinical manifestations, endocrine function, metabolic parameters</w:t>
      </w:r>
      <w:r w:rsidR="002C13E8">
        <w:rPr>
          <w:rFonts w:ascii="Book Antiqua" w:hAnsi="Book Antiqua" w:cs="Times New Roman"/>
          <w:color w:val="000000" w:themeColor="text1"/>
          <w:sz w:val="24"/>
          <w:szCs w:val="24"/>
        </w:rPr>
        <w:t>,</w:t>
      </w:r>
      <w:r w:rsidR="00E95559" w:rsidRPr="00704D1E">
        <w:rPr>
          <w:rFonts w:ascii="Book Antiqua" w:hAnsi="Book Antiqua" w:cs="Times New Roman"/>
          <w:color w:val="000000" w:themeColor="text1"/>
          <w:sz w:val="24"/>
          <w:szCs w:val="24"/>
        </w:rPr>
        <w:t xml:space="preserve"> and </w:t>
      </w:r>
      <w:r w:rsidR="00E95559" w:rsidRPr="00704D1E">
        <w:rPr>
          <w:rFonts w:ascii="Book Antiqua" w:hAnsi="Book Antiqua" w:cs="Times New Roman"/>
          <w:color w:val="000000" w:themeColor="text1"/>
          <w:sz w:val="24"/>
          <w:szCs w:val="24"/>
        </w:rPr>
        <w:lastRenderedPageBreak/>
        <w:t xml:space="preserve">serum electrolyte parameters and to analyze the associated factors with NAFLD and cirrhosis. </w:t>
      </w:r>
      <w:bookmarkEnd w:id="54"/>
    </w:p>
    <w:p w14:paraId="4445EC7C" w14:textId="77777777" w:rsidR="00937963" w:rsidRPr="00704D1E" w:rsidRDefault="00937963" w:rsidP="00704D1E">
      <w:pPr>
        <w:adjustRightInd w:val="0"/>
        <w:snapToGrid w:val="0"/>
        <w:spacing w:line="360" w:lineRule="auto"/>
        <w:rPr>
          <w:rFonts w:ascii="Book Antiqua" w:hAnsi="Book Antiqua" w:cs="Times New Roman"/>
          <w:b/>
          <w:color w:val="000000" w:themeColor="text1"/>
          <w:sz w:val="24"/>
          <w:szCs w:val="24"/>
        </w:rPr>
      </w:pPr>
    </w:p>
    <w:p w14:paraId="78CFD3E0" w14:textId="5F6F1A04" w:rsidR="002E1C97" w:rsidRPr="00704D1E" w:rsidRDefault="00DE5CD7" w:rsidP="00487AFC">
      <w:pPr>
        <w:adjustRightInd w:val="0"/>
        <w:snapToGrid w:val="0"/>
        <w:spacing w:line="360" w:lineRule="auto"/>
        <w:outlineLvl w:val="0"/>
        <w:rPr>
          <w:rFonts w:ascii="Book Antiqua" w:hAnsi="Book Antiqua" w:cs="Times New Roman"/>
          <w:b/>
          <w:color w:val="000000" w:themeColor="text1"/>
          <w:sz w:val="24"/>
          <w:szCs w:val="24"/>
        </w:rPr>
      </w:pPr>
      <w:r w:rsidRPr="00704D1E">
        <w:rPr>
          <w:rFonts w:ascii="Book Antiqua" w:hAnsi="Book Antiqua" w:cs="Times New Roman"/>
          <w:b/>
          <w:color w:val="000000" w:themeColor="text1"/>
          <w:sz w:val="24"/>
          <w:szCs w:val="24"/>
        </w:rPr>
        <w:t>M</w:t>
      </w:r>
      <w:r w:rsidR="00217248" w:rsidRPr="00704D1E">
        <w:rPr>
          <w:rFonts w:ascii="Book Antiqua" w:hAnsi="Book Antiqua" w:cs="Times New Roman"/>
          <w:b/>
          <w:color w:val="000000" w:themeColor="text1"/>
          <w:sz w:val="24"/>
          <w:szCs w:val="24"/>
        </w:rPr>
        <w:t>ATERIALS AND METHODS</w:t>
      </w:r>
    </w:p>
    <w:p w14:paraId="36487A69" w14:textId="79CEEAE6" w:rsidR="00937963" w:rsidRPr="00704D1E" w:rsidRDefault="00E95559"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 xml:space="preserve">The present study is a retrospective cross-sectional observational study. The study protocol was approved by the Ethics Committee of </w:t>
      </w:r>
      <w:bookmarkStart w:id="55" w:name="_Hlk524805683"/>
      <w:r w:rsidRPr="00704D1E">
        <w:rPr>
          <w:rFonts w:ascii="Book Antiqua" w:hAnsi="Book Antiqua" w:cs="Times New Roman"/>
          <w:color w:val="000000" w:themeColor="text1"/>
          <w:sz w:val="24"/>
          <w:szCs w:val="24"/>
        </w:rPr>
        <w:t>the Peking Union Medical College Hospital</w:t>
      </w:r>
      <w:bookmarkEnd w:id="55"/>
      <w:r w:rsidR="00B5455D">
        <w:rPr>
          <w:rFonts w:ascii="Book Antiqua" w:hAnsi="Book Antiqua" w:cs="Times New Roman"/>
          <w:color w:val="000000" w:themeColor="text1"/>
          <w:sz w:val="24"/>
          <w:szCs w:val="24"/>
        </w:rPr>
        <w:t xml:space="preserve"> (PUMCH</w:t>
      </w:r>
      <w:r w:rsidR="002C13E8">
        <w:rPr>
          <w:rFonts w:ascii="Book Antiqua" w:hAnsi="Book Antiqua" w:cs="Times New Roman"/>
          <w:color w:val="000000" w:themeColor="text1"/>
          <w:sz w:val="24"/>
          <w:szCs w:val="24"/>
        </w:rPr>
        <w:t xml:space="preserve">; </w:t>
      </w:r>
      <w:r w:rsidR="00B5455D">
        <w:rPr>
          <w:rFonts w:ascii="Book Antiqua" w:hAnsi="Book Antiqua" w:cs="Times New Roman"/>
          <w:color w:val="000000" w:themeColor="text1"/>
          <w:sz w:val="24"/>
          <w:szCs w:val="24"/>
        </w:rPr>
        <w:t>No. JS1233</w:t>
      </w:r>
      <w:r w:rsidR="002C13E8">
        <w:rPr>
          <w:rFonts w:ascii="Book Antiqua" w:hAnsi="Book Antiqua" w:cs="Times New Roman"/>
          <w:color w:val="000000" w:themeColor="text1"/>
          <w:sz w:val="24"/>
          <w:szCs w:val="24"/>
        </w:rPr>
        <w:t>)</w:t>
      </w:r>
      <w:r w:rsidRPr="00704D1E">
        <w:rPr>
          <w:rFonts w:ascii="Book Antiqua" w:hAnsi="Book Antiqua" w:cs="Times New Roman"/>
          <w:color w:val="000000" w:themeColor="text1"/>
          <w:sz w:val="24"/>
          <w:szCs w:val="24"/>
        </w:rPr>
        <w:t>.</w:t>
      </w:r>
    </w:p>
    <w:p w14:paraId="195B5E1A" w14:textId="77777777" w:rsidR="00E95559" w:rsidRPr="00704D1E" w:rsidRDefault="00E95559" w:rsidP="00704D1E">
      <w:pPr>
        <w:adjustRightInd w:val="0"/>
        <w:snapToGrid w:val="0"/>
        <w:spacing w:line="360" w:lineRule="auto"/>
        <w:rPr>
          <w:rFonts w:ascii="Book Antiqua" w:hAnsi="Book Antiqua" w:cs="Times New Roman"/>
          <w:b/>
          <w:i/>
          <w:color w:val="000000" w:themeColor="text1"/>
          <w:sz w:val="24"/>
          <w:szCs w:val="24"/>
        </w:rPr>
      </w:pPr>
    </w:p>
    <w:p w14:paraId="23E37235" w14:textId="77777777" w:rsidR="00C32A0B" w:rsidRPr="00704D1E" w:rsidRDefault="00C32A0B" w:rsidP="00487AFC">
      <w:pPr>
        <w:adjustRightInd w:val="0"/>
        <w:snapToGrid w:val="0"/>
        <w:spacing w:line="360" w:lineRule="auto"/>
        <w:outlineLvl w:val="0"/>
        <w:rPr>
          <w:rFonts w:ascii="Book Antiqua" w:hAnsi="Book Antiqua" w:cs="Times New Roman"/>
          <w:b/>
          <w:i/>
          <w:color w:val="000000" w:themeColor="text1"/>
          <w:sz w:val="24"/>
          <w:szCs w:val="24"/>
        </w:rPr>
      </w:pPr>
      <w:r w:rsidRPr="00704D1E">
        <w:rPr>
          <w:rFonts w:ascii="Book Antiqua" w:hAnsi="Book Antiqua" w:cs="Times New Roman"/>
          <w:b/>
          <w:i/>
          <w:color w:val="000000" w:themeColor="text1"/>
          <w:sz w:val="24"/>
          <w:szCs w:val="24"/>
        </w:rPr>
        <w:t>Subjects</w:t>
      </w:r>
    </w:p>
    <w:p w14:paraId="67A12C19" w14:textId="24773D22" w:rsidR="00C32A0B" w:rsidRPr="00704D1E" w:rsidRDefault="00C32A0B"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 xml:space="preserve">A total of 36 male and 14 female adult Chinese patients with hypopituitarism and/or panhypopituitarism were consecutively enrolled at </w:t>
      </w:r>
      <w:bookmarkStart w:id="56" w:name="_Hlk496362647"/>
      <w:r w:rsidRPr="00704D1E">
        <w:rPr>
          <w:rFonts w:ascii="Book Antiqua" w:hAnsi="Book Antiqua" w:cs="Times New Roman"/>
          <w:color w:val="000000" w:themeColor="text1"/>
          <w:sz w:val="24"/>
          <w:szCs w:val="24"/>
        </w:rPr>
        <w:t xml:space="preserve">the </w:t>
      </w:r>
      <w:r w:rsidR="002C13E8">
        <w:rPr>
          <w:rFonts w:ascii="Book Antiqua" w:hAnsi="Book Antiqua" w:cs="Times New Roman"/>
          <w:color w:val="000000" w:themeColor="text1"/>
          <w:sz w:val="24"/>
          <w:szCs w:val="24"/>
        </w:rPr>
        <w:t>P</w:t>
      </w:r>
      <w:r w:rsidR="002C13E8" w:rsidRPr="00704D1E">
        <w:rPr>
          <w:rFonts w:ascii="Book Antiqua" w:hAnsi="Book Antiqua" w:cs="Times New Roman"/>
          <w:color w:val="000000" w:themeColor="text1"/>
          <w:sz w:val="24"/>
          <w:szCs w:val="24"/>
        </w:rPr>
        <w:t xml:space="preserve">ituitary </w:t>
      </w:r>
      <w:r w:rsidR="002C13E8">
        <w:rPr>
          <w:rFonts w:ascii="Book Antiqua" w:hAnsi="Book Antiqua" w:cs="Times New Roman"/>
          <w:color w:val="000000" w:themeColor="text1"/>
          <w:sz w:val="24"/>
          <w:szCs w:val="24"/>
        </w:rPr>
        <w:t>C</w:t>
      </w:r>
      <w:r w:rsidR="002C13E8" w:rsidRPr="00704D1E">
        <w:rPr>
          <w:rFonts w:ascii="Book Antiqua" w:hAnsi="Book Antiqua" w:cs="Times New Roman"/>
          <w:color w:val="000000" w:themeColor="text1"/>
          <w:sz w:val="24"/>
          <w:szCs w:val="24"/>
        </w:rPr>
        <w:t xml:space="preserve">enter </w:t>
      </w:r>
      <w:r w:rsidRPr="00704D1E">
        <w:rPr>
          <w:rFonts w:ascii="Book Antiqua" w:hAnsi="Book Antiqua" w:cs="Times New Roman"/>
          <w:color w:val="000000" w:themeColor="text1"/>
          <w:sz w:val="24"/>
          <w:szCs w:val="24"/>
        </w:rPr>
        <w:t xml:space="preserve">of </w:t>
      </w:r>
      <w:bookmarkEnd w:id="56"/>
      <w:r w:rsidRPr="00704D1E">
        <w:rPr>
          <w:rFonts w:ascii="Book Antiqua" w:hAnsi="Book Antiqua" w:cs="Times New Roman"/>
          <w:color w:val="000000" w:themeColor="text1"/>
          <w:sz w:val="24"/>
          <w:szCs w:val="24"/>
        </w:rPr>
        <w:t xml:space="preserve">PUMCH between August 2012 and April 2018. According to abdominal ultrasonography, these patients were divided into </w:t>
      </w:r>
      <w:r w:rsidR="002C13E8">
        <w:rPr>
          <w:rFonts w:ascii="Book Antiqua" w:hAnsi="Book Antiqua" w:cs="Times New Roman"/>
          <w:color w:val="000000" w:themeColor="text1"/>
          <w:sz w:val="24"/>
          <w:szCs w:val="24"/>
        </w:rPr>
        <w:t>an</w:t>
      </w:r>
      <w:r w:rsidR="002C13E8" w:rsidRPr="00704D1E">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 xml:space="preserve">NAFLD (-) group and </w:t>
      </w:r>
      <w:r w:rsidR="002C13E8">
        <w:rPr>
          <w:rFonts w:ascii="Book Antiqua" w:hAnsi="Book Antiqua" w:cs="Times New Roman"/>
          <w:color w:val="000000" w:themeColor="text1"/>
          <w:sz w:val="24"/>
          <w:szCs w:val="24"/>
        </w:rPr>
        <w:t>an</w:t>
      </w:r>
      <w:r w:rsidR="002C13E8" w:rsidRPr="00704D1E">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NAFLD (+) group, and the latter was further divided into</w:t>
      </w:r>
      <w:r w:rsidR="002C13E8">
        <w:rPr>
          <w:rFonts w:ascii="Book Antiqua" w:hAnsi="Book Antiqua" w:cs="Times New Roman"/>
          <w:color w:val="000000" w:themeColor="text1"/>
          <w:sz w:val="24"/>
          <w:szCs w:val="24"/>
        </w:rPr>
        <w:t xml:space="preserve"> an</w:t>
      </w:r>
      <w:r w:rsidRPr="00704D1E">
        <w:rPr>
          <w:rFonts w:ascii="Book Antiqua" w:hAnsi="Book Antiqua" w:cs="Times New Roman"/>
          <w:color w:val="000000" w:themeColor="text1"/>
          <w:sz w:val="24"/>
          <w:szCs w:val="24"/>
        </w:rPr>
        <w:t xml:space="preserve"> NAFLD group and </w:t>
      </w:r>
      <w:r w:rsidR="002C13E8">
        <w:rPr>
          <w:rFonts w:ascii="Book Antiqua" w:hAnsi="Book Antiqua" w:cs="Times New Roman"/>
          <w:color w:val="000000" w:themeColor="text1"/>
          <w:sz w:val="24"/>
          <w:szCs w:val="24"/>
        </w:rPr>
        <w:t>a</w:t>
      </w:r>
      <w:r w:rsidR="002C13E8" w:rsidRPr="00704D1E">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cirrhotic group according to the histological and/or clinical diagnostic criteria of cirrhosis.</w:t>
      </w:r>
    </w:p>
    <w:p w14:paraId="2D25BAE9" w14:textId="3AE05496" w:rsidR="00C32A0B" w:rsidRPr="00704D1E" w:rsidRDefault="00B5455D" w:rsidP="00B545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C32A0B" w:rsidRPr="00704D1E">
        <w:rPr>
          <w:rFonts w:ascii="Book Antiqua" w:hAnsi="Book Antiqua" w:cs="Times New Roman"/>
          <w:color w:val="000000" w:themeColor="text1"/>
          <w:sz w:val="24"/>
          <w:szCs w:val="24"/>
        </w:rPr>
        <w:t>Hypopituitarism/panhypopituitarism was diagnosed clinically based on clinical manifestations, basal evaluation of pituitary function</w:t>
      </w:r>
      <w:r w:rsidR="002C13E8">
        <w:rPr>
          <w:rFonts w:ascii="Book Antiqua" w:hAnsi="Book Antiqua" w:cs="Times New Roman"/>
          <w:color w:val="000000" w:themeColor="text1"/>
          <w:sz w:val="24"/>
          <w:szCs w:val="24"/>
        </w:rPr>
        <w:t>,</w:t>
      </w:r>
      <w:r w:rsidR="00C32A0B" w:rsidRPr="00704D1E">
        <w:rPr>
          <w:rFonts w:ascii="Book Antiqua" w:hAnsi="Book Antiqua" w:cs="Times New Roman"/>
          <w:color w:val="000000" w:themeColor="text1"/>
          <w:sz w:val="24"/>
          <w:szCs w:val="24"/>
        </w:rPr>
        <w:t xml:space="preserve"> and provocative tests. Hypopituitarism/panhypopituitarism was confirmed as follows: GHD was diagnosed as a peak serum GH level lower than 3 </w:t>
      </w:r>
      <w:r w:rsidR="00C32A0B" w:rsidRPr="00704D1E">
        <w:rPr>
          <w:rFonts w:ascii="Book Antiqua" w:hAnsi="Book Antiqua" w:cs="Times New Roman"/>
          <w:color w:val="000000" w:themeColor="text1"/>
          <w:sz w:val="24"/>
          <w:szCs w:val="24"/>
        </w:rPr>
        <w:sym w:font="Symbol" w:char="F06D"/>
      </w:r>
      <w:r>
        <w:rPr>
          <w:rFonts w:ascii="Book Antiqua" w:hAnsi="Book Antiqua" w:cs="Times New Roman"/>
          <w:color w:val="000000" w:themeColor="text1"/>
          <w:sz w:val="24"/>
          <w:szCs w:val="24"/>
        </w:rPr>
        <w:t>g/L</w:t>
      </w:r>
      <w:r w:rsidR="00C32A0B" w:rsidRPr="00704D1E">
        <w:rPr>
          <w:rFonts w:ascii="Book Antiqua" w:hAnsi="Book Antiqua" w:cs="Times New Roman"/>
          <w:color w:val="000000" w:themeColor="text1"/>
          <w:sz w:val="24"/>
          <w:szCs w:val="24"/>
        </w:rPr>
        <w:t xml:space="preserve"> in both </w:t>
      </w:r>
      <w:bookmarkStart w:id="57" w:name="_Hlk524805716"/>
      <w:r w:rsidR="00C32A0B" w:rsidRPr="00704D1E">
        <w:rPr>
          <w:rFonts w:ascii="Book Antiqua" w:hAnsi="Book Antiqua" w:cs="Times New Roman"/>
          <w:color w:val="000000" w:themeColor="text1"/>
          <w:sz w:val="24"/>
          <w:szCs w:val="24"/>
        </w:rPr>
        <w:t>insulin tolerance tests</w:t>
      </w:r>
      <w:bookmarkEnd w:id="57"/>
      <w:r w:rsidR="00C32A0B" w:rsidRPr="00704D1E">
        <w:rPr>
          <w:rFonts w:ascii="Book Antiqua" w:hAnsi="Book Antiqua" w:cs="Times New Roman"/>
          <w:color w:val="000000" w:themeColor="text1"/>
          <w:sz w:val="24"/>
          <w:szCs w:val="24"/>
        </w:rPr>
        <w:t xml:space="preserve"> (ITTs) and L-arginine </w:t>
      </w:r>
      <w:proofErr w:type="gramStart"/>
      <w:r w:rsidR="00C32A0B" w:rsidRPr="00704D1E">
        <w:rPr>
          <w:rFonts w:ascii="Book Antiqua" w:hAnsi="Book Antiqua" w:cs="Times New Roman"/>
          <w:color w:val="000000" w:themeColor="text1"/>
          <w:sz w:val="24"/>
          <w:szCs w:val="24"/>
        </w:rPr>
        <w:t>tests</w:t>
      </w:r>
      <w:r w:rsidR="00C32A0B" w:rsidRPr="00704D1E">
        <w:rPr>
          <w:rFonts w:ascii="Book Antiqua" w:hAnsi="Book Antiqua" w:cs="Times New Roman"/>
          <w:color w:val="000000" w:themeColor="text1"/>
          <w:sz w:val="24"/>
          <w:szCs w:val="24"/>
          <w:vertAlign w:val="superscript"/>
        </w:rPr>
        <w:t>[</w:t>
      </w:r>
      <w:proofErr w:type="gramEnd"/>
      <w:r w:rsidR="00C32A0B" w:rsidRPr="00704D1E">
        <w:rPr>
          <w:rFonts w:ascii="Book Antiqua" w:hAnsi="Book Antiqua" w:cs="Times New Roman"/>
          <w:color w:val="000000" w:themeColor="text1"/>
          <w:sz w:val="24"/>
          <w:szCs w:val="24"/>
          <w:vertAlign w:val="superscript"/>
        </w:rPr>
        <w:t>14]</w:t>
      </w:r>
      <w:r w:rsidR="00C32A0B" w:rsidRPr="00704D1E">
        <w:rPr>
          <w:rFonts w:ascii="Book Antiqua" w:hAnsi="Book Antiqua" w:cs="Times New Roman"/>
          <w:color w:val="000000" w:themeColor="text1"/>
          <w:sz w:val="24"/>
          <w:szCs w:val="24"/>
        </w:rPr>
        <w:t xml:space="preserve">. </w:t>
      </w:r>
      <w:bookmarkStart w:id="58" w:name="_Hlk524805817"/>
      <w:r w:rsidR="00C32A0B" w:rsidRPr="00704D1E">
        <w:rPr>
          <w:rFonts w:ascii="Book Antiqua" w:hAnsi="Book Antiqua" w:cs="Times New Roman"/>
          <w:color w:val="000000" w:themeColor="text1"/>
          <w:sz w:val="24"/>
          <w:szCs w:val="24"/>
        </w:rPr>
        <w:t>Hypogonadotropic hypogonadism</w:t>
      </w:r>
      <w:bookmarkEnd w:id="58"/>
      <w:r w:rsidR="00C32A0B" w:rsidRPr="00704D1E">
        <w:rPr>
          <w:rFonts w:ascii="Book Antiqua" w:hAnsi="Book Antiqua" w:cs="Times New Roman"/>
          <w:color w:val="000000" w:themeColor="text1"/>
          <w:sz w:val="24"/>
          <w:szCs w:val="24"/>
        </w:rPr>
        <w:t xml:space="preserve"> (HH) was defined </w:t>
      </w:r>
      <w:bookmarkStart w:id="59" w:name="_Hlk524805844"/>
      <w:r w:rsidR="00C32A0B" w:rsidRPr="00704D1E">
        <w:rPr>
          <w:rFonts w:ascii="Book Antiqua" w:hAnsi="Book Antiqua" w:cs="Times New Roman"/>
          <w:color w:val="000000" w:themeColor="text1"/>
          <w:sz w:val="24"/>
          <w:szCs w:val="24"/>
        </w:rPr>
        <w:t xml:space="preserve">by </w:t>
      </w:r>
      <w:r w:rsidR="00D24F93">
        <w:rPr>
          <w:rFonts w:ascii="Book Antiqua" w:hAnsi="Book Antiqua" w:cs="Times New Roman"/>
          <w:color w:val="000000" w:themeColor="text1"/>
          <w:sz w:val="24"/>
          <w:szCs w:val="24"/>
        </w:rPr>
        <w:t>a</w:t>
      </w:r>
      <w:r w:rsidR="00D24F93" w:rsidRPr="00704D1E">
        <w:rPr>
          <w:rFonts w:ascii="Book Antiqua" w:hAnsi="Book Antiqua" w:cs="Times New Roman"/>
          <w:color w:val="000000" w:themeColor="text1"/>
          <w:sz w:val="24"/>
          <w:szCs w:val="24"/>
        </w:rPr>
        <w:t xml:space="preserve"> </w:t>
      </w:r>
      <w:r w:rsidR="00C32A0B" w:rsidRPr="00704D1E">
        <w:rPr>
          <w:rFonts w:ascii="Book Antiqua" w:hAnsi="Book Antiqua" w:cs="Times New Roman"/>
          <w:color w:val="000000" w:themeColor="text1"/>
          <w:sz w:val="24"/>
          <w:szCs w:val="24"/>
        </w:rPr>
        <w:t>reduction in the</w:t>
      </w:r>
      <w:r w:rsidR="00D24F93">
        <w:rPr>
          <w:rFonts w:ascii="Book Antiqua" w:hAnsi="Book Antiqua" w:cs="Times New Roman"/>
          <w:color w:val="000000" w:themeColor="text1"/>
          <w:sz w:val="24"/>
          <w:szCs w:val="24"/>
        </w:rPr>
        <w:t xml:space="preserve"> </w:t>
      </w:r>
      <w:r w:rsidR="00C32A0B" w:rsidRPr="00704D1E">
        <w:rPr>
          <w:rFonts w:ascii="Book Antiqua" w:hAnsi="Book Antiqua" w:cs="Times New Roman"/>
          <w:color w:val="000000" w:themeColor="text1"/>
          <w:sz w:val="24"/>
          <w:szCs w:val="24"/>
        </w:rPr>
        <w:t>levels of luteinizing hormone</w:t>
      </w:r>
      <w:bookmarkEnd w:id="59"/>
      <w:r w:rsidR="00C32A0B" w:rsidRPr="00704D1E">
        <w:rPr>
          <w:rFonts w:ascii="Book Antiqua" w:hAnsi="Book Antiqua" w:cs="Times New Roman"/>
          <w:color w:val="000000" w:themeColor="text1"/>
          <w:sz w:val="24"/>
          <w:szCs w:val="24"/>
        </w:rPr>
        <w:t xml:space="preserve"> (LH) and </w:t>
      </w:r>
      <w:bookmarkStart w:id="60" w:name="_Hlk524805853"/>
      <w:r w:rsidR="00C32A0B" w:rsidRPr="00704D1E">
        <w:rPr>
          <w:rFonts w:ascii="Book Antiqua" w:hAnsi="Book Antiqua" w:cs="Times New Roman"/>
          <w:color w:val="000000" w:themeColor="text1"/>
          <w:sz w:val="24"/>
          <w:szCs w:val="24"/>
        </w:rPr>
        <w:t>follicle stimulating hormone</w:t>
      </w:r>
      <w:bookmarkEnd w:id="60"/>
      <w:r w:rsidR="00C32A0B" w:rsidRPr="00704D1E">
        <w:rPr>
          <w:rFonts w:ascii="Book Antiqua" w:hAnsi="Book Antiqua" w:cs="Times New Roman"/>
          <w:color w:val="000000" w:themeColor="text1"/>
          <w:sz w:val="24"/>
          <w:szCs w:val="24"/>
        </w:rPr>
        <w:t xml:space="preserve"> (FSH) for premenopausal women with a low serum estradiol concentration, and for adult men with </w:t>
      </w:r>
      <w:r w:rsidR="00D24F93">
        <w:rPr>
          <w:rFonts w:ascii="Book Antiqua" w:hAnsi="Book Antiqua" w:cs="Times New Roman"/>
          <w:color w:val="000000" w:themeColor="text1"/>
          <w:sz w:val="24"/>
          <w:szCs w:val="24"/>
        </w:rPr>
        <w:t xml:space="preserve">a </w:t>
      </w:r>
      <w:r w:rsidR="00C32A0B" w:rsidRPr="00704D1E">
        <w:rPr>
          <w:rFonts w:ascii="Book Antiqua" w:hAnsi="Book Antiqua" w:cs="Times New Roman"/>
          <w:color w:val="000000" w:themeColor="text1"/>
          <w:sz w:val="24"/>
          <w:szCs w:val="24"/>
        </w:rPr>
        <w:t>morning serum total testosterone concentration lower than 10.4 nmol/</w:t>
      </w:r>
      <w:proofErr w:type="gramStart"/>
      <w:r>
        <w:rPr>
          <w:rFonts w:ascii="Book Antiqua" w:hAnsi="Book Antiqua" w:cs="Times New Roman"/>
          <w:color w:val="000000" w:themeColor="text1"/>
          <w:sz w:val="24"/>
          <w:szCs w:val="24"/>
        </w:rPr>
        <w:t>L</w:t>
      </w:r>
      <w:r w:rsidR="00C32A0B" w:rsidRPr="00704D1E">
        <w:rPr>
          <w:rFonts w:ascii="Book Antiqua" w:hAnsi="Book Antiqua" w:cs="Times New Roman"/>
          <w:color w:val="000000" w:themeColor="text1"/>
          <w:sz w:val="24"/>
          <w:szCs w:val="24"/>
          <w:vertAlign w:val="superscript"/>
        </w:rPr>
        <w:t>[</w:t>
      </w:r>
      <w:proofErr w:type="gramEnd"/>
      <w:r w:rsidR="00C32A0B" w:rsidRPr="00704D1E">
        <w:rPr>
          <w:rFonts w:ascii="Book Antiqua" w:hAnsi="Book Antiqua" w:cs="Times New Roman"/>
          <w:color w:val="000000" w:themeColor="text1"/>
          <w:sz w:val="24"/>
          <w:szCs w:val="24"/>
          <w:vertAlign w:val="superscript"/>
        </w:rPr>
        <w:t>15]</w:t>
      </w:r>
      <w:r w:rsidR="00C32A0B" w:rsidRPr="00704D1E">
        <w:rPr>
          <w:rFonts w:ascii="Book Antiqua" w:hAnsi="Book Antiqua" w:cs="Times New Roman"/>
          <w:color w:val="000000" w:themeColor="text1"/>
          <w:sz w:val="24"/>
          <w:szCs w:val="24"/>
        </w:rPr>
        <w:t>. HH was diagnosed via gonadotropin releasing hormone analogue (triptorelin) stimulation tests as follows: LH</w:t>
      </w:r>
      <w:r w:rsidR="00C32A0B" w:rsidRPr="00704D1E">
        <w:rPr>
          <w:rFonts w:ascii="Book Antiqua" w:hAnsi="Book Antiqua" w:cs="Times New Roman"/>
          <w:color w:val="000000" w:themeColor="text1"/>
          <w:sz w:val="24"/>
          <w:szCs w:val="24"/>
          <w:vertAlign w:val="subscript"/>
        </w:rPr>
        <w:t>60min</w:t>
      </w:r>
      <w:r>
        <w:rPr>
          <w:rFonts w:ascii="Book Antiqua" w:hAnsi="Book Antiqua" w:cs="Times New Roman"/>
          <w:color w:val="000000" w:themeColor="text1"/>
          <w:sz w:val="24"/>
          <w:szCs w:val="24"/>
        </w:rPr>
        <w:t xml:space="preserve"> was lower than 4 IU/L</w:t>
      </w:r>
      <w:r w:rsidR="00C32A0B" w:rsidRPr="00704D1E">
        <w:rPr>
          <w:rFonts w:ascii="Book Antiqua" w:hAnsi="Book Antiqua" w:cs="Times New Roman"/>
          <w:color w:val="000000" w:themeColor="text1"/>
          <w:sz w:val="24"/>
          <w:szCs w:val="24"/>
        </w:rPr>
        <w:t xml:space="preserve"> (indispensable tests for delayed or absent </w:t>
      </w:r>
      <w:proofErr w:type="gramStart"/>
      <w:r w:rsidR="00C32A0B" w:rsidRPr="00704D1E">
        <w:rPr>
          <w:rFonts w:ascii="Book Antiqua" w:hAnsi="Book Antiqua" w:cs="Times New Roman"/>
          <w:color w:val="000000" w:themeColor="text1"/>
          <w:sz w:val="24"/>
          <w:szCs w:val="24"/>
        </w:rPr>
        <w:t>puberty)</w:t>
      </w:r>
      <w:r w:rsidR="00C32A0B" w:rsidRPr="00704D1E">
        <w:rPr>
          <w:rFonts w:ascii="Book Antiqua" w:hAnsi="Book Antiqua" w:cs="Times New Roman"/>
          <w:color w:val="000000" w:themeColor="text1"/>
          <w:sz w:val="24"/>
          <w:szCs w:val="24"/>
          <w:vertAlign w:val="superscript"/>
        </w:rPr>
        <w:t>[</w:t>
      </w:r>
      <w:proofErr w:type="gramEnd"/>
      <w:r w:rsidR="00C32A0B" w:rsidRPr="00704D1E">
        <w:rPr>
          <w:rFonts w:ascii="Book Antiqua" w:hAnsi="Book Antiqua" w:cs="Times New Roman"/>
          <w:color w:val="000000" w:themeColor="text1"/>
          <w:sz w:val="24"/>
          <w:szCs w:val="24"/>
          <w:vertAlign w:val="superscript"/>
        </w:rPr>
        <w:t>16]</w:t>
      </w:r>
      <w:r w:rsidR="00C32A0B" w:rsidRPr="00704D1E">
        <w:rPr>
          <w:rFonts w:ascii="Book Antiqua" w:hAnsi="Book Antiqua" w:cs="Times New Roman"/>
          <w:color w:val="000000" w:themeColor="text1"/>
          <w:sz w:val="24"/>
          <w:szCs w:val="24"/>
        </w:rPr>
        <w:t xml:space="preserve">. Secondary hypocortisolism was diagnosed based on a peak serum cortisol response lower than 18 </w:t>
      </w:r>
      <w:r w:rsidR="00C32A0B" w:rsidRPr="00704D1E">
        <w:rPr>
          <w:rFonts w:ascii="Book Antiqua" w:hAnsi="Book Antiqua" w:cs="Times New Roman"/>
          <w:color w:val="000000" w:themeColor="text1"/>
          <w:sz w:val="24"/>
          <w:szCs w:val="24"/>
        </w:rPr>
        <w:sym w:font="Symbol" w:char="F06D"/>
      </w:r>
      <w:r>
        <w:rPr>
          <w:rFonts w:ascii="Book Antiqua" w:hAnsi="Book Antiqua" w:cs="Times New Roman"/>
          <w:color w:val="000000" w:themeColor="text1"/>
          <w:sz w:val="24"/>
          <w:szCs w:val="24"/>
        </w:rPr>
        <w:t>g/dL (497.5 nmol/L</w:t>
      </w:r>
      <w:r w:rsidR="00C32A0B" w:rsidRPr="00704D1E">
        <w:rPr>
          <w:rFonts w:ascii="Book Antiqua" w:hAnsi="Book Antiqua" w:cs="Times New Roman"/>
          <w:color w:val="000000" w:themeColor="text1"/>
          <w:sz w:val="24"/>
          <w:szCs w:val="24"/>
        </w:rPr>
        <w:t xml:space="preserve">) in </w:t>
      </w:r>
      <w:proofErr w:type="gramStart"/>
      <w:r w:rsidR="00C32A0B" w:rsidRPr="00704D1E">
        <w:rPr>
          <w:rFonts w:ascii="Book Antiqua" w:hAnsi="Book Antiqua" w:cs="Times New Roman"/>
          <w:color w:val="000000" w:themeColor="text1"/>
          <w:sz w:val="24"/>
          <w:szCs w:val="24"/>
        </w:rPr>
        <w:t>ITTs</w:t>
      </w:r>
      <w:r w:rsidR="00C32A0B" w:rsidRPr="00704D1E">
        <w:rPr>
          <w:rFonts w:ascii="Book Antiqua" w:hAnsi="Book Antiqua" w:cs="Times New Roman"/>
          <w:color w:val="000000" w:themeColor="text1"/>
          <w:sz w:val="24"/>
          <w:szCs w:val="24"/>
          <w:vertAlign w:val="superscript"/>
        </w:rPr>
        <w:t>[</w:t>
      </w:r>
      <w:proofErr w:type="gramEnd"/>
      <w:r w:rsidR="00C32A0B" w:rsidRPr="00704D1E">
        <w:rPr>
          <w:rFonts w:ascii="Book Antiqua" w:hAnsi="Book Antiqua" w:cs="Times New Roman"/>
          <w:color w:val="000000" w:themeColor="text1"/>
          <w:sz w:val="24"/>
          <w:szCs w:val="24"/>
          <w:vertAlign w:val="superscript"/>
        </w:rPr>
        <w:t>14]</w:t>
      </w:r>
      <w:r w:rsidR="00C32A0B" w:rsidRPr="00704D1E">
        <w:rPr>
          <w:rFonts w:ascii="Book Antiqua" w:hAnsi="Book Antiqua" w:cs="Times New Roman"/>
          <w:color w:val="000000" w:themeColor="text1"/>
          <w:sz w:val="24"/>
          <w:szCs w:val="24"/>
        </w:rPr>
        <w:t xml:space="preserve">. Secondary hypothyroidism was diagnosed from a serum </w:t>
      </w:r>
      <w:bookmarkStart w:id="61" w:name="_Hlk524805898"/>
      <w:r w:rsidR="00C32A0B" w:rsidRPr="00704D1E">
        <w:rPr>
          <w:rFonts w:ascii="Book Antiqua" w:hAnsi="Book Antiqua" w:cs="Times New Roman"/>
          <w:color w:val="000000" w:themeColor="text1"/>
          <w:sz w:val="24"/>
          <w:szCs w:val="24"/>
        </w:rPr>
        <w:t>free thyroxine</w:t>
      </w:r>
      <w:bookmarkEnd w:id="61"/>
      <w:r w:rsidR="00C32A0B" w:rsidRPr="00704D1E">
        <w:rPr>
          <w:rFonts w:ascii="Book Antiqua" w:hAnsi="Book Antiqua" w:cs="Times New Roman"/>
          <w:color w:val="000000" w:themeColor="text1"/>
          <w:sz w:val="24"/>
          <w:szCs w:val="24"/>
        </w:rPr>
        <w:t xml:space="preserve"> (FT4) level below the laboratory reference range in conjunction with </w:t>
      </w:r>
      <w:r w:rsidR="00C32A0B" w:rsidRPr="00704D1E">
        <w:rPr>
          <w:rFonts w:ascii="Book Antiqua" w:hAnsi="Book Antiqua" w:cs="Times New Roman"/>
          <w:color w:val="000000" w:themeColor="text1"/>
          <w:sz w:val="24"/>
          <w:szCs w:val="24"/>
        </w:rPr>
        <w:lastRenderedPageBreak/>
        <w:t xml:space="preserve">a low, normal, or mildly elevated </w:t>
      </w:r>
      <w:bookmarkStart w:id="62" w:name="_Hlk524805916"/>
      <w:r w:rsidR="00C32A0B" w:rsidRPr="00704D1E">
        <w:rPr>
          <w:rFonts w:ascii="Book Antiqua" w:hAnsi="Book Antiqua" w:cs="Times New Roman"/>
          <w:color w:val="000000" w:themeColor="text1"/>
          <w:sz w:val="24"/>
          <w:szCs w:val="24"/>
        </w:rPr>
        <w:t>thyroid stimulating hormone</w:t>
      </w:r>
      <w:bookmarkEnd w:id="62"/>
      <w:r w:rsidR="00C32A0B" w:rsidRPr="00704D1E">
        <w:rPr>
          <w:rFonts w:ascii="Book Antiqua" w:hAnsi="Book Antiqua" w:cs="Times New Roman"/>
          <w:color w:val="000000" w:themeColor="text1"/>
          <w:sz w:val="24"/>
          <w:szCs w:val="24"/>
        </w:rPr>
        <w:t xml:space="preserve"> (TSH) level in the setting of pituitary </w:t>
      </w:r>
      <w:proofErr w:type="gramStart"/>
      <w:r w:rsidR="00C32A0B" w:rsidRPr="00704D1E">
        <w:rPr>
          <w:rFonts w:ascii="Book Antiqua" w:hAnsi="Book Antiqua" w:cs="Times New Roman"/>
          <w:color w:val="000000" w:themeColor="text1"/>
          <w:sz w:val="24"/>
          <w:szCs w:val="24"/>
        </w:rPr>
        <w:t>disease</w:t>
      </w:r>
      <w:r w:rsidR="00C32A0B" w:rsidRPr="00704D1E">
        <w:rPr>
          <w:rFonts w:ascii="Book Antiqua" w:hAnsi="Book Antiqua" w:cs="Times New Roman"/>
          <w:color w:val="000000" w:themeColor="text1"/>
          <w:sz w:val="24"/>
          <w:szCs w:val="24"/>
          <w:vertAlign w:val="superscript"/>
        </w:rPr>
        <w:t>[</w:t>
      </w:r>
      <w:proofErr w:type="gramEnd"/>
      <w:r w:rsidR="00C32A0B" w:rsidRPr="00704D1E">
        <w:rPr>
          <w:rFonts w:ascii="Book Antiqua" w:hAnsi="Book Antiqua" w:cs="Times New Roman"/>
          <w:color w:val="000000" w:themeColor="text1"/>
          <w:sz w:val="24"/>
          <w:szCs w:val="24"/>
          <w:vertAlign w:val="superscript"/>
        </w:rPr>
        <w:t>17]</w:t>
      </w:r>
      <w:r w:rsidR="00C32A0B" w:rsidRPr="00704D1E">
        <w:rPr>
          <w:rFonts w:ascii="Book Antiqua" w:hAnsi="Book Antiqua" w:cs="Times New Roman"/>
          <w:color w:val="000000" w:themeColor="text1"/>
          <w:sz w:val="24"/>
          <w:szCs w:val="24"/>
        </w:rPr>
        <w:t xml:space="preserve">. </w:t>
      </w:r>
      <w:bookmarkStart w:id="63" w:name="_Hlk524805991"/>
      <w:r w:rsidR="00C32A0B" w:rsidRPr="00704D1E">
        <w:rPr>
          <w:rFonts w:ascii="Book Antiqua" w:hAnsi="Book Antiqua" w:cs="Times New Roman"/>
          <w:color w:val="000000" w:themeColor="text1"/>
          <w:sz w:val="24"/>
          <w:szCs w:val="24"/>
        </w:rPr>
        <w:t>Central diabetes insipidus</w:t>
      </w:r>
      <w:bookmarkEnd w:id="63"/>
      <w:r w:rsidR="00C32A0B" w:rsidRPr="00704D1E">
        <w:rPr>
          <w:rFonts w:ascii="Book Antiqua" w:hAnsi="Book Antiqua" w:cs="Times New Roman"/>
          <w:color w:val="000000" w:themeColor="text1"/>
          <w:sz w:val="24"/>
          <w:szCs w:val="24"/>
        </w:rPr>
        <w:t xml:space="preserve"> was considered when serum osmolality was higher than 295 </w:t>
      </w:r>
      <w:proofErr w:type="spellStart"/>
      <w:r w:rsidR="00C32A0B" w:rsidRPr="00704D1E">
        <w:rPr>
          <w:rFonts w:ascii="Book Antiqua" w:hAnsi="Book Antiqua" w:cs="Times New Roman"/>
          <w:color w:val="000000" w:themeColor="text1"/>
          <w:sz w:val="24"/>
          <w:szCs w:val="24"/>
        </w:rPr>
        <w:t>mOsm</w:t>
      </w:r>
      <w:proofErr w:type="spellEnd"/>
      <w:r w:rsidR="00C32A0B" w:rsidRPr="00704D1E">
        <w:rPr>
          <w:rFonts w:ascii="Book Antiqua" w:hAnsi="Book Antiqua" w:cs="Times New Roman"/>
          <w:color w:val="000000" w:themeColor="text1"/>
          <w:sz w:val="24"/>
          <w:szCs w:val="24"/>
        </w:rPr>
        <w:t xml:space="preserve">/kg, while the corresponding urine osmolality was lower than 300 </w:t>
      </w:r>
      <w:proofErr w:type="spellStart"/>
      <w:r w:rsidR="00C32A0B" w:rsidRPr="00704D1E">
        <w:rPr>
          <w:rFonts w:ascii="Book Antiqua" w:hAnsi="Book Antiqua" w:cs="Times New Roman"/>
          <w:color w:val="000000" w:themeColor="text1"/>
          <w:sz w:val="24"/>
          <w:szCs w:val="24"/>
        </w:rPr>
        <w:t>mOsm</w:t>
      </w:r>
      <w:proofErr w:type="spellEnd"/>
      <w:r w:rsidR="00C32A0B" w:rsidRPr="00704D1E">
        <w:rPr>
          <w:rFonts w:ascii="Book Antiqua" w:hAnsi="Book Antiqua" w:cs="Times New Roman"/>
          <w:color w:val="000000" w:themeColor="text1"/>
          <w:sz w:val="24"/>
          <w:szCs w:val="24"/>
        </w:rPr>
        <w:t xml:space="preserve">/kg in fluid deprivation tests, and a subsequent response to </w:t>
      </w:r>
      <w:bookmarkStart w:id="64" w:name="_Hlk524806015"/>
      <w:r w:rsidR="00C32A0B" w:rsidRPr="00704D1E">
        <w:rPr>
          <w:rFonts w:ascii="Book Antiqua" w:hAnsi="Book Antiqua" w:cs="Times New Roman"/>
          <w:color w:val="000000" w:themeColor="text1"/>
          <w:sz w:val="24"/>
          <w:szCs w:val="24"/>
        </w:rPr>
        <w:t>arginine vasopressin</w:t>
      </w:r>
      <w:bookmarkEnd w:id="64"/>
      <w:r w:rsidR="00C32A0B" w:rsidRPr="00704D1E">
        <w:rPr>
          <w:rFonts w:ascii="Book Antiqua" w:hAnsi="Book Antiqua" w:cs="Times New Roman"/>
          <w:color w:val="000000" w:themeColor="text1"/>
          <w:sz w:val="24"/>
          <w:szCs w:val="24"/>
        </w:rPr>
        <w:t xml:space="preserve"> (AVP) was </w:t>
      </w:r>
      <w:proofErr w:type="gramStart"/>
      <w:r w:rsidR="00C32A0B" w:rsidRPr="00704D1E">
        <w:rPr>
          <w:rFonts w:ascii="Book Antiqua" w:hAnsi="Book Antiqua" w:cs="Times New Roman"/>
          <w:color w:val="000000" w:themeColor="text1"/>
          <w:sz w:val="24"/>
          <w:szCs w:val="24"/>
        </w:rPr>
        <w:t>observed</w:t>
      </w:r>
      <w:r w:rsidR="00C32A0B" w:rsidRPr="00704D1E">
        <w:rPr>
          <w:rFonts w:ascii="Book Antiqua" w:hAnsi="Book Antiqua" w:cs="Times New Roman"/>
          <w:color w:val="000000" w:themeColor="text1"/>
          <w:sz w:val="24"/>
          <w:szCs w:val="24"/>
          <w:vertAlign w:val="superscript"/>
        </w:rPr>
        <w:t>[</w:t>
      </w:r>
      <w:proofErr w:type="gramEnd"/>
      <w:r w:rsidR="00C32A0B" w:rsidRPr="00704D1E">
        <w:rPr>
          <w:rFonts w:ascii="Book Antiqua" w:hAnsi="Book Antiqua" w:cs="Times New Roman"/>
          <w:color w:val="000000" w:themeColor="text1"/>
          <w:sz w:val="24"/>
          <w:szCs w:val="24"/>
          <w:vertAlign w:val="superscript"/>
        </w:rPr>
        <w:t>18]</w:t>
      </w:r>
      <w:r w:rsidR="00C32A0B" w:rsidRPr="00704D1E">
        <w:rPr>
          <w:rFonts w:ascii="Book Antiqua" w:hAnsi="Book Antiqua" w:cs="Times New Roman"/>
          <w:color w:val="000000" w:themeColor="text1"/>
          <w:sz w:val="24"/>
          <w:szCs w:val="24"/>
        </w:rPr>
        <w:t>.</w:t>
      </w:r>
    </w:p>
    <w:p w14:paraId="1B8051D7" w14:textId="53F04488" w:rsidR="00C32A0B" w:rsidRPr="00704D1E" w:rsidRDefault="00B5455D" w:rsidP="00B545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C32A0B" w:rsidRPr="00704D1E">
        <w:rPr>
          <w:rFonts w:ascii="Book Antiqua" w:hAnsi="Book Antiqua" w:cs="Times New Roman"/>
          <w:color w:val="000000" w:themeColor="text1"/>
          <w:sz w:val="24"/>
          <w:szCs w:val="24"/>
        </w:rPr>
        <w:t>Diagnosis of NAFLD was confirmed by fatty infiltration of the liver on abdominal ultrasonography in association with or without abnormal liver enzymes. The patients were diagnosed as cirrhotic by the development of clinically evident complications of liver diseases (such as esophageal varices, ascites, jaundice, hepatic encephalopathy, portal hypertension, hypersplenism</w:t>
      </w:r>
      <w:r w:rsidR="00D24F93">
        <w:rPr>
          <w:rFonts w:ascii="Book Antiqua" w:hAnsi="Book Antiqua" w:cs="Times New Roman"/>
          <w:color w:val="000000" w:themeColor="text1"/>
          <w:sz w:val="24"/>
          <w:szCs w:val="24"/>
        </w:rPr>
        <w:t>,</w:t>
      </w:r>
      <w:r w:rsidR="00C32A0B" w:rsidRPr="00704D1E">
        <w:rPr>
          <w:rFonts w:ascii="Book Antiqua" w:hAnsi="Book Antiqua" w:cs="Times New Roman"/>
          <w:color w:val="000000" w:themeColor="text1"/>
          <w:sz w:val="24"/>
          <w:szCs w:val="24"/>
        </w:rPr>
        <w:t xml:space="preserve"> and hepatocellular carcinoma) or by liver biopsy.</w:t>
      </w:r>
    </w:p>
    <w:p w14:paraId="24D06CBD" w14:textId="1B7D91F4" w:rsidR="00C32A0B" w:rsidRPr="00704D1E" w:rsidRDefault="00B5455D" w:rsidP="00B545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C32A0B" w:rsidRPr="00704D1E">
        <w:rPr>
          <w:rFonts w:ascii="Book Antiqua" w:hAnsi="Book Antiqua" w:cs="Times New Roman"/>
          <w:color w:val="000000" w:themeColor="text1"/>
          <w:sz w:val="24"/>
          <w:szCs w:val="24"/>
        </w:rPr>
        <w:t xml:space="preserve">The exclusion criteria were as follows: (1) patients with isolated pituitary hormone deficiencies; (2) patients with primary and secondary autoimmune hypophysitis treated </w:t>
      </w:r>
      <w:r w:rsidR="00D24F93">
        <w:rPr>
          <w:rFonts w:ascii="Book Antiqua" w:hAnsi="Book Antiqua" w:cs="Times New Roman"/>
          <w:color w:val="000000" w:themeColor="text1"/>
          <w:sz w:val="24"/>
          <w:szCs w:val="24"/>
        </w:rPr>
        <w:t>with</w:t>
      </w:r>
      <w:r w:rsidR="00D24F93" w:rsidRPr="00704D1E">
        <w:rPr>
          <w:rFonts w:ascii="Book Antiqua" w:hAnsi="Book Antiqua" w:cs="Times New Roman"/>
          <w:color w:val="000000" w:themeColor="text1"/>
          <w:sz w:val="24"/>
          <w:szCs w:val="24"/>
        </w:rPr>
        <w:t xml:space="preserve"> </w:t>
      </w:r>
      <w:r w:rsidR="00C32A0B" w:rsidRPr="00704D1E">
        <w:rPr>
          <w:rFonts w:ascii="Book Antiqua" w:hAnsi="Book Antiqua" w:cs="Times New Roman"/>
          <w:color w:val="000000" w:themeColor="text1"/>
          <w:sz w:val="24"/>
          <w:szCs w:val="24"/>
        </w:rPr>
        <w:t xml:space="preserve">glucocorticoids; (3) patients with hypopituitarism secondary to functional pituitary adenomas, including </w:t>
      </w:r>
      <w:proofErr w:type="spellStart"/>
      <w:r w:rsidR="00C32A0B" w:rsidRPr="00704D1E">
        <w:rPr>
          <w:rFonts w:ascii="Book Antiqua" w:hAnsi="Book Antiqua" w:cs="Times New Roman"/>
          <w:color w:val="000000" w:themeColor="text1"/>
          <w:sz w:val="24"/>
          <w:szCs w:val="24"/>
        </w:rPr>
        <w:t>somatotrophin</w:t>
      </w:r>
      <w:proofErr w:type="spellEnd"/>
      <w:r w:rsidR="00C32A0B" w:rsidRPr="00704D1E">
        <w:rPr>
          <w:rFonts w:ascii="Book Antiqua" w:hAnsi="Book Antiqua" w:cs="Times New Roman"/>
          <w:color w:val="000000" w:themeColor="text1"/>
          <w:sz w:val="24"/>
          <w:szCs w:val="24"/>
        </w:rPr>
        <w:t xml:space="preserve">, </w:t>
      </w:r>
      <w:proofErr w:type="spellStart"/>
      <w:r w:rsidR="00C32A0B" w:rsidRPr="00704D1E">
        <w:rPr>
          <w:rFonts w:ascii="Book Antiqua" w:hAnsi="Book Antiqua" w:cs="Times New Roman"/>
          <w:color w:val="000000" w:themeColor="text1"/>
          <w:sz w:val="24"/>
          <w:szCs w:val="24"/>
        </w:rPr>
        <w:t>lactotrophin</w:t>
      </w:r>
      <w:proofErr w:type="spellEnd"/>
      <w:r w:rsidR="00C32A0B" w:rsidRPr="00704D1E">
        <w:rPr>
          <w:rFonts w:ascii="Book Antiqua" w:hAnsi="Book Antiqua" w:cs="Times New Roman"/>
          <w:color w:val="000000" w:themeColor="text1"/>
          <w:sz w:val="24"/>
          <w:szCs w:val="24"/>
        </w:rPr>
        <w:t xml:space="preserve">, </w:t>
      </w:r>
      <w:proofErr w:type="spellStart"/>
      <w:r w:rsidR="00C32A0B" w:rsidRPr="00704D1E">
        <w:rPr>
          <w:rFonts w:ascii="Book Antiqua" w:hAnsi="Book Antiqua" w:cs="Times New Roman"/>
          <w:color w:val="000000" w:themeColor="text1"/>
          <w:sz w:val="24"/>
          <w:szCs w:val="24"/>
        </w:rPr>
        <w:t>thyrotrophin</w:t>
      </w:r>
      <w:proofErr w:type="spellEnd"/>
      <w:r w:rsidR="00C32A0B" w:rsidRPr="00704D1E">
        <w:rPr>
          <w:rFonts w:ascii="Book Antiqua" w:hAnsi="Book Antiqua" w:cs="Times New Roman"/>
          <w:color w:val="000000" w:themeColor="text1"/>
          <w:sz w:val="24"/>
          <w:szCs w:val="24"/>
        </w:rPr>
        <w:t>, corticotrophin, gonadotrophin</w:t>
      </w:r>
      <w:r w:rsidR="00D24F93">
        <w:rPr>
          <w:rFonts w:ascii="Book Antiqua" w:hAnsi="Book Antiqua" w:cs="Times New Roman"/>
          <w:color w:val="000000" w:themeColor="text1"/>
          <w:sz w:val="24"/>
          <w:szCs w:val="24"/>
        </w:rPr>
        <w:t>,</w:t>
      </w:r>
      <w:r w:rsidR="00C32A0B" w:rsidRPr="00704D1E">
        <w:rPr>
          <w:rFonts w:ascii="Book Antiqua" w:hAnsi="Book Antiqua" w:cs="Times New Roman"/>
          <w:color w:val="000000" w:themeColor="text1"/>
          <w:sz w:val="24"/>
          <w:szCs w:val="24"/>
        </w:rPr>
        <w:t xml:space="preserve"> and </w:t>
      </w:r>
      <w:proofErr w:type="spellStart"/>
      <w:r w:rsidR="00C32A0B" w:rsidRPr="00704D1E">
        <w:rPr>
          <w:rFonts w:ascii="Book Antiqua" w:hAnsi="Book Antiqua" w:cs="Times New Roman"/>
          <w:color w:val="000000" w:themeColor="text1"/>
          <w:sz w:val="24"/>
          <w:szCs w:val="24"/>
        </w:rPr>
        <w:t>plurihormonal</w:t>
      </w:r>
      <w:proofErr w:type="spellEnd"/>
      <w:r w:rsidR="00C32A0B" w:rsidRPr="00704D1E">
        <w:rPr>
          <w:rFonts w:ascii="Book Antiqua" w:hAnsi="Book Antiqua" w:cs="Times New Roman"/>
          <w:color w:val="000000" w:themeColor="text1"/>
          <w:sz w:val="24"/>
          <w:szCs w:val="24"/>
        </w:rPr>
        <w:t xml:space="preserve"> and double adenomas; (4) patients with positive hepatitis B or C serology or with evidence of inherited, autoimmune, cholestatic, drug-induced, or metabolic liver disease using standard clinical, laboratory, imaging, and histologic criteria; (5) patients with weekly alcohol intake of more than 21 units for men or 14 units for women; (6) patients with liver dysfunction of a specific etiology other than hypopituitarism and NAFLD; and (7) children and adolescents.</w:t>
      </w:r>
    </w:p>
    <w:p w14:paraId="6AE85B03" w14:textId="77777777" w:rsidR="00C32A0B" w:rsidRPr="00704D1E" w:rsidRDefault="00C32A0B" w:rsidP="00704D1E">
      <w:pPr>
        <w:adjustRightInd w:val="0"/>
        <w:snapToGrid w:val="0"/>
        <w:spacing w:line="360" w:lineRule="auto"/>
        <w:rPr>
          <w:rFonts w:ascii="Book Antiqua" w:hAnsi="Book Antiqua" w:cs="Times New Roman"/>
          <w:b/>
          <w:i/>
          <w:color w:val="000000" w:themeColor="text1"/>
          <w:sz w:val="24"/>
          <w:szCs w:val="24"/>
        </w:rPr>
      </w:pPr>
    </w:p>
    <w:p w14:paraId="6EF85F73" w14:textId="77777777" w:rsidR="00C32A0B" w:rsidRPr="00704D1E" w:rsidRDefault="00C32A0B" w:rsidP="00487AFC">
      <w:pPr>
        <w:adjustRightInd w:val="0"/>
        <w:snapToGrid w:val="0"/>
        <w:spacing w:line="360" w:lineRule="auto"/>
        <w:outlineLvl w:val="0"/>
        <w:rPr>
          <w:rFonts w:ascii="Book Antiqua" w:hAnsi="Book Antiqua" w:cs="Times New Roman"/>
          <w:b/>
          <w:i/>
          <w:color w:val="000000" w:themeColor="text1"/>
          <w:sz w:val="24"/>
          <w:szCs w:val="24"/>
        </w:rPr>
      </w:pPr>
      <w:r w:rsidRPr="00704D1E">
        <w:rPr>
          <w:rFonts w:ascii="Book Antiqua" w:hAnsi="Book Antiqua" w:cs="Times New Roman"/>
          <w:b/>
          <w:i/>
          <w:color w:val="000000" w:themeColor="text1"/>
          <w:sz w:val="24"/>
          <w:szCs w:val="24"/>
        </w:rPr>
        <w:t>Data extraction and management</w:t>
      </w:r>
    </w:p>
    <w:p w14:paraId="4972A534" w14:textId="5343FB2E" w:rsidR="00C32A0B" w:rsidRPr="00704D1E" w:rsidRDefault="00C32A0B"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 xml:space="preserve">The data were extracted from medical records, which included patient characteristics, such as age, gender, race, </w:t>
      </w:r>
      <w:r w:rsidR="00D24F93" w:rsidRPr="00704D1E">
        <w:rPr>
          <w:rFonts w:ascii="Book Antiqua" w:hAnsi="Book Antiqua" w:cs="Times New Roman"/>
          <w:color w:val="000000" w:themeColor="text1"/>
          <w:sz w:val="24"/>
          <w:szCs w:val="24"/>
        </w:rPr>
        <w:t>anthropometr</w:t>
      </w:r>
      <w:r w:rsidR="00D24F93">
        <w:rPr>
          <w:rFonts w:ascii="Book Antiqua" w:hAnsi="Book Antiqua" w:cs="Times New Roman"/>
          <w:color w:val="000000" w:themeColor="text1"/>
          <w:sz w:val="24"/>
          <w:szCs w:val="24"/>
        </w:rPr>
        <w:t>ic parameters</w:t>
      </w:r>
      <w:r w:rsidR="00D24F93" w:rsidRPr="00704D1E">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including height, weight, body mass index (BMI), waist circumference (WC)</w:t>
      </w:r>
      <w:r w:rsidR="00D24F93">
        <w:rPr>
          <w:rFonts w:ascii="Book Antiqua" w:hAnsi="Book Antiqua" w:cs="Times New Roman"/>
          <w:color w:val="000000" w:themeColor="text1"/>
          <w:sz w:val="24"/>
          <w:szCs w:val="24"/>
        </w:rPr>
        <w:t>,</w:t>
      </w:r>
      <w:r w:rsidRPr="00704D1E">
        <w:rPr>
          <w:rFonts w:ascii="Book Antiqua" w:hAnsi="Book Antiqua" w:cs="Times New Roman"/>
          <w:color w:val="000000" w:themeColor="text1"/>
          <w:sz w:val="24"/>
          <w:szCs w:val="24"/>
        </w:rPr>
        <w:t xml:space="preserve"> and blood pressure, diagnosis of the cause of hypopituitarism/panhypopituitarism, laboratory results, abdominal ultrasonography results, complications and </w:t>
      </w:r>
      <w:r w:rsidRPr="00704D1E">
        <w:rPr>
          <w:rFonts w:ascii="Book Antiqua" w:hAnsi="Book Antiqua" w:cs="Times New Roman"/>
          <w:color w:val="000000" w:themeColor="text1"/>
          <w:sz w:val="24"/>
          <w:szCs w:val="24"/>
        </w:rPr>
        <w:lastRenderedPageBreak/>
        <w:t>comorbidities, treatments, and hormone replacements. The time of diagnosis of hypopituitarism/panhypopituitarism was obtained from the date of symptoms and signs if applicable, or the time of clinical diagnosis. The time of diagnosis of NAFLD was considered to be the date of abdominal ultrasonography that was indicative of primary NAFLD. Hormone replacement therapy refers to regular and dose titration replacement for at least 3 months.</w:t>
      </w:r>
      <w:bookmarkStart w:id="65" w:name="_Hlk524807277"/>
      <w:r w:rsidRPr="00704D1E">
        <w:rPr>
          <w:rFonts w:ascii="Book Antiqua" w:hAnsi="Book Antiqua" w:cs="Times New Roman"/>
          <w:color w:val="000000" w:themeColor="text1"/>
          <w:sz w:val="24"/>
          <w:szCs w:val="24"/>
        </w:rPr>
        <w:t xml:space="preserve"> Biochemical and hormone levels were measured within three days after admission. Homeostasis model assessment of insulin resistance</w:t>
      </w:r>
      <w:bookmarkEnd w:id="65"/>
      <w:r w:rsidRPr="00704D1E">
        <w:rPr>
          <w:rFonts w:ascii="Book Antiqua" w:hAnsi="Book Antiqua" w:cs="Times New Roman"/>
          <w:color w:val="000000" w:themeColor="text1"/>
          <w:sz w:val="24"/>
          <w:szCs w:val="24"/>
        </w:rPr>
        <w:t xml:space="preserve"> (HOMA-IR) was obtained according to the formula: (fasting plasma glucose × fasting serum insulin)/22.5. </w:t>
      </w:r>
    </w:p>
    <w:p w14:paraId="4E38A16B" w14:textId="77777777" w:rsidR="00C32A0B" w:rsidRPr="00704D1E" w:rsidRDefault="00C32A0B" w:rsidP="00704D1E">
      <w:pPr>
        <w:adjustRightInd w:val="0"/>
        <w:snapToGrid w:val="0"/>
        <w:spacing w:line="360" w:lineRule="auto"/>
        <w:rPr>
          <w:rFonts w:ascii="Book Antiqua" w:hAnsi="Book Antiqua" w:cs="Times New Roman"/>
          <w:b/>
          <w:i/>
          <w:color w:val="000000" w:themeColor="text1"/>
          <w:sz w:val="24"/>
          <w:szCs w:val="24"/>
        </w:rPr>
      </w:pPr>
    </w:p>
    <w:p w14:paraId="6D95646E" w14:textId="77777777" w:rsidR="00C32A0B" w:rsidRPr="00704D1E" w:rsidRDefault="00C32A0B" w:rsidP="00487AFC">
      <w:pPr>
        <w:adjustRightInd w:val="0"/>
        <w:snapToGrid w:val="0"/>
        <w:spacing w:line="360" w:lineRule="auto"/>
        <w:outlineLvl w:val="0"/>
        <w:rPr>
          <w:rFonts w:ascii="Book Antiqua" w:hAnsi="Book Antiqua" w:cs="Times New Roman"/>
          <w:b/>
          <w:i/>
          <w:color w:val="000000" w:themeColor="text1"/>
          <w:sz w:val="24"/>
          <w:szCs w:val="24"/>
        </w:rPr>
      </w:pPr>
      <w:r w:rsidRPr="00704D1E">
        <w:rPr>
          <w:rFonts w:ascii="Book Antiqua" w:hAnsi="Book Antiqua" w:cs="Times New Roman"/>
          <w:b/>
          <w:i/>
          <w:color w:val="000000" w:themeColor="text1"/>
          <w:sz w:val="24"/>
          <w:szCs w:val="24"/>
        </w:rPr>
        <w:t xml:space="preserve">Statistical analysis </w:t>
      </w:r>
    </w:p>
    <w:p w14:paraId="173AB2A5" w14:textId="43FC6C29" w:rsidR="00C32A0B" w:rsidRPr="00704D1E" w:rsidRDefault="00C32A0B"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 xml:space="preserve">The statistical package for </w:t>
      </w:r>
      <w:r w:rsidR="00D24F93">
        <w:rPr>
          <w:rFonts w:ascii="Book Antiqua" w:hAnsi="Book Antiqua" w:cs="Times New Roman"/>
          <w:color w:val="000000" w:themeColor="text1"/>
          <w:sz w:val="24"/>
          <w:szCs w:val="24"/>
        </w:rPr>
        <w:t xml:space="preserve">the </w:t>
      </w:r>
      <w:r w:rsidRPr="00704D1E">
        <w:rPr>
          <w:rFonts w:ascii="Book Antiqua" w:hAnsi="Book Antiqua" w:cs="Times New Roman"/>
          <w:color w:val="000000" w:themeColor="text1"/>
          <w:sz w:val="24"/>
          <w:szCs w:val="24"/>
        </w:rPr>
        <w:t>social science (SPSS, version 2</w:t>
      </w:r>
      <w:r w:rsidR="00B5455D">
        <w:rPr>
          <w:rFonts w:ascii="Book Antiqua" w:hAnsi="Book Antiqua" w:cs="Times New Roman"/>
          <w:color w:val="000000" w:themeColor="text1"/>
          <w:sz w:val="24"/>
          <w:szCs w:val="24"/>
        </w:rPr>
        <w:t>2.0; SPSS Inc., Chicago, IL, United States</w:t>
      </w:r>
      <w:r w:rsidRPr="00704D1E">
        <w:rPr>
          <w:rFonts w:ascii="Book Antiqua" w:hAnsi="Book Antiqua" w:cs="Times New Roman"/>
          <w:color w:val="000000" w:themeColor="text1"/>
          <w:sz w:val="24"/>
          <w:szCs w:val="24"/>
        </w:rPr>
        <w:t xml:space="preserve">) was used for data and statistical </w:t>
      </w:r>
      <w:r w:rsidR="00D24F93" w:rsidRPr="00704D1E">
        <w:rPr>
          <w:rFonts w:ascii="Book Antiqua" w:hAnsi="Book Antiqua" w:cs="Times New Roman"/>
          <w:color w:val="000000" w:themeColor="text1"/>
          <w:sz w:val="24"/>
          <w:szCs w:val="24"/>
        </w:rPr>
        <w:t>analys</w:t>
      </w:r>
      <w:r w:rsidR="00D24F93">
        <w:rPr>
          <w:rFonts w:ascii="Book Antiqua" w:hAnsi="Book Antiqua" w:cs="Times New Roman"/>
          <w:color w:val="000000" w:themeColor="text1"/>
          <w:sz w:val="24"/>
          <w:szCs w:val="24"/>
        </w:rPr>
        <w:t>e</w:t>
      </w:r>
      <w:r w:rsidR="00D24F93" w:rsidRPr="00704D1E">
        <w:rPr>
          <w:rFonts w:ascii="Book Antiqua" w:hAnsi="Book Antiqua" w:cs="Times New Roman"/>
          <w:color w:val="000000" w:themeColor="text1"/>
          <w:sz w:val="24"/>
          <w:szCs w:val="24"/>
        </w:rPr>
        <w:t>s</w:t>
      </w:r>
      <w:r w:rsidRPr="00704D1E">
        <w:rPr>
          <w:rFonts w:ascii="Book Antiqua" w:hAnsi="Book Antiqua" w:cs="Times New Roman"/>
          <w:color w:val="000000" w:themeColor="text1"/>
          <w:sz w:val="24"/>
          <w:szCs w:val="24"/>
        </w:rPr>
        <w:t>. Continuous data</w:t>
      </w:r>
      <w:r w:rsidR="00D24F93">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conform</w:t>
      </w:r>
      <w:r w:rsidR="00D24F93">
        <w:rPr>
          <w:rFonts w:ascii="Book Antiqua" w:hAnsi="Book Antiqua" w:cs="Times New Roman"/>
          <w:color w:val="000000" w:themeColor="text1"/>
          <w:sz w:val="24"/>
          <w:szCs w:val="24"/>
        </w:rPr>
        <w:t>ing</w:t>
      </w:r>
      <w:r w:rsidRPr="00704D1E">
        <w:rPr>
          <w:rFonts w:ascii="Book Antiqua" w:hAnsi="Book Antiqua" w:cs="Times New Roman"/>
          <w:color w:val="000000" w:themeColor="text1"/>
          <w:sz w:val="24"/>
          <w:szCs w:val="24"/>
        </w:rPr>
        <w:t xml:space="preserve"> to a normal distribution </w:t>
      </w:r>
      <w:r w:rsidR="00D24F93">
        <w:rPr>
          <w:rFonts w:ascii="Book Antiqua" w:hAnsi="Book Antiqua" w:cs="Times New Roman"/>
          <w:color w:val="000000" w:themeColor="text1"/>
          <w:sz w:val="24"/>
          <w:szCs w:val="24"/>
        </w:rPr>
        <w:t>are</w:t>
      </w:r>
      <w:r w:rsidR="00D24F93" w:rsidRPr="00704D1E">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 xml:space="preserve">expressed as the mean ± standard deviation, while continuous data of partial distribution </w:t>
      </w:r>
      <w:r w:rsidR="00D24F93">
        <w:rPr>
          <w:rFonts w:ascii="Book Antiqua" w:hAnsi="Book Antiqua" w:cs="Times New Roman"/>
          <w:color w:val="000000" w:themeColor="text1"/>
          <w:sz w:val="24"/>
          <w:szCs w:val="24"/>
        </w:rPr>
        <w:t>are</w:t>
      </w:r>
      <w:r w:rsidR="00D24F93" w:rsidRPr="00704D1E">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represented by the med</w:t>
      </w:r>
      <w:r w:rsidR="00B5455D">
        <w:rPr>
          <w:rFonts w:ascii="Book Antiqua" w:hAnsi="Book Antiqua" w:cs="Times New Roman"/>
          <w:color w:val="000000" w:themeColor="text1"/>
          <w:sz w:val="24"/>
          <w:szCs w:val="24"/>
        </w:rPr>
        <w:t>ian values [interquartile range</w:t>
      </w:r>
      <w:r w:rsidRPr="00704D1E">
        <w:rPr>
          <w:rFonts w:ascii="Book Antiqua" w:hAnsi="Book Antiqua" w:cs="Times New Roman"/>
          <w:color w:val="000000" w:themeColor="text1"/>
          <w:sz w:val="24"/>
          <w:szCs w:val="24"/>
        </w:rPr>
        <w:t xml:space="preserve"> </w:t>
      </w:r>
      <w:r w:rsidR="00B5455D">
        <w:rPr>
          <w:rFonts w:ascii="Book Antiqua" w:hAnsi="Book Antiqua" w:cs="Times New Roman"/>
          <w:color w:val="000000" w:themeColor="text1"/>
          <w:sz w:val="24"/>
          <w:szCs w:val="24"/>
        </w:rPr>
        <w:t>(</w:t>
      </w:r>
      <w:r w:rsidRPr="00704D1E">
        <w:rPr>
          <w:rFonts w:ascii="Book Antiqua" w:hAnsi="Book Antiqua" w:cs="Times New Roman"/>
          <w:color w:val="000000" w:themeColor="text1"/>
          <w:sz w:val="24"/>
          <w:szCs w:val="24"/>
        </w:rPr>
        <w:t>IQR)</w:t>
      </w:r>
      <w:r w:rsidR="00B5455D">
        <w:rPr>
          <w:rFonts w:ascii="Book Antiqua" w:hAnsi="Book Antiqua" w:cs="Times New Roman"/>
          <w:color w:val="000000" w:themeColor="text1"/>
          <w:sz w:val="24"/>
          <w:szCs w:val="24"/>
        </w:rPr>
        <w:t>]</w:t>
      </w:r>
      <w:r w:rsidRPr="00704D1E">
        <w:rPr>
          <w:rFonts w:ascii="Book Antiqua" w:hAnsi="Book Antiqua" w:cs="Times New Roman"/>
          <w:color w:val="000000" w:themeColor="text1"/>
          <w:sz w:val="24"/>
          <w:szCs w:val="24"/>
        </w:rPr>
        <w:t xml:space="preserve">. Frequency data </w:t>
      </w:r>
      <w:r w:rsidR="00D24F93">
        <w:rPr>
          <w:rFonts w:ascii="Book Antiqua" w:hAnsi="Book Antiqua" w:cs="Times New Roman"/>
          <w:color w:val="000000" w:themeColor="text1"/>
          <w:sz w:val="24"/>
          <w:szCs w:val="24"/>
        </w:rPr>
        <w:t>are</w:t>
      </w:r>
      <w:r w:rsidR="00D24F93" w:rsidRPr="00704D1E">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 xml:space="preserve">expressed as the number (proportion) of patients with a condition. The Student’s </w:t>
      </w:r>
      <w:r w:rsidRPr="00704D1E">
        <w:rPr>
          <w:rFonts w:ascii="Book Antiqua" w:hAnsi="Book Antiqua" w:cs="Times New Roman"/>
          <w:i/>
          <w:color w:val="000000" w:themeColor="text1"/>
          <w:sz w:val="24"/>
          <w:szCs w:val="24"/>
        </w:rPr>
        <w:t>t</w:t>
      </w:r>
      <w:r w:rsidRPr="00704D1E">
        <w:rPr>
          <w:rFonts w:ascii="Book Antiqua" w:hAnsi="Book Antiqua" w:cs="Times New Roman"/>
          <w:color w:val="000000" w:themeColor="text1"/>
          <w:sz w:val="24"/>
          <w:szCs w:val="24"/>
        </w:rPr>
        <w:t xml:space="preserve">-test and Wilcoxon Signed-Rank test were used for continuous variables, and the chi-square or Fisher’s exact test was used for categorical variables. A </w:t>
      </w:r>
      <w:r w:rsidRPr="00704D1E">
        <w:rPr>
          <w:rFonts w:ascii="Book Antiqua" w:hAnsi="Book Antiqua" w:cs="Times New Roman"/>
          <w:i/>
          <w:color w:val="000000" w:themeColor="text1"/>
          <w:sz w:val="24"/>
          <w:szCs w:val="24"/>
        </w:rPr>
        <w:t>P</w:t>
      </w:r>
      <w:r w:rsidRPr="00704D1E">
        <w:rPr>
          <w:rFonts w:ascii="Book Antiqua" w:hAnsi="Book Antiqua" w:cs="Times New Roman"/>
          <w:color w:val="000000" w:themeColor="text1"/>
          <w:sz w:val="24"/>
          <w:szCs w:val="24"/>
        </w:rPr>
        <w:t>-value less than 0.05 was considered</w:t>
      </w:r>
      <w:r w:rsidR="00D24F93" w:rsidRPr="00704D1E">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 xml:space="preserve">significant. </w:t>
      </w:r>
    </w:p>
    <w:p w14:paraId="41E41FF6" w14:textId="77777777" w:rsidR="00C32A0B" w:rsidRPr="00704D1E" w:rsidRDefault="00C32A0B" w:rsidP="00704D1E">
      <w:pPr>
        <w:adjustRightInd w:val="0"/>
        <w:snapToGrid w:val="0"/>
        <w:spacing w:line="360" w:lineRule="auto"/>
        <w:rPr>
          <w:rFonts w:ascii="Book Antiqua" w:hAnsi="Book Antiqua" w:cs="Times New Roman"/>
          <w:b/>
          <w:color w:val="000000" w:themeColor="text1"/>
          <w:sz w:val="24"/>
          <w:szCs w:val="24"/>
        </w:rPr>
      </w:pPr>
    </w:p>
    <w:p w14:paraId="67AAE6CC" w14:textId="77777777" w:rsidR="00C32A0B" w:rsidRPr="00704D1E" w:rsidRDefault="00C32A0B" w:rsidP="00487AFC">
      <w:pPr>
        <w:adjustRightInd w:val="0"/>
        <w:snapToGrid w:val="0"/>
        <w:spacing w:line="360" w:lineRule="auto"/>
        <w:outlineLvl w:val="0"/>
        <w:rPr>
          <w:rFonts w:ascii="Book Antiqua" w:hAnsi="Book Antiqua" w:cs="Times New Roman"/>
          <w:b/>
          <w:color w:val="000000" w:themeColor="text1"/>
          <w:sz w:val="24"/>
          <w:szCs w:val="24"/>
        </w:rPr>
      </w:pPr>
      <w:r w:rsidRPr="00704D1E">
        <w:rPr>
          <w:rFonts w:ascii="Book Antiqua" w:hAnsi="Book Antiqua" w:cs="Times New Roman"/>
          <w:b/>
          <w:color w:val="000000" w:themeColor="text1"/>
          <w:sz w:val="24"/>
          <w:szCs w:val="24"/>
        </w:rPr>
        <w:t>RESULTS</w:t>
      </w:r>
    </w:p>
    <w:p w14:paraId="2265166C" w14:textId="77777777" w:rsidR="00C32A0B" w:rsidRPr="00704D1E" w:rsidRDefault="00C32A0B" w:rsidP="00487AFC">
      <w:pPr>
        <w:adjustRightInd w:val="0"/>
        <w:snapToGrid w:val="0"/>
        <w:spacing w:line="360" w:lineRule="auto"/>
        <w:outlineLvl w:val="0"/>
        <w:rPr>
          <w:rFonts w:ascii="Book Antiqua" w:hAnsi="Book Antiqua" w:cs="Times New Roman"/>
          <w:b/>
          <w:i/>
          <w:color w:val="000000" w:themeColor="text1"/>
          <w:sz w:val="24"/>
          <w:szCs w:val="24"/>
        </w:rPr>
      </w:pPr>
      <w:bookmarkStart w:id="66" w:name="_Hlk518137138"/>
      <w:r w:rsidRPr="00704D1E">
        <w:rPr>
          <w:rFonts w:ascii="Book Antiqua" w:hAnsi="Book Antiqua" w:cs="Times New Roman"/>
          <w:b/>
          <w:i/>
          <w:color w:val="000000" w:themeColor="text1"/>
          <w:sz w:val="24"/>
          <w:szCs w:val="24"/>
        </w:rPr>
        <w:t>Clinical characteristics of studied subjects</w:t>
      </w:r>
    </w:p>
    <w:p w14:paraId="1B19FFCF" w14:textId="288D4FAE" w:rsidR="00C32A0B" w:rsidRPr="00704D1E" w:rsidRDefault="00C32A0B"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A total of 36 male and 14 female patients with hypopituitarism and/or panhypopituitarism were included in the present study. Their mean age was 26.9 years (range from 18.0</w:t>
      </w:r>
      <w:r w:rsidR="0097555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 xml:space="preserve">to 41.5 years). The frequency of fatty liver on abdominal ultrasonography was 54.0%. A total of two patients were diagnosed as cirrhotic by liver biopsy, while five patients were diagnosed as cirrhotic by the development of clinically evident complications of liver disease as indicated in the Materials and Methods section. </w:t>
      </w:r>
      <w:bookmarkStart w:id="67" w:name="_Hlk2840937"/>
      <w:r w:rsidRPr="00704D1E">
        <w:rPr>
          <w:rFonts w:ascii="Book Antiqua" w:hAnsi="Book Antiqua" w:cs="Times New Roman"/>
          <w:color w:val="000000" w:themeColor="text1"/>
          <w:sz w:val="24"/>
          <w:szCs w:val="24"/>
        </w:rPr>
        <w:t xml:space="preserve">Three cirrhotic patients were </w:t>
      </w:r>
      <w:r w:rsidRPr="00704D1E">
        <w:rPr>
          <w:rFonts w:ascii="Book Antiqua" w:hAnsi="Book Antiqua" w:cs="Times New Roman"/>
          <w:color w:val="000000" w:themeColor="text1"/>
          <w:sz w:val="24"/>
          <w:szCs w:val="24"/>
        </w:rPr>
        <w:lastRenderedPageBreak/>
        <w:t>decompensated, one of whom had upper gastrointestinal bleeding, another two had hypersplenism, ascites, esophageal and gastric varices, and hepatopulmonary syndrome.</w:t>
      </w:r>
      <w:bookmarkEnd w:id="67"/>
      <w:r w:rsidRPr="00704D1E">
        <w:rPr>
          <w:rFonts w:ascii="Book Antiqua" w:hAnsi="Book Antiqua" w:cs="Times New Roman"/>
          <w:color w:val="000000" w:themeColor="text1"/>
          <w:sz w:val="24"/>
          <w:szCs w:val="24"/>
        </w:rPr>
        <w:t xml:space="preserve"> The clinical characteristics of hypopituitary patients with NAFLD and without NAFLD are shown in Table 1, and a comparative analysis was completed. No significant differences were noted in the gender ratio among patients with cirrhosis, </w:t>
      </w:r>
      <w:r w:rsidR="00975556">
        <w:rPr>
          <w:rFonts w:ascii="Book Antiqua" w:hAnsi="Book Antiqua" w:cs="Times New Roman"/>
          <w:color w:val="000000" w:themeColor="text1"/>
          <w:sz w:val="24"/>
          <w:szCs w:val="24"/>
        </w:rPr>
        <w:t xml:space="preserve">those with </w:t>
      </w:r>
      <w:r w:rsidRPr="00704D1E">
        <w:rPr>
          <w:rFonts w:ascii="Book Antiqua" w:hAnsi="Book Antiqua" w:cs="Times New Roman"/>
          <w:color w:val="000000" w:themeColor="text1"/>
          <w:sz w:val="24"/>
          <w:szCs w:val="24"/>
        </w:rPr>
        <w:t xml:space="preserve">NAFLD, and </w:t>
      </w:r>
      <w:r w:rsidR="00975556">
        <w:rPr>
          <w:rFonts w:ascii="Book Antiqua" w:hAnsi="Book Antiqua" w:cs="Times New Roman"/>
          <w:color w:val="000000" w:themeColor="text1"/>
          <w:sz w:val="24"/>
          <w:szCs w:val="24"/>
        </w:rPr>
        <w:t xml:space="preserve">those </w:t>
      </w:r>
      <w:r w:rsidRPr="00704D1E">
        <w:rPr>
          <w:rFonts w:ascii="Book Antiqua" w:hAnsi="Book Antiqua" w:cs="Times New Roman"/>
          <w:color w:val="000000" w:themeColor="text1"/>
          <w:sz w:val="24"/>
          <w:szCs w:val="24"/>
        </w:rPr>
        <w:t>without NAFLD. Cirrhotic patients were younger than NAFLD patients (</w:t>
      </w:r>
      <w:r w:rsidRPr="00704D1E">
        <w:rPr>
          <w:rFonts w:ascii="Book Antiqua" w:hAnsi="Book Antiqua" w:cs="Times New Roman"/>
          <w:i/>
          <w:color w:val="000000" w:themeColor="text1"/>
          <w:sz w:val="24"/>
          <w:szCs w:val="24"/>
        </w:rPr>
        <w:t>P</w:t>
      </w:r>
      <w:r w:rsidRPr="00704D1E">
        <w:rPr>
          <w:rFonts w:ascii="Book Antiqua" w:hAnsi="Book Antiqua" w:cs="Times New Roman"/>
          <w:color w:val="000000" w:themeColor="text1"/>
          <w:sz w:val="24"/>
          <w:szCs w:val="24"/>
        </w:rPr>
        <w:t xml:space="preserve"> = 0.009), with no significant difference in the course of hypopituitarism. The course of hypopituitarism of cirrhotic patients was significantly longer than that of patients without NAFLD (median course 13.0 years and 3.0 years, respectively, </w:t>
      </w:r>
      <w:r w:rsidRPr="00704D1E">
        <w:rPr>
          <w:rFonts w:ascii="Book Antiqua" w:hAnsi="Book Antiqua" w:cs="Times New Roman"/>
          <w:i/>
          <w:color w:val="000000" w:themeColor="text1"/>
          <w:sz w:val="24"/>
          <w:szCs w:val="24"/>
        </w:rPr>
        <w:t>P</w:t>
      </w:r>
      <w:r w:rsidRPr="00704D1E">
        <w:rPr>
          <w:rFonts w:ascii="Book Antiqua" w:hAnsi="Book Antiqua" w:cs="Times New Roman"/>
          <w:color w:val="000000" w:themeColor="text1"/>
          <w:sz w:val="24"/>
          <w:szCs w:val="24"/>
        </w:rPr>
        <w:t xml:space="preserve"> = 0.023), although there was no significant difference in the age between the two groups.</w:t>
      </w:r>
    </w:p>
    <w:p w14:paraId="4F77621E" w14:textId="77777777" w:rsidR="00C32A0B" w:rsidRPr="00704D1E" w:rsidRDefault="00C32A0B" w:rsidP="00704D1E">
      <w:pPr>
        <w:adjustRightInd w:val="0"/>
        <w:snapToGrid w:val="0"/>
        <w:spacing w:line="360" w:lineRule="auto"/>
        <w:rPr>
          <w:rFonts w:ascii="Book Antiqua" w:hAnsi="Book Antiqua" w:cs="Times New Roman"/>
          <w:b/>
          <w:i/>
          <w:color w:val="000000" w:themeColor="text1"/>
          <w:sz w:val="24"/>
          <w:szCs w:val="24"/>
        </w:rPr>
      </w:pPr>
    </w:p>
    <w:p w14:paraId="31FC0266" w14:textId="77777777" w:rsidR="00C32A0B" w:rsidRPr="00704D1E" w:rsidRDefault="00C32A0B" w:rsidP="00487AFC">
      <w:pPr>
        <w:adjustRightInd w:val="0"/>
        <w:snapToGrid w:val="0"/>
        <w:spacing w:line="360" w:lineRule="auto"/>
        <w:outlineLvl w:val="0"/>
        <w:rPr>
          <w:rFonts w:ascii="Book Antiqua" w:hAnsi="Book Antiqua" w:cs="Times New Roman"/>
          <w:b/>
          <w:i/>
          <w:color w:val="000000" w:themeColor="text1"/>
          <w:sz w:val="24"/>
          <w:szCs w:val="24"/>
        </w:rPr>
      </w:pPr>
      <w:r w:rsidRPr="00704D1E">
        <w:rPr>
          <w:rFonts w:ascii="Book Antiqua" w:hAnsi="Book Antiqua" w:cs="Times New Roman"/>
          <w:b/>
          <w:i/>
          <w:color w:val="000000" w:themeColor="text1"/>
          <w:sz w:val="24"/>
          <w:szCs w:val="24"/>
        </w:rPr>
        <w:t>Etiology of hypopituitarism</w:t>
      </w:r>
    </w:p>
    <w:p w14:paraId="2BF4D34E" w14:textId="77777777" w:rsidR="00C32A0B" w:rsidRPr="00704D1E" w:rsidRDefault="00C32A0B"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The underlying etiology of hypopituitarism is illustrated in Table 2. The profile of the causes of hypopituitarism in the cirrhotic group was similar to those of the NAFLD (-) and the NAFLD groups (</w:t>
      </w:r>
      <w:r w:rsidRPr="00704D1E">
        <w:rPr>
          <w:rFonts w:ascii="Book Antiqua" w:hAnsi="Book Antiqua" w:cs="Times New Roman"/>
          <w:i/>
          <w:color w:val="000000" w:themeColor="text1"/>
          <w:sz w:val="24"/>
          <w:szCs w:val="24"/>
        </w:rPr>
        <w:t>P</w:t>
      </w:r>
      <w:r w:rsidRPr="00704D1E">
        <w:rPr>
          <w:rFonts w:ascii="Book Antiqua" w:hAnsi="Book Antiqua" w:cs="Times New Roman"/>
          <w:color w:val="000000" w:themeColor="text1"/>
          <w:sz w:val="24"/>
          <w:szCs w:val="24"/>
        </w:rPr>
        <w:t xml:space="preserve"> = 0.431 and 0.466, respectively). Intracranial germ cell tumors were the most common cause of hypopituitarism in patients without NAFLD (43.5%), while congenital hypopituitarism was the most common cause in NAFLD and cirrhotic patients (45.0% and 42.9%, respectively), followed by craniopharyngioma and other causes. </w:t>
      </w:r>
    </w:p>
    <w:p w14:paraId="6A5B1F6A" w14:textId="77777777" w:rsidR="00C32A0B" w:rsidRPr="00704D1E" w:rsidRDefault="00C32A0B" w:rsidP="00704D1E">
      <w:pPr>
        <w:adjustRightInd w:val="0"/>
        <w:snapToGrid w:val="0"/>
        <w:spacing w:line="360" w:lineRule="auto"/>
        <w:rPr>
          <w:rFonts w:ascii="Book Antiqua" w:hAnsi="Book Antiqua" w:cs="Times New Roman"/>
          <w:b/>
          <w:i/>
          <w:color w:val="000000" w:themeColor="text1"/>
          <w:sz w:val="24"/>
          <w:szCs w:val="24"/>
        </w:rPr>
      </w:pPr>
    </w:p>
    <w:p w14:paraId="44D11BAB" w14:textId="77777777" w:rsidR="00C32A0B" w:rsidRPr="00704D1E" w:rsidRDefault="00C32A0B" w:rsidP="00487AFC">
      <w:pPr>
        <w:adjustRightInd w:val="0"/>
        <w:snapToGrid w:val="0"/>
        <w:spacing w:line="360" w:lineRule="auto"/>
        <w:outlineLvl w:val="0"/>
        <w:rPr>
          <w:rFonts w:ascii="Book Antiqua" w:hAnsi="Book Antiqua" w:cs="Times New Roman"/>
          <w:b/>
          <w:i/>
          <w:color w:val="000000" w:themeColor="text1"/>
          <w:sz w:val="24"/>
          <w:szCs w:val="24"/>
        </w:rPr>
      </w:pPr>
      <w:r w:rsidRPr="00704D1E">
        <w:rPr>
          <w:rFonts w:ascii="Book Antiqua" w:hAnsi="Book Antiqua" w:cs="Times New Roman"/>
          <w:b/>
          <w:i/>
          <w:color w:val="000000" w:themeColor="text1"/>
          <w:sz w:val="24"/>
          <w:szCs w:val="24"/>
        </w:rPr>
        <w:t>Distribution of anterior pituitary deficiencies and hormone replacement</w:t>
      </w:r>
    </w:p>
    <w:p w14:paraId="251F5A1F" w14:textId="1716BA0E" w:rsidR="00C32A0B" w:rsidRPr="00704D1E" w:rsidRDefault="00C32A0B"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 xml:space="preserve">The distribution of deficiency in anterior pituitary hormones is shown in Table 2, and all patients exhibited gonadotropin deficiency. The subjects who were on hormone replacement were evaluated clinically and biochemically at regular intervals, according to standard clinical practice, to ensure the physiological replacement of the deficient hormones. Although </w:t>
      </w:r>
      <w:r w:rsidR="00975556">
        <w:rPr>
          <w:rFonts w:ascii="Book Antiqua" w:hAnsi="Book Antiqua" w:cs="Times New Roman"/>
          <w:color w:val="000000" w:themeColor="text1"/>
          <w:sz w:val="24"/>
          <w:szCs w:val="24"/>
        </w:rPr>
        <w:t>four</w:t>
      </w:r>
      <w:r w:rsidR="00975556" w:rsidRPr="00704D1E">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 xml:space="preserve">(57.1%) cirrhotic patients were panhypopituitary, no significant differences were noted with regard to the distribution of deficiency in anterior pituitary hormones and to the proportion of patients who received physiological hormone replacement. </w:t>
      </w:r>
      <w:r w:rsidRPr="00704D1E">
        <w:rPr>
          <w:rFonts w:ascii="Book Antiqua" w:hAnsi="Book Antiqua" w:cs="Times New Roman"/>
          <w:color w:val="000000" w:themeColor="text1"/>
          <w:sz w:val="24"/>
          <w:szCs w:val="24"/>
        </w:rPr>
        <w:lastRenderedPageBreak/>
        <w:t xml:space="preserve">No patient received </w:t>
      </w:r>
      <w:r w:rsidR="00975556">
        <w:rPr>
          <w:rFonts w:ascii="Book Antiqua" w:hAnsi="Book Antiqua" w:cs="Times New Roman"/>
          <w:color w:val="000000" w:themeColor="text1"/>
          <w:sz w:val="24"/>
          <w:szCs w:val="24"/>
        </w:rPr>
        <w:t>GH</w:t>
      </w:r>
      <w:r w:rsidRPr="00704D1E">
        <w:rPr>
          <w:rFonts w:ascii="Book Antiqua" w:hAnsi="Book Antiqua" w:cs="Times New Roman"/>
          <w:color w:val="000000" w:themeColor="text1"/>
          <w:sz w:val="24"/>
          <w:szCs w:val="24"/>
        </w:rPr>
        <w:t xml:space="preserve"> therapy in the present study. </w:t>
      </w:r>
      <w:bookmarkStart w:id="68" w:name="_Hlk526630137"/>
      <w:r w:rsidRPr="00704D1E">
        <w:rPr>
          <w:rFonts w:ascii="Book Antiqua" w:hAnsi="Book Antiqua" w:cs="Times New Roman"/>
          <w:color w:val="000000" w:themeColor="text1"/>
          <w:sz w:val="24"/>
          <w:szCs w:val="24"/>
        </w:rPr>
        <w:t xml:space="preserve">No significant difference was noted in serum GH </w:t>
      </w:r>
      <w:bookmarkStart w:id="69" w:name="OLE_LINK572"/>
      <w:bookmarkStart w:id="70" w:name="OLE_LINK573"/>
      <w:r w:rsidR="00975556">
        <w:rPr>
          <w:rFonts w:ascii="Book Antiqua" w:hAnsi="Book Antiqua" w:cs="Times New Roman"/>
          <w:color w:val="000000" w:themeColor="text1"/>
          <w:sz w:val="24"/>
          <w:szCs w:val="24"/>
        </w:rPr>
        <w:t>or</w:t>
      </w:r>
      <w:r w:rsidR="00975556" w:rsidRPr="00704D1E">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insulin-like growth factor 1</w:t>
      </w:r>
      <w:bookmarkEnd w:id="68"/>
      <w:bookmarkEnd w:id="69"/>
      <w:bookmarkEnd w:id="70"/>
      <w:r w:rsidRPr="00704D1E">
        <w:rPr>
          <w:rFonts w:ascii="Book Antiqua" w:hAnsi="Book Antiqua" w:cs="Times New Roman"/>
          <w:color w:val="000000" w:themeColor="text1"/>
          <w:sz w:val="24"/>
          <w:szCs w:val="24"/>
        </w:rPr>
        <w:t xml:space="preserve"> (IGF1). Serum thyroid hormone levels were similar in cirrhotic, NAFLD</w:t>
      </w:r>
      <w:r w:rsidR="00975556">
        <w:rPr>
          <w:rFonts w:ascii="Book Antiqua" w:hAnsi="Book Antiqua" w:cs="Times New Roman"/>
          <w:color w:val="000000" w:themeColor="text1"/>
          <w:sz w:val="24"/>
          <w:szCs w:val="24"/>
        </w:rPr>
        <w:t>,</w:t>
      </w:r>
      <w:r w:rsidRPr="00704D1E">
        <w:rPr>
          <w:rFonts w:ascii="Book Antiqua" w:hAnsi="Book Antiqua" w:cs="Times New Roman"/>
          <w:color w:val="000000" w:themeColor="text1"/>
          <w:sz w:val="24"/>
          <w:szCs w:val="24"/>
        </w:rPr>
        <w:t xml:space="preserve"> and NAFLD (-) patients, as shown in Table 1. In addition, there was no difference in the proportion of patients with hypothalamic dysfunction in cirrhotic, NAFLD</w:t>
      </w:r>
      <w:r w:rsidR="00975556">
        <w:rPr>
          <w:rFonts w:ascii="Book Antiqua" w:hAnsi="Book Antiqua" w:cs="Times New Roman"/>
          <w:color w:val="000000" w:themeColor="text1"/>
          <w:sz w:val="24"/>
          <w:szCs w:val="24"/>
        </w:rPr>
        <w:t>,</w:t>
      </w:r>
      <w:r w:rsidRPr="00704D1E">
        <w:rPr>
          <w:rFonts w:ascii="Book Antiqua" w:hAnsi="Book Antiqua" w:cs="Times New Roman"/>
          <w:color w:val="000000" w:themeColor="text1"/>
          <w:sz w:val="24"/>
          <w:szCs w:val="24"/>
        </w:rPr>
        <w:t xml:space="preserve"> and NAFLD (-) patients.</w:t>
      </w:r>
    </w:p>
    <w:p w14:paraId="3ED1196C" w14:textId="77777777" w:rsidR="00C32A0B" w:rsidRPr="00704D1E" w:rsidRDefault="00C32A0B" w:rsidP="00704D1E">
      <w:pPr>
        <w:adjustRightInd w:val="0"/>
        <w:snapToGrid w:val="0"/>
        <w:spacing w:line="360" w:lineRule="auto"/>
        <w:rPr>
          <w:rFonts w:ascii="Book Antiqua" w:hAnsi="Book Antiqua" w:cs="Times New Roman"/>
          <w:b/>
          <w:i/>
          <w:color w:val="000000" w:themeColor="text1"/>
          <w:sz w:val="24"/>
          <w:szCs w:val="24"/>
        </w:rPr>
      </w:pPr>
    </w:p>
    <w:p w14:paraId="76C92CFB" w14:textId="77777777" w:rsidR="00C32A0B" w:rsidRPr="00704D1E" w:rsidRDefault="00C32A0B" w:rsidP="00487AFC">
      <w:pPr>
        <w:adjustRightInd w:val="0"/>
        <w:snapToGrid w:val="0"/>
        <w:spacing w:line="360" w:lineRule="auto"/>
        <w:outlineLvl w:val="0"/>
        <w:rPr>
          <w:rFonts w:ascii="Book Antiqua" w:hAnsi="Book Antiqua" w:cs="Times New Roman"/>
          <w:b/>
          <w:i/>
          <w:color w:val="000000" w:themeColor="text1"/>
          <w:sz w:val="24"/>
          <w:szCs w:val="24"/>
        </w:rPr>
      </w:pPr>
      <w:r w:rsidRPr="00704D1E">
        <w:rPr>
          <w:rFonts w:ascii="Book Antiqua" w:hAnsi="Book Antiqua" w:cs="Times New Roman"/>
          <w:b/>
          <w:i/>
          <w:color w:val="000000" w:themeColor="text1"/>
          <w:sz w:val="24"/>
          <w:szCs w:val="24"/>
        </w:rPr>
        <w:t>Diabetes insipidus and electrolytic imbalance</w:t>
      </w:r>
    </w:p>
    <w:p w14:paraId="1ECF96D7" w14:textId="4CD91901" w:rsidR="00C32A0B" w:rsidRPr="00704D1E" w:rsidRDefault="00C32A0B"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No patient</w:t>
      </w:r>
      <w:r w:rsidR="00975556">
        <w:rPr>
          <w:rFonts w:ascii="Book Antiqua" w:hAnsi="Book Antiqua" w:cs="Times New Roman"/>
          <w:color w:val="000000" w:themeColor="text1"/>
          <w:sz w:val="24"/>
          <w:szCs w:val="24"/>
        </w:rPr>
        <w:t>s</w:t>
      </w:r>
      <w:r w:rsidRPr="00704D1E">
        <w:rPr>
          <w:rFonts w:ascii="Book Antiqua" w:hAnsi="Book Antiqua" w:cs="Times New Roman"/>
          <w:color w:val="000000" w:themeColor="text1"/>
          <w:sz w:val="24"/>
          <w:szCs w:val="24"/>
        </w:rPr>
        <w:t xml:space="preserve"> </w:t>
      </w:r>
      <w:r w:rsidR="00975556" w:rsidRPr="00704D1E">
        <w:rPr>
          <w:rFonts w:ascii="Book Antiqua" w:hAnsi="Book Antiqua" w:cs="Times New Roman"/>
          <w:color w:val="000000" w:themeColor="text1"/>
          <w:sz w:val="24"/>
          <w:szCs w:val="24"/>
        </w:rPr>
        <w:t>w</w:t>
      </w:r>
      <w:r w:rsidR="00975556">
        <w:rPr>
          <w:rFonts w:ascii="Book Antiqua" w:hAnsi="Book Antiqua" w:cs="Times New Roman"/>
          <w:color w:val="000000" w:themeColor="text1"/>
          <w:sz w:val="24"/>
          <w:szCs w:val="24"/>
        </w:rPr>
        <w:t>ere</w:t>
      </w:r>
      <w:r w:rsidR="00975556" w:rsidRPr="00704D1E">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 xml:space="preserve">taking medications, such as diuretics, that could affect plasma osmolality and serum sodium for the treatment of cirrhotic conditions. A total of 36 (72%) patients also had diabetes insipidus; however, 21 of them (58.3%) did not receive treatment with desmopressin. No significant differences were noted in the proportion of patients with diabetes insipidus </w:t>
      </w:r>
      <w:r w:rsidR="00975556">
        <w:rPr>
          <w:rFonts w:ascii="Book Antiqua" w:hAnsi="Book Antiqua" w:cs="Times New Roman"/>
          <w:color w:val="000000" w:themeColor="text1"/>
          <w:sz w:val="24"/>
          <w:szCs w:val="24"/>
        </w:rPr>
        <w:t>or</w:t>
      </w:r>
      <w:r w:rsidR="00975556" w:rsidRPr="00704D1E">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 xml:space="preserve">in the proportion of patients who received desmopressin treatment, between patients with and without NAFLD. In addition, no significant differences were observed between the NAFLD and the cirrhotic groups, as shown in Table 2. However, plasma osmolality of patients with cirrhosis was significantly higher than that of NAFLD patients (median plasma osmolality = 314.9 </w:t>
      </w:r>
      <w:bookmarkStart w:id="71" w:name="_Hlk530921266"/>
      <w:proofErr w:type="spellStart"/>
      <w:r w:rsidRPr="00704D1E">
        <w:rPr>
          <w:rFonts w:ascii="Book Antiqua" w:hAnsi="Book Antiqua" w:cs="Times New Roman"/>
          <w:color w:val="000000" w:themeColor="text1"/>
          <w:sz w:val="24"/>
          <w:szCs w:val="24"/>
        </w:rPr>
        <w:t>mOsm</w:t>
      </w:r>
      <w:proofErr w:type="spellEnd"/>
      <w:r w:rsidRPr="00704D1E">
        <w:rPr>
          <w:rFonts w:ascii="Book Antiqua" w:hAnsi="Book Antiqua" w:cs="Times New Roman"/>
          <w:color w:val="000000" w:themeColor="text1"/>
          <w:sz w:val="24"/>
          <w:szCs w:val="24"/>
        </w:rPr>
        <w:t>/kgH</w:t>
      </w:r>
      <w:r w:rsidRPr="00704D1E">
        <w:rPr>
          <w:rFonts w:ascii="Book Antiqua" w:hAnsi="Book Antiqua" w:cs="Times New Roman"/>
          <w:color w:val="000000" w:themeColor="text1"/>
          <w:sz w:val="24"/>
          <w:szCs w:val="24"/>
          <w:vertAlign w:val="subscript"/>
        </w:rPr>
        <w:t>2</w:t>
      </w:r>
      <w:r w:rsidRPr="00704D1E">
        <w:rPr>
          <w:rFonts w:ascii="Book Antiqua" w:hAnsi="Book Antiqua" w:cs="Times New Roman"/>
          <w:color w:val="000000" w:themeColor="text1"/>
          <w:sz w:val="24"/>
          <w:szCs w:val="24"/>
        </w:rPr>
        <w:t>O</w:t>
      </w:r>
      <w:bookmarkEnd w:id="71"/>
      <w:r w:rsidRPr="00704D1E">
        <w:rPr>
          <w:rFonts w:ascii="Book Antiqua" w:hAnsi="Book Antiqua" w:cs="Times New Roman"/>
          <w:color w:val="000000" w:themeColor="text1"/>
          <w:sz w:val="24"/>
          <w:szCs w:val="24"/>
        </w:rPr>
        <w:t xml:space="preserve"> and 299.3 </w:t>
      </w:r>
      <w:proofErr w:type="spellStart"/>
      <w:r w:rsidRPr="00704D1E">
        <w:rPr>
          <w:rFonts w:ascii="Book Antiqua" w:hAnsi="Book Antiqua" w:cs="Times New Roman"/>
          <w:color w:val="000000" w:themeColor="text1"/>
          <w:sz w:val="24"/>
          <w:szCs w:val="24"/>
        </w:rPr>
        <w:t>mOsm</w:t>
      </w:r>
      <w:proofErr w:type="spellEnd"/>
      <w:r w:rsidRPr="00704D1E">
        <w:rPr>
          <w:rFonts w:ascii="Book Antiqua" w:hAnsi="Book Antiqua" w:cs="Times New Roman"/>
          <w:color w:val="000000" w:themeColor="text1"/>
          <w:sz w:val="24"/>
          <w:szCs w:val="24"/>
        </w:rPr>
        <w:t>/kgH</w:t>
      </w:r>
      <w:r w:rsidRPr="00704D1E">
        <w:rPr>
          <w:rFonts w:ascii="Book Antiqua" w:hAnsi="Book Antiqua" w:cs="Times New Roman"/>
          <w:color w:val="000000" w:themeColor="text1"/>
          <w:sz w:val="24"/>
          <w:szCs w:val="24"/>
          <w:vertAlign w:val="subscript"/>
        </w:rPr>
        <w:t>2</w:t>
      </w:r>
      <w:r w:rsidRPr="00704D1E">
        <w:rPr>
          <w:rFonts w:ascii="Book Antiqua" w:hAnsi="Book Antiqua" w:cs="Times New Roman"/>
          <w:color w:val="000000" w:themeColor="text1"/>
          <w:sz w:val="24"/>
          <w:szCs w:val="24"/>
        </w:rPr>
        <w:t xml:space="preserve">O, respectively, </w:t>
      </w:r>
      <w:r w:rsidRPr="00704D1E">
        <w:rPr>
          <w:rFonts w:ascii="Book Antiqua" w:hAnsi="Book Antiqua" w:cs="Times New Roman"/>
          <w:i/>
          <w:color w:val="000000" w:themeColor="text1"/>
          <w:sz w:val="24"/>
          <w:szCs w:val="24"/>
        </w:rPr>
        <w:t>P</w:t>
      </w:r>
      <w:r w:rsidRPr="00704D1E">
        <w:rPr>
          <w:rFonts w:ascii="Book Antiqua" w:hAnsi="Book Antiqua" w:cs="Times New Roman"/>
          <w:color w:val="000000" w:themeColor="text1"/>
          <w:sz w:val="24"/>
          <w:szCs w:val="24"/>
        </w:rPr>
        <w:t xml:space="preserve"> = 0.036). Similar differences were observed in the concentrations of serum sodium and</w:t>
      </w:r>
      <w:r w:rsidR="008E49E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 xml:space="preserve">chlorine, as shown in Table 1, but no significant differences were noted between patients with cirrhosis and </w:t>
      </w:r>
      <w:r w:rsidR="00975556">
        <w:rPr>
          <w:rFonts w:ascii="Book Antiqua" w:hAnsi="Book Antiqua" w:cs="Times New Roman"/>
          <w:color w:val="000000" w:themeColor="text1"/>
          <w:sz w:val="24"/>
          <w:szCs w:val="24"/>
        </w:rPr>
        <w:t xml:space="preserve">those </w:t>
      </w:r>
      <w:r w:rsidRPr="00704D1E">
        <w:rPr>
          <w:rFonts w:ascii="Book Antiqua" w:hAnsi="Book Antiqua" w:cs="Times New Roman"/>
          <w:color w:val="000000" w:themeColor="text1"/>
          <w:sz w:val="24"/>
          <w:szCs w:val="24"/>
        </w:rPr>
        <w:t xml:space="preserve">without NAFLD. </w:t>
      </w:r>
    </w:p>
    <w:p w14:paraId="1CDA811C" w14:textId="77777777" w:rsidR="00C32A0B" w:rsidRPr="00704D1E" w:rsidRDefault="00C32A0B" w:rsidP="00704D1E">
      <w:pPr>
        <w:adjustRightInd w:val="0"/>
        <w:snapToGrid w:val="0"/>
        <w:spacing w:line="360" w:lineRule="auto"/>
        <w:rPr>
          <w:rFonts w:ascii="Book Antiqua" w:hAnsi="Book Antiqua" w:cs="Times New Roman"/>
          <w:b/>
          <w:i/>
          <w:color w:val="000000" w:themeColor="text1"/>
          <w:sz w:val="24"/>
          <w:szCs w:val="24"/>
        </w:rPr>
      </w:pPr>
    </w:p>
    <w:p w14:paraId="0597E232" w14:textId="77777777" w:rsidR="00C32A0B" w:rsidRPr="00704D1E" w:rsidRDefault="00C32A0B" w:rsidP="00487AFC">
      <w:pPr>
        <w:adjustRightInd w:val="0"/>
        <w:snapToGrid w:val="0"/>
        <w:spacing w:line="360" w:lineRule="auto"/>
        <w:outlineLvl w:val="0"/>
        <w:rPr>
          <w:rFonts w:ascii="Book Antiqua" w:hAnsi="Book Antiqua" w:cs="Times New Roman"/>
          <w:b/>
          <w:i/>
          <w:color w:val="000000" w:themeColor="text1"/>
          <w:sz w:val="24"/>
          <w:szCs w:val="24"/>
        </w:rPr>
      </w:pPr>
      <w:r w:rsidRPr="00704D1E">
        <w:rPr>
          <w:rFonts w:ascii="Book Antiqua" w:hAnsi="Book Antiqua" w:cs="Times New Roman"/>
          <w:b/>
          <w:i/>
          <w:color w:val="000000" w:themeColor="text1"/>
          <w:sz w:val="24"/>
          <w:szCs w:val="24"/>
        </w:rPr>
        <w:t>Association with metabolic syndrome</w:t>
      </w:r>
    </w:p>
    <w:p w14:paraId="2ECD5588" w14:textId="43E66796" w:rsidR="00C32A0B" w:rsidRPr="00704D1E" w:rsidRDefault="00C32A0B"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 xml:space="preserve">The comparison of the clinical characteristics demonstrated that no significant differences were noted in systolic blood pressure (SBP) </w:t>
      </w:r>
      <w:r w:rsidR="006E5B8C">
        <w:rPr>
          <w:rFonts w:ascii="Book Antiqua" w:hAnsi="Book Antiqua" w:cs="Times New Roman"/>
          <w:color w:val="000000" w:themeColor="text1"/>
          <w:sz w:val="24"/>
          <w:szCs w:val="24"/>
        </w:rPr>
        <w:t>or</w:t>
      </w:r>
      <w:r w:rsidR="006E5B8C" w:rsidRPr="00704D1E">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diastolic blood pressure (DBP) between patients with and without NAFLD. SBP and DBP of cirrhotic patients were lower than those of the NAFLD patients, although no statistically significant differences were observed (</w:t>
      </w:r>
      <w:r w:rsidRPr="00704D1E">
        <w:rPr>
          <w:rFonts w:ascii="Book Antiqua" w:hAnsi="Book Antiqua" w:cs="Times New Roman"/>
          <w:i/>
          <w:color w:val="000000" w:themeColor="text1"/>
          <w:sz w:val="24"/>
          <w:szCs w:val="24"/>
        </w:rPr>
        <w:t>P</w:t>
      </w:r>
      <w:r w:rsidRPr="00704D1E">
        <w:rPr>
          <w:rFonts w:ascii="Book Antiqua" w:hAnsi="Book Antiqua" w:cs="Times New Roman"/>
          <w:color w:val="000000" w:themeColor="text1"/>
          <w:sz w:val="24"/>
          <w:szCs w:val="24"/>
        </w:rPr>
        <w:t xml:space="preserve"> adjusted for age = 0.116 and 0.050, respectively). The median BMI and WC in cirrhotic patients were 27.7 kg/m</w:t>
      </w:r>
      <w:r w:rsidRPr="00704D1E">
        <w:rPr>
          <w:rFonts w:ascii="Book Antiqua" w:hAnsi="Book Antiqua" w:cs="Times New Roman"/>
          <w:color w:val="000000" w:themeColor="text1"/>
          <w:sz w:val="24"/>
          <w:szCs w:val="24"/>
          <w:vertAlign w:val="superscript"/>
        </w:rPr>
        <w:t xml:space="preserve">2 </w:t>
      </w:r>
      <w:r w:rsidRPr="00704D1E">
        <w:rPr>
          <w:rFonts w:ascii="Book Antiqua" w:hAnsi="Book Antiqua" w:cs="Times New Roman"/>
          <w:color w:val="000000" w:themeColor="text1"/>
          <w:sz w:val="24"/>
          <w:szCs w:val="24"/>
        </w:rPr>
        <w:t xml:space="preserve">and 110.5 cm, respectively. These values were significantly higher </w:t>
      </w:r>
      <w:r w:rsidRPr="00704D1E">
        <w:rPr>
          <w:rFonts w:ascii="Book Antiqua" w:hAnsi="Book Antiqua" w:cs="Times New Roman"/>
          <w:color w:val="000000" w:themeColor="text1"/>
          <w:sz w:val="24"/>
          <w:szCs w:val="24"/>
        </w:rPr>
        <w:lastRenderedPageBreak/>
        <w:t>than those of patients without NAFLD (22.2 kg/m</w:t>
      </w:r>
      <w:r w:rsidRPr="00704D1E">
        <w:rPr>
          <w:rFonts w:ascii="Book Antiqua" w:hAnsi="Book Antiqua" w:cs="Times New Roman"/>
          <w:color w:val="000000" w:themeColor="text1"/>
          <w:sz w:val="24"/>
          <w:szCs w:val="24"/>
          <w:vertAlign w:val="superscript"/>
        </w:rPr>
        <w:t>2</w:t>
      </w:r>
      <w:r w:rsidRPr="00704D1E">
        <w:rPr>
          <w:rFonts w:ascii="Book Antiqua" w:hAnsi="Book Antiqua" w:cs="Times New Roman"/>
          <w:color w:val="000000" w:themeColor="text1"/>
          <w:sz w:val="24"/>
          <w:szCs w:val="24"/>
        </w:rPr>
        <w:t xml:space="preserve"> and 73.0 cm, </w:t>
      </w:r>
      <w:r w:rsidRPr="00704D1E">
        <w:rPr>
          <w:rFonts w:ascii="Book Antiqua" w:hAnsi="Book Antiqua" w:cs="Times New Roman"/>
          <w:i/>
          <w:color w:val="000000" w:themeColor="text1"/>
          <w:sz w:val="24"/>
          <w:szCs w:val="24"/>
        </w:rPr>
        <w:t>P</w:t>
      </w:r>
      <w:r w:rsidRPr="00704D1E">
        <w:rPr>
          <w:rFonts w:ascii="Book Antiqua" w:hAnsi="Book Antiqua" w:cs="Times New Roman"/>
          <w:color w:val="000000" w:themeColor="text1"/>
          <w:sz w:val="24"/>
          <w:szCs w:val="24"/>
        </w:rPr>
        <w:t xml:space="preserve"> = 0.011 and 0.040, respectively) but similar to those of the NAFLD patients (BMI = 27.9 kg/m</w:t>
      </w:r>
      <w:r w:rsidRPr="00704D1E">
        <w:rPr>
          <w:rFonts w:ascii="Book Antiqua" w:hAnsi="Book Antiqua" w:cs="Times New Roman"/>
          <w:color w:val="000000" w:themeColor="text1"/>
          <w:sz w:val="24"/>
          <w:szCs w:val="24"/>
          <w:vertAlign w:val="superscript"/>
        </w:rPr>
        <w:t>2</w:t>
      </w:r>
      <w:r w:rsidRPr="00704D1E">
        <w:rPr>
          <w:rFonts w:ascii="Book Antiqua" w:hAnsi="Book Antiqua" w:cs="Times New Roman"/>
          <w:color w:val="000000" w:themeColor="text1"/>
          <w:sz w:val="24"/>
          <w:szCs w:val="24"/>
        </w:rPr>
        <w:t xml:space="preserve"> and WC = 102.0 cm, </w:t>
      </w:r>
      <w:r w:rsidRPr="00704D1E">
        <w:rPr>
          <w:rFonts w:ascii="Book Antiqua" w:hAnsi="Book Antiqua" w:cs="Times New Roman"/>
          <w:i/>
          <w:color w:val="000000" w:themeColor="text1"/>
          <w:sz w:val="24"/>
          <w:szCs w:val="24"/>
        </w:rPr>
        <w:t>P</w:t>
      </w:r>
      <w:r w:rsidRPr="00704D1E">
        <w:rPr>
          <w:rFonts w:ascii="Book Antiqua" w:hAnsi="Book Antiqua" w:cs="Times New Roman"/>
          <w:color w:val="000000" w:themeColor="text1"/>
          <w:sz w:val="24"/>
          <w:szCs w:val="24"/>
        </w:rPr>
        <w:t xml:space="preserve"> = 0.912 and 0.396, respectively). The HOMA-IR of cirrhotic patients was significantly higher than that of patients without NAFLD (</w:t>
      </w:r>
      <w:r w:rsidRPr="00704D1E">
        <w:rPr>
          <w:rFonts w:ascii="Book Antiqua" w:hAnsi="Book Antiqua" w:cs="Times New Roman"/>
          <w:i/>
          <w:color w:val="000000" w:themeColor="text1"/>
          <w:sz w:val="24"/>
          <w:szCs w:val="24"/>
        </w:rPr>
        <w:t>P</w:t>
      </w:r>
      <w:r w:rsidRPr="00704D1E">
        <w:rPr>
          <w:rFonts w:ascii="Book Antiqua" w:hAnsi="Book Antiqua" w:cs="Times New Roman"/>
          <w:color w:val="000000" w:themeColor="text1"/>
          <w:sz w:val="24"/>
          <w:szCs w:val="24"/>
        </w:rPr>
        <w:t xml:space="preserve"> = 0.045), although no significant difference was noted between the cirrhotic patients and</w:t>
      </w:r>
      <w:r w:rsidR="006E5B8C">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 xml:space="preserve">NAFLD patients. </w:t>
      </w:r>
      <w:bookmarkStart w:id="72" w:name="_Hlk1548783"/>
      <w:r w:rsidRPr="00704D1E">
        <w:rPr>
          <w:rFonts w:ascii="Book Antiqua" w:hAnsi="Book Antiqua" w:cs="Times New Roman"/>
          <w:color w:val="000000" w:themeColor="text1"/>
          <w:sz w:val="24"/>
          <w:szCs w:val="24"/>
        </w:rPr>
        <w:t xml:space="preserve">A correlation analysis was performed, and it showed that </w:t>
      </w:r>
      <w:bookmarkStart w:id="73" w:name="_Hlk1384162"/>
      <w:r w:rsidRPr="00704D1E">
        <w:rPr>
          <w:rFonts w:ascii="Book Antiqua" w:hAnsi="Book Antiqua" w:cs="Times New Roman"/>
          <w:color w:val="000000" w:themeColor="text1"/>
          <w:sz w:val="24"/>
          <w:szCs w:val="24"/>
        </w:rPr>
        <w:t>fasting insulin concentration was positively associated with plasma osmolality in patients with NAFLD after adjusting for gender, age, and BMI</w:t>
      </w:r>
      <w:bookmarkEnd w:id="73"/>
      <w:r w:rsidRPr="00704D1E">
        <w:rPr>
          <w:rFonts w:ascii="Book Antiqua" w:hAnsi="Book Antiqua" w:cs="Times New Roman"/>
          <w:color w:val="000000" w:themeColor="text1"/>
          <w:sz w:val="24"/>
          <w:szCs w:val="24"/>
        </w:rPr>
        <w:t xml:space="preserve"> (</w:t>
      </w:r>
      <w:bookmarkStart w:id="74" w:name="_Hlk1548404"/>
      <w:r w:rsidRPr="00704D1E">
        <w:rPr>
          <w:rFonts w:ascii="Book Antiqua" w:hAnsi="Book Antiqua" w:cs="Times New Roman"/>
          <w:i/>
          <w:color w:val="000000" w:themeColor="text1"/>
          <w:sz w:val="24"/>
          <w:szCs w:val="24"/>
        </w:rPr>
        <w:t>r</w:t>
      </w:r>
      <w:r w:rsidRPr="00704D1E">
        <w:rPr>
          <w:rFonts w:ascii="Book Antiqua" w:hAnsi="Book Antiqua" w:cs="Times New Roman"/>
          <w:color w:val="000000" w:themeColor="text1"/>
          <w:sz w:val="24"/>
          <w:szCs w:val="24"/>
        </w:rPr>
        <w:t xml:space="preserve"> = 0.540, </w:t>
      </w:r>
      <w:r w:rsidRPr="00704D1E">
        <w:rPr>
          <w:rFonts w:ascii="Book Antiqua" w:hAnsi="Book Antiqua" w:cs="Times New Roman"/>
          <w:i/>
          <w:color w:val="000000" w:themeColor="text1"/>
          <w:sz w:val="24"/>
          <w:szCs w:val="24"/>
        </w:rPr>
        <w:t>P</w:t>
      </w:r>
      <w:r w:rsidRPr="00704D1E">
        <w:rPr>
          <w:rFonts w:ascii="Book Antiqua" w:hAnsi="Book Antiqua" w:cs="Times New Roman"/>
          <w:color w:val="000000" w:themeColor="text1"/>
          <w:sz w:val="24"/>
          <w:szCs w:val="24"/>
        </w:rPr>
        <w:t xml:space="preserve"> = 0.046</w:t>
      </w:r>
      <w:bookmarkEnd w:id="74"/>
      <w:r w:rsidRPr="00704D1E">
        <w:rPr>
          <w:rFonts w:ascii="Book Antiqua" w:hAnsi="Book Antiqua" w:cs="Times New Roman"/>
          <w:color w:val="000000" w:themeColor="text1"/>
          <w:sz w:val="24"/>
          <w:szCs w:val="24"/>
        </w:rPr>
        <w:t xml:space="preserve">), but no correlation was noted in total hypopituitary patients or in patients without NAFLD. There was no correlation between HOMA-IR and plasma osmolality. </w:t>
      </w:r>
      <w:bookmarkEnd w:id="72"/>
      <w:r w:rsidRPr="00704D1E">
        <w:rPr>
          <w:rFonts w:ascii="Book Antiqua" w:hAnsi="Book Antiqua" w:cs="Times New Roman"/>
          <w:color w:val="000000" w:themeColor="text1"/>
          <w:sz w:val="24"/>
          <w:szCs w:val="24"/>
        </w:rPr>
        <w:t xml:space="preserve">In contrast to previous </w:t>
      </w:r>
      <w:proofErr w:type="gramStart"/>
      <w:r w:rsidRPr="00704D1E">
        <w:rPr>
          <w:rFonts w:ascii="Book Antiqua" w:hAnsi="Book Antiqua" w:cs="Times New Roman"/>
          <w:color w:val="000000" w:themeColor="text1"/>
          <w:sz w:val="24"/>
          <w:szCs w:val="24"/>
        </w:rPr>
        <w:t>studies</w:t>
      </w:r>
      <w:r w:rsidRPr="00704D1E">
        <w:rPr>
          <w:rFonts w:ascii="Book Antiqua" w:hAnsi="Book Antiqua" w:cs="Times New Roman"/>
          <w:color w:val="000000" w:themeColor="text1"/>
          <w:sz w:val="24"/>
          <w:szCs w:val="24"/>
          <w:vertAlign w:val="superscript"/>
        </w:rPr>
        <w:t>[</w:t>
      </w:r>
      <w:proofErr w:type="gramEnd"/>
      <w:r w:rsidRPr="00704D1E">
        <w:rPr>
          <w:rFonts w:ascii="Book Antiqua" w:hAnsi="Book Antiqua" w:cs="Times New Roman"/>
          <w:color w:val="000000" w:themeColor="text1"/>
          <w:sz w:val="24"/>
          <w:szCs w:val="24"/>
          <w:vertAlign w:val="superscript"/>
        </w:rPr>
        <w:t>7-9]</w:t>
      </w:r>
      <w:r w:rsidRPr="00704D1E">
        <w:rPr>
          <w:rFonts w:ascii="Book Antiqua" w:hAnsi="Book Antiqua" w:cs="Times New Roman"/>
          <w:color w:val="000000" w:themeColor="text1"/>
          <w:sz w:val="24"/>
          <w:szCs w:val="24"/>
        </w:rPr>
        <w:t>, no significant difference was noted in the levels of fasting plasma glucose,</w:t>
      </w:r>
      <w:bookmarkStart w:id="75" w:name="_Hlk524806410"/>
      <w:bookmarkStart w:id="76" w:name="_Hlk524806810"/>
      <w:bookmarkStart w:id="77" w:name="_Hlk530865972"/>
      <w:r w:rsidRPr="00704D1E">
        <w:rPr>
          <w:rFonts w:ascii="Book Antiqua" w:hAnsi="Book Antiqua" w:cs="Times New Roman"/>
          <w:color w:val="000000" w:themeColor="text1"/>
          <w:sz w:val="24"/>
          <w:szCs w:val="24"/>
        </w:rPr>
        <w:t xml:space="preserve"> glycated hemoglobin A1</w:t>
      </w:r>
      <w:r w:rsidRPr="00704D1E">
        <w:rPr>
          <w:rFonts w:ascii="Book Antiqua" w:hAnsi="Book Antiqua" w:cs="Times New Roman"/>
          <w:color w:val="000000" w:themeColor="text1"/>
          <w:sz w:val="24"/>
          <w:szCs w:val="24"/>
          <w:vertAlign w:val="subscript"/>
        </w:rPr>
        <w:t>C</w:t>
      </w:r>
      <w:bookmarkEnd w:id="75"/>
      <w:bookmarkEnd w:id="76"/>
      <w:r w:rsidRPr="00704D1E">
        <w:rPr>
          <w:rFonts w:ascii="Book Antiqua" w:hAnsi="Book Antiqua" w:cs="Times New Roman"/>
          <w:color w:val="000000" w:themeColor="text1"/>
          <w:sz w:val="24"/>
          <w:szCs w:val="24"/>
        </w:rPr>
        <w:t xml:space="preserve"> (HbA1</w:t>
      </w:r>
      <w:r w:rsidRPr="00704D1E">
        <w:rPr>
          <w:rFonts w:ascii="Book Antiqua" w:hAnsi="Book Antiqua" w:cs="Times New Roman"/>
          <w:color w:val="000000" w:themeColor="text1"/>
          <w:sz w:val="24"/>
          <w:szCs w:val="24"/>
          <w:vertAlign w:val="subscript"/>
        </w:rPr>
        <w:t>C</w:t>
      </w:r>
      <w:r w:rsidRPr="00704D1E">
        <w:rPr>
          <w:rFonts w:ascii="Book Antiqua" w:hAnsi="Book Antiqua" w:cs="Times New Roman"/>
          <w:color w:val="000000" w:themeColor="text1"/>
          <w:sz w:val="24"/>
          <w:szCs w:val="24"/>
        </w:rPr>
        <w:t>)</w:t>
      </w:r>
      <w:bookmarkEnd w:id="77"/>
      <w:r w:rsidRPr="00704D1E">
        <w:rPr>
          <w:rFonts w:ascii="Book Antiqua" w:hAnsi="Book Antiqua" w:cs="Times New Roman"/>
          <w:color w:val="000000" w:themeColor="text1"/>
          <w:sz w:val="24"/>
          <w:szCs w:val="24"/>
        </w:rPr>
        <w:t xml:space="preserve">, total cholesterol (TC), </w:t>
      </w:r>
      <w:bookmarkStart w:id="78" w:name="_Hlk524806968"/>
      <w:bookmarkStart w:id="79" w:name="_Hlk524806439"/>
      <w:r w:rsidRPr="00704D1E">
        <w:rPr>
          <w:rFonts w:ascii="Book Antiqua" w:hAnsi="Book Antiqua" w:cs="Times New Roman"/>
          <w:color w:val="000000" w:themeColor="text1"/>
          <w:sz w:val="24"/>
          <w:szCs w:val="24"/>
        </w:rPr>
        <w:t xml:space="preserve">low density lipoprotein </w:t>
      </w:r>
      <w:bookmarkEnd w:id="78"/>
      <w:r w:rsidRPr="00704D1E">
        <w:rPr>
          <w:rFonts w:ascii="Book Antiqua" w:hAnsi="Book Antiqua" w:cs="Times New Roman"/>
          <w:color w:val="000000" w:themeColor="text1"/>
          <w:sz w:val="24"/>
          <w:szCs w:val="24"/>
        </w:rPr>
        <w:t xml:space="preserve">cholesterol (LDL-C), </w:t>
      </w:r>
      <w:bookmarkStart w:id="80" w:name="_Hlk524806977"/>
      <w:r w:rsidRPr="00704D1E">
        <w:rPr>
          <w:rFonts w:ascii="Book Antiqua" w:hAnsi="Book Antiqua" w:cs="Times New Roman"/>
          <w:color w:val="000000" w:themeColor="text1"/>
          <w:sz w:val="24"/>
          <w:szCs w:val="24"/>
        </w:rPr>
        <w:t xml:space="preserve">high density lipoprotein </w:t>
      </w:r>
      <w:bookmarkEnd w:id="80"/>
      <w:r w:rsidRPr="00704D1E">
        <w:rPr>
          <w:rFonts w:ascii="Book Antiqua" w:hAnsi="Book Antiqua" w:cs="Times New Roman"/>
          <w:color w:val="000000" w:themeColor="text1"/>
          <w:sz w:val="24"/>
          <w:szCs w:val="24"/>
        </w:rPr>
        <w:t>cholesterol (HDL-</w:t>
      </w:r>
      <w:bookmarkEnd w:id="79"/>
      <w:r w:rsidRPr="00704D1E">
        <w:rPr>
          <w:rFonts w:ascii="Book Antiqua" w:hAnsi="Book Antiqua" w:cs="Times New Roman"/>
          <w:color w:val="000000" w:themeColor="text1"/>
          <w:sz w:val="24"/>
          <w:szCs w:val="24"/>
        </w:rPr>
        <w:t>C)</w:t>
      </w:r>
      <w:r w:rsidR="006E5B8C">
        <w:rPr>
          <w:rFonts w:ascii="Book Antiqua" w:hAnsi="Book Antiqua" w:cs="Times New Roman"/>
          <w:color w:val="000000" w:themeColor="text1"/>
          <w:sz w:val="24"/>
          <w:szCs w:val="24"/>
        </w:rPr>
        <w:t>,</w:t>
      </w:r>
      <w:r w:rsidRPr="00704D1E">
        <w:rPr>
          <w:rFonts w:ascii="Book Antiqua" w:hAnsi="Book Antiqua" w:cs="Times New Roman"/>
          <w:color w:val="000000" w:themeColor="text1"/>
          <w:sz w:val="24"/>
          <w:szCs w:val="24"/>
        </w:rPr>
        <w:t xml:space="preserve"> </w:t>
      </w:r>
      <w:r w:rsidR="006E5B8C">
        <w:rPr>
          <w:rFonts w:ascii="Book Antiqua" w:hAnsi="Book Antiqua" w:cs="Times New Roman"/>
          <w:color w:val="000000" w:themeColor="text1"/>
          <w:sz w:val="24"/>
          <w:szCs w:val="24"/>
        </w:rPr>
        <w:t>or</w:t>
      </w:r>
      <w:r w:rsidR="006E5B8C" w:rsidRPr="00704D1E">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 xml:space="preserve">triglycerides (TG), as shown in Table 1. </w:t>
      </w:r>
    </w:p>
    <w:p w14:paraId="1657132F" w14:textId="77777777" w:rsidR="00C32A0B" w:rsidRPr="00704D1E" w:rsidRDefault="00C32A0B" w:rsidP="00704D1E">
      <w:pPr>
        <w:adjustRightInd w:val="0"/>
        <w:snapToGrid w:val="0"/>
        <w:spacing w:line="360" w:lineRule="auto"/>
        <w:rPr>
          <w:rFonts w:ascii="Book Antiqua" w:hAnsi="Book Antiqua" w:cs="Times New Roman"/>
          <w:b/>
          <w:i/>
          <w:color w:val="000000" w:themeColor="text1"/>
          <w:sz w:val="24"/>
          <w:szCs w:val="24"/>
        </w:rPr>
      </w:pPr>
    </w:p>
    <w:p w14:paraId="25879E35" w14:textId="77777777" w:rsidR="00C32A0B" w:rsidRPr="00704D1E" w:rsidRDefault="00C32A0B" w:rsidP="00487AFC">
      <w:pPr>
        <w:adjustRightInd w:val="0"/>
        <w:snapToGrid w:val="0"/>
        <w:spacing w:line="360" w:lineRule="auto"/>
        <w:outlineLvl w:val="0"/>
        <w:rPr>
          <w:rFonts w:ascii="Book Antiqua" w:hAnsi="Book Antiqua" w:cs="Times New Roman"/>
          <w:b/>
          <w:i/>
          <w:color w:val="000000" w:themeColor="text1"/>
          <w:sz w:val="24"/>
          <w:szCs w:val="24"/>
        </w:rPr>
      </w:pPr>
      <w:r w:rsidRPr="00704D1E">
        <w:rPr>
          <w:rFonts w:ascii="Book Antiqua" w:hAnsi="Book Antiqua" w:cs="Times New Roman"/>
          <w:b/>
          <w:i/>
          <w:color w:val="000000" w:themeColor="text1"/>
          <w:sz w:val="24"/>
          <w:szCs w:val="24"/>
        </w:rPr>
        <w:t xml:space="preserve">Abnormal liver function </w:t>
      </w:r>
    </w:p>
    <w:p w14:paraId="5ECD3091" w14:textId="36172EA2" w:rsidR="00C32A0B" w:rsidRPr="00704D1E" w:rsidRDefault="00C32A0B"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Serum aminotransferase and bilirubin levels were considered elevated if they were above the normal laboratory reference range. No significant differences were noted among cirrhotic, NAFLD</w:t>
      </w:r>
      <w:r w:rsidR="006E5B8C">
        <w:rPr>
          <w:rFonts w:ascii="Book Antiqua" w:hAnsi="Book Antiqua" w:cs="Times New Roman"/>
          <w:color w:val="000000" w:themeColor="text1"/>
          <w:sz w:val="24"/>
          <w:szCs w:val="24"/>
        </w:rPr>
        <w:t>,</w:t>
      </w:r>
      <w:r w:rsidRPr="00704D1E">
        <w:rPr>
          <w:rFonts w:ascii="Book Antiqua" w:hAnsi="Book Antiqua" w:cs="Times New Roman"/>
          <w:color w:val="000000" w:themeColor="text1"/>
          <w:sz w:val="24"/>
          <w:szCs w:val="24"/>
        </w:rPr>
        <w:t xml:space="preserve"> and NAFLD (-) patients with regard to </w:t>
      </w:r>
      <w:proofErr w:type="spellStart"/>
      <w:r w:rsidRPr="00704D1E">
        <w:rPr>
          <w:rFonts w:ascii="Book Antiqua" w:hAnsi="Book Antiqua" w:cs="Times New Roman"/>
          <w:color w:val="000000" w:themeColor="text1"/>
          <w:sz w:val="24"/>
          <w:szCs w:val="24"/>
        </w:rPr>
        <w:t>tserum</w:t>
      </w:r>
      <w:proofErr w:type="spellEnd"/>
      <w:r w:rsidRPr="00704D1E">
        <w:rPr>
          <w:rFonts w:ascii="Book Antiqua" w:hAnsi="Book Antiqua" w:cs="Times New Roman"/>
          <w:color w:val="000000" w:themeColor="text1"/>
          <w:sz w:val="24"/>
          <w:szCs w:val="24"/>
        </w:rPr>
        <w:t xml:space="preserve"> aminotransferase and bilirubin levels, as shown in Table 3. The median levels of γ-</w:t>
      </w:r>
      <w:proofErr w:type="spellStart"/>
      <w:r w:rsidRPr="00704D1E">
        <w:rPr>
          <w:rFonts w:ascii="Book Antiqua" w:hAnsi="Book Antiqua" w:cs="Times New Roman"/>
          <w:color w:val="000000" w:themeColor="text1"/>
          <w:sz w:val="24"/>
          <w:szCs w:val="24"/>
        </w:rPr>
        <w:t>glutamyltransferase</w:t>
      </w:r>
      <w:proofErr w:type="spellEnd"/>
      <w:r w:rsidRPr="00704D1E">
        <w:rPr>
          <w:rFonts w:ascii="Book Antiqua" w:hAnsi="Book Antiqua" w:cs="Times New Roman"/>
          <w:color w:val="000000" w:themeColor="text1"/>
          <w:sz w:val="24"/>
          <w:szCs w:val="24"/>
        </w:rPr>
        <w:t xml:space="preserve"> (GGT) in cirrhotic patients were higher than those in </w:t>
      </w:r>
      <w:r w:rsidR="007F3E53">
        <w:rPr>
          <w:rFonts w:ascii="Book Antiqua" w:hAnsi="Book Antiqua" w:cs="Times New Roman"/>
          <w:color w:val="000000" w:themeColor="text1"/>
          <w:sz w:val="24"/>
          <w:szCs w:val="24"/>
        </w:rPr>
        <w:t>patients without NAFLD (52.0 U/L and 23.0 U/L</w:t>
      </w:r>
      <w:r w:rsidRPr="00704D1E">
        <w:rPr>
          <w:rFonts w:ascii="Book Antiqua" w:hAnsi="Book Antiqua" w:cs="Times New Roman"/>
          <w:color w:val="000000" w:themeColor="text1"/>
          <w:sz w:val="24"/>
          <w:szCs w:val="24"/>
        </w:rPr>
        <w:t xml:space="preserve">, respectively, </w:t>
      </w:r>
      <w:r w:rsidRPr="00704D1E">
        <w:rPr>
          <w:rFonts w:ascii="Book Antiqua" w:hAnsi="Book Antiqua" w:cs="Times New Roman"/>
          <w:i/>
          <w:color w:val="000000" w:themeColor="text1"/>
          <w:sz w:val="24"/>
          <w:szCs w:val="24"/>
        </w:rPr>
        <w:t>P</w:t>
      </w:r>
      <w:r w:rsidRPr="00704D1E">
        <w:rPr>
          <w:rFonts w:ascii="Book Antiqua" w:hAnsi="Book Antiqua" w:cs="Times New Roman"/>
          <w:color w:val="000000" w:themeColor="text1"/>
          <w:sz w:val="24"/>
          <w:szCs w:val="24"/>
        </w:rPr>
        <w:t xml:space="preserve"> = 0.046), although no significant difference was noted between NAFLD patients and cirrhotic patients (</w:t>
      </w:r>
      <w:r w:rsidRPr="00704D1E">
        <w:rPr>
          <w:rFonts w:ascii="Book Antiqua" w:hAnsi="Book Antiqua" w:cs="Times New Roman"/>
          <w:i/>
          <w:color w:val="000000" w:themeColor="text1"/>
          <w:sz w:val="24"/>
          <w:szCs w:val="24"/>
        </w:rPr>
        <w:t>P</w:t>
      </w:r>
      <w:r w:rsidRPr="00704D1E">
        <w:rPr>
          <w:rFonts w:ascii="Book Antiqua" w:hAnsi="Book Antiqua" w:cs="Times New Roman"/>
          <w:i/>
          <w:color w:val="000000" w:themeColor="text1"/>
          <w:sz w:val="24"/>
          <w:szCs w:val="24"/>
          <w:vertAlign w:val="superscript"/>
        </w:rPr>
        <w:t xml:space="preserve"> </w:t>
      </w:r>
      <w:r w:rsidRPr="00704D1E">
        <w:rPr>
          <w:rFonts w:ascii="Book Antiqua" w:hAnsi="Book Antiqua" w:cs="Times New Roman"/>
          <w:color w:val="000000" w:themeColor="text1"/>
          <w:sz w:val="24"/>
          <w:szCs w:val="24"/>
        </w:rPr>
        <w:t>= 0.862). The comparison of the tests for hepatic synthetic function, including serum albumin, prothrombin time (PT)</w:t>
      </w:r>
      <w:r w:rsidR="006E5B8C">
        <w:rPr>
          <w:rFonts w:ascii="Book Antiqua" w:hAnsi="Book Antiqua" w:cs="Times New Roman"/>
          <w:color w:val="000000" w:themeColor="text1"/>
          <w:sz w:val="24"/>
          <w:szCs w:val="24"/>
        </w:rPr>
        <w:t>,</w:t>
      </w:r>
      <w:r w:rsidRPr="00704D1E">
        <w:rPr>
          <w:rFonts w:ascii="Book Antiqua" w:hAnsi="Book Antiqua" w:cs="Times New Roman"/>
          <w:color w:val="000000" w:themeColor="text1"/>
          <w:sz w:val="24"/>
          <w:szCs w:val="24"/>
        </w:rPr>
        <w:t xml:space="preserve"> and international normalized ratio (INR), demonstrated that the average PT and INR in cirrhotic patients were significantly higher than those in the NAFLD patients and</w:t>
      </w:r>
      <w:r w:rsidR="006E5B8C">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 xml:space="preserve">NAFLD (-) patients (as shown in Table 3), although no significant difference was noted between patients with and without NAFLD. The cirrhotic patients frequently exhibited a number of hematological abnormalities, </w:t>
      </w:r>
      <w:r w:rsidRPr="00704D1E">
        <w:rPr>
          <w:rFonts w:ascii="Book Antiqua" w:hAnsi="Book Antiqua" w:cs="Times New Roman"/>
          <w:color w:val="000000" w:themeColor="text1"/>
          <w:sz w:val="24"/>
          <w:szCs w:val="24"/>
        </w:rPr>
        <w:lastRenderedPageBreak/>
        <w:t>including varying degrees of cytopenia. Thrombocytopenia was the most common type of hematological abnormality, while leukopenia and anemia developed later in the disease course. As shown in Table 3, white blood counts and blood platelet counts were lower in cirrhotic patients than in NAFLD and NAFLD (-) patients, although no significant differences were noted between patients with and without NAFLD.</w:t>
      </w:r>
    </w:p>
    <w:p w14:paraId="00CD184D" w14:textId="77777777" w:rsidR="00C32A0B" w:rsidRPr="00704D1E" w:rsidRDefault="00C32A0B" w:rsidP="00704D1E">
      <w:pPr>
        <w:adjustRightInd w:val="0"/>
        <w:snapToGrid w:val="0"/>
        <w:spacing w:line="360" w:lineRule="auto"/>
        <w:rPr>
          <w:rFonts w:ascii="Book Antiqua" w:hAnsi="Book Antiqua" w:cs="Times New Roman"/>
          <w:b/>
          <w:i/>
          <w:color w:val="000000" w:themeColor="text1"/>
          <w:sz w:val="24"/>
          <w:szCs w:val="24"/>
        </w:rPr>
      </w:pPr>
    </w:p>
    <w:p w14:paraId="5729EB7B" w14:textId="77777777" w:rsidR="00C32A0B" w:rsidRPr="00704D1E" w:rsidRDefault="00C32A0B" w:rsidP="00704D1E">
      <w:pPr>
        <w:adjustRightInd w:val="0"/>
        <w:snapToGrid w:val="0"/>
        <w:spacing w:line="360" w:lineRule="auto"/>
        <w:rPr>
          <w:rFonts w:ascii="Book Antiqua" w:hAnsi="Book Antiqua" w:cs="Times New Roman"/>
          <w:b/>
          <w:i/>
          <w:color w:val="000000" w:themeColor="text1"/>
          <w:sz w:val="24"/>
          <w:szCs w:val="24"/>
        </w:rPr>
      </w:pPr>
      <w:r w:rsidRPr="00704D1E">
        <w:rPr>
          <w:rFonts w:ascii="Book Antiqua" w:hAnsi="Book Antiqua" w:cs="Times New Roman"/>
          <w:b/>
          <w:i/>
          <w:color w:val="000000" w:themeColor="text1"/>
          <w:sz w:val="24"/>
          <w:szCs w:val="24"/>
        </w:rPr>
        <w:t xml:space="preserve">Changes in biochemical indicators following hormone replacement in cirrhotic patients </w:t>
      </w:r>
    </w:p>
    <w:p w14:paraId="7E3BBFA6" w14:textId="76FA5246" w:rsidR="00C32A0B" w:rsidRPr="00704D1E" w:rsidRDefault="00C32A0B"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 xml:space="preserve">The biochemical indicators of the seven cirrhotic patients were retested following regular hormone replacement, as shown in Figure 1. Liver function was generally stable, which was reflected </w:t>
      </w:r>
      <w:r w:rsidR="001B057A">
        <w:rPr>
          <w:rFonts w:ascii="Book Antiqua" w:hAnsi="Book Antiqua" w:cs="Times New Roman"/>
          <w:color w:val="000000" w:themeColor="text1"/>
          <w:sz w:val="24"/>
          <w:szCs w:val="24"/>
        </w:rPr>
        <w:t xml:space="preserve">by </w:t>
      </w:r>
      <w:r w:rsidRPr="00704D1E">
        <w:rPr>
          <w:rFonts w:ascii="Book Antiqua" w:hAnsi="Book Antiqua" w:cs="Times New Roman"/>
          <w:color w:val="000000" w:themeColor="text1"/>
          <w:sz w:val="24"/>
          <w:szCs w:val="24"/>
        </w:rPr>
        <w:t>serum aminotransferase levels, white blood count</w:t>
      </w:r>
      <w:r w:rsidR="001B057A">
        <w:rPr>
          <w:rFonts w:ascii="Book Antiqua" w:hAnsi="Book Antiqua" w:cs="Times New Roman"/>
          <w:color w:val="000000" w:themeColor="text1"/>
          <w:sz w:val="24"/>
          <w:szCs w:val="24"/>
        </w:rPr>
        <w:t>,</w:t>
      </w:r>
      <w:r w:rsidRPr="00704D1E">
        <w:rPr>
          <w:rFonts w:ascii="Book Antiqua" w:hAnsi="Book Antiqua" w:cs="Times New Roman"/>
          <w:color w:val="000000" w:themeColor="text1"/>
          <w:sz w:val="24"/>
          <w:szCs w:val="24"/>
        </w:rPr>
        <w:t xml:space="preserve"> and blood platelet count. TG was significantly lower than that before hormone replacement (</w:t>
      </w:r>
      <w:r w:rsidRPr="00704D1E">
        <w:rPr>
          <w:rFonts w:ascii="Book Antiqua" w:hAnsi="Book Antiqua" w:cs="Times New Roman"/>
          <w:i/>
          <w:color w:val="000000" w:themeColor="text1"/>
          <w:sz w:val="24"/>
          <w:szCs w:val="24"/>
        </w:rPr>
        <w:t>P</w:t>
      </w:r>
      <w:r w:rsidRPr="00704D1E">
        <w:rPr>
          <w:rFonts w:ascii="Book Antiqua" w:hAnsi="Book Antiqua" w:cs="Times New Roman"/>
          <w:color w:val="000000" w:themeColor="text1"/>
          <w:sz w:val="24"/>
          <w:szCs w:val="24"/>
        </w:rPr>
        <w:t xml:space="preserve"> = 0.043). The fasting serum insulin and HOMA-IR levels were decreased following regular hormone replacement, although no significant differences were obtained (</w:t>
      </w:r>
      <w:r w:rsidRPr="00704D1E">
        <w:rPr>
          <w:rFonts w:ascii="Book Antiqua" w:hAnsi="Book Antiqua" w:cs="Times New Roman"/>
          <w:i/>
          <w:color w:val="000000" w:themeColor="text1"/>
          <w:sz w:val="24"/>
          <w:szCs w:val="24"/>
        </w:rPr>
        <w:t>P</w:t>
      </w:r>
      <w:r w:rsidRPr="00704D1E">
        <w:rPr>
          <w:rFonts w:ascii="Book Antiqua" w:hAnsi="Book Antiqua" w:cs="Times New Roman"/>
          <w:color w:val="000000" w:themeColor="text1"/>
          <w:sz w:val="24"/>
          <w:szCs w:val="24"/>
        </w:rPr>
        <w:t xml:space="preserve"> = 0.593 and 0.593, respectively). </w:t>
      </w:r>
      <w:r w:rsidR="001B057A">
        <w:rPr>
          <w:rFonts w:ascii="Book Antiqua" w:hAnsi="Book Antiqua" w:cs="Times New Roman"/>
          <w:color w:val="000000" w:themeColor="text1"/>
          <w:sz w:val="24"/>
          <w:szCs w:val="24"/>
        </w:rPr>
        <w:t>S</w:t>
      </w:r>
      <w:r w:rsidRPr="00704D1E">
        <w:rPr>
          <w:rFonts w:ascii="Book Antiqua" w:hAnsi="Book Antiqua" w:cs="Times New Roman"/>
          <w:color w:val="000000" w:themeColor="text1"/>
          <w:sz w:val="24"/>
          <w:szCs w:val="24"/>
        </w:rPr>
        <w:t>erum sodium</w:t>
      </w:r>
      <w:r w:rsidR="007F3E53">
        <w:rPr>
          <w:rFonts w:ascii="Book Antiqua" w:hAnsi="Book Antiqua" w:cs="Times New Roman"/>
          <w:color w:val="000000" w:themeColor="text1"/>
          <w:sz w:val="24"/>
          <w:szCs w:val="24"/>
        </w:rPr>
        <w:t xml:space="preserve"> was decreased from 152.9 mmol/L to 143.6 mmol/L</w:t>
      </w:r>
      <w:r w:rsidRPr="00704D1E">
        <w:rPr>
          <w:rFonts w:ascii="Book Antiqua" w:hAnsi="Book Antiqua" w:cs="Times New Roman"/>
          <w:color w:val="000000" w:themeColor="text1"/>
          <w:sz w:val="24"/>
          <w:szCs w:val="24"/>
        </w:rPr>
        <w:t xml:space="preserve"> after hormone replacement (</w:t>
      </w:r>
      <w:r w:rsidRPr="00704D1E">
        <w:rPr>
          <w:rFonts w:ascii="Book Antiqua" w:hAnsi="Book Antiqua" w:cs="Times New Roman"/>
          <w:i/>
          <w:color w:val="000000" w:themeColor="text1"/>
          <w:sz w:val="24"/>
          <w:szCs w:val="24"/>
        </w:rPr>
        <w:t>P</w:t>
      </w:r>
      <w:r w:rsidRPr="00704D1E">
        <w:rPr>
          <w:rFonts w:ascii="Book Antiqua" w:hAnsi="Book Antiqua" w:cs="Times New Roman"/>
          <w:color w:val="000000" w:themeColor="text1"/>
          <w:sz w:val="24"/>
          <w:szCs w:val="24"/>
        </w:rPr>
        <w:t xml:space="preserve"> = 0.046); however, no significant difference was noted in</w:t>
      </w:r>
      <w:r w:rsidR="001B057A">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 xml:space="preserve">plasma osmolality (319.6 </w:t>
      </w:r>
      <w:proofErr w:type="spellStart"/>
      <w:r w:rsidRPr="00704D1E">
        <w:rPr>
          <w:rFonts w:ascii="Book Antiqua" w:hAnsi="Book Antiqua" w:cs="Times New Roman"/>
          <w:color w:val="000000" w:themeColor="text1"/>
          <w:sz w:val="24"/>
          <w:szCs w:val="24"/>
        </w:rPr>
        <w:t>mOsm</w:t>
      </w:r>
      <w:proofErr w:type="spellEnd"/>
      <w:r w:rsidRPr="00704D1E">
        <w:rPr>
          <w:rFonts w:ascii="Book Antiqua" w:hAnsi="Book Antiqua" w:cs="Times New Roman"/>
          <w:color w:val="000000" w:themeColor="text1"/>
          <w:sz w:val="24"/>
          <w:szCs w:val="24"/>
        </w:rPr>
        <w:t>/kgH</w:t>
      </w:r>
      <w:r w:rsidRPr="00704D1E">
        <w:rPr>
          <w:rFonts w:ascii="Book Antiqua" w:hAnsi="Book Antiqua" w:cs="Times New Roman"/>
          <w:color w:val="000000" w:themeColor="text1"/>
          <w:sz w:val="24"/>
          <w:szCs w:val="24"/>
          <w:vertAlign w:val="subscript"/>
        </w:rPr>
        <w:t>2</w:t>
      </w:r>
      <w:r w:rsidRPr="00704D1E">
        <w:rPr>
          <w:rFonts w:ascii="Book Antiqua" w:hAnsi="Book Antiqua" w:cs="Times New Roman"/>
          <w:color w:val="000000" w:themeColor="text1"/>
          <w:sz w:val="24"/>
          <w:szCs w:val="24"/>
        </w:rPr>
        <w:t xml:space="preserve">O and 300.1 </w:t>
      </w:r>
      <w:proofErr w:type="spellStart"/>
      <w:r w:rsidRPr="00704D1E">
        <w:rPr>
          <w:rFonts w:ascii="Book Antiqua" w:hAnsi="Book Antiqua" w:cs="Times New Roman"/>
          <w:color w:val="000000" w:themeColor="text1"/>
          <w:sz w:val="24"/>
          <w:szCs w:val="24"/>
        </w:rPr>
        <w:t>mOsm</w:t>
      </w:r>
      <w:proofErr w:type="spellEnd"/>
      <w:r w:rsidRPr="00704D1E">
        <w:rPr>
          <w:rFonts w:ascii="Book Antiqua" w:hAnsi="Book Antiqua" w:cs="Times New Roman"/>
          <w:color w:val="000000" w:themeColor="text1"/>
          <w:sz w:val="24"/>
          <w:szCs w:val="24"/>
        </w:rPr>
        <w:t>/kgH</w:t>
      </w:r>
      <w:r w:rsidRPr="00704D1E">
        <w:rPr>
          <w:rFonts w:ascii="Book Antiqua" w:hAnsi="Book Antiqua" w:cs="Times New Roman"/>
          <w:color w:val="000000" w:themeColor="text1"/>
          <w:sz w:val="24"/>
          <w:szCs w:val="24"/>
          <w:vertAlign w:val="subscript"/>
        </w:rPr>
        <w:t>2</w:t>
      </w:r>
      <w:r w:rsidRPr="00704D1E">
        <w:rPr>
          <w:rFonts w:ascii="Book Antiqua" w:hAnsi="Book Antiqua" w:cs="Times New Roman"/>
          <w:color w:val="000000" w:themeColor="text1"/>
          <w:sz w:val="24"/>
          <w:szCs w:val="24"/>
        </w:rPr>
        <w:t xml:space="preserve">O, </w:t>
      </w:r>
      <w:r w:rsidRPr="00704D1E">
        <w:rPr>
          <w:rFonts w:ascii="Book Antiqua" w:hAnsi="Book Antiqua" w:cs="Times New Roman"/>
          <w:i/>
          <w:color w:val="000000" w:themeColor="text1"/>
          <w:sz w:val="24"/>
          <w:szCs w:val="24"/>
        </w:rPr>
        <w:t>P</w:t>
      </w:r>
      <w:r w:rsidRPr="00704D1E">
        <w:rPr>
          <w:rFonts w:ascii="Book Antiqua" w:hAnsi="Book Antiqua" w:cs="Times New Roman"/>
          <w:color w:val="000000" w:themeColor="text1"/>
          <w:sz w:val="24"/>
          <w:szCs w:val="24"/>
        </w:rPr>
        <w:t xml:space="preserve"> = 0.080).</w:t>
      </w:r>
    </w:p>
    <w:bookmarkEnd w:id="66"/>
    <w:p w14:paraId="5534332C" w14:textId="77777777" w:rsidR="00C32A0B" w:rsidRPr="00704D1E" w:rsidRDefault="00C32A0B" w:rsidP="00704D1E">
      <w:pPr>
        <w:adjustRightInd w:val="0"/>
        <w:snapToGrid w:val="0"/>
        <w:spacing w:line="360" w:lineRule="auto"/>
        <w:rPr>
          <w:rFonts w:ascii="Book Antiqua" w:hAnsi="Book Antiqua" w:cs="Times New Roman"/>
          <w:b/>
          <w:color w:val="000000" w:themeColor="text1"/>
          <w:sz w:val="24"/>
          <w:szCs w:val="24"/>
        </w:rPr>
      </w:pPr>
    </w:p>
    <w:p w14:paraId="4E9C002A" w14:textId="77777777" w:rsidR="00C32A0B" w:rsidRPr="00704D1E" w:rsidRDefault="00C32A0B" w:rsidP="00487AFC">
      <w:pPr>
        <w:adjustRightInd w:val="0"/>
        <w:snapToGrid w:val="0"/>
        <w:spacing w:line="360" w:lineRule="auto"/>
        <w:outlineLvl w:val="0"/>
        <w:rPr>
          <w:rFonts w:ascii="Book Antiqua" w:hAnsi="Book Antiqua" w:cs="Times New Roman"/>
          <w:b/>
          <w:color w:val="000000" w:themeColor="text1"/>
          <w:sz w:val="24"/>
          <w:szCs w:val="24"/>
        </w:rPr>
      </w:pPr>
      <w:r w:rsidRPr="00704D1E">
        <w:rPr>
          <w:rFonts w:ascii="Book Antiqua" w:hAnsi="Book Antiqua" w:cs="Times New Roman"/>
          <w:b/>
          <w:color w:val="000000" w:themeColor="text1"/>
          <w:sz w:val="24"/>
          <w:szCs w:val="24"/>
        </w:rPr>
        <w:t>DISCUSSION</w:t>
      </w:r>
    </w:p>
    <w:p w14:paraId="51BF3BA6" w14:textId="18722011" w:rsidR="00C32A0B" w:rsidRPr="00704D1E" w:rsidRDefault="00C32A0B"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 xml:space="preserve">NAFLD is the most common cause of chronic liver dysfunction and a major global health problem over the past decades, whereas hypopituitarism/panhypopituitarism is a rare cause of NAFLD, which is easily misdiagnosed by endocrinologists and gastroenterologists. The data reported in the present study showed that the frequency of fatty liver in hypopituitary patients based on abdominal ultrasonography was 54.0%, which </w:t>
      </w:r>
      <w:r w:rsidR="00125559">
        <w:rPr>
          <w:rFonts w:ascii="Book Antiqua" w:hAnsi="Book Antiqua" w:cs="Times New Roman"/>
          <w:color w:val="000000" w:themeColor="text1"/>
          <w:sz w:val="24"/>
          <w:szCs w:val="24"/>
        </w:rPr>
        <w:t>i</w:t>
      </w:r>
      <w:r w:rsidR="00125559" w:rsidRPr="00704D1E">
        <w:rPr>
          <w:rFonts w:ascii="Book Antiqua" w:hAnsi="Book Antiqua" w:cs="Times New Roman"/>
          <w:color w:val="000000" w:themeColor="text1"/>
          <w:sz w:val="24"/>
          <w:szCs w:val="24"/>
        </w:rPr>
        <w:t xml:space="preserve">s </w:t>
      </w:r>
      <w:r w:rsidRPr="00704D1E">
        <w:rPr>
          <w:rFonts w:ascii="Book Antiqua" w:hAnsi="Book Antiqua" w:cs="Times New Roman"/>
          <w:color w:val="000000" w:themeColor="text1"/>
          <w:sz w:val="24"/>
          <w:szCs w:val="24"/>
        </w:rPr>
        <w:t>significantly higher than that of the general adult population in China (approximately 15%), reported in 2013</w:t>
      </w:r>
      <w:r w:rsidRPr="00704D1E">
        <w:rPr>
          <w:rFonts w:ascii="Book Antiqua" w:hAnsi="Book Antiqua" w:cs="Times New Roman"/>
          <w:color w:val="000000" w:themeColor="text1"/>
          <w:sz w:val="24"/>
          <w:szCs w:val="24"/>
          <w:vertAlign w:val="superscript"/>
        </w:rPr>
        <w:t>[19]</w:t>
      </w:r>
      <w:r w:rsidRPr="00704D1E">
        <w:rPr>
          <w:rFonts w:ascii="Book Antiqua" w:hAnsi="Book Antiqua" w:cs="Times New Roman"/>
          <w:color w:val="000000" w:themeColor="text1"/>
          <w:sz w:val="24"/>
          <w:szCs w:val="24"/>
        </w:rPr>
        <w:t xml:space="preserve">. </w:t>
      </w:r>
      <w:bookmarkStart w:id="81" w:name="_Hlk2841048"/>
      <w:r w:rsidRPr="00704D1E">
        <w:rPr>
          <w:rFonts w:ascii="Book Antiqua" w:hAnsi="Book Antiqua" w:cs="Times New Roman"/>
          <w:color w:val="000000" w:themeColor="text1"/>
          <w:sz w:val="24"/>
          <w:szCs w:val="24"/>
        </w:rPr>
        <w:t xml:space="preserve">The incidence of cirrhosis in the present study population (patients with hypopituitarism and NAFLD) was 28%, which was significantly </w:t>
      </w:r>
      <w:r w:rsidRPr="00704D1E">
        <w:rPr>
          <w:rFonts w:ascii="Book Antiqua" w:hAnsi="Book Antiqua" w:cs="Times New Roman"/>
          <w:color w:val="000000" w:themeColor="text1"/>
          <w:sz w:val="24"/>
          <w:szCs w:val="24"/>
        </w:rPr>
        <w:lastRenderedPageBreak/>
        <w:t>higher than that in the general NAFLD population but similar to that reported in a longitudinal cohort study (29</w:t>
      </w:r>
      <w:proofErr w:type="gramStart"/>
      <w:r w:rsidRPr="00704D1E">
        <w:rPr>
          <w:rFonts w:ascii="Book Antiqua" w:hAnsi="Book Antiqua" w:cs="Times New Roman"/>
          <w:color w:val="000000" w:themeColor="text1"/>
          <w:sz w:val="24"/>
          <w:szCs w:val="24"/>
        </w:rPr>
        <w:t>%)</w:t>
      </w:r>
      <w:r w:rsidR="007F3E53">
        <w:rPr>
          <w:rFonts w:ascii="Book Antiqua" w:hAnsi="Book Antiqua" w:cs="Times New Roman"/>
          <w:color w:val="000000" w:themeColor="text1"/>
          <w:sz w:val="24"/>
          <w:szCs w:val="24"/>
          <w:vertAlign w:val="superscript"/>
        </w:rPr>
        <w:t>[</w:t>
      </w:r>
      <w:proofErr w:type="gramEnd"/>
      <w:r w:rsidR="007F3E53">
        <w:rPr>
          <w:rFonts w:ascii="Book Antiqua" w:hAnsi="Book Antiqua" w:cs="Times New Roman"/>
          <w:color w:val="000000" w:themeColor="text1"/>
          <w:sz w:val="24"/>
          <w:szCs w:val="24"/>
          <w:vertAlign w:val="superscript"/>
        </w:rPr>
        <w:t>10,</w:t>
      </w:r>
      <w:r w:rsidRPr="00704D1E">
        <w:rPr>
          <w:rFonts w:ascii="Book Antiqua" w:hAnsi="Book Antiqua" w:cs="Times New Roman"/>
          <w:color w:val="000000" w:themeColor="text1"/>
          <w:sz w:val="24"/>
          <w:szCs w:val="24"/>
          <w:vertAlign w:val="superscript"/>
        </w:rPr>
        <w:t>20]</w:t>
      </w:r>
      <w:r w:rsidRPr="00704D1E">
        <w:rPr>
          <w:rFonts w:ascii="Book Antiqua" w:hAnsi="Book Antiqua" w:cs="Times New Roman"/>
          <w:color w:val="000000" w:themeColor="text1"/>
          <w:sz w:val="24"/>
          <w:szCs w:val="24"/>
        </w:rPr>
        <w:t>.</w:t>
      </w:r>
      <w:bookmarkEnd w:id="81"/>
    </w:p>
    <w:p w14:paraId="30603AD4" w14:textId="1C031B22" w:rsidR="00C32A0B" w:rsidRPr="00704D1E" w:rsidRDefault="007F3E53" w:rsidP="007F3E53">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C32A0B" w:rsidRPr="00704D1E">
        <w:rPr>
          <w:rFonts w:ascii="Book Antiqua" w:hAnsi="Book Antiqua" w:cs="Times New Roman"/>
          <w:color w:val="000000" w:themeColor="text1"/>
          <w:sz w:val="24"/>
          <w:szCs w:val="24"/>
        </w:rPr>
        <w:t>Disturbances in endocrine</w:t>
      </w:r>
      <w:r w:rsidR="008C5686">
        <w:rPr>
          <w:rFonts w:ascii="Book Antiqua" w:hAnsi="Book Antiqua" w:cs="Times New Roman"/>
          <w:color w:val="000000" w:themeColor="text1"/>
          <w:sz w:val="24"/>
          <w:szCs w:val="24"/>
        </w:rPr>
        <w:t xml:space="preserve"> </w:t>
      </w:r>
      <w:r w:rsidR="00C32A0B" w:rsidRPr="00704D1E">
        <w:rPr>
          <w:rFonts w:ascii="Book Antiqua" w:hAnsi="Book Antiqua" w:cs="Times New Roman"/>
          <w:color w:val="000000" w:themeColor="text1"/>
          <w:sz w:val="24"/>
          <w:szCs w:val="24"/>
        </w:rPr>
        <w:t xml:space="preserve">hypothalamic-pituitary axes have been associated with NAFLD, including GHD, hypothyroidism, and </w:t>
      </w:r>
      <w:proofErr w:type="gramStart"/>
      <w:r w:rsidR="00C32A0B" w:rsidRPr="00704D1E">
        <w:rPr>
          <w:rFonts w:ascii="Book Antiqua" w:hAnsi="Book Antiqua" w:cs="Times New Roman"/>
          <w:color w:val="000000" w:themeColor="text1"/>
          <w:sz w:val="24"/>
          <w:szCs w:val="24"/>
        </w:rPr>
        <w:t>hypogonadism</w:t>
      </w:r>
      <w:r w:rsidR="00C32A0B" w:rsidRPr="00704D1E">
        <w:rPr>
          <w:rFonts w:ascii="Book Antiqua" w:hAnsi="Book Antiqua" w:cs="Times New Roman"/>
          <w:color w:val="000000" w:themeColor="text1"/>
          <w:sz w:val="24"/>
          <w:szCs w:val="24"/>
          <w:vertAlign w:val="superscript"/>
        </w:rPr>
        <w:t>[</w:t>
      </w:r>
      <w:proofErr w:type="gramEnd"/>
      <w:r w:rsidR="00C32A0B" w:rsidRPr="00704D1E">
        <w:rPr>
          <w:rFonts w:ascii="Book Antiqua" w:hAnsi="Book Antiqua" w:cs="Times New Roman"/>
          <w:color w:val="000000" w:themeColor="text1"/>
          <w:sz w:val="24"/>
          <w:szCs w:val="24"/>
          <w:vertAlign w:val="superscript"/>
        </w:rPr>
        <w:t>21]</w:t>
      </w:r>
      <w:r w:rsidR="00C32A0B" w:rsidRPr="00704D1E">
        <w:rPr>
          <w:rFonts w:ascii="Book Antiqua" w:hAnsi="Book Antiqua" w:cs="Times New Roman"/>
          <w:color w:val="000000" w:themeColor="text1"/>
          <w:sz w:val="24"/>
          <w:szCs w:val="24"/>
        </w:rPr>
        <w:t xml:space="preserve">. GHD has been considered an important contributing factor to the metabolic change encountered in hypopituitary patients. The majority of the patients in the present study had GHD, and the average IGF1 level </w:t>
      </w:r>
      <w:r w:rsidR="00125559" w:rsidRPr="00704D1E">
        <w:rPr>
          <w:rFonts w:ascii="Book Antiqua" w:hAnsi="Book Antiqua" w:cs="Times New Roman"/>
          <w:color w:val="000000" w:themeColor="text1"/>
          <w:sz w:val="24"/>
          <w:szCs w:val="24"/>
        </w:rPr>
        <w:t>w</w:t>
      </w:r>
      <w:r w:rsidR="00125559">
        <w:rPr>
          <w:rFonts w:ascii="Book Antiqua" w:hAnsi="Book Antiqua" w:cs="Times New Roman"/>
          <w:color w:val="000000" w:themeColor="text1"/>
          <w:sz w:val="24"/>
          <w:szCs w:val="24"/>
        </w:rPr>
        <w:t>as</w:t>
      </w:r>
      <w:r w:rsidR="00125559" w:rsidRPr="00704D1E">
        <w:rPr>
          <w:rFonts w:ascii="Book Antiqua" w:hAnsi="Book Antiqua" w:cs="Times New Roman"/>
          <w:color w:val="000000" w:themeColor="text1"/>
          <w:sz w:val="24"/>
          <w:szCs w:val="24"/>
        </w:rPr>
        <w:t xml:space="preserve"> </w:t>
      </w:r>
      <w:r w:rsidR="00C32A0B" w:rsidRPr="00704D1E">
        <w:rPr>
          <w:rFonts w:ascii="Book Antiqua" w:hAnsi="Book Antiqua" w:cs="Times New Roman"/>
          <w:color w:val="000000" w:themeColor="text1"/>
          <w:sz w:val="24"/>
          <w:szCs w:val="24"/>
        </w:rPr>
        <w:t xml:space="preserve">considerably low in this patient group. Comparative analysis demonstrated no significant differences in serum growth hormone </w:t>
      </w:r>
      <w:r w:rsidR="00125559">
        <w:rPr>
          <w:rFonts w:ascii="Book Antiqua" w:hAnsi="Book Antiqua" w:cs="Times New Roman"/>
          <w:color w:val="000000" w:themeColor="text1"/>
          <w:sz w:val="24"/>
          <w:szCs w:val="24"/>
        </w:rPr>
        <w:t>or</w:t>
      </w:r>
      <w:r w:rsidR="00125559" w:rsidRPr="00704D1E">
        <w:rPr>
          <w:rFonts w:ascii="Book Antiqua" w:hAnsi="Book Antiqua" w:cs="Times New Roman"/>
          <w:color w:val="000000" w:themeColor="text1"/>
          <w:sz w:val="24"/>
          <w:szCs w:val="24"/>
        </w:rPr>
        <w:t xml:space="preserve"> </w:t>
      </w:r>
      <w:r w:rsidR="00C32A0B" w:rsidRPr="00704D1E">
        <w:rPr>
          <w:rFonts w:ascii="Book Antiqua" w:hAnsi="Book Antiqua" w:cs="Times New Roman"/>
          <w:color w:val="000000" w:themeColor="text1"/>
          <w:sz w:val="24"/>
          <w:szCs w:val="24"/>
        </w:rPr>
        <w:t xml:space="preserve">IGF1 levels between hypopituitary patients with NAFLD and those without. Moreover, no significant differences were noted in the distribution of anterior pituitary deficiencies </w:t>
      </w:r>
      <w:r w:rsidR="00125559">
        <w:rPr>
          <w:rFonts w:ascii="Book Antiqua" w:hAnsi="Book Antiqua" w:cs="Times New Roman"/>
          <w:color w:val="000000" w:themeColor="text1"/>
          <w:sz w:val="24"/>
          <w:szCs w:val="24"/>
        </w:rPr>
        <w:t>or</w:t>
      </w:r>
      <w:r w:rsidR="00125559" w:rsidRPr="00704D1E">
        <w:rPr>
          <w:rFonts w:ascii="Book Antiqua" w:hAnsi="Book Antiqua" w:cs="Times New Roman"/>
          <w:color w:val="000000" w:themeColor="text1"/>
          <w:sz w:val="24"/>
          <w:szCs w:val="24"/>
        </w:rPr>
        <w:t xml:space="preserve"> </w:t>
      </w:r>
      <w:r w:rsidR="00C32A0B" w:rsidRPr="00704D1E">
        <w:rPr>
          <w:rFonts w:ascii="Book Antiqua" w:hAnsi="Book Antiqua" w:cs="Times New Roman"/>
          <w:color w:val="000000" w:themeColor="text1"/>
          <w:sz w:val="24"/>
          <w:szCs w:val="24"/>
        </w:rPr>
        <w:t xml:space="preserve">hormone replacement in current hypopituitary patients with and without NAFLD. The causes of hypopituitarism varied, and combined pituitary hormone deficiency, including central diabetes insipidus, was more common in this population. Therefore, we speculated that this condition would be the result of multihormonal deficiency and that additional aggravating factors would be responsible for the pathophysiology of NAFLD in hypopituitary patients. </w:t>
      </w:r>
    </w:p>
    <w:p w14:paraId="76BDA397" w14:textId="6D30C72E" w:rsidR="00C32A0B" w:rsidRPr="00704D1E" w:rsidRDefault="007F3E53" w:rsidP="007F3E53">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C32A0B" w:rsidRPr="00704D1E">
        <w:rPr>
          <w:rFonts w:ascii="Book Antiqua" w:hAnsi="Book Antiqua" w:cs="Times New Roman"/>
          <w:color w:val="000000" w:themeColor="text1"/>
          <w:sz w:val="24"/>
          <w:szCs w:val="24"/>
        </w:rPr>
        <w:t>Congenital hypopituitarism, intracranial germ cell tumor</w:t>
      </w:r>
      <w:r w:rsidR="00125559">
        <w:rPr>
          <w:rFonts w:ascii="Book Antiqua" w:hAnsi="Book Antiqua" w:cs="Times New Roman"/>
          <w:color w:val="000000" w:themeColor="text1"/>
          <w:sz w:val="24"/>
          <w:szCs w:val="24"/>
        </w:rPr>
        <w:t>,</w:t>
      </w:r>
      <w:r w:rsidR="00C32A0B" w:rsidRPr="00704D1E">
        <w:rPr>
          <w:rFonts w:ascii="Book Antiqua" w:hAnsi="Book Antiqua" w:cs="Times New Roman"/>
          <w:color w:val="000000" w:themeColor="text1"/>
          <w:sz w:val="24"/>
          <w:szCs w:val="24"/>
        </w:rPr>
        <w:t xml:space="preserve"> and craniopharyngioma were common causes of hypopituitarism in the present study. The latter two disorders usually affect the secretion of AVP. Combined deficits in AVP secretion and thirst sensation can result in life-threatening hyperosmolality and hypernatremia. In the current study, </w:t>
      </w:r>
      <w:bookmarkStart w:id="82" w:name="_Hlk2841317"/>
      <w:r w:rsidR="00C32A0B" w:rsidRPr="00704D1E">
        <w:rPr>
          <w:rFonts w:ascii="Book Antiqua" w:hAnsi="Book Antiqua" w:cs="Times New Roman"/>
          <w:color w:val="000000" w:themeColor="text1"/>
          <w:sz w:val="24"/>
          <w:szCs w:val="24"/>
        </w:rPr>
        <w:t>72% of patients with hypopituitarism presented with central diabetes insipidus. Thus, hypernatremia</w:t>
      </w:r>
      <w:r w:rsidR="00125559">
        <w:rPr>
          <w:rFonts w:ascii="Book Antiqua" w:hAnsi="Book Antiqua" w:cs="Times New Roman"/>
          <w:color w:val="000000" w:themeColor="text1"/>
          <w:sz w:val="24"/>
          <w:szCs w:val="24"/>
        </w:rPr>
        <w:t xml:space="preserve"> </w:t>
      </w:r>
      <w:r w:rsidR="00C32A0B" w:rsidRPr="00704D1E">
        <w:rPr>
          <w:rFonts w:ascii="Book Antiqua" w:hAnsi="Book Antiqua" w:cs="Times New Roman"/>
          <w:color w:val="000000" w:themeColor="text1"/>
          <w:sz w:val="24"/>
          <w:szCs w:val="24"/>
        </w:rPr>
        <w:t>manifested in these hypopituitary patients.</w:t>
      </w:r>
      <w:bookmarkEnd w:id="82"/>
      <w:r w:rsidR="00C32A0B" w:rsidRPr="00704D1E">
        <w:rPr>
          <w:rFonts w:ascii="Book Antiqua" w:hAnsi="Book Antiqua" w:cs="Times New Roman"/>
          <w:color w:val="000000" w:themeColor="text1"/>
          <w:sz w:val="24"/>
          <w:szCs w:val="24"/>
        </w:rPr>
        <w:t xml:space="preserve"> </w:t>
      </w:r>
      <w:r w:rsidR="00125559">
        <w:rPr>
          <w:rFonts w:ascii="Book Antiqua" w:hAnsi="Book Antiqua" w:cs="Times New Roman"/>
          <w:color w:val="000000" w:themeColor="text1"/>
          <w:sz w:val="24"/>
          <w:szCs w:val="24"/>
        </w:rPr>
        <w:t>P</w:t>
      </w:r>
      <w:r w:rsidR="00C32A0B" w:rsidRPr="00704D1E">
        <w:rPr>
          <w:rFonts w:ascii="Book Antiqua" w:hAnsi="Book Antiqua" w:cs="Times New Roman"/>
          <w:color w:val="000000" w:themeColor="text1"/>
          <w:sz w:val="24"/>
          <w:szCs w:val="24"/>
        </w:rPr>
        <w:t xml:space="preserve">lasma osmolality levels of cirrhotic patients were significantly higher than those of NAFLD patients, and similar differences were noted with regard to serum sodium and serum chlorine levels. Homeostasis of electrolytes and the normal concentration of plasma osmolality are essential for the maintenance of normal cellular function. Cell volume changes are triggered by osmotic substances, thereby activating signals that contribute to the control and regulation of metabolism and gene expression. Following the induction of hyperosmolality, </w:t>
      </w:r>
      <w:r w:rsidR="00C32A0B" w:rsidRPr="00704D1E">
        <w:rPr>
          <w:rFonts w:ascii="Book Antiqua" w:hAnsi="Book Antiqua" w:cs="Times New Roman"/>
          <w:color w:val="000000" w:themeColor="text1"/>
          <w:sz w:val="24"/>
          <w:szCs w:val="24"/>
        </w:rPr>
        <w:lastRenderedPageBreak/>
        <w:t xml:space="preserve">cells shrink and may undergo </w:t>
      </w:r>
      <w:proofErr w:type="gramStart"/>
      <w:r w:rsidR="00C32A0B" w:rsidRPr="00704D1E">
        <w:rPr>
          <w:rFonts w:ascii="Book Antiqua" w:hAnsi="Book Antiqua" w:cs="Times New Roman"/>
          <w:color w:val="000000" w:themeColor="text1"/>
          <w:sz w:val="24"/>
          <w:szCs w:val="24"/>
        </w:rPr>
        <w:t>apoptosis</w:t>
      </w:r>
      <w:r w:rsidR="00C32A0B" w:rsidRPr="00704D1E">
        <w:rPr>
          <w:rFonts w:ascii="Book Antiqua" w:hAnsi="Book Antiqua" w:cs="Times New Roman"/>
          <w:color w:val="000000" w:themeColor="text1"/>
          <w:sz w:val="24"/>
          <w:szCs w:val="24"/>
          <w:vertAlign w:val="superscript"/>
        </w:rPr>
        <w:t>[</w:t>
      </w:r>
      <w:proofErr w:type="gramEnd"/>
      <w:r w:rsidR="00C32A0B" w:rsidRPr="00704D1E">
        <w:rPr>
          <w:rFonts w:ascii="Book Antiqua" w:hAnsi="Book Antiqua" w:cs="Times New Roman"/>
          <w:color w:val="000000" w:themeColor="text1"/>
          <w:sz w:val="24"/>
          <w:szCs w:val="24"/>
          <w:vertAlign w:val="superscript"/>
        </w:rPr>
        <w:t>22-24]</w:t>
      </w:r>
      <w:r w:rsidR="00C32A0B" w:rsidRPr="00704D1E">
        <w:rPr>
          <w:rFonts w:ascii="Book Antiqua" w:hAnsi="Book Antiqua" w:cs="Times New Roman"/>
          <w:color w:val="000000" w:themeColor="text1"/>
          <w:sz w:val="24"/>
          <w:szCs w:val="24"/>
        </w:rPr>
        <w:t xml:space="preserve">. Moreover, some components of insulin signaling, such as the enzyme protein kinase B, are sensitive to </w:t>
      </w:r>
      <w:proofErr w:type="gramStart"/>
      <w:r w:rsidR="00C32A0B" w:rsidRPr="00704D1E">
        <w:rPr>
          <w:rFonts w:ascii="Book Antiqua" w:hAnsi="Book Antiqua" w:cs="Times New Roman"/>
          <w:color w:val="000000" w:themeColor="text1"/>
          <w:sz w:val="24"/>
          <w:szCs w:val="24"/>
        </w:rPr>
        <w:t>hyperosmolarity</w:t>
      </w:r>
      <w:r w:rsidR="00C32A0B" w:rsidRPr="00704D1E">
        <w:rPr>
          <w:rFonts w:ascii="Book Antiqua" w:hAnsi="Book Antiqua" w:cs="Times New Roman"/>
          <w:color w:val="000000" w:themeColor="text1"/>
          <w:sz w:val="24"/>
          <w:szCs w:val="24"/>
          <w:vertAlign w:val="superscript"/>
        </w:rPr>
        <w:t>[</w:t>
      </w:r>
      <w:proofErr w:type="gramEnd"/>
      <w:r w:rsidR="00C32A0B" w:rsidRPr="00704D1E">
        <w:rPr>
          <w:rFonts w:ascii="Book Antiqua" w:hAnsi="Book Antiqua" w:cs="Times New Roman"/>
          <w:color w:val="000000" w:themeColor="text1"/>
          <w:sz w:val="24"/>
          <w:szCs w:val="24"/>
          <w:vertAlign w:val="superscript"/>
        </w:rPr>
        <w:t>22-24]</w:t>
      </w:r>
      <w:r w:rsidR="00C32A0B" w:rsidRPr="00704D1E">
        <w:rPr>
          <w:rFonts w:ascii="Book Antiqua" w:hAnsi="Book Antiqua" w:cs="Times New Roman"/>
          <w:color w:val="000000" w:themeColor="text1"/>
          <w:sz w:val="24"/>
          <w:szCs w:val="24"/>
        </w:rPr>
        <w:t>. Hyperosmolality can inhibit insulin-induced glucose uptake, glycogen synthesis</w:t>
      </w:r>
      <w:r w:rsidR="00125559">
        <w:rPr>
          <w:rFonts w:ascii="Book Antiqua" w:hAnsi="Book Antiqua" w:cs="Times New Roman"/>
          <w:color w:val="000000" w:themeColor="text1"/>
          <w:sz w:val="24"/>
          <w:szCs w:val="24"/>
        </w:rPr>
        <w:t>,</w:t>
      </w:r>
      <w:r w:rsidR="00C32A0B" w:rsidRPr="00704D1E">
        <w:rPr>
          <w:rFonts w:ascii="Book Antiqua" w:hAnsi="Book Antiqua" w:cs="Times New Roman"/>
          <w:color w:val="000000" w:themeColor="text1"/>
          <w:sz w:val="24"/>
          <w:szCs w:val="24"/>
        </w:rPr>
        <w:t xml:space="preserve"> and lipogenesis in 3T3-L1 </w:t>
      </w:r>
      <w:proofErr w:type="gramStart"/>
      <w:r w:rsidR="00C32A0B" w:rsidRPr="00704D1E">
        <w:rPr>
          <w:rFonts w:ascii="Book Antiqua" w:hAnsi="Book Antiqua" w:cs="Times New Roman"/>
          <w:color w:val="000000" w:themeColor="text1"/>
          <w:sz w:val="24"/>
          <w:szCs w:val="24"/>
        </w:rPr>
        <w:t>adipocytes</w:t>
      </w:r>
      <w:r>
        <w:rPr>
          <w:rFonts w:ascii="Book Antiqua" w:hAnsi="Book Antiqua" w:cs="Times New Roman"/>
          <w:color w:val="000000" w:themeColor="text1"/>
          <w:sz w:val="24"/>
          <w:szCs w:val="24"/>
          <w:vertAlign w:val="superscript"/>
        </w:rPr>
        <w:t>[</w:t>
      </w:r>
      <w:proofErr w:type="gramEnd"/>
      <w:r>
        <w:rPr>
          <w:rFonts w:ascii="Book Antiqua" w:hAnsi="Book Antiqua" w:cs="Times New Roman"/>
          <w:color w:val="000000" w:themeColor="text1"/>
          <w:sz w:val="24"/>
          <w:szCs w:val="24"/>
          <w:vertAlign w:val="superscript"/>
        </w:rPr>
        <w:t>25,</w:t>
      </w:r>
      <w:r w:rsidR="00C32A0B" w:rsidRPr="00704D1E">
        <w:rPr>
          <w:rFonts w:ascii="Book Antiqua" w:hAnsi="Book Antiqua" w:cs="Times New Roman"/>
          <w:color w:val="000000" w:themeColor="text1"/>
          <w:sz w:val="24"/>
          <w:szCs w:val="24"/>
          <w:vertAlign w:val="superscript"/>
        </w:rPr>
        <w:t>26]</w:t>
      </w:r>
      <w:r w:rsidR="00C32A0B" w:rsidRPr="00704D1E">
        <w:rPr>
          <w:rFonts w:ascii="Book Antiqua" w:hAnsi="Book Antiqua" w:cs="Times New Roman"/>
          <w:color w:val="000000" w:themeColor="text1"/>
          <w:sz w:val="24"/>
          <w:szCs w:val="24"/>
        </w:rPr>
        <w:t xml:space="preserve">. Therefore, the dehydration of hepatocytes, which is triggered by hyperosmolarity, can also induce insulin and cytokine resistance and promote the progression of </w:t>
      </w:r>
      <w:proofErr w:type="gramStart"/>
      <w:r w:rsidR="00C32A0B" w:rsidRPr="00704D1E">
        <w:rPr>
          <w:rFonts w:ascii="Book Antiqua" w:hAnsi="Book Antiqua" w:cs="Times New Roman"/>
          <w:color w:val="000000" w:themeColor="text1"/>
          <w:sz w:val="24"/>
          <w:szCs w:val="24"/>
        </w:rPr>
        <w:t>NAFLD</w:t>
      </w:r>
      <w:r>
        <w:rPr>
          <w:rFonts w:ascii="Book Antiqua" w:hAnsi="Book Antiqua" w:cs="Times New Roman"/>
          <w:color w:val="000000" w:themeColor="text1"/>
          <w:sz w:val="24"/>
          <w:szCs w:val="24"/>
          <w:vertAlign w:val="superscript"/>
        </w:rPr>
        <w:t>[</w:t>
      </w:r>
      <w:proofErr w:type="gramEnd"/>
      <w:r>
        <w:rPr>
          <w:rFonts w:ascii="Book Antiqua" w:hAnsi="Book Antiqua" w:cs="Times New Roman"/>
          <w:color w:val="000000" w:themeColor="text1"/>
          <w:sz w:val="24"/>
          <w:szCs w:val="24"/>
          <w:vertAlign w:val="superscript"/>
        </w:rPr>
        <w:t>27,</w:t>
      </w:r>
      <w:r w:rsidR="00C32A0B" w:rsidRPr="00704D1E">
        <w:rPr>
          <w:rFonts w:ascii="Book Antiqua" w:hAnsi="Book Antiqua" w:cs="Times New Roman"/>
          <w:color w:val="000000" w:themeColor="text1"/>
          <w:sz w:val="24"/>
          <w:szCs w:val="24"/>
          <w:vertAlign w:val="superscript"/>
        </w:rPr>
        <w:t>28]</w:t>
      </w:r>
      <w:r w:rsidR="00C32A0B" w:rsidRPr="00704D1E">
        <w:rPr>
          <w:rFonts w:ascii="Book Antiqua" w:hAnsi="Book Antiqua" w:cs="Times New Roman"/>
          <w:color w:val="000000" w:themeColor="text1"/>
          <w:sz w:val="24"/>
          <w:szCs w:val="24"/>
        </w:rPr>
        <w:t xml:space="preserve">. </w:t>
      </w:r>
    </w:p>
    <w:p w14:paraId="6439CA1F" w14:textId="7579223D" w:rsidR="00C32A0B" w:rsidRPr="00704D1E" w:rsidRDefault="007F3E53" w:rsidP="007F3E53">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C32A0B" w:rsidRPr="00704D1E">
        <w:rPr>
          <w:rFonts w:ascii="Book Antiqua" w:hAnsi="Book Antiqua" w:cs="Times New Roman"/>
          <w:color w:val="000000" w:themeColor="text1"/>
          <w:sz w:val="24"/>
          <w:szCs w:val="24"/>
        </w:rPr>
        <w:t xml:space="preserve">The pathogenesis of NAFLD has not been fully elucidated, and multiple etiologies have been proposed. The most prevalent hypothesis includes insulin resistance as the key mechanism leading to hepatic steatosis and possibly to steatohepatitis and liver </w:t>
      </w:r>
      <w:proofErr w:type="gramStart"/>
      <w:r w:rsidR="00C32A0B" w:rsidRPr="00704D1E">
        <w:rPr>
          <w:rFonts w:ascii="Book Antiqua" w:hAnsi="Book Antiqua" w:cs="Times New Roman"/>
          <w:color w:val="000000" w:themeColor="text1"/>
          <w:sz w:val="24"/>
          <w:szCs w:val="24"/>
        </w:rPr>
        <w:t>fibrosis</w:t>
      </w:r>
      <w:r>
        <w:rPr>
          <w:rFonts w:ascii="Book Antiqua" w:hAnsi="Book Antiqua" w:cs="Times New Roman"/>
          <w:color w:val="000000" w:themeColor="text1"/>
          <w:sz w:val="24"/>
          <w:szCs w:val="24"/>
          <w:vertAlign w:val="superscript"/>
        </w:rPr>
        <w:t>[</w:t>
      </w:r>
      <w:proofErr w:type="gramEnd"/>
      <w:r>
        <w:rPr>
          <w:rFonts w:ascii="Book Antiqua" w:hAnsi="Book Antiqua" w:cs="Times New Roman"/>
          <w:color w:val="000000" w:themeColor="text1"/>
          <w:sz w:val="24"/>
          <w:szCs w:val="24"/>
          <w:vertAlign w:val="superscript"/>
        </w:rPr>
        <w:t>6,</w:t>
      </w:r>
      <w:r w:rsidR="00C32A0B" w:rsidRPr="00704D1E">
        <w:rPr>
          <w:rFonts w:ascii="Book Antiqua" w:hAnsi="Book Antiqua" w:cs="Times New Roman"/>
          <w:color w:val="000000" w:themeColor="text1"/>
          <w:sz w:val="24"/>
          <w:szCs w:val="24"/>
          <w:vertAlign w:val="superscript"/>
        </w:rPr>
        <w:t>29]</w:t>
      </w:r>
      <w:r w:rsidR="00C32A0B" w:rsidRPr="00704D1E">
        <w:rPr>
          <w:rFonts w:ascii="Book Antiqua" w:hAnsi="Book Antiqua" w:cs="Times New Roman"/>
          <w:color w:val="000000" w:themeColor="text1"/>
          <w:sz w:val="24"/>
          <w:szCs w:val="24"/>
        </w:rPr>
        <w:t>. The data reported in the present study indicated that the metabolic changes accompanied by hypopituitarism/panhypopituitarism notably caused an increase in the weight and obesity parameters, insulin resistance</w:t>
      </w:r>
      <w:r w:rsidR="00125559">
        <w:rPr>
          <w:rFonts w:ascii="Book Antiqua" w:hAnsi="Book Antiqua" w:cs="Times New Roman"/>
          <w:color w:val="000000" w:themeColor="text1"/>
          <w:sz w:val="24"/>
          <w:szCs w:val="24"/>
        </w:rPr>
        <w:t>,</w:t>
      </w:r>
      <w:r w:rsidR="00C32A0B" w:rsidRPr="00704D1E">
        <w:rPr>
          <w:rFonts w:ascii="Book Antiqua" w:hAnsi="Book Antiqua" w:cs="Times New Roman"/>
          <w:color w:val="000000" w:themeColor="text1"/>
          <w:sz w:val="24"/>
          <w:szCs w:val="24"/>
        </w:rPr>
        <w:t xml:space="preserve"> and hyperlipidemia, which </w:t>
      </w:r>
      <w:r w:rsidR="00125559">
        <w:rPr>
          <w:rFonts w:ascii="Book Antiqua" w:hAnsi="Book Antiqua" w:cs="Times New Roman"/>
          <w:color w:val="000000" w:themeColor="text1"/>
          <w:sz w:val="24"/>
          <w:szCs w:val="24"/>
        </w:rPr>
        <w:t>i</w:t>
      </w:r>
      <w:r w:rsidR="00125559" w:rsidRPr="00704D1E">
        <w:rPr>
          <w:rFonts w:ascii="Book Antiqua" w:hAnsi="Book Antiqua" w:cs="Times New Roman"/>
          <w:color w:val="000000" w:themeColor="text1"/>
          <w:sz w:val="24"/>
          <w:szCs w:val="24"/>
        </w:rPr>
        <w:t xml:space="preserve">s </w:t>
      </w:r>
      <w:r w:rsidR="00C32A0B" w:rsidRPr="00704D1E">
        <w:rPr>
          <w:rFonts w:ascii="Book Antiqua" w:hAnsi="Book Antiqua" w:cs="Times New Roman"/>
          <w:color w:val="000000" w:themeColor="text1"/>
          <w:sz w:val="24"/>
          <w:szCs w:val="24"/>
        </w:rPr>
        <w:t xml:space="preserve">consistent with the findings reported </w:t>
      </w:r>
      <w:proofErr w:type="gramStart"/>
      <w:r w:rsidR="00C32A0B" w:rsidRPr="00704D1E">
        <w:rPr>
          <w:rFonts w:ascii="Book Antiqua" w:hAnsi="Book Antiqua" w:cs="Times New Roman"/>
          <w:color w:val="000000" w:themeColor="text1"/>
          <w:sz w:val="24"/>
          <w:szCs w:val="24"/>
        </w:rPr>
        <w:t>previously</w:t>
      </w:r>
      <w:r w:rsidR="00C32A0B" w:rsidRPr="00704D1E">
        <w:rPr>
          <w:rFonts w:ascii="Book Antiqua" w:hAnsi="Book Antiqua" w:cs="Times New Roman"/>
          <w:color w:val="000000" w:themeColor="text1"/>
          <w:sz w:val="24"/>
          <w:szCs w:val="24"/>
          <w:vertAlign w:val="superscript"/>
        </w:rPr>
        <w:t>[</w:t>
      </w:r>
      <w:proofErr w:type="gramEnd"/>
      <w:r w:rsidR="00C32A0B" w:rsidRPr="00704D1E">
        <w:rPr>
          <w:rFonts w:ascii="Book Antiqua" w:hAnsi="Book Antiqua" w:cs="Times New Roman"/>
          <w:color w:val="000000" w:themeColor="text1"/>
          <w:sz w:val="24"/>
          <w:szCs w:val="24"/>
          <w:vertAlign w:val="superscript"/>
        </w:rPr>
        <w:t>7-10]</w:t>
      </w:r>
      <w:r w:rsidR="00C32A0B" w:rsidRPr="00704D1E">
        <w:rPr>
          <w:rFonts w:ascii="Book Antiqua" w:hAnsi="Book Antiqua" w:cs="Times New Roman"/>
          <w:color w:val="000000" w:themeColor="text1"/>
          <w:sz w:val="24"/>
          <w:szCs w:val="24"/>
        </w:rPr>
        <w:t xml:space="preserve">. </w:t>
      </w:r>
      <w:bookmarkStart w:id="83" w:name="_Hlk1899799"/>
      <w:r w:rsidR="00C32A0B" w:rsidRPr="00704D1E">
        <w:rPr>
          <w:rFonts w:ascii="Book Antiqua" w:hAnsi="Book Antiqua" w:cs="Times New Roman"/>
          <w:color w:val="000000" w:themeColor="text1"/>
          <w:sz w:val="24"/>
          <w:szCs w:val="24"/>
        </w:rPr>
        <w:t xml:space="preserve">HOMA-IR in patients with hypopituitarism and cirrhosis was significantly higher than that in patients without NAFLD. </w:t>
      </w:r>
      <w:bookmarkStart w:id="84" w:name="_Hlk1548365"/>
      <w:r w:rsidR="00C32A0B" w:rsidRPr="00704D1E">
        <w:rPr>
          <w:rFonts w:ascii="Book Antiqua" w:hAnsi="Book Antiqua" w:cs="Times New Roman"/>
          <w:color w:val="000000" w:themeColor="text1"/>
          <w:sz w:val="24"/>
          <w:szCs w:val="24"/>
        </w:rPr>
        <w:t>Moreover, fasting insulin concentration was positively associated with plasma osmolality in patients with NAFLD, although no correlation was noted between HOMA-IR and plasma osmolality.</w:t>
      </w:r>
      <w:bookmarkEnd w:id="84"/>
      <w:r w:rsidR="00C32A0B" w:rsidRPr="00704D1E">
        <w:rPr>
          <w:rFonts w:ascii="Book Antiqua" w:hAnsi="Book Antiqua" w:cs="Times New Roman"/>
          <w:color w:val="000000" w:themeColor="text1"/>
          <w:sz w:val="24"/>
          <w:szCs w:val="24"/>
        </w:rPr>
        <w:t xml:space="preserve"> However, peripheral IR, pancreatic β-cell dysfunction</w:t>
      </w:r>
      <w:r w:rsidR="00125559">
        <w:rPr>
          <w:rFonts w:ascii="Book Antiqua" w:hAnsi="Book Antiqua" w:cs="Times New Roman"/>
          <w:color w:val="000000" w:themeColor="text1"/>
          <w:sz w:val="24"/>
          <w:szCs w:val="24"/>
        </w:rPr>
        <w:t>,</w:t>
      </w:r>
      <w:r w:rsidR="00C32A0B" w:rsidRPr="00704D1E">
        <w:rPr>
          <w:rFonts w:ascii="Book Antiqua" w:hAnsi="Book Antiqua" w:cs="Times New Roman"/>
          <w:color w:val="000000" w:themeColor="text1"/>
          <w:sz w:val="24"/>
          <w:szCs w:val="24"/>
        </w:rPr>
        <w:t xml:space="preserve"> and even diabetes mellitus may occur in cirrhotic </w:t>
      </w:r>
      <w:proofErr w:type="gramStart"/>
      <w:r w:rsidR="00C32A0B" w:rsidRPr="00704D1E">
        <w:rPr>
          <w:rFonts w:ascii="Book Antiqua" w:hAnsi="Book Antiqua" w:cs="Times New Roman"/>
          <w:color w:val="000000" w:themeColor="text1"/>
          <w:sz w:val="24"/>
          <w:szCs w:val="24"/>
        </w:rPr>
        <w:t>patients</w:t>
      </w:r>
      <w:r>
        <w:rPr>
          <w:rFonts w:ascii="Book Antiqua" w:hAnsi="Book Antiqua" w:cs="Times New Roman"/>
          <w:color w:val="000000" w:themeColor="text1"/>
          <w:sz w:val="24"/>
          <w:szCs w:val="24"/>
          <w:vertAlign w:val="superscript"/>
        </w:rPr>
        <w:t>[</w:t>
      </w:r>
      <w:proofErr w:type="gramEnd"/>
      <w:r>
        <w:rPr>
          <w:rFonts w:ascii="Book Antiqua" w:hAnsi="Book Antiqua" w:cs="Times New Roman"/>
          <w:color w:val="000000" w:themeColor="text1"/>
          <w:sz w:val="24"/>
          <w:szCs w:val="24"/>
          <w:vertAlign w:val="superscript"/>
        </w:rPr>
        <w:t>30,</w:t>
      </w:r>
      <w:r w:rsidR="00C32A0B" w:rsidRPr="00704D1E">
        <w:rPr>
          <w:rFonts w:ascii="Book Antiqua" w:hAnsi="Book Antiqua" w:cs="Times New Roman"/>
          <w:color w:val="000000" w:themeColor="text1"/>
          <w:sz w:val="24"/>
          <w:szCs w:val="24"/>
          <w:vertAlign w:val="superscript"/>
        </w:rPr>
        <w:t>31]</w:t>
      </w:r>
      <w:r w:rsidR="00C32A0B" w:rsidRPr="00704D1E">
        <w:rPr>
          <w:rFonts w:ascii="Book Antiqua" w:hAnsi="Book Antiqua" w:cs="Times New Roman"/>
          <w:color w:val="000000" w:themeColor="text1"/>
          <w:sz w:val="24"/>
          <w:szCs w:val="24"/>
        </w:rPr>
        <w:t>. Therefore, the effect of the hyperosmolar state on the progression of NAFLD in hypopituitary patients requires further studies.</w:t>
      </w:r>
      <w:bookmarkEnd w:id="83"/>
      <w:r w:rsidR="00C32A0B" w:rsidRPr="00704D1E">
        <w:rPr>
          <w:rFonts w:ascii="Book Antiqua" w:hAnsi="Book Antiqua" w:cs="Times New Roman"/>
          <w:color w:val="000000" w:themeColor="text1"/>
          <w:sz w:val="24"/>
          <w:szCs w:val="24"/>
        </w:rPr>
        <w:t xml:space="preserve"> </w:t>
      </w:r>
    </w:p>
    <w:p w14:paraId="180BE141" w14:textId="3F5CE16E" w:rsidR="00C32A0B" w:rsidRPr="00704D1E" w:rsidRDefault="007F3E53" w:rsidP="007F3E53">
      <w:pPr>
        <w:adjustRightInd w:val="0"/>
        <w:snapToGrid w:val="0"/>
        <w:spacing w:line="360" w:lineRule="auto"/>
        <w:rPr>
          <w:rFonts w:ascii="Book Antiqua" w:hAnsi="Book Antiqua" w:cs="Times New Roman"/>
          <w:color w:val="000000" w:themeColor="text1"/>
          <w:sz w:val="24"/>
          <w:szCs w:val="24"/>
        </w:rPr>
      </w:pPr>
      <w:bookmarkStart w:id="85" w:name="_Hlk1468065"/>
      <w:bookmarkStart w:id="86" w:name="_Hlk2840822"/>
      <w:r>
        <w:rPr>
          <w:rFonts w:ascii="Book Antiqua" w:hAnsi="Book Antiqua" w:cs="Times New Roman"/>
          <w:color w:val="000000" w:themeColor="text1"/>
          <w:sz w:val="24"/>
          <w:szCs w:val="24"/>
        </w:rPr>
        <w:t xml:space="preserve">  </w:t>
      </w:r>
      <w:r w:rsidR="00C32A0B" w:rsidRPr="00704D1E">
        <w:rPr>
          <w:rFonts w:ascii="Book Antiqua" w:hAnsi="Book Antiqua" w:cs="Times New Roman"/>
          <w:color w:val="000000" w:themeColor="text1"/>
          <w:sz w:val="24"/>
          <w:szCs w:val="24"/>
        </w:rPr>
        <w:t>The sensitivity of ultrasound has been reported to range from 53% to 100% and its specificity from 77% to 98</w:t>
      </w:r>
      <w:proofErr w:type="gramStart"/>
      <w:r w:rsidR="00C32A0B" w:rsidRPr="00704D1E">
        <w:rPr>
          <w:rFonts w:ascii="Book Antiqua" w:hAnsi="Book Antiqua" w:cs="Times New Roman"/>
          <w:color w:val="000000" w:themeColor="text1"/>
          <w:sz w:val="24"/>
          <w:szCs w:val="24"/>
        </w:rPr>
        <w:t>%</w:t>
      </w:r>
      <w:r w:rsidR="00C32A0B" w:rsidRPr="00704D1E">
        <w:rPr>
          <w:rFonts w:ascii="Book Antiqua" w:hAnsi="Book Antiqua" w:cs="Times New Roman"/>
          <w:color w:val="000000" w:themeColor="text1"/>
          <w:sz w:val="24"/>
          <w:szCs w:val="24"/>
          <w:vertAlign w:val="superscript"/>
        </w:rPr>
        <w:t>[</w:t>
      </w:r>
      <w:proofErr w:type="gramEnd"/>
      <w:r w:rsidR="00C32A0B" w:rsidRPr="00704D1E">
        <w:rPr>
          <w:rFonts w:ascii="Book Antiqua" w:hAnsi="Book Antiqua" w:cs="Times New Roman"/>
          <w:color w:val="000000" w:themeColor="text1"/>
          <w:sz w:val="24"/>
          <w:szCs w:val="24"/>
          <w:vertAlign w:val="superscript"/>
        </w:rPr>
        <w:t>32]</w:t>
      </w:r>
      <w:r w:rsidR="00C32A0B" w:rsidRPr="00704D1E">
        <w:rPr>
          <w:rFonts w:ascii="Book Antiqua" w:hAnsi="Book Antiqua" w:cs="Times New Roman"/>
          <w:color w:val="000000" w:themeColor="text1"/>
          <w:sz w:val="24"/>
          <w:szCs w:val="24"/>
        </w:rPr>
        <w:t xml:space="preserve">. Higher diagnostic sensitivities and specificities are achieved during the evaluation of moderate to severe hepatic steatosis cases, whereas lower values are noted during all grades of hepatic </w:t>
      </w:r>
      <w:proofErr w:type="gramStart"/>
      <w:r w:rsidR="00C32A0B" w:rsidRPr="00704D1E">
        <w:rPr>
          <w:rFonts w:ascii="Book Antiqua" w:hAnsi="Book Antiqua" w:cs="Times New Roman"/>
          <w:color w:val="000000" w:themeColor="text1"/>
          <w:sz w:val="24"/>
          <w:szCs w:val="24"/>
        </w:rPr>
        <w:t>steatosis</w:t>
      </w:r>
      <w:bookmarkEnd w:id="85"/>
      <w:r w:rsidR="00C32A0B" w:rsidRPr="00704D1E">
        <w:rPr>
          <w:rFonts w:ascii="Book Antiqua" w:hAnsi="Book Antiqua" w:cs="Times New Roman"/>
          <w:color w:val="000000" w:themeColor="text1"/>
          <w:sz w:val="24"/>
          <w:szCs w:val="24"/>
          <w:vertAlign w:val="superscript"/>
        </w:rPr>
        <w:t>[</w:t>
      </w:r>
      <w:proofErr w:type="gramEnd"/>
      <w:r w:rsidR="00C32A0B" w:rsidRPr="00704D1E">
        <w:rPr>
          <w:rFonts w:ascii="Book Antiqua" w:hAnsi="Book Antiqua" w:cs="Times New Roman"/>
          <w:color w:val="000000" w:themeColor="text1"/>
          <w:sz w:val="24"/>
          <w:szCs w:val="24"/>
          <w:vertAlign w:val="superscript"/>
        </w:rPr>
        <w:t>32]</w:t>
      </w:r>
      <w:r w:rsidR="00C32A0B" w:rsidRPr="00704D1E">
        <w:rPr>
          <w:rFonts w:ascii="Book Antiqua" w:hAnsi="Book Antiqua" w:cs="Times New Roman"/>
          <w:color w:val="000000" w:themeColor="text1"/>
          <w:sz w:val="24"/>
          <w:szCs w:val="24"/>
        </w:rPr>
        <w:t xml:space="preserve">. </w:t>
      </w:r>
      <w:bookmarkEnd w:id="86"/>
      <w:r w:rsidR="00C32A0B" w:rsidRPr="00704D1E">
        <w:rPr>
          <w:rFonts w:ascii="Book Antiqua" w:hAnsi="Book Antiqua" w:cs="Times New Roman"/>
          <w:color w:val="000000" w:themeColor="text1"/>
          <w:sz w:val="24"/>
          <w:szCs w:val="24"/>
        </w:rPr>
        <w:t xml:space="preserve">The accurate diagnosis of NASH and cirrhosis can be conducted by liver biopsy. </w:t>
      </w:r>
      <w:r w:rsidR="00C32A0B" w:rsidRPr="00704D1E">
        <w:rPr>
          <w:rFonts w:ascii="Book Antiqua" w:hAnsi="Book Antiqua"/>
          <w:bCs/>
          <w:color w:val="000000" w:themeColor="text1"/>
          <w:sz w:val="24"/>
          <w:szCs w:val="24"/>
        </w:rPr>
        <w:t xml:space="preserve">Adams </w:t>
      </w:r>
      <w:r w:rsidR="00C32A0B" w:rsidRPr="00704D1E">
        <w:rPr>
          <w:rFonts w:ascii="Book Antiqua" w:hAnsi="Book Antiqua"/>
          <w:bCs/>
          <w:i/>
          <w:color w:val="000000" w:themeColor="text1"/>
          <w:sz w:val="24"/>
          <w:szCs w:val="24"/>
        </w:rPr>
        <w:t xml:space="preserve">et </w:t>
      </w:r>
      <w:proofErr w:type="gramStart"/>
      <w:r w:rsidR="00C32A0B" w:rsidRPr="00704D1E">
        <w:rPr>
          <w:rFonts w:ascii="Book Antiqua" w:hAnsi="Book Antiqua"/>
          <w:bCs/>
          <w:i/>
          <w:color w:val="000000" w:themeColor="text1"/>
          <w:sz w:val="24"/>
          <w:szCs w:val="24"/>
        </w:rPr>
        <w:t>al</w:t>
      </w:r>
      <w:r w:rsidRPr="00704D1E">
        <w:rPr>
          <w:rFonts w:ascii="Book Antiqua" w:hAnsi="Book Antiqua"/>
          <w:bCs/>
          <w:color w:val="000000" w:themeColor="text1"/>
          <w:sz w:val="24"/>
          <w:szCs w:val="24"/>
          <w:vertAlign w:val="superscript"/>
        </w:rPr>
        <w:t>[</w:t>
      </w:r>
      <w:proofErr w:type="gramEnd"/>
      <w:r w:rsidRPr="00704D1E">
        <w:rPr>
          <w:rFonts w:ascii="Book Antiqua" w:hAnsi="Book Antiqua"/>
          <w:bCs/>
          <w:color w:val="000000" w:themeColor="text1"/>
          <w:sz w:val="24"/>
          <w:szCs w:val="24"/>
          <w:vertAlign w:val="superscript"/>
        </w:rPr>
        <w:t>10]</w:t>
      </w:r>
      <w:r w:rsidR="00C32A0B" w:rsidRPr="00704D1E">
        <w:rPr>
          <w:rFonts w:ascii="Book Antiqua" w:hAnsi="Book Antiqua"/>
          <w:bCs/>
          <w:color w:val="000000" w:themeColor="text1"/>
          <w:sz w:val="24"/>
          <w:szCs w:val="24"/>
        </w:rPr>
        <w:t xml:space="preserve"> reported that in </w:t>
      </w:r>
      <w:r w:rsidR="00125559">
        <w:rPr>
          <w:rFonts w:ascii="Book Antiqua" w:hAnsi="Book Antiqua"/>
          <w:bCs/>
          <w:color w:val="000000" w:themeColor="text1"/>
          <w:sz w:val="24"/>
          <w:szCs w:val="24"/>
        </w:rPr>
        <w:t>ten</w:t>
      </w:r>
      <w:r w:rsidR="00125559" w:rsidRPr="00704D1E">
        <w:rPr>
          <w:rFonts w:ascii="Book Antiqua" w:hAnsi="Book Antiqua"/>
          <w:bCs/>
          <w:color w:val="000000" w:themeColor="text1"/>
          <w:sz w:val="24"/>
          <w:szCs w:val="24"/>
        </w:rPr>
        <w:t xml:space="preserve"> </w:t>
      </w:r>
      <w:r w:rsidR="00C32A0B" w:rsidRPr="00704D1E">
        <w:rPr>
          <w:rFonts w:ascii="Book Antiqua" w:hAnsi="Book Antiqua"/>
          <w:bCs/>
          <w:color w:val="000000" w:themeColor="text1"/>
          <w:sz w:val="24"/>
          <w:szCs w:val="24"/>
        </w:rPr>
        <w:t>patients with hypothalamic and pituitary dysfunction whose NAFLD symptoms were confirmed by liver biopsy, six</w:t>
      </w:r>
      <w:r w:rsidR="00125559">
        <w:rPr>
          <w:rFonts w:ascii="Book Antiqua" w:hAnsi="Book Antiqua"/>
          <w:bCs/>
          <w:color w:val="000000" w:themeColor="text1"/>
          <w:sz w:val="24"/>
          <w:szCs w:val="24"/>
        </w:rPr>
        <w:t xml:space="preserve"> </w:t>
      </w:r>
      <w:r w:rsidR="00C32A0B" w:rsidRPr="00704D1E">
        <w:rPr>
          <w:rFonts w:ascii="Book Antiqua" w:hAnsi="Book Antiqua"/>
          <w:bCs/>
          <w:color w:val="000000" w:themeColor="text1"/>
          <w:sz w:val="24"/>
          <w:szCs w:val="24"/>
        </w:rPr>
        <w:t xml:space="preserve">were cirrhotic (29% of the total cohort), two exhibited NASH with </w:t>
      </w:r>
      <w:r w:rsidR="00C32A0B" w:rsidRPr="00704D1E">
        <w:rPr>
          <w:rFonts w:ascii="Book Antiqua" w:hAnsi="Book Antiqua"/>
          <w:bCs/>
          <w:color w:val="000000" w:themeColor="text1"/>
          <w:sz w:val="24"/>
          <w:szCs w:val="24"/>
        </w:rPr>
        <w:lastRenderedPageBreak/>
        <w:t>fibrosis (10.5% of the total cohort), and two presented with simple steatosis.</w:t>
      </w:r>
      <w:r w:rsidR="00C32A0B" w:rsidRPr="00704D1E">
        <w:rPr>
          <w:rFonts w:ascii="Book Antiqua" w:hAnsi="Book Antiqua"/>
          <w:b/>
          <w:bCs/>
          <w:color w:val="000000" w:themeColor="text1"/>
          <w:sz w:val="24"/>
          <w:szCs w:val="24"/>
        </w:rPr>
        <w:t xml:space="preserve"> </w:t>
      </w:r>
      <w:bookmarkStart w:id="87" w:name="_Hlk1545032"/>
      <w:r w:rsidR="00C32A0B" w:rsidRPr="00704D1E">
        <w:rPr>
          <w:rFonts w:ascii="Book Antiqua" w:hAnsi="Book Antiqua"/>
          <w:bCs/>
          <w:color w:val="000000" w:themeColor="text1"/>
          <w:sz w:val="24"/>
          <w:szCs w:val="24"/>
        </w:rPr>
        <w:t>In the present study,</w:t>
      </w:r>
      <w:r w:rsidR="00C32A0B" w:rsidRPr="00704D1E">
        <w:rPr>
          <w:rFonts w:ascii="Book Antiqua" w:hAnsi="Book Antiqua"/>
          <w:b/>
          <w:bCs/>
          <w:color w:val="000000" w:themeColor="text1"/>
          <w:sz w:val="24"/>
          <w:szCs w:val="24"/>
        </w:rPr>
        <w:t xml:space="preserve"> </w:t>
      </w:r>
      <w:r w:rsidR="00C32A0B" w:rsidRPr="00704D1E">
        <w:rPr>
          <w:rFonts w:ascii="Book Antiqua" w:hAnsi="Book Antiqua" w:cs="Times New Roman"/>
          <w:color w:val="000000" w:themeColor="text1"/>
          <w:sz w:val="24"/>
          <w:szCs w:val="24"/>
        </w:rPr>
        <w:t xml:space="preserve">two of our patients underwent liver biopsy, </w:t>
      </w:r>
      <w:r w:rsidR="00125559">
        <w:rPr>
          <w:rFonts w:ascii="Book Antiqua" w:hAnsi="Book Antiqua" w:cs="Times New Roman"/>
          <w:color w:val="000000" w:themeColor="text1"/>
          <w:sz w:val="24"/>
          <w:szCs w:val="24"/>
        </w:rPr>
        <w:t xml:space="preserve">which </w:t>
      </w:r>
      <w:r w:rsidR="00125559" w:rsidRPr="00704D1E">
        <w:rPr>
          <w:rFonts w:ascii="Book Antiqua" w:hAnsi="Book Antiqua" w:cs="Times New Roman"/>
          <w:color w:val="000000" w:themeColor="text1"/>
          <w:sz w:val="24"/>
          <w:szCs w:val="24"/>
        </w:rPr>
        <w:t>indicat</w:t>
      </w:r>
      <w:r w:rsidR="00125559">
        <w:rPr>
          <w:rFonts w:ascii="Book Antiqua" w:hAnsi="Book Antiqua" w:cs="Times New Roman"/>
          <w:color w:val="000000" w:themeColor="text1"/>
          <w:sz w:val="24"/>
          <w:szCs w:val="24"/>
        </w:rPr>
        <w:t>ed</w:t>
      </w:r>
      <w:r w:rsidR="00125559" w:rsidRPr="00704D1E">
        <w:rPr>
          <w:rFonts w:ascii="Book Antiqua" w:hAnsi="Book Antiqua" w:cs="Times New Roman"/>
          <w:color w:val="000000" w:themeColor="text1"/>
          <w:sz w:val="24"/>
          <w:szCs w:val="24"/>
        </w:rPr>
        <w:t xml:space="preserve"> </w:t>
      </w:r>
      <w:r w:rsidR="00C32A0B" w:rsidRPr="00704D1E">
        <w:rPr>
          <w:rFonts w:ascii="Book Antiqua" w:hAnsi="Book Antiqua" w:cs="Times New Roman"/>
          <w:color w:val="000000" w:themeColor="text1"/>
          <w:sz w:val="24"/>
          <w:szCs w:val="24"/>
        </w:rPr>
        <w:t>the lack of differential diagnosis between simple steatosis and NASH from NAFLD. Consequently, the incidence of NASH and fibrosis in our cohort was not clear. Only two of the seven cirrhotic patients received regular hormone replacement, while three of them received this therapy until they developed symptoms of decompensated cirrhosis, such as upper gastrointestinal bleeding and hypersplenism. Comparative analysis of our patients indicated that the variables of hepatic synthetic function, white blood count</w:t>
      </w:r>
      <w:r w:rsidR="00125559">
        <w:rPr>
          <w:rFonts w:ascii="Book Antiqua" w:hAnsi="Book Antiqua" w:cs="Times New Roman"/>
          <w:color w:val="000000" w:themeColor="text1"/>
          <w:sz w:val="24"/>
          <w:szCs w:val="24"/>
        </w:rPr>
        <w:t>,</w:t>
      </w:r>
      <w:r w:rsidR="00C32A0B" w:rsidRPr="00704D1E">
        <w:rPr>
          <w:rFonts w:ascii="Book Antiqua" w:hAnsi="Book Antiqua" w:cs="Times New Roman"/>
          <w:color w:val="000000" w:themeColor="text1"/>
          <w:sz w:val="24"/>
          <w:szCs w:val="24"/>
        </w:rPr>
        <w:t xml:space="preserve"> and blood platelet count of cirrhotic patients were significantly lower than those of patients with hypopituitarism without NAFLD. However, no significant differences were noted in the level of serum aminotransferase </w:t>
      </w:r>
      <w:r w:rsidR="00125559">
        <w:rPr>
          <w:rFonts w:ascii="Book Antiqua" w:hAnsi="Book Antiqua" w:cs="Times New Roman"/>
          <w:color w:val="000000" w:themeColor="text1"/>
          <w:sz w:val="24"/>
          <w:szCs w:val="24"/>
        </w:rPr>
        <w:t>or</w:t>
      </w:r>
      <w:r w:rsidR="00125559" w:rsidRPr="00704D1E">
        <w:rPr>
          <w:rFonts w:ascii="Book Antiqua" w:hAnsi="Book Antiqua" w:cs="Times New Roman"/>
          <w:color w:val="000000" w:themeColor="text1"/>
          <w:sz w:val="24"/>
          <w:szCs w:val="24"/>
        </w:rPr>
        <w:t xml:space="preserve"> </w:t>
      </w:r>
      <w:r w:rsidR="00C32A0B" w:rsidRPr="00704D1E">
        <w:rPr>
          <w:rFonts w:ascii="Book Antiqua" w:hAnsi="Book Antiqua" w:cs="Times New Roman"/>
          <w:color w:val="000000" w:themeColor="text1"/>
          <w:sz w:val="24"/>
          <w:szCs w:val="24"/>
        </w:rPr>
        <w:t>bilirubin. Following a period of regular hormone replacement, the biochemical indicators of the seven cirrhotic patients exhibited no further deterioration and were reflected by serum aminotransferase levels, white blood count</w:t>
      </w:r>
      <w:r w:rsidR="00125559">
        <w:rPr>
          <w:rFonts w:ascii="Book Antiqua" w:hAnsi="Book Antiqua" w:cs="Times New Roman"/>
          <w:color w:val="000000" w:themeColor="text1"/>
          <w:sz w:val="24"/>
          <w:szCs w:val="24"/>
        </w:rPr>
        <w:t xml:space="preserve">, </w:t>
      </w:r>
      <w:r w:rsidR="00C32A0B" w:rsidRPr="00704D1E">
        <w:rPr>
          <w:rFonts w:ascii="Book Antiqua" w:hAnsi="Book Antiqua" w:cs="Times New Roman"/>
          <w:color w:val="000000" w:themeColor="text1"/>
          <w:sz w:val="24"/>
          <w:szCs w:val="24"/>
        </w:rPr>
        <w:t xml:space="preserve">and blood platelet count, although it was unknown whether the pathological indicators of liver cirrhosis had improved. Therefore, routine liver blood tests could not be used to assess the progression of liver fibrosis and cirrhosis in NAFLD subjects, and liver biopsy was performed if </w:t>
      </w:r>
      <w:proofErr w:type="gramStart"/>
      <w:r w:rsidR="00C32A0B" w:rsidRPr="00704D1E">
        <w:rPr>
          <w:rFonts w:ascii="Book Antiqua" w:hAnsi="Book Antiqua" w:cs="Times New Roman"/>
          <w:color w:val="000000" w:themeColor="text1"/>
          <w:sz w:val="24"/>
          <w:szCs w:val="24"/>
        </w:rPr>
        <w:t>necessary</w:t>
      </w:r>
      <w:bookmarkEnd w:id="87"/>
      <w:r>
        <w:rPr>
          <w:rFonts w:ascii="Book Antiqua" w:hAnsi="Book Antiqua" w:cs="Times New Roman"/>
          <w:color w:val="000000" w:themeColor="text1"/>
          <w:sz w:val="24"/>
          <w:szCs w:val="24"/>
          <w:vertAlign w:val="superscript"/>
        </w:rPr>
        <w:t>[</w:t>
      </w:r>
      <w:proofErr w:type="gramEnd"/>
      <w:r>
        <w:rPr>
          <w:rFonts w:ascii="Book Antiqua" w:hAnsi="Book Antiqua" w:cs="Times New Roman"/>
          <w:color w:val="000000" w:themeColor="text1"/>
          <w:sz w:val="24"/>
          <w:szCs w:val="24"/>
          <w:vertAlign w:val="superscript"/>
        </w:rPr>
        <w:t>1,</w:t>
      </w:r>
      <w:r w:rsidR="00C32A0B" w:rsidRPr="00704D1E">
        <w:rPr>
          <w:rFonts w:ascii="Book Antiqua" w:hAnsi="Book Antiqua" w:cs="Times New Roman"/>
          <w:color w:val="000000" w:themeColor="text1"/>
          <w:sz w:val="24"/>
          <w:szCs w:val="24"/>
          <w:vertAlign w:val="superscript"/>
        </w:rPr>
        <w:t>2]</w:t>
      </w:r>
      <w:r w:rsidR="00C32A0B" w:rsidRPr="00704D1E">
        <w:rPr>
          <w:rFonts w:ascii="Book Antiqua" w:hAnsi="Book Antiqua" w:cs="Times New Roman"/>
          <w:color w:val="000000" w:themeColor="text1"/>
          <w:sz w:val="24"/>
          <w:szCs w:val="24"/>
        </w:rPr>
        <w:t>.</w:t>
      </w:r>
    </w:p>
    <w:p w14:paraId="1ACD33DC" w14:textId="4F750F0E" w:rsidR="00C32A0B" w:rsidRPr="00704D1E" w:rsidRDefault="007F3E53" w:rsidP="007F3E53">
      <w:pPr>
        <w:adjustRightInd w:val="0"/>
        <w:snapToGrid w:val="0"/>
        <w:spacing w:line="360" w:lineRule="auto"/>
        <w:rPr>
          <w:rFonts w:ascii="Book Antiqua" w:hAnsi="Book Antiqua" w:cs="Times New Roman"/>
          <w:color w:val="000000" w:themeColor="text1"/>
          <w:sz w:val="24"/>
          <w:szCs w:val="24"/>
        </w:rPr>
      </w:pPr>
      <w:bookmarkStart w:id="88" w:name="_Hlk530922188"/>
      <w:r>
        <w:rPr>
          <w:rFonts w:ascii="Book Antiqua" w:hAnsi="Book Antiqua" w:cs="Times New Roman"/>
          <w:color w:val="000000" w:themeColor="text1"/>
          <w:sz w:val="24"/>
          <w:szCs w:val="24"/>
        </w:rPr>
        <w:t xml:space="preserve">  </w:t>
      </w:r>
      <w:r w:rsidR="00C32A0B" w:rsidRPr="00704D1E">
        <w:rPr>
          <w:rFonts w:ascii="Book Antiqua" w:hAnsi="Book Antiqua" w:cs="Times New Roman"/>
          <w:color w:val="000000" w:themeColor="text1"/>
          <w:sz w:val="24"/>
          <w:szCs w:val="24"/>
        </w:rPr>
        <w:t xml:space="preserve">In conclusion, </w:t>
      </w:r>
      <w:r w:rsidR="00125559">
        <w:rPr>
          <w:rFonts w:ascii="Book Antiqua" w:hAnsi="Book Antiqua" w:cs="Times New Roman"/>
          <w:color w:val="000000" w:themeColor="text1"/>
          <w:sz w:val="24"/>
          <w:szCs w:val="24"/>
        </w:rPr>
        <w:t xml:space="preserve">our </w:t>
      </w:r>
      <w:r w:rsidR="00C32A0B" w:rsidRPr="00704D1E">
        <w:rPr>
          <w:rFonts w:ascii="Book Antiqua" w:hAnsi="Book Antiqua" w:cs="Times New Roman"/>
          <w:color w:val="000000" w:themeColor="text1"/>
          <w:sz w:val="24"/>
          <w:szCs w:val="24"/>
        </w:rPr>
        <w:t>data demonstrated a high prevalence of NAFLD and cirrhosis in patients with hypopituitarism. Notably, hypopituitary patients with cirrhosis exhibited significantly higher BMI and HOMA-IR compared with those without NAFLD. In addition, fasting insulin concentration was positively associated with plasma osmolality in patients with NAFLD, following adjustment for gender, age, and BMI. We reported for the first time that</w:t>
      </w:r>
      <w:r w:rsidR="00125559">
        <w:rPr>
          <w:rFonts w:ascii="Book Antiqua" w:hAnsi="Book Antiqua" w:cs="Times New Roman"/>
          <w:color w:val="000000" w:themeColor="text1"/>
          <w:sz w:val="24"/>
          <w:szCs w:val="24"/>
        </w:rPr>
        <w:t xml:space="preserve"> </w:t>
      </w:r>
      <w:r w:rsidR="00C32A0B" w:rsidRPr="00704D1E">
        <w:rPr>
          <w:rFonts w:ascii="Book Antiqua" w:hAnsi="Book Antiqua" w:cs="Times New Roman"/>
          <w:color w:val="000000" w:themeColor="text1"/>
          <w:sz w:val="24"/>
          <w:szCs w:val="24"/>
        </w:rPr>
        <w:t>plasma osmolality and serum sodium levels of hypopituitary patients with cirrhosis were significantly higher than those of hypopituitary patients with NAFLD. Additional studies are required to confirm that hyperosmolality may be a significant contributor to the deterioration of NAFLD in hypopituitary patients. Routine liver blood tests could not be used to assess the progression of liver fibrosis and cirrhosis in subjects with NAFLD.</w:t>
      </w:r>
      <w:bookmarkEnd w:id="88"/>
      <w:r w:rsidR="00C32A0B" w:rsidRPr="00704D1E">
        <w:rPr>
          <w:rFonts w:ascii="Book Antiqua" w:hAnsi="Book Antiqua" w:cs="Times New Roman"/>
          <w:color w:val="000000" w:themeColor="text1"/>
          <w:sz w:val="24"/>
          <w:szCs w:val="24"/>
        </w:rPr>
        <w:t xml:space="preserve">  </w:t>
      </w:r>
    </w:p>
    <w:p w14:paraId="5261F4FF" w14:textId="5F292329" w:rsidR="009C32C3" w:rsidRPr="00704D1E" w:rsidRDefault="007F3E53" w:rsidP="007F3E53">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lastRenderedPageBreak/>
        <w:t xml:space="preserve">  </w:t>
      </w:r>
      <w:r w:rsidR="00C32A0B" w:rsidRPr="00704D1E">
        <w:rPr>
          <w:rFonts w:ascii="Book Antiqua" w:hAnsi="Book Antiqua" w:cs="Times New Roman"/>
          <w:color w:val="000000" w:themeColor="text1"/>
          <w:sz w:val="24"/>
          <w:szCs w:val="24"/>
        </w:rPr>
        <w:t>The present study was limited by insufficient sample size, as hypopituitarism is a rare condition. We did not use corrections for multiple comparisons because the findings from this analysis were general associations rather than affirmative findings. Thus, prospective, multicenter, cohort studies and animal experiments are required in the future to facilitate further understanding of the NAFLD pathophysiology in hypopituitary patients.</w:t>
      </w:r>
      <w:r w:rsidR="006E305C" w:rsidRPr="00704D1E">
        <w:rPr>
          <w:rFonts w:ascii="Book Antiqua" w:hAnsi="Book Antiqua" w:cs="Times New Roman"/>
          <w:color w:val="000000" w:themeColor="text1"/>
          <w:sz w:val="24"/>
          <w:szCs w:val="24"/>
        </w:rPr>
        <w:t xml:space="preserve"> </w:t>
      </w:r>
    </w:p>
    <w:p w14:paraId="7D5FD451" w14:textId="6BEDEB17" w:rsidR="00937963" w:rsidRPr="00704D1E" w:rsidRDefault="00937963" w:rsidP="00704D1E">
      <w:pPr>
        <w:adjustRightInd w:val="0"/>
        <w:snapToGrid w:val="0"/>
        <w:spacing w:line="360" w:lineRule="auto"/>
        <w:rPr>
          <w:rFonts w:ascii="Book Antiqua" w:hAnsi="Book Antiqua" w:cs="Times New Roman"/>
          <w:b/>
          <w:color w:val="000000" w:themeColor="text1"/>
          <w:sz w:val="24"/>
          <w:szCs w:val="24"/>
        </w:rPr>
      </w:pPr>
    </w:p>
    <w:p w14:paraId="017BE7CF" w14:textId="77777777" w:rsidR="001100E0" w:rsidRPr="00704D1E" w:rsidRDefault="001100E0" w:rsidP="00487AFC">
      <w:pPr>
        <w:adjustRightInd w:val="0"/>
        <w:snapToGrid w:val="0"/>
        <w:spacing w:line="360" w:lineRule="auto"/>
        <w:outlineLvl w:val="0"/>
        <w:rPr>
          <w:rFonts w:ascii="Book Antiqua" w:hAnsi="Book Antiqua"/>
          <w:b/>
          <w:caps/>
          <w:color w:val="000000" w:themeColor="text1"/>
          <w:sz w:val="24"/>
          <w:szCs w:val="24"/>
        </w:rPr>
      </w:pPr>
      <w:bookmarkStart w:id="89" w:name="OLE_LINK151"/>
      <w:bookmarkStart w:id="90" w:name="OLE_LINK259"/>
      <w:r w:rsidRPr="00704D1E">
        <w:rPr>
          <w:rFonts w:ascii="Book Antiqua" w:hAnsi="Book Antiqua" w:cs="Segoe UI"/>
          <w:b/>
          <w:caps/>
          <w:color w:val="000000" w:themeColor="text1"/>
          <w:sz w:val="24"/>
          <w:szCs w:val="24"/>
          <w:shd w:val="clear" w:color="auto" w:fill="FFFFFF"/>
        </w:rPr>
        <w:t xml:space="preserve">Article Highlights  </w:t>
      </w:r>
    </w:p>
    <w:p w14:paraId="09789225" w14:textId="77777777" w:rsidR="001100E0" w:rsidRPr="00704D1E" w:rsidRDefault="001100E0" w:rsidP="00487AFC">
      <w:pPr>
        <w:adjustRightInd w:val="0"/>
        <w:snapToGrid w:val="0"/>
        <w:spacing w:line="360" w:lineRule="auto"/>
        <w:outlineLvl w:val="0"/>
        <w:rPr>
          <w:rFonts w:ascii="Book Antiqua" w:hAnsi="Book Antiqua"/>
          <w:b/>
          <w:i/>
          <w:color w:val="000000" w:themeColor="text1"/>
          <w:sz w:val="24"/>
          <w:szCs w:val="24"/>
        </w:rPr>
      </w:pPr>
      <w:r w:rsidRPr="00704D1E">
        <w:rPr>
          <w:rFonts w:ascii="Book Antiqua" w:hAnsi="Book Antiqua"/>
          <w:b/>
          <w:i/>
          <w:color w:val="000000" w:themeColor="text1"/>
          <w:sz w:val="24"/>
          <w:szCs w:val="24"/>
        </w:rPr>
        <w:t>Research background</w:t>
      </w:r>
    </w:p>
    <w:p w14:paraId="21280B94" w14:textId="58CF6C25" w:rsidR="00EC2CEF" w:rsidRPr="00704D1E" w:rsidRDefault="00D67036" w:rsidP="00704D1E">
      <w:pPr>
        <w:adjustRightInd w:val="0"/>
        <w:snapToGrid w:val="0"/>
        <w:spacing w:line="360" w:lineRule="auto"/>
        <w:rPr>
          <w:rFonts w:ascii="Book Antiqua" w:eastAsiaTheme="minorEastAsia" w:hAnsi="Book Antiqua"/>
          <w:color w:val="000000" w:themeColor="text1"/>
          <w:sz w:val="24"/>
          <w:szCs w:val="24"/>
        </w:rPr>
      </w:pPr>
      <w:r w:rsidRPr="00704D1E">
        <w:rPr>
          <w:rFonts w:ascii="Book Antiqua" w:hAnsi="Book Antiqua" w:cs="Times New Roman"/>
          <w:color w:val="000000" w:themeColor="text1"/>
          <w:sz w:val="24"/>
          <w:szCs w:val="24"/>
        </w:rPr>
        <w:t>Non</w:t>
      </w:r>
      <w:r w:rsidR="00C32A0B" w:rsidRPr="00704D1E">
        <w:rPr>
          <w:rFonts w:ascii="Book Antiqua" w:hAnsi="Book Antiqua" w:cs="Times New Roman"/>
          <w:color w:val="000000" w:themeColor="text1"/>
          <w:sz w:val="24"/>
          <w:szCs w:val="24"/>
        </w:rPr>
        <w:t>-</w:t>
      </w:r>
      <w:r w:rsidRPr="00704D1E">
        <w:rPr>
          <w:rFonts w:ascii="Book Antiqua" w:hAnsi="Book Antiqua" w:cs="Times New Roman"/>
          <w:color w:val="000000" w:themeColor="text1"/>
          <w:sz w:val="24"/>
          <w:szCs w:val="24"/>
        </w:rPr>
        <w:t xml:space="preserve">alcoholic fatty liver disease (NAFLD) is a major global health problem with </w:t>
      </w:r>
      <w:r w:rsidR="00976AFF">
        <w:rPr>
          <w:rFonts w:ascii="Book Antiqua" w:hAnsi="Book Antiqua" w:cs="Times New Roman"/>
          <w:color w:val="000000" w:themeColor="text1"/>
          <w:sz w:val="24"/>
          <w:szCs w:val="24"/>
        </w:rPr>
        <w:t>a</w:t>
      </w:r>
      <w:r w:rsidR="00976AFF" w:rsidRPr="00704D1E">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substantial rise in prevalence over the last decades. Patients with hypothalamic-pituitary disease have the feature</w:t>
      </w:r>
      <w:r w:rsidR="00976AFF">
        <w:rPr>
          <w:rFonts w:ascii="Book Antiqua" w:hAnsi="Book Antiqua" w:cs="Times New Roman"/>
          <w:color w:val="000000" w:themeColor="text1"/>
          <w:sz w:val="24"/>
          <w:szCs w:val="24"/>
        </w:rPr>
        <w:t>s</w:t>
      </w:r>
      <w:r w:rsidRPr="00704D1E">
        <w:rPr>
          <w:rFonts w:ascii="Book Antiqua" w:hAnsi="Book Antiqua" w:cs="Times New Roman"/>
          <w:color w:val="000000" w:themeColor="text1"/>
          <w:sz w:val="24"/>
          <w:szCs w:val="24"/>
        </w:rPr>
        <w:t xml:space="preserve"> of central obesity, insulin resistance</w:t>
      </w:r>
      <w:r w:rsidR="00976AFF">
        <w:rPr>
          <w:rFonts w:ascii="Book Antiqua" w:hAnsi="Book Antiqua" w:cs="Times New Roman"/>
          <w:color w:val="000000" w:themeColor="text1"/>
          <w:sz w:val="24"/>
          <w:szCs w:val="24"/>
        </w:rPr>
        <w:t>,</w:t>
      </w:r>
      <w:r w:rsidRPr="00704D1E">
        <w:rPr>
          <w:rFonts w:ascii="Book Antiqua" w:hAnsi="Book Antiqua" w:cs="Times New Roman"/>
          <w:color w:val="000000" w:themeColor="text1"/>
          <w:sz w:val="24"/>
          <w:szCs w:val="24"/>
        </w:rPr>
        <w:t xml:space="preserve"> and dyslipidemia, and there is </w:t>
      </w:r>
      <w:r w:rsidR="0059645D" w:rsidRPr="00704D1E">
        <w:rPr>
          <w:rFonts w:ascii="Book Antiqua" w:hAnsi="Book Antiqua" w:cs="Times New Roman"/>
          <w:color w:val="000000" w:themeColor="text1"/>
          <w:sz w:val="24"/>
          <w:szCs w:val="24"/>
        </w:rPr>
        <w:t xml:space="preserve">an </w:t>
      </w:r>
      <w:r w:rsidRPr="00704D1E">
        <w:rPr>
          <w:rFonts w:ascii="Book Antiqua" w:hAnsi="Book Antiqua" w:cs="Times New Roman"/>
          <w:color w:val="000000" w:themeColor="text1"/>
          <w:sz w:val="24"/>
          <w:szCs w:val="24"/>
        </w:rPr>
        <w:t>increased prevalence of liver dysfunction consistent with NAFLD in this population. Growth hormone deficiency (GHD) has been considered as an important contributing factor to these metabolic changes in hypopituitary patients.</w:t>
      </w:r>
      <w:r w:rsidR="00C00A60" w:rsidRPr="00704D1E">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However, the causes of hypopituitarism in the reported studies varied</w:t>
      </w:r>
      <w:r w:rsidR="004A7287" w:rsidRPr="00704D1E">
        <w:rPr>
          <w:rFonts w:ascii="Book Antiqua" w:hAnsi="Book Antiqua" w:cs="Times New Roman"/>
          <w:color w:val="000000" w:themeColor="text1"/>
          <w:sz w:val="24"/>
          <w:szCs w:val="24"/>
        </w:rPr>
        <w:t>,</w:t>
      </w:r>
      <w:r w:rsidRPr="00704D1E">
        <w:rPr>
          <w:rFonts w:ascii="Book Antiqua" w:hAnsi="Book Antiqua" w:cs="Times New Roman"/>
          <w:color w:val="000000" w:themeColor="text1"/>
          <w:sz w:val="24"/>
          <w:szCs w:val="24"/>
        </w:rPr>
        <w:t xml:space="preserve"> and combined pituitary hormone deficiency</w:t>
      </w:r>
      <w:r w:rsidR="004A7287" w:rsidRPr="00704D1E">
        <w:rPr>
          <w:rFonts w:ascii="Book Antiqua" w:hAnsi="Book Antiqua" w:cs="Times New Roman"/>
          <w:color w:val="000000" w:themeColor="text1"/>
          <w:sz w:val="24"/>
          <w:szCs w:val="24"/>
        </w:rPr>
        <w:t>,</w:t>
      </w:r>
      <w:r w:rsidRPr="00704D1E">
        <w:rPr>
          <w:rFonts w:ascii="Book Antiqua" w:hAnsi="Book Antiqua" w:cs="Times New Roman"/>
          <w:color w:val="000000" w:themeColor="text1"/>
          <w:sz w:val="24"/>
          <w:szCs w:val="24"/>
        </w:rPr>
        <w:t xml:space="preserve"> including central diabetes insipidus</w:t>
      </w:r>
      <w:r w:rsidR="004A7287" w:rsidRPr="00704D1E">
        <w:rPr>
          <w:rFonts w:ascii="Book Antiqua" w:hAnsi="Book Antiqua" w:cs="Times New Roman"/>
          <w:color w:val="000000" w:themeColor="text1"/>
          <w:sz w:val="24"/>
          <w:szCs w:val="24"/>
        </w:rPr>
        <w:t>,</w:t>
      </w:r>
      <w:r w:rsidRPr="00704D1E">
        <w:rPr>
          <w:rFonts w:ascii="Book Antiqua" w:hAnsi="Book Antiqua" w:cs="Times New Roman"/>
          <w:color w:val="000000" w:themeColor="text1"/>
          <w:sz w:val="24"/>
          <w:szCs w:val="24"/>
        </w:rPr>
        <w:t xml:space="preserve"> </w:t>
      </w:r>
      <w:r w:rsidR="004A7287" w:rsidRPr="00704D1E">
        <w:rPr>
          <w:rFonts w:ascii="Book Antiqua" w:hAnsi="Book Antiqua" w:cs="Times New Roman"/>
          <w:color w:val="000000" w:themeColor="text1"/>
          <w:sz w:val="24"/>
          <w:szCs w:val="24"/>
        </w:rPr>
        <w:t>was</w:t>
      </w:r>
      <w:r w:rsidRPr="00704D1E">
        <w:rPr>
          <w:rFonts w:ascii="Book Antiqua" w:hAnsi="Book Antiqua" w:cs="Times New Roman"/>
          <w:color w:val="000000" w:themeColor="text1"/>
          <w:sz w:val="24"/>
          <w:szCs w:val="24"/>
        </w:rPr>
        <w:t xml:space="preserve"> </w:t>
      </w:r>
      <w:r w:rsidR="004A7287" w:rsidRPr="00704D1E">
        <w:rPr>
          <w:rFonts w:ascii="Book Antiqua" w:hAnsi="Book Antiqua" w:cs="Times New Roman"/>
          <w:color w:val="000000" w:themeColor="text1"/>
          <w:sz w:val="24"/>
          <w:szCs w:val="24"/>
        </w:rPr>
        <w:t>more</w:t>
      </w:r>
      <w:r w:rsidRPr="00704D1E">
        <w:rPr>
          <w:rFonts w:ascii="Book Antiqua" w:hAnsi="Book Antiqua" w:cs="Times New Roman"/>
          <w:color w:val="000000" w:themeColor="text1"/>
          <w:sz w:val="24"/>
          <w:szCs w:val="24"/>
        </w:rPr>
        <w:t xml:space="preserve"> common in this population. This retrospective cross-sectional study was performed to analyze clinical characteristics </w:t>
      </w:r>
      <w:r w:rsidR="00F0296A" w:rsidRPr="00704D1E">
        <w:rPr>
          <w:rFonts w:ascii="Book Antiqua" w:hAnsi="Book Antiqua" w:cs="Times New Roman"/>
          <w:color w:val="000000" w:themeColor="text1"/>
          <w:sz w:val="24"/>
          <w:szCs w:val="24"/>
        </w:rPr>
        <w:t xml:space="preserve">of </w:t>
      </w:r>
      <w:r w:rsidRPr="00704D1E">
        <w:rPr>
          <w:rFonts w:ascii="Book Antiqua" w:hAnsi="Book Antiqua" w:cs="Times New Roman"/>
          <w:color w:val="000000" w:themeColor="text1"/>
          <w:sz w:val="24"/>
          <w:szCs w:val="24"/>
        </w:rPr>
        <w:t>NAFLD in Chinese adult hypopituitary/panhypopituitary patients</w:t>
      </w:r>
      <w:r w:rsidR="00EC2CEF" w:rsidRPr="00704D1E">
        <w:rPr>
          <w:rFonts w:ascii="Book Antiqua" w:hAnsi="Book Antiqua" w:cs="Times New Roman"/>
          <w:color w:val="000000" w:themeColor="text1"/>
          <w:sz w:val="24"/>
          <w:szCs w:val="24"/>
        </w:rPr>
        <w:t xml:space="preserve">, and to explore the risk factors that </w:t>
      </w:r>
      <w:r w:rsidR="00EC2CEF" w:rsidRPr="00704D1E">
        <w:rPr>
          <w:rFonts w:ascii="Book Antiqua" w:hAnsi="Book Antiqua" w:cs="Segoe UI"/>
          <w:color w:val="000000" w:themeColor="text1"/>
          <w:sz w:val="24"/>
          <w:szCs w:val="24"/>
          <w:shd w:val="clear" w:color="auto" w:fill="FFFFFF"/>
        </w:rPr>
        <w:t>lead to rapid progression to cirrhosis</w:t>
      </w:r>
      <w:r w:rsidRPr="00704D1E">
        <w:rPr>
          <w:rFonts w:ascii="Book Antiqua" w:hAnsi="Book Antiqua" w:cs="Times New Roman"/>
          <w:color w:val="000000" w:themeColor="text1"/>
          <w:sz w:val="24"/>
          <w:szCs w:val="24"/>
        </w:rPr>
        <w:t>.</w:t>
      </w:r>
    </w:p>
    <w:p w14:paraId="091A09CC" w14:textId="77777777" w:rsidR="001100E0" w:rsidRPr="00704D1E" w:rsidRDefault="001100E0" w:rsidP="00704D1E">
      <w:pPr>
        <w:adjustRightInd w:val="0"/>
        <w:snapToGrid w:val="0"/>
        <w:spacing w:line="360" w:lineRule="auto"/>
        <w:rPr>
          <w:rFonts w:ascii="Book Antiqua" w:eastAsiaTheme="minorEastAsia" w:hAnsi="Book Antiqua"/>
          <w:color w:val="000000" w:themeColor="text1"/>
          <w:sz w:val="24"/>
          <w:szCs w:val="24"/>
        </w:rPr>
      </w:pPr>
    </w:p>
    <w:p w14:paraId="46F682CB" w14:textId="77777777" w:rsidR="001100E0" w:rsidRPr="00704D1E" w:rsidRDefault="001100E0" w:rsidP="00487AFC">
      <w:pPr>
        <w:adjustRightInd w:val="0"/>
        <w:snapToGrid w:val="0"/>
        <w:spacing w:line="360" w:lineRule="auto"/>
        <w:outlineLvl w:val="0"/>
        <w:rPr>
          <w:rFonts w:ascii="Book Antiqua" w:hAnsi="Book Antiqua"/>
          <w:b/>
          <w:i/>
          <w:color w:val="000000" w:themeColor="text1"/>
          <w:sz w:val="24"/>
          <w:szCs w:val="24"/>
        </w:rPr>
      </w:pPr>
      <w:r w:rsidRPr="00704D1E">
        <w:rPr>
          <w:rFonts w:ascii="Book Antiqua" w:hAnsi="Book Antiqua"/>
          <w:b/>
          <w:i/>
          <w:color w:val="000000" w:themeColor="text1"/>
          <w:sz w:val="24"/>
          <w:szCs w:val="24"/>
        </w:rPr>
        <w:t>Research motivation</w:t>
      </w:r>
    </w:p>
    <w:p w14:paraId="614F312B" w14:textId="78C760EC" w:rsidR="00020009" w:rsidRPr="00704D1E" w:rsidRDefault="00020009" w:rsidP="00704D1E">
      <w:pPr>
        <w:adjustRightInd w:val="0"/>
        <w:snapToGrid w:val="0"/>
        <w:spacing w:line="360" w:lineRule="auto"/>
        <w:rPr>
          <w:rFonts w:ascii="Book Antiqua" w:hAnsi="Book Antiqua"/>
          <w:color w:val="000000" w:themeColor="text1"/>
          <w:sz w:val="24"/>
          <w:szCs w:val="24"/>
        </w:rPr>
      </w:pPr>
      <w:r w:rsidRPr="00704D1E">
        <w:rPr>
          <w:rFonts w:ascii="Book Antiqua" w:hAnsi="Book Antiqua"/>
          <w:color w:val="000000" w:themeColor="text1"/>
          <w:sz w:val="24"/>
          <w:szCs w:val="24"/>
        </w:rPr>
        <w:t>The research motivation of the present study was to identify possible risk factors related to NAFLD in patients with hypopituitarism by summarizing the character</w:t>
      </w:r>
      <w:r w:rsidR="007F3E53">
        <w:rPr>
          <w:rFonts w:ascii="Book Antiqua" w:hAnsi="Book Antiqua"/>
          <w:color w:val="000000" w:themeColor="text1"/>
          <w:sz w:val="24"/>
          <w:szCs w:val="24"/>
        </w:rPr>
        <w:t>istics of NAFLD in this patient</w:t>
      </w:r>
      <w:r w:rsidRPr="00704D1E">
        <w:rPr>
          <w:rFonts w:ascii="Book Antiqua" w:hAnsi="Book Antiqua"/>
          <w:color w:val="000000" w:themeColor="text1"/>
          <w:sz w:val="24"/>
          <w:szCs w:val="24"/>
        </w:rPr>
        <w:t xml:space="preserve"> population, in order to prevent and delay the occurrence and progression of NAFLD in patients with hypopituitarism in future.</w:t>
      </w:r>
    </w:p>
    <w:p w14:paraId="7A047B9C" w14:textId="3EEEBCB0" w:rsidR="001100E0" w:rsidRPr="00704D1E" w:rsidRDefault="001100E0" w:rsidP="00704D1E">
      <w:pPr>
        <w:adjustRightInd w:val="0"/>
        <w:snapToGrid w:val="0"/>
        <w:spacing w:line="360" w:lineRule="auto"/>
        <w:rPr>
          <w:rFonts w:ascii="Book Antiqua" w:eastAsiaTheme="minorEastAsia" w:hAnsi="Book Antiqua"/>
          <w:color w:val="000000" w:themeColor="text1"/>
          <w:sz w:val="24"/>
          <w:szCs w:val="24"/>
        </w:rPr>
      </w:pPr>
    </w:p>
    <w:p w14:paraId="3FE48B84" w14:textId="77777777" w:rsidR="001100E0" w:rsidRPr="00704D1E" w:rsidRDefault="001100E0" w:rsidP="00487AFC">
      <w:pPr>
        <w:adjustRightInd w:val="0"/>
        <w:snapToGrid w:val="0"/>
        <w:spacing w:line="360" w:lineRule="auto"/>
        <w:outlineLvl w:val="0"/>
        <w:rPr>
          <w:rFonts w:ascii="Book Antiqua" w:hAnsi="Book Antiqua"/>
          <w:b/>
          <w:i/>
          <w:color w:val="000000" w:themeColor="text1"/>
          <w:sz w:val="24"/>
          <w:szCs w:val="24"/>
        </w:rPr>
      </w:pPr>
      <w:r w:rsidRPr="00704D1E">
        <w:rPr>
          <w:rFonts w:ascii="Book Antiqua" w:hAnsi="Book Antiqua"/>
          <w:b/>
          <w:i/>
          <w:color w:val="000000" w:themeColor="text1"/>
          <w:sz w:val="24"/>
          <w:szCs w:val="24"/>
        </w:rPr>
        <w:t>Research objectives</w:t>
      </w:r>
    </w:p>
    <w:p w14:paraId="0ED625CE" w14:textId="4BA54176" w:rsidR="00F0296A" w:rsidRPr="00704D1E" w:rsidRDefault="007F3E53" w:rsidP="00704D1E">
      <w:pPr>
        <w:adjustRightInd w:val="0"/>
        <w:snapToGrid w:val="0"/>
        <w:spacing w:line="360" w:lineRule="auto"/>
        <w:rPr>
          <w:rFonts w:ascii="Book Antiqua" w:hAnsi="Book Antiqua"/>
          <w:b/>
          <w:color w:val="000000" w:themeColor="text1"/>
          <w:sz w:val="24"/>
          <w:szCs w:val="24"/>
        </w:rPr>
      </w:pPr>
      <w:r>
        <w:rPr>
          <w:rFonts w:ascii="Book Antiqua" w:hAnsi="Book Antiqua" w:cs="Times New Roman"/>
          <w:color w:val="000000" w:themeColor="text1"/>
          <w:sz w:val="24"/>
          <w:szCs w:val="24"/>
        </w:rPr>
        <w:lastRenderedPageBreak/>
        <w:t>The main objectives</w:t>
      </w:r>
      <w:r w:rsidR="00F0296A" w:rsidRPr="00704D1E">
        <w:rPr>
          <w:rFonts w:ascii="Book Antiqua" w:hAnsi="Book Antiqua" w:cs="Times New Roman"/>
          <w:color w:val="000000" w:themeColor="text1"/>
          <w:sz w:val="24"/>
          <w:szCs w:val="24"/>
        </w:rPr>
        <w:t xml:space="preserve"> of the present study were to analyze clinical characteristics</w:t>
      </w:r>
      <w:r w:rsidR="00B83DCC" w:rsidRPr="00704D1E">
        <w:rPr>
          <w:rFonts w:ascii="Book Antiqua" w:hAnsi="Book Antiqua" w:cs="Times New Roman"/>
          <w:color w:val="000000" w:themeColor="text1"/>
          <w:sz w:val="24"/>
          <w:szCs w:val="24"/>
        </w:rPr>
        <w:t xml:space="preserve"> of </w:t>
      </w:r>
      <w:r w:rsidR="00F0296A" w:rsidRPr="00704D1E">
        <w:rPr>
          <w:rFonts w:ascii="Book Antiqua" w:hAnsi="Book Antiqua" w:cs="Times New Roman"/>
          <w:color w:val="000000" w:themeColor="text1"/>
          <w:sz w:val="24"/>
          <w:szCs w:val="24"/>
        </w:rPr>
        <w:t>NAFLD</w:t>
      </w:r>
      <w:r w:rsidR="00B83DCC" w:rsidRPr="00704D1E">
        <w:rPr>
          <w:rFonts w:ascii="Book Antiqua" w:hAnsi="Book Antiqua" w:cs="Times New Roman"/>
          <w:color w:val="000000" w:themeColor="text1"/>
          <w:sz w:val="24"/>
          <w:szCs w:val="24"/>
        </w:rPr>
        <w:t xml:space="preserve"> </w:t>
      </w:r>
      <w:r w:rsidR="00F0296A" w:rsidRPr="00704D1E">
        <w:rPr>
          <w:rFonts w:ascii="Book Antiqua" w:hAnsi="Book Antiqua" w:cs="Times New Roman"/>
          <w:color w:val="000000" w:themeColor="text1"/>
          <w:sz w:val="24"/>
          <w:szCs w:val="24"/>
        </w:rPr>
        <w:t xml:space="preserve">in Chinese adult hypopituitary/panhypopituitary patients, and to explore the risk factors that </w:t>
      </w:r>
      <w:r w:rsidR="00F0296A" w:rsidRPr="00704D1E">
        <w:rPr>
          <w:rFonts w:ascii="Book Antiqua" w:hAnsi="Book Antiqua" w:cs="Segoe UI"/>
          <w:color w:val="000000" w:themeColor="text1"/>
          <w:sz w:val="24"/>
          <w:szCs w:val="24"/>
          <w:shd w:val="clear" w:color="auto" w:fill="FFFFFF"/>
        </w:rPr>
        <w:t>lead to rapid progression to cirrhosis</w:t>
      </w:r>
      <w:r w:rsidR="00F0296A" w:rsidRPr="00704D1E">
        <w:rPr>
          <w:rFonts w:ascii="Book Antiqua" w:hAnsi="Book Antiqua" w:cs="Times New Roman"/>
          <w:color w:val="000000" w:themeColor="text1"/>
          <w:sz w:val="24"/>
          <w:szCs w:val="24"/>
        </w:rPr>
        <w:t>.</w:t>
      </w:r>
      <w:r w:rsidR="00B83DCC" w:rsidRPr="00704D1E">
        <w:rPr>
          <w:rFonts w:ascii="Book Antiqua" w:hAnsi="Book Antiqua" w:cs="Times New Roman"/>
          <w:color w:val="000000" w:themeColor="text1"/>
          <w:sz w:val="24"/>
          <w:szCs w:val="24"/>
        </w:rPr>
        <w:t xml:space="preserve"> Additional studies are required to research the mechanism of rapid progression of NAFLD to cirrhosis in hypopituitary patients.</w:t>
      </w:r>
    </w:p>
    <w:p w14:paraId="6A0FA57E" w14:textId="77777777" w:rsidR="001100E0" w:rsidRPr="00704D1E" w:rsidRDefault="001100E0" w:rsidP="00704D1E">
      <w:pPr>
        <w:adjustRightInd w:val="0"/>
        <w:snapToGrid w:val="0"/>
        <w:spacing w:line="360" w:lineRule="auto"/>
        <w:rPr>
          <w:rFonts w:ascii="Book Antiqua" w:eastAsiaTheme="minorEastAsia" w:hAnsi="Book Antiqua"/>
          <w:b/>
          <w:color w:val="000000" w:themeColor="text1"/>
          <w:sz w:val="24"/>
          <w:szCs w:val="24"/>
        </w:rPr>
      </w:pPr>
    </w:p>
    <w:p w14:paraId="754CB108" w14:textId="77777777" w:rsidR="001100E0" w:rsidRPr="00704D1E" w:rsidRDefault="001100E0" w:rsidP="00487AFC">
      <w:pPr>
        <w:adjustRightInd w:val="0"/>
        <w:snapToGrid w:val="0"/>
        <w:spacing w:line="360" w:lineRule="auto"/>
        <w:outlineLvl w:val="0"/>
        <w:rPr>
          <w:rFonts w:ascii="Book Antiqua" w:hAnsi="Book Antiqua"/>
          <w:b/>
          <w:i/>
          <w:color w:val="000000" w:themeColor="text1"/>
          <w:sz w:val="24"/>
          <w:szCs w:val="24"/>
        </w:rPr>
      </w:pPr>
      <w:r w:rsidRPr="00704D1E">
        <w:rPr>
          <w:rFonts w:ascii="Book Antiqua" w:hAnsi="Book Antiqua"/>
          <w:b/>
          <w:i/>
          <w:color w:val="000000" w:themeColor="text1"/>
          <w:sz w:val="24"/>
          <w:szCs w:val="24"/>
        </w:rPr>
        <w:t>Research methods</w:t>
      </w:r>
    </w:p>
    <w:p w14:paraId="1A306D14" w14:textId="28749C0A" w:rsidR="001100E0" w:rsidRPr="00704D1E" w:rsidRDefault="002365D5"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 xml:space="preserve">The present study </w:t>
      </w:r>
      <w:r w:rsidR="00976AFF">
        <w:rPr>
          <w:rFonts w:ascii="Book Antiqua" w:hAnsi="Book Antiqua" w:cs="Times New Roman"/>
          <w:color w:val="000000" w:themeColor="text1"/>
          <w:sz w:val="24"/>
          <w:szCs w:val="24"/>
        </w:rPr>
        <w:t>i</w:t>
      </w:r>
      <w:r w:rsidR="00976AFF" w:rsidRPr="00704D1E">
        <w:rPr>
          <w:rFonts w:ascii="Book Antiqua" w:hAnsi="Book Antiqua" w:cs="Times New Roman"/>
          <w:color w:val="000000" w:themeColor="text1"/>
          <w:sz w:val="24"/>
          <w:szCs w:val="24"/>
        </w:rPr>
        <w:t xml:space="preserve">s </w:t>
      </w:r>
      <w:r w:rsidRPr="00704D1E">
        <w:rPr>
          <w:rFonts w:ascii="Book Antiqua" w:hAnsi="Book Antiqua" w:cs="Times New Roman"/>
          <w:color w:val="000000" w:themeColor="text1"/>
          <w:sz w:val="24"/>
          <w:szCs w:val="24"/>
        </w:rPr>
        <w:t xml:space="preserve">a retrospective cross-sectional observational study. A total of </w:t>
      </w:r>
      <w:r w:rsidR="00EC2CEF" w:rsidRPr="00704D1E">
        <w:rPr>
          <w:rFonts w:ascii="Book Antiqua" w:hAnsi="Book Antiqua" w:cs="Times New Roman"/>
          <w:color w:val="000000" w:themeColor="text1"/>
          <w:sz w:val="24"/>
          <w:szCs w:val="24"/>
        </w:rPr>
        <w:t xml:space="preserve">50 </w:t>
      </w:r>
      <w:r w:rsidRPr="00704D1E">
        <w:rPr>
          <w:rFonts w:ascii="Book Antiqua" w:hAnsi="Book Antiqua" w:cs="Times New Roman"/>
          <w:color w:val="000000" w:themeColor="text1"/>
          <w:sz w:val="24"/>
          <w:szCs w:val="24"/>
        </w:rPr>
        <w:t>adult Chinese patients with hypopituitarism and/or panhypopituitarism were enrolle</w:t>
      </w:r>
      <w:r w:rsidR="00CF394E" w:rsidRPr="00704D1E">
        <w:rPr>
          <w:rFonts w:ascii="Book Antiqua" w:hAnsi="Book Antiqua" w:cs="Times New Roman"/>
          <w:color w:val="000000" w:themeColor="text1"/>
          <w:sz w:val="24"/>
          <w:szCs w:val="24"/>
        </w:rPr>
        <w:t>d</w:t>
      </w:r>
      <w:r w:rsidRPr="00704D1E">
        <w:rPr>
          <w:rFonts w:ascii="Book Antiqua" w:hAnsi="Book Antiqua" w:cs="Times New Roman"/>
          <w:color w:val="000000" w:themeColor="text1"/>
          <w:sz w:val="24"/>
          <w:szCs w:val="24"/>
        </w:rPr>
        <w:t>. The data were extracted from the medical records</w:t>
      </w:r>
      <w:r w:rsidR="00CF394E" w:rsidRPr="00704D1E">
        <w:rPr>
          <w:rFonts w:ascii="Book Antiqua" w:hAnsi="Book Antiqua" w:cs="Times New Roman"/>
          <w:color w:val="000000" w:themeColor="text1"/>
          <w:sz w:val="24"/>
          <w:szCs w:val="24"/>
        </w:rPr>
        <w:t>, including patients’ characteristics, diagnosis and treatment</w:t>
      </w:r>
      <w:r w:rsidR="00EC2CEF" w:rsidRPr="00704D1E">
        <w:rPr>
          <w:rFonts w:ascii="Book Antiqua" w:hAnsi="Book Antiqua" w:cs="Times New Roman"/>
          <w:color w:val="000000" w:themeColor="text1"/>
          <w:sz w:val="24"/>
          <w:szCs w:val="24"/>
        </w:rPr>
        <w:t xml:space="preserve">, biochemical and hormonal tests, </w:t>
      </w:r>
      <w:r w:rsidR="008C5686">
        <w:rPr>
          <w:rFonts w:ascii="Book Antiqua" w:hAnsi="Book Antiqua" w:cs="Times New Roman"/>
          <w:color w:val="000000" w:themeColor="text1"/>
          <w:sz w:val="24"/>
          <w:szCs w:val="24"/>
        </w:rPr>
        <w:t xml:space="preserve">and </w:t>
      </w:r>
      <w:r w:rsidR="00EC2CEF" w:rsidRPr="00704D1E">
        <w:rPr>
          <w:rFonts w:ascii="Book Antiqua" w:hAnsi="Book Antiqua" w:cs="Times New Roman"/>
          <w:color w:val="000000" w:themeColor="text1"/>
          <w:sz w:val="24"/>
          <w:szCs w:val="24"/>
        </w:rPr>
        <w:t xml:space="preserve">abdominal </w:t>
      </w:r>
      <w:r w:rsidR="00F0296A" w:rsidRPr="00704D1E">
        <w:rPr>
          <w:rFonts w:ascii="Book Antiqua" w:hAnsi="Book Antiqua" w:cs="Times New Roman"/>
          <w:color w:val="000000" w:themeColor="text1"/>
          <w:sz w:val="24"/>
          <w:szCs w:val="24"/>
        </w:rPr>
        <w:t>ultrasound</w:t>
      </w:r>
      <w:r w:rsidRPr="00704D1E">
        <w:rPr>
          <w:rFonts w:ascii="Book Antiqua" w:hAnsi="Book Antiqua" w:cs="Times New Roman"/>
          <w:color w:val="000000" w:themeColor="text1"/>
          <w:sz w:val="24"/>
          <w:szCs w:val="24"/>
        </w:rPr>
        <w:t>.</w:t>
      </w:r>
      <w:r w:rsidR="00CF394E" w:rsidRPr="00704D1E">
        <w:rPr>
          <w:rFonts w:ascii="Book Antiqua" w:hAnsi="Book Antiqua" w:cs="Times New Roman"/>
          <w:color w:val="000000" w:themeColor="text1"/>
          <w:sz w:val="24"/>
          <w:szCs w:val="24"/>
        </w:rPr>
        <w:t xml:space="preserve"> </w:t>
      </w:r>
      <w:r w:rsidR="00EC2CEF" w:rsidRPr="00704D1E">
        <w:rPr>
          <w:rFonts w:ascii="Book Antiqua" w:hAnsi="Book Antiqua" w:cs="Times New Roman"/>
          <w:color w:val="000000" w:themeColor="text1"/>
          <w:sz w:val="24"/>
          <w:szCs w:val="24"/>
        </w:rPr>
        <w:t>And then s</w:t>
      </w:r>
      <w:r w:rsidR="00CF394E" w:rsidRPr="00704D1E">
        <w:rPr>
          <w:rFonts w:ascii="Book Antiqua" w:hAnsi="Book Antiqua" w:cs="Times New Roman"/>
          <w:color w:val="000000" w:themeColor="text1"/>
          <w:sz w:val="24"/>
          <w:szCs w:val="24"/>
        </w:rPr>
        <w:t>tatistical analysis was performed.</w:t>
      </w:r>
    </w:p>
    <w:p w14:paraId="4ED564C4" w14:textId="77777777" w:rsidR="001100E0" w:rsidRPr="00704D1E" w:rsidRDefault="001100E0" w:rsidP="00704D1E">
      <w:pPr>
        <w:adjustRightInd w:val="0"/>
        <w:snapToGrid w:val="0"/>
        <w:spacing w:line="360" w:lineRule="auto"/>
        <w:rPr>
          <w:rFonts w:ascii="Book Antiqua" w:eastAsiaTheme="minorEastAsia" w:hAnsi="Book Antiqua"/>
          <w:b/>
          <w:color w:val="000000" w:themeColor="text1"/>
          <w:sz w:val="24"/>
          <w:szCs w:val="24"/>
        </w:rPr>
      </w:pPr>
    </w:p>
    <w:p w14:paraId="6B879E80" w14:textId="77777777" w:rsidR="001100E0" w:rsidRPr="00704D1E" w:rsidRDefault="001100E0" w:rsidP="00487AFC">
      <w:pPr>
        <w:adjustRightInd w:val="0"/>
        <w:snapToGrid w:val="0"/>
        <w:spacing w:line="360" w:lineRule="auto"/>
        <w:outlineLvl w:val="0"/>
        <w:rPr>
          <w:rFonts w:ascii="Book Antiqua" w:hAnsi="Book Antiqua"/>
          <w:b/>
          <w:i/>
          <w:color w:val="000000" w:themeColor="text1"/>
          <w:sz w:val="24"/>
          <w:szCs w:val="24"/>
        </w:rPr>
      </w:pPr>
      <w:r w:rsidRPr="00704D1E">
        <w:rPr>
          <w:rFonts w:ascii="Book Antiqua" w:hAnsi="Book Antiqua"/>
          <w:b/>
          <w:i/>
          <w:color w:val="000000" w:themeColor="text1"/>
          <w:sz w:val="24"/>
          <w:szCs w:val="24"/>
        </w:rPr>
        <w:t>Research results</w:t>
      </w:r>
    </w:p>
    <w:p w14:paraId="26AECA1D" w14:textId="51750EA6" w:rsidR="001100E0" w:rsidRPr="00704D1E" w:rsidRDefault="007F3E53" w:rsidP="00704D1E">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Fifty-four percent</w:t>
      </w:r>
      <w:r w:rsidR="00CF394E" w:rsidRPr="00704D1E">
        <w:rPr>
          <w:rFonts w:ascii="Book Antiqua" w:hAnsi="Book Antiqua" w:cs="Times New Roman"/>
          <w:color w:val="000000" w:themeColor="text1"/>
          <w:sz w:val="24"/>
          <w:szCs w:val="24"/>
        </w:rPr>
        <w:t xml:space="preserve"> of hypopituitary patients in this study were diagnosed with NAFLD, and </w:t>
      </w:r>
      <w:r w:rsidR="008C5686">
        <w:rPr>
          <w:rFonts w:ascii="Book Antiqua" w:hAnsi="Book Antiqua" w:cs="Times New Roman"/>
          <w:color w:val="000000" w:themeColor="text1"/>
          <w:sz w:val="24"/>
          <w:szCs w:val="24"/>
        </w:rPr>
        <w:t>seven</w:t>
      </w:r>
      <w:r w:rsidR="008C5686" w:rsidRPr="00704D1E">
        <w:rPr>
          <w:rFonts w:ascii="Book Antiqua" w:hAnsi="Book Antiqua" w:cs="Times New Roman"/>
          <w:color w:val="000000" w:themeColor="text1"/>
          <w:sz w:val="24"/>
          <w:szCs w:val="24"/>
        </w:rPr>
        <w:t xml:space="preserve"> </w:t>
      </w:r>
      <w:r w:rsidR="00CF394E" w:rsidRPr="00704D1E">
        <w:rPr>
          <w:rFonts w:ascii="Book Antiqua" w:hAnsi="Book Antiqua" w:cs="Times New Roman"/>
          <w:color w:val="000000" w:themeColor="text1"/>
          <w:sz w:val="24"/>
          <w:szCs w:val="24"/>
        </w:rPr>
        <w:t xml:space="preserve">patients were cirrhotic, which was significantly higher than that of the general population. </w:t>
      </w:r>
      <w:r w:rsidR="008C5686">
        <w:rPr>
          <w:rFonts w:ascii="Book Antiqua" w:hAnsi="Book Antiqua" w:cs="Times New Roman"/>
          <w:color w:val="000000" w:themeColor="text1"/>
          <w:sz w:val="24"/>
          <w:szCs w:val="24"/>
        </w:rPr>
        <w:t>B</w:t>
      </w:r>
      <w:r>
        <w:rPr>
          <w:rFonts w:ascii="Book Antiqua" w:hAnsi="Book Antiqua" w:cs="Times New Roman"/>
          <w:color w:val="000000" w:themeColor="text1"/>
          <w:sz w:val="24"/>
          <w:szCs w:val="24"/>
        </w:rPr>
        <w:t>ody mass index (BMI)</w:t>
      </w:r>
      <w:r w:rsidR="00CF394E" w:rsidRPr="00704D1E">
        <w:rPr>
          <w:rFonts w:ascii="Book Antiqua" w:hAnsi="Book Antiqua" w:cs="Times New Roman"/>
          <w:color w:val="000000" w:themeColor="text1"/>
          <w:sz w:val="24"/>
          <w:szCs w:val="24"/>
        </w:rPr>
        <w:t xml:space="preserve"> and </w:t>
      </w:r>
      <w:r>
        <w:rPr>
          <w:rFonts w:ascii="Book Antiqua" w:hAnsi="Book Antiqua" w:cs="Times New Roman"/>
          <w:color w:val="000000" w:themeColor="text1"/>
          <w:sz w:val="24"/>
          <w:szCs w:val="24"/>
        </w:rPr>
        <w:t>h</w:t>
      </w:r>
      <w:r w:rsidRPr="00704D1E">
        <w:rPr>
          <w:rFonts w:ascii="Book Antiqua" w:hAnsi="Book Antiqua" w:cs="Times New Roman"/>
          <w:color w:val="000000" w:themeColor="text1"/>
          <w:sz w:val="24"/>
          <w:szCs w:val="24"/>
        </w:rPr>
        <w:t>omeostasis model assessment of insulin resistance</w:t>
      </w:r>
      <w:r>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HOMA-IR</w:t>
      </w:r>
      <w:r>
        <w:rPr>
          <w:rFonts w:ascii="Book Antiqua" w:hAnsi="Book Antiqua" w:cs="Times New Roman"/>
          <w:color w:val="000000" w:themeColor="text1"/>
          <w:sz w:val="24"/>
          <w:szCs w:val="24"/>
        </w:rPr>
        <w:t>)</w:t>
      </w:r>
      <w:r w:rsidR="00CF394E" w:rsidRPr="00704D1E">
        <w:rPr>
          <w:rFonts w:ascii="Book Antiqua" w:hAnsi="Book Antiqua" w:cs="Times New Roman"/>
          <w:color w:val="000000" w:themeColor="text1"/>
          <w:sz w:val="24"/>
          <w:szCs w:val="24"/>
        </w:rPr>
        <w:t xml:space="preserve"> of the cirrhotic patients were significantly higher than those of the patients without NAFLD</w:t>
      </w:r>
      <w:r w:rsidR="00EC2CEF" w:rsidRPr="00704D1E">
        <w:rPr>
          <w:rFonts w:ascii="Book Antiqua" w:hAnsi="Book Antiqua" w:cs="Times New Roman"/>
          <w:color w:val="000000" w:themeColor="text1"/>
          <w:sz w:val="24"/>
          <w:szCs w:val="24"/>
        </w:rPr>
        <w:t>.</w:t>
      </w:r>
      <w:r w:rsidR="00CF394E" w:rsidRPr="00704D1E">
        <w:rPr>
          <w:rFonts w:ascii="Book Antiqua" w:hAnsi="Book Antiqua" w:cs="Times New Roman"/>
          <w:color w:val="000000" w:themeColor="text1"/>
          <w:sz w:val="24"/>
          <w:szCs w:val="24"/>
        </w:rPr>
        <w:t xml:space="preserve"> </w:t>
      </w:r>
      <w:r w:rsidR="00EC2CEF" w:rsidRPr="00704D1E">
        <w:rPr>
          <w:rFonts w:ascii="Book Antiqua" w:hAnsi="Book Antiqua" w:cs="Times New Roman"/>
          <w:color w:val="000000" w:themeColor="text1"/>
          <w:sz w:val="24"/>
          <w:szCs w:val="24"/>
        </w:rPr>
        <w:t>Moreover,</w:t>
      </w:r>
      <w:r w:rsidR="00CF394E" w:rsidRPr="00704D1E">
        <w:rPr>
          <w:rFonts w:ascii="Book Antiqua" w:hAnsi="Book Antiqua" w:cs="Times New Roman"/>
          <w:color w:val="000000" w:themeColor="text1"/>
          <w:sz w:val="24"/>
          <w:szCs w:val="24"/>
        </w:rPr>
        <w:t xml:space="preserve"> plasma osmolality and serum sodium concentration of the cirrhotic patients were significantly higher than those of the NAFLD patients</w:t>
      </w:r>
      <w:r w:rsidR="00EC2CEF" w:rsidRPr="00704D1E">
        <w:rPr>
          <w:rFonts w:ascii="Book Antiqua" w:hAnsi="Book Antiqua" w:cs="Times New Roman"/>
          <w:color w:val="000000" w:themeColor="text1"/>
          <w:sz w:val="24"/>
          <w:szCs w:val="24"/>
        </w:rPr>
        <w:t>, and fasting insulin concentration was positively associated with plasma osmolality in patients with NAFLD, following adjustment for gender, age, and BMI.</w:t>
      </w:r>
    </w:p>
    <w:p w14:paraId="278A4DEC" w14:textId="77777777" w:rsidR="00EC2CEF" w:rsidRPr="00704D1E" w:rsidRDefault="00EC2CEF" w:rsidP="00704D1E">
      <w:pPr>
        <w:adjustRightInd w:val="0"/>
        <w:snapToGrid w:val="0"/>
        <w:spacing w:line="360" w:lineRule="auto"/>
        <w:rPr>
          <w:rFonts w:ascii="Book Antiqua" w:eastAsiaTheme="minorEastAsia" w:hAnsi="Book Antiqua" w:cs="Segoe UI"/>
          <w:color w:val="000000" w:themeColor="text1"/>
          <w:sz w:val="24"/>
          <w:szCs w:val="24"/>
          <w:shd w:val="clear" w:color="auto" w:fill="FFFFFF"/>
        </w:rPr>
      </w:pPr>
    </w:p>
    <w:p w14:paraId="1A8C73EF" w14:textId="77777777" w:rsidR="001100E0" w:rsidRPr="00704D1E" w:rsidRDefault="001100E0" w:rsidP="00487AFC">
      <w:pPr>
        <w:adjustRightInd w:val="0"/>
        <w:snapToGrid w:val="0"/>
        <w:spacing w:line="360" w:lineRule="auto"/>
        <w:outlineLvl w:val="0"/>
        <w:rPr>
          <w:rFonts w:ascii="Book Antiqua" w:hAnsi="Book Antiqua" w:cs="Segoe UI"/>
          <w:b/>
          <w:i/>
          <w:color w:val="000000" w:themeColor="text1"/>
          <w:sz w:val="24"/>
          <w:szCs w:val="24"/>
          <w:shd w:val="clear" w:color="auto" w:fill="FFFFFF"/>
        </w:rPr>
      </w:pPr>
      <w:r w:rsidRPr="00704D1E">
        <w:rPr>
          <w:rFonts w:ascii="Book Antiqua" w:hAnsi="Book Antiqua"/>
          <w:b/>
          <w:i/>
          <w:color w:val="000000" w:themeColor="text1"/>
          <w:sz w:val="24"/>
          <w:szCs w:val="24"/>
        </w:rPr>
        <w:t>Research conclusions</w:t>
      </w:r>
    </w:p>
    <w:p w14:paraId="53869AD9" w14:textId="64FCBD76" w:rsidR="001100E0" w:rsidRPr="00704D1E" w:rsidRDefault="00CF394E"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 xml:space="preserve">The present study demonstrated a high prevalence of NAFLD and cirrhosis in patients with hypopituitarism. </w:t>
      </w:r>
      <w:r w:rsidR="009E7C11" w:rsidRPr="00704D1E">
        <w:rPr>
          <w:rFonts w:ascii="Book Antiqua" w:hAnsi="Book Antiqua" w:cs="Times New Roman"/>
          <w:color w:val="000000" w:themeColor="text1"/>
          <w:sz w:val="24"/>
          <w:szCs w:val="24"/>
        </w:rPr>
        <w:t>H</w:t>
      </w:r>
      <w:r w:rsidRPr="00704D1E">
        <w:rPr>
          <w:rFonts w:ascii="Book Antiqua" w:hAnsi="Book Antiqua" w:cs="Times New Roman"/>
          <w:color w:val="000000" w:themeColor="text1"/>
          <w:sz w:val="24"/>
          <w:szCs w:val="24"/>
        </w:rPr>
        <w:t>ypopituitary patients with cirrhosis exhibited significantly higher BMI and HOMA-IR compared with those without NAFLD. In addition</w:t>
      </w:r>
      <w:r w:rsidR="007F3E53">
        <w:rPr>
          <w:rFonts w:ascii="Book Antiqua" w:hAnsi="Book Antiqua" w:cs="Times New Roman"/>
          <w:color w:val="000000" w:themeColor="text1"/>
          <w:sz w:val="24"/>
          <w:szCs w:val="24"/>
        </w:rPr>
        <w:t>,</w:t>
      </w:r>
      <w:r w:rsidRPr="00704D1E">
        <w:rPr>
          <w:rFonts w:ascii="Book Antiqua" w:hAnsi="Book Antiqua" w:cs="Times New Roman"/>
          <w:color w:val="000000" w:themeColor="text1"/>
          <w:sz w:val="24"/>
          <w:szCs w:val="24"/>
        </w:rPr>
        <w:t xml:space="preserve"> fasting insulin concentration was positively associated with plasma osmolality in patients with NAFLD, following adjustment for gender, age, and BMI. </w:t>
      </w:r>
      <w:r w:rsidR="009E7C11" w:rsidRPr="00704D1E">
        <w:rPr>
          <w:rFonts w:ascii="Book Antiqua" w:hAnsi="Book Antiqua" w:cs="Times New Roman"/>
          <w:color w:val="000000" w:themeColor="text1"/>
          <w:sz w:val="24"/>
          <w:szCs w:val="24"/>
        </w:rPr>
        <w:t>Moreover, w</w:t>
      </w:r>
      <w:r w:rsidRPr="00704D1E">
        <w:rPr>
          <w:rFonts w:ascii="Book Antiqua" w:hAnsi="Book Antiqua" w:cs="Times New Roman"/>
          <w:color w:val="000000" w:themeColor="text1"/>
          <w:sz w:val="24"/>
          <w:szCs w:val="24"/>
        </w:rPr>
        <w:t xml:space="preserve">e </w:t>
      </w:r>
      <w:r w:rsidR="008C5686" w:rsidRPr="00704D1E">
        <w:rPr>
          <w:rFonts w:ascii="Book Antiqua" w:hAnsi="Book Antiqua" w:cs="Times New Roman"/>
          <w:color w:val="000000" w:themeColor="text1"/>
          <w:sz w:val="24"/>
          <w:szCs w:val="24"/>
        </w:rPr>
        <w:t>report</w:t>
      </w:r>
      <w:r w:rsidR="008C568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for the first time that</w:t>
      </w:r>
      <w:r w:rsidR="008C568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 xml:space="preserve">plasma osmolality and </w:t>
      </w:r>
      <w:r w:rsidRPr="00704D1E">
        <w:rPr>
          <w:rFonts w:ascii="Book Antiqua" w:hAnsi="Book Antiqua" w:cs="Times New Roman"/>
          <w:color w:val="000000" w:themeColor="text1"/>
          <w:sz w:val="24"/>
          <w:szCs w:val="24"/>
        </w:rPr>
        <w:lastRenderedPageBreak/>
        <w:t xml:space="preserve">serum sodium levels of hypopituitary patients with cirrhosis were significantly higher than those of hypopituitary patients with NAFLD. </w:t>
      </w:r>
      <w:bookmarkStart w:id="91" w:name="_Hlk2719106"/>
      <w:r w:rsidRPr="00704D1E">
        <w:rPr>
          <w:rFonts w:ascii="Book Antiqua" w:hAnsi="Book Antiqua" w:cs="Times New Roman"/>
          <w:color w:val="000000" w:themeColor="text1"/>
          <w:sz w:val="24"/>
          <w:szCs w:val="24"/>
        </w:rPr>
        <w:t xml:space="preserve">Additional studies are required to confirm that hyperosmolality may be a significant contributor to the </w:t>
      </w:r>
      <w:r w:rsidR="009E7C11" w:rsidRPr="00704D1E">
        <w:rPr>
          <w:rFonts w:ascii="Book Antiqua" w:hAnsi="Book Antiqua" w:cs="Times New Roman"/>
          <w:color w:val="000000" w:themeColor="text1"/>
          <w:sz w:val="24"/>
          <w:szCs w:val="24"/>
        </w:rPr>
        <w:t>rapid progression</w:t>
      </w:r>
      <w:r w:rsidRPr="00704D1E">
        <w:rPr>
          <w:rFonts w:ascii="Book Antiqua" w:hAnsi="Book Antiqua" w:cs="Times New Roman"/>
          <w:color w:val="000000" w:themeColor="text1"/>
          <w:sz w:val="24"/>
          <w:szCs w:val="24"/>
        </w:rPr>
        <w:t xml:space="preserve"> of NAFLD in hypopituitary patients.</w:t>
      </w:r>
      <w:bookmarkEnd w:id="91"/>
    </w:p>
    <w:p w14:paraId="18A7D8C6" w14:textId="77777777" w:rsidR="009E7C11" w:rsidRPr="00704D1E" w:rsidRDefault="009E7C11" w:rsidP="00704D1E">
      <w:pPr>
        <w:adjustRightInd w:val="0"/>
        <w:snapToGrid w:val="0"/>
        <w:spacing w:line="360" w:lineRule="auto"/>
        <w:rPr>
          <w:rFonts w:ascii="Book Antiqua" w:eastAsiaTheme="minorEastAsia" w:hAnsi="Book Antiqua" w:cs="Segoe UI"/>
          <w:color w:val="000000" w:themeColor="text1"/>
          <w:sz w:val="24"/>
          <w:szCs w:val="24"/>
          <w:shd w:val="clear" w:color="auto" w:fill="FFFFFF"/>
        </w:rPr>
      </w:pPr>
    </w:p>
    <w:p w14:paraId="6DEF58B0" w14:textId="77777777" w:rsidR="001100E0" w:rsidRPr="00704D1E" w:rsidRDefault="001100E0" w:rsidP="00487AFC">
      <w:pPr>
        <w:adjustRightInd w:val="0"/>
        <w:snapToGrid w:val="0"/>
        <w:spacing w:line="360" w:lineRule="auto"/>
        <w:outlineLvl w:val="0"/>
        <w:rPr>
          <w:rFonts w:ascii="Book Antiqua" w:hAnsi="Book Antiqua" w:cs="Segoe UI"/>
          <w:b/>
          <w:i/>
          <w:color w:val="000000" w:themeColor="text1"/>
          <w:sz w:val="24"/>
          <w:szCs w:val="24"/>
          <w:shd w:val="clear" w:color="auto" w:fill="FFFFFF"/>
        </w:rPr>
      </w:pPr>
      <w:r w:rsidRPr="00704D1E">
        <w:rPr>
          <w:rFonts w:ascii="Book Antiqua" w:hAnsi="Book Antiqua" w:cs="Segoe UI"/>
          <w:b/>
          <w:i/>
          <w:color w:val="000000" w:themeColor="text1"/>
          <w:sz w:val="24"/>
          <w:szCs w:val="24"/>
          <w:shd w:val="clear" w:color="auto" w:fill="FFFFFF"/>
        </w:rPr>
        <w:t>Research perspectives</w:t>
      </w:r>
    </w:p>
    <w:p w14:paraId="66FD7087" w14:textId="681A1CDB" w:rsidR="00D86DC8" w:rsidRDefault="009E7C11" w:rsidP="00704D1E">
      <w:pPr>
        <w:adjustRightInd w:val="0"/>
        <w:snapToGrid w:val="0"/>
        <w:spacing w:line="360" w:lineRule="auto"/>
        <w:rPr>
          <w:rFonts w:ascii="Book Antiqua" w:hAnsi="Book Antiqua" w:cs="Segoe UI"/>
          <w:color w:val="000000" w:themeColor="text1"/>
          <w:sz w:val="24"/>
          <w:szCs w:val="24"/>
          <w:shd w:val="clear" w:color="auto" w:fill="FFFFFF"/>
        </w:rPr>
      </w:pPr>
      <w:r w:rsidRPr="00704D1E">
        <w:rPr>
          <w:rFonts w:ascii="Book Antiqua" w:hAnsi="Book Antiqua" w:cs="Times New Roman"/>
          <w:color w:val="000000" w:themeColor="text1"/>
          <w:sz w:val="24"/>
          <w:szCs w:val="24"/>
        </w:rPr>
        <w:t xml:space="preserve">There </w:t>
      </w:r>
      <w:r w:rsidR="008C5686">
        <w:rPr>
          <w:rFonts w:ascii="Book Antiqua" w:hAnsi="Book Antiqua" w:cs="Times New Roman"/>
          <w:color w:val="000000" w:themeColor="text1"/>
          <w:sz w:val="24"/>
          <w:szCs w:val="24"/>
        </w:rPr>
        <w:t>i</w:t>
      </w:r>
      <w:r w:rsidR="008C5686" w:rsidRPr="00704D1E">
        <w:rPr>
          <w:rFonts w:ascii="Book Antiqua" w:hAnsi="Book Antiqua" w:cs="Times New Roman"/>
          <w:color w:val="000000" w:themeColor="text1"/>
          <w:sz w:val="24"/>
          <w:szCs w:val="24"/>
        </w:rPr>
        <w:t xml:space="preserve">s </w:t>
      </w:r>
      <w:r w:rsidRPr="00704D1E">
        <w:rPr>
          <w:rFonts w:ascii="Book Antiqua" w:hAnsi="Book Antiqua" w:cs="Times New Roman"/>
          <w:color w:val="000000" w:themeColor="text1"/>
          <w:sz w:val="24"/>
          <w:szCs w:val="24"/>
        </w:rPr>
        <w:t xml:space="preserve">a high prevalence of NAFLD and cirrhosis in patients with hypopituitarism, but the </w:t>
      </w:r>
      <w:r w:rsidRPr="00704D1E">
        <w:rPr>
          <w:rFonts w:ascii="Book Antiqua" w:hAnsi="Book Antiqua" w:cs="Segoe UI"/>
          <w:color w:val="000000" w:themeColor="text1"/>
          <w:sz w:val="24"/>
          <w:szCs w:val="24"/>
          <w:shd w:val="clear" w:color="auto" w:fill="FFFFFF"/>
        </w:rPr>
        <w:t xml:space="preserve">factors that lead to rapid progression to cirrhosis </w:t>
      </w:r>
      <w:r w:rsidR="008C5686">
        <w:rPr>
          <w:rFonts w:ascii="Book Antiqua" w:hAnsi="Book Antiqua" w:cs="Segoe UI"/>
          <w:color w:val="000000" w:themeColor="text1"/>
          <w:sz w:val="24"/>
          <w:szCs w:val="24"/>
          <w:shd w:val="clear" w:color="auto" w:fill="FFFFFF"/>
        </w:rPr>
        <w:t>are</w:t>
      </w:r>
      <w:r w:rsidR="008C5686" w:rsidRPr="00704D1E">
        <w:rPr>
          <w:rFonts w:ascii="Book Antiqua" w:hAnsi="Book Antiqua" w:cs="Segoe UI"/>
          <w:color w:val="000000" w:themeColor="text1"/>
          <w:sz w:val="24"/>
          <w:szCs w:val="24"/>
          <w:shd w:val="clear" w:color="auto" w:fill="FFFFFF"/>
        </w:rPr>
        <w:t xml:space="preserve"> </w:t>
      </w:r>
      <w:r w:rsidR="00D86DC8" w:rsidRPr="00704D1E">
        <w:rPr>
          <w:rFonts w:ascii="Book Antiqua" w:hAnsi="Book Antiqua" w:cs="Segoe UI"/>
          <w:color w:val="000000" w:themeColor="text1"/>
          <w:sz w:val="24"/>
          <w:szCs w:val="24"/>
          <w:shd w:val="clear" w:color="auto" w:fill="FFFFFF"/>
        </w:rPr>
        <w:t>not clear</w:t>
      </w:r>
      <w:r w:rsidRPr="00704D1E">
        <w:rPr>
          <w:rFonts w:ascii="Book Antiqua" w:hAnsi="Book Antiqua" w:cs="Segoe UI"/>
          <w:color w:val="000000" w:themeColor="text1"/>
          <w:sz w:val="24"/>
          <w:szCs w:val="24"/>
          <w:shd w:val="clear" w:color="auto" w:fill="FFFFFF"/>
        </w:rPr>
        <w:t xml:space="preserve">. </w:t>
      </w:r>
      <w:r w:rsidR="00D86DC8" w:rsidRPr="00704D1E">
        <w:rPr>
          <w:rFonts w:ascii="Book Antiqua" w:hAnsi="Book Antiqua" w:cs="Segoe UI"/>
          <w:color w:val="000000" w:themeColor="text1"/>
          <w:sz w:val="24"/>
          <w:szCs w:val="24"/>
          <w:shd w:val="clear" w:color="auto" w:fill="FFFFFF"/>
        </w:rPr>
        <w:t xml:space="preserve">Further studies are needed to determine whether </w:t>
      </w:r>
      <w:r w:rsidR="00D86DC8" w:rsidRPr="00704D1E">
        <w:rPr>
          <w:rFonts w:ascii="Book Antiqua" w:hAnsi="Book Antiqua" w:cs="Times New Roman"/>
          <w:color w:val="000000" w:themeColor="text1"/>
          <w:sz w:val="24"/>
          <w:szCs w:val="24"/>
        </w:rPr>
        <w:t>hyperosmolality</w:t>
      </w:r>
      <w:r w:rsidR="00D86DC8" w:rsidRPr="00704D1E">
        <w:rPr>
          <w:rFonts w:ascii="Book Antiqua" w:hAnsi="Book Antiqua" w:cs="Segoe UI"/>
          <w:color w:val="000000" w:themeColor="text1"/>
          <w:sz w:val="24"/>
          <w:szCs w:val="24"/>
          <w:shd w:val="clear" w:color="auto" w:fill="FFFFFF"/>
        </w:rPr>
        <w:t xml:space="preserve"> contributes to the </w:t>
      </w:r>
      <w:r w:rsidR="00D86DC8" w:rsidRPr="00704D1E">
        <w:rPr>
          <w:rFonts w:ascii="Book Antiqua" w:hAnsi="Book Antiqua" w:cs="Times New Roman"/>
          <w:color w:val="000000" w:themeColor="text1"/>
          <w:sz w:val="24"/>
          <w:szCs w:val="24"/>
        </w:rPr>
        <w:t>deterioration</w:t>
      </w:r>
      <w:r w:rsidR="00D86DC8" w:rsidRPr="00704D1E">
        <w:rPr>
          <w:rFonts w:ascii="Book Antiqua" w:hAnsi="Book Antiqua" w:cs="Segoe UI"/>
          <w:color w:val="000000" w:themeColor="text1"/>
          <w:sz w:val="24"/>
          <w:szCs w:val="24"/>
          <w:shd w:val="clear" w:color="auto" w:fill="FFFFFF"/>
        </w:rPr>
        <w:t xml:space="preserve"> of NAFLD in hypopituitary patients.</w:t>
      </w:r>
    </w:p>
    <w:p w14:paraId="3A097206" w14:textId="77777777" w:rsidR="007F3E53" w:rsidRDefault="007F3E53" w:rsidP="00704D1E">
      <w:pPr>
        <w:adjustRightInd w:val="0"/>
        <w:snapToGrid w:val="0"/>
        <w:spacing w:line="360" w:lineRule="auto"/>
        <w:rPr>
          <w:rFonts w:ascii="Book Antiqua" w:hAnsi="Book Antiqua" w:cs="Segoe UI"/>
          <w:color w:val="000000" w:themeColor="text1"/>
          <w:sz w:val="24"/>
          <w:szCs w:val="24"/>
          <w:shd w:val="clear" w:color="auto" w:fill="FFFFFF"/>
        </w:rPr>
      </w:pPr>
    </w:p>
    <w:p w14:paraId="0A3BB010" w14:textId="5196AAC3" w:rsidR="007F3E53" w:rsidRPr="00704D1E" w:rsidRDefault="007F3E53" w:rsidP="007F3E53">
      <w:pPr>
        <w:adjustRightInd w:val="0"/>
        <w:snapToGrid w:val="0"/>
        <w:spacing w:line="360" w:lineRule="auto"/>
        <w:outlineLvl w:val="0"/>
        <w:rPr>
          <w:rFonts w:ascii="Book Antiqua" w:hAnsi="Book Antiqua" w:cs="Times New Roman"/>
          <w:b/>
          <w:color w:val="000000" w:themeColor="text1"/>
          <w:sz w:val="24"/>
          <w:szCs w:val="24"/>
        </w:rPr>
      </w:pPr>
      <w:r w:rsidRPr="00704D1E">
        <w:rPr>
          <w:rFonts w:ascii="Book Antiqua" w:hAnsi="Book Antiqua" w:cs="Times New Roman"/>
          <w:b/>
          <w:color w:val="000000" w:themeColor="text1"/>
          <w:sz w:val="24"/>
          <w:szCs w:val="24"/>
        </w:rPr>
        <w:t>ACKNOWLEDGEMENTS</w:t>
      </w:r>
    </w:p>
    <w:p w14:paraId="2EDE01B9" w14:textId="606964B2" w:rsidR="007F3E53" w:rsidRPr="00704D1E" w:rsidRDefault="007F3E53" w:rsidP="007F3E53">
      <w:pPr>
        <w:adjustRightInd w:val="0"/>
        <w:snapToGrid w:val="0"/>
        <w:spacing w:line="360" w:lineRule="auto"/>
        <w:rPr>
          <w:rFonts w:ascii="Book Antiqua" w:hAnsi="Book Antiqua" w:cs="Times New Roman"/>
          <w:color w:val="000000" w:themeColor="text1"/>
          <w:kern w:val="0"/>
          <w:sz w:val="24"/>
          <w:szCs w:val="24"/>
        </w:rPr>
      </w:pPr>
      <w:r w:rsidRPr="00704D1E">
        <w:rPr>
          <w:rFonts w:ascii="Book Antiqua" w:hAnsi="Book Antiqua" w:cs="Times New Roman"/>
          <w:color w:val="000000" w:themeColor="text1"/>
          <w:kern w:val="0"/>
          <w:sz w:val="24"/>
          <w:szCs w:val="24"/>
        </w:rPr>
        <w:t>We are grateful to Yue-</w:t>
      </w:r>
      <w:proofErr w:type="spellStart"/>
      <w:r w:rsidRPr="00704D1E">
        <w:rPr>
          <w:rFonts w:ascii="Book Antiqua" w:hAnsi="Book Antiqua" w:cs="Times New Roman"/>
          <w:color w:val="000000" w:themeColor="text1"/>
          <w:kern w:val="0"/>
          <w:sz w:val="24"/>
          <w:szCs w:val="24"/>
        </w:rPr>
        <w:t>Lun</w:t>
      </w:r>
      <w:proofErr w:type="spellEnd"/>
      <w:r w:rsidRPr="00704D1E">
        <w:rPr>
          <w:rFonts w:ascii="Book Antiqua" w:hAnsi="Book Antiqua" w:cs="Times New Roman"/>
          <w:color w:val="000000" w:themeColor="text1"/>
          <w:kern w:val="0"/>
          <w:sz w:val="24"/>
          <w:szCs w:val="24"/>
        </w:rPr>
        <w:t xml:space="preserve"> Zhang for his recommendati</w:t>
      </w:r>
      <w:r>
        <w:rPr>
          <w:rFonts w:ascii="Book Antiqua" w:hAnsi="Book Antiqua" w:cs="Times New Roman"/>
          <w:color w:val="000000" w:themeColor="text1"/>
          <w:kern w:val="0"/>
          <w:sz w:val="24"/>
          <w:szCs w:val="24"/>
        </w:rPr>
        <w:t>ons on the statistical analysis</w:t>
      </w:r>
      <w:r w:rsidRPr="00704D1E">
        <w:rPr>
          <w:rFonts w:ascii="Book Antiqua" w:hAnsi="Book Antiqua" w:cs="Times New Roman"/>
          <w:color w:val="000000" w:themeColor="text1"/>
          <w:kern w:val="0"/>
          <w:sz w:val="24"/>
          <w:szCs w:val="24"/>
        </w:rPr>
        <w:t>.</w:t>
      </w:r>
    </w:p>
    <w:bookmarkEnd w:id="89"/>
    <w:bookmarkEnd w:id="90"/>
    <w:p w14:paraId="5E59F817" w14:textId="77777777" w:rsidR="007F3E53" w:rsidRDefault="007F3E53">
      <w:pPr>
        <w:widowControl/>
        <w:jc w:val="left"/>
        <w:rPr>
          <w:rFonts w:ascii="Book Antiqua" w:hAnsi="Book Antiqua" w:cs="Segoe UI"/>
          <w:color w:val="000000" w:themeColor="text1"/>
          <w:sz w:val="24"/>
          <w:szCs w:val="24"/>
          <w:shd w:val="clear" w:color="auto" w:fill="FFFFFF"/>
        </w:rPr>
      </w:pPr>
      <w:r>
        <w:rPr>
          <w:rFonts w:ascii="Book Antiqua" w:hAnsi="Book Antiqua" w:cs="Segoe UI"/>
          <w:color w:val="000000" w:themeColor="text1"/>
          <w:sz w:val="24"/>
          <w:szCs w:val="24"/>
          <w:shd w:val="clear" w:color="auto" w:fill="FFFFFF"/>
        </w:rPr>
        <w:br w:type="page"/>
      </w:r>
    </w:p>
    <w:p w14:paraId="083B00D2" w14:textId="7C4AD854" w:rsidR="00C41411" w:rsidRPr="00704D1E" w:rsidRDefault="00C41411" w:rsidP="00487AFC">
      <w:pPr>
        <w:adjustRightInd w:val="0"/>
        <w:snapToGrid w:val="0"/>
        <w:spacing w:line="360" w:lineRule="auto"/>
        <w:outlineLvl w:val="0"/>
        <w:rPr>
          <w:rFonts w:ascii="Book Antiqua" w:hAnsi="Book Antiqua" w:cs="Times New Roman"/>
          <w:color w:val="000000" w:themeColor="text1"/>
          <w:sz w:val="24"/>
          <w:szCs w:val="24"/>
        </w:rPr>
      </w:pPr>
      <w:r w:rsidRPr="00704D1E">
        <w:rPr>
          <w:rFonts w:ascii="Book Antiqua" w:hAnsi="Book Antiqua" w:cs="Times New Roman"/>
          <w:b/>
          <w:color w:val="000000" w:themeColor="text1"/>
          <w:sz w:val="24"/>
          <w:szCs w:val="24"/>
        </w:rPr>
        <w:lastRenderedPageBreak/>
        <w:t>REFERENCES</w:t>
      </w:r>
    </w:p>
    <w:p w14:paraId="31F02560" w14:textId="41FE30F4" w:rsidR="003D6687" w:rsidRPr="003D6687" w:rsidRDefault="003D6687" w:rsidP="003D6687">
      <w:pPr>
        <w:pStyle w:val="BookAntiqua"/>
        <w:adjustRightInd w:val="0"/>
        <w:snapToGrid w:val="0"/>
        <w:rPr>
          <w:color w:val="000000" w:themeColor="text1"/>
        </w:rPr>
      </w:pPr>
      <w:r w:rsidRPr="003D6687">
        <w:rPr>
          <w:color w:val="000000" w:themeColor="text1"/>
        </w:rPr>
        <w:t>1 </w:t>
      </w:r>
      <w:r w:rsidRPr="003D6687">
        <w:rPr>
          <w:b/>
          <w:bCs/>
          <w:color w:val="000000" w:themeColor="text1"/>
        </w:rPr>
        <w:t>National Guideline Centre (UK)</w:t>
      </w:r>
      <w:r>
        <w:rPr>
          <w:color w:val="000000" w:themeColor="text1"/>
        </w:rPr>
        <w:t>. 2016</w:t>
      </w:r>
      <w:r w:rsidRPr="003D6687">
        <w:rPr>
          <w:color w:val="000000" w:themeColor="text1"/>
        </w:rPr>
        <w:t xml:space="preserve"> [PMID: 27441333]</w:t>
      </w:r>
    </w:p>
    <w:p w14:paraId="64D6AA44" w14:textId="77777777" w:rsidR="003D6687" w:rsidRPr="003D6687" w:rsidRDefault="003D6687" w:rsidP="003D6687">
      <w:pPr>
        <w:pStyle w:val="BookAntiqua"/>
        <w:adjustRightInd w:val="0"/>
        <w:snapToGrid w:val="0"/>
        <w:rPr>
          <w:color w:val="000000" w:themeColor="text1"/>
        </w:rPr>
      </w:pPr>
      <w:r w:rsidRPr="003D6687">
        <w:rPr>
          <w:color w:val="000000" w:themeColor="text1"/>
        </w:rPr>
        <w:t>2 </w:t>
      </w:r>
      <w:r w:rsidRPr="003D6687">
        <w:rPr>
          <w:b/>
          <w:bCs/>
          <w:color w:val="000000" w:themeColor="text1"/>
        </w:rPr>
        <w:t>Chalasani N</w:t>
      </w:r>
      <w:r w:rsidRPr="003D6687">
        <w:rPr>
          <w:color w:val="000000" w:themeColor="text1"/>
        </w:rPr>
        <w:t>, Younossi Z, Lavine JE, Charlton M, Cusi K, Rinella M, Harrison SA, Brunt EM, Sanyal AJ. The diagnosis and management of nonalcoholic fatty liver disease: Practice guidance from the American Association for the Study of Liver Diseases. </w:t>
      </w:r>
      <w:r w:rsidRPr="003D6687">
        <w:rPr>
          <w:i/>
          <w:iCs/>
          <w:color w:val="000000" w:themeColor="text1"/>
        </w:rPr>
        <w:t>Hepatology</w:t>
      </w:r>
      <w:r w:rsidRPr="003D6687">
        <w:rPr>
          <w:color w:val="000000" w:themeColor="text1"/>
        </w:rPr>
        <w:t> 2018; </w:t>
      </w:r>
      <w:r w:rsidRPr="003D6687">
        <w:rPr>
          <w:b/>
          <w:bCs/>
          <w:color w:val="000000" w:themeColor="text1"/>
        </w:rPr>
        <w:t>67</w:t>
      </w:r>
      <w:r w:rsidRPr="003D6687">
        <w:rPr>
          <w:color w:val="000000" w:themeColor="text1"/>
        </w:rPr>
        <w:t>: 328-357 [PMID: 28714183 DOI: 10.1002/hep.29367]</w:t>
      </w:r>
    </w:p>
    <w:p w14:paraId="1A4EDD1B" w14:textId="3BF37666" w:rsidR="003D6687" w:rsidRPr="003D6687" w:rsidRDefault="003D6687" w:rsidP="003D6687">
      <w:pPr>
        <w:pStyle w:val="BookAntiqua"/>
        <w:adjustRightInd w:val="0"/>
        <w:snapToGrid w:val="0"/>
        <w:rPr>
          <w:color w:val="000000" w:themeColor="text1"/>
        </w:rPr>
      </w:pPr>
      <w:r w:rsidRPr="003D6687">
        <w:rPr>
          <w:color w:val="000000" w:themeColor="text1"/>
        </w:rPr>
        <w:t>3 </w:t>
      </w:r>
      <w:r w:rsidRPr="003D6687">
        <w:rPr>
          <w:b/>
          <w:bCs/>
          <w:color w:val="000000" w:themeColor="text1"/>
        </w:rPr>
        <w:t>Reccia I</w:t>
      </w:r>
      <w:r w:rsidRPr="003D6687">
        <w:rPr>
          <w:color w:val="000000" w:themeColor="text1"/>
        </w:rPr>
        <w:t>, Kumar J, Akladios C, Virdis F, Pai M, Habib N, Spalding D. Non-alcoholic fatty liver disease: A sign of systemic disease.</w:t>
      </w:r>
      <w:r w:rsidR="002E7E08">
        <w:rPr>
          <w:rFonts w:eastAsiaTheme="minorEastAsia" w:hint="eastAsia"/>
          <w:color w:val="000000" w:themeColor="text1"/>
        </w:rPr>
        <w:t xml:space="preserve"> </w:t>
      </w:r>
      <w:r w:rsidRPr="003D6687">
        <w:rPr>
          <w:i/>
          <w:iCs/>
          <w:color w:val="000000" w:themeColor="text1"/>
        </w:rPr>
        <w:t>Metabolism</w:t>
      </w:r>
      <w:r w:rsidR="002E7E08">
        <w:rPr>
          <w:rFonts w:eastAsiaTheme="minorEastAsia" w:hint="eastAsia"/>
          <w:color w:val="000000" w:themeColor="text1"/>
        </w:rPr>
        <w:t xml:space="preserve"> </w:t>
      </w:r>
      <w:r w:rsidRPr="003D6687">
        <w:rPr>
          <w:color w:val="000000" w:themeColor="text1"/>
        </w:rPr>
        <w:t>2017;</w:t>
      </w:r>
      <w:r w:rsidR="002E7E08">
        <w:rPr>
          <w:rFonts w:eastAsiaTheme="minorEastAsia" w:hint="eastAsia"/>
          <w:color w:val="000000" w:themeColor="text1"/>
        </w:rPr>
        <w:t xml:space="preserve"> </w:t>
      </w:r>
      <w:r w:rsidRPr="003D6687">
        <w:rPr>
          <w:b/>
          <w:bCs/>
          <w:color w:val="000000" w:themeColor="text1"/>
        </w:rPr>
        <w:t>72</w:t>
      </w:r>
      <w:r w:rsidRPr="003D6687">
        <w:rPr>
          <w:color w:val="000000" w:themeColor="text1"/>
        </w:rPr>
        <w:t>: 94-108 [PMID: 28641788 DOI: 10.1016/j.metabol.2017.04.011]</w:t>
      </w:r>
    </w:p>
    <w:p w14:paraId="5E850596" w14:textId="77777777" w:rsidR="003D6687" w:rsidRPr="003D6687" w:rsidRDefault="003D6687" w:rsidP="003D6687">
      <w:pPr>
        <w:pStyle w:val="BookAntiqua"/>
        <w:adjustRightInd w:val="0"/>
        <w:snapToGrid w:val="0"/>
        <w:rPr>
          <w:color w:val="000000" w:themeColor="text1"/>
        </w:rPr>
      </w:pPr>
      <w:r w:rsidRPr="003D6687">
        <w:rPr>
          <w:color w:val="000000" w:themeColor="text1"/>
        </w:rPr>
        <w:t>4 </w:t>
      </w:r>
      <w:r w:rsidRPr="003D6687">
        <w:rPr>
          <w:b/>
          <w:bCs/>
          <w:color w:val="000000" w:themeColor="text1"/>
        </w:rPr>
        <w:t>Mittal S</w:t>
      </w:r>
      <w:r w:rsidRPr="003D6687">
        <w:rPr>
          <w:color w:val="000000" w:themeColor="text1"/>
        </w:rPr>
        <w:t>, El-Serag HB, Sada YH, Kanwal F, Duan Z, Temple S, May SB, Kramer JR, Richardson PA, Davila JA. Hepatocellular Carcinoma in the Absence of Cirrhosis in United States Veterans is Associated With Nonalcoholic Fatty Liver Disease. </w:t>
      </w:r>
      <w:r w:rsidRPr="003D6687">
        <w:rPr>
          <w:i/>
          <w:iCs/>
          <w:color w:val="000000" w:themeColor="text1"/>
        </w:rPr>
        <w:t>Clin Gastroenterol Hepatol</w:t>
      </w:r>
      <w:r w:rsidRPr="003D6687">
        <w:rPr>
          <w:color w:val="000000" w:themeColor="text1"/>
        </w:rPr>
        <w:t> 2016; </w:t>
      </w:r>
      <w:r w:rsidRPr="003D6687">
        <w:rPr>
          <w:b/>
          <w:bCs/>
          <w:color w:val="000000" w:themeColor="text1"/>
        </w:rPr>
        <w:t>14</w:t>
      </w:r>
      <w:r w:rsidRPr="003D6687">
        <w:rPr>
          <w:color w:val="000000" w:themeColor="text1"/>
        </w:rPr>
        <w:t>: 124-31.e1 [PMID: 26196445 DOI: 10.1016/j.cgh.2015.07.019]</w:t>
      </w:r>
    </w:p>
    <w:p w14:paraId="30342ED9" w14:textId="77777777" w:rsidR="003D6687" w:rsidRPr="003D6687" w:rsidRDefault="003D6687" w:rsidP="003D6687">
      <w:pPr>
        <w:pStyle w:val="BookAntiqua"/>
        <w:adjustRightInd w:val="0"/>
        <w:snapToGrid w:val="0"/>
        <w:rPr>
          <w:color w:val="000000" w:themeColor="text1"/>
        </w:rPr>
      </w:pPr>
      <w:r w:rsidRPr="003D6687">
        <w:rPr>
          <w:color w:val="000000" w:themeColor="text1"/>
        </w:rPr>
        <w:t>5 </w:t>
      </w:r>
      <w:r w:rsidRPr="003D6687">
        <w:rPr>
          <w:b/>
          <w:bCs/>
          <w:color w:val="000000" w:themeColor="text1"/>
        </w:rPr>
        <w:t>Singal AG</w:t>
      </w:r>
      <w:r w:rsidRPr="003D6687">
        <w:rPr>
          <w:color w:val="000000" w:themeColor="text1"/>
        </w:rPr>
        <w:t>, El-Serag HB. Hepatocellular Carcinoma From Epidemiology to Prevention: Translating Knowledge into Practice. </w:t>
      </w:r>
      <w:r w:rsidRPr="003D6687">
        <w:rPr>
          <w:i/>
          <w:iCs/>
          <w:color w:val="000000" w:themeColor="text1"/>
        </w:rPr>
        <w:t>Clin Gastroenterol Hepatol</w:t>
      </w:r>
      <w:r w:rsidRPr="003D6687">
        <w:rPr>
          <w:color w:val="000000" w:themeColor="text1"/>
        </w:rPr>
        <w:t> 2015; </w:t>
      </w:r>
      <w:r w:rsidRPr="003D6687">
        <w:rPr>
          <w:b/>
          <w:bCs/>
          <w:color w:val="000000" w:themeColor="text1"/>
        </w:rPr>
        <w:t>13</w:t>
      </w:r>
      <w:r w:rsidRPr="003D6687">
        <w:rPr>
          <w:color w:val="000000" w:themeColor="text1"/>
        </w:rPr>
        <w:t>: 2140-2151 [PMID: 26284591 DOI: 10.1016/j.cgh.2015.08.014]</w:t>
      </w:r>
    </w:p>
    <w:p w14:paraId="5CF60F20" w14:textId="77777777" w:rsidR="003D6687" w:rsidRPr="003D6687" w:rsidRDefault="003D6687" w:rsidP="003D6687">
      <w:pPr>
        <w:pStyle w:val="BookAntiqua"/>
        <w:adjustRightInd w:val="0"/>
        <w:snapToGrid w:val="0"/>
        <w:rPr>
          <w:color w:val="000000" w:themeColor="text1"/>
        </w:rPr>
      </w:pPr>
      <w:r w:rsidRPr="003D6687">
        <w:rPr>
          <w:color w:val="000000" w:themeColor="text1"/>
        </w:rPr>
        <w:t>6 </w:t>
      </w:r>
      <w:r w:rsidRPr="003D6687">
        <w:rPr>
          <w:b/>
          <w:bCs/>
          <w:color w:val="000000" w:themeColor="text1"/>
        </w:rPr>
        <w:t>Buzzetti E</w:t>
      </w:r>
      <w:r w:rsidRPr="003D6687">
        <w:rPr>
          <w:color w:val="000000" w:themeColor="text1"/>
        </w:rPr>
        <w:t>, Pinzani M, Tsochatzis EA. The multiple-hit pathogenesis of non-alcoholic fatty liver disease (NAFLD). </w:t>
      </w:r>
      <w:r w:rsidRPr="003D6687">
        <w:rPr>
          <w:i/>
          <w:iCs/>
          <w:color w:val="000000" w:themeColor="text1"/>
        </w:rPr>
        <w:t>Metabolism</w:t>
      </w:r>
      <w:r w:rsidRPr="003D6687">
        <w:rPr>
          <w:color w:val="000000" w:themeColor="text1"/>
        </w:rPr>
        <w:t> 2016; </w:t>
      </w:r>
      <w:r w:rsidRPr="003D6687">
        <w:rPr>
          <w:b/>
          <w:bCs/>
          <w:color w:val="000000" w:themeColor="text1"/>
        </w:rPr>
        <w:t>65</w:t>
      </w:r>
      <w:r w:rsidRPr="003D6687">
        <w:rPr>
          <w:color w:val="000000" w:themeColor="text1"/>
        </w:rPr>
        <w:t>: 1038-1048 [PMID: 26823198 DOI: 10.1016/j.metabol.2015.12.012]</w:t>
      </w:r>
    </w:p>
    <w:p w14:paraId="66AF25B9" w14:textId="77777777" w:rsidR="003D6687" w:rsidRPr="003D6687" w:rsidRDefault="003D6687" w:rsidP="003D6687">
      <w:pPr>
        <w:pStyle w:val="BookAntiqua"/>
        <w:adjustRightInd w:val="0"/>
        <w:snapToGrid w:val="0"/>
        <w:rPr>
          <w:color w:val="000000" w:themeColor="text1"/>
        </w:rPr>
      </w:pPr>
      <w:r w:rsidRPr="003D6687">
        <w:rPr>
          <w:color w:val="000000" w:themeColor="text1"/>
        </w:rPr>
        <w:t>7 </w:t>
      </w:r>
      <w:r w:rsidRPr="003D6687">
        <w:rPr>
          <w:b/>
          <w:bCs/>
          <w:color w:val="000000" w:themeColor="text1"/>
        </w:rPr>
        <w:t>Gardner CJ</w:t>
      </w:r>
      <w:r w:rsidRPr="003D6687">
        <w:rPr>
          <w:color w:val="000000" w:themeColor="text1"/>
        </w:rPr>
        <w:t>, Irwin AJ, Daousi C, McFarlane IA, Joseph F, Bell JD, Thomas EL, Adams VL, Kemp GJ, Cuthbertson DJ. Hepatic steatosis, GH deficiency and the effects of GH replacement: a Liverpool magnetic resonance spectroscopy study. </w:t>
      </w:r>
      <w:r w:rsidRPr="003D6687">
        <w:rPr>
          <w:i/>
          <w:iCs/>
          <w:color w:val="000000" w:themeColor="text1"/>
        </w:rPr>
        <w:t>Eur J Endocrinol</w:t>
      </w:r>
      <w:r w:rsidRPr="003D6687">
        <w:rPr>
          <w:color w:val="000000" w:themeColor="text1"/>
        </w:rPr>
        <w:t> 2012; </w:t>
      </w:r>
      <w:r w:rsidRPr="003D6687">
        <w:rPr>
          <w:b/>
          <w:bCs/>
          <w:color w:val="000000" w:themeColor="text1"/>
        </w:rPr>
        <w:t>166</w:t>
      </w:r>
      <w:r w:rsidRPr="003D6687">
        <w:rPr>
          <w:color w:val="000000" w:themeColor="text1"/>
        </w:rPr>
        <w:t>: 993-1002 [PMID: 22433286 DOI: 10.1530/EJE-12-0002]</w:t>
      </w:r>
    </w:p>
    <w:p w14:paraId="68472802" w14:textId="77777777" w:rsidR="003D6687" w:rsidRPr="003D6687" w:rsidRDefault="003D6687" w:rsidP="003D6687">
      <w:pPr>
        <w:pStyle w:val="BookAntiqua"/>
        <w:adjustRightInd w:val="0"/>
        <w:snapToGrid w:val="0"/>
        <w:rPr>
          <w:color w:val="000000" w:themeColor="text1"/>
        </w:rPr>
      </w:pPr>
      <w:r w:rsidRPr="003D6687">
        <w:rPr>
          <w:color w:val="000000" w:themeColor="text1"/>
        </w:rPr>
        <w:t>8 </w:t>
      </w:r>
      <w:r w:rsidRPr="003D6687">
        <w:rPr>
          <w:b/>
          <w:bCs/>
          <w:color w:val="000000" w:themeColor="text1"/>
        </w:rPr>
        <w:t>Hong JW</w:t>
      </w:r>
      <w:r w:rsidRPr="003D6687">
        <w:rPr>
          <w:color w:val="000000" w:themeColor="text1"/>
        </w:rPr>
        <w:t>, Kim JY, Kim YE, Lee EJ. Metabolic parameters and nonalcoholic fatty liver disease in hypopituitary men. </w:t>
      </w:r>
      <w:r w:rsidRPr="003D6687">
        <w:rPr>
          <w:i/>
          <w:iCs/>
          <w:color w:val="000000" w:themeColor="text1"/>
        </w:rPr>
        <w:t>Horm Metab Res</w:t>
      </w:r>
      <w:r w:rsidRPr="003D6687">
        <w:rPr>
          <w:color w:val="000000" w:themeColor="text1"/>
        </w:rPr>
        <w:t> 2011; </w:t>
      </w:r>
      <w:r w:rsidRPr="003D6687">
        <w:rPr>
          <w:b/>
          <w:bCs/>
          <w:color w:val="000000" w:themeColor="text1"/>
        </w:rPr>
        <w:t>43</w:t>
      </w:r>
      <w:r w:rsidRPr="003D6687">
        <w:rPr>
          <w:color w:val="000000" w:themeColor="text1"/>
        </w:rPr>
        <w:t>: 48-54 [PMID: 20865648 DOI: 10.1055/s-0030-1265217]</w:t>
      </w:r>
    </w:p>
    <w:p w14:paraId="0CD6D3F5" w14:textId="77777777" w:rsidR="003D6687" w:rsidRPr="003D6687" w:rsidRDefault="003D6687" w:rsidP="003D6687">
      <w:pPr>
        <w:pStyle w:val="BookAntiqua"/>
        <w:adjustRightInd w:val="0"/>
        <w:snapToGrid w:val="0"/>
        <w:rPr>
          <w:color w:val="000000" w:themeColor="text1"/>
        </w:rPr>
      </w:pPr>
      <w:r w:rsidRPr="003D6687">
        <w:rPr>
          <w:color w:val="000000" w:themeColor="text1"/>
        </w:rPr>
        <w:t>9 </w:t>
      </w:r>
      <w:r w:rsidRPr="003D6687">
        <w:rPr>
          <w:b/>
          <w:bCs/>
          <w:color w:val="000000" w:themeColor="text1"/>
        </w:rPr>
        <w:t>Irie M</w:t>
      </w:r>
      <w:r w:rsidRPr="003D6687">
        <w:rPr>
          <w:color w:val="000000" w:themeColor="text1"/>
        </w:rPr>
        <w:t>, Itoh Y, Miyashita Y, Tsushima T, Shirai K. Complications in adults with growth hormone deficiency--a survey study in Japan. </w:t>
      </w:r>
      <w:r w:rsidRPr="003D6687">
        <w:rPr>
          <w:i/>
          <w:iCs/>
          <w:color w:val="000000" w:themeColor="text1"/>
        </w:rPr>
        <w:t>Endocr J</w:t>
      </w:r>
      <w:r w:rsidRPr="003D6687">
        <w:rPr>
          <w:color w:val="000000" w:themeColor="text1"/>
        </w:rPr>
        <w:t> 2004; </w:t>
      </w:r>
      <w:r w:rsidRPr="003D6687">
        <w:rPr>
          <w:b/>
          <w:bCs/>
          <w:color w:val="000000" w:themeColor="text1"/>
        </w:rPr>
        <w:t>51</w:t>
      </w:r>
      <w:r w:rsidRPr="003D6687">
        <w:rPr>
          <w:color w:val="000000" w:themeColor="text1"/>
        </w:rPr>
        <w:t xml:space="preserve">: </w:t>
      </w:r>
      <w:r w:rsidRPr="003D6687">
        <w:rPr>
          <w:color w:val="000000" w:themeColor="text1"/>
        </w:rPr>
        <w:lastRenderedPageBreak/>
        <w:t>479-485 [PMID: 15516782]</w:t>
      </w:r>
    </w:p>
    <w:p w14:paraId="288E21D1" w14:textId="7F295574" w:rsidR="003D6687" w:rsidRPr="003D6687" w:rsidRDefault="003D6687" w:rsidP="003D6687">
      <w:pPr>
        <w:pStyle w:val="BookAntiqua"/>
        <w:adjustRightInd w:val="0"/>
        <w:snapToGrid w:val="0"/>
        <w:rPr>
          <w:color w:val="000000" w:themeColor="text1"/>
        </w:rPr>
      </w:pPr>
      <w:r w:rsidRPr="003D6687">
        <w:rPr>
          <w:color w:val="000000" w:themeColor="text1"/>
        </w:rPr>
        <w:t>10 </w:t>
      </w:r>
      <w:r w:rsidRPr="003D6687">
        <w:rPr>
          <w:b/>
          <w:bCs/>
          <w:color w:val="000000" w:themeColor="text1"/>
        </w:rPr>
        <w:t>Adams LA</w:t>
      </w:r>
      <w:r w:rsidRPr="003D6687">
        <w:rPr>
          <w:color w:val="000000" w:themeColor="text1"/>
        </w:rPr>
        <w:t>, Feldstein A, Lindor KD, Angulo P. Nonalcoholic fatty liver disease among patients with hypothalamic and pituitary dysfunction.</w:t>
      </w:r>
      <w:r w:rsidR="007E65CC">
        <w:rPr>
          <w:rFonts w:eastAsiaTheme="minorEastAsia" w:hint="eastAsia"/>
          <w:color w:val="000000" w:themeColor="text1"/>
        </w:rPr>
        <w:t xml:space="preserve"> </w:t>
      </w:r>
      <w:r w:rsidRPr="003D6687">
        <w:rPr>
          <w:i/>
          <w:iCs/>
          <w:color w:val="000000" w:themeColor="text1"/>
        </w:rPr>
        <w:t>Hepatology</w:t>
      </w:r>
      <w:r w:rsidR="007E65CC">
        <w:rPr>
          <w:rFonts w:eastAsiaTheme="minorEastAsia" w:hint="eastAsia"/>
          <w:color w:val="000000" w:themeColor="text1"/>
        </w:rPr>
        <w:t xml:space="preserve"> </w:t>
      </w:r>
      <w:r w:rsidRPr="003D6687">
        <w:rPr>
          <w:color w:val="000000" w:themeColor="text1"/>
        </w:rPr>
        <w:t>2004; </w:t>
      </w:r>
      <w:r w:rsidRPr="003D6687">
        <w:rPr>
          <w:b/>
          <w:bCs/>
          <w:color w:val="000000" w:themeColor="text1"/>
        </w:rPr>
        <w:t>39</w:t>
      </w:r>
      <w:r w:rsidRPr="003D6687">
        <w:rPr>
          <w:color w:val="000000" w:themeColor="text1"/>
        </w:rPr>
        <w:t>: 909-914 [PMID: 15057893 DOI: 10.1002/hep.20140]</w:t>
      </w:r>
    </w:p>
    <w:p w14:paraId="6FB41129" w14:textId="77777777" w:rsidR="003D6687" w:rsidRPr="003D6687" w:rsidRDefault="003D6687" w:rsidP="003D6687">
      <w:pPr>
        <w:pStyle w:val="BookAntiqua"/>
        <w:adjustRightInd w:val="0"/>
        <w:snapToGrid w:val="0"/>
        <w:rPr>
          <w:color w:val="000000" w:themeColor="text1"/>
        </w:rPr>
      </w:pPr>
      <w:r w:rsidRPr="003D6687">
        <w:rPr>
          <w:color w:val="000000" w:themeColor="text1"/>
        </w:rPr>
        <w:t>11 </w:t>
      </w:r>
      <w:r w:rsidRPr="003D6687">
        <w:rPr>
          <w:b/>
          <w:bCs/>
          <w:color w:val="000000" w:themeColor="text1"/>
        </w:rPr>
        <w:t>Matsumoto R</w:t>
      </w:r>
      <w:r w:rsidRPr="003D6687">
        <w:rPr>
          <w:color w:val="000000" w:themeColor="text1"/>
        </w:rPr>
        <w:t>, Fukuoka H, Iguchi G, Nishizawa H, Bando H, Suda K, Takahashi M, Takahashi Y. Long-term effects of growth hormone replacement therapy on liver function in adult patients with growth hormone deficiency. </w:t>
      </w:r>
      <w:r w:rsidRPr="003D6687">
        <w:rPr>
          <w:i/>
          <w:iCs/>
          <w:color w:val="000000" w:themeColor="text1"/>
        </w:rPr>
        <w:t>Growth Horm IGF Res</w:t>
      </w:r>
      <w:r w:rsidRPr="003D6687">
        <w:rPr>
          <w:color w:val="000000" w:themeColor="text1"/>
        </w:rPr>
        <w:t> 2014; </w:t>
      </w:r>
      <w:r w:rsidRPr="003D6687">
        <w:rPr>
          <w:b/>
          <w:bCs/>
          <w:color w:val="000000" w:themeColor="text1"/>
        </w:rPr>
        <w:t>24</w:t>
      </w:r>
      <w:r w:rsidRPr="003D6687">
        <w:rPr>
          <w:color w:val="000000" w:themeColor="text1"/>
        </w:rPr>
        <w:t>: 174-179 [PMID: 25116471 DOI: 10.1016/j.ghir.2014.07.002]</w:t>
      </w:r>
    </w:p>
    <w:p w14:paraId="6A03419C" w14:textId="3C7A2903" w:rsidR="003D6687" w:rsidRPr="003D6687" w:rsidRDefault="003D6687" w:rsidP="003D6687">
      <w:pPr>
        <w:pStyle w:val="BookAntiqua"/>
        <w:adjustRightInd w:val="0"/>
        <w:snapToGrid w:val="0"/>
        <w:rPr>
          <w:color w:val="000000" w:themeColor="text1"/>
        </w:rPr>
      </w:pPr>
      <w:r w:rsidRPr="003D6687">
        <w:rPr>
          <w:color w:val="000000" w:themeColor="text1"/>
        </w:rPr>
        <w:t>12 </w:t>
      </w:r>
      <w:r w:rsidRPr="003D6687">
        <w:rPr>
          <w:b/>
          <w:bCs/>
          <w:color w:val="000000" w:themeColor="text1"/>
        </w:rPr>
        <w:t>Nakajima K</w:t>
      </w:r>
      <w:r w:rsidRPr="003D6687">
        <w:rPr>
          <w:color w:val="000000" w:themeColor="text1"/>
        </w:rPr>
        <w:t>, Hashimoto E, Kaneda H, Tokushige K, Shiratori K, Hizuka N, Takano K. Pediatric nonalcoholic steatohepatitis associated with hypopituitarism.</w:t>
      </w:r>
      <w:r w:rsidR="007E65CC">
        <w:rPr>
          <w:rFonts w:eastAsiaTheme="minorEastAsia" w:hint="eastAsia"/>
          <w:color w:val="000000" w:themeColor="text1"/>
        </w:rPr>
        <w:t xml:space="preserve"> </w:t>
      </w:r>
      <w:r w:rsidRPr="003D6687">
        <w:rPr>
          <w:i/>
          <w:iCs/>
          <w:color w:val="000000" w:themeColor="text1"/>
        </w:rPr>
        <w:t>J Gastroenterol</w:t>
      </w:r>
      <w:r w:rsidRPr="003D6687">
        <w:rPr>
          <w:color w:val="000000" w:themeColor="text1"/>
        </w:rPr>
        <w:t> 2005; </w:t>
      </w:r>
      <w:r w:rsidRPr="003D6687">
        <w:rPr>
          <w:b/>
          <w:bCs/>
          <w:color w:val="000000" w:themeColor="text1"/>
        </w:rPr>
        <w:t>40</w:t>
      </w:r>
      <w:r w:rsidRPr="003D6687">
        <w:rPr>
          <w:color w:val="000000" w:themeColor="text1"/>
        </w:rPr>
        <w:t>: 312-315 [PMID: 15830293 DOI: 10.1007/s00535-004-1541-4]</w:t>
      </w:r>
    </w:p>
    <w:p w14:paraId="19F8F748" w14:textId="77777777" w:rsidR="003D6687" w:rsidRPr="00B71F01" w:rsidRDefault="003D6687" w:rsidP="003D6687">
      <w:pPr>
        <w:pStyle w:val="BookAntiqua"/>
        <w:adjustRightInd w:val="0"/>
        <w:snapToGrid w:val="0"/>
        <w:rPr>
          <w:color w:val="000000" w:themeColor="text1"/>
        </w:rPr>
      </w:pPr>
      <w:r w:rsidRPr="003D6687">
        <w:rPr>
          <w:color w:val="000000" w:themeColor="text1"/>
        </w:rPr>
        <w:t>13 </w:t>
      </w:r>
      <w:r w:rsidRPr="003D6687">
        <w:rPr>
          <w:b/>
          <w:bCs/>
          <w:color w:val="000000" w:themeColor="text1"/>
        </w:rPr>
        <w:t>Jonas MM</w:t>
      </w:r>
      <w:r w:rsidRPr="003D6687">
        <w:rPr>
          <w:color w:val="000000" w:themeColor="text1"/>
        </w:rPr>
        <w:t xml:space="preserve">, Krawczuk LE, Kim HB, Lillehei C, Perez-Atayde A. Rapid </w:t>
      </w:r>
      <w:r w:rsidRPr="00B71F01">
        <w:rPr>
          <w:color w:val="000000" w:themeColor="text1"/>
        </w:rPr>
        <w:t>recurrence of nonalcoholic fatty liver disease after transplantation in a child with hypopituitarism and hepatopulmonary syndrome. </w:t>
      </w:r>
      <w:r w:rsidRPr="00B71F01">
        <w:rPr>
          <w:i/>
          <w:iCs/>
          <w:color w:val="000000" w:themeColor="text1"/>
        </w:rPr>
        <w:t>Liver Transpl</w:t>
      </w:r>
      <w:r w:rsidRPr="00B71F01">
        <w:rPr>
          <w:color w:val="000000" w:themeColor="text1"/>
        </w:rPr>
        <w:t> 2005; </w:t>
      </w:r>
      <w:r w:rsidRPr="00B71F01">
        <w:rPr>
          <w:b/>
          <w:bCs/>
          <w:color w:val="000000" w:themeColor="text1"/>
        </w:rPr>
        <w:t>11</w:t>
      </w:r>
      <w:r w:rsidRPr="00B71F01">
        <w:rPr>
          <w:color w:val="000000" w:themeColor="text1"/>
        </w:rPr>
        <w:t>: 108-110 [PMID: 15690545 DOI: 10.1002/lt.20332]</w:t>
      </w:r>
    </w:p>
    <w:p w14:paraId="7F33576D" w14:textId="57F7B73A" w:rsidR="003D6687" w:rsidRPr="00B71F01" w:rsidRDefault="003D6687" w:rsidP="003D6687">
      <w:pPr>
        <w:pStyle w:val="BookAntiqua"/>
        <w:adjustRightInd w:val="0"/>
        <w:snapToGrid w:val="0"/>
        <w:rPr>
          <w:color w:val="000000" w:themeColor="text1"/>
        </w:rPr>
      </w:pPr>
      <w:r w:rsidRPr="00B71F01">
        <w:rPr>
          <w:color w:val="000000" w:themeColor="text1"/>
        </w:rPr>
        <w:t>14 </w:t>
      </w:r>
      <w:r w:rsidRPr="00B71F01">
        <w:rPr>
          <w:b/>
          <w:bCs/>
          <w:color w:val="000000" w:themeColor="text1"/>
        </w:rPr>
        <w:t>Ursula Kaiser KKYH</w:t>
      </w:r>
      <w:r w:rsidRPr="00B71F01">
        <w:rPr>
          <w:bCs/>
          <w:color w:val="000000" w:themeColor="text1"/>
        </w:rPr>
        <w:t xml:space="preserve">. </w:t>
      </w:r>
      <w:bookmarkStart w:id="92" w:name="OLE_LINK575"/>
      <w:r w:rsidRPr="00B71F01">
        <w:rPr>
          <w:bCs/>
          <w:color w:val="000000" w:themeColor="text1"/>
        </w:rPr>
        <w:t>Pituitary Physiology and Diagnostic Evaluation</w:t>
      </w:r>
      <w:bookmarkEnd w:id="92"/>
      <w:r w:rsidRPr="00B71F01">
        <w:rPr>
          <w:bCs/>
          <w:color w:val="000000" w:themeColor="text1"/>
        </w:rPr>
        <w:t xml:space="preserve">. In: </w:t>
      </w:r>
      <w:bookmarkStart w:id="93" w:name="OLE_LINK578"/>
      <w:r w:rsidRPr="00B71F01">
        <w:rPr>
          <w:bCs/>
          <w:color w:val="000000" w:themeColor="text1"/>
        </w:rPr>
        <w:t>Melmed</w:t>
      </w:r>
      <w:r w:rsidR="00B74704" w:rsidRPr="00B71F01">
        <w:rPr>
          <w:bCs/>
          <w:color w:val="000000" w:themeColor="text1"/>
        </w:rPr>
        <w:t xml:space="preserve"> S,</w:t>
      </w:r>
      <w:r w:rsidRPr="00B71F01">
        <w:rPr>
          <w:bCs/>
          <w:color w:val="000000" w:themeColor="text1"/>
        </w:rPr>
        <w:t xml:space="preserve"> </w:t>
      </w:r>
      <w:r w:rsidR="00B74704" w:rsidRPr="00B71F01">
        <w:rPr>
          <w:bCs/>
          <w:color w:val="000000" w:themeColor="text1"/>
        </w:rPr>
        <w:t>Polonsky KS</w:t>
      </w:r>
      <w:r w:rsidRPr="00B71F01">
        <w:rPr>
          <w:bCs/>
          <w:color w:val="000000" w:themeColor="text1"/>
        </w:rPr>
        <w:t>,</w:t>
      </w:r>
      <w:r w:rsidRPr="00B71F01">
        <w:rPr>
          <w:color w:val="000000" w:themeColor="text1"/>
        </w:rPr>
        <w:t xml:space="preserve"> Larsen PR, Kronenberg H</w:t>
      </w:r>
      <w:r w:rsidR="00B74704" w:rsidRPr="00B71F01">
        <w:rPr>
          <w:color w:val="000000" w:themeColor="text1"/>
        </w:rPr>
        <w:t>M</w:t>
      </w:r>
      <w:r w:rsidRPr="00B71F01">
        <w:rPr>
          <w:color w:val="000000" w:themeColor="text1"/>
        </w:rPr>
        <w:t>, editor.</w:t>
      </w:r>
      <w:bookmarkEnd w:id="93"/>
      <w:r w:rsidRPr="00B71F01">
        <w:rPr>
          <w:color w:val="000000" w:themeColor="text1"/>
        </w:rPr>
        <w:t xml:space="preserve"> Williams Textbook Of Endocrinology</w:t>
      </w:r>
      <w:r w:rsidR="00B74704" w:rsidRPr="00B71F01">
        <w:rPr>
          <w:color w:val="000000" w:themeColor="text1"/>
        </w:rPr>
        <w:t>,</w:t>
      </w:r>
      <w:r w:rsidRPr="00B71F01">
        <w:rPr>
          <w:color w:val="000000" w:themeColor="text1"/>
        </w:rPr>
        <w:t xml:space="preserve"> </w:t>
      </w:r>
      <w:r w:rsidR="00B74704" w:rsidRPr="00B71F01">
        <w:rPr>
          <w:color w:val="000000" w:themeColor="text1"/>
        </w:rPr>
        <w:t>13</w:t>
      </w:r>
      <w:r w:rsidR="00B74704" w:rsidRPr="00B71F01">
        <w:rPr>
          <w:color w:val="000000" w:themeColor="text1"/>
          <w:vertAlign w:val="superscript"/>
        </w:rPr>
        <w:t>th</w:t>
      </w:r>
      <w:r w:rsidR="00B74704" w:rsidRPr="00B71F01">
        <w:rPr>
          <w:color w:val="000000" w:themeColor="text1"/>
        </w:rPr>
        <w:t xml:space="preserve"> ed. </w:t>
      </w:r>
      <w:r w:rsidRPr="00B71F01">
        <w:rPr>
          <w:color w:val="000000" w:themeColor="text1"/>
        </w:rPr>
        <w:t>Canada: Patricia Tannian, 2015: 182-214</w:t>
      </w:r>
    </w:p>
    <w:p w14:paraId="6FADDB5E" w14:textId="77777777" w:rsidR="003D6687" w:rsidRPr="00B71F01" w:rsidRDefault="003D6687" w:rsidP="003D6687">
      <w:pPr>
        <w:pStyle w:val="BookAntiqua"/>
        <w:adjustRightInd w:val="0"/>
        <w:snapToGrid w:val="0"/>
        <w:rPr>
          <w:color w:val="000000" w:themeColor="text1"/>
        </w:rPr>
      </w:pPr>
      <w:r w:rsidRPr="00B71F01">
        <w:rPr>
          <w:color w:val="000000" w:themeColor="text1"/>
        </w:rPr>
        <w:t>15 </w:t>
      </w:r>
      <w:r w:rsidRPr="00B71F01">
        <w:rPr>
          <w:b/>
          <w:bCs/>
          <w:color w:val="000000" w:themeColor="text1"/>
        </w:rPr>
        <w:t>Bhasin S</w:t>
      </w:r>
      <w:r w:rsidRPr="00B71F01">
        <w:rPr>
          <w:color w:val="000000" w:themeColor="text1"/>
        </w:rPr>
        <w:t>, Cunningham GR, Hayes FJ, Matsumoto AM, Snyder PJ, Swerdloff RS, Montori VM; Task Force, Endocrine Society. Testosterone therapy in men with androgen deficiency syndromes: an Endocrine Society clinical practice guideline. </w:t>
      </w:r>
      <w:r w:rsidRPr="00B71F01">
        <w:rPr>
          <w:i/>
          <w:iCs/>
          <w:color w:val="000000" w:themeColor="text1"/>
        </w:rPr>
        <w:t>J Clin Endocrinol Metab</w:t>
      </w:r>
      <w:r w:rsidRPr="00B71F01">
        <w:rPr>
          <w:color w:val="000000" w:themeColor="text1"/>
        </w:rPr>
        <w:t> 2010; </w:t>
      </w:r>
      <w:r w:rsidRPr="00B71F01">
        <w:rPr>
          <w:b/>
          <w:bCs/>
          <w:color w:val="000000" w:themeColor="text1"/>
        </w:rPr>
        <w:t>95</w:t>
      </w:r>
      <w:r w:rsidRPr="00B71F01">
        <w:rPr>
          <w:color w:val="000000" w:themeColor="text1"/>
        </w:rPr>
        <w:t>: 2536-2559 [PMID: 20525905 DOI: 10.1210/jc.2009-2354]</w:t>
      </w:r>
    </w:p>
    <w:p w14:paraId="7BC59F34" w14:textId="77777777" w:rsidR="003D6687" w:rsidRPr="00B71F01" w:rsidRDefault="003D6687" w:rsidP="003D6687">
      <w:pPr>
        <w:pStyle w:val="BookAntiqua"/>
        <w:adjustRightInd w:val="0"/>
        <w:snapToGrid w:val="0"/>
        <w:rPr>
          <w:color w:val="000000" w:themeColor="text1"/>
        </w:rPr>
      </w:pPr>
      <w:r w:rsidRPr="00B71F01">
        <w:rPr>
          <w:color w:val="000000" w:themeColor="text1"/>
        </w:rPr>
        <w:t>16 </w:t>
      </w:r>
      <w:r w:rsidRPr="00B71F01">
        <w:rPr>
          <w:b/>
          <w:bCs/>
          <w:color w:val="000000" w:themeColor="text1"/>
        </w:rPr>
        <w:t>Mao JF</w:t>
      </w:r>
      <w:r w:rsidRPr="00B71F01">
        <w:rPr>
          <w:color w:val="000000" w:themeColor="text1"/>
        </w:rPr>
        <w:t>, Xu HL, Duan J, Chen RR, Li L, Li B, Nie M, Min L, Zhang HB, Wu XY. Reversal of idiopathic hypogonadotropic hypogonadism: a cohort study in Chinese patients. </w:t>
      </w:r>
      <w:r w:rsidRPr="00B71F01">
        <w:rPr>
          <w:i/>
          <w:iCs/>
          <w:color w:val="000000" w:themeColor="text1"/>
        </w:rPr>
        <w:t>Asian J Androl</w:t>
      </w:r>
      <w:r w:rsidRPr="00B71F01">
        <w:rPr>
          <w:color w:val="000000" w:themeColor="text1"/>
        </w:rPr>
        <w:t> 2015; </w:t>
      </w:r>
      <w:r w:rsidRPr="00B71F01">
        <w:rPr>
          <w:b/>
          <w:bCs/>
          <w:color w:val="000000" w:themeColor="text1"/>
        </w:rPr>
        <w:t>17</w:t>
      </w:r>
      <w:r w:rsidRPr="00B71F01">
        <w:rPr>
          <w:color w:val="000000" w:themeColor="text1"/>
        </w:rPr>
        <w:t>: 497-502 [PMID: 25578938 DOI: 10.4103/1008-682X.145072]</w:t>
      </w:r>
    </w:p>
    <w:p w14:paraId="67798A0B" w14:textId="77777777" w:rsidR="003D6687" w:rsidRPr="00B71F01" w:rsidRDefault="003D6687" w:rsidP="003D6687">
      <w:pPr>
        <w:pStyle w:val="BookAntiqua"/>
        <w:adjustRightInd w:val="0"/>
        <w:snapToGrid w:val="0"/>
        <w:rPr>
          <w:color w:val="000000" w:themeColor="text1"/>
        </w:rPr>
      </w:pPr>
      <w:r w:rsidRPr="00B71F01">
        <w:rPr>
          <w:color w:val="000000" w:themeColor="text1"/>
        </w:rPr>
        <w:t>17 </w:t>
      </w:r>
      <w:r w:rsidRPr="00B71F01">
        <w:rPr>
          <w:b/>
          <w:bCs/>
          <w:color w:val="000000" w:themeColor="text1"/>
        </w:rPr>
        <w:t>Sherlock M</w:t>
      </w:r>
      <w:r w:rsidRPr="00B71F01">
        <w:rPr>
          <w:color w:val="000000" w:themeColor="text1"/>
        </w:rPr>
        <w:t xml:space="preserve">, Reulen RC, Alonso AA, Ayuk J, Clayton RN, Sheppard MC, Hawkins MM, Bates AS, Stewart PM. ACTH deficiency, higher doses of </w:t>
      </w:r>
      <w:r w:rsidRPr="00B71F01">
        <w:rPr>
          <w:color w:val="000000" w:themeColor="text1"/>
        </w:rPr>
        <w:lastRenderedPageBreak/>
        <w:t>hydrocortisone replacement, and radiotherapy are independent predictors of mortality in patients with acromegaly. </w:t>
      </w:r>
      <w:r w:rsidRPr="00B71F01">
        <w:rPr>
          <w:i/>
          <w:iCs/>
          <w:color w:val="000000" w:themeColor="text1"/>
        </w:rPr>
        <w:t>J Clin Endocrinol Metab</w:t>
      </w:r>
      <w:r w:rsidRPr="00B71F01">
        <w:rPr>
          <w:color w:val="000000" w:themeColor="text1"/>
        </w:rPr>
        <w:t> 2009; </w:t>
      </w:r>
      <w:r w:rsidRPr="00B71F01">
        <w:rPr>
          <w:b/>
          <w:bCs/>
          <w:color w:val="000000" w:themeColor="text1"/>
        </w:rPr>
        <w:t>94</w:t>
      </w:r>
      <w:r w:rsidRPr="00B71F01">
        <w:rPr>
          <w:color w:val="000000" w:themeColor="text1"/>
        </w:rPr>
        <w:t>: 4216-4223 [PMID: 19808848 DOI: 10.1210/jc.2009-1097]</w:t>
      </w:r>
    </w:p>
    <w:p w14:paraId="3CB1C773" w14:textId="24546813" w:rsidR="003D6687" w:rsidRPr="00B71F01" w:rsidRDefault="003D6687" w:rsidP="003D6687">
      <w:pPr>
        <w:pStyle w:val="BookAntiqua"/>
        <w:adjustRightInd w:val="0"/>
        <w:snapToGrid w:val="0"/>
        <w:rPr>
          <w:color w:val="000000" w:themeColor="text1"/>
        </w:rPr>
      </w:pPr>
      <w:r w:rsidRPr="00B71F01">
        <w:rPr>
          <w:color w:val="000000" w:themeColor="text1"/>
        </w:rPr>
        <w:t>18 </w:t>
      </w:r>
      <w:r w:rsidRPr="00B71F01">
        <w:rPr>
          <w:b/>
          <w:bCs/>
          <w:color w:val="000000" w:themeColor="text1"/>
        </w:rPr>
        <w:t>Alan G</w:t>
      </w:r>
      <w:r w:rsidR="00B74704" w:rsidRPr="00B71F01">
        <w:rPr>
          <w:bCs/>
          <w:color w:val="000000" w:themeColor="text1"/>
        </w:rPr>
        <w:t>,</w:t>
      </w:r>
      <w:r w:rsidRPr="00B71F01">
        <w:rPr>
          <w:bCs/>
          <w:color w:val="000000" w:themeColor="text1"/>
        </w:rPr>
        <w:t xml:space="preserve"> Robinson JGV. Posterior Pituitary. In: </w:t>
      </w:r>
      <w:r w:rsidR="00B74704" w:rsidRPr="00B71F01">
        <w:rPr>
          <w:bCs/>
          <w:color w:val="000000" w:themeColor="text1"/>
        </w:rPr>
        <w:t>Melmed S, Polonsky KS,</w:t>
      </w:r>
      <w:r w:rsidR="00B74704" w:rsidRPr="00B71F01">
        <w:rPr>
          <w:color w:val="000000" w:themeColor="text1"/>
        </w:rPr>
        <w:t xml:space="preserve"> Larsen PR, Kronenberg HM, editor.</w:t>
      </w:r>
      <w:r w:rsidRPr="00B71F01">
        <w:rPr>
          <w:color w:val="000000" w:themeColor="text1"/>
        </w:rPr>
        <w:t xml:space="preserve"> Williams Textbook of Endocrinology. </w:t>
      </w:r>
      <w:bookmarkStart w:id="94" w:name="OLE_LINK576"/>
      <w:bookmarkStart w:id="95" w:name="OLE_LINK577"/>
      <w:r w:rsidR="00B74704" w:rsidRPr="00B71F01">
        <w:rPr>
          <w:color w:val="000000" w:themeColor="text1"/>
        </w:rPr>
        <w:t>13</w:t>
      </w:r>
      <w:r w:rsidR="00B74704" w:rsidRPr="00B71F01">
        <w:rPr>
          <w:color w:val="000000" w:themeColor="text1"/>
          <w:vertAlign w:val="superscript"/>
        </w:rPr>
        <w:t>th</w:t>
      </w:r>
      <w:r w:rsidRPr="00B71F01">
        <w:rPr>
          <w:color w:val="000000" w:themeColor="text1"/>
        </w:rPr>
        <w:t xml:space="preserve"> ed.</w:t>
      </w:r>
      <w:bookmarkEnd w:id="94"/>
      <w:bookmarkEnd w:id="95"/>
      <w:r w:rsidRPr="00B71F01">
        <w:rPr>
          <w:color w:val="000000" w:themeColor="text1"/>
        </w:rPr>
        <w:t xml:space="preserve"> Canada: Patricia Tannia</w:t>
      </w:r>
      <w:r w:rsidR="00B74704" w:rsidRPr="00B71F01">
        <w:rPr>
          <w:color w:val="000000" w:themeColor="text1"/>
        </w:rPr>
        <w:t>n, 2015: 300-313</w:t>
      </w:r>
    </w:p>
    <w:p w14:paraId="0B3D5F7F" w14:textId="77777777" w:rsidR="003D6687" w:rsidRPr="003D6687" w:rsidRDefault="003D6687" w:rsidP="003D6687">
      <w:pPr>
        <w:pStyle w:val="BookAntiqua"/>
        <w:adjustRightInd w:val="0"/>
        <w:snapToGrid w:val="0"/>
        <w:rPr>
          <w:color w:val="000000" w:themeColor="text1"/>
        </w:rPr>
      </w:pPr>
      <w:r w:rsidRPr="00B71F01">
        <w:rPr>
          <w:color w:val="000000" w:themeColor="text1"/>
        </w:rPr>
        <w:t>19 </w:t>
      </w:r>
      <w:r w:rsidRPr="00B71F01">
        <w:rPr>
          <w:b/>
          <w:bCs/>
          <w:color w:val="000000" w:themeColor="text1"/>
        </w:rPr>
        <w:t>Fan JG</w:t>
      </w:r>
      <w:r w:rsidRPr="00B71F01">
        <w:rPr>
          <w:color w:val="000000" w:themeColor="text1"/>
        </w:rPr>
        <w:t>. Epidemiology of alcoholic and nonalco</w:t>
      </w:r>
      <w:r w:rsidRPr="003D6687">
        <w:rPr>
          <w:color w:val="000000" w:themeColor="text1"/>
        </w:rPr>
        <w:t>holic fatty liver disease in China. </w:t>
      </w:r>
      <w:r w:rsidRPr="003D6687">
        <w:rPr>
          <w:i/>
          <w:iCs/>
          <w:color w:val="000000" w:themeColor="text1"/>
        </w:rPr>
        <w:t>J Gastroenterol Hepatol</w:t>
      </w:r>
      <w:r w:rsidRPr="003D6687">
        <w:rPr>
          <w:color w:val="000000" w:themeColor="text1"/>
        </w:rPr>
        <w:t> 2013; </w:t>
      </w:r>
      <w:r w:rsidRPr="003D6687">
        <w:rPr>
          <w:b/>
          <w:bCs/>
          <w:color w:val="000000" w:themeColor="text1"/>
        </w:rPr>
        <w:t xml:space="preserve">28 </w:t>
      </w:r>
      <w:r w:rsidRPr="00B74704">
        <w:rPr>
          <w:bCs/>
          <w:color w:val="000000" w:themeColor="text1"/>
        </w:rPr>
        <w:t>Suppl 1</w:t>
      </w:r>
      <w:r w:rsidRPr="003D6687">
        <w:rPr>
          <w:color w:val="000000" w:themeColor="text1"/>
        </w:rPr>
        <w:t>: 11-17 [PMID: 23855290 DOI: 10.1111/jgh.12036]</w:t>
      </w:r>
    </w:p>
    <w:p w14:paraId="4C854102" w14:textId="77777777" w:rsidR="003D6687" w:rsidRPr="003D6687" w:rsidRDefault="003D6687" w:rsidP="003D6687">
      <w:pPr>
        <w:pStyle w:val="BookAntiqua"/>
        <w:adjustRightInd w:val="0"/>
        <w:snapToGrid w:val="0"/>
        <w:rPr>
          <w:color w:val="000000" w:themeColor="text1"/>
        </w:rPr>
      </w:pPr>
      <w:r w:rsidRPr="003D6687">
        <w:rPr>
          <w:color w:val="000000" w:themeColor="text1"/>
        </w:rPr>
        <w:t>20 </w:t>
      </w:r>
      <w:r w:rsidRPr="003D6687">
        <w:rPr>
          <w:b/>
          <w:bCs/>
          <w:color w:val="000000" w:themeColor="text1"/>
        </w:rPr>
        <w:t>Kabbany MN</w:t>
      </w:r>
      <w:r w:rsidRPr="003D6687">
        <w:rPr>
          <w:color w:val="000000" w:themeColor="text1"/>
        </w:rPr>
        <w:t>, Conjeevaram Selvakumar PK, Watt K, Lopez R, Akras Z, Zein N, Carey W, Alkhouri N. Prevalence of Nonalcoholic Steatohepatitis-Associated Cirrhosis in the United States: An Analysis of National Health and Nutrition Examination Survey Data. </w:t>
      </w:r>
      <w:r w:rsidRPr="003D6687">
        <w:rPr>
          <w:i/>
          <w:iCs/>
          <w:color w:val="000000" w:themeColor="text1"/>
        </w:rPr>
        <w:t>Am J Gastroenterol</w:t>
      </w:r>
      <w:r w:rsidRPr="003D6687">
        <w:rPr>
          <w:color w:val="000000" w:themeColor="text1"/>
        </w:rPr>
        <w:t> 2017; </w:t>
      </w:r>
      <w:r w:rsidRPr="003D6687">
        <w:rPr>
          <w:b/>
          <w:bCs/>
          <w:color w:val="000000" w:themeColor="text1"/>
        </w:rPr>
        <w:t>112</w:t>
      </w:r>
      <w:r w:rsidRPr="003D6687">
        <w:rPr>
          <w:color w:val="000000" w:themeColor="text1"/>
        </w:rPr>
        <w:t>: 581-587 [PMID: 28195177 DOI: 10.1038/ajg.2017.5]</w:t>
      </w:r>
    </w:p>
    <w:p w14:paraId="2F1BDA92" w14:textId="77777777" w:rsidR="003D6687" w:rsidRPr="003D6687" w:rsidRDefault="003D6687" w:rsidP="003D6687">
      <w:pPr>
        <w:pStyle w:val="BookAntiqua"/>
        <w:adjustRightInd w:val="0"/>
        <w:snapToGrid w:val="0"/>
        <w:rPr>
          <w:color w:val="000000" w:themeColor="text1"/>
        </w:rPr>
      </w:pPr>
      <w:r w:rsidRPr="003D6687">
        <w:rPr>
          <w:color w:val="000000" w:themeColor="text1"/>
        </w:rPr>
        <w:t>21 </w:t>
      </w:r>
      <w:r w:rsidRPr="003D6687">
        <w:rPr>
          <w:b/>
          <w:bCs/>
          <w:color w:val="000000" w:themeColor="text1"/>
        </w:rPr>
        <w:t>Hoffmann A</w:t>
      </w:r>
      <w:r w:rsidRPr="003D6687">
        <w:rPr>
          <w:color w:val="000000" w:themeColor="text1"/>
        </w:rPr>
        <w:t>, Müller HL. RETRACTION Novel perspectives on hypothalamic-pituitary dysfunction as a risk factor for non-alcoholic fatty liver disease. </w:t>
      </w:r>
      <w:r w:rsidRPr="003D6687">
        <w:rPr>
          <w:i/>
          <w:iCs/>
          <w:color w:val="000000" w:themeColor="text1"/>
        </w:rPr>
        <w:t>Minerva Endocrinol</w:t>
      </w:r>
      <w:r w:rsidRPr="003D6687">
        <w:rPr>
          <w:color w:val="000000" w:themeColor="text1"/>
        </w:rPr>
        <w:t>2017; </w:t>
      </w:r>
      <w:r w:rsidRPr="003D6687">
        <w:rPr>
          <w:b/>
          <w:bCs/>
          <w:color w:val="000000" w:themeColor="text1"/>
        </w:rPr>
        <w:t>42</w:t>
      </w:r>
      <w:r w:rsidRPr="003D6687">
        <w:rPr>
          <w:color w:val="000000" w:themeColor="text1"/>
        </w:rPr>
        <w:t>: 132-144 [PMID: 27405476 DOI: 10.23736/S0391-1977.16.02500-1]</w:t>
      </w:r>
    </w:p>
    <w:p w14:paraId="5A9CDBA5" w14:textId="77777777" w:rsidR="003D6687" w:rsidRPr="003D6687" w:rsidRDefault="003D6687" w:rsidP="003D6687">
      <w:pPr>
        <w:pStyle w:val="BookAntiqua"/>
        <w:adjustRightInd w:val="0"/>
        <w:snapToGrid w:val="0"/>
        <w:rPr>
          <w:color w:val="000000" w:themeColor="text1"/>
        </w:rPr>
      </w:pPr>
      <w:r w:rsidRPr="003D6687">
        <w:rPr>
          <w:color w:val="000000" w:themeColor="text1"/>
        </w:rPr>
        <w:t>22 </w:t>
      </w:r>
      <w:r w:rsidRPr="003D6687">
        <w:rPr>
          <w:b/>
          <w:bCs/>
          <w:color w:val="000000" w:themeColor="text1"/>
        </w:rPr>
        <w:t>Schliess F</w:t>
      </w:r>
      <w:r w:rsidRPr="003D6687">
        <w:rPr>
          <w:color w:val="000000" w:themeColor="text1"/>
        </w:rPr>
        <w:t>, Häussinger D. Osmosensing and signaling in the regulation of liver function. </w:t>
      </w:r>
      <w:r w:rsidRPr="003D6687">
        <w:rPr>
          <w:i/>
          <w:iCs/>
          <w:color w:val="000000" w:themeColor="text1"/>
        </w:rPr>
        <w:t>Contrib Nephrol</w:t>
      </w:r>
      <w:r w:rsidRPr="003D6687">
        <w:rPr>
          <w:color w:val="000000" w:themeColor="text1"/>
        </w:rPr>
        <w:t> 2006; </w:t>
      </w:r>
      <w:r w:rsidRPr="003D6687">
        <w:rPr>
          <w:b/>
          <w:bCs/>
          <w:color w:val="000000" w:themeColor="text1"/>
        </w:rPr>
        <w:t>152</w:t>
      </w:r>
      <w:r w:rsidRPr="003D6687">
        <w:rPr>
          <w:color w:val="000000" w:themeColor="text1"/>
        </w:rPr>
        <w:t>: 198-209 [PMID: 17065813 DOI: 10.1159/000096324]</w:t>
      </w:r>
    </w:p>
    <w:p w14:paraId="4EA32328" w14:textId="77777777" w:rsidR="003D6687" w:rsidRPr="003D6687" w:rsidRDefault="003D6687" w:rsidP="003D6687">
      <w:pPr>
        <w:pStyle w:val="BookAntiqua"/>
        <w:adjustRightInd w:val="0"/>
        <w:snapToGrid w:val="0"/>
        <w:rPr>
          <w:color w:val="000000" w:themeColor="text1"/>
        </w:rPr>
      </w:pPr>
      <w:r w:rsidRPr="003D6687">
        <w:rPr>
          <w:color w:val="000000" w:themeColor="text1"/>
        </w:rPr>
        <w:t>23 </w:t>
      </w:r>
      <w:r w:rsidRPr="003D6687">
        <w:rPr>
          <w:b/>
          <w:bCs/>
          <w:color w:val="000000" w:themeColor="text1"/>
        </w:rPr>
        <w:t>Reinehr R</w:t>
      </w:r>
      <w:r w:rsidRPr="003D6687">
        <w:rPr>
          <w:color w:val="000000" w:themeColor="text1"/>
        </w:rPr>
        <w:t>, Becker S, Höngen A, Haüssinger D. The Src family kinase Yes triggers hyperosmotic activation of the epidermal growth factor receptor and CD95. </w:t>
      </w:r>
      <w:r w:rsidRPr="003D6687">
        <w:rPr>
          <w:i/>
          <w:iCs/>
          <w:color w:val="000000" w:themeColor="text1"/>
        </w:rPr>
        <w:t>J Biol Chem</w:t>
      </w:r>
      <w:r w:rsidRPr="003D6687">
        <w:rPr>
          <w:color w:val="000000" w:themeColor="text1"/>
        </w:rPr>
        <w:t> 2004; </w:t>
      </w:r>
      <w:r w:rsidRPr="003D6687">
        <w:rPr>
          <w:b/>
          <w:bCs/>
          <w:color w:val="000000" w:themeColor="text1"/>
        </w:rPr>
        <w:t>279</w:t>
      </w:r>
      <w:r w:rsidRPr="003D6687">
        <w:rPr>
          <w:color w:val="000000" w:themeColor="text1"/>
        </w:rPr>
        <w:t>: 23977-23987 [PMID: 15039424 DOI: 10.1074/jbc.M401519200]</w:t>
      </w:r>
    </w:p>
    <w:p w14:paraId="638883AE" w14:textId="77777777" w:rsidR="003D6687" w:rsidRPr="003D6687" w:rsidRDefault="003D6687" w:rsidP="003D6687">
      <w:pPr>
        <w:pStyle w:val="BookAntiqua"/>
        <w:adjustRightInd w:val="0"/>
        <w:snapToGrid w:val="0"/>
        <w:rPr>
          <w:color w:val="000000" w:themeColor="text1"/>
        </w:rPr>
      </w:pPr>
      <w:r w:rsidRPr="003D6687">
        <w:rPr>
          <w:color w:val="000000" w:themeColor="text1"/>
        </w:rPr>
        <w:t>24 </w:t>
      </w:r>
      <w:r w:rsidRPr="003D6687">
        <w:rPr>
          <w:b/>
          <w:bCs/>
          <w:color w:val="000000" w:themeColor="text1"/>
        </w:rPr>
        <w:t>Reinehr R</w:t>
      </w:r>
      <w:r w:rsidRPr="003D6687">
        <w:rPr>
          <w:color w:val="000000" w:themeColor="text1"/>
        </w:rPr>
        <w:t>, Schliess F, Häussinger D. Hyperosmolarity and CD95L trigger CD95/EGF receptor association and tyrosine phosphorylation of CD95 as prerequisites for CD95 membrane trafficking and DISC formation. </w:t>
      </w:r>
      <w:r w:rsidRPr="003D6687">
        <w:rPr>
          <w:i/>
          <w:iCs/>
          <w:color w:val="000000" w:themeColor="text1"/>
        </w:rPr>
        <w:t>FASEB J</w:t>
      </w:r>
      <w:r w:rsidRPr="003D6687">
        <w:rPr>
          <w:color w:val="000000" w:themeColor="text1"/>
        </w:rPr>
        <w:t> 2003; </w:t>
      </w:r>
      <w:r w:rsidRPr="003D6687">
        <w:rPr>
          <w:b/>
          <w:bCs/>
          <w:color w:val="000000" w:themeColor="text1"/>
        </w:rPr>
        <w:t>17</w:t>
      </w:r>
      <w:r w:rsidRPr="003D6687">
        <w:rPr>
          <w:color w:val="000000" w:themeColor="text1"/>
        </w:rPr>
        <w:t>: 731-733 [PMID: 12586732 DOI: 10.1096/fj.02-0915fje]</w:t>
      </w:r>
    </w:p>
    <w:p w14:paraId="0730955D" w14:textId="77777777" w:rsidR="003D6687" w:rsidRPr="003D6687" w:rsidRDefault="003D6687" w:rsidP="003D6687">
      <w:pPr>
        <w:pStyle w:val="BookAntiqua"/>
        <w:adjustRightInd w:val="0"/>
        <w:snapToGrid w:val="0"/>
        <w:rPr>
          <w:color w:val="000000" w:themeColor="text1"/>
        </w:rPr>
      </w:pPr>
      <w:r w:rsidRPr="003D6687">
        <w:rPr>
          <w:color w:val="000000" w:themeColor="text1"/>
        </w:rPr>
        <w:t>25 </w:t>
      </w:r>
      <w:r w:rsidRPr="003D6687">
        <w:rPr>
          <w:b/>
          <w:bCs/>
          <w:color w:val="000000" w:themeColor="text1"/>
        </w:rPr>
        <w:t>Meier R</w:t>
      </w:r>
      <w:r w:rsidRPr="003D6687">
        <w:rPr>
          <w:color w:val="000000" w:themeColor="text1"/>
        </w:rPr>
        <w:t>, Thelen M, Hemmings BA. Inactivation and dephosphorylation of protein kinase Balpha (PKBalpha) promoted by hyperosmotic stress. </w:t>
      </w:r>
      <w:r w:rsidRPr="003D6687">
        <w:rPr>
          <w:i/>
          <w:iCs/>
          <w:color w:val="000000" w:themeColor="text1"/>
        </w:rPr>
        <w:t xml:space="preserve">EMBO </w:t>
      </w:r>
      <w:r w:rsidRPr="003D6687">
        <w:rPr>
          <w:i/>
          <w:iCs/>
          <w:color w:val="000000" w:themeColor="text1"/>
        </w:rPr>
        <w:lastRenderedPageBreak/>
        <w:t>J</w:t>
      </w:r>
      <w:r w:rsidRPr="003D6687">
        <w:rPr>
          <w:color w:val="000000" w:themeColor="text1"/>
        </w:rPr>
        <w:t> 1998; </w:t>
      </w:r>
      <w:r w:rsidRPr="003D6687">
        <w:rPr>
          <w:b/>
          <w:bCs/>
          <w:color w:val="000000" w:themeColor="text1"/>
        </w:rPr>
        <w:t>17</w:t>
      </w:r>
      <w:r w:rsidRPr="003D6687">
        <w:rPr>
          <w:color w:val="000000" w:themeColor="text1"/>
        </w:rPr>
        <w:t>: 7294-7303 [PMID: 9857186 DOI: 10.1093/emboj/17.24.7294]</w:t>
      </w:r>
    </w:p>
    <w:p w14:paraId="6DDEBA85" w14:textId="77777777" w:rsidR="003D6687" w:rsidRPr="003D6687" w:rsidRDefault="003D6687" w:rsidP="003D6687">
      <w:pPr>
        <w:pStyle w:val="BookAntiqua"/>
        <w:adjustRightInd w:val="0"/>
        <w:snapToGrid w:val="0"/>
        <w:rPr>
          <w:color w:val="000000" w:themeColor="text1"/>
        </w:rPr>
      </w:pPr>
      <w:r w:rsidRPr="003D6687">
        <w:rPr>
          <w:color w:val="000000" w:themeColor="text1"/>
        </w:rPr>
        <w:t>26 </w:t>
      </w:r>
      <w:r w:rsidRPr="003D6687">
        <w:rPr>
          <w:b/>
          <w:bCs/>
          <w:color w:val="000000" w:themeColor="text1"/>
        </w:rPr>
        <w:t>Chen D</w:t>
      </w:r>
      <w:r w:rsidRPr="003D6687">
        <w:rPr>
          <w:color w:val="000000" w:themeColor="text1"/>
        </w:rPr>
        <w:t>, Elmendorf JS, Olson AL, Li X, Earp HS, Pessin JE. Osmotic shock stimulates GLUT4 translocation in 3T3L1 adipocytes by a novel tyrosine kinase pathway. </w:t>
      </w:r>
      <w:r w:rsidRPr="003D6687">
        <w:rPr>
          <w:i/>
          <w:iCs/>
          <w:color w:val="000000" w:themeColor="text1"/>
        </w:rPr>
        <w:t>J Biol Chem</w:t>
      </w:r>
      <w:r w:rsidRPr="003D6687">
        <w:rPr>
          <w:color w:val="000000" w:themeColor="text1"/>
        </w:rPr>
        <w:t> 1997; </w:t>
      </w:r>
      <w:r w:rsidRPr="003D6687">
        <w:rPr>
          <w:b/>
          <w:bCs/>
          <w:color w:val="000000" w:themeColor="text1"/>
        </w:rPr>
        <w:t>272</w:t>
      </w:r>
      <w:r w:rsidRPr="003D6687">
        <w:rPr>
          <w:color w:val="000000" w:themeColor="text1"/>
        </w:rPr>
        <w:t>: 27401-27410 [PMID: 9341192]</w:t>
      </w:r>
    </w:p>
    <w:p w14:paraId="14A660D4" w14:textId="77777777" w:rsidR="003D6687" w:rsidRPr="003D6687" w:rsidRDefault="003D6687" w:rsidP="003D6687">
      <w:pPr>
        <w:pStyle w:val="BookAntiqua"/>
        <w:adjustRightInd w:val="0"/>
        <w:snapToGrid w:val="0"/>
        <w:rPr>
          <w:color w:val="000000" w:themeColor="text1"/>
        </w:rPr>
      </w:pPr>
      <w:r w:rsidRPr="003D6687">
        <w:rPr>
          <w:color w:val="000000" w:themeColor="text1"/>
        </w:rPr>
        <w:t>27 </w:t>
      </w:r>
      <w:r w:rsidRPr="003D6687">
        <w:rPr>
          <w:b/>
          <w:bCs/>
          <w:color w:val="000000" w:themeColor="text1"/>
        </w:rPr>
        <w:t>Randhawa VK</w:t>
      </w:r>
      <w:r w:rsidRPr="003D6687">
        <w:rPr>
          <w:color w:val="000000" w:themeColor="text1"/>
        </w:rPr>
        <w:t>, Thong FS, Lim DY, Li D, Garg RR, Rudge R, Galli T, Rudich A, Klip A. Insulin and hypertonicity recruit GLUT4 to the plasma membrane of muscle cells by using N-ethylmaleimide-sensitive factor-dependent SNARE mechanisms but different v-SNAREs: role of TI-VAMP. </w:t>
      </w:r>
      <w:r w:rsidRPr="003D6687">
        <w:rPr>
          <w:i/>
          <w:iCs/>
          <w:color w:val="000000" w:themeColor="text1"/>
        </w:rPr>
        <w:t>Mol Biol Cell</w:t>
      </w:r>
      <w:r w:rsidRPr="003D6687">
        <w:rPr>
          <w:color w:val="000000" w:themeColor="text1"/>
        </w:rPr>
        <w:t> 2004; </w:t>
      </w:r>
      <w:r w:rsidRPr="003D6687">
        <w:rPr>
          <w:b/>
          <w:bCs/>
          <w:color w:val="000000" w:themeColor="text1"/>
        </w:rPr>
        <w:t>15</w:t>
      </w:r>
      <w:r w:rsidRPr="003D6687">
        <w:rPr>
          <w:color w:val="000000" w:themeColor="text1"/>
        </w:rPr>
        <w:t>: 5565-5573 [PMID: 15469990 DOI: 10.1091/mbc.e04-03-0266]</w:t>
      </w:r>
    </w:p>
    <w:p w14:paraId="4DDD56B1" w14:textId="77777777" w:rsidR="003D6687" w:rsidRPr="003D6687" w:rsidRDefault="003D6687" w:rsidP="003D6687">
      <w:pPr>
        <w:pStyle w:val="BookAntiqua"/>
        <w:adjustRightInd w:val="0"/>
        <w:snapToGrid w:val="0"/>
        <w:rPr>
          <w:color w:val="000000" w:themeColor="text1"/>
        </w:rPr>
      </w:pPr>
      <w:r w:rsidRPr="003D6687">
        <w:rPr>
          <w:color w:val="000000" w:themeColor="text1"/>
        </w:rPr>
        <w:t>28 </w:t>
      </w:r>
      <w:r w:rsidRPr="003D6687">
        <w:rPr>
          <w:b/>
          <w:bCs/>
          <w:color w:val="000000" w:themeColor="text1"/>
        </w:rPr>
        <w:t>Gual P</w:t>
      </w:r>
      <w:r w:rsidRPr="003D6687">
        <w:rPr>
          <w:color w:val="000000" w:themeColor="text1"/>
        </w:rPr>
        <w:t>, Gonzalez T, Grémeaux T, Barres R, Le Marchand-Brustel Y, Tanti JF. Hyperosmotic stress inhibits insulin receptor substrate-1 function by distinct mechanisms in 3T3-L1 adipocytes. </w:t>
      </w:r>
      <w:r w:rsidRPr="003D6687">
        <w:rPr>
          <w:i/>
          <w:iCs/>
          <w:color w:val="000000" w:themeColor="text1"/>
        </w:rPr>
        <w:t>J Biol Chem</w:t>
      </w:r>
      <w:r w:rsidRPr="003D6687">
        <w:rPr>
          <w:color w:val="000000" w:themeColor="text1"/>
        </w:rPr>
        <w:t> 2003; </w:t>
      </w:r>
      <w:r w:rsidRPr="003D6687">
        <w:rPr>
          <w:b/>
          <w:bCs/>
          <w:color w:val="000000" w:themeColor="text1"/>
        </w:rPr>
        <w:t>278</w:t>
      </w:r>
      <w:r w:rsidRPr="003D6687">
        <w:rPr>
          <w:color w:val="000000" w:themeColor="text1"/>
        </w:rPr>
        <w:t>: 26550-26557 [PMID: 12730242 DOI: 10.1074/jbc.M212273200]</w:t>
      </w:r>
    </w:p>
    <w:p w14:paraId="3F53AE8D" w14:textId="77777777" w:rsidR="003D6687" w:rsidRPr="003D6687" w:rsidRDefault="003D6687" w:rsidP="003D6687">
      <w:pPr>
        <w:pStyle w:val="BookAntiqua"/>
        <w:adjustRightInd w:val="0"/>
        <w:snapToGrid w:val="0"/>
        <w:rPr>
          <w:color w:val="000000" w:themeColor="text1"/>
        </w:rPr>
      </w:pPr>
      <w:r w:rsidRPr="003D6687">
        <w:rPr>
          <w:color w:val="000000" w:themeColor="text1"/>
        </w:rPr>
        <w:t>29 </w:t>
      </w:r>
      <w:r w:rsidRPr="003D6687">
        <w:rPr>
          <w:b/>
          <w:bCs/>
          <w:color w:val="000000" w:themeColor="text1"/>
        </w:rPr>
        <w:t>Ercin CN</w:t>
      </w:r>
      <w:r w:rsidRPr="003D6687">
        <w:rPr>
          <w:color w:val="000000" w:themeColor="text1"/>
        </w:rPr>
        <w:t>, Dogru T, Genc H, Celebi G, Aslan F, Gurel H, Kara M, Sertoglu E, Tapan S, Bagci S, Rizzo M, Sonmez A. Insulin Resistance but Not Visceral Adiposity Index Is Associated with Liver Fibrosis in Nondiabetic Subjects with Nonalcoholic Fatty Liver Disease. </w:t>
      </w:r>
      <w:r w:rsidRPr="003D6687">
        <w:rPr>
          <w:i/>
          <w:iCs/>
          <w:color w:val="000000" w:themeColor="text1"/>
        </w:rPr>
        <w:t>Metab Syndr Relat Disord</w:t>
      </w:r>
      <w:r w:rsidRPr="003D6687">
        <w:rPr>
          <w:color w:val="000000" w:themeColor="text1"/>
        </w:rPr>
        <w:t> 2015; </w:t>
      </w:r>
      <w:r w:rsidRPr="003D6687">
        <w:rPr>
          <w:b/>
          <w:bCs/>
          <w:color w:val="000000" w:themeColor="text1"/>
        </w:rPr>
        <w:t>13</w:t>
      </w:r>
      <w:r w:rsidRPr="003D6687">
        <w:rPr>
          <w:color w:val="000000" w:themeColor="text1"/>
        </w:rPr>
        <w:t>: 319-325 [PMID: 26011302 DOI: 10.1089/met.2015.0018]</w:t>
      </w:r>
    </w:p>
    <w:p w14:paraId="085C206E" w14:textId="77777777" w:rsidR="003D6687" w:rsidRPr="003D6687" w:rsidRDefault="003D6687" w:rsidP="003D6687">
      <w:pPr>
        <w:pStyle w:val="BookAntiqua"/>
        <w:adjustRightInd w:val="0"/>
        <w:snapToGrid w:val="0"/>
        <w:rPr>
          <w:color w:val="000000" w:themeColor="text1"/>
        </w:rPr>
      </w:pPr>
      <w:r w:rsidRPr="003D6687">
        <w:rPr>
          <w:color w:val="000000" w:themeColor="text1"/>
        </w:rPr>
        <w:t>30 </w:t>
      </w:r>
      <w:r w:rsidRPr="003D6687">
        <w:rPr>
          <w:b/>
          <w:bCs/>
          <w:color w:val="000000" w:themeColor="text1"/>
        </w:rPr>
        <w:t>Kumar R</w:t>
      </w:r>
      <w:r w:rsidRPr="003D6687">
        <w:rPr>
          <w:color w:val="000000" w:themeColor="text1"/>
        </w:rPr>
        <w:t>. Hepatogenous Diabetes: An Underestimated Problem of Liver Cirrhosis. </w:t>
      </w:r>
      <w:r w:rsidRPr="003D6687">
        <w:rPr>
          <w:i/>
          <w:iCs/>
          <w:color w:val="000000" w:themeColor="text1"/>
        </w:rPr>
        <w:t>Indian J Endocrinol Metab</w:t>
      </w:r>
      <w:r w:rsidRPr="003D6687">
        <w:rPr>
          <w:color w:val="000000" w:themeColor="text1"/>
        </w:rPr>
        <w:t> 2018; </w:t>
      </w:r>
      <w:r w:rsidRPr="003D6687">
        <w:rPr>
          <w:b/>
          <w:bCs/>
          <w:color w:val="000000" w:themeColor="text1"/>
        </w:rPr>
        <w:t>22</w:t>
      </w:r>
      <w:r w:rsidRPr="003D6687">
        <w:rPr>
          <w:color w:val="000000" w:themeColor="text1"/>
        </w:rPr>
        <w:t>: 552-559 [PMID: 30148106 DOI: 10.4103/ijem.IJEM_79_18]</w:t>
      </w:r>
    </w:p>
    <w:p w14:paraId="5154E132" w14:textId="77777777" w:rsidR="003D6687" w:rsidRPr="003D6687" w:rsidRDefault="003D6687" w:rsidP="003D6687">
      <w:pPr>
        <w:pStyle w:val="BookAntiqua"/>
        <w:adjustRightInd w:val="0"/>
        <w:snapToGrid w:val="0"/>
        <w:rPr>
          <w:color w:val="000000" w:themeColor="text1"/>
        </w:rPr>
      </w:pPr>
      <w:r w:rsidRPr="003D6687">
        <w:rPr>
          <w:color w:val="000000" w:themeColor="text1"/>
        </w:rPr>
        <w:t>31 </w:t>
      </w:r>
      <w:r w:rsidRPr="003D6687">
        <w:rPr>
          <w:b/>
          <w:bCs/>
          <w:color w:val="000000" w:themeColor="text1"/>
        </w:rPr>
        <w:t>Orsi E</w:t>
      </w:r>
      <w:r w:rsidRPr="003D6687">
        <w:rPr>
          <w:color w:val="000000" w:themeColor="text1"/>
        </w:rPr>
        <w:t>, Grancini V, Menini S, Aghemo A, Pugliese G. Hepatogenous diabetes: Is it time to separate it from type 2 diabetes? </w:t>
      </w:r>
      <w:r w:rsidRPr="003D6687">
        <w:rPr>
          <w:i/>
          <w:iCs/>
          <w:color w:val="000000" w:themeColor="text1"/>
        </w:rPr>
        <w:t>Liver Int</w:t>
      </w:r>
      <w:r w:rsidRPr="003D6687">
        <w:rPr>
          <w:color w:val="000000" w:themeColor="text1"/>
        </w:rPr>
        <w:t> 2017; </w:t>
      </w:r>
      <w:r w:rsidRPr="003D6687">
        <w:rPr>
          <w:b/>
          <w:bCs/>
          <w:color w:val="000000" w:themeColor="text1"/>
        </w:rPr>
        <w:t>37</w:t>
      </w:r>
      <w:r w:rsidRPr="003D6687">
        <w:rPr>
          <w:color w:val="000000" w:themeColor="text1"/>
        </w:rPr>
        <w:t>: 950-962 [PMID: 27943508 DOI: 10.1111/liv.13337]</w:t>
      </w:r>
    </w:p>
    <w:p w14:paraId="40500EB6" w14:textId="77777777" w:rsidR="003D6687" w:rsidRPr="003D6687" w:rsidRDefault="003D6687" w:rsidP="003D6687">
      <w:pPr>
        <w:pStyle w:val="BookAntiqua"/>
        <w:adjustRightInd w:val="0"/>
        <w:snapToGrid w:val="0"/>
        <w:rPr>
          <w:color w:val="000000" w:themeColor="text1"/>
        </w:rPr>
      </w:pPr>
      <w:r w:rsidRPr="003D6687">
        <w:rPr>
          <w:color w:val="000000" w:themeColor="text1"/>
        </w:rPr>
        <w:t>32 </w:t>
      </w:r>
      <w:r w:rsidRPr="003D6687">
        <w:rPr>
          <w:b/>
          <w:bCs/>
          <w:color w:val="000000" w:themeColor="text1"/>
        </w:rPr>
        <w:t>Esterson YB</w:t>
      </w:r>
      <w:r w:rsidRPr="003D6687">
        <w:rPr>
          <w:color w:val="000000" w:themeColor="text1"/>
        </w:rPr>
        <w:t>, Grimaldi GM. Radiologic Imaging in Nonalcoholic Fatty Liver Disease and Nonalcoholic Steatohepatitis. </w:t>
      </w:r>
      <w:r w:rsidRPr="003D6687">
        <w:rPr>
          <w:i/>
          <w:iCs/>
          <w:color w:val="000000" w:themeColor="text1"/>
        </w:rPr>
        <w:t>Clin Liver Dis</w:t>
      </w:r>
      <w:r w:rsidRPr="003D6687">
        <w:rPr>
          <w:color w:val="000000" w:themeColor="text1"/>
        </w:rPr>
        <w:t> 2018; </w:t>
      </w:r>
      <w:r w:rsidRPr="003D6687">
        <w:rPr>
          <w:b/>
          <w:bCs/>
          <w:color w:val="000000" w:themeColor="text1"/>
        </w:rPr>
        <w:t>22</w:t>
      </w:r>
      <w:r w:rsidRPr="003D6687">
        <w:rPr>
          <w:color w:val="000000" w:themeColor="text1"/>
        </w:rPr>
        <w:t>: 93-108 [PMID: 29128063 DOI: 10.1016/j.cld.2017.08.005]</w:t>
      </w:r>
    </w:p>
    <w:p w14:paraId="5370E2EB" w14:textId="6FDD76C3" w:rsidR="00950508" w:rsidRPr="00950508" w:rsidRDefault="00950508" w:rsidP="00950508">
      <w:pPr>
        <w:widowControl/>
        <w:wordWrap w:val="0"/>
        <w:snapToGrid w:val="0"/>
        <w:spacing w:line="360" w:lineRule="auto"/>
        <w:jc w:val="right"/>
        <w:rPr>
          <w:rFonts w:ascii="Book Antiqua" w:hAnsi="Book Antiqua" w:cs="Times New Roman"/>
          <w:b/>
          <w:bCs/>
          <w:kern w:val="0"/>
          <w:sz w:val="24"/>
          <w:szCs w:val="24"/>
        </w:rPr>
      </w:pPr>
      <w:bookmarkStart w:id="96" w:name="OLE_LINK148"/>
      <w:bookmarkStart w:id="97" w:name="OLE_LINK320"/>
      <w:bookmarkStart w:id="98" w:name="OLE_LINK387"/>
      <w:bookmarkStart w:id="99" w:name="OLE_LINK254"/>
      <w:bookmarkStart w:id="100" w:name="OLE_LINK149"/>
      <w:bookmarkStart w:id="101" w:name="OLE_LINK225"/>
      <w:bookmarkStart w:id="102" w:name="OLE_LINK207"/>
      <w:bookmarkStart w:id="103" w:name="OLE_LINK226"/>
      <w:bookmarkStart w:id="104" w:name="OLE_LINK212"/>
      <w:bookmarkStart w:id="105" w:name="OLE_LINK250"/>
      <w:bookmarkStart w:id="106" w:name="OLE_LINK281"/>
      <w:bookmarkStart w:id="107" w:name="OLE_LINK282"/>
      <w:bookmarkStart w:id="108" w:name="OLE_LINK313"/>
      <w:bookmarkStart w:id="109" w:name="OLE_LINK304"/>
      <w:bookmarkStart w:id="110" w:name="OLE_LINK321"/>
      <w:bookmarkStart w:id="111" w:name="OLE_LINK385"/>
      <w:bookmarkStart w:id="112" w:name="OLE_LINK400"/>
      <w:bookmarkStart w:id="113" w:name="OLE_LINK346"/>
      <w:bookmarkStart w:id="114" w:name="OLE_LINK371"/>
      <w:bookmarkStart w:id="115" w:name="OLE_LINK334"/>
      <w:bookmarkStart w:id="116" w:name="OLE_LINK1830"/>
      <w:bookmarkStart w:id="117" w:name="OLE_LINK457"/>
      <w:bookmarkStart w:id="118" w:name="OLE_LINK288"/>
      <w:bookmarkStart w:id="119" w:name="OLE_LINK384"/>
      <w:bookmarkStart w:id="120" w:name="OLE_LINK379"/>
      <w:bookmarkStart w:id="121" w:name="OLE_LINK303"/>
      <w:bookmarkStart w:id="122" w:name="OLE_LINK450"/>
      <w:bookmarkStart w:id="123" w:name="OLE_LINK489"/>
      <w:bookmarkStart w:id="124" w:name="OLE_LINK535"/>
      <w:bookmarkStart w:id="125" w:name="OLE_LINK648"/>
      <w:bookmarkStart w:id="126" w:name="OLE_LINK686"/>
      <w:bookmarkStart w:id="127" w:name="OLE_LINK471"/>
      <w:bookmarkStart w:id="128" w:name="OLE_LINK462"/>
      <w:bookmarkStart w:id="129" w:name="OLE_LINK519"/>
      <w:bookmarkStart w:id="130" w:name="OLE_LINK491"/>
      <w:bookmarkStart w:id="131" w:name="OLE_LINK532"/>
      <w:bookmarkStart w:id="132" w:name="OLE_LINK574"/>
      <w:bookmarkStart w:id="133" w:name="OLE_LINK480"/>
      <w:bookmarkStart w:id="134" w:name="OLE_LINK567"/>
      <w:bookmarkStart w:id="135" w:name="OLE_LINK2700"/>
      <w:bookmarkStart w:id="136" w:name="OLE_LINK581"/>
      <w:bookmarkStart w:id="137" w:name="OLE_LINK639"/>
      <w:bookmarkStart w:id="138" w:name="OLE_LINK688"/>
      <w:bookmarkStart w:id="139" w:name="OLE_LINK722"/>
      <w:bookmarkStart w:id="140" w:name="OLE_LINK542"/>
      <w:bookmarkStart w:id="141" w:name="OLE_LINK589"/>
      <w:bookmarkStart w:id="142" w:name="OLE_LINK582"/>
      <w:bookmarkStart w:id="143" w:name="OLE_LINK640"/>
      <w:bookmarkStart w:id="144" w:name="OLE_LINK714"/>
      <w:bookmarkStart w:id="145" w:name="OLE_LINK593"/>
      <w:bookmarkStart w:id="146" w:name="OLE_LINK716"/>
      <w:bookmarkStart w:id="147" w:name="OLE_LINK770"/>
      <w:bookmarkStart w:id="148" w:name="OLE_LINK801"/>
      <w:bookmarkStart w:id="149" w:name="OLE_LINK660"/>
      <w:bookmarkStart w:id="150" w:name="OLE_LINK781"/>
      <w:bookmarkStart w:id="151" w:name="OLE_LINK833"/>
      <w:bookmarkStart w:id="152" w:name="OLE_LINK642"/>
      <w:bookmarkStart w:id="153" w:name="OLE_LINK700"/>
      <w:bookmarkStart w:id="154" w:name="OLE_LINK792"/>
      <w:bookmarkStart w:id="155" w:name="OLE_LINK2882"/>
      <w:bookmarkStart w:id="156" w:name="OLE_LINK836"/>
      <w:bookmarkStart w:id="157" w:name="OLE_LINK889"/>
      <w:bookmarkStart w:id="158" w:name="OLE_LINK782"/>
      <w:bookmarkStart w:id="159" w:name="OLE_LINK826"/>
      <w:bookmarkStart w:id="160" w:name="OLE_LINK865"/>
      <w:bookmarkStart w:id="161" w:name="OLE_LINK856"/>
      <w:bookmarkStart w:id="162" w:name="OLE_LINK908"/>
      <w:bookmarkStart w:id="163" w:name="OLE_LINK980"/>
      <w:bookmarkStart w:id="164" w:name="OLE_LINK1018"/>
      <w:bookmarkStart w:id="165" w:name="OLE_LINK1049"/>
      <w:bookmarkStart w:id="166" w:name="OLE_LINK1076"/>
      <w:bookmarkStart w:id="167" w:name="OLE_LINK1106"/>
      <w:bookmarkStart w:id="168" w:name="OLE_LINK891"/>
      <w:bookmarkStart w:id="169" w:name="OLE_LINK943"/>
      <w:bookmarkStart w:id="170" w:name="OLE_LINK981"/>
      <w:bookmarkStart w:id="171" w:name="OLE_LINK1030"/>
      <w:bookmarkStart w:id="172" w:name="OLE_LINK847"/>
      <w:bookmarkStart w:id="173" w:name="OLE_LINK909"/>
      <w:bookmarkStart w:id="174" w:name="OLE_LINK906"/>
      <w:bookmarkStart w:id="175" w:name="OLE_LINK992"/>
      <w:bookmarkStart w:id="176" w:name="OLE_LINK993"/>
      <w:bookmarkStart w:id="177" w:name="OLE_LINK1052"/>
      <w:bookmarkStart w:id="178" w:name="OLE_LINK946"/>
      <w:bookmarkStart w:id="179" w:name="OLE_LINK911"/>
      <w:bookmarkStart w:id="180" w:name="OLE_LINK930"/>
      <w:bookmarkStart w:id="181" w:name="OLE_LINK1059"/>
      <w:bookmarkStart w:id="182" w:name="OLE_LINK1174"/>
      <w:bookmarkStart w:id="183" w:name="OLE_LINK1137"/>
      <w:bookmarkStart w:id="184" w:name="OLE_LINK1167"/>
      <w:bookmarkStart w:id="185" w:name="OLE_LINK1200"/>
      <w:bookmarkStart w:id="186" w:name="OLE_LINK1241"/>
      <w:bookmarkStart w:id="187" w:name="OLE_LINK1288"/>
      <w:bookmarkStart w:id="188" w:name="OLE_LINK1056"/>
      <w:bookmarkStart w:id="189" w:name="OLE_LINK1158"/>
      <w:bookmarkStart w:id="190" w:name="OLE_LINK1175"/>
      <w:bookmarkStart w:id="191" w:name="OLE_LINK1074"/>
      <w:bookmarkStart w:id="192" w:name="OLE_LINK1169"/>
      <w:bookmarkStart w:id="193" w:name="OLE_LINK386"/>
      <w:bookmarkStart w:id="194" w:name="OLE_LINK33"/>
      <w:bookmarkStart w:id="195" w:name="OLE_LINK34"/>
      <w:bookmarkStart w:id="196" w:name="OLE_LINK52"/>
      <w:bookmarkStart w:id="197" w:name="OLE_LINK57"/>
      <w:bookmarkStart w:id="198" w:name="OLE_LINK164"/>
      <w:r w:rsidRPr="00950508">
        <w:rPr>
          <w:rFonts w:ascii="Book Antiqua" w:hAnsi="Book Antiqua" w:cs="Times New Roman"/>
          <w:b/>
          <w:bCs/>
          <w:kern w:val="0"/>
          <w:sz w:val="24"/>
          <w:szCs w:val="24"/>
        </w:rPr>
        <w:t>P-Reviewer:</w:t>
      </w:r>
      <w:r w:rsidRPr="00950508">
        <w:rPr>
          <w:rFonts w:ascii="Book Antiqua" w:hAnsi="Book Antiqua" w:cs="Times New Roman" w:hint="eastAsia"/>
          <w:b/>
          <w:bCs/>
          <w:kern w:val="0"/>
          <w:sz w:val="24"/>
          <w:szCs w:val="24"/>
        </w:rPr>
        <w:t xml:space="preserve"> </w:t>
      </w:r>
      <w:proofErr w:type="spellStart"/>
      <w:r>
        <w:rPr>
          <w:rFonts w:ascii="Book Antiqua" w:hAnsi="Book Antiqua" w:cs="Times New Roman"/>
          <w:bCs/>
          <w:kern w:val="0"/>
          <w:sz w:val="24"/>
          <w:szCs w:val="24"/>
        </w:rPr>
        <w:t>Sitkin</w:t>
      </w:r>
      <w:proofErr w:type="spellEnd"/>
      <w:r>
        <w:rPr>
          <w:rFonts w:ascii="Book Antiqua" w:hAnsi="Book Antiqua" w:cs="Times New Roman"/>
          <w:bCs/>
          <w:kern w:val="0"/>
          <w:sz w:val="24"/>
          <w:szCs w:val="24"/>
        </w:rPr>
        <w:t xml:space="preserve"> S, </w:t>
      </w:r>
      <w:proofErr w:type="spellStart"/>
      <w:r>
        <w:rPr>
          <w:rFonts w:ascii="Book Antiqua" w:hAnsi="Book Antiqua" w:cs="Times New Roman"/>
          <w:bCs/>
          <w:kern w:val="0"/>
          <w:sz w:val="24"/>
          <w:szCs w:val="24"/>
        </w:rPr>
        <w:t>Gatselis</w:t>
      </w:r>
      <w:proofErr w:type="spellEnd"/>
      <w:r>
        <w:rPr>
          <w:rFonts w:ascii="Book Antiqua" w:hAnsi="Book Antiqua" w:cs="Times New Roman"/>
          <w:bCs/>
          <w:kern w:val="0"/>
          <w:sz w:val="24"/>
          <w:szCs w:val="24"/>
        </w:rPr>
        <w:t xml:space="preserve"> NK</w:t>
      </w:r>
    </w:p>
    <w:p w14:paraId="2CBE206C" w14:textId="36594D33" w:rsidR="00950508" w:rsidRPr="00950508" w:rsidRDefault="00950508" w:rsidP="00B30ED0">
      <w:pPr>
        <w:widowControl/>
        <w:wordWrap w:val="0"/>
        <w:snapToGrid w:val="0"/>
        <w:spacing w:line="360" w:lineRule="auto"/>
        <w:jc w:val="right"/>
        <w:rPr>
          <w:rFonts w:ascii="Book Antiqua" w:hAnsi="Book Antiqua" w:cs="Times New Roman"/>
          <w:kern w:val="0"/>
          <w:sz w:val="24"/>
          <w:szCs w:val="24"/>
        </w:rPr>
      </w:pPr>
      <w:r w:rsidRPr="00950508">
        <w:rPr>
          <w:rFonts w:ascii="Book Antiqua" w:hAnsi="Book Antiqua" w:cs="Times New Roman"/>
          <w:b/>
          <w:bCs/>
          <w:kern w:val="0"/>
          <w:sz w:val="24"/>
          <w:szCs w:val="24"/>
        </w:rPr>
        <w:t>S-Editor:</w:t>
      </w:r>
      <w:r w:rsidRPr="00950508">
        <w:rPr>
          <w:rFonts w:ascii="Book Antiqua" w:hAnsi="Book Antiqua" w:cs="Times New Roman" w:hint="eastAsia"/>
          <w:kern w:val="0"/>
          <w:sz w:val="24"/>
          <w:szCs w:val="24"/>
        </w:rPr>
        <w:t xml:space="preserve"> </w:t>
      </w:r>
      <w:r w:rsidRPr="00950508">
        <w:rPr>
          <w:rFonts w:ascii="Book Antiqua" w:hAnsi="Book Antiqua" w:cs="Times New Roman"/>
          <w:kern w:val="0"/>
          <w:sz w:val="24"/>
          <w:szCs w:val="24"/>
        </w:rPr>
        <w:t>Ma</w:t>
      </w:r>
      <w:r w:rsidRPr="00950508">
        <w:rPr>
          <w:rFonts w:ascii="Book Antiqua" w:hAnsi="Book Antiqua" w:cs="Times New Roman" w:hint="eastAsia"/>
          <w:kern w:val="0"/>
          <w:sz w:val="24"/>
          <w:szCs w:val="24"/>
        </w:rPr>
        <w:t xml:space="preserve"> </w:t>
      </w:r>
      <w:r w:rsidRPr="00950508">
        <w:rPr>
          <w:rFonts w:ascii="Book Antiqua" w:hAnsi="Book Antiqua" w:cs="Times New Roman"/>
          <w:kern w:val="0"/>
          <w:sz w:val="24"/>
          <w:szCs w:val="24"/>
        </w:rPr>
        <w:t>RY</w:t>
      </w:r>
      <w:r w:rsidRPr="00950508">
        <w:rPr>
          <w:rFonts w:ascii="Book Antiqua" w:hAnsi="Book Antiqua" w:cs="Times New Roman" w:hint="eastAsia"/>
          <w:kern w:val="0"/>
          <w:sz w:val="24"/>
          <w:szCs w:val="24"/>
        </w:rPr>
        <w:t xml:space="preserve"> </w:t>
      </w:r>
      <w:r w:rsidRPr="00950508">
        <w:rPr>
          <w:rFonts w:ascii="Book Antiqua" w:hAnsi="Book Antiqua" w:cs="Times New Roman"/>
          <w:b/>
          <w:bCs/>
          <w:kern w:val="0"/>
          <w:sz w:val="24"/>
          <w:szCs w:val="24"/>
        </w:rPr>
        <w:t>L-Editor:</w:t>
      </w:r>
      <w:r w:rsidRPr="00950508">
        <w:rPr>
          <w:rFonts w:ascii="Book Antiqua" w:hAnsi="Book Antiqua" w:cs="Times New Roman"/>
          <w:kern w:val="0"/>
          <w:sz w:val="24"/>
          <w:szCs w:val="24"/>
        </w:rPr>
        <w:t xml:space="preserve"> </w:t>
      </w:r>
      <w:r w:rsidR="008C5686">
        <w:rPr>
          <w:rFonts w:ascii="Book Antiqua" w:hAnsi="Book Antiqua" w:cs="Times New Roman"/>
          <w:kern w:val="0"/>
          <w:sz w:val="24"/>
          <w:szCs w:val="24"/>
        </w:rPr>
        <w:t xml:space="preserve">Wang TQ </w:t>
      </w:r>
      <w:r w:rsidRPr="00950508">
        <w:rPr>
          <w:rFonts w:ascii="Book Antiqua" w:hAnsi="Book Antiqua" w:cs="Times New Roman"/>
          <w:b/>
          <w:bCs/>
          <w:kern w:val="0"/>
          <w:sz w:val="24"/>
          <w:szCs w:val="24"/>
        </w:rPr>
        <w:t>E-Editor:</w:t>
      </w:r>
      <w:r w:rsidR="00B71F01">
        <w:rPr>
          <w:rFonts w:ascii="Book Antiqua" w:hAnsi="Book Antiqua" w:cs="Times New Roman"/>
          <w:b/>
          <w:bCs/>
          <w:kern w:val="0"/>
          <w:sz w:val="24"/>
          <w:szCs w:val="24"/>
        </w:rPr>
        <w:t xml:space="preserve"> </w:t>
      </w:r>
      <w:r w:rsidR="00B71F01" w:rsidRPr="00B71F01">
        <w:rPr>
          <w:rFonts w:ascii="Book Antiqua" w:hAnsi="Book Antiqua" w:cs="Times New Roman"/>
          <w:bCs/>
          <w:kern w:val="0"/>
          <w:sz w:val="24"/>
          <w:szCs w:val="24"/>
        </w:rPr>
        <w:t>So</w:t>
      </w:r>
      <w:bookmarkStart w:id="199" w:name="_GoBack"/>
      <w:bookmarkEnd w:id="199"/>
      <w:r w:rsidR="00B71F01" w:rsidRPr="00B71F01">
        <w:rPr>
          <w:rFonts w:ascii="Book Antiqua" w:hAnsi="Book Antiqua" w:cs="Times New Roman"/>
          <w:bCs/>
          <w:kern w:val="0"/>
          <w:sz w:val="24"/>
          <w:szCs w:val="24"/>
        </w:rPr>
        <w:t>ng H</w:t>
      </w:r>
    </w:p>
    <w:p w14:paraId="14EE9AEA" w14:textId="77777777" w:rsidR="00950508" w:rsidRPr="00950508" w:rsidRDefault="00950508" w:rsidP="00950508">
      <w:pPr>
        <w:widowControl/>
        <w:shd w:val="clear" w:color="auto" w:fill="FFFFFF"/>
        <w:snapToGrid w:val="0"/>
        <w:spacing w:line="360" w:lineRule="auto"/>
        <w:rPr>
          <w:rFonts w:ascii="Book Antiqua" w:hAnsi="Book Antiqua" w:cs="Helvetica"/>
          <w:b/>
          <w:kern w:val="0"/>
          <w:sz w:val="24"/>
          <w:szCs w:val="24"/>
        </w:rPr>
      </w:pPr>
      <w:bookmarkStart w:id="200" w:name="OLE_LINK880"/>
      <w:bookmarkStart w:id="201" w:name="OLE_LINK881"/>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950508">
        <w:rPr>
          <w:rFonts w:ascii="Book Antiqua" w:hAnsi="Book Antiqua" w:cs="Helvetica"/>
          <w:b/>
          <w:kern w:val="0"/>
          <w:sz w:val="24"/>
          <w:szCs w:val="24"/>
        </w:rPr>
        <w:t xml:space="preserve">Specialty type: </w:t>
      </w:r>
      <w:r w:rsidRPr="00950508">
        <w:rPr>
          <w:rFonts w:ascii="Book Antiqua" w:hAnsi="Book Antiqua" w:cs="Helvetica"/>
          <w:kern w:val="0"/>
          <w:sz w:val="24"/>
          <w:szCs w:val="24"/>
        </w:rPr>
        <w:t>Gastroenterology and</w:t>
      </w:r>
      <w:r w:rsidRPr="00950508">
        <w:rPr>
          <w:rFonts w:ascii="Book Antiqua" w:hAnsi="Book Antiqua" w:cs="Helvetica" w:hint="eastAsia"/>
          <w:kern w:val="0"/>
          <w:sz w:val="24"/>
          <w:szCs w:val="24"/>
        </w:rPr>
        <w:t xml:space="preserve"> </w:t>
      </w:r>
      <w:r w:rsidRPr="00950508">
        <w:rPr>
          <w:rFonts w:ascii="Book Antiqua" w:hAnsi="Book Antiqua" w:cs="Helvetica"/>
          <w:kern w:val="0"/>
          <w:sz w:val="24"/>
          <w:szCs w:val="24"/>
        </w:rPr>
        <w:t>hepatology</w:t>
      </w:r>
    </w:p>
    <w:p w14:paraId="20B9C805" w14:textId="77777777" w:rsidR="00950508" w:rsidRPr="00950508" w:rsidRDefault="00950508" w:rsidP="00950508">
      <w:pPr>
        <w:widowControl/>
        <w:shd w:val="clear" w:color="auto" w:fill="FFFFFF"/>
        <w:snapToGrid w:val="0"/>
        <w:spacing w:line="360" w:lineRule="auto"/>
        <w:rPr>
          <w:rFonts w:ascii="Book Antiqua" w:hAnsi="Book Antiqua" w:cs="Helvetica"/>
          <w:b/>
          <w:kern w:val="0"/>
          <w:sz w:val="24"/>
          <w:szCs w:val="24"/>
        </w:rPr>
      </w:pPr>
      <w:r w:rsidRPr="00950508">
        <w:rPr>
          <w:rFonts w:ascii="Book Antiqua" w:hAnsi="Book Antiqua" w:cs="Helvetica"/>
          <w:b/>
          <w:kern w:val="0"/>
          <w:sz w:val="24"/>
          <w:szCs w:val="24"/>
        </w:rPr>
        <w:t xml:space="preserve">Country of origin: </w:t>
      </w:r>
      <w:r w:rsidRPr="00950508">
        <w:rPr>
          <w:rFonts w:ascii="Book Antiqua" w:hAnsi="Book Antiqua" w:cs="Helvetica"/>
          <w:kern w:val="0"/>
          <w:sz w:val="24"/>
          <w:szCs w:val="24"/>
        </w:rPr>
        <w:t>China</w:t>
      </w:r>
    </w:p>
    <w:p w14:paraId="123B2676" w14:textId="77777777" w:rsidR="00950508" w:rsidRPr="00950508" w:rsidRDefault="00950508" w:rsidP="00950508">
      <w:pPr>
        <w:widowControl/>
        <w:shd w:val="clear" w:color="auto" w:fill="FFFFFF"/>
        <w:snapToGrid w:val="0"/>
        <w:spacing w:line="360" w:lineRule="auto"/>
        <w:rPr>
          <w:rFonts w:ascii="Book Antiqua" w:hAnsi="Book Antiqua" w:cs="Helvetica"/>
          <w:b/>
          <w:kern w:val="0"/>
          <w:sz w:val="24"/>
          <w:szCs w:val="24"/>
        </w:rPr>
      </w:pPr>
      <w:r w:rsidRPr="00950508">
        <w:rPr>
          <w:rFonts w:ascii="Book Antiqua" w:hAnsi="Book Antiqua" w:cs="Helvetica"/>
          <w:b/>
          <w:kern w:val="0"/>
          <w:sz w:val="24"/>
          <w:szCs w:val="24"/>
        </w:rPr>
        <w:lastRenderedPageBreak/>
        <w:t>Peer-review report classification</w:t>
      </w:r>
    </w:p>
    <w:p w14:paraId="023F2AA7" w14:textId="77777777" w:rsidR="00950508" w:rsidRPr="00950508" w:rsidRDefault="00950508" w:rsidP="00950508">
      <w:pPr>
        <w:widowControl/>
        <w:shd w:val="clear" w:color="auto" w:fill="FFFFFF"/>
        <w:snapToGrid w:val="0"/>
        <w:spacing w:line="360" w:lineRule="auto"/>
        <w:rPr>
          <w:rFonts w:ascii="Book Antiqua" w:hAnsi="Book Antiqua" w:cs="Helvetica"/>
          <w:kern w:val="0"/>
          <w:sz w:val="24"/>
          <w:szCs w:val="24"/>
        </w:rPr>
      </w:pPr>
      <w:r w:rsidRPr="00950508">
        <w:rPr>
          <w:rFonts w:ascii="Book Antiqua" w:hAnsi="Book Antiqua" w:cs="Helvetica"/>
          <w:kern w:val="0"/>
          <w:sz w:val="24"/>
          <w:szCs w:val="24"/>
        </w:rPr>
        <w:t xml:space="preserve">Grade A (Excellent): </w:t>
      </w:r>
      <w:r w:rsidRPr="00950508">
        <w:rPr>
          <w:rFonts w:ascii="Book Antiqua" w:hAnsi="Book Antiqua" w:cs="Helvetica" w:hint="eastAsia"/>
          <w:kern w:val="0"/>
          <w:sz w:val="24"/>
          <w:szCs w:val="24"/>
        </w:rPr>
        <w:t>0</w:t>
      </w:r>
    </w:p>
    <w:p w14:paraId="4C53FB78" w14:textId="77777777" w:rsidR="00950508" w:rsidRPr="00950508" w:rsidRDefault="00950508" w:rsidP="00950508">
      <w:pPr>
        <w:widowControl/>
        <w:shd w:val="clear" w:color="auto" w:fill="FFFFFF"/>
        <w:snapToGrid w:val="0"/>
        <w:spacing w:line="360" w:lineRule="auto"/>
        <w:rPr>
          <w:rFonts w:ascii="Book Antiqua" w:hAnsi="Book Antiqua" w:cs="Helvetica"/>
          <w:kern w:val="0"/>
          <w:sz w:val="24"/>
          <w:szCs w:val="24"/>
        </w:rPr>
      </w:pPr>
      <w:r w:rsidRPr="00950508">
        <w:rPr>
          <w:rFonts w:ascii="Book Antiqua" w:hAnsi="Book Antiqua" w:cs="Helvetica"/>
          <w:kern w:val="0"/>
          <w:sz w:val="24"/>
          <w:szCs w:val="24"/>
        </w:rPr>
        <w:t xml:space="preserve">Grade B (Very good): </w:t>
      </w:r>
      <w:r w:rsidRPr="00950508">
        <w:rPr>
          <w:rFonts w:ascii="Book Antiqua" w:hAnsi="Book Antiqua" w:cs="Helvetica" w:hint="eastAsia"/>
          <w:kern w:val="0"/>
          <w:sz w:val="24"/>
          <w:szCs w:val="24"/>
        </w:rPr>
        <w:t>B</w:t>
      </w:r>
    </w:p>
    <w:p w14:paraId="4CE30A47" w14:textId="3F8B1BAC" w:rsidR="00950508" w:rsidRPr="00950508" w:rsidRDefault="00950508" w:rsidP="00950508">
      <w:pPr>
        <w:widowControl/>
        <w:shd w:val="clear" w:color="auto" w:fill="FFFFFF"/>
        <w:snapToGrid w:val="0"/>
        <w:spacing w:line="360" w:lineRule="auto"/>
        <w:rPr>
          <w:rFonts w:ascii="Book Antiqua" w:hAnsi="Book Antiqua" w:cs="Helvetica"/>
          <w:kern w:val="0"/>
          <w:sz w:val="24"/>
          <w:szCs w:val="24"/>
        </w:rPr>
      </w:pPr>
      <w:r w:rsidRPr="00950508">
        <w:rPr>
          <w:rFonts w:ascii="Book Antiqua" w:hAnsi="Book Antiqua" w:cs="Helvetica"/>
          <w:kern w:val="0"/>
          <w:sz w:val="24"/>
          <w:szCs w:val="24"/>
        </w:rPr>
        <w:t xml:space="preserve">Grade C (Good): </w:t>
      </w:r>
      <w:r>
        <w:rPr>
          <w:rFonts w:ascii="Book Antiqua" w:hAnsi="Book Antiqua" w:cs="Helvetica" w:hint="eastAsia"/>
          <w:kern w:val="0"/>
          <w:sz w:val="24"/>
          <w:szCs w:val="24"/>
        </w:rPr>
        <w:t>C</w:t>
      </w:r>
    </w:p>
    <w:p w14:paraId="3D0E34EA" w14:textId="77777777" w:rsidR="00950508" w:rsidRPr="00950508" w:rsidRDefault="00950508" w:rsidP="00950508">
      <w:pPr>
        <w:widowControl/>
        <w:shd w:val="clear" w:color="auto" w:fill="FFFFFF"/>
        <w:snapToGrid w:val="0"/>
        <w:spacing w:line="360" w:lineRule="auto"/>
        <w:rPr>
          <w:rFonts w:ascii="Book Antiqua" w:hAnsi="Book Antiqua" w:cs="Helvetica"/>
          <w:kern w:val="0"/>
          <w:sz w:val="24"/>
          <w:szCs w:val="24"/>
        </w:rPr>
      </w:pPr>
      <w:r w:rsidRPr="00950508">
        <w:rPr>
          <w:rFonts w:ascii="Book Antiqua" w:hAnsi="Book Antiqua" w:cs="Helvetica"/>
          <w:kern w:val="0"/>
          <w:sz w:val="24"/>
          <w:szCs w:val="24"/>
        </w:rPr>
        <w:t xml:space="preserve">Grade D (Fair): </w:t>
      </w:r>
      <w:r w:rsidRPr="00950508">
        <w:rPr>
          <w:rFonts w:ascii="Book Antiqua" w:hAnsi="Book Antiqua" w:cs="Helvetica" w:hint="eastAsia"/>
          <w:kern w:val="0"/>
          <w:sz w:val="24"/>
          <w:szCs w:val="24"/>
        </w:rPr>
        <w:t>0</w:t>
      </w:r>
    </w:p>
    <w:p w14:paraId="6510B6CB" w14:textId="77777777" w:rsidR="00950508" w:rsidRPr="00950508" w:rsidRDefault="00950508" w:rsidP="00950508">
      <w:pPr>
        <w:widowControl/>
        <w:snapToGrid w:val="0"/>
        <w:spacing w:line="360" w:lineRule="auto"/>
        <w:rPr>
          <w:rFonts w:ascii="Book Antiqua" w:hAnsi="Book Antiqua" w:cs="Times New Roman"/>
          <w:b/>
          <w:iCs/>
          <w:kern w:val="0"/>
          <w:sz w:val="24"/>
          <w:szCs w:val="24"/>
        </w:rPr>
      </w:pPr>
      <w:r w:rsidRPr="00950508">
        <w:rPr>
          <w:rFonts w:ascii="Book Antiqua" w:hAnsi="Book Antiqua" w:cs="Helvetica"/>
          <w:kern w:val="0"/>
          <w:sz w:val="24"/>
          <w:szCs w:val="24"/>
        </w:rPr>
        <w:t xml:space="preserve">Grade E (Poor): </w:t>
      </w:r>
      <w:r w:rsidRPr="00950508">
        <w:rPr>
          <w:rFonts w:ascii="Book Antiqua" w:hAnsi="Book Antiqua" w:cs="Helvetica" w:hint="eastAsia"/>
          <w:kern w:val="0"/>
          <w:sz w:val="24"/>
          <w:szCs w:val="24"/>
        </w:rPr>
        <w:t>0</w:t>
      </w:r>
      <w:bookmarkEnd w:id="193"/>
      <w:bookmarkEnd w:id="200"/>
      <w:bookmarkEnd w:id="201"/>
    </w:p>
    <w:bookmarkEnd w:id="194"/>
    <w:bookmarkEnd w:id="195"/>
    <w:p w14:paraId="61A6E369" w14:textId="4D417604" w:rsidR="00B74704" w:rsidRPr="00704D1E" w:rsidRDefault="00950508" w:rsidP="00950508">
      <w:pPr>
        <w:pStyle w:val="BookAntiqua"/>
        <w:adjustRightInd w:val="0"/>
        <w:snapToGrid w:val="0"/>
        <w:rPr>
          <w:noProof w:val="0"/>
          <w:color w:val="000000" w:themeColor="text1"/>
        </w:rPr>
      </w:pPr>
      <w:r w:rsidRPr="00950508">
        <w:rPr>
          <w:rFonts w:eastAsia="宋体"/>
          <w:noProof w:val="0"/>
          <w:kern w:val="0"/>
        </w:rPr>
        <w:br w:type="page"/>
      </w:r>
      <w:bookmarkEnd w:id="196"/>
      <w:bookmarkEnd w:id="197"/>
      <w:bookmarkEnd w:id="198"/>
    </w:p>
    <w:p w14:paraId="3796928F" w14:textId="63DB37A0" w:rsidR="00CF5FC3" w:rsidRPr="00950508" w:rsidRDefault="00950508" w:rsidP="00950508">
      <w:pPr>
        <w:widowControl/>
        <w:adjustRightInd w:val="0"/>
        <w:snapToGrid w:val="0"/>
        <w:spacing w:line="360" w:lineRule="auto"/>
        <w:jc w:val="left"/>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lastRenderedPageBreak/>
        <w:t>Table 1</w:t>
      </w:r>
      <w:r w:rsidR="00CF5FC3" w:rsidRPr="00704D1E">
        <w:rPr>
          <w:rFonts w:ascii="Book Antiqua" w:hAnsi="Book Antiqua" w:cs="Times New Roman"/>
          <w:b/>
          <w:color w:val="000000" w:themeColor="text1"/>
          <w:sz w:val="24"/>
          <w:szCs w:val="24"/>
        </w:rPr>
        <w:t xml:space="preserve"> </w:t>
      </w:r>
      <w:r w:rsidR="00CF5FC3" w:rsidRPr="00950508">
        <w:rPr>
          <w:rFonts w:ascii="Book Antiqua" w:hAnsi="Book Antiqua" w:cs="Times New Roman"/>
          <w:b/>
          <w:color w:val="000000" w:themeColor="text1"/>
          <w:sz w:val="24"/>
          <w:szCs w:val="24"/>
        </w:rPr>
        <w:t xml:space="preserve">Clinical characteristics of hypopituitary patients with or without </w:t>
      </w:r>
      <w:r w:rsidR="009E09F1" w:rsidRPr="00950508">
        <w:rPr>
          <w:rFonts w:ascii="Book Antiqua" w:hAnsi="Book Antiqua" w:cs="Times New Roman"/>
          <w:b/>
          <w:color w:val="000000" w:themeColor="text1"/>
          <w:sz w:val="24"/>
          <w:szCs w:val="24"/>
        </w:rPr>
        <w:t>non</w:t>
      </w:r>
      <w:r w:rsidR="00C32A0B" w:rsidRPr="00950508">
        <w:rPr>
          <w:rFonts w:ascii="Book Antiqua" w:hAnsi="Book Antiqua" w:cs="Times New Roman"/>
          <w:b/>
          <w:color w:val="000000" w:themeColor="text1"/>
          <w:sz w:val="24"/>
          <w:szCs w:val="24"/>
        </w:rPr>
        <w:t>-</w:t>
      </w:r>
      <w:r w:rsidR="009E09F1" w:rsidRPr="00950508">
        <w:rPr>
          <w:rFonts w:ascii="Book Antiqua" w:hAnsi="Book Antiqua" w:cs="Times New Roman"/>
          <w:b/>
          <w:color w:val="000000" w:themeColor="text1"/>
          <w:sz w:val="24"/>
          <w:szCs w:val="24"/>
        </w:rPr>
        <w:t>alcoholic fatty liver disease</w:t>
      </w:r>
    </w:p>
    <w:tbl>
      <w:tblPr>
        <w:tblW w:w="9491" w:type="dxa"/>
        <w:jc w:val="center"/>
        <w:tblBorders>
          <w:top w:val="single" w:sz="8" w:space="0" w:color="auto"/>
        </w:tblBorders>
        <w:tblLook w:val="04A0" w:firstRow="1" w:lastRow="0" w:firstColumn="1" w:lastColumn="0" w:noHBand="0" w:noVBand="1"/>
      </w:tblPr>
      <w:tblGrid>
        <w:gridCol w:w="2694"/>
        <w:gridCol w:w="2149"/>
        <w:gridCol w:w="2410"/>
        <w:gridCol w:w="2238"/>
      </w:tblGrid>
      <w:tr w:rsidR="00704D1E" w:rsidRPr="00704D1E" w14:paraId="69166615" w14:textId="77777777" w:rsidTr="00950508">
        <w:trPr>
          <w:trHeight w:val="280"/>
          <w:jc w:val="center"/>
        </w:trPr>
        <w:tc>
          <w:tcPr>
            <w:tcW w:w="2694" w:type="dxa"/>
            <w:vMerge w:val="restart"/>
            <w:tcBorders>
              <w:top w:val="single" w:sz="8" w:space="0" w:color="auto"/>
            </w:tcBorders>
          </w:tcPr>
          <w:p w14:paraId="26814414"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tc>
        <w:tc>
          <w:tcPr>
            <w:tcW w:w="2149" w:type="dxa"/>
            <w:vMerge w:val="restart"/>
            <w:tcBorders>
              <w:top w:val="single" w:sz="8" w:space="0" w:color="auto"/>
              <w:bottom w:val="nil"/>
              <w:right w:val="nil"/>
            </w:tcBorders>
            <w:noWrap/>
            <w:vAlign w:val="center"/>
          </w:tcPr>
          <w:p w14:paraId="481D7BB9" w14:textId="77777777" w:rsidR="00CF5FC3" w:rsidRPr="00950508" w:rsidRDefault="00CF5FC3" w:rsidP="00950508">
            <w:pPr>
              <w:adjustRightInd w:val="0"/>
              <w:snapToGrid w:val="0"/>
              <w:spacing w:line="360" w:lineRule="auto"/>
              <w:jc w:val="center"/>
              <w:rPr>
                <w:rFonts w:ascii="Book Antiqua" w:hAnsi="Book Antiqua" w:cs="Times New Roman"/>
                <w:b/>
                <w:color w:val="000000" w:themeColor="text1"/>
                <w:sz w:val="24"/>
                <w:szCs w:val="24"/>
              </w:rPr>
            </w:pPr>
            <w:r w:rsidRPr="00950508">
              <w:rPr>
                <w:rFonts w:ascii="Book Antiqua" w:hAnsi="Book Antiqua" w:cs="Times New Roman"/>
                <w:b/>
                <w:color w:val="000000" w:themeColor="text1"/>
                <w:sz w:val="24"/>
                <w:szCs w:val="24"/>
              </w:rPr>
              <w:t>NAFLD (-)</w:t>
            </w:r>
          </w:p>
          <w:p w14:paraId="2E20347C" w14:textId="43CB64C4" w:rsidR="00CF5FC3" w:rsidRPr="00950508" w:rsidRDefault="00CF5FC3" w:rsidP="00950508">
            <w:pPr>
              <w:adjustRightInd w:val="0"/>
              <w:snapToGrid w:val="0"/>
              <w:spacing w:line="360" w:lineRule="auto"/>
              <w:jc w:val="center"/>
              <w:rPr>
                <w:rFonts w:ascii="Book Antiqua" w:hAnsi="Book Antiqua" w:cs="Times New Roman"/>
                <w:b/>
                <w:color w:val="000000" w:themeColor="text1"/>
                <w:sz w:val="24"/>
                <w:szCs w:val="24"/>
              </w:rPr>
            </w:pPr>
            <w:r w:rsidRPr="00950508">
              <w:rPr>
                <w:rFonts w:ascii="Book Antiqua" w:hAnsi="Book Antiqua" w:cs="Times New Roman"/>
                <w:b/>
                <w:color w:val="000000" w:themeColor="text1"/>
                <w:sz w:val="24"/>
                <w:szCs w:val="24"/>
              </w:rPr>
              <w:t>(</w:t>
            </w:r>
            <w:r w:rsidRPr="00950508">
              <w:rPr>
                <w:rFonts w:ascii="Book Antiqua" w:hAnsi="Book Antiqua" w:cs="Times New Roman"/>
                <w:b/>
                <w:i/>
                <w:color w:val="000000" w:themeColor="text1"/>
                <w:sz w:val="24"/>
                <w:szCs w:val="24"/>
              </w:rPr>
              <w:t>n</w:t>
            </w:r>
            <w:r w:rsidR="00950508" w:rsidRPr="00950508">
              <w:rPr>
                <w:rFonts w:ascii="Book Antiqua" w:hAnsi="Book Antiqua" w:cs="Times New Roman"/>
                <w:b/>
                <w:color w:val="000000" w:themeColor="text1"/>
                <w:sz w:val="24"/>
                <w:szCs w:val="24"/>
              </w:rPr>
              <w:t xml:space="preserve"> </w:t>
            </w:r>
            <w:r w:rsidRPr="00950508">
              <w:rPr>
                <w:rFonts w:ascii="Book Antiqua" w:hAnsi="Book Antiqua" w:cs="Times New Roman"/>
                <w:b/>
                <w:color w:val="000000" w:themeColor="text1"/>
                <w:sz w:val="24"/>
                <w:szCs w:val="24"/>
              </w:rPr>
              <w:t>= 23)</w:t>
            </w:r>
          </w:p>
        </w:tc>
        <w:tc>
          <w:tcPr>
            <w:tcW w:w="4648" w:type="dxa"/>
            <w:gridSpan w:val="2"/>
            <w:tcBorders>
              <w:top w:val="single" w:sz="8" w:space="0" w:color="auto"/>
              <w:left w:val="nil"/>
              <w:bottom w:val="nil"/>
            </w:tcBorders>
            <w:vAlign w:val="center"/>
          </w:tcPr>
          <w:p w14:paraId="248A4F71" w14:textId="77777777" w:rsidR="00CF5FC3" w:rsidRPr="00950508" w:rsidRDefault="00CF5FC3" w:rsidP="00950508">
            <w:pPr>
              <w:adjustRightInd w:val="0"/>
              <w:snapToGrid w:val="0"/>
              <w:spacing w:line="360" w:lineRule="auto"/>
              <w:jc w:val="center"/>
              <w:rPr>
                <w:rFonts w:ascii="Book Antiqua" w:hAnsi="Book Antiqua" w:cs="Times New Roman"/>
                <w:b/>
                <w:color w:val="000000" w:themeColor="text1"/>
                <w:sz w:val="24"/>
                <w:szCs w:val="24"/>
              </w:rPr>
            </w:pPr>
            <w:r w:rsidRPr="00950508">
              <w:rPr>
                <w:rFonts w:ascii="Book Antiqua" w:hAnsi="Book Antiqua" w:cs="Times New Roman"/>
                <w:b/>
                <w:color w:val="000000" w:themeColor="text1"/>
                <w:sz w:val="24"/>
                <w:szCs w:val="24"/>
              </w:rPr>
              <w:t>NAFLD (+)</w:t>
            </w:r>
          </w:p>
        </w:tc>
      </w:tr>
      <w:tr w:rsidR="00704D1E" w:rsidRPr="00704D1E" w14:paraId="76E4E92D" w14:textId="77777777" w:rsidTr="00950508">
        <w:trPr>
          <w:trHeight w:val="280"/>
          <w:jc w:val="center"/>
        </w:trPr>
        <w:tc>
          <w:tcPr>
            <w:tcW w:w="2694" w:type="dxa"/>
            <w:vMerge/>
            <w:tcBorders>
              <w:top w:val="nil"/>
              <w:bottom w:val="single" w:sz="8" w:space="0" w:color="auto"/>
            </w:tcBorders>
          </w:tcPr>
          <w:p w14:paraId="1B573123"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tc>
        <w:tc>
          <w:tcPr>
            <w:tcW w:w="2149" w:type="dxa"/>
            <w:vMerge/>
            <w:tcBorders>
              <w:top w:val="nil"/>
              <w:bottom w:val="single" w:sz="8" w:space="0" w:color="auto"/>
              <w:right w:val="nil"/>
            </w:tcBorders>
            <w:noWrap/>
            <w:vAlign w:val="center"/>
            <w:hideMark/>
          </w:tcPr>
          <w:p w14:paraId="7B04C8B4" w14:textId="77777777" w:rsidR="00CF5FC3" w:rsidRPr="00950508" w:rsidRDefault="00CF5FC3" w:rsidP="00950508">
            <w:pPr>
              <w:adjustRightInd w:val="0"/>
              <w:snapToGrid w:val="0"/>
              <w:spacing w:line="360" w:lineRule="auto"/>
              <w:jc w:val="center"/>
              <w:rPr>
                <w:rFonts w:ascii="Book Antiqua" w:hAnsi="Book Antiqua" w:cs="Times New Roman"/>
                <w:b/>
                <w:color w:val="000000" w:themeColor="text1"/>
                <w:sz w:val="24"/>
                <w:szCs w:val="24"/>
              </w:rPr>
            </w:pPr>
          </w:p>
        </w:tc>
        <w:tc>
          <w:tcPr>
            <w:tcW w:w="2410" w:type="dxa"/>
            <w:tcBorders>
              <w:top w:val="nil"/>
              <w:left w:val="nil"/>
              <w:bottom w:val="single" w:sz="8" w:space="0" w:color="auto"/>
              <w:right w:val="nil"/>
            </w:tcBorders>
            <w:vAlign w:val="center"/>
          </w:tcPr>
          <w:p w14:paraId="01949C0D" w14:textId="4D89C55D" w:rsidR="00CF5FC3" w:rsidRPr="00950508" w:rsidRDefault="00CF5FC3" w:rsidP="00950508">
            <w:pPr>
              <w:adjustRightInd w:val="0"/>
              <w:snapToGrid w:val="0"/>
              <w:spacing w:line="360" w:lineRule="auto"/>
              <w:jc w:val="center"/>
              <w:rPr>
                <w:rFonts w:ascii="Book Antiqua" w:hAnsi="Book Antiqua" w:cs="Times New Roman"/>
                <w:b/>
                <w:i/>
                <w:color w:val="000000" w:themeColor="text1"/>
                <w:sz w:val="24"/>
                <w:szCs w:val="24"/>
              </w:rPr>
            </w:pPr>
            <w:r w:rsidRPr="00950508">
              <w:rPr>
                <w:rFonts w:ascii="Book Antiqua" w:hAnsi="Book Antiqua" w:cs="Times New Roman"/>
                <w:b/>
                <w:color w:val="000000" w:themeColor="text1"/>
                <w:sz w:val="24"/>
                <w:szCs w:val="24"/>
              </w:rPr>
              <w:t>NAFLD (</w:t>
            </w:r>
            <w:r w:rsidRPr="00950508">
              <w:rPr>
                <w:rFonts w:ascii="Book Antiqua" w:hAnsi="Book Antiqua" w:cs="Times New Roman"/>
                <w:b/>
                <w:i/>
                <w:color w:val="000000" w:themeColor="text1"/>
                <w:sz w:val="24"/>
                <w:szCs w:val="24"/>
              </w:rPr>
              <w:t>n</w:t>
            </w:r>
            <w:r w:rsidR="00950508" w:rsidRPr="00950508">
              <w:rPr>
                <w:rFonts w:ascii="Book Antiqua" w:hAnsi="Book Antiqua" w:cs="Times New Roman"/>
                <w:b/>
                <w:color w:val="000000" w:themeColor="text1"/>
                <w:sz w:val="24"/>
                <w:szCs w:val="24"/>
              </w:rPr>
              <w:t xml:space="preserve"> </w:t>
            </w:r>
            <w:r w:rsidRPr="00950508">
              <w:rPr>
                <w:rFonts w:ascii="Book Antiqua" w:hAnsi="Book Antiqua" w:cs="Times New Roman"/>
                <w:b/>
                <w:color w:val="000000" w:themeColor="text1"/>
                <w:sz w:val="24"/>
                <w:szCs w:val="24"/>
              </w:rPr>
              <w:t>=</w:t>
            </w:r>
            <w:r w:rsidR="00950508" w:rsidRPr="00950508">
              <w:rPr>
                <w:rFonts w:ascii="Book Antiqua" w:hAnsi="Book Antiqua" w:cs="Times New Roman"/>
                <w:b/>
                <w:color w:val="000000" w:themeColor="text1"/>
                <w:sz w:val="24"/>
                <w:szCs w:val="24"/>
              </w:rPr>
              <w:t xml:space="preserve"> </w:t>
            </w:r>
            <w:r w:rsidRPr="00950508">
              <w:rPr>
                <w:rFonts w:ascii="Book Antiqua" w:hAnsi="Book Antiqua" w:cs="Times New Roman"/>
                <w:b/>
                <w:color w:val="000000" w:themeColor="text1"/>
                <w:sz w:val="24"/>
                <w:szCs w:val="24"/>
              </w:rPr>
              <w:t>20)</w:t>
            </w:r>
          </w:p>
        </w:tc>
        <w:tc>
          <w:tcPr>
            <w:tcW w:w="2238" w:type="dxa"/>
            <w:tcBorders>
              <w:top w:val="nil"/>
              <w:left w:val="nil"/>
              <w:bottom w:val="single" w:sz="8" w:space="0" w:color="auto"/>
            </w:tcBorders>
            <w:vAlign w:val="center"/>
          </w:tcPr>
          <w:p w14:paraId="3D335F89" w14:textId="2F7BAC1F" w:rsidR="00CF5FC3" w:rsidRPr="00950508" w:rsidRDefault="00CF5FC3" w:rsidP="00950508">
            <w:pPr>
              <w:adjustRightInd w:val="0"/>
              <w:snapToGrid w:val="0"/>
              <w:spacing w:line="360" w:lineRule="auto"/>
              <w:jc w:val="center"/>
              <w:rPr>
                <w:rFonts w:ascii="Book Antiqua" w:hAnsi="Book Antiqua" w:cs="Times New Roman"/>
                <w:b/>
                <w:i/>
                <w:color w:val="000000" w:themeColor="text1"/>
                <w:sz w:val="24"/>
                <w:szCs w:val="24"/>
              </w:rPr>
            </w:pPr>
            <w:r w:rsidRPr="00950508">
              <w:rPr>
                <w:rFonts w:ascii="Book Antiqua" w:hAnsi="Book Antiqua" w:cs="Times New Roman"/>
                <w:b/>
                <w:color w:val="000000" w:themeColor="text1"/>
                <w:sz w:val="24"/>
                <w:szCs w:val="24"/>
              </w:rPr>
              <w:t>Cirrhosis (</w:t>
            </w:r>
            <w:r w:rsidRPr="00950508">
              <w:rPr>
                <w:rFonts w:ascii="Book Antiqua" w:hAnsi="Book Antiqua" w:cs="Times New Roman"/>
                <w:b/>
                <w:i/>
                <w:color w:val="000000" w:themeColor="text1"/>
                <w:sz w:val="24"/>
                <w:szCs w:val="24"/>
              </w:rPr>
              <w:t>n</w:t>
            </w:r>
            <w:r w:rsidR="00950508" w:rsidRPr="00950508">
              <w:rPr>
                <w:rFonts w:ascii="Book Antiqua" w:hAnsi="Book Antiqua" w:cs="Times New Roman"/>
                <w:b/>
                <w:color w:val="000000" w:themeColor="text1"/>
                <w:sz w:val="24"/>
                <w:szCs w:val="24"/>
              </w:rPr>
              <w:t xml:space="preserve"> </w:t>
            </w:r>
            <w:r w:rsidRPr="00950508">
              <w:rPr>
                <w:rFonts w:ascii="Book Antiqua" w:hAnsi="Book Antiqua" w:cs="Times New Roman"/>
                <w:b/>
                <w:color w:val="000000" w:themeColor="text1"/>
                <w:sz w:val="24"/>
                <w:szCs w:val="24"/>
              </w:rPr>
              <w:t>=</w:t>
            </w:r>
            <w:r w:rsidR="00950508" w:rsidRPr="00950508">
              <w:rPr>
                <w:rFonts w:ascii="Book Antiqua" w:hAnsi="Book Antiqua" w:cs="Times New Roman"/>
                <w:b/>
                <w:color w:val="000000" w:themeColor="text1"/>
                <w:sz w:val="24"/>
                <w:szCs w:val="24"/>
              </w:rPr>
              <w:t xml:space="preserve"> </w:t>
            </w:r>
            <w:r w:rsidRPr="00950508">
              <w:rPr>
                <w:rFonts w:ascii="Book Antiqua" w:hAnsi="Book Antiqua" w:cs="Times New Roman"/>
                <w:b/>
                <w:color w:val="000000" w:themeColor="text1"/>
                <w:sz w:val="24"/>
                <w:szCs w:val="24"/>
              </w:rPr>
              <w:t>7)</w:t>
            </w:r>
          </w:p>
        </w:tc>
      </w:tr>
      <w:tr w:rsidR="00704D1E" w:rsidRPr="00704D1E" w14:paraId="3BACD22D" w14:textId="77777777" w:rsidTr="00E67517">
        <w:trPr>
          <w:trHeight w:val="280"/>
          <w:jc w:val="center"/>
        </w:trPr>
        <w:tc>
          <w:tcPr>
            <w:tcW w:w="2694" w:type="dxa"/>
            <w:tcBorders>
              <w:top w:val="single" w:sz="8" w:space="0" w:color="auto"/>
            </w:tcBorders>
            <w:noWrap/>
            <w:hideMark/>
          </w:tcPr>
          <w:p w14:paraId="46D269EB" w14:textId="7990B9DB"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 xml:space="preserve">Male </w:t>
            </w:r>
            <w:r w:rsidR="00950508" w:rsidRPr="00950508">
              <w:rPr>
                <w:rFonts w:ascii="Book Antiqua" w:hAnsi="Book Antiqua" w:cs="Times New Roman"/>
                <w:i/>
                <w:color w:val="000000" w:themeColor="text1"/>
                <w:sz w:val="24"/>
                <w:szCs w:val="24"/>
              </w:rPr>
              <w:t>n</w:t>
            </w:r>
            <w:r w:rsidR="00950508" w:rsidRPr="00704D1E">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w:t>
            </w:r>
          </w:p>
        </w:tc>
        <w:tc>
          <w:tcPr>
            <w:tcW w:w="2149" w:type="dxa"/>
            <w:tcBorders>
              <w:top w:val="single" w:sz="8" w:space="0" w:color="auto"/>
            </w:tcBorders>
            <w:noWrap/>
            <w:vAlign w:val="center"/>
            <w:hideMark/>
          </w:tcPr>
          <w:p w14:paraId="11363EE8" w14:textId="26C94496" w:rsidR="00CF5FC3" w:rsidRPr="00704D1E" w:rsidRDefault="00950508" w:rsidP="00950508">
            <w:pPr>
              <w:adjustRightInd w:val="0"/>
              <w:snapToGrid w:val="0"/>
              <w:spacing w:line="360" w:lineRule="auto"/>
              <w:jc w:val="center"/>
              <w:rPr>
                <w:rFonts w:ascii="Book Antiqua" w:hAnsi="Book Antiqua" w:cs="Times New Roman"/>
                <w:color w:val="000000" w:themeColor="text1"/>
                <w:sz w:val="24"/>
                <w:szCs w:val="24"/>
              </w:rPr>
            </w:pPr>
            <w:r>
              <w:rPr>
                <w:rFonts w:ascii="Book Antiqua" w:hAnsi="Book Antiqua" w:cs="Times New Roman"/>
                <w:color w:val="000000" w:themeColor="text1"/>
                <w:sz w:val="24"/>
                <w:szCs w:val="24"/>
              </w:rPr>
              <w:t>17 (73.9</w:t>
            </w:r>
            <w:r w:rsidR="00CF5FC3" w:rsidRPr="00704D1E">
              <w:rPr>
                <w:rFonts w:ascii="Book Antiqua" w:hAnsi="Book Antiqua" w:cs="Times New Roman"/>
                <w:color w:val="000000" w:themeColor="text1"/>
                <w:sz w:val="24"/>
                <w:szCs w:val="24"/>
              </w:rPr>
              <w:t>)</w:t>
            </w:r>
          </w:p>
        </w:tc>
        <w:tc>
          <w:tcPr>
            <w:tcW w:w="2410" w:type="dxa"/>
            <w:tcBorders>
              <w:top w:val="single" w:sz="8" w:space="0" w:color="auto"/>
            </w:tcBorders>
            <w:vAlign w:val="center"/>
          </w:tcPr>
          <w:p w14:paraId="6917F849" w14:textId="161A45E8" w:rsidR="00CF5FC3" w:rsidRPr="00704D1E" w:rsidRDefault="00950508" w:rsidP="00950508">
            <w:pPr>
              <w:adjustRightInd w:val="0"/>
              <w:snapToGrid w:val="0"/>
              <w:spacing w:line="360" w:lineRule="auto"/>
              <w:jc w:val="center"/>
              <w:rPr>
                <w:rFonts w:ascii="Book Antiqua" w:hAnsi="Book Antiqua" w:cs="Times New Roman"/>
                <w:color w:val="000000" w:themeColor="text1"/>
                <w:sz w:val="24"/>
                <w:szCs w:val="24"/>
              </w:rPr>
            </w:pPr>
            <w:r>
              <w:rPr>
                <w:rFonts w:ascii="Book Antiqua" w:hAnsi="Book Antiqua" w:cs="Times New Roman"/>
                <w:color w:val="000000" w:themeColor="text1"/>
                <w:sz w:val="24"/>
                <w:szCs w:val="24"/>
              </w:rPr>
              <w:t>13 (65.0</w:t>
            </w:r>
            <w:r w:rsidR="00CF5FC3" w:rsidRPr="00704D1E">
              <w:rPr>
                <w:rFonts w:ascii="Book Antiqua" w:hAnsi="Book Antiqua" w:cs="Times New Roman"/>
                <w:color w:val="000000" w:themeColor="text1"/>
                <w:sz w:val="24"/>
                <w:szCs w:val="24"/>
              </w:rPr>
              <w:t>)</w:t>
            </w:r>
          </w:p>
        </w:tc>
        <w:tc>
          <w:tcPr>
            <w:tcW w:w="2238" w:type="dxa"/>
            <w:tcBorders>
              <w:top w:val="single" w:sz="8" w:space="0" w:color="auto"/>
            </w:tcBorders>
            <w:vAlign w:val="center"/>
          </w:tcPr>
          <w:p w14:paraId="579CF697" w14:textId="459FBE3D" w:rsidR="00CF5FC3" w:rsidRPr="00704D1E" w:rsidRDefault="00950508" w:rsidP="00950508">
            <w:pPr>
              <w:adjustRightInd w:val="0"/>
              <w:snapToGrid w:val="0"/>
              <w:spacing w:line="360" w:lineRule="auto"/>
              <w:jc w:val="center"/>
              <w:rPr>
                <w:rFonts w:ascii="Book Antiqua" w:hAnsi="Book Antiqua" w:cs="Times New Roman"/>
                <w:color w:val="000000" w:themeColor="text1"/>
                <w:sz w:val="24"/>
                <w:szCs w:val="24"/>
              </w:rPr>
            </w:pPr>
            <w:r>
              <w:rPr>
                <w:rFonts w:ascii="Book Antiqua" w:hAnsi="Book Antiqua" w:cs="Times New Roman"/>
                <w:color w:val="000000" w:themeColor="text1"/>
                <w:sz w:val="24"/>
                <w:szCs w:val="24"/>
              </w:rPr>
              <w:t>6 (85.7</w:t>
            </w:r>
            <w:r w:rsidR="00CF5FC3" w:rsidRPr="00704D1E">
              <w:rPr>
                <w:rFonts w:ascii="Book Antiqua" w:hAnsi="Book Antiqua" w:cs="Times New Roman"/>
                <w:color w:val="000000" w:themeColor="text1"/>
                <w:sz w:val="24"/>
                <w:szCs w:val="24"/>
              </w:rPr>
              <w:t>)</w:t>
            </w:r>
          </w:p>
        </w:tc>
      </w:tr>
      <w:tr w:rsidR="00704D1E" w:rsidRPr="00704D1E" w14:paraId="484E4096" w14:textId="77777777" w:rsidTr="00E67517">
        <w:trPr>
          <w:trHeight w:val="280"/>
          <w:jc w:val="center"/>
        </w:trPr>
        <w:tc>
          <w:tcPr>
            <w:tcW w:w="2694" w:type="dxa"/>
            <w:noWrap/>
            <w:hideMark/>
          </w:tcPr>
          <w:p w14:paraId="7007E196" w14:textId="2D8B9ADF" w:rsidR="00CF5FC3" w:rsidRPr="00704D1E" w:rsidRDefault="00950508" w:rsidP="00704D1E">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Age (</w:t>
            </w:r>
            <w:proofErr w:type="spellStart"/>
            <w:r>
              <w:rPr>
                <w:rFonts w:ascii="Book Antiqua" w:hAnsi="Book Antiqua" w:cs="Times New Roman"/>
                <w:color w:val="000000" w:themeColor="text1"/>
                <w:sz w:val="24"/>
                <w:szCs w:val="24"/>
              </w:rPr>
              <w:t>yr</w:t>
            </w:r>
            <w:proofErr w:type="spellEnd"/>
            <w:r w:rsidR="00CF5FC3" w:rsidRPr="00704D1E">
              <w:rPr>
                <w:rFonts w:ascii="Book Antiqua" w:hAnsi="Book Antiqua" w:cs="Times New Roman"/>
                <w:color w:val="000000" w:themeColor="text1"/>
                <w:sz w:val="24"/>
                <w:szCs w:val="24"/>
              </w:rPr>
              <w:t>)</w:t>
            </w:r>
          </w:p>
        </w:tc>
        <w:tc>
          <w:tcPr>
            <w:tcW w:w="2149" w:type="dxa"/>
            <w:noWrap/>
            <w:vAlign w:val="center"/>
            <w:hideMark/>
          </w:tcPr>
          <w:p w14:paraId="79661E24" w14:textId="77777777" w:rsidR="00CF5FC3" w:rsidRPr="00704D1E" w:rsidRDefault="00CF5FC3" w:rsidP="00950508">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22.8 (19.6-30.4)</w:t>
            </w:r>
          </w:p>
        </w:tc>
        <w:tc>
          <w:tcPr>
            <w:tcW w:w="2410" w:type="dxa"/>
            <w:vAlign w:val="center"/>
          </w:tcPr>
          <w:p w14:paraId="5D9F4596" w14:textId="77777777" w:rsidR="00CF5FC3" w:rsidRPr="00704D1E" w:rsidRDefault="00CF5FC3" w:rsidP="00950508">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30.8 (24.5-34.6)</w:t>
            </w:r>
          </w:p>
        </w:tc>
        <w:tc>
          <w:tcPr>
            <w:tcW w:w="2238" w:type="dxa"/>
            <w:vAlign w:val="center"/>
          </w:tcPr>
          <w:p w14:paraId="423D64BB" w14:textId="77777777" w:rsidR="00CF5FC3" w:rsidRPr="00704D1E" w:rsidRDefault="00CF5FC3" w:rsidP="00950508">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21.0 (19.0-25.2)</w:t>
            </w:r>
          </w:p>
        </w:tc>
      </w:tr>
      <w:tr w:rsidR="00704D1E" w:rsidRPr="00704D1E" w14:paraId="0EACDC30" w14:textId="77777777" w:rsidTr="00E67517">
        <w:trPr>
          <w:trHeight w:val="280"/>
          <w:jc w:val="center"/>
        </w:trPr>
        <w:tc>
          <w:tcPr>
            <w:tcW w:w="2694" w:type="dxa"/>
            <w:noWrap/>
            <w:hideMark/>
          </w:tcPr>
          <w:p w14:paraId="7D108E7C" w14:textId="0F45DEB2" w:rsidR="00CF5FC3" w:rsidRPr="00704D1E" w:rsidRDefault="00950508" w:rsidP="00704D1E">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Duration (</w:t>
            </w:r>
            <w:proofErr w:type="spellStart"/>
            <w:r>
              <w:rPr>
                <w:rFonts w:ascii="Book Antiqua" w:hAnsi="Book Antiqua" w:cs="Times New Roman"/>
                <w:color w:val="000000" w:themeColor="text1"/>
                <w:sz w:val="24"/>
                <w:szCs w:val="24"/>
              </w:rPr>
              <w:t>yr</w:t>
            </w:r>
            <w:proofErr w:type="spellEnd"/>
            <w:r w:rsidR="00CF5FC3" w:rsidRPr="00704D1E">
              <w:rPr>
                <w:rFonts w:ascii="Book Antiqua" w:hAnsi="Book Antiqua" w:cs="Times New Roman"/>
                <w:color w:val="000000" w:themeColor="text1"/>
                <w:sz w:val="24"/>
                <w:szCs w:val="24"/>
              </w:rPr>
              <w:t>)</w:t>
            </w:r>
          </w:p>
        </w:tc>
        <w:tc>
          <w:tcPr>
            <w:tcW w:w="2149" w:type="dxa"/>
            <w:noWrap/>
            <w:vAlign w:val="center"/>
            <w:hideMark/>
          </w:tcPr>
          <w:p w14:paraId="7F371CA2" w14:textId="067CFC54" w:rsidR="00CF5FC3" w:rsidRPr="00704D1E" w:rsidRDefault="00CF5FC3" w:rsidP="00950508">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3.0 (1.0-13.0)</w:t>
            </w:r>
            <w:r w:rsidR="009E09F1" w:rsidRPr="00704D1E">
              <w:rPr>
                <w:rFonts w:ascii="Book Antiqua" w:eastAsia="等线" w:hAnsi="Book Antiqua" w:cs="Times New Roman"/>
                <w:color w:val="000000" w:themeColor="text1"/>
                <w:sz w:val="24"/>
                <w:szCs w:val="24"/>
                <w:vertAlign w:val="superscript"/>
              </w:rPr>
              <w:t>a</w:t>
            </w:r>
          </w:p>
        </w:tc>
        <w:tc>
          <w:tcPr>
            <w:tcW w:w="2410" w:type="dxa"/>
            <w:vAlign w:val="center"/>
          </w:tcPr>
          <w:p w14:paraId="00528125" w14:textId="77777777"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8.5 (1.1-19.0)</w:t>
            </w:r>
          </w:p>
        </w:tc>
        <w:tc>
          <w:tcPr>
            <w:tcW w:w="2238" w:type="dxa"/>
            <w:vAlign w:val="center"/>
          </w:tcPr>
          <w:p w14:paraId="78311984" w14:textId="77777777"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13.0 (11.0-18.0)</w:t>
            </w:r>
          </w:p>
        </w:tc>
      </w:tr>
      <w:tr w:rsidR="00704D1E" w:rsidRPr="00704D1E" w14:paraId="2A6E341A" w14:textId="77777777" w:rsidTr="00E67517">
        <w:trPr>
          <w:trHeight w:val="280"/>
          <w:jc w:val="center"/>
        </w:trPr>
        <w:tc>
          <w:tcPr>
            <w:tcW w:w="2694" w:type="dxa"/>
            <w:noWrap/>
            <w:hideMark/>
          </w:tcPr>
          <w:p w14:paraId="1887C946"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BMI (kg/m</w:t>
            </w:r>
            <w:r w:rsidRPr="00704D1E">
              <w:rPr>
                <w:rFonts w:ascii="Book Antiqua" w:hAnsi="Book Antiqua" w:cs="Times New Roman"/>
                <w:color w:val="000000" w:themeColor="text1"/>
                <w:sz w:val="24"/>
                <w:szCs w:val="24"/>
                <w:vertAlign w:val="superscript"/>
              </w:rPr>
              <w:t>2</w:t>
            </w:r>
            <w:r w:rsidRPr="00704D1E">
              <w:rPr>
                <w:rFonts w:ascii="Book Antiqua" w:hAnsi="Book Antiqua" w:cs="Times New Roman"/>
                <w:color w:val="000000" w:themeColor="text1"/>
                <w:sz w:val="24"/>
                <w:szCs w:val="24"/>
              </w:rPr>
              <w:t>)</w:t>
            </w:r>
          </w:p>
        </w:tc>
        <w:tc>
          <w:tcPr>
            <w:tcW w:w="2149" w:type="dxa"/>
            <w:noWrap/>
            <w:vAlign w:val="center"/>
            <w:hideMark/>
          </w:tcPr>
          <w:p w14:paraId="2C413FDF" w14:textId="03E8D5B2" w:rsidR="00CF5FC3" w:rsidRPr="00704D1E" w:rsidRDefault="00CF5FC3" w:rsidP="00950508">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22.2 (19.3-25.3)</w:t>
            </w:r>
            <w:r w:rsidR="009E09F1" w:rsidRPr="00704D1E">
              <w:rPr>
                <w:rFonts w:ascii="Book Antiqua" w:eastAsia="等线" w:hAnsi="Book Antiqua" w:cs="Times New Roman"/>
                <w:color w:val="000000" w:themeColor="text1"/>
                <w:sz w:val="24"/>
                <w:szCs w:val="24"/>
                <w:vertAlign w:val="superscript"/>
              </w:rPr>
              <w:t>a</w:t>
            </w:r>
          </w:p>
        </w:tc>
        <w:tc>
          <w:tcPr>
            <w:tcW w:w="2410" w:type="dxa"/>
            <w:shd w:val="clear" w:color="auto" w:fill="auto"/>
            <w:vAlign w:val="center"/>
          </w:tcPr>
          <w:p w14:paraId="5E3C25C0" w14:textId="77777777"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27.9 (25.4-31.7)</w:t>
            </w:r>
          </w:p>
        </w:tc>
        <w:tc>
          <w:tcPr>
            <w:tcW w:w="2238" w:type="dxa"/>
            <w:shd w:val="clear" w:color="auto" w:fill="auto"/>
            <w:vAlign w:val="center"/>
          </w:tcPr>
          <w:p w14:paraId="44812B7D" w14:textId="77777777"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27.7 (24.2-32.1)</w:t>
            </w:r>
          </w:p>
        </w:tc>
      </w:tr>
      <w:tr w:rsidR="00704D1E" w:rsidRPr="00704D1E" w14:paraId="4674CE71" w14:textId="77777777" w:rsidTr="00E67517">
        <w:trPr>
          <w:trHeight w:val="280"/>
          <w:jc w:val="center"/>
        </w:trPr>
        <w:tc>
          <w:tcPr>
            <w:tcW w:w="2694" w:type="dxa"/>
            <w:noWrap/>
            <w:hideMark/>
          </w:tcPr>
          <w:p w14:paraId="60D18D2E"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WC (cm)</w:t>
            </w:r>
          </w:p>
        </w:tc>
        <w:tc>
          <w:tcPr>
            <w:tcW w:w="2149" w:type="dxa"/>
            <w:noWrap/>
            <w:vAlign w:val="center"/>
            <w:hideMark/>
          </w:tcPr>
          <w:p w14:paraId="6221FF57" w14:textId="165AC377"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73.0 (81.5-96.3)</w:t>
            </w:r>
            <w:r w:rsidR="009E09F1" w:rsidRPr="00704D1E">
              <w:rPr>
                <w:rFonts w:ascii="Book Antiqua" w:hAnsi="Book Antiqua" w:cs="Times New Roman"/>
                <w:color w:val="000000" w:themeColor="text1"/>
                <w:sz w:val="24"/>
                <w:szCs w:val="24"/>
                <w:vertAlign w:val="superscript"/>
              </w:rPr>
              <w:t>a</w:t>
            </w:r>
          </w:p>
        </w:tc>
        <w:tc>
          <w:tcPr>
            <w:tcW w:w="2410" w:type="dxa"/>
            <w:shd w:val="clear" w:color="auto" w:fill="auto"/>
            <w:vAlign w:val="center"/>
          </w:tcPr>
          <w:p w14:paraId="4D4DA072" w14:textId="77777777"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102.0 (92.5-109.8)</w:t>
            </w:r>
          </w:p>
        </w:tc>
        <w:tc>
          <w:tcPr>
            <w:tcW w:w="2238" w:type="dxa"/>
            <w:shd w:val="clear" w:color="auto" w:fill="auto"/>
            <w:vAlign w:val="center"/>
          </w:tcPr>
          <w:p w14:paraId="36110836" w14:textId="77777777"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110.5 (91.5-128.8)</w:t>
            </w:r>
          </w:p>
        </w:tc>
      </w:tr>
      <w:tr w:rsidR="00704D1E" w:rsidRPr="00704D1E" w14:paraId="5708C713" w14:textId="77777777" w:rsidTr="00E67517">
        <w:trPr>
          <w:trHeight w:val="280"/>
          <w:jc w:val="center"/>
        </w:trPr>
        <w:tc>
          <w:tcPr>
            <w:tcW w:w="2694" w:type="dxa"/>
            <w:noWrap/>
            <w:hideMark/>
          </w:tcPr>
          <w:p w14:paraId="0A20A231"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SBP (mmHg)</w:t>
            </w:r>
          </w:p>
        </w:tc>
        <w:tc>
          <w:tcPr>
            <w:tcW w:w="2149" w:type="dxa"/>
            <w:noWrap/>
            <w:vAlign w:val="center"/>
            <w:hideMark/>
          </w:tcPr>
          <w:p w14:paraId="20FADCD0" w14:textId="0C1098C1"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108.7</w:t>
            </w:r>
            <w:r w:rsidR="00950508">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w:t>
            </w:r>
            <w:r w:rsidR="00950508">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15.3</w:t>
            </w:r>
          </w:p>
        </w:tc>
        <w:tc>
          <w:tcPr>
            <w:tcW w:w="2410" w:type="dxa"/>
            <w:shd w:val="clear" w:color="auto" w:fill="auto"/>
            <w:vAlign w:val="center"/>
          </w:tcPr>
          <w:p w14:paraId="52F5D514" w14:textId="481B8D87"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122.0</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13.4</w:t>
            </w:r>
          </w:p>
        </w:tc>
        <w:tc>
          <w:tcPr>
            <w:tcW w:w="2238" w:type="dxa"/>
            <w:shd w:val="clear" w:color="auto" w:fill="auto"/>
            <w:vAlign w:val="center"/>
          </w:tcPr>
          <w:p w14:paraId="3BFC3EFA" w14:textId="06DA294B"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108.4</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15.5</w:t>
            </w:r>
          </w:p>
        </w:tc>
      </w:tr>
      <w:tr w:rsidR="00704D1E" w:rsidRPr="00704D1E" w14:paraId="6AF66EEB" w14:textId="77777777" w:rsidTr="00E67517">
        <w:trPr>
          <w:trHeight w:val="280"/>
          <w:jc w:val="center"/>
        </w:trPr>
        <w:tc>
          <w:tcPr>
            <w:tcW w:w="2694" w:type="dxa"/>
            <w:noWrap/>
            <w:hideMark/>
          </w:tcPr>
          <w:p w14:paraId="06C9FDF8"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DBP (mmHg)</w:t>
            </w:r>
          </w:p>
        </w:tc>
        <w:tc>
          <w:tcPr>
            <w:tcW w:w="2149" w:type="dxa"/>
            <w:noWrap/>
            <w:vAlign w:val="center"/>
            <w:hideMark/>
          </w:tcPr>
          <w:p w14:paraId="0E20D350" w14:textId="5D259B40"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70.0</w:t>
            </w:r>
            <w:r w:rsidR="00950508">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w:t>
            </w:r>
            <w:r w:rsidR="00950508">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12.5</w:t>
            </w:r>
          </w:p>
        </w:tc>
        <w:tc>
          <w:tcPr>
            <w:tcW w:w="2410" w:type="dxa"/>
            <w:shd w:val="clear" w:color="auto" w:fill="auto"/>
            <w:vAlign w:val="center"/>
          </w:tcPr>
          <w:p w14:paraId="1C574ABA" w14:textId="6695FB9A"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77.1</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11.1</w:t>
            </w:r>
          </w:p>
        </w:tc>
        <w:tc>
          <w:tcPr>
            <w:tcW w:w="2238" w:type="dxa"/>
            <w:shd w:val="clear" w:color="auto" w:fill="auto"/>
            <w:vAlign w:val="center"/>
          </w:tcPr>
          <w:p w14:paraId="5BDA90EB" w14:textId="0B711035"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64.4</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8.1</w:t>
            </w:r>
          </w:p>
        </w:tc>
      </w:tr>
      <w:tr w:rsidR="00704D1E" w:rsidRPr="00704D1E" w14:paraId="5FF1C027" w14:textId="77777777" w:rsidTr="00E67517">
        <w:trPr>
          <w:trHeight w:val="280"/>
          <w:jc w:val="center"/>
        </w:trPr>
        <w:tc>
          <w:tcPr>
            <w:tcW w:w="2694" w:type="dxa"/>
            <w:noWrap/>
            <w:hideMark/>
          </w:tcPr>
          <w:p w14:paraId="0B0A2EA0" w14:textId="55965A20" w:rsidR="00CF5FC3" w:rsidRPr="00704D1E" w:rsidRDefault="00950508" w:rsidP="00704D1E">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GH (ng/mL</w:t>
            </w:r>
            <w:r w:rsidR="00CF5FC3" w:rsidRPr="00704D1E">
              <w:rPr>
                <w:rFonts w:ascii="Book Antiqua" w:hAnsi="Book Antiqua" w:cs="Times New Roman"/>
                <w:color w:val="000000" w:themeColor="text1"/>
                <w:sz w:val="24"/>
                <w:szCs w:val="24"/>
              </w:rPr>
              <w:t>)</w:t>
            </w:r>
          </w:p>
        </w:tc>
        <w:tc>
          <w:tcPr>
            <w:tcW w:w="2149" w:type="dxa"/>
            <w:noWrap/>
            <w:vAlign w:val="center"/>
            <w:hideMark/>
          </w:tcPr>
          <w:p w14:paraId="20AB7057" w14:textId="040C5E83" w:rsidR="00CF5FC3" w:rsidRPr="00704D1E" w:rsidRDefault="00CF5FC3" w:rsidP="00950508">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0.10</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(0.05-0.30)</w:t>
            </w:r>
          </w:p>
        </w:tc>
        <w:tc>
          <w:tcPr>
            <w:tcW w:w="2410" w:type="dxa"/>
            <w:vAlign w:val="center"/>
          </w:tcPr>
          <w:p w14:paraId="6C0186A1" w14:textId="699275BE" w:rsidR="00CF5FC3" w:rsidRPr="00704D1E" w:rsidRDefault="00CF5FC3" w:rsidP="00950508">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0.10</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(0.08-0.10)</w:t>
            </w:r>
          </w:p>
        </w:tc>
        <w:tc>
          <w:tcPr>
            <w:tcW w:w="2238" w:type="dxa"/>
            <w:vAlign w:val="center"/>
          </w:tcPr>
          <w:p w14:paraId="1196C434" w14:textId="32BBF608" w:rsidR="00CF5FC3" w:rsidRPr="00704D1E" w:rsidRDefault="00CF5FC3" w:rsidP="00950508">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0.10</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(0.05-0.25)</w:t>
            </w:r>
          </w:p>
        </w:tc>
      </w:tr>
      <w:tr w:rsidR="00704D1E" w:rsidRPr="00704D1E" w14:paraId="527F34D0" w14:textId="77777777" w:rsidTr="00E67517">
        <w:trPr>
          <w:trHeight w:val="280"/>
          <w:jc w:val="center"/>
        </w:trPr>
        <w:tc>
          <w:tcPr>
            <w:tcW w:w="2694" w:type="dxa"/>
            <w:noWrap/>
            <w:hideMark/>
          </w:tcPr>
          <w:p w14:paraId="58657A06" w14:textId="6C72E373" w:rsidR="00CF5FC3" w:rsidRPr="00704D1E" w:rsidRDefault="00950508" w:rsidP="00704D1E">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IGF1 (ng/mL</w:t>
            </w:r>
            <w:r w:rsidR="00CF5FC3" w:rsidRPr="00704D1E">
              <w:rPr>
                <w:rFonts w:ascii="Book Antiqua" w:hAnsi="Book Antiqua" w:cs="Times New Roman"/>
                <w:color w:val="000000" w:themeColor="text1"/>
                <w:sz w:val="24"/>
                <w:szCs w:val="24"/>
              </w:rPr>
              <w:t>)</w:t>
            </w:r>
          </w:p>
        </w:tc>
        <w:tc>
          <w:tcPr>
            <w:tcW w:w="2149" w:type="dxa"/>
            <w:noWrap/>
            <w:vAlign w:val="center"/>
            <w:hideMark/>
          </w:tcPr>
          <w:p w14:paraId="48071A8F" w14:textId="6FDA5BFB" w:rsidR="00CF5FC3" w:rsidRPr="00704D1E" w:rsidRDefault="00CF5FC3" w:rsidP="00950508">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66.0</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(28.0-113.0)</w:t>
            </w:r>
          </w:p>
        </w:tc>
        <w:tc>
          <w:tcPr>
            <w:tcW w:w="2410" w:type="dxa"/>
            <w:vAlign w:val="center"/>
          </w:tcPr>
          <w:p w14:paraId="5392CCBF" w14:textId="77777777" w:rsidR="00CF5FC3" w:rsidRPr="00704D1E" w:rsidRDefault="00CF5FC3" w:rsidP="00950508">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107.0 (43.0-141.0)</w:t>
            </w:r>
          </w:p>
        </w:tc>
        <w:tc>
          <w:tcPr>
            <w:tcW w:w="2238" w:type="dxa"/>
            <w:vAlign w:val="center"/>
          </w:tcPr>
          <w:p w14:paraId="41C58B56" w14:textId="77777777" w:rsidR="00CF5FC3" w:rsidRPr="00704D1E" w:rsidRDefault="00CF5FC3" w:rsidP="00950508">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92.5 (25.0-205.3)</w:t>
            </w:r>
          </w:p>
        </w:tc>
      </w:tr>
      <w:tr w:rsidR="00704D1E" w:rsidRPr="00704D1E" w14:paraId="69CF8664" w14:textId="77777777" w:rsidTr="00E67517">
        <w:trPr>
          <w:trHeight w:val="280"/>
          <w:jc w:val="center"/>
        </w:trPr>
        <w:tc>
          <w:tcPr>
            <w:tcW w:w="2694" w:type="dxa"/>
            <w:noWrap/>
            <w:hideMark/>
          </w:tcPr>
          <w:p w14:paraId="7519EFD8" w14:textId="4678FBD4"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FT</w:t>
            </w:r>
            <w:r w:rsidRPr="00704D1E">
              <w:rPr>
                <w:rFonts w:ascii="Book Antiqua" w:hAnsi="Book Antiqua" w:cs="Times New Roman"/>
                <w:color w:val="000000" w:themeColor="text1"/>
                <w:sz w:val="24"/>
                <w:szCs w:val="24"/>
                <w:vertAlign w:val="subscript"/>
              </w:rPr>
              <w:t xml:space="preserve">3 </w:t>
            </w:r>
            <w:r w:rsidR="00950508">
              <w:rPr>
                <w:rFonts w:ascii="Book Antiqua" w:hAnsi="Book Antiqua" w:cs="Times New Roman"/>
                <w:color w:val="000000" w:themeColor="text1"/>
                <w:sz w:val="24"/>
                <w:szCs w:val="24"/>
              </w:rPr>
              <w:t>(</w:t>
            </w:r>
            <w:proofErr w:type="spellStart"/>
            <w:r w:rsidR="00950508">
              <w:rPr>
                <w:rFonts w:ascii="Book Antiqua" w:hAnsi="Book Antiqua" w:cs="Times New Roman"/>
                <w:color w:val="000000" w:themeColor="text1"/>
                <w:sz w:val="24"/>
                <w:szCs w:val="24"/>
              </w:rPr>
              <w:t>pg</w:t>
            </w:r>
            <w:proofErr w:type="spellEnd"/>
            <w:r w:rsidR="00950508">
              <w:rPr>
                <w:rFonts w:ascii="Book Antiqua" w:hAnsi="Book Antiqua" w:cs="Times New Roman"/>
                <w:color w:val="000000" w:themeColor="text1"/>
                <w:sz w:val="24"/>
                <w:szCs w:val="24"/>
              </w:rPr>
              <w:t>/mL</w:t>
            </w:r>
            <w:r w:rsidRPr="00704D1E">
              <w:rPr>
                <w:rFonts w:ascii="Book Antiqua" w:hAnsi="Book Antiqua" w:cs="Times New Roman"/>
                <w:color w:val="000000" w:themeColor="text1"/>
                <w:sz w:val="24"/>
                <w:szCs w:val="24"/>
              </w:rPr>
              <w:t>)</w:t>
            </w:r>
          </w:p>
        </w:tc>
        <w:tc>
          <w:tcPr>
            <w:tcW w:w="2149" w:type="dxa"/>
            <w:noWrap/>
            <w:vAlign w:val="center"/>
            <w:hideMark/>
          </w:tcPr>
          <w:p w14:paraId="7F131AF7" w14:textId="77777777"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2.61 (2.24-3.15)</w:t>
            </w:r>
          </w:p>
        </w:tc>
        <w:tc>
          <w:tcPr>
            <w:tcW w:w="2410" w:type="dxa"/>
            <w:vAlign w:val="center"/>
          </w:tcPr>
          <w:p w14:paraId="1AFE6C58" w14:textId="2A61DF77" w:rsidR="00CF5FC3" w:rsidRPr="00704D1E" w:rsidRDefault="00CF5FC3" w:rsidP="00950508">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2.43</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(2.25-3.08)</w:t>
            </w:r>
          </w:p>
        </w:tc>
        <w:tc>
          <w:tcPr>
            <w:tcW w:w="2238" w:type="dxa"/>
            <w:vAlign w:val="center"/>
          </w:tcPr>
          <w:p w14:paraId="2D8F3420" w14:textId="07C69DD8" w:rsidR="00CF5FC3" w:rsidRPr="00704D1E" w:rsidRDefault="00CF5FC3" w:rsidP="00950508">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2.53</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(2.15-2.72)</w:t>
            </w:r>
          </w:p>
        </w:tc>
      </w:tr>
      <w:tr w:rsidR="00704D1E" w:rsidRPr="00704D1E" w14:paraId="48F2E502" w14:textId="77777777" w:rsidTr="00E67517">
        <w:trPr>
          <w:trHeight w:val="280"/>
          <w:jc w:val="center"/>
        </w:trPr>
        <w:tc>
          <w:tcPr>
            <w:tcW w:w="2694" w:type="dxa"/>
            <w:noWrap/>
            <w:hideMark/>
          </w:tcPr>
          <w:p w14:paraId="59639134" w14:textId="68CDC7C3"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FT</w:t>
            </w:r>
            <w:r w:rsidRPr="00704D1E">
              <w:rPr>
                <w:rFonts w:ascii="Book Antiqua" w:hAnsi="Book Antiqua" w:cs="Times New Roman"/>
                <w:color w:val="000000" w:themeColor="text1"/>
                <w:sz w:val="24"/>
                <w:szCs w:val="24"/>
                <w:vertAlign w:val="subscript"/>
              </w:rPr>
              <w:t xml:space="preserve">4 </w:t>
            </w:r>
            <w:r w:rsidR="00950508">
              <w:rPr>
                <w:rFonts w:ascii="Book Antiqua" w:hAnsi="Book Antiqua" w:cs="Times New Roman"/>
                <w:color w:val="000000" w:themeColor="text1"/>
                <w:sz w:val="24"/>
                <w:szCs w:val="24"/>
              </w:rPr>
              <w:t>(ng/dL</w:t>
            </w:r>
            <w:r w:rsidRPr="00704D1E">
              <w:rPr>
                <w:rFonts w:ascii="Book Antiqua" w:hAnsi="Book Antiqua" w:cs="Times New Roman"/>
                <w:color w:val="000000" w:themeColor="text1"/>
                <w:sz w:val="24"/>
                <w:szCs w:val="24"/>
              </w:rPr>
              <w:t>)</w:t>
            </w:r>
          </w:p>
        </w:tc>
        <w:tc>
          <w:tcPr>
            <w:tcW w:w="2149" w:type="dxa"/>
            <w:shd w:val="clear" w:color="auto" w:fill="auto"/>
            <w:noWrap/>
            <w:vAlign w:val="center"/>
            <w:hideMark/>
          </w:tcPr>
          <w:p w14:paraId="5BC660CA" w14:textId="0977F888"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0.86</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(0.66-1.01)</w:t>
            </w:r>
          </w:p>
        </w:tc>
        <w:tc>
          <w:tcPr>
            <w:tcW w:w="2410" w:type="dxa"/>
            <w:shd w:val="clear" w:color="auto" w:fill="auto"/>
            <w:vAlign w:val="center"/>
          </w:tcPr>
          <w:p w14:paraId="647C0A9C" w14:textId="69A21120"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0.88</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(0.70-1.11)</w:t>
            </w:r>
          </w:p>
        </w:tc>
        <w:tc>
          <w:tcPr>
            <w:tcW w:w="2238" w:type="dxa"/>
            <w:shd w:val="clear" w:color="auto" w:fill="auto"/>
            <w:vAlign w:val="center"/>
          </w:tcPr>
          <w:p w14:paraId="05AFEBBA" w14:textId="77777777"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0.97 (0.46-1.14)</w:t>
            </w:r>
          </w:p>
        </w:tc>
      </w:tr>
      <w:tr w:rsidR="00704D1E" w:rsidRPr="00704D1E" w14:paraId="2AAD6065" w14:textId="77777777" w:rsidTr="00E67517">
        <w:trPr>
          <w:trHeight w:val="280"/>
          <w:jc w:val="center"/>
        </w:trPr>
        <w:tc>
          <w:tcPr>
            <w:tcW w:w="2694" w:type="dxa"/>
            <w:noWrap/>
            <w:hideMark/>
          </w:tcPr>
          <w:p w14:paraId="29485E89" w14:textId="6A60624C" w:rsidR="00CF5FC3" w:rsidRPr="00704D1E" w:rsidRDefault="00950508" w:rsidP="00704D1E">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TSH (</w:t>
            </w:r>
            <w:proofErr w:type="spellStart"/>
            <w:r>
              <w:rPr>
                <w:rFonts w:ascii="Book Antiqua" w:hAnsi="Book Antiqua" w:cs="Times New Roman"/>
                <w:color w:val="000000" w:themeColor="text1"/>
                <w:sz w:val="24"/>
                <w:szCs w:val="24"/>
              </w:rPr>
              <w:t>μIU</w:t>
            </w:r>
            <w:proofErr w:type="spellEnd"/>
            <w:r>
              <w:rPr>
                <w:rFonts w:ascii="Book Antiqua" w:hAnsi="Book Antiqua" w:cs="Times New Roman"/>
                <w:color w:val="000000" w:themeColor="text1"/>
                <w:sz w:val="24"/>
                <w:szCs w:val="24"/>
              </w:rPr>
              <w:t>/mL</w:t>
            </w:r>
            <w:r w:rsidR="00CF5FC3" w:rsidRPr="00704D1E">
              <w:rPr>
                <w:rFonts w:ascii="Book Antiqua" w:hAnsi="Book Antiqua" w:cs="Times New Roman"/>
                <w:color w:val="000000" w:themeColor="text1"/>
                <w:sz w:val="24"/>
                <w:szCs w:val="24"/>
              </w:rPr>
              <w:t>)</w:t>
            </w:r>
          </w:p>
        </w:tc>
        <w:tc>
          <w:tcPr>
            <w:tcW w:w="2149" w:type="dxa"/>
            <w:shd w:val="clear" w:color="auto" w:fill="auto"/>
            <w:noWrap/>
            <w:vAlign w:val="center"/>
            <w:hideMark/>
          </w:tcPr>
          <w:p w14:paraId="585F7B52" w14:textId="0EA7F5A6"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1.907</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(0.151-2.968)</w:t>
            </w:r>
          </w:p>
        </w:tc>
        <w:tc>
          <w:tcPr>
            <w:tcW w:w="2410" w:type="dxa"/>
            <w:shd w:val="clear" w:color="auto" w:fill="auto"/>
            <w:vAlign w:val="center"/>
          </w:tcPr>
          <w:p w14:paraId="620AD28D" w14:textId="77777777"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2.098 (0.806-2.557)</w:t>
            </w:r>
          </w:p>
        </w:tc>
        <w:tc>
          <w:tcPr>
            <w:tcW w:w="2238" w:type="dxa"/>
            <w:shd w:val="clear" w:color="auto" w:fill="auto"/>
            <w:vAlign w:val="center"/>
          </w:tcPr>
          <w:p w14:paraId="543C5C4A" w14:textId="77777777"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3.083 (0.091-4.945)</w:t>
            </w:r>
          </w:p>
        </w:tc>
      </w:tr>
      <w:tr w:rsidR="00704D1E" w:rsidRPr="00704D1E" w14:paraId="0A4376B2" w14:textId="77777777" w:rsidTr="00E67517">
        <w:trPr>
          <w:trHeight w:val="280"/>
          <w:jc w:val="center"/>
        </w:trPr>
        <w:tc>
          <w:tcPr>
            <w:tcW w:w="2694" w:type="dxa"/>
            <w:noWrap/>
            <w:hideMark/>
          </w:tcPr>
          <w:p w14:paraId="5857D08A"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GLU (mmol/L)</w:t>
            </w:r>
          </w:p>
        </w:tc>
        <w:tc>
          <w:tcPr>
            <w:tcW w:w="2149" w:type="dxa"/>
            <w:noWrap/>
            <w:vAlign w:val="center"/>
            <w:hideMark/>
          </w:tcPr>
          <w:p w14:paraId="3BE833C5" w14:textId="68B18A8F" w:rsidR="00CF5FC3" w:rsidRPr="00704D1E" w:rsidRDefault="00CF5FC3" w:rsidP="00950508">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5.0</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(4.6-5.3)</w:t>
            </w:r>
          </w:p>
        </w:tc>
        <w:tc>
          <w:tcPr>
            <w:tcW w:w="2410" w:type="dxa"/>
            <w:vAlign w:val="center"/>
          </w:tcPr>
          <w:p w14:paraId="5616ED26" w14:textId="58524F1A" w:rsidR="00CF5FC3" w:rsidRPr="00704D1E" w:rsidRDefault="00CF5FC3" w:rsidP="00950508">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4.9</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(4.5-5.3)</w:t>
            </w:r>
          </w:p>
        </w:tc>
        <w:tc>
          <w:tcPr>
            <w:tcW w:w="2238" w:type="dxa"/>
            <w:vAlign w:val="center"/>
          </w:tcPr>
          <w:p w14:paraId="4894A9D0" w14:textId="5C879454" w:rsidR="00CF5FC3" w:rsidRPr="00704D1E" w:rsidRDefault="00CF5FC3" w:rsidP="00950508">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5.3</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(4.7-8.9)</w:t>
            </w:r>
          </w:p>
        </w:tc>
      </w:tr>
      <w:tr w:rsidR="00704D1E" w:rsidRPr="00704D1E" w14:paraId="3A6DF704" w14:textId="77777777" w:rsidTr="00E67517">
        <w:trPr>
          <w:trHeight w:val="280"/>
          <w:jc w:val="center"/>
        </w:trPr>
        <w:tc>
          <w:tcPr>
            <w:tcW w:w="2694" w:type="dxa"/>
            <w:noWrap/>
            <w:hideMark/>
          </w:tcPr>
          <w:p w14:paraId="592D2DE1"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HOMA-IR</w:t>
            </w:r>
          </w:p>
        </w:tc>
        <w:tc>
          <w:tcPr>
            <w:tcW w:w="2149" w:type="dxa"/>
            <w:noWrap/>
            <w:vAlign w:val="center"/>
            <w:hideMark/>
          </w:tcPr>
          <w:p w14:paraId="3545F8D1" w14:textId="7E1D8249"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2.60 (1.60-3.71)</w:t>
            </w:r>
            <w:r w:rsidR="009E09F1" w:rsidRPr="00704D1E">
              <w:rPr>
                <w:rFonts w:ascii="Book Antiqua" w:hAnsi="Book Antiqua" w:cs="Times New Roman"/>
                <w:color w:val="000000" w:themeColor="text1"/>
                <w:sz w:val="24"/>
                <w:szCs w:val="24"/>
                <w:vertAlign w:val="superscript"/>
              </w:rPr>
              <w:t>a</w:t>
            </w:r>
          </w:p>
        </w:tc>
        <w:tc>
          <w:tcPr>
            <w:tcW w:w="2410" w:type="dxa"/>
            <w:shd w:val="clear" w:color="auto" w:fill="auto"/>
            <w:vAlign w:val="center"/>
          </w:tcPr>
          <w:p w14:paraId="586728DD" w14:textId="4D1C31C4"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3.92</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(2.62-6.02)</w:t>
            </w:r>
          </w:p>
        </w:tc>
        <w:tc>
          <w:tcPr>
            <w:tcW w:w="2238" w:type="dxa"/>
            <w:shd w:val="clear" w:color="auto" w:fill="auto"/>
            <w:vAlign w:val="center"/>
          </w:tcPr>
          <w:p w14:paraId="0897964F" w14:textId="4DAE00CC"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9.57</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(2.23-10.94)</w:t>
            </w:r>
          </w:p>
        </w:tc>
      </w:tr>
      <w:tr w:rsidR="00704D1E" w:rsidRPr="00704D1E" w14:paraId="7B56B916" w14:textId="77777777" w:rsidTr="00E67517">
        <w:trPr>
          <w:trHeight w:val="280"/>
          <w:jc w:val="center"/>
        </w:trPr>
        <w:tc>
          <w:tcPr>
            <w:tcW w:w="2694" w:type="dxa"/>
            <w:noWrap/>
            <w:hideMark/>
          </w:tcPr>
          <w:p w14:paraId="27AA35A3"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HbA1C (%)</w:t>
            </w:r>
          </w:p>
        </w:tc>
        <w:tc>
          <w:tcPr>
            <w:tcW w:w="2149" w:type="dxa"/>
            <w:noWrap/>
            <w:vAlign w:val="center"/>
            <w:hideMark/>
          </w:tcPr>
          <w:p w14:paraId="47D8783E" w14:textId="677F039F" w:rsidR="00CF5FC3" w:rsidRPr="00704D1E" w:rsidRDefault="00CF5FC3" w:rsidP="00950508">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5.2</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(4.7-5.5)</w:t>
            </w:r>
          </w:p>
        </w:tc>
        <w:tc>
          <w:tcPr>
            <w:tcW w:w="2410" w:type="dxa"/>
            <w:shd w:val="clear" w:color="auto" w:fill="auto"/>
            <w:vAlign w:val="center"/>
          </w:tcPr>
          <w:p w14:paraId="5689CE0B" w14:textId="5FE1762A"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5.5</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(5.3-5.9)</w:t>
            </w:r>
          </w:p>
        </w:tc>
        <w:tc>
          <w:tcPr>
            <w:tcW w:w="2238" w:type="dxa"/>
            <w:shd w:val="clear" w:color="auto" w:fill="auto"/>
            <w:vAlign w:val="center"/>
          </w:tcPr>
          <w:p w14:paraId="7FB26EEF" w14:textId="27616EB9"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6.7</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(4.7-8.8)</w:t>
            </w:r>
          </w:p>
        </w:tc>
      </w:tr>
      <w:tr w:rsidR="00704D1E" w:rsidRPr="00704D1E" w14:paraId="443DE589" w14:textId="77777777" w:rsidTr="00E67517">
        <w:trPr>
          <w:trHeight w:val="280"/>
          <w:jc w:val="center"/>
        </w:trPr>
        <w:tc>
          <w:tcPr>
            <w:tcW w:w="2694" w:type="dxa"/>
            <w:noWrap/>
            <w:hideMark/>
          </w:tcPr>
          <w:p w14:paraId="49078158"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TC (mmol/L)</w:t>
            </w:r>
          </w:p>
        </w:tc>
        <w:tc>
          <w:tcPr>
            <w:tcW w:w="2149" w:type="dxa"/>
            <w:shd w:val="clear" w:color="auto" w:fill="auto"/>
            <w:noWrap/>
            <w:vAlign w:val="center"/>
            <w:hideMark/>
          </w:tcPr>
          <w:p w14:paraId="3FF9ECA7" w14:textId="0EBAC6DA"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4.98</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(4.18-5.74)</w:t>
            </w:r>
          </w:p>
        </w:tc>
        <w:tc>
          <w:tcPr>
            <w:tcW w:w="2410" w:type="dxa"/>
            <w:shd w:val="clear" w:color="auto" w:fill="auto"/>
            <w:vAlign w:val="center"/>
          </w:tcPr>
          <w:p w14:paraId="71F89AC8" w14:textId="2E6B55BD"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5.07</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(4.70-7.03)</w:t>
            </w:r>
          </w:p>
        </w:tc>
        <w:tc>
          <w:tcPr>
            <w:tcW w:w="2238" w:type="dxa"/>
            <w:shd w:val="clear" w:color="auto" w:fill="auto"/>
            <w:vAlign w:val="center"/>
          </w:tcPr>
          <w:p w14:paraId="6956DBDF" w14:textId="66C50481"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5.31</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(4.55-6.16)</w:t>
            </w:r>
          </w:p>
        </w:tc>
      </w:tr>
      <w:tr w:rsidR="00704D1E" w:rsidRPr="00704D1E" w14:paraId="089EDBC0" w14:textId="77777777" w:rsidTr="00E67517">
        <w:trPr>
          <w:trHeight w:val="280"/>
          <w:jc w:val="center"/>
        </w:trPr>
        <w:tc>
          <w:tcPr>
            <w:tcW w:w="2694" w:type="dxa"/>
            <w:noWrap/>
            <w:hideMark/>
          </w:tcPr>
          <w:p w14:paraId="159B8559"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TG (mmol/L)</w:t>
            </w:r>
          </w:p>
        </w:tc>
        <w:tc>
          <w:tcPr>
            <w:tcW w:w="2149" w:type="dxa"/>
            <w:shd w:val="clear" w:color="auto" w:fill="auto"/>
            <w:noWrap/>
            <w:vAlign w:val="center"/>
            <w:hideMark/>
          </w:tcPr>
          <w:p w14:paraId="0A57733D" w14:textId="5F4CE6C4"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1.29</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(0.98-1.78)</w:t>
            </w:r>
          </w:p>
        </w:tc>
        <w:tc>
          <w:tcPr>
            <w:tcW w:w="2410" w:type="dxa"/>
            <w:shd w:val="clear" w:color="auto" w:fill="auto"/>
            <w:vAlign w:val="center"/>
          </w:tcPr>
          <w:p w14:paraId="57EC9EB6" w14:textId="6302037E"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1.89</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(1.06-2.48)</w:t>
            </w:r>
          </w:p>
        </w:tc>
        <w:tc>
          <w:tcPr>
            <w:tcW w:w="2238" w:type="dxa"/>
            <w:shd w:val="clear" w:color="auto" w:fill="auto"/>
            <w:vAlign w:val="center"/>
          </w:tcPr>
          <w:p w14:paraId="2B9184C2" w14:textId="2F4AC8B1"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2.15</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(1.16-2.89)</w:t>
            </w:r>
          </w:p>
        </w:tc>
      </w:tr>
      <w:tr w:rsidR="00704D1E" w:rsidRPr="00704D1E" w14:paraId="4CDD2AB3" w14:textId="77777777" w:rsidTr="00E67517">
        <w:trPr>
          <w:trHeight w:val="280"/>
          <w:jc w:val="center"/>
        </w:trPr>
        <w:tc>
          <w:tcPr>
            <w:tcW w:w="2694" w:type="dxa"/>
            <w:noWrap/>
            <w:hideMark/>
          </w:tcPr>
          <w:p w14:paraId="5160FCFC"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HDL-C (mmol/L)</w:t>
            </w:r>
          </w:p>
        </w:tc>
        <w:tc>
          <w:tcPr>
            <w:tcW w:w="2149" w:type="dxa"/>
            <w:shd w:val="clear" w:color="auto" w:fill="auto"/>
            <w:noWrap/>
            <w:vAlign w:val="center"/>
            <w:hideMark/>
          </w:tcPr>
          <w:p w14:paraId="10D63E25" w14:textId="243DDFEC" w:rsidR="00CF5FC3" w:rsidRPr="00704D1E" w:rsidRDefault="00CF5FC3" w:rsidP="00950508">
            <w:pPr>
              <w:adjustRightInd w:val="0"/>
              <w:snapToGrid w:val="0"/>
              <w:spacing w:line="360" w:lineRule="auto"/>
              <w:jc w:val="center"/>
              <w:rPr>
                <w:rFonts w:ascii="Book Antiqua" w:hAnsi="Book Antiqua" w:cs="Times New Roman"/>
                <w:b/>
                <w:color w:val="000000" w:themeColor="text1"/>
                <w:sz w:val="24"/>
                <w:szCs w:val="24"/>
              </w:rPr>
            </w:pPr>
            <w:r w:rsidRPr="00704D1E">
              <w:rPr>
                <w:rFonts w:ascii="Book Antiqua" w:eastAsia="等线" w:hAnsi="Book Antiqua" w:cs="Times New Roman"/>
                <w:color w:val="000000" w:themeColor="text1"/>
                <w:sz w:val="24"/>
                <w:szCs w:val="24"/>
              </w:rPr>
              <w:t>1.17</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(0.97-1.44)</w:t>
            </w:r>
          </w:p>
        </w:tc>
        <w:tc>
          <w:tcPr>
            <w:tcW w:w="2410" w:type="dxa"/>
            <w:shd w:val="clear" w:color="auto" w:fill="auto"/>
            <w:vAlign w:val="center"/>
          </w:tcPr>
          <w:p w14:paraId="061AC8D1" w14:textId="74C417BB" w:rsidR="00CF5FC3" w:rsidRPr="00704D1E" w:rsidRDefault="00CF5FC3" w:rsidP="00950508">
            <w:pPr>
              <w:adjustRightInd w:val="0"/>
              <w:snapToGrid w:val="0"/>
              <w:spacing w:line="360" w:lineRule="auto"/>
              <w:jc w:val="center"/>
              <w:rPr>
                <w:rFonts w:ascii="Book Antiqua" w:hAnsi="Book Antiqua" w:cs="Times New Roman"/>
                <w:b/>
                <w:color w:val="000000" w:themeColor="text1"/>
                <w:sz w:val="24"/>
                <w:szCs w:val="24"/>
              </w:rPr>
            </w:pPr>
            <w:r w:rsidRPr="00704D1E">
              <w:rPr>
                <w:rFonts w:ascii="Book Antiqua" w:eastAsia="等线" w:hAnsi="Book Antiqua" w:cs="Times New Roman"/>
                <w:color w:val="000000" w:themeColor="text1"/>
                <w:sz w:val="24"/>
                <w:szCs w:val="24"/>
              </w:rPr>
              <w:t>0.99</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(0.89-1.49)</w:t>
            </w:r>
          </w:p>
        </w:tc>
        <w:tc>
          <w:tcPr>
            <w:tcW w:w="2238" w:type="dxa"/>
            <w:shd w:val="clear" w:color="auto" w:fill="auto"/>
            <w:vAlign w:val="center"/>
          </w:tcPr>
          <w:p w14:paraId="4C96B651" w14:textId="21CF4736" w:rsidR="00CF5FC3" w:rsidRPr="00704D1E" w:rsidRDefault="00CF5FC3" w:rsidP="00950508">
            <w:pPr>
              <w:adjustRightInd w:val="0"/>
              <w:snapToGrid w:val="0"/>
              <w:spacing w:line="360" w:lineRule="auto"/>
              <w:jc w:val="center"/>
              <w:rPr>
                <w:rFonts w:ascii="Book Antiqua" w:hAnsi="Book Antiqua" w:cs="Times New Roman"/>
                <w:b/>
                <w:color w:val="000000" w:themeColor="text1"/>
                <w:sz w:val="24"/>
                <w:szCs w:val="24"/>
              </w:rPr>
            </w:pPr>
            <w:r w:rsidRPr="00704D1E">
              <w:rPr>
                <w:rFonts w:ascii="Book Antiqua" w:eastAsia="等线" w:hAnsi="Book Antiqua" w:cs="Times New Roman"/>
                <w:color w:val="000000" w:themeColor="text1"/>
                <w:sz w:val="24"/>
                <w:szCs w:val="24"/>
              </w:rPr>
              <w:t>0.93</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(0.70-1.41)</w:t>
            </w:r>
          </w:p>
        </w:tc>
      </w:tr>
      <w:tr w:rsidR="00704D1E" w:rsidRPr="00704D1E" w14:paraId="7495F9AF" w14:textId="77777777" w:rsidTr="00E67517">
        <w:trPr>
          <w:trHeight w:val="280"/>
          <w:jc w:val="center"/>
        </w:trPr>
        <w:tc>
          <w:tcPr>
            <w:tcW w:w="2694" w:type="dxa"/>
            <w:noWrap/>
            <w:hideMark/>
          </w:tcPr>
          <w:p w14:paraId="5BBBF6BC"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LDL-C (mmol/L)</w:t>
            </w:r>
          </w:p>
        </w:tc>
        <w:tc>
          <w:tcPr>
            <w:tcW w:w="2149" w:type="dxa"/>
            <w:shd w:val="clear" w:color="auto" w:fill="auto"/>
            <w:noWrap/>
            <w:vAlign w:val="center"/>
            <w:hideMark/>
          </w:tcPr>
          <w:p w14:paraId="54F55EBD" w14:textId="41898221"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2.91</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0.97</w:t>
            </w:r>
          </w:p>
        </w:tc>
        <w:tc>
          <w:tcPr>
            <w:tcW w:w="2410" w:type="dxa"/>
            <w:vAlign w:val="center"/>
          </w:tcPr>
          <w:p w14:paraId="64406DB2" w14:textId="3680EBCE" w:rsidR="00CF5FC3" w:rsidRPr="00704D1E" w:rsidRDefault="00CF5FC3" w:rsidP="00950508">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3.29</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1.08</w:t>
            </w:r>
          </w:p>
        </w:tc>
        <w:tc>
          <w:tcPr>
            <w:tcW w:w="2238" w:type="dxa"/>
            <w:vAlign w:val="center"/>
          </w:tcPr>
          <w:p w14:paraId="16BD3B3B" w14:textId="19536A0F" w:rsidR="00CF5FC3" w:rsidRPr="00704D1E" w:rsidRDefault="00CF5FC3" w:rsidP="00950508">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3.34</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0.72</w:t>
            </w:r>
          </w:p>
        </w:tc>
      </w:tr>
      <w:tr w:rsidR="00704D1E" w:rsidRPr="00704D1E" w14:paraId="1F32F533" w14:textId="77777777" w:rsidTr="00E67517">
        <w:trPr>
          <w:trHeight w:val="280"/>
          <w:jc w:val="center"/>
        </w:trPr>
        <w:tc>
          <w:tcPr>
            <w:tcW w:w="2694" w:type="dxa"/>
            <w:noWrap/>
            <w:hideMark/>
          </w:tcPr>
          <w:p w14:paraId="389891B5"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UA (</w:t>
            </w:r>
            <w:proofErr w:type="spellStart"/>
            <w:r w:rsidRPr="00704D1E">
              <w:rPr>
                <w:rFonts w:ascii="Book Antiqua" w:hAnsi="Book Antiqua" w:cs="Times New Roman"/>
                <w:color w:val="000000" w:themeColor="text1"/>
                <w:sz w:val="24"/>
                <w:szCs w:val="24"/>
              </w:rPr>
              <w:t>μmol</w:t>
            </w:r>
            <w:proofErr w:type="spellEnd"/>
            <w:r w:rsidRPr="00704D1E">
              <w:rPr>
                <w:rFonts w:ascii="Book Antiqua" w:hAnsi="Book Antiqua" w:cs="Times New Roman"/>
                <w:color w:val="000000" w:themeColor="text1"/>
                <w:sz w:val="24"/>
                <w:szCs w:val="24"/>
              </w:rPr>
              <w:t>/L)</w:t>
            </w:r>
          </w:p>
        </w:tc>
        <w:tc>
          <w:tcPr>
            <w:tcW w:w="2149" w:type="dxa"/>
            <w:noWrap/>
            <w:vAlign w:val="center"/>
            <w:hideMark/>
          </w:tcPr>
          <w:p w14:paraId="501A8C38" w14:textId="0B187A50"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418.91</w:t>
            </w:r>
            <w:r w:rsidR="00950508">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w:t>
            </w:r>
            <w:r w:rsidR="00950508">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88.25</w:t>
            </w:r>
          </w:p>
        </w:tc>
        <w:tc>
          <w:tcPr>
            <w:tcW w:w="2410" w:type="dxa"/>
            <w:shd w:val="clear" w:color="auto" w:fill="auto"/>
            <w:vAlign w:val="center"/>
          </w:tcPr>
          <w:p w14:paraId="2582146A" w14:textId="6E23DB8A" w:rsidR="00CF5FC3" w:rsidRPr="00704D1E" w:rsidRDefault="00CF5FC3" w:rsidP="00950508">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457.42</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111.01</w:t>
            </w:r>
          </w:p>
        </w:tc>
        <w:tc>
          <w:tcPr>
            <w:tcW w:w="2238" w:type="dxa"/>
            <w:shd w:val="clear" w:color="auto" w:fill="auto"/>
            <w:vAlign w:val="center"/>
          </w:tcPr>
          <w:p w14:paraId="0A55F8B5" w14:textId="4D2567D1" w:rsidR="00CF5FC3" w:rsidRPr="00704D1E" w:rsidRDefault="00CF5FC3" w:rsidP="00950508">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493.14</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212.83</w:t>
            </w:r>
          </w:p>
        </w:tc>
      </w:tr>
      <w:tr w:rsidR="00704D1E" w:rsidRPr="00704D1E" w14:paraId="20319D66" w14:textId="77777777" w:rsidTr="00E67517">
        <w:trPr>
          <w:trHeight w:val="280"/>
          <w:jc w:val="center"/>
        </w:trPr>
        <w:tc>
          <w:tcPr>
            <w:tcW w:w="2694" w:type="dxa"/>
            <w:noWrap/>
            <w:hideMark/>
          </w:tcPr>
          <w:p w14:paraId="00F556E9"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roofErr w:type="spellStart"/>
            <w:r w:rsidRPr="00704D1E">
              <w:rPr>
                <w:rFonts w:ascii="Book Antiqua" w:hAnsi="Book Antiqua" w:cs="Times New Roman"/>
                <w:color w:val="000000" w:themeColor="text1"/>
                <w:sz w:val="24"/>
                <w:szCs w:val="24"/>
              </w:rPr>
              <w:t>hsCRP</w:t>
            </w:r>
            <w:proofErr w:type="spellEnd"/>
            <w:r w:rsidRPr="00704D1E">
              <w:rPr>
                <w:rFonts w:ascii="Book Antiqua" w:hAnsi="Book Antiqua" w:cs="Times New Roman"/>
                <w:color w:val="000000" w:themeColor="text1"/>
                <w:sz w:val="24"/>
                <w:szCs w:val="24"/>
              </w:rPr>
              <w:t xml:space="preserve"> (mg/L)</w:t>
            </w:r>
          </w:p>
        </w:tc>
        <w:tc>
          <w:tcPr>
            <w:tcW w:w="2149" w:type="dxa"/>
            <w:noWrap/>
            <w:vAlign w:val="center"/>
            <w:hideMark/>
          </w:tcPr>
          <w:p w14:paraId="5F13D0A8" w14:textId="7990C5F5" w:rsidR="00CF5FC3" w:rsidRPr="00704D1E" w:rsidRDefault="00CF5FC3" w:rsidP="00950508">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2.07</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(1.14-5.24)</w:t>
            </w:r>
          </w:p>
        </w:tc>
        <w:tc>
          <w:tcPr>
            <w:tcW w:w="2410" w:type="dxa"/>
            <w:shd w:val="clear" w:color="auto" w:fill="auto"/>
            <w:vAlign w:val="center"/>
          </w:tcPr>
          <w:p w14:paraId="163896B9" w14:textId="12EF18A2"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3.43</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(2.27-6.68)</w:t>
            </w:r>
          </w:p>
        </w:tc>
        <w:tc>
          <w:tcPr>
            <w:tcW w:w="2238" w:type="dxa"/>
            <w:shd w:val="clear" w:color="auto" w:fill="auto"/>
            <w:vAlign w:val="center"/>
          </w:tcPr>
          <w:p w14:paraId="13FB0669" w14:textId="2F0CA3A7"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2.28</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(1.50-13.71)</w:t>
            </w:r>
          </w:p>
        </w:tc>
      </w:tr>
      <w:tr w:rsidR="00704D1E" w:rsidRPr="00704D1E" w14:paraId="42EADC7C" w14:textId="77777777" w:rsidTr="00E67517">
        <w:trPr>
          <w:trHeight w:val="280"/>
          <w:jc w:val="center"/>
        </w:trPr>
        <w:tc>
          <w:tcPr>
            <w:tcW w:w="2694" w:type="dxa"/>
            <w:noWrap/>
            <w:hideMark/>
          </w:tcPr>
          <w:p w14:paraId="2A700ED3"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roofErr w:type="spellStart"/>
            <w:r w:rsidRPr="00704D1E">
              <w:rPr>
                <w:rFonts w:ascii="Book Antiqua" w:hAnsi="Book Antiqua" w:cs="Times New Roman"/>
                <w:color w:val="000000" w:themeColor="text1"/>
                <w:sz w:val="24"/>
                <w:szCs w:val="24"/>
              </w:rPr>
              <w:t>Posm</w:t>
            </w:r>
            <w:proofErr w:type="spellEnd"/>
            <w:r w:rsidRPr="00704D1E">
              <w:rPr>
                <w:rFonts w:ascii="Book Antiqua" w:hAnsi="Book Antiqua" w:cs="Times New Roman"/>
                <w:color w:val="000000" w:themeColor="text1"/>
                <w:sz w:val="24"/>
                <w:szCs w:val="24"/>
              </w:rPr>
              <w:t xml:space="preserve"> (</w:t>
            </w:r>
            <w:proofErr w:type="spellStart"/>
            <w:r w:rsidRPr="00704D1E">
              <w:rPr>
                <w:rFonts w:ascii="Book Antiqua" w:hAnsi="Book Antiqua" w:cs="Times New Roman"/>
                <w:color w:val="000000" w:themeColor="text1"/>
                <w:sz w:val="24"/>
                <w:szCs w:val="24"/>
              </w:rPr>
              <w:t>mOsm</w:t>
            </w:r>
            <w:proofErr w:type="spellEnd"/>
            <w:r w:rsidRPr="00704D1E">
              <w:rPr>
                <w:rFonts w:ascii="Book Antiqua" w:hAnsi="Book Antiqua" w:cs="Times New Roman"/>
                <w:color w:val="000000" w:themeColor="text1"/>
                <w:sz w:val="24"/>
                <w:szCs w:val="24"/>
              </w:rPr>
              <w:t>/kgH</w:t>
            </w:r>
            <w:r w:rsidRPr="00704D1E">
              <w:rPr>
                <w:rFonts w:ascii="Book Antiqua" w:hAnsi="Book Antiqua" w:cs="Times New Roman"/>
                <w:color w:val="000000" w:themeColor="text1"/>
                <w:sz w:val="24"/>
                <w:szCs w:val="24"/>
                <w:vertAlign w:val="subscript"/>
              </w:rPr>
              <w:t>2</w:t>
            </w:r>
            <w:r w:rsidRPr="00704D1E">
              <w:rPr>
                <w:rFonts w:ascii="Book Antiqua" w:hAnsi="Book Antiqua" w:cs="Times New Roman"/>
                <w:color w:val="000000" w:themeColor="text1"/>
                <w:sz w:val="24"/>
                <w:szCs w:val="24"/>
              </w:rPr>
              <w:t>O)</w:t>
            </w:r>
          </w:p>
        </w:tc>
        <w:tc>
          <w:tcPr>
            <w:tcW w:w="2149" w:type="dxa"/>
            <w:noWrap/>
            <w:vAlign w:val="center"/>
            <w:hideMark/>
          </w:tcPr>
          <w:p w14:paraId="27F5740B" w14:textId="4207304E" w:rsidR="00CF5FC3" w:rsidRPr="00704D1E" w:rsidRDefault="00CF5FC3" w:rsidP="00950508">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305.2</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(298.8-314.6)</w:t>
            </w:r>
          </w:p>
        </w:tc>
        <w:tc>
          <w:tcPr>
            <w:tcW w:w="2410" w:type="dxa"/>
            <w:vAlign w:val="center"/>
          </w:tcPr>
          <w:p w14:paraId="0E71971A" w14:textId="3EACEC81" w:rsidR="00CF5FC3" w:rsidRPr="00704D1E" w:rsidRDefault="00CF5FC3" w:rsidP="00950508">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 xml:space="preserve">299.3 (293.7-305.5) </w:t>
            </w:r>
            <w:r w:rsidR="009E09F1" w:rsidRPr="00704D1E">
              <w:rPr>
                <w:rFonts w:ascii="Book Antiqua" w:eastAsia="等线" w:hAnsi="Book Antiqua" w:cs="Times New Roman"/>
                <w:color w:val="000000" w:themeColor="text1"/>
                <w:sz w:val="24"/>
                <w:szCs w:val="24"/>
                <w:vertAlign w:val="superscript"/>
              </w:rPr>
              <w:t>b</w:t>
            </w:r>
          </w:p>
        </w:tc>
        <w:tc>
          <w:tcPr>
            <w:tcW w:w="2238" w:type="dxa"/>
            <w:vAlign w:val="center"/>
          </w:tcPr>
          <w:p w14:paraId="36BE7066" w14:textId="77777777" w:rsidR="00CF5FC3" w:rsidRPr="00704D1E" w:rsidRDefault="00CF5FC3" w:rsidP="00950508">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314.9 (296.0-336.1)</w:t>
            </w:r>
          </w:p>
        </w:tc>
      </w:tr>
      <w:tr w:rsidR="00704D1E" w:rsidRPr="00704D1E" w14:paraId="7368D308" w14:textId="77777777" w:rsidTr="00E67517">
        <w:trPr>
          <w:trHeight w:val="280"/>
          <w:jc w:val="center"/>
        </w:trPr>
        <w:tc>
          <w:tcPr>
            <w:tcW w:w="2694" w:type="dxa"/>
            <w:noWrap/>
            <w:hideMark/>
          </w:tcPr>
          <w:p w14:paraId="47195C4F"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Na (mmol/L)</w:t>
            </w:r>
          </w:p>
        </w:tc>
        <w:tc>
          <w:tcPr>
            <w:tcW w:w="2149" w:type="dxa"/>
            <w:shd w:val="clear" w:color="auto" w:fill="auto"/>
            <w:noWrap/>
            <w:vAlign w:val="center"/>
            <w:hideMark/>
          </w:tcPr>
          <w:p w14:paraId="32F725AE" w14:textId="77777777"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146.0 (143.0-150.0)</w:t>
            </w:r>
          </w:p>
        </w:tc>
        <w:tc>
          <w:tcPr>
            <w:tcW w:w="2410" w:type="dxa"/>
            <w:vAlign w:val="center"/>
          </w:tcPr>
          <w:p w14:paraId="4E6D5C07" w14:textId="0AF9DA5F" w:rsidR="00CF5FC3" w:rsidRPr="00704D1E" w:rsidRDefault="00CF5FC3" w:rsidP="00950508">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 xml:space="preserve">143.0 (140.0-146.5) </w:t>
            </w:r>
            <w:r w:rsidR="009E09F1" w:rsidRPr="00704D1E">
              <w:rPr>
                <w:rFonts w:ascii="Book Antiqua" w:eastAsia="等线" w:hAnsi="Book Antiqua" w:cs="Times New Roman"/>
                <w:color w:val="000000" w:themeColor="text1"/>
                <w:sz w:val="24"/>
                <w:szCs w:val="24"/>
                <w:vertAlign w:val="superscript"/>
              </w:rPr>
              <w:t>b</w:t>
            </w:r>
          </w:p>
        </w:tc>
        <w:tc>
          <w:tcPr>
            <w:tcW w:w="2238" w:type="dxa"/>
            <w:vAlign w:val="center"/>
          </w:tcPr>
          <w:p w14:paraId="54704DE3" w14:textId="77777777" w:rsidR="00CF5FC3" w:rsidRPr="00704D1E" w:rsidRDefault="00CF5FC3" w:rsidP="00950508">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151.0 (141.0-162.0)</w:t>
            </w:r>
          </w:p>
        </w:tc>
      </w:tr>
      <w:tr w:rsidR="00704D1E" w:rsidRPr="00704D1E" w14:paraId="3D13FAC0" w14:textId="77777777" w:rsidTr="00E67517">
        <w:trPr>
          <w:trHeight w:val="280"/>
          <w:jc w:val="center"/>
        </w:trPr>
        <w:tc>
          <w:tcPr>
            <w:tcW w:w="2694" w:type="dxa"/>
            <w:tcBorders>
              <w:bottom w:val="nil"/>
            </w:tcBorders>
            <w:noWrap/>
            <w:hideMark/>
          </w:tcPr>
          <w:p w14:paraId="1774C462"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Cl (mmol/L)</w:t>
            </w:r>
          </w:p>
        </w:tc>
        <w:tc>
          <w:tcPr>
            <w:tcW w:w="2149" w:type="dxa"/>
            <w:tcBorders>
              <w:bottom w:val="nil"/>
            </w:tcBorders>
            <w:shd w:val="clear" w:color="auto" w:fill="auto"/>
            <w:noWrap/>
            <w:vAlign w:val="center"/>
            <w:hideMark/>
          </w:tcPr>
          <w:p w14:paraId="759E9B6C" w14:textId="77777777"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109.0 (108.0-114.0)</w:t>
            </w:r>
          </w:p>
        </w:tc>
        <w:tc>
          <w:tcPr>
            <w:tcW w:w="2410" w:type="dxa"/>
            <w:tcBorders>
              <w:bottom w:val="nil"/>
            </w:tcBorders>
            <w:vAlign w:val="center"/>
          </w:tcPr>
          <w:p w14:paraId="60BD646F" w14:textId="28D4F42F" w:rsidR="00CF5FC3" w:rsidRPr="00704D1E" w:rsidRDefault="00CF5FC3" w:rsidP="00950508">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106.0</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 xml:space="preserve">(104.3-110.8) </w:t>
            </w:r>
            <w:r w:rsidR="009E09F1" w:rsidRPr="00704D1E">
              <w:rPr>
                <w:rFonts w:ascii="Book Antiqua" w:eastAsia="等线" w:hAnsi="Book Antiqua" w:cs="Times New Roman"/>
                <w:color w:val="000000" w:themeColor="text1"/>
                <w:sz w:val="24"/>
                <w:szCs w:val="24"/>
                <w:vertAlign w:val="superscript"/>
              </w:rPr>
              <w:t>b</w:t>
            </w:r>
          </w:p>
        </w:tc>
        <w:tc>
          <w:tcPr>
            <w:tcW w:w="2238" w:type="dxa"/>
            <w:tcBorders>
              <w:bottom w:val="nil"/>
            </w:tcBorders>
            <w:vAlign w:val="center"/>
          </w:tcPr>
          <w:p w14:paraId="5CC2ED3C" w14:textId="77777777" w:rsidR="00CF5FC3" w:rsidRPr="00704D1E" w:rsidRDefault="00CF5FC3" w:rsidP="00950508">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118.0 (108.0-130.0)</w:t>
            </w:r>
          </w:p>
        </w:tc>
      </w:tr>
      <w:tr w:rsidR="00704D1E" w:rsidRPr="00704D1E" w14:paraId="2D40B847" w14:textId="77777777" w:rsidTr="00E67517">
        <w:trPr>
          <w:trHeight w:val="280"/>
          <w:jc w:val="center"/>
        </w:trPr>
        <w:tc>
          <w:tcPr>
            <w:tcW w:w="2694" w:type="dxa"/>
            <w:tcBorders>
              <w:top w:val="nil"/>
              <w:bottom w:val="nil"/>
            </w:tcBorders>
            <w:noWrap/>
          </w:tcPr>
          <w:p w14:paraId="42877D6E"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K (mmol/L)</w:t>
            </w:r>
          </w:p>
        </w:tc>
        <w:tc>
          <w:tcPr>
            <w:tcW w:w="2149" w:type="dxa"/>
            <w:tcBorders>
              <w:top w:val="nil"/>
              <w:bottom w:val="nil"/>
            </w:tcBorders>
            <w:noWrap/>
            <w:vAlign w:val="center"/>
          </w:tcPr>
          <w:p w14:paraId="62E3AB18" w14:textId="34521BF4" w:rsidR="00CF5FC3" w:rsidRPr="00704D1E" w:rsidRDefault="00CF5FC3" w:rsidP="00950508">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4.20</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0.30</w:t>
            </w:r>
          </w:p>
        </w:tc>
        <w:tc>
          <w:tcPr>
            <w:tcW w:w="2410" w:type="dxa"/>
            <w:tcBorders>
              <w:top w:val="nil"/>
              <w:bottom w:val="nil"/>
            </w:tcBorders>
            <w:vAlign w:val="center"/>
          </w:tcPr>
          <w:p w14:paraId="53279228" w14:textId="12C8FA49"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4.10</w:t>
            </w:r>
            <w:r w:rsidR="00950508">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w:t>
            </w:r>
            <w:r w:rsidR="00950508">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0.30</w:t>
            </w:r>
          </w:p>
        </w:tc>
        <w:tc>
          <w:tcPr>
            <w:tcW w:w="2238" w:type="dxa"/>
            <w:tcBorders>
              <w:top w:val="nil"/>
              <w:bottom w:val="nil"/>
            </w:tcBorders>
            <w:vAlign w:val="center"/>
          </w:tcPr>
          <w:p w14:paraId="301EEB96" w14:textId="3B22CDCE"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4.10</w:t>
            </w:r>
            <w:r w:rsidR="00950508">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w:t>
            </w:r>
            <w:r w:rsidR="00950508">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0.20</w:t>
            </w:r>
          </w:p>
        </w:tc>
      </w:tr>
      <w:tr w:rsidR="00704D1E" w:rsidRPr="00704D1E" w14:paraId="6917A685" w14:textId="77777777" w:rsidTr="00E67517">
        <w:trPr>
          <w:trHeight w:val="280"/>
          <w:jc w:val="center"/>
        </w:trPr>
        <w:tc>
          <w:tcPr>
            <w:tcW w:w="2694" w:type="dxa"/>
            <w:tcBorders>
              <w:top w:val="nil"/>
              <w:bottom w:val="single" w:sz="8" w:space="0" w:color="auto"/>
            </w:tcBorders>
            <w:noWrap/>
            <w:hideMark/>
          </w:tcPr>
          <w:p w14:paraId="26EA4D04"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Cr (</w:t>
            </w:r>
            <w:proofErr w:type="spellStart"/>
            <w:r w:rsidRPr="00704D1E">
              <w:rPr>
                <w:rFonts w:ascii="Book Antiqua" w:hAnsi="Book Antiqua" w:cs="Times New Roman"/>
                <w:color w:val="000000" w:themeColor="text1"/>
                <w:sz w:val="24"/>
                <w:szCs w:val="24"/>
              </w:rPr>
              <w:t>μmol</w:t>
            </w:r>
            <w:proofErr w:type="spellEnd"/>
            <w:r w:rsidRPr="00704D1E">
              <w:rPr>
                <w:rFonts w:ascii="Book Antiqua" w:hAnsi="Book Antiqua" w:cs="Times New Roman"/>
                <w:color w:val="000000" w:themeColor="text1"/>
                <w:sz w:val="24"/>
                <w:szCs w:val="24"/>
              </w:rPr>
              <w:t>/L)</w:t>
            </w:r>
          </w:p>
        </w:tc>
        <w:tc>
          <w:tcPr>
            <w:tcW w:w="2149" w:type="dxa"/>
            <w:tcBorders>
              <w:top w:val="nil"/>
              <w:bottom w:val="single" w:sz="8" w:space="0" w:color="auto"/>
            </w:tcBorders>
            <w:noWrap/>
            <w:vAlign w:val="center"/>
            <w:hideMark/>
          </w:tcPr>
          <w:p w14:paraId="05996866" w14:textId="28B95AEB" w:rsidR="00CF5FC3" w:rsidRPr="00704D1E" w:rsidRDefault="00CF5FC3" w:rsidP="00950508">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66.8</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15.2</w:t>
            </w:r>
          </w:p>
        </w:tc>
        <w:tc>
          <w:tcPr>
            <w:tcW w:w="2410" w:type="dxa"/>
            <w:tcBorders>
              <w:top w:val="nil"/>
              <w:bottom w:val="single" w:sz="8" w:space="0" w:color="auto"/>
            </w:tcBorders>
            <w:vAlign w:val="center"/>
          </w:tcPr>
          <w:p w14:paraId="6946D1A4" w14:textId="1EAF42E7" w:rsidR="00CF5FC3" w:rsidRPr="00704D1E" w:rsidRDefault="00CF5FC3" w:rsidP="00950508">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70.2</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16.9</w:t>
            </w:r>
          </w:p>
        </w:tc>
        <w:tc>
          <w:tcPr>
            <w:tcW w:w="2238" w:type="dxa"/>
            <w:tcBorders>
              <w:top w:val="nil"/>
              <w:bottom w:val="single" w:sz="8" w:space="0" w:color="auto"/>
            </w:tcBorders>
            <w:vAlign w:val="center"/>
          </w:tcPr>
          <w:p w14:paraId="5CE57072" w14:textId="0664154C" w:rsidR="00CF5FC3" w:rsidRPr="00704D1E" w:rsidRDefault="00CF5FC3" w:rsidP="00950508">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64.4</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17.0</w:t>
            </w:r>
          </w:p>
        </w:tc>
      </w:tr>
    </w:tbl>
    <w:p w14:paraId="2920B34E" w14:textId="710C6C80" w:rsidR="00CF5FC3" w:rsidRPr="00704D1E" w:rsidRDefault="009E09F1" w:rsidP="00704D1E">
      <w:pPr>
        <w:adjustRightInd w:val="0"/>
        <w:snapToGrid w:val="0"/>
        <w:spacing w:line="360" w:lineRule="auto"/>
        <w:rPr>
          <w:rFonts w:ascii="Book Antiqua" w:hAnsi="Book Antiqua" w:cs="Times New Roman"/>
          <w:b/>
          <w:color w:val="000000" w:themeColor="text1"/>
          <w:sz w:val="24"/>
          <w:szCs w:val="24"/>
        </w:rPr>
      </w:pPr>
      <w:proofErr w:type="spellStart"/>
      <w:r w:rsidRPr="00704D1E">
        <w:rPr>
          <w:rFonts w:ascii="Book Antiqua" w:hAnsi="Book Antiqua" w:cs="Times New Roman"/>
          <w:color w:val="000000" w:themeColor="text1"/>
          <w:sz w:val="24"/>
          <w:szCs w:val="24"/>
          <w:vertAlign w:val="superscript"/>
        </w:rPr>
        <w:t>a</w:t>
      </w:r>
      <w:r w:rsidR="00CF5FC3" w:rsidRPr="00704D1E">
        <w:rPr>
          <w:rFonts w:ascii="Book Antiqua" w:hAnsi="Book Antiqua" w:cs="Times New Roman"/>
          <w:i/>
          <w:color w:val="000000" w:themeColor="text1"/>
          <w:sz w:val="24"/>
          <w:szCs w:val="24"/>
        </w:rPr>
        <w:t>P</w:t>
      </w:r>
      <w:proofErr w:type="spellEnd"/>
      <w:r w:rsidR="00950508">
        <w:rPr>
          <w:rFonts w:ascii="Book Antiqua" w:hAnsi="Book Antiqua" w:cs="Times New Roman"/>
          <w:i/>
          <w:color w:val="000000" w:themeColor="text1"/>
          <w:sz w:val="24"/>
          <w:szCs w:val="24"/>
        </w:rPr>
        <w:t xml:space="preserve"> </w:t>
      </w:r>
      <w:r w:rsidR="00950508">
        <w:rPr>
          <w:rFonts w:ascii="Book Antiqua" w:hAnsi="Book Antiqua" w:cs="Times New Roman"/>
          <w:color w:val="000000" w:themeColor="text1"/>
          <w:sz w:val="24"/>
          <w:szCs w:val="24"/>
        </w:rPr>
        <w:t xml:space="preserve">&lt; </w:t>
      </w:r>
      <w:r w:rsidR="00CF5FC3" w:rsidRPr="00704D1E">
        <w:rPr>
          <w:rFonts w:ascii="Book Antiqua" w:hAnsi="Book Antiqua" w:cs="Times New Roman"/>
          <w:color w:val="000000" w:themeColor="text1"/>
          <w:sz w:val="24"/>
          <w:szCs w:val="24"/>
        </w:rPr>
        <w:t xml:space="preserve">0.05 </w:t>
      </w:r>
      <w:r w:rsidR="00CF5FC3" w:rsidRPr="00950508">
        <w:rPr>
          <w:rFonts w:ascii="Book Antiqua" w:hAnsi="Book Antiqua" w:cs="Times New Roman"/>
          <w:i/>
          <w:color w:val="000000" w:themeColor="text1"/>
          <w:sz w:val="24"/>
          <w:szCs w:val="24"/>
        </w:rPr>
        <w:t>vs</w:t>
      </w:r>
      <w:r w:rsidR="00CF5FC3" w:rsidRPr="00704D1E">
        <w:rPr>
          <w:rFonts w:ascii="Book Antiqua" w:hAnsi="Book Antiqua" w:cs="Times New Roman"/>
          <w:color w:val="000000" w:themeColor="text1"/>
          <w:sz w:val="24"/>
          <w:szCs w:val="24"/>
        </w:rPr>
        <w:t xml:space="preserve"> the cirrhosis group</w:t>
      </w:r>
      <w:r w:rsidRPr="00704D1E">
        <w:rPr>
          <w:rFonts w:ascii="Book Antiqua" w:hAnsi="Book Antiqua" w:cs="Times New Roman"/>
          <w:color w:val="000000" w:themeColor="text1"/>
          <w:sz w:val="24"/>
          <w:szCs w:val="24"/>
        </w:rPr>
        <w:t xml:space="preserve">; </w:t>
      </w:r>
      <w:proofErr w:type="spellStart"/>
      <w:r w:rsidRPr="00704D1E">
        <w:rPr>
          <w:rFonts w:ascii="Book Antiqua" w:hAnsi="Book Antiqua" w:cs="Times New Roman"/>
          <w:color w:val="000000" w:themeColor="text1"/>
          <w:sz w:val="24"/>
          <w:szCs w:val="24"/>
          <w:vertAlign w:val="superscript"/>
        </w:rPr>
        <w:t>b</w:t>
      </w:r>
      <w:r w:rsidRPr="00704D1E">
        <w:rPr>
          <w:rFonts w:ascii="Book Antiqua" w:hAnsi="Book Antiqua" w:cs="Times New Roman"/>
          <w:i/>
          <w:color w:val="000000" w:themeColor="text1"/>
          <w:sz w:val="24"/>
          <w:szCs w:val="24"/>
        </w:rPr>
        <w:t>P</w:t>
      </w:r>
      <w:proofErr w:type="spellEnd"/>
      <w:r w:rsidR="00950508">
        <w:rPr>
          <w:rFonts w:ascii="Book Antiqua" w:hAnsi="Book Antiqua" w:cs="Times New Roman"/>
          <w:color w:val="000000" w:themeColor="text1"/>
          <w:sz w:val="24"/>
          <w:szCs w:val="24"/>
        </w:rPr>
        <w:t xml:space="preserve"> &lt; </w:t>
      </w:r>
      <w:r w:rsidRPr="00704D1E">
        <w:rPr>
          <w:rFonts w:ascii="Book Antiqua" w:hAnsi="Book Antiqua" w:cs="Times New Roman"/>
          <w:color w:val="000000" w:themeColor="text1"/>
          <w:sz w:val="24"/>
          <w:szCs w:val="24"/>
        </w:rPr>
        <w:t xml:space="preserve">0.05 </w:t>
      </w:r>
      <w:r w:rsidRPr="00950508">
        <w:rPr>
          <w:rFonts w:ascii="Book Antiqua" w:hAnsi="Book Antiqua" w:cs="Times New Roman"/>
          <w:i/>
          <w:color w:val="000000" w:themeColor="text1"/>
          <w:sz w:val="24"/>
          <w:szCs w:val="24"/>
        </w:rPr>
        <w:t>vs</w:t>
      </w:r>
      <w:r w:rsidRPr="00704D1E">
        <w:rPr>
          <w:rFonts w:ascii="Book Antiqua" w:hAnsi="Book Antiqua" w:cs="Times New Roman"/>
          <w:color w:val="000000" w:themeColor="text1"/>
          <w:sz w:val="24"/>
          <w:szCs w:val="24"/>
        </w:rPr>
        <w:t xml:space="preserve"> the cirrhosis group.</w:t>
      </w:r>
      <w:r w:rsidR="00741BAB" w:rsidRPr="00704D1E">
        <w:rPr>
          <w:rFonts w:ascii="Book Antiqua" w:hAnsi="Book Antiqua" w:cs="Times New Roman"/>
          <w:color w:val="000000" w:themeColor="text1"/>
          <w:sz w:val="24"/>
          <w:szCs w:val="24"/>
        </w:rPr>
        <w:t xml:space="preserve"> </w:t>
      </w:r>
      <w:r w:rsidR="00950508">
        <w:rPr>
          <w:rFonts w:ascii="Book Antiqua" w:hAnsi="Book Antiqua" w:cs="Times New Roman"/>
          <w:color w:val="000000" w:themeColor="text1"/>
          <w:sz w:val="24"/>
          <w:szCs w:val="24"/>
        </w:rPr>
        <w:t>NAFLD: N</w:t>
      </w:r>
      <w:r w:rsidRPr="00704D1E">
        <w:rPr>
          <w:rFonts w:ascii="Book Antiqua" w:hAnsi="Book Antiqua" w:cs="Times New Roman"/>
          <w:color w:val="000000" w:themeColor="text1"/>
          <w:sz w:val="24"/>
          <w:szCs w:val="24"/>
        </w:rPr>
        <w:t>on</w:t>
      </w:r>
      <w:r w:rsidR="00C32A0B" w:rsidRPr="00704D1E">
        <w:rPr>
          <w:rFonts w:ascii="Book Antiqua" w:hAnsi="Book Antiqua" w:cs="Times New Roman"/>
          <w:color w:val="000000" w:themeColor="text1"/>
          <w:sz w:val="24"/>
          <w:szCs w:val="24"/>
        </w:rPr>
        <w:t>-</w:t>
      </w:r>
      <w:r w:rsidRPr="00704D1E">
        <w:rPr>
          <w:rFonts w:ascii="Book Antiqua" w:hAnsi="Book Antiqua" w:cs="Times New Roman"/>
          <w:color w:val="000000" w:themeColor="text1"/>
          <w:sz w:val="24"/>
          <w:szCs w:val="24"/>
        </w:rPr>
        <w:lastRenderedPageBreak/>
        <w:t>alcoh</w:t>
      </w:r>
      <w:r w:rsidR="00950508">
        <w:rPr>
          <w:rFonts w:ascii="Book Antiqua" w:hAnsi="Book Antiqua" w:cs="Times New Roman"/>
          <w:color w:val="000000" w:themeColor="text1"/>
          <w:sz w:val="24"/>
          <w:szCs w:val="24"/>
        </w:rPr>
        <w:t>olic fatty liver disease; BMI: Body mass index; WC: W</w:t>
      </w:r>
      <w:r w:rsidRPr="00704D1E">
        <w:rPr>
          <w:rFonts w:ascii="Book Antiqua" w:hAnsi="Book Antiqua" w:cs="Times New Roman"/>
          <w:color w:val="000000" w:themeColor="text1"/>
          <w:sz w:val="24"/>
          <w:szCs w:val="24"/>
        </w:rPr>
        <w:t>aist circumference; SBP:</w:t>
      </w:r>
      <w:r w:rsidR="00C71AA9" w:rsidRPr="00704D1E">
        <w:rPr>
          <w:rFonts w:ascii="Book Antiqua" w:hAnsi="Book Antiqua" w:cs="Times New Roman"/>
          <w:color w:val="000000" w:themeColor="text1"/>
          <w:sz w:val="24"/>
          <w:szCs w:val="24"/>
        </w:rPr>
        <w:t xml:space="preserve"> </w:t>
      </w:r>
      <w:r w:rsidR="00950508">
        <w:rPr>
          <w:rFonts w:ascii="Book Antiqua" w:hAnsi="Book Antiqua" w:cs="Times New Roman"/>
          <w:color w:val="000000" w:themeColor="text1"/>
          <w:sz w:val="24"/>
          <w:szCs w:val="24"/>
        </w:rPr>
        <w:t>Systolic blood pressure; DBP: Diastolic blood pressure; GH: Growth hormone; IGF1: I</w:t>
      </w:r>
      <w:r w:rsidRPr="00704D1E">
        <w:rPr>
          <w:rFonts w:ascii="Book Antiqua" w:hAnsi="Book Antiqua" w:cs="Times New Roman"/>
          <w:color w:val="000000" w:themeColor="text1"/>
          <w:sz w:val="24"/>
          <w:szCs w:val="24"/>
        </w:rPr>
        <w:t>nsulin like growth factor 1; FT</w:t>
      </w:r>
      <w:r w:rsidRPr="00704D1E">
        <w:rPr>
          <w:rFonts w:ascii="Book Antiqua" w:hAnsi="Book Antiqua" w:cs="Times New Roman"/>
          <w:color w:val="000000" w:themeColor="text1"/>
          <w:sz w:val="24"/>
          <w:szCs w:val="24"/>
          <w:vertAlign w:val="subscript"/>
        </w:rPr>
        <w:t>3</w:t>
      </w:r>
      <w:r w:rsidR="00950508">
        <w:rPr>
          <w:rFonts w:ascii="Book Antiqua" w:hAnsi="Book Antiqua" w:cs="Times New Roman"/>
          <w:color w:val="000000" w:themeColor="text1"/>
          <w:sz w:val="24"/>
          <w:szCs w:val="24"/>
        </w:rPr>
        <w:t>: F</w:t>
      </w:r>
      <w:r w:rsidRPr="00704D1E">
        <w:rPr>
          <w:rFonts w:ascii="Book Antiqua" w:hAnsi="Book Antiqua" w:cs="Times New Roman"/>
          <w:color w:val="000000" w:themeColor="text1"/>
          <w:sz w:val="24"/>
          <w:szCs w:val="24"/>
        </w:rPr>
        <w:t>ree triiodothyronine; FT</w:t>
      </w:r>
      <w:r w:rsidRPr="00704D1E">
        <w:rPr>
          <w:rFonts w:ascii="Book Antiqua" w:hAnsi="Book Antiqua" w:cs="Times New Roman"/>
          <w:color w:val="000000" w:themeColor="text1"/>
          <w:sz w:val="24"/>
          <w:szCs w:val="24"/>
          <w:vertAlign w:val="subscript"/>
        </w:rPr>
        <w:t>4</w:t>
      </w:r>
      <w:r w:rsidR="00950508">
        <w:rPr>
          <w:rFonts w:ascii="Book Antiqua" w:hAnsi="Book Antiqua" w:cs="Times New Roman"/>
          <w:color w:val="000000" w:themeColor="text1"/>
          <w:sz w:val="24"/>
          <w:szCs w:val="24"/>
        </w:rPr>
        <w:t>: Free thyroxine; TSH: T</w:t>
      </w:r>
      <w:r w:rsidRPr="00704D1E">
        <w:rPr>
          <w:rFonts w:ascii="Book Antiqua" w:hAnsi="Book Antiqua" w:cs="Times New Roman"/>
          <w:color w:val="000000" w:themeColor="text1"/>
          <w:sz w:val="24"/>
          <w:szCs w:val="24"/>
        </w:rPr>
        <w:t xml:space="preserve">hyroid stimulating hormone; </w:t>
      </w:r>
      <w:r w:rsidR="00950508">
        <w:rPr>
          <w:rFonts w:ascii="Book Antiqua" w:hAnsi="Book Antiqua" w:cs="Times New Roman"/>
          <w:color w:val="000000" w:themeColor="text1"/>
          <w:sz w:val="24"/>
          <w:szCs w:val="24"/>
        </w:rPr>
        <w:t xml:space="preserve">GLU: Glucose; HOMA-IR: </w:t>
      </w:r>
      <w:bookmarkStart w:id="202" w:name="OLE_LINK588"/>
      <w:r w:rsidR="00950508">
        <w:rPr>
          <w:rFonts w:ascii="Book Antiqua" w:hAnsi="Book Antiqua" w:cs="Times New Roman"/>
          <w:color w:val="000000" w:themeColor="text1"/>
          <w:sz w:val="24"/>
          <w:szCs w:val="24"/>
        </w:rPr>
        <w:t>H</w:t>
      </w:r>
      <w:r w:rsidR="00741BAB" w:rsidRPr="00704D1E">
        <w:rPr>
          <w:rFonts w:ascii="Book Antiqua" w:hAnsi="Book Antiqua" w:cs="Times New Roman"/>
          <w:color w:val="000000" w:themeColor="text1"/>
          <w:sz w:val="24"/>
          <w:szCs w:val="24"/>
        </w:rPr>
        <w:t>omeostasis model assessment of insulin resistance</w:t>
      </w:r>
      <w:bookmarkEnd w:id="202"/>
      <w:r w:rsidR="00741BAB" w:rsidRPr="00704D1E">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HbA1</w:t>
      </w:r>
      <w:r w:rsidRPr="00704D1E">
        <w:rPr>
          <w:rFonts w:ascii="Book Antiqua" w:hAnsi="Book Antiqua" w:cs="Times New Roman"/>
          <w:color w:val="000000" w:themeColor="text1"/>
          <w:sz w:val="24"/>
          <w:szCs w:val="24"/>
          <w:vertAlign w:val="subscript"/>
        </w:rPr>
        <w:t>C</w:t>
      </w:r>
      <w:r w:rsidR="00950508">
        <w:rPr>
          <w:rFonts w:ascii="Book Antiqua" w:hAnsi="Book Antiqua" w:cs="Times New Roman"/>
          <w:color w:val="000000" w:themeColor="text1"/>
          <w:sz w:val="24"/>
          <w:szCs w:val="24"/>
        </w:rPr>
        <w:t>: G</w:t>
      </w:r>
      <w:r w:rsidRPr="00704D1E">
        <w:rPr>
          <w:rFonts w:ascii="Book Antiqua" w:hAnsi="Book Antiqua" w:cs="Times New Roman"/>
          <w:color w:val="000000" w:themeColor="text1"/>
          <w:sz w:val="24"/>
          <w:szCs w:val="24"/>
        </w:rPr>
        <w:t>lycated hemoglobin A1</w:t>
      </w:r>
      <w:r w:rsidRPr="00704D1E">
        <w:rPr>
          <w:rFonts w:ascii="Book Antiqua" w:hAnsi="Book Antiqua" w:cs="Times New Roman"/>
          <w:color w:val="000000" w:themeColor="text1"/>
          <w:sz w:val="24"/>
          <w:szCs w:val="24"/>
          <w:vertAlign w:val="subscript"/>
        </w:rPr>
        <w:t>C</w:t>
      </w:r>
      <w:r w:rsidR="00950508">
        <w:rPr>
          <w:rFonts w:ascii="Book Antiqua" w:hAnsi="Book Antiqua" w:cs="Times New Roman"/>
          <w:color w:val="000000" w:themeColor="text1"/>
          <w:sz w:val="24"/>
          <w:szCs w:val="24"/>
        </w:rPr>
        <w:t>; TC: Total cholesterol; TG: Triglyceride; HDL-C: H</w:t>
      </w:r>
      <w:r w:rsidRPr="00704D1E">
        <w:rPr>
          <w:rFonts w:ascii="Book Antiqua" w:hAnsi="Book Antiqua" w:cs="Times New Roman"/>
          <w:color w:val="000000" w:themeColor="text1"/>
          <w:sz w:val="24"/>
          <w:szCs w:val="24"/>
        </w:rPr>
        <w:t>igh density l</w:t>
      </w:r>
      <w:r w:rsidR="00950508">
        <w:rPr>
          <w:rFonts w:ascii="Book Antiqua" w:hAnsi="Book Antiqua" w:cs="Times New Roman"/>
          <w:color w:val="000000" w:themeColor="text1"/>
          <w:sz w:val="24"/>
          <w:szCs w:val="24"/>
        </w:rPr>
        <w:t>ipoprotein cholesterol; LDL-C: L</w:t>
      </w:r>
      <w:r w:rsidRPr="00704D1E">
        <w:rPr>
          <w:rFonts w:ascii="Book Antiqua" w:hAnsi="Book Antiqua" w:cs="Times New Roman"/>
          <w:color w:val="000000" w:themeColor="text1"/>
          <w:sz w:val="24"/>
          <w:szCs w:val="24"/>
        </w:rPr>
        <w:t>ow density lipoprotein cholesterol;</w:t>
      </w:r>
      <w:r w:rsidR="00741BAB" w:rsidRPr="00704D1E">
        <w:rPr>
          <w:rFonts w:ascii="Book Antiqua" w:hAnsi="Book Antiqua" w:cs="Times New Roman"/>
          <w:color w:val="000000" w:themeColor="text1"/>
          <w:sz w:val="24"/>
          <w:szCs w:val="24"/>
        </w:rPr>
        <w:t xml:space="preserve"> </w:t>
      </w:r>
      <w:r w:rsidR="00950508">
        <w:rPr>
          <w:rFonts w:ascii="Book Antiqua" w:hAnsi="Book Antiqua" w:cs="Times New Roman"/>
          <w:color w:val="000000" w:themeColor="text1"/>
          <w:sz w:val="24"/>
          <w:szCs w:val="24"/>
        </w:rPr>
        <w:t xml:space="preserve">UA: Uric acid; </w:t>
      </w:r>
      <w:proofErr w:type="spellStart"/>
      <w:r w:rsidR="00950508">
        <w:rPr>
          <w:rFonts w:ascii="Book Antiqua" w:hAnsi="Book Antiqua" w:cs="Times New Roman"/>
          <w:color w:val="000000" w:themeColor="text1"/>
          <w:sz w:val="24"/>
          <w:szCs w:val="24"/>
        </w:rPr>
        <w:t>hsCRP</w:t>
      </w:r>
      <w:proofErr w:type="spellEnd"/>
      <w:r w:rsidR="00950508">
        <w:rPr>
          <w:rFonts w:ascii="Book Antiqua" w:hAnsi="Book Antiqua" w:cs="Times New Roman"/>
          <w:color w:val="000000" w:themeColor="text1"/>
          <w:sz w:val="24"/>
          <w:szCs w:val="24"/>
        </w:rPr>
        <w:t>: H</w:t>
      </w:r>
      <w:r w:rsidRPr="00704D1E">
        <w:rPr>
          <w:rFonts w:ascii="Book Antiqua" w:hAnsi="Book Antiqua" w:cs="Times New Roman"/>
          <w:color w:val="000000" w:themeColor="text1"/>
          <w:sz w:val="24"/>
          <w:szCs w:val="24"/>
        </w:rPr>
        <w:t xml:space="preserve">ypersensitive C reactive protein; </w:t>
      </w:r>
      <w:proofErr w:type="spellStart"/>
      <w:r w:rsidRPr="00704D1E">
        <w:rPr>
          <w:rFonts w:ascii="Book Antiqua" w:hAnsi="Book Antiqua" w:cs="Times New Roman"/>
          <w:color w:val="000000" w:themeColor="text1"/>
          <w:sz w:val="24"/>
          <w:szCs w:val="24"/>
        </w:rPr>
        <w:t>Posm</w:t>
      </w:r>
      <w:proofErr w:type="spellEnd"/>
      <w:r w:rsidRPr="00704D1E">
        <w:rPr>
          <w:rFonts w:ascii="Book Antiqua" w:hAnsi="Book Antiqua" w:cs="Times New Roman"/>
          <w:color w:val="000000" w:themeColor="text1"/>
          <w:sz w:val="24"/>
          <w:szCs w:val="24"/>
        </w:rPr>
        <w:t>:</w:t>
      </w:r>
      <w:r w:rsidR="00950508">
        <w:rPr>
          <w:rFonts w:ascii="Book Antiqua" w:hAnsi="Book Antiqua" w:cs="Times New Roman"/>
          <w:color w:val="000000" w:themeColor="text1"/>
          <w:sz w:val="24"/>
          <w:szCs w:val="24"/>
        </w:rPr>
        <w:t xml:space="preserve"> P</w:t>
      </w:r>
      <w:r w:rsidRPr="00704D1E">
        <w:rPr>
          <w:rFonts w:ascii="Book Antiqua" w:hAnsi="Book Antiqua" w:cs="Times New Roman"/>
          <w:color w:val="000000" w:themeColor="text1"/>
          <w:sz w:val="24"/>
          <w:szCs w:val="24"/>
        </w:rPr>
        <w:t xml:space="preserve">lasma osmolality; </w:t>
      </w:r>
      <w:r w:rsidR="00950508">
        <w:rPr>
          <w:rFonts w:ascii="Book Antiqua" w:hAnsi="Book Antiqua" w:cs="Times New Roman"/>
          <w:color w:val="000000" w:themeColor="text1"/>
          <w:sz w:val="24"/>
          <w:szCs w:val="24"/>
        </w:rPr>
        <w:t>Na: Serum sodium; K: Serum potassium; Cl: Serum chlorine; Cr: S</w:t>
      </w:r>
      <w:r w:rsidR="00741BAB" w:rsidRPr="00704D1E">
        <w:rPr>
          <w:rFonts w:ascii="Book Antiqua" w:hAnsi="Book Antiqua" w:cs="Times New Roman"/>
          <w:color w:val="000000" w:themeColor="text1"/>
          <w:sz w:val="24"/>
          <w:szCs w:val="24"/>
        </w:rPr>
        <w:t>erum creatinine</w:t>
      </w:r>
      <w:r w:rsidRPr="00704D1E">
        <w:rPr>
          <w:rFonts w:ascii="Book Antiqua" w:hAnsi="Book Antiqua" w:cs="Times New Roman"/>
          <w:color w:val="000000" w:themeColor="text1"/>
          <w:sz w:val="24"/>
          <w:szCs w:val="24"/>
        </w:rPr>
        <w:t>.</w:t>
      </w:r>
    </w:p>
    <w:p w14:paraId="5330B57C" w14:textId="77777777" w:rsidR="00950508" w:rsidRDefault="00950508">
      <w:pPr>
        <w:widowControl/>
        <w:jc w:val="left"/>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14:paraId="6C10D6B1" w14:textId="187132EF" w:rsidR="00CF5FC3" w:rsidRPr="001256F6" w:rsidRDefault="00CF5FC3" w:rsidP="00704D1E">
      <w:pPr>
        <w:adjustRightInd w:val="0"/>
        <w:snapToGrid w:val="0"/>
        <w:spacing w:line="360" w:lineRule="auto"/>
        <w:rPr>
          <w:rFonts w:ascii="Book Antiqua" w:hAnsi="Book Antiqua" w:cs="Times New Roman"/>
          <w:i/>
          <w:color w:val="000000" w:themeColor="text1"/>
          <w:sz w:val="24"/>
          <w:szCs w:val="24"/>
        </w:rPr>
      </w:pPr>
      <w:r w:rsidRPr="00704D1E">
        <w:rPr>
          <w:rFonts w:ascii="Book Antiqua" w:hAnsi="Book Antiqua" w:cs="Times New Roman"/>
          <w:b/>
          <w:color w:val="000000" w:themeColor="text1"/>
          <w:sz w:val="24"/>
          <w:szCs w:val="24"/>
        </w:rPr>
        <w:lastRenderedPageBreak/>
        <w:t>Table 2</w:t>
      </w:r>
      <w:r w:rsidR="00D44ABA" w:rsidRPr="00D44ABA">
        <w:rPr>
          <w:rFonts w:ascii="Book Antiqua" w:hAnsi="Book Antiqua" w:cs="Times New Roman"/>
          <w:b/>
          <w:color w:val="000000" w:themeColor="text1"/>
          <w:sz w:val="24"/>
          <w:szCs w:val="24"/>
        </w:rPr>
        <w:t xml:space="preserve"> </w:t>
      </w:r>
      <w:r w:rsidRPr="00D44ABA">
        <w:rPr>
          <w:rFonts w:ascii="Book Antiqua" w:hAnsi="Book Antiqua" w:cs="Times New Roman"/>
          <w:b/>
          <w:color w:val="000000" w:themeColor="text1"/>
          <w:sz w:val="24"/>
          <w:szCs w:val="24"/>
        </w:rPr>
        <w:t>Etiology of hypopituitarism and distribution of pituitar</w:t>
      </w:r>
      <w:r w:rsidR="00D44ABA" w:rsidRPr="00D44ABA">
        <w:rPr>
          <w:rFonts w:ascii="Book Antiqua" w:hAnsi="Book Antiqua" w:cs="Times New Roman"/>
          <w:b/>
          <w:color w:val="000000" w:themeColor="text1"/>
          <w:sz w:val="24"/>
          <w:szCs w:val="24"/>
        </w:rPr>
        <w:t>y deficiencies in our patients</w:t>
      </w:r>
      <w:r w:rsidR="001256F6">
        <w:rPr>
          <w:rFonts w:ascii="Book Antiqua" w:hAnsi="Book Antiqua" w:cs="Times New Roman"/>
          <w:b/>
          <w:color w:val="000000" w:themeColor="text1"/>
          <w:sz w:val="24"/>
          <w:szCs w:val="24"/>
        </w:rPr>
        <w:t xml:space="preserve"> </w:t>
      </w:r>
      <w:r w:rsidR="001256F6">
        <w:rPr>
          <w:rFonts w:ascii="Book Antiqua" w:hAnsi="Book Antiqua" w:cs="Times New Roman"/>
          <w:b/>
          <w:i/>
          <w:color w:val="000000" w:themeColor="text1"/>
          <w:sz w:val="24"/>
          <w:szCs w:val="24"/>
        </w:rPr>
        <w:t xml:space="preserve">n </w:t>
      </w:r>
      <w:r w:rsidR="001256F6" w:rsidRPr="001256F6">
        <w:rPr>
          <w:rFonts w:ascii="Book Antiqua" w:hAnsi="Book Antiqua" w:cs="Times New Roman"/>
          <w:b/>
          <w:color w:val="000000" w:themeColor="text1"/>
          <w:sz w:val="24"/>
          <w:szCs w:val="24"/>
        </w:rPr>
        <w:t>(</w:t>
      </w:r>
      <w:r w:rsidR="001256F6">
        <w:rPr>
          <w:rFonts w:ascii="Book Antiqua" w:hAnsi="Book Antiqua" w:cs="Times New Roman"/>
          <w:b/>
          <w:color w:val="000000" w:themeColor="text1"/>
          <w:sz w:val="24"/>
          <w:szCs w:val="24"/>
        </w:rPr>
        <w:t>%</w:t>
      </w:r>
      <w:r w:rsidR="001256F6" w:rsidRPr="001256F6">
        <w:rPr>
          <w:rFonts w:ascii="Book Antiqua" w:hAnsi="Book Antiqua" w:cs="Times New Roman"/>
          <w:b/>
          <w:color w:val="000000" w:themeColor="text1"/>
          <w:sz w:val="24"/>
          <w:szCs w:val="24"/>
        </w:rPr>
        <w:t>)</w:t>
      </w:r>
    </w:p>
    <w:tbl>
      <w:tblPr>
        <w:tblW w:w="9253" w:type="dxa"/>
        <w:jc w:val="center"/>
        <w:tblBorders>
          <w:top w:val="single" w:sz="8" w:space="0" w:color="auto"/>
          <w:bottom w:val="single" w:sz="8" w:space="0" w:color="auto"/>
        </w:tblBorders>
        <w:tblLook w:val="04A0" w:firstRow="1" w:lastRow="0" w:firstColumn="1" w:lastColumn="0" w:noHBand="0" w:noVBand="1"/>
      </w:tblPr>
      <w:tblGrid>
        <w:gridCol w:w="1513"/>
        <w:gridCol w:w="3233"/>
        <w:gridCol w:w="1534"/>
        <w:gridCol w:w="1535"/>
        <w:gridCol w:w="1438"/>
      </w:tblGrid>
      <w:tr w:rsidR="00704D1E" w:rsidRPr="00704D1E" w14:paraId="54BFDD7B" w14:textId="77777777" w:rsidTr="001256F6">
        <w:trPr>
          <w:jc w:val="center"/>
        </w:trPr>
        <w:tc>
          <w:tcPr>
            <w:tcW w:w="1513" w:type="dxa"/>
            <w:vMerge w:val="restart"/>
            <w:tcBorders>
              <w:top w:val="single" w:sz="8" w:space="0" w:color="auto"/>
            </w:tcBorders>
            <w:vAlign w:val="center"/>
          </w:tcPr>
          <w:p w14:paraId="5D092987"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tc>
        <w:tc>
          <w:tcPr>
            <w:tcW w:w="3233" w:type="dxa"/>
            <w:vMerge w:val="restart"/>
            <w:tcBorders>
              <w:top w:val="single" w:sz="8" w:space="0" w:color="auto"/>
            </w:tcBorders>
            <w:vAlign w:val="center"/>
          </w:tcPr>
          <w:p w14:paraId="438B092B" w14:textId="0E8F6A87" w:rsidR="00CF5FC3" w:rsidRPr="001256F6" w:rsidRDefault="00CF5FC3" w:rsidP="001256F6">
            <w:pPr>
              <w:adjustRightInd w:val="0"/>
              <w:snapToGrid w:val="0"/>
              <w:spacing w:line="360" w:lineRule="auto"/>
              <w:jc w:val="center"/>
              <w:rPr>
                <w:rFonts w:ascii="Book Antiqua" w:hAnsi="Book Antiqua" w:cs="Times New Roman"/>
                <w:b/>
                <w:color w:val="000000" w:themeColor="text1"/>
                <w:sz w:val="24"/>
                <w:szCs w:val="24"/>
              </w:rPr>
            </w:pPr>
          </w:p>
        </w:tc>
        <w:tc>
          <w:tcPr>
            <w:tcW w:w="1534" w:type="dxa"/>
            <w:vMerge w:val="restart"/>
            <w:tcBorders>
              <w:top w:val="single" w:sz="8" w:space="0" w:color="auto"/>
            </w:tcBorders>
            <w:vAlign w:val="center"/>
          </w:tcPr>
          <w:p w14:paraId="47EB8A64" w14:textId="77777777" w:rsidR="00CF5FC3" w:rsidRPr="001256F6" w:rsidRDefault="00CF5FC3" w:rsidP="001256F6">
            <w:pPr>
              <w:adjustRightInd w:val="0"/>
              <w:snapToGrid w:val="0"/>
              <w:spacing w:line="360" w:lineRule="auto"/>
              <w:jc w:val="center"/>
              <w:rPr>
                <w:rFonts w:ascii="Book Antiqua" w:hAnsi="Book Antiqua" w:cs="Times New Roman"/>
                <w:b/>
                <w:color w:val="000000" w:themeColor="text1"/>
                <w:sz w:val="24"/>
                <w:szCs w:val="24"/>
              </w:rPr>
            </w:pPr>
            <w:r w:rsidRPr="001256F6">
              <w:rPr>
                <w:rFonts w:ascii="Book Antiqua" w:hAnsi="Book Antiqua" w:cs="Times New Roman"/>
                <w:b/>
                <w:color w:val="000000" w:themeColor="text1"/>
                <w:sz w:val="24"/>
                <w:szCs w:val="24"/>
              </w:rPr>
              <w:t>NAFLD (-)</w:t>
            </w:r>
          </w:p>
          <w:p w14:paraId="3228FB04" w14:textId="44537805" w:rsidR="00CF5FC3" w:rsidRPr="001256F6" w:rsidRDefault="00CF5FC3" w:rsidP="001256F6">
            <w:pPr>
              <w:adjustRightInd w:val="0"/>
              <w:snapToGrid w:val="0"/>
              <w:spacing w:line="360" w:lineRule="auto"/>
              <w:jc w:val="center"/>
              <w:rPr>
                <w:rFonts w:ascii="Book Antiqua" w:hAnsi="Book Antiqua" w:cs="Times New Roman"/>
                <w:b/>
                <w:color w:val="000000" w:themeColor="text1"/>
                <w:sz w:val="24"/>
                <w:szCs w:val="24"/>
              </w:rPr>
            </w:pPr>
            <w:r w:rsidRPr="001256F6">
              <w:rPr>
                <w:rFonts w:ascii="Book Antiqua" w:hAnsi="Book Antiqua" w:cs="Times New Roman"/>
                <w:b/>
                <w:color w:val="000000" w:themeColor="text1"/>
                <w:sz w:val="24"/>
                <w:szCs w:val="24"/>
              </w:rPr>
              <w:t>(</w:t>
            </w:r>
            <w:r w:rsidRPr="001256F6">
              <w:rPr>
                <w:rFonts w:ascii="Book Antiqua" w:hAnsi="Book Antiqua" w:cs="Times New Roman"/>
                <w:b/>
                <w:i/>
                <w:color w:val="000000" w:themeColor="text1"/>
                <w:sz w:val="24"/>
                <w:szCs w:val="24"/>
              </w:rPr>
              <w:t>n</w:t>
            </w:r>
            <w:r w:rsidR="001256F6" w:rsidRPr="001256F6">
              <w:rPr>
                <w:rFonts w:ascii="Book Antiqua" w:hAnsi="Book Antiqua" w:cs="Times New Roman"/>
                <w:b/>
                <w:color w:val="000000" w:themeColor="text1"/>
                <w:sz w:val="24"/>
                <w:szCs w:val="24"/>
              </w:rPr>
              <w:t xml:space="preserve"> </w:t>
            </w:r>
            <w:r w:rsidRPr="001256F6">
              <w:rPr>
                <w:rFonts w:ascii="Book Antiqua" w:hAnsi="Book Antiqua" w:cs="Times New Roman"/>
                <w:b/>
                <w:color w:val="000000" w:themeColor="text1"/>
                <w:sz w:val="24"/>
                <w:szCs w:val="24"/>
              </w:rPr>
              <w:t>=</w:t>
            </w:r>
            <w:r w:rsidR="001256F6" w:rsidRPr="001256F6">
              <w:rPr>
                <w:rFonts w:ascii="Book Antiqua" w:hAnsi="Book Antiqua" w:cs="Times New Roman"/>
                <w:b/>
                <w:color w:val="000000" w:themeColor="text1"/>
                <w:sz w:val="24"/>
                <w:szCs w:val="24"/>
              </w:rPr>
              <w:t xml:space="preserve"> </w:t>
            </w:r>
            <w:r w:rsidRPr="001256F6">
              <w:rPr>
                <w:rFonts w:ascii="Book Antiqua" w:hAnsi="Book Antiqua" w:cs="Times New Roman"/>
                <w:b/>
                <w:color w:val="000000" w:themeColor="text1"/>
                <w:sz w:val="24"/>
                <w:szCs w:val="24"/>
              </w:rPr>
              <w:t>23)</w:t>
            </w:r>
          </w:p>
        </w:tc>
        <w:tc>
          <w:tcPr>
            <w:tcW w:w="2973" w:type="dxa"/>
            <w:gridSpan w:val="2"/>
            <w:tcBorders>
              <w:top w:val="single" w:sz="8" w:space="0" w:color="auto"/>
              <w:bottom w:val="nil"/>
            </w:tcBorders>
            <w:vAlign w:val="center"/>
          </w:tcPr>
          <w:p w14:paraId="69329660" w14:textId="77777777" w:rsidR="00CF5FC3" w:rsidRPr="001256F6" w:rsidRDefault="00CF5FC3" w:rsidP="001256F6">
            <w:pPr>
              <w:adjustRightInd w:val="0"/>
              <w:snapToGrid w:val="0"/>
              <w:spacing w:line="360" w:lineRule="auto"/>
              <w:jc w:val="center"/>
              <w:rPr>
                <w:rFonts w:ascii="Book Antiqua" w:hAnsi="Book Antiqua" w:cs="Times New Roman"/>
                <w:b/>
                <w:color w:val="000000" w:themeColor="text1"/>
                <w:sz w:val="24"/>
                <w:szCs w:val="24"/>
              </w:rPr>
            </w:pPr>
            <w:r w:rsidRPr="001256F6">
              <w:rPr>
                <w:rFonts w:ascii="Book Antiqua" w:hAnsi="Book Antiqua" w:cs="Times New Roman"/>
                <w:b/>
                <w:color w:val="000000" w:themeColor="text1"/>
                <w:sz w:val="24"/>
                <w:szCs w:val="24"/>
              </w:rPr>
              <w:t>NAFLD (+)</w:t>
            </w:r>
          </w:p>
        </w:tc>
      </w:tr>
      <w:tr w:rsidR="00704D1E" w:rsidRPr="00704D1E" w14:paraId="24F03BC9" w14:textId="77777777" w:rsidTr="001256F6">
        <w:trPr>
          <w:jc w:val="center"/>
        </w:trPr>
        <w:tc>
          <w:tcPr>
            <w:tcW w:w="1513" w:type="dxa"/>
            <w:vMerge/>
            <w:tcBorders>
              <w:bottom w:val="single" w:sz="8" w:space="0" w:color="auto"/>
            </w:tcBorders>
            <w:vAlign w:val="center"/>
          </w:tcPr>
          <w:p w14:paraId="5FA09425"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tc>
        <w:tc>
          <w:tcPr>
            <w:tcW w:w="3233" w:type="dxa"/>
            <w:vMerge/>
            <w:tcBorders>
              <w:bottom w:val="single" w:sz="8" w:space="0" w:color="auto"/>
            </w:tcBorders>
            <w:vAlign w:val="center"/>
          </w:tcPr>
          <w:p w14:paraId="2E602ED4" w14:textId="77777777" w:rsidR="00CF5FC3" w:rsidRPr="001256F6" w:rsidRDefault="00CF5FC3" w:rsidP="001256F6">
            <w:pPr>
              <w:adjustRightInd w:val="0"/>
              <w:snapToGrid w:val="0"/>
              <w:spacing w:line="360" w:lineRule="auto"/>
              <w:jc w:val="center"/>
              <w:rPr>
                <w:rFonts w:ascii="Book Antiqua" w:hAnsi="Book Antiqua" w:cs="Times New Roman"/>
                <w:b/>
                <w:color w:val="000000" w:themeColor="text1"/>
                <w:sz w:val="24"/>
                <w:szCs w:val="24"/>
              </w:rPr>
            </w:pPr>
          </w:p>
        </w:tc>
        <w:tc>
          <w:tcPr>
            <w:tcW w:w="1534" w:type="dxa"/>
            <w:vMerge/>
            <w:tcBorders>
              <w:bottom w:val="single" w:sz="8" w:space="0" w:color="auto"/>
            </w:tcBorders>
            <w:vAlign w:val="center"/>
          </w:tcPr>
          <w:p w14:paraId="3AF13742" w14:textId="77777777" w:rsidR="00CF5FC3" w:rsidRPr="001256F6" w:rsidRDefault="00CF5FC3" w:rsidP="001256F6">
            <w:pPr>
              <w:adjustRightInd w:val="0"/>
              <w:snapToGrid w:val="0"/>
              <w:spacing w:line="360" w:lineRule="auto"/>
              <w:jc w:val="center"/>
              <w:rPr>
                <w:rFonts w:ascii="Book Antiqua" w:hAnsi="Book Antiqua" w:cs="Times New Roman"/>
                <w:b/>
                <w:color w:val="000000" w:themeColor="text1"/>
                <w:sz w:val="24"/>
                <w:szCs w:val="24"/>
              </w:rPr>
            </w:pPr>
          </w:p>
        </w:tc>
        <w:tc>
          <w:tcPr>
            <w:tcW w:w="1535" w:type="dxa"/>
            <w:tcBorders>
              <w:top w:val="nil"/>
              <w:bottom w:val="single" w:sz="8" w:space="0" w:color="auto"/>
            </w:tcBorders>
            <w:vAlign w:val="center"/>
          </w:tcPr>
          <w:p w14:paraId="52E1BA50" w14:textId="15CDD506" w:rsidR="00CF5FC3" w:rsidRPr="001256F6" w:rsidRDefault="001256F6" w:rsidP="001256F6">
            <w:pPr>
              <w:adjustRightInd w:val="0"/>
              <w:snapToGrid w:val="0"/>
              <w:spacing w:line="360" w:lineRule="auto"/>
              <w:jc w:val="center"/>
              <w:rPr>
                <w:rFonts w:ascii="Book Antiqua" w:hAnsi="Book Antiqua" w:cs="Times New Roman"/>
                <w:b/>
                <w:color w:val="000000" w:themeColor="text1"/>
                <w:sz w:val="24"/>
                <w:szCs w:val="24"/>
              </w:rPr>
            </w:pPr>
            <w:r w:rsidRPr="001256F6">
              <w:rPr>
                <w:rFonts w:ascii="Book Antiqua" w:hAnsi="Book Antiqua" w:cs="Times New Roman"/>
                <w:b/>
                <w:color w:val="000000" w:themeColor="text1"/>
                <w:sz w:val="24"/>
                <w:szCs w:val="24"/>
              </w:rPr>
              <w:t>NAFLD (</w:t>
            </w:r>
            <w:r w:rsidRPr="001256F6">
              <w:rPr>
                <w:rFonts w:ascii="Book Antiqua" w:hAnsi="Book Antiqua" w:cs="Times New Roman"/>
                <w:b/>
                <w:i/>
                <w:color w:val="000000" w:themeColor="text1"/>
                <w:sz w:val="24"/>
                <w:szCs w:val="24"/>
              </w:rPr>
              <w:t>n</w:t>
            </w:r>
            <w:r w:rsidRPr="001256F6">
              <w:rPr>
                <w:rFonts w:ascii="Book Antiqua" w:hAnsi="Book Antiqua" w:cs="Times New Roman"/>
                <w:b/>
                <w:color w:val="000000" w:themeColor="text1"/>
                <w:sz w:val="24"/>
                <w:szCs w:val="24"/>
              </w:rPr>
              <w:t xml:space="preserve"> </w:t>
            </w:r>
            <w:r w:rsidR="00CF5FC3" w:rsidRPr="001256F6">
              <w:rPr>
                <w:rFonts w:ascii="Book Antiqua" w:hAnsi="Book Antiqua" w:cs="Times New Roman"/>
                <w:b/>
                <w:color w:val="000000" w:themeColor="text1"/>
                <w:sz w:val="24"/>
                <w:szCs w:val="24"/>
              </w:rPr>
              <w:t>=</w:t>
            </w:r>
            <w:r w:rsidRPr="001256F6">
              <w:rPr>
                <w:rFonts w:ascii="Book Antiqua" w:hAnsi="Book Antiqua" w:cs="Times New Roman"/>
                <w:b/>
                <w:color w:val="000000" w:themeColor="text1"/>
                <w:sz w:val="24"/>
                <w:szCs w:val="24"/>
              </w:rPr>
              <w:t xml:space="preserve"> </w:t>
            </w:r>
            <w:r w:rsidR="00CF5FC3" w:rsidRPr="001256F6">
              <w:rPr>
                <w:rFonts w:ascii="Book Antiqua" w:hAnsi="Book Antiqua" w:cs="Times New Roman"/>
                <w:b/>
                <w:color w:val="000000" w:themeColor="text1"/>
                <w:sz w:val="24"/>
                <w:szCs w:val="24"/>
              </w:rPr>
              <w:t>20)</w:t>
            </w:r>
          </w:p>
        </w:tc>
        <w:tc>
          <w:tcPr>
            <w:tcW w:w="1438" w:type="dxa"/>
            <w:tcBorders>
              <w:top w:val="nil"/>
              <w:bottom w:val="single" w:sz="8" w:space="0" w:color="auto"/>
            </w:tcBorders>
            <w:vAlign w:val="center"/>
          </w:tcPr>
          <w:p w14:paraId="38B57903" w14:textId="1471F4F7" w:rsidR="00CF5FC3" w:rsidRPr="001256F6" w:rsidRDefault="001256F6" w:rsidP="001256F6">
            <w:pPr>
              <w:adjustRightInd w:val="0"/>
              <w:snapToGrid w:val="0"/>
              <w:spacing w:line="360" w:lineRule="auto"/>
              <w:jc w:val="center"/>
              <w:rPr>
                <w:rFonts w:ascii="Book Antiqua" w:hAnsi="Book Antiqua" w:cs="Times New Roman"/>
                <w:b/>
                <w:color w:val="000000" w:themeColor="text1"/>
                <w:sz w:val="24"/>
                <w:szCs w:val="24"/>
              </w:rPr>
            </w:pPr>
            <w:r w:rsidRPr="001256F6">
              <w:rPr>
                <w:rFonts w:ascii="Book Antiqua" w:hAnsi="Book Antiqua" w:cs="Times New Roman"/>
                <w:b/>
                <w:color w:val="000000" w:themeColor="text1"/>
                <w:sz w:val="24"/>
                <w:szCs w:val="24"/>
              </w:rPr>
              <w:t>Cirrhosis (</w:t>
            </w:r>
            <w:r w:rsidRPr="001256F6">
              <w:rPr>
                <w:rFonts w:ascii="Book Antiqua" w:hAnsi="Book Antiqua" w:cs="Times New Roman"/>
                <w:b/>
                <w:i/>
                <w:color w:val="000000" w:themeColor="text1"/>
                <w:sz w:val="24"/>
                <w:szCs w:val="24"/>
              </w:rPr>
              <w:t>n</w:t>
            </w:r>
            <w:r w:rsidRPr="001256F6">
              <w:rPr>
                <w:rFonts w:ascii="Book Antiqua" w:hAnsi="Book Antiqua" w:cs="Times New Roman"/>
                <w:b/>
                <w:color w:val="000000" w:themeColor="text1"/>
                <w:sz w:val="24"/>
                <w:szCs w:val="24"/>
              </w:rPr>
              <w:t xml:space="preserve"> </w:t>
            </w:r>
            <w:r w:rsidR="00CF5FC3" w:rsidRPr="001256F6">
              <w:rPr>
                <w:rFonts w:ascii="Book Antiqua" w:hAnsi="Book Antiqua" w:cs="Times New Roman"/>
                <w:b/>
                <w:color w:val="000000" w:themeColor="text1"/>
                <w:sz w:val="24"/>
                <w:szCs w:val="24"/>
              </w:rPr>
              <w:t>=</w:t>
            </w:r>
            <w:r w:rsidRPr="001256F6">
              <w:rPr>
                <w:rFonts w:ascii="Book Antiqua" w:hAnsi="Book Antiqua" w:cs="Times New Roman"/>
                <w:b/>
                <w:color w:val="000000" w:themeColor="text1"/>
                <w:sz w:val="24"/>
                <w:szCs w:val="24"/>
              </w:rPr>
              <w:t xml:space="preserve"> </w:t>
            </w:r>
            <w:r w:rsidR="00CF5FC3" w:rsidRPr="001256F6">
              <w:rPr>
                <w:rFonts w:ascii="Book Antiqua" w:hAnsi="Book Antiqua" w:cs="Times New Roman"/>
                <w:b/>
                <w:color w:val="000000" w:themeColor="text1"/>
                <w:sz w:val="24"/>
                <w:szCs w:val="24"/>
              </w:rPr>
              <w:t>7)</w:t>
            </w:r>
          </w:p>
        </w:tc>
      </w:tr>
      <w:tr w:rsidR="00704D1E" w:rsidRPr="00704D1E" w14:paraId="78DB4BD2" w14:textId="77777777" w:rsidTr="001256F6">
        <w:trPr>
          <w:jc w:val="center"/>
        </w:trPr>
        <w:tc>
          <w:tcPr>
            <w:tcW w:w="1513" w:type="dxa"/>
            <w:vMerge w:val="restart"/>
            <w:tcBorders>
              <w:top w:val="single" w:sz="8" w:space="0" w:color="auto"/>
              <w:bottom w:val="nil"/>
            </w:tcBorders>
            <w:vAlign w:val="center"/>
          </w:tcPr>
          <w:p w14:paraId="2F3263BD"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Etiology</w:t>
            </w:r>
          </w:p>
        </w:tc>
        <w:tc>
          <w:tcPr>
            <w:tcW w:w="3233" w:type="dxa"/>
            <w:tcBorders>
              <w:top w:val="single" w:sz="8" w:space="0" w:color="auto"/>
              <w:bottom w:val="nil"/>
            </w:tcBorders>
            <w:vAlign w:val="center"/>
          </w:tcPr>
          <w:p w14:paraId="3B291BB5"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Congenital hypopituitarism</w:t>
            </w:r>
          </w:p>
        </w:tc>
        <w:tc>
          <w:tcPr>
            <w:tcW w:w="1534" w:type="dxa"/>
            <w:tcBorders>
              <w:top w:val="single" w:sz="8" w:space="0" w:color="auto"/>
              <w:bottom w:val="nil"/>
            </w:tcBorders>
            <w:shd w:val="clear" w:color="auto" w:fill="auto"/>
            <w:vAlign w:val="center"/>
          </w:tcPr>
          <w:p w14:paraId="3318C49F" w14:textId="3B9C541F"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7</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30.4</w:t>
            </w:r>
            <w:r w:rsidR="001256F6">
              <w:rPr>
                <w:rFonts w:ascii="Book Antiqua" w:hAnsi="Book Antiqua" w:cs="Times New Roman"/>
                <w:color w:val="000000" w:themeColor="text1"/>
                <w:sz w:val="24"/>
                <w:szCs w:val="24"/>
              </w:rPr>
              <w:t>)</w:t>
            </w:r>
          </w:p>
        </w:tc>
        <w:tc>
          <w:tcPr>
            <w:tcW w:w="1535" w:type="dxa"/>
            <w:tcBorders>
              <w:top w:val="single" w:sz="8" w:space="0" w:color="auto"/>
              <w:bottom w:val="nil"/>
            </w:tcBorders>
            <w:shd w:val="clear" w:color="auto" w:fill="auto"/>
            <w:vAlign w:val="center"/>
          </w:tcPr>
          <w:p w14:paraId="583BE7BE" w14:textId="6A1F4F9C"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9</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45.0</w:t>
            </w:r>
            <w:r w:rsidR="001256F6">
              <w:rPr>
                <w:rFonts w:ascii="Book Antiqua" w:hAnsi="Book Antiqua" w:cs="Times New Roman"/>
                <w:color w:val="000000" w:themeColor="text1"/>
                <w:sz w:val="24"/>
                <w:szCs w:val="24"/>
              </w:rPr>
              <w:t>)</w:t>
            </w:r>
          </w:p>
        </w:tc>
        <w:tc>
          <w:tcPr>
            <w:tcW w:w="1438" w:type="dxa"/>
            <w:tcBorders>
              <w:top w:val="single" w:sz="8" w:space="0" w:color="auto"/>
              <w:bottom w:val="nil"/>
            </w:tcBorders>
            <w:vAlign w:val="center"/>
          </w:tcPr>
          <w:p w14:paraId="0D365804" w14:textId="3D795676"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3 (42.9</w:t>
            </w:r>
            <w:r w:rsidR="001256F6">
              <w:rPr>
                <w:rFonts w:ascii="Book Antiqua" w:hAnsi="Book Antiqua" w:cs="Times New Roman"/>
                <w:color w:val="000000" w:themeColor="text1"/>
                <w:sz w:val="24"/>
                <w:szCs w:val="24"/>
              </w:rPr>
              <w:t>)</w:t>
            </w:r>
          </w:p>
        </w:tc>
      </w:tr>
      <w:tr w:rsidR="00704D1E" w:rsidRPr="00704D1E" w14:paraId="619AE06F" w14:textId="77777777" w:rsidTr="001256F6">
        <w:trPr>
          <w:jc w:val="center"/>
        </w:trPr>
        <w:tc>
          <w:tcPr>
            <w:tcW w:w="1513" w:type="dxa"/>
            <w:vMerge/>
            <w:tcBorders>
              <w:top w:val="nil"/>
              <w:bottom w:val="nil"/>
            </w:tcBorders>
            <w:vAlign w:val="center"/>
          </w:tcPr>
          <w:p w14:paraId="0FF8A43D"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tc>
        <w:tc>
          <w:tcPr>
            <w:tcW w:w="3233" w:type="dxa"/>
            <w:tcBorders>
              <w:top w:val="nil"/>
              <w:bottom w:val="nil"/>
            </w:tcBorders>
            <w:vAlign w:val="center"/>
          </w:tcPr>
          <w:p w14:paraId="50C16FD5"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Intracranial germ cell tumor</w:t>
            </w:r>
          </w:p>
        </w:tc>
        <w:tc>
          <w:tcPr>
            <w:tcW w:w="1534" w:type="dxa"/>
            <w:tcBorders>
              <w:top w:val="nil"/>
              <w:bottom w:val="nil"/>
            </w:tcBorders>
            <w:shd w:val="clear" w:color="auto" w:fill="auto"/>
            <w:vAlign w:val="center"/>
          </w:tcPr>
          <w:p w14:paraId="27EC16A5" w14:textId="01EC8B84"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10</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43.5</w:t>
            </w:r>
            <w:r w:rsidR="001256F6">
              <w:rPr>
                <w:rFonts w:ascii="Book Antiqua" w:hAnsi="Book Antiqua" w:cs="Times New Roman"/>
                <w:color w:val="000000" w:themeColor="text1"/>
                <w:sz w:val="24"/>
                <w:szCs w:val="24"/>
              </w:rPr>
              <w:t>)</w:t>
            </w:r>
          </w:p>
        </w:tc>
        <w:tc>
          <w:tcPr>
            <w:tcW w:w="1535" w:type="dxa"/>
            <w:tcBorders>
              <w:top w:val="nil"/>
              <w:bottom w:val="nil"/>
            </w:tcBorders>
            <w:shd w:val="clear" w:color="auto" w:fill="auto"/>
            <w:vAlign w:val="center"/>
          </w:tcPr>
          <w:p w14:paraId="272D90BC" w14:textId="1F53C45E"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4</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20.0</w:t>
            </w:r>
            <w:r w:rsidR="001256F6">
              <w:rPr>
                <w:rFonts w:ascii="Book Antiqua" w:hAnsi="Book Antiqua" w:cs="Times New Roman"/>
                <w:color w:val="000000" w:themeColor="text1"/>
                <w:sz w:val="24"/>
                <w:szCs w:val="24"/>
              </w:rPr>
              <w:t>)</w:t>
            </w:r>
          </w:p>
        </w:tc>
        <w:tc>
          <w:tcPr>
            <w:tcW w:w="1438" w:type="dxa"/>
            <w:tcBorders>
              <w:top w:val="nil"/>
              <w:bottom w:val="nil"/>
            </w:tcBorders>
            <w:shd w:val="clear" w:color="auto" w:fill="auto"/>
            <w:vAlign w:val="center"/>
          </w:tcPr>
          <w:p w14:paraId="1A163924" w14:textId="1ABB8E76"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3</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42.9</w:t>
            </w:r>
            <w:r w:rsidR="001256F6">
              <w:rPr>
                <w:rFonts w:ascii="Book Antiqua" w:hAnsi="Book Antiqua" w:cs="Times New Roman"/>
                <w:color w:val="000000" w:themeColor="text1"/>
                <w:sz w:val="24"/>
                <w:szCs w:val="24"/>
              </w:rPr>
              <w:t>)</w:t>
            </w:r>
          </w:p>
        </w:tc>
      </w:tr>
      <w:tr w:rsidR="00704D1E" w:rsidRPr="00704D1E" w14:paraId="1627B90B" w14:textId="77777777" w:rsidTr="001256F6">
        <w:trPr>
          <w:jc w:val="center"/>
        </w:trPr>
        <w:tc>
          <w:tcPr>
            <w:tcW w:w="1513" w:type="dxa"/>
            <w:vMerge/>
            <w:tcBorders>
              <w:top w:val="nil"/>
              <w:bottom w:val="nil"/>
            </w:tcBorders>
            <w:vAlign w:val="center"/>
          </w:tcPr>
          <w:p w14:paraId="0DA0F1AC"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tc>
        <w:tc>
          <w:tcPr>
            <w:tcW w:w="3233" w:type="dxa"/>
            <w:tcBorders>
              <w:top w:val="nil"/>
              <w:bottom w:val="nil"/>
            </w:tcBorders>
            <w:vAlign w:val="center"/>
          </w:tcPr>
          <w:p w14:paraId="726403CF"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Craniopharyngioma</w:t>
            </w:r>
          </w:p>
        </w:tc>
        <w:tc>
          <w:tcPr>
            <w:tcW w:w="1534" w:type="dxa"/>
            <w:tcBorders>
              <w:top w:val="nil"/>
              <w:bottom w:val="nil"/>
            </w:tcBorders>
            <w:shd w:val="clear" w:color="auto" w:fill="auto"/>
            <w:vAlign w:val="center"/>
          </w:tcPr>
          <w:p w14:paraId="01F3227A" w14:textId="62F56988"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1</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4.3</w:t>
            </w:r>
            <w:r w:rsidR="001256F6">
              <w:rPr>
                <w:rFonts w:ascii="Book Antiqua" w:hAnsi="Book Antiqua" w:cs="Times New Roman"/>
                <w:color w:val="000000" w:themeColor="text1"/>
                <w:sz w:val="24"/>
                <w:szCs w:val="24"/>
              </w:rPr>
              <w:t>)</w:t>
            </w:r>
          </w:p>
        </w:tc>
        <w:tc>
          <w:tcPr>
            <w:tcW w:w="1535" w:type="dxa"/>
            <w:tcBorders>
              <w:top w:val="nil"/>
              <w:bottom w:val="nil"/>
            </w:tcBorders>
            <w:shd w:val="clear" w:color="auto" w:fill="auto"/>
            <w:vAlign w:val="center"/>
          </w:tcPr>
          <w:p w14:paraId="677E429D" w14:textId="1D4760C0"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2</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10.0</w:t>
            </w:r>
            <w:r w:rsidR="001256F6">
              <w:rPr>
                <w:rFonts w:ascii="Book Antiqua" w:hAnsi="Book Antiqua" w:cs="Times New Roman"/>
                <w:color w:val="000000" w:themeColor="text1"/>
                <w:sz w:val="24"/>
                <w:szCs w:val="24"/>
              </w:rPr>
              <w:t>)</w:t>
            </w:r>
          </w:p>
        </w:tc>
        <w:tc>
          <w:tcPr>
            <w:tcW w:w="1438" w:type="dxa"/>
            <w:tcBorders>
              <w:top w:val="nil"/>
              <w:bottom w:val="nil"/>
            </w:tcBorders>
            <w:shd w:val="clear" w:color="auto" w:fill="auto"/>
            <w:vAlign w:val="center"/>
          </w:tcPr>
          <w:p w14:paraId="71CE65E3" w14:textId="72CFB7AB"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1</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14.3</w:t>
            </w:r>
            <w:r w:rsidR="001256F6">
              <w:rPr>
                <w:rFonts w:ascii="Book Antiqua" w:hAnsi="Book Antiqua" w:cs="Times New Roman"/>
                <w:color w:val="000000" w:themeColor="text1"/>
                <w:sz w:val="24"/>
                <w:szCs w:val="24"/>
              </w:rPr>
              <w:t>)</w:t>
            </w:r>
          </w:p>
        </w:tc>
      </w:tr>
      <w:tr w:rsidR="00704D1E" w:rsidRPr="00704D1E" w14:paraId="61CB7CF8" w14:textId="77777777" w:rsidTr="001256F6">
        <w:trPr>
          <w:jc w:val="center"/>
        </w:trPr>
        <w:tc>
          <w:tcPr>
            <w:tcW w:w="1513" w:type="dxa"/>
            <w:vMerge/>
            <w:tcBorders>
              <w:top w:val="nil"/>
              <w:bottom w:val="nil"/>
            </w:tcBorders>
            <w:vAlign w:val="center"/>
          </w:tcPr>
          <w:p w14:paraId="0CF28CFA"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tc>
        <w:tc>
          <w:tcPr>
            <w:tcW w:w="3233" w:type="dxa"/>
            <w:tcBorders>
              <w:top w:val="nil"/>
              <w:bottom w:val="nil"/>
            </w:tcBorders>
            <w:vAlign w:val="center"/>
          </w:tcPr>
          <w:p w14:paraId="50170C37"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Others</w:t>
            </w:r>
          </w:p>
        </w:tc>
        <w:tc>
          <w:tcPr>
            <w:tcW w:w="1534" w:type="dxa"/>
            <w:tcBorders>
              <w:top w:val="nil"/>
              <w:bottom w:val="nil"/>
            </w:tcBorders>
            <w:shd w:val="clear" w:color="auto" w:fill="auto"/>
            <w:vAlign w:val="center"/>
          </w:tcPr>
          <w:p w14:paraId="1F3C7911" w14:textId="3852FC18"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5</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21.7</w:t>
            </w:r>
            <w:r w:rsidR="001256F6">
              <w:rPr>
                <w:rFonts w:ascii="Book Antiqua" w:hAnsi="Book Antiqua" w:cs="Times New Roman"/>
                <w:color w:val="000000" w:themeColor="text1"/>
                <w:sz w:val="24"/>
                <w:szCs w:val="24"/>
              </w:rPr>
              <w:t>)</w:t>
            </w:r>
          </w:p>
        </w:tc>
        <w:tc>
          <w:tcPr>
            <w:tcW w:w="1535" w:type="dxa"/>
            <w:tcBorders>
              <w:top w:val="nil"/>
              <w:bottom w:val="nil"/>
            </w:tcBorders>
            <w:shd w:val="clear" w:color="auto" w:fill="auto"/>
            <w:vAlign w:val="center"/>
          </w:tcPr>
          <w:p w14:paraId="6DFD47E8" w14:textId="62836263"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5</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25.0</w:t>
            </w:r>
            <w:r w:rsidR="001256F6">
              <w:rPr>
                <w:rFonts w:ascii="Book Antiqua" w:hAnsi="Book Antiqua" w:cs="Times New Roman"/>
                <w:color w:val="000000" w:themeColor="text1"/>
                <w:sz w:val="24"/>
                <w:szCs w:val="24"/>
              </w:rPr>
              <w:t>)</w:t>
            </w:r>
          </w:p>
        </w:tc>
        <w:tc>
          <w:tcPr>
            <w:tcW w:w="1438" w:type="dxa"/>
            <w:tcBorders>
              <w:top w:val="nil"/>
              <w:bottom w:val="nil"/>
            </w:tcBorders>
            <w:shd w:val="clear" w:color="auto" w:fill="auto"/>
            <w:vAlign w:val="center"/>
          </w:tcPr>
          <w:p w14:paraId="28BC7B1B" w14:textId="0873C1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0</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0.0</w:t>
            </w:r>
            <w:r w:rsidR="001256F6">
              <w:rPr>
                <w:rFonts w:ascii="Book Antiqua" w:hAnsi="Book Antiqua" w:cs="Times New Roman"/>
                <w:color w:val="000000" w:themeColor="text1"/>
                <w:sz w:val="24"/>
                <w:szCs w:val="24"/>
              </w:rPr>
              <w:t>)</w:t>
            </w:r>
          </w:p>
        </w:tc>
      </w:tr>
      <w:tr w:rsidR="00704D1E" w:rsidRPr="00704D1E" w14:paraId="6989A8B5" w14:textId="77777777" w:rsidTr="001256F6">
        <w:trPr>
          <w:jc w:val="center"/>
        </w:trPr>
        <w:tc>
          <w:tcPr>
            <w:tcW w:w="1513" w:type="dxa"/>
            <w:vMerge w:val="restart"/>
            <w:tcBorders>
              <w:top w:val="nil"/>
              <w:bottom w:val="nil"/>
            </w:tcBorders>
            <w:vAlign w:val="center"/>
          </w:tcPr>
          <w:p w14:paraId="56861ED8"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Distribution</w:t>
            </w:r>
          </w:p>
          <w:p w14:paraId="725A1BC2"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of</w:t>
            </w:r>
          </w:p>
          <w:p w14:paraId="05E7D2C6"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pituitary deficiencies</w:t>
            </w:r>
          </w:p>
        </w:tc>
        <w:tc>
          <w:tcPr>
            <w:tcW w:w="3233" w:type="dxa"/>
            <w:tcBorders>
              <w:top w:val="nil"/>
              <w:bottom w:val="nil"/>
            </w:tcBorders>
            <w:vAlign w:val="center"/>
          </w:tcPr>
          <w:p w14:paraId="298D9B9F"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Gonadotrophins</w:t>
            </w:r>
          </w:p>
        </w:tc>
        <w:tc>
          <w:tcPr>
            <w:tcW w:w="1534" w:type="dxa"/>
            <w:tcBorders>
              <w:top w:val="nil"/>
              <w:bottom w:val="nil"/>
            </w:tcBorders>
            <w:shd w:val="clear" w:color="auto" w:fill="auto"/>
            <w:vAlign w:val="center"/>
          </w:tcPr>
          <w:p w14:paraId="3897E440" w14:textId="16C02C0E"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23</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100</w:t>
            </w:r>
            <w:r w:rsidR="001256F6">
              <w:rPr>
                <w:rFonts w:ascii="Book Antiqua" w:hAnsi="Book Antiqua" w:cs="Times New Roman"/>
                <w:color w:val="000000" w:themeColor="text1"/>
                <w:sz w:val="24"/>
                <w:szCs w:val="24"/>
              </w:rPr>
              <w:t>)</w:t>
            </w:r>
          </w:p>
        </w:tc>
        <w:tc>
          <w:tcPr>
            <w:tcW w:w="1535" w:type="dxa"/>
            <w:tcBorders>
              <w:top w:val="nil"/>
              <w:bottom w:val="nil"/>
            </w:tcBorders>
            <w:shd w:val="clear" w:color="auto" w:fill="auto"/>
            <w:vAlign w:val="center"/>
          </w:tcPr>
          <w:p w14:paraId="361C3BA6" w14:textId="357C133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20</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100</w:t>
            </w:r>
            <w:r w:rsidR="001256F6">
              <w:rPr>
                <w:rFonts w:ascii="Book Antiqua" w:hAnsi="Book Antiqua" w:cs="Times New Roman"/>
                <w:color w:val="000000" w:themeColor="text1"/>
                <w:sz w:val="24"/>
                <w:szCs w:val="24"/>
              </w:rPr>
              <w:t>)</w:t>
            </w:r>
          </w:p>
        </w:tc>
        <w:tc>
          <w:tcPr>
            <w:tcW w:w="1438" w:type="dxa"/>
            <w:tcBorders>
              <w:top w:val="nil"/>
              <w:bottom w:val="nil"/>
            </w:tcBorders>
            <w:shd w:val="clear" w:color="auto" w:fill="auto"/>
            <w:vAlign w:val="center"/>
          </w:tcPr>
          <w:p w14:paraId="74292552" w14:textId="57448062"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7</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100.0</w:t>
            </w:r>
            <w:r w:rsidR="001256F6">
              <w:rPr>
                <w:rFonts w:ascii="Book Antiqua" w:hAnsi="Book Antiqua" w:cs="Times New Roman"/>
                <w:color w:val="000000" w:themeColor="text1"/>
                <w:sz w:val="24"/>
                <w:szCs w:val="24"/>
              </w:rPr>
              <w:t>)</w:t>
            </w:r>
          </w:p>
        </w:tc>
      </w:tr>
      <w:tr w:rsidR="00704D1E" w:rsidRPr="00704D1E" w14:paraId="68C9C844" w14:textId="77777777" w:rsidTr="001256F6">
        <w:trPr>
          <w:jc w:val="center"/>
        </w:trPr>
        <w:tc>
          <w:tcPr>
            <w:tcW w:w="1513" w:type="dxa"/>
            <w:vMerge/>
            <w:tcBorders>
              <w:top w:val="nil"/>
              <w:bottom w:val="nil"/>
            </w:tcBorders>
            <w:vAlign w:val="center"/>
          </w:tcPr>
          <w:p w14:paraId="611A1393"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tc>
        <w:tc>
          <w:tcPr>
            <w:tcW w:w="3233" w:type="dxa"/>
            <w:tcBorders>
              <w:top w:val="nil"/>
              <w:bottom w:val="nil"/>
            </w:tcBorders>
            <w:vAlign w:val="center"/>
          </w:tcPr>
          <w:p w14:paraId="406DD6DA"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Growth hormone</w:t>
            </w:r>
          </w:p>
        </w:tc>
        <w:tc>
          <w:tcPr>
            <w:tcW w:w="1534" w:type="dxa"/>
            <w:tcBorders>
              <w:top w:val="nil"/>
              <w:bottom w:val="nil"/>
            </w:tcBorders>
            <w:shd w:val="clear" w:color="auto" w:fill="auto"/>
            <w:vAlign w:val="center"/>
          </w:tcPr>
          <w:p w14:paraId="50D84AFA" w14:textId="25605BD3"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20</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87.0</w:t>
            </w:r>
            <w:r w:rsidR="001256F6">
              <w:rPr>
                <w:rFonts w:ascii="Book Antiqua" w:hAnsi="Book Antiqua" w:cs="Times New Roman"/>
                <w:color w:val="000000" w:themeColor="text1"/>
                <w:sz w:val="24"/>
                <w:szCs w:val="24"/>
              </w:rPr>
              <w:t>)</w:t>
            </w:r>
          </w:p>
        </w:tc>
        <w:tc>
          <w:tcPr>
            <w:tcW w:w="1535" w:type="dxa"/>
            <w:tcBorders>
              <w:top w:val="nil"/>
              <w:bottom w:val="nil"/>
            </w:tcBorders>
            <w:shd w:val="clear" w:color="auto" w:fill="auto"/>
            <w:vAlign w:val="center"/>
          </w:tcPr>
          <w:p w14:paraId="14C1343C" w14:textId="7041F43E"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19</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95.0</w:t>
            </w:r>
            <w:r w:rsidR="001256F6">
              <w:rPr>
                <w:rFonts w:ascii="Book Antiqua" w:hAnsi="Book Antiqua" w:cs="Times New Roman"/>
                <w:color w:val="000000" w:themeColor="text1"/>
                <w:sz w:val="24"/>
                <w:szCs w:val="24"/>
              </w:rPr>
              <w:t>)</w:t>
            </w:r>
          </w:p>
        </w:tc>
        <w:tc>
          <w:tcPr>
            <w:tcW w:w="1438" w:type="dxa"/>
            <w:tcBorders>
              <w:top w:val="nil"/>
              <w:bottom w:val="nil"/>
            </w:tcBorders>
            <w:shd w:val="clear" w:color="auto" w:fill="auto"/>
            <w:vAlign w:val="center"/>
          </w:tcPr>
          <w:p w14:paraId="52FDAC5A" w14:textId="2052BC8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7</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100.0</w:t>
            </w:r>
            <w:r w:rsidR="001256F6">
              <w:rPr>
                <w:rFonts w:ascii="Book Antiqua" w:hAnsi="Book Antiqua" w:cs="Times New Roman"/>
                <w:color w:val="000000" w:themeColor="text1"/>
                <w:sz w:val="24"/>
                <w:szCs w:val="24"/>
              </w:rPr>
              <w:t>)</w:t>
            </w:r>
          </w:p>
        </w:tc>
      </w:tr>
      <w:tr w:rsidR="00704D1E" w:rsidRPr="00704D1E" w14:paraId="11AA1278" w14:textId="77777777" w:rsidTr="001256F6">
        <w:trPr>
          <w:jc w:val="center"/>
        </w:trPr>
        <w:tc>
          <w:tcPr>
            <w:tcW w:w="1513" w:type="dxa"/>
            <w:vMerge/>
            <w:tcBorders>
              <w:top w:val="nil"/>
              <w:bottom w:val="nil"/>
            </w:tcBorders>
            <w:vAlign w:val="center"/>
          </w:tcPr>
          <w:p w14:paraId="2014D529"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tc>
        <w:tc>
          <w:tcPr>
            <w:tcW w:w="3233" w:type="dxa"/>
            <w:tcBorders>
              <w:top w:val="nil"/>
              <w:bottom w:val="nil"/>
            </w:tcBorders>
            <w:vAlign w:val="center"/>
          </w:tcPr>
          <w:p w14:paraId="5A42546B"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Thyroid</w:t>
            </w:r>
          </w:p>
        </w:tc>
        <w:tc>
          <w:tcPr>
            <w:tcW w:w="1534" w:type="dxa"/>
            <w:tcBorders>
              <w:top w:val="nil"/>
              <w:bottom w:val="nil"/>
            </w:tcBorders>
            <w:shd w:val="clear" w:color="auto" w:fill="auto"/>
            <w:vAlign w:val="center"/>
          </w:tcPr>
          <w:p w14:paraId="3DAD747F" w14:textId="17B33DDF"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18</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78.3</w:t>
            </w:r>
            <w:r w:rsidR="001256F6">
              <w:rPr>
                <w:rFonts w:ascii="Book Antiqua" w:hAnsi="Book Antiqua" w:cs="Times New Roman"/>
                <w:color w:val="000000" w:themeColor="text1"/>
                <w:sz w:val="24"/>
                <w:szCs w:val="24"/>
              </w:rPr>
              <w:t>)</w:t>
            </w:r>
          </w:p>
        </w:tc>
        <w:tc>
          <w:tcPr>
            <w:tcW w:w="1535" w:type="dxa"/>
            <w:tcBorders>
              <w:top w:val="nil"/>
              <w:bottom w:val="nil"/>
            </w:tcBorders>
            <w:shd w:val="clear" w:color="auto" w:fill="auto"/>
            <w:vAlign w:val="center"/>
          </w:tcPr>
          <w:p w14:paraId="425B0DFE" w14:textId="4A1A89EA"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12</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60.0</w:t>
            </w:r>
            <w:r w:rsidR="001256F6">
              <w:rPr>
                <w:rFonts w:ascii="Book Antiqua" w:hAnsi="Book Antiqua" w:cs="Times New Roman"/>
                <w:color w:val="000000" w:themeColor="text1"/>
                <w:sz w:val="24"/>
                <w:szCs w:val="24"/>
              </w:rPr>
              <w:t>)</w:t>
            </w:r>
          </w:p>
        </w:tc>
        <w:tc>
          <w:tcPr>
            <w:tcW w:w="1438" w:type="dxa"/>
            <w:tcBorders>
              <w:top w:val="nil"/>
              <w:bottom w:val="nil"/>
            </w:tcBorders>
            <w:shd w:val="clear" w:color="auto" w:fill="auto"/>
            <w:vAlign w:val="center"/>
          </w:tcPr>
          <w:p w14:paraId="3A34ABA8" w14:textId="1338216F"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7</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100.0</w:t>
            </w:r>
            <w:r w:rsidR="001256F6">
              <w:rPr>
                <w:rFonts w:ascii="Book Antiqua" w:hAnsi="Book Antiqua" w:cs="Times New Roman"/>
                <w:color w:val="000000" w:themeColor="text1"/>
                <w:sz w:val="24"/>
                <w:szCs w:val="24"/>
              </w:rPr>
              <w:t>)</w:t>
            </w:r>
          </w:p>
        </w:tc>
      </w:tr>
      <w:tr w:rsidR="00704D1E" w:rsidRPr="00704D1E" w14:paraId="7F128304" w14:textId="77777777" w:rsidTr="001256F6">
        <w:trPr>
          <w:jc w:val="center"/>
        </w:trPr>
        <w:tc>
          <w:tcPr>
            <w:tcW w:w="1513" w:type="dxa"/>
            <w:vMerge/>
            <w:tcBorders>
              <w:top w:val="nil"/>
              <w:bottom w:val="nil"/>
            </w:tcBorders>
            <w:vAlign w:val="center"/>
          </w:tcPr>
          <w:p w14:paraId="44932F2E"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tc>
        <w:tc>
          <w:tcPr>
            <w:tcW w:w="3233" w:type="dxa"/>
            <w:tcBorders>
              <w:top w:val="nil"/>
              <w:bottom w:val="nil"/>
            </w:tcBorders>
            <w:vAlign w:val="center"/>
          </w:tcPr>
          <w:p w14:paraId="5D85CA48"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Adrenal</w:t>
            </w:r>
          </w:p>
        </w:tc>
        <w:tc>
          <w:tcPr>
            <w:tcW w:w="1534" w:type="dxa"/>
            <w:tcBorders>
              <w:top w:val="nil"/>
              <w:bottom w:val="nil"/>
            </w:tcBorders>
            <w:shd w:val="clear" w:color="auto" w:fill="auto"/>
            <w:vAlign w:val="center"/>
          </w:tcPr>
          <w:p w14:paraId="70AE0C70" w14:textId="75171D32"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14</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60.9</w:t>
            </w:r>
            <w:r w:rsidR="001256F6">
              <w:rPr>
                <w:rFonts w:ascii="Book Antiqua" w:hAnsi="Book Antiqua" w:cs="Times New Roman"/>
                <w:color w:val="000000" w:themeColor="text1"/>
                <w:sz w:val="24"/>
                <w:szCs w:val="24"/>
              </w:rPr>
              <w:t>)</w:t>
            </w:r>
          </w:p>
        </w:tc>
        <w:tc>
          <w:tcPr>
            <w:tcW w:w="1535" w:type="dxa"/>
            <w:tcBorders>
              <w:top w:val="nil"/>
              <w:bottom w:val="nil"/>
            </w:tcBorders>
            <w:shd w:val="clear" w:color="auto" w:fill="auto"/>
            <w:vAlign w:val="center"/>
          </w:tcPr>
          <w:p w14:paraId="60200E2F" w14:textId="1BFB137D"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13</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65.0</w:t>
            </w:r>
            <w:r w:rsidR="001256F6">
              <w:rPr>
                <w:rFonts w:ascii="Book Antiqua" w:hAnsi="Book Antiqua" w:cs="Times New Roman"/>
                <w:color w:val="000000" w:themeColor="text1"/>
                <w:sz w:val="24"/>
                <w:szCs w:val="24"/>
              </w:rPr>
              <w:t>)</w:t>
            </w:r>
          </w:p>
        </w:tc>
        <w:tc>
          <w:tcPr>
            <w:tcW w:w="1438" w:type="dxa"/>
            <w:tcBorders>
              <w:top w:val="nil"/>
              <w:bottom w:val="nil"/>
            </w:tcBorders>
            <w:shd w:val="clear" w:color="auto" w:fill="auto"/>
            <w:vAlign w:val="center"/>
          </w:tcPr>
          <w:p w14:paraId="48CD17AF" w14:textId="2378473B"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6</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85.7</w:t>
            </w:r>
            <w:r w:rsidR="001256F6">
              <w:rPr>
                <w:rFonts w:ascii="Book Antiqua" w:hAnsi="Book Antiqua" w:cs="Times New Roman"/>
                <w:color w:val="000000" w:themeColor="text1"/>
                <w:sz w:val="24"/>
                <w:szCs w:val="24"/>
              </w:rPr>
              <w:t>)</w:t>
            </w:r>
          </w:p>
        </w:tc>
      </w:tr>
      <w:tr w:rsidR="00704D1E" w:rsidRPr="00704D1E" w14:paraId="21533272" w14:textId="77777777" w:rsidTr="001256F6">
        <w:trPr>
          <w:jc w:val="center"/>
        </w:trPr>
        <w:tc>
          <w:tcPr>
            <w:tcW w:w="1513" w:type="dxa"/>
            <w:vMerge/>
            <w:tcBorders>
              <w:top w:val="nil"/>
              <w:bottom w:val="nil"/>
            </w:tcBorders>
            <w:vAlign w:val="center"/>
          </w:tcPr>
          <w:p w14:paraId="0439269E"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tc>
        <w:tc>
          <w:tcPr>
            <w:tcW w:w="3233" w:type="dxa"/>
            <w:tcBorders>
              <w:top w:val="nil"/>
              <w:bottom w:val="nil"/>
            </w:tcBorders>
            <w:vAlign w:val="center"/>
          </w:tcPr>
          <w:p w14:paraId="1F8B401C"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Diabetes insipidus</w:t>
            </w:r>
          </w:p>
        </w:tc>
        <w:tc>
          <w:tcPr>
            <w:tcW w:w="1534" w:type="dxa"/>
            <w:tcBorders>
              <w:top w:val="nil"/>
              <w:bottom w:val="nil"/>
            </w:tcBorders>
            <w:shd w:val="clear" w:color="auto" w:fill="auto"/>
            <w:vAlign w:val="center"/>
          </w:tcPr>
          <w:p w14:paraId="3C273B4D" w14:textId="47CEC9F9"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18</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78.3</w:t>
            </w:r>
            <w:r w:rsidR="001256F6">
              <w:rPr>
                <w:rFonts w:ascii="Book Antiqua" w:hAnsi="Book Antiqua" w:cs="Times New Roman"/>
                <w:color w:val="000000" w:themeColor="text1"/>
                <w:sz w:val="24"/>
                <w:szCs w:val="24"/>
              </w:rPr>
              <w:t>)</w:t>
            </w:r>
          </w:p>
        </w:tc>
        <w:tc>
          <w:tcPr>
            <w:tcW w:w="1535" w:type="dxa"/>
            <w:tcBorders>
              <w:top w:val="nil"/>
              <w:bottom w:val="nil"/>
            </w:tcBorders>
            <w:shd w:val="clear" w:color="auto" w:fill="auto"/>
            <w:vAlign w:val="center"/>
          </w:tcPr>
          <w:p w14:paraId="481ADD9A" w14:textId="734551A5"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13</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65.0</w:t>
            </w:r>
            <w:r w:rsidR="001256F6">
              <w:rPr>
                <w:rFonts w:ascii="Book Antiqua" w:hAnsi="Book Antiqua" w:cs="Times New Roman"/>
                <w:color w:val="000000" w:themeColor="text1"/>
                <w:sz w:val="24"/>
                <w:szCs w:val="24"/>
              </w:rPr>
              <w:t>)</w:t>
            </w:r>
          </w:p>
        </w:tc>
        <w:tc>
          <w:tcPr>
            <w:tcW w:w="1438" w:type="dxa"/>
            <w:tcBorders>
              <w:top w:val="nil"/>
              <w:bottom w:val="nil"/>
            </w:tcBorders>
            <w:shd w:val="clear" w:color="auto" w:fill="auto"/>
            <w:vAlign w:val="center"/>
          </w:tcPr>
          <w:p w14:paraId="49B4349C" w14:textId="2FB35B92"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5</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71.4</w:t>
            </w:r>
            <w:r w:rsidR="001256F6">
              <w:rPr>
                <w:rFonts w:ascii="Book Antiqua" w:hAnsi="Book Antiqua" w:cs="Times New Roman"/>
                <w:color w:val="000000" w:themeColor="text1"/>
                <w:sz w:val="24"/>
                <w:szCs w:val="24"/>
              </w:rPr>
              <w:t>)</w:t>
            </w:r>
          </w:p>
        </w:tc>
      </w:tr>
      <w:tr w:rsidR="00704D1E" w:rsidRPr="00704D1E" w14:paraId="4E2422E7" w14:textId="77777777" w:rsidTr="001256F6">
        <w:trPr>
          <w:jc w:val="center"/>
        </w:trPr>
        <w:tc>
          <w:tcPr>
            <w:tcW w:w="1513" w:type="dxa"/>
            <w:vMerge w:val="restart"/>
            <w:tcBorders>
              <w:top w:val="nil"/>
              <w:bottom w:val="nil"/>
            </w:tcBorders>
            <w:vAlign w:val="center"/>
          </w:tcPr>
          <w:p w14:paraId="23E78219" w14:textId="1B51E3B7" w:rsidR="00CF5FC3" w:rsidRPr="00704D1E" w:rsidRDefault="00CF5FC3" w:rsidP="008E49E6">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Number</w:t>
            </w:r>
            <w:r w:rsidR="008C568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of</w:t>
            </w:r>
            <w:r w:rsidR="008C568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pituitary ax</w:t>
            </w:r>
            <w:r w:rsidR="008E49E6">
              <w:rPr>
                <w:rFonts w:ascii="Book Antiqua" w:hAnsi="Book Antiqua" w:cs="Times New Roman"/>
                <w:color w:val="000000" w:themeColor="text1"/>
                <w:sz w:val="24"/>
                <w:szCs w:val="24"/>
              </w:rPr>
              <w:t>i</w:t>
            </w:r>
            <w:r w:rsidRPr="00704D1E">
              <w:rPr>
                <w:rFonts w:ascii="Book Antiqua" w:hAnsi="Book Antiqua" w:cs="Times New Roman"/>
                <w:color w:val="000000" w:themeColor="text1"/>
                <w:sz w:val="24"/>
                <w:szCs w:val="24"/>
              </w:rPr>
              <w:t>s deficien</w:t>
            </w:r>
            <w:r w:rsidR="008E49E6">
              <w:rPr>
                <w:rFonts w:ascii="Book Antiqua" w:hAnsi="Book Antiqua" w:cs="Times New Roman"/>
                <w:color w:val="000000" w:themeColor="text1"/>
                <w:sz w:val="24"/>
                <w:szCs w:val="24"/>
              </w:rPr>
              <w:t>cies</w:t>
            </w:r>
          </w:p>
        </w:tc>
        <w:tc>
          <w:tcPr>
            <w:tcW w:w="3233" w:type="dxa"/>
            <w:tcBorders>
              <w:top w:val="nil"/>
              <w:bottom w:val="nil"/>
            </w:tcBorders>
            <w:vAlign w:val="center"/>
          </w:tcPr>
          <w:p w14:paraId="0376B4CE"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1</w:t>
            </w:r>
          </w:p>
        </w:tc>
        <w:tc>
          <w:tcPr>
            <w:tcW w:w="1534" w:type="dxa"/>
            <w:tcBorders>
              <w:top w:val="nil"/>
              <w:bottom w:val="nil"/>
            </w:tcBorders>
            <w:shd w:val="clear" w:color="auto" w:fill="auto"/>
            <w:vAlign w:val="center"/>
          </w:tcPr>
          <w:p w14:paraId="7C02ED64" w14:textId="5EEE4AFD" w:rsidR="00CF5FC3" w:rsidRPr="00704D1E" w:rsidRDefault="00CF5FC3" w:rsidP="001256F6">
            <w:pPr>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0 (0.0</w:t>
            </w:r>
            <w:r w:rsidR="001256F6">
              <w:rPr>
                <w:rFonts w:ascii="Book Antiqua" w:eastAsia="等线" w:hAnsi="Book Antiqua" w:cs="Times New Roman"/>
                <w:color w:val="000000" w:themeColor="text1"/>
                <w:sz w:val="24"/>
                <w:szCs w:val="24"/>
              </w:rPr>
              <w:t>)</w:t>
            </w:r>
          </w:p>
        </w:tc>
        <w:tc>
          <w:tcPr>
            <w:tcW w:w="1535" w:type="dxa"/>
            <w:tcBorders>
              <w:top w:val="nil"/>
              <w:bottom w:val="nil"/>
            </w:tcBorders>
            <w:shd w:val="clear" w:color="auto" w:fill="auto"/>
            <w:vAlign w:val="center"/>
          </w:tcPr>
          <w:p w14:paraId="175A1C20" w14:textId="3576B82F" w:rsidR="00CF5FC3" w:rsidRPr="00704D1E" w:rsidRDefault="00CF5FC3" w:rsidP="001256F6">
            <w:pPr>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0 (0.0</w:t>
            </w:r>
            <w:r w:rsidR="001256F6">
              <w:rPr>
                <w:rFonts w:ascii="Book Antiqua" w:eastAsia="等线" w:hAnsi="Book Antiqua" w:cs="Times New Roman"/>
                <w:color w:val="000000" w:themeColor="text1"/>
                <w:sz w:val="24"/>
                <w:szCs w:val="24"/>
              </w:rPr>
              <w:t>)</w:t>
            </w:r>
          </w:p>
        </w:tc>
        <w:tc>
          <w:tcPr>
            <w:tcW w:w="1438" w:type="dxa"/>
            <w:tcBorders>
              <w:top w:val="nil"/>
              <w:bottom w:val="nil"/>
            </w:tcBorders>
            <w:shd w:val="clear" w:color="auto" w:fill="auto"/>
            <w:vAlign w:val="center"/>
          </w:tcPr>
          <w:p w14:paraId="76F5C8C5" w14:textId="4CDD33DA" w:rsidR="00CF5FC3" w:rsidRPr="00704D1E" w:rsidRDefault="00CF5FC3" w:rsidP="001256F6">
            <w:pPr>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0 (0.0</w:t>
            </w:r>
            <w:r w:rsidR="001256F6">
              <w:rPr>
                <w:rFonts w:ascii="Book Antiqua" w:eastAsia="等线" w:hAnsi="Book Antiqua" w:cs="Times New Roman"/>
                <w:color w:val="000000" w:themeColor="text1"/>
                <w:sz w:val="24"/>
                <w:szCs w:val="24"/>
              </w:rPr>
              <w:t>)</w:t>
            </w:r>
          </w:p>
        </w:tc>
      </w:tr>
      <w:tr w:rsidR="00704D1E" w:rsidRPr="00704D1E" w14:paraId="3E36A9CB" w14:textId="77777777" w:rsidTr="001256F6">
        <w:trPr>
          <w:jc w:val="center"/>
        </w:trPr>
        <w:tc>
          <w:tcPr>
            <w:tcW w:w="1513" w:type="dxa"/>
            <w:vMerge/>
            <w:tcBorders>
              <w:top w:val="nil"/>
              <w:bottom w:val="nil"/>
            </w:tcBorders>
            <w:vAlign w:val="center"/>
          </w:tcPr>
          <w:p w14:paraId="5B5BE324"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tc>
        <w:tc>
          <w:tcPr>
            <w:tcW w:w="3233" w:type="dxa"/>
            <w:tcBorders>
              <w:top w:val="nil"/>
              <w:bottom w:val="nil"/>
            </w:tcBorders>
            <w:vAlign w:val="center"/>
          </w:tcPr>
          <w:p w14:paraId="6F25B324"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2</w:t>
            </w:r>
          </w:p>
        </w:tc>
        <w:tc>
          <w:tcPr>
            <w:tcW w:w="1534" w:type="dxa"/>
            <w:tcBorders>
              <w:top w:val="nil"/>
              <w:bottom w:val="nil"/>
            </w:tcBorders>
            <w:shd w:val="clear" w:color="auto" w:fill="auto"/>
            <w:vAlign w:val="center"/>
          </w:tcPr>
          <w:p w14:paraId="14566ED5" w14:textId="734D340F" w:rsidR="00CF5FC3" w:rsidRPr="00704D1E" w:rsidRDefault="00CF5FC3" w:rsidP="001256F6">
            <w:pPr>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2 (8.7</w:t>
            </w:r>
            <w:r w:rsidR="001256F6">
              <w:rPr>
                <w:rFonts w:ascii="Book Antiqua" w:eastAsia="等线" w:hAnsi="Book Antiqua" w:cs="Times New Roman"/>
                <w:color w:val="000000" w:themeColor="text1"/>
                <w:sz w:val="24"/>
                <w:szCs w:val="24"/>
              </w:rPr>
              <w:t>)</w:t>
            </w:r>
          </w:p>
        </w:tc>
        <w:tc>
          <w:tcPr>
            <w:tcW w:w="1535" w:type="dxa"/>
            <w:tcBorders>
              <w:top w:val="nil"/>
              <w:bottom w:val="nil"/>
            </w:tcBorders>
            <w:shd w:val="clear" w:color="auto" w:fill="auto"/>
            <w:vAlign w:val="center"/>
          </w:tcPr>
          <w:p w14:paraId="52E69381" w14:textId="76E6D74E" w:rsidR="00CF5FC3" w:rsidRPr="00704D1E" w:rsidRDefault="00CF5FC3" w:rsidP="001256F6">
            <w:pPr>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3</w:t>
            </w:r>
            <w:r w:rsidR="007045F0">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(15.0</w:t>
            </w:r>
            <w:r w:rsidR="001256F6">
              <w:rPr>
                <w:rFonts w:ascii="Book Antiqua" w:eastAsia="等线" w:hAnsi="Book Antiqua" w:cs="Times New Roman"/>
                <w:color w:val="000000" w:themeColor="text1"/>
                <w:sz w:val="24"/>
                <w:szCs w:val="24"/>
              </w:rPr>
              <w:t>)</w:t>
            </w:r>
          </w:p>
        </w:tc>
        <w:tc>
          <w:tcPr>
            <w:tcW w:w="1438" w:type="dxa"/>
            <w:tcBorders>
              <w:top w:val="nil"/>
              <w:bottom w:val="nil"/>
            </w:tcBorders>
            <w:shd w:val="clear" w:color="auto" w:fill="auto"/>
            <w:vAlign w:val="center"/>
          </w:tcPr>
          <w:p w14:paraId="72B5A98E" w14:textId="1BF62771" w:rsidR="00CF5FC3" w:rsidRPr="00704D1E" w:rsidRDefault="00CF5FC3" w:rsidP="001256F6">
            <w:pPr>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0 (0.0</w:t>
            </w:r>
            <w:r w:rsidR="001256F6">
              <w:rPr>
                <w:rFonts w:ascii="Book Antiqua" w:eastAsia="等线" w:hAnsi="Book Antiqua" w:cs="Times New Roman"/>
                <w:color w:val="000000" w:themeColor="text1"/>
                <w:sz w:val="24"/>
                <w:szCs w:val="24"/>
              </w:rPr>
              <w:t>)</w:t>
            </w:r>
          </w:p>
        </w:tc>
      </w:tr>
      <w:tr w:rsidR="00704D1E" w:rsidRPr="00704D1E" w14:paraId="75A844B3" w14:textId="77777777" w:rsidTr="001256F6">
        <w:trPr>
          <w:jc w:val="center"/>
        </w:trPr>
        <w:tc>
          <w:tcPr>
            <w:tcW w:w="1513" w:type="dxa"/>
            <w:vMerge/>
            <w:tcBorders>
              <w:top w:val="nil"/>
              <w:bottom w:val="nil"/>
            </w:tcBorders>
            <w:vAlign w:val="center"/>
          </w:tcPr>
          <w:p w14:paraId="521C984D"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tc>
        <w:tc>
          <w:tcPr>
            <w:tcW w:w="3233" w:type="dxa"/>
            <w:tcBorders>
              <w:top w:val="nil"/>
              <w:bottom w:val="nil"/>
            </w:tcBorders>
            <w:vAlign w:val="center"/>
          </w:tcPr>
          <w:p w14:paraId="2E0BADB9"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3</w:t>
            </w:r>
          </w:p>
        </w:tc>
        <w:tc>
          <w:tcPr>
            <w:tcW w:w="1534" w:type="dxa"/>
            <w:tcBorders>
              <w:top w:val="nil"/>
              <w:bottom w:val="nil"/>
            </w:tcBorders>
            <w:shd w:val="clear" w:color="auto" w:fill="auto"/>
            <w:vAlign w:val="center"/>
          </w:tcPr>
          <w:p w14:paraId="11144D54" w14:textId="27AF2FCA" w:rsidR="00CF5FC3" w:rsidRPr="00704D1E" w:rsidRDefault="00CF5FC3" w:rsidP="001256F6">
            <w:pPr>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6 (26.1</w:t>
            </w:r>
            <w:r w:rsidR="001256F6">
              <w:rPr>
                <w:rFonts w:ascii="Book Antiqua" w:eastAsia="等线" w:hAnsi="Book Antiqua" w:cs="Times New Roman"/>
                <w:color w:val="000000" w:themeColor="text1"/>
                <w:sz w:val="24"/>
                <w:szCs w:val="24"/>
              </w:rPr>
              <w:t>)</w:t>
            </w:r>
          </w:p>
        </w:tc>
        <w:tc>
          <w:tcPr>
            <w:tcW w:w="1535" w:type="dxa"/>
            <w:tcBorders>
              <w:top w:val="nil"/>
              <w:bottom w:val="nil"/>
            </w:tcBorders>
            <w:shd w:val="clear" w:color="auto" w:fill="auto"/>
            <w:vAlign w:val="center"/>
          </w:tcPr>
          <w:p w14:paraId="52E74F0E" w14:textId="10DEB643" w:rsidR="00CF5FC3" w:rsidRPr="00704D1E" w:rsidRDefault="00CF5FC3" w:rsidP="001256F6">
            <w:pPr>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4</w:t>
            </w:r>
            <w:r w:rsidR="007045F0">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(20.0</w:t>
            </w:r>
            <w:r w:rsidR="001256F6">
              <w:rPr>
                <w:rFonts w:ascii="Book Antiqua" w:eastAsia="等线" w:hAnsi="Book Antiqua" w:cs="Times New Roman"/>
                <w:color w:val="000000" w:themeColor="text1"/>
                <w:sz w:val="24"/>
                <w:szCs w:val="24"/>
              </w:rPr>
              <w:t>)</w:t>
            </w:r>
          </w:p>
        </w:tc>
        <w:tc>
          <w:tcPr>
            <w:tcW w:w="1438" w:type="dxa"/>
            <w:tcBorders>
              <w:top w:val="nil"/>
              <w:bottom w:val="nil"/>
            </w:tcBorders>
            <w:shd w:val="clear" w:color="auto" w:fill="auto"/>
            <w:vAlign w:val="center"/>
          </w:tcPr>
          <w:p w14:paraId="0ED0A721" w14:textId="66355AF8" w:rsidR="00CF5FC3" w:rsidRPr="00704D1E" w:rsidRDefault="00CF5FC3" w:rsidP="001256F6">
            <w:pPr>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0 (0.0</w:t>
            </w:r>
            <w:r w:rsidR="001256F6">
              <w:rPr>
                <w:rFonts w:ascii="Book Antiqua" w:eastAsia="等线" w:hAnsi="Book Antiqua" w:cs="Times New Roman"/>
                <w:color w:val="000000" w:themeColor="text1"/>
                <w:sz w:val="24"/>
                <w:szCs w:val="24"/>
              </w:rPr>
              <w:t>)</w:t>
            </w:r>
          </w:p>
        </w:tc>
      </w:tr>
      <w:tr w:rsidR="00704D1E" w:rsidRPr="00704D1E" w14:paraId="175D9E74" w14:textId="77777777" w:rsidTr="001256F6">
        <w:trPr>
          <w:jc w:val="center"/>
        </w:trPr>
        <w:tc>
          <w:tcPr>
            <w:tcW w:w="1513" w:type="dxa"/>
            <w:vMerge/>
            <w:tcBorders>
              <w:top w:val="nil"/>
              <w:bottom w:val="nil"/>
            </w:tcBorders>
            <w:vAlign w:val="center"/>
          </w:tcPr>
          <w:p w14:paraId="53606B35"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tc>
        <w:tc>
          <w:tcPr>
            <w:tcW w:w="3233" w:type="dxa"/>
            <w:tcBorders>
              <w:top w:val="nil"/>
              <w:bottom w:val="nil"/>
            </w:tcBorders>
            <w:vAlign w:val="center"/>
          </w:tcPr>
          <w:p w14:paraId="34FDA48D"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4</w:t>
            </w:r>
          </w:p>
        </w:tc>
        <w:tc>
          <w:tcPr>
            <w:tcW w:w="1534" w:type="dxa"/>
            <w:tcBorders>
              <w:top w:val="nil"/>
              <w:bottom w:val="nil"/>
            </w:tcBorders>
            <w:shd w:val="clear" w:color="auto" w:fill="auto"/>
            <w:vAlign w:val="center"/>
          </w:tcPr>
          <w:p w14:paraId="019E75F7" w14:textId="35455F6A" w:rsidR="00CF5FC3" w:rsidRPr="00704D1E" w:rsidRDefault="00CF5FC3" w:rsidP="001256F6">
            <w:pPr>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4 (17.4</w:t>
            </w:r>
            <w:r w:rsidR="001256F6">
              <w:rPr>
                <w:rFonts w:ascii="Book Antiqua" w:eastAsia="等线" w:hAnsi="Book Antiqua" w:cs="Times New Roman"/>
                <w:color w:val="000000" w:themeColor="text1"/>
                <w:sz w:val="24"/>
                <w:szCs w:val="24"/>
              </w:rPr>
              <w:t>)</w:t>
            </w:r>
          </w:p>
        </w:tc>
        <w:tc>
          <w:tcPr>
            <w:tcW w:w="1535" w:type="dxa"/>
            <w:tcBorders>
              <w:top w:val="nil"/>
              <w:bottom w:val="nil"/>
            </w:tcBorders>
            <w:shd w:val="clear" w:color="auto" w:fill="auto"/>
            <w:vAlign w:val="center"/>
          </w:tcPr>
          <w:p w14:paraId="372035CF" w14:textId="4B02E39C" w:rsidR="00CF5FC3" w:rsidRPr="00704D1E" w:rsidRDefault="00CF5FC3" w:rsidP="001256F6">
            <w:pPr>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6</w:t>
            </w:r>
            <w:r w:rsidR="007045F0">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(30.0</w:t>
            </w:r>
            <w:r w:rsidR="001256F6">
              <w:rPr>
                <w:rFonts w:ascii="Book Antiqua" w:eastAsia="等线" w:hAnsi="Book Antiqua" w:cs="Times New Roman"/>
                <w:color w:val="000000" w:themeColor="text1"/>
                <w:sz w:val="24"/>
                <w:szCs w:val="24"/>
              </w:rPr>
              <w:t>)</w:t>
            </w:r>
          </w:p>
        </w:tc>
        <w:tc>
          <w:tcPr>
            <w:tcW w:w="1438" w:type="dxa"/>
            <w:tcBorders>
              <w:top w:val="nil"/>
              <w:bottom w:val="nil"/>
            </w:tcBorders>
            <w:shd w:val="clear" w:color="auto" w:fill="auto"/>
            <w:vAlign w:val="center"/>
          </w:tcPr>
          <w:p w14:paraId="69BD1F10" w14:textId="1EC7D22A" w:rsidR="00CF5FC3" w:rsidRPr="00704D1E" w:rsidRDefault="00CF5FC3" w:rsidP="001256F6">
            <w:pPr>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3 (42.9</w:t>
            </w:r>
            <w:r w:rsidR="001256F6">
              <w:rPr>
                <w:rFonts w:ascii="Book Antiqua" w:eastAsia="等线" w:hAnsi="Book Antiqua" w:cs="Times New Roman"/>
                <w:color w:val="000000" w:themeColor="text1"/>
                <w:sz w:val="24"/>
                <w:szCs w:val="24"/>
              </w:rPr>
              <w:t>)</w:t>
            </w:r>
          </w:p>
        </w:tc>
      </w:tr>
      <w:tr w:rsidR="00704D1E" w:rsidRPr="00704D1E" w14:paraId="41F1F3DC" w14:textId="77777777" w:rsidTr="001256F6">
        <w:trPr>
          <w:trHeight w:val="60"/>
          <w:jc w:val="center"/>
        </w:trPr>
        <w:tc>
          <w:tcPr>
            <w:tcW w:w="1513" w:type="dxa"/>
            <w:vMerge/>
            <w:tcBorders>
              <w:top w:val="nil"/>
              <w:bottom w:val="single" w:sz="8" w:space="0" w:color="auto"/>
            </w:tcBorders>
            <w:vAlign w:val="center"/>
          </w:tcPr>
          <w:p w14:paraId="7D94825B"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tc>
        <w:tc>
          <w:tcPr>
            <w:tcW w:w="3233" w:type="dxa"/>
            <w:tcBorders>
              <w:top w:val="nil"/>
              <w:bottom w:val="single" w:sz="8" w:space="0" w:color="auto"/>
            </w:tcBorders>
            <w:vAlign w:val="center"/>
          </w:tcPr>
          <w:p w14:paraId="4559E26E"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5</w:t>
            </w:r>
          </w:p>
        </w:tc>
        <w:tc>
          <w:tcPr>
            <w:tcW w:w="1534" w:type="dxa"/>
            <w:tcBorders>
              <w:top w:val="nil"/>
              <w:bottom w:val="single" w:sz="8" w:space="0" w:color="auto"/>
            </w:tcBorders>
            <w:shd w:val="clear" w:color="auto" w:fill="auto"/>
            <w:vAlign w:val="center"/>
          </w:tcPr>
          <w:p w14:paraId="24507C17" w14:textId="2654508F" w:rsidR="00CF5FC3" w:rsidRPr="00704D1E" w:rsidRDefault="00CF5FC3" w:rsidP="001256F6">
            <w:pPr>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11 (47.8</w:t>
            </w:r>
            <w:r w:rsidR="001256F6">
              <w:rPr>
                <w:rFonts w:ascii="Book Antiqua" w:eastAsia="等线" w:hAnsi="Book Antiqua" w:cs="Times New Roman"/>
                <w:color w:val="000000" w:themeColor="text1"/>
                <w:sz w:val="24"/>
                <w:szCs w:val="24"/>
              </w:rPr>
              <w:t>)</w:t>
            </w:r>
          </w:p>
        </w:tc>
        <w:tc>
          <w:tcPr>
            <w:tcW w:w="1535" w:type="dxa"/>
            <w:tcBorders>
              <w:top w:val="nil"/>
              <w:bottom w:val="single" w:sz="8" w:space="0" w:color="auto"/>
            </w:tcBorders>
            <w:shd w:val="clear" w:color="auto" w:fill="auto"/>
            <w:vAlign w:val="center"/>
          </w:tcPr>
          <w:p w14:paraId="3EB547EF" w14:textId="48E2A526" w:rsidR="00CF5FC3" w:rsidRPr="00704D1E" w:rsidRDefault="00CF5FC3" w:rsidP="001256F6">
            <w:pPr>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7</w:t>
            </w:r>
            <w:r w:rsidR="007045F0">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(35.0</w:t>
            </w:r>
            <w:r w:rsidR="001256F6">
              <w:rPr>
                <w:rFonts w:ascii="Book Antiqua" w:eastAsia="等线" w:hAnsi="Book Antiqua" w:cs="Times New Roman"/>
                <w:color w:val="000000" w:themeColor="text1"/>
                <w:sz w:val="24"/>
                <w:szCs w:val="24"/>
              </w:rPr>
              <w:t>)</w:t>
            </w:r>
          </w:p>
        </w:tc>
        <w:tc>
          <w:tcPr>
            <w:tcW w:w="1438" w:type="dxa"/>
            <w:tcBorders>
              <w:top w:val="nil"/>
              <w:bottom w:val="single" w:sz="8" w:space="0" w:color="auto"/>
            </w:tcBorders>
            <w:shd w:val="clear" w:color="auto" w:fill="auto"/>
            <w:vAlign w:val="center"/>
          </w:tcPr>
          <w:p w14:paraId="4B9583E6" w14:textId="07359B9E" w:rsidR="00CF5FC3" w:rsidRPr="00704D1E" w:rsidRDefault="00CF5FC3" w:rsidP="001256F6">
            <w:pPr>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4 (57.1</w:t>
            </w:r>
            <w:r w:rsidR="001256F6">
              <w:rPr>
                <w:rFonts w:ascii="Book Antiqua" w:eastAsia="等线" w:hAnsi="Book Antiqua" w:cs="Times New Roman"/>
                <w:color w:val="000000" w:themeColor="text1"/>
                <w:sz w:val="24"/>
                <w:szCs w:val="24"/>
              </w:rPr>
              <w:t>)</w:t>
            </w:r>
          </w:p>
        </w:tc>
      </w:tr>
    </w:tbl>
    <w:p w14:paraId="7A250893" w14:textId="793538A2" w:rsidR="00CF5FC3" w:rsidRPr="00704D1E" w:rsidRDefault="001256F6" w:rsidP="00704D1E">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NAFLD: N</w:t>
      </w:r>
      <w:r w:rsidR="00741BAB" w:rsidRPr="00704D1E">
        <w:rPr>
          <w:rFonts w:ascii="Book Antiqua" w:hAnsi="Book Antiqua" w:cs="Times New Roman"/>
          <w:color w:val="000000" w:themeColor="text1"/>
          <w:sz w:val="24"/>
          <w:szCs w:val="24"/>
        </w:rPr>
        <w:t>on</w:t>
      </w:r>
      <w:r w:rsidR="00C32A0B" w:rsidRPr="00704D1E">
        <w:rPr>
          <w:rFonts w:ascii="Book Antiqua" w:hAnsi="Book Antiqua" w:cs="Times New Roman"/>
          <w:color w:val="000000" w:themeColor="text1"/>
          <w:sz w:val="24"/>
          <w:szCs w:val="24"/>
        </w:rPr>
        <w:t>-</w:t>
      </w:r>
      <w:r w:rsidR="00741BAB" w:rsidRPr="00704D1E">
        <w:rPr>
          <w:rFonts w:ascii="Book Antiqua" w:hAnsi="Book Antiqua" w:cs="Times New Roman"/>
          <w:color w:val="000000" w:themeColor="text1"/>
          <w:sz w:val="24"/>
          <w:szCs w:val="24"/>
        </w:rPr>
        <w:t>alcoholic fatty liver disease.</w:t>
      </w:r>
    </w:p>
    <w:p w14:paraId="3EBA5D05" w14:textId="77777777" w:rsidR="001256F6" w:rsidRDefault="001256F6">
      <w:pPr>
        <w:widowControl/>
        <w:jc w:val="left"/>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14:paraId="30CB4AC5" w14:textId="511AE708" w:rsidR="00CF5FC3" w:rsidRPr="00704D1E" w:rsidRDefault="001256F6" w:rsidP="00704D1E">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b/>
          <w:color w:val="000000" w:themeColor="text1"/>
          <w:sz w:val="24"/>
          <w:szCs w:val="24"/>
        </w:rPr>
        <w:lastRenderedPageBreak/>
        <w:t>Table 3</w:t>
      </w:r>
      <w:r w:rsidR="00CF5FC3" w:rsidRPr="00704D1E">
        <w:rPr>
          <w:rFonts w:ascii="Book Antiqua" w:hAnsi="Book Antiqua" w:cs="Times New Roman"/>
          <w:b/>
          <w:color w:val="000000" w:themeColor="text1"/>
          <w:sz w:val="24"/>
          <w:szCs w:val="24"/>
        </w:rPr>
        <w:t xml:space="preserve"> </w:t>
      </w:r>
      <w:r w:rsidR="00CF5FC3" w:rsidRPr="001256F6">
        <w:rPr>
          <w:rFonts w:ascii="Book Antiqua" w:hAnsi="Book Antiqua" w:cs="Times New Roman"/>
          <w:b/>
          <w:color w:val="000000" w:themeColor="text1"/>
          <w:sz w:val="24"/>
          <w:szCs w:val="24"/>
        </w:rPr>
        <w:t xml:space="preserve">Liver function including liver enzymes, </w:t>
      </w:r>
      <w:r w:rsidR="008C5686" w:rsidRPr="001256F6">
        <w:rPr>
          <w:rFonts w:ascii="Book Antiqua" w:hAnsi="Book Antiqua" w:cs="Times New Roman"/>
          <w:b/>
          <w:color w:val="000000" w:themeColor="text1"/>
          <w:sz w:val="24"/>
          <w:szCs w:val="24"/>
        </w:rPr>
        <w:t xml:space="preserve">routine </w:t>
      </w:r>
      <w:r w:rsidR="00CF5FC3" w:rsidRPr="001256F6">
        <w:rPr>
          <w:rFonts w:ascii="Book Antiqua" w:hAnsi="Book Antiqua" w:cs="Times New Roman"/>
          <w:b/>
          <w:color w:val="000000" w:themeColor="text1"/>
          <w:sz w:val="24"/>
          <w:szCs w:val="24"/>
        </w:rPr>
        <w:t xml:space="preserve">blood </w:t>
      </w:r>
      <w:r w:rsidR="008C5686">
        <w:rPr>
          <w:rFonts w:ascii="Book Antiqua" w:hAnsi="Book Antiqua" w:cs="Times New Roman"/>
          <w:b/>
          <w:color w:val="000000" w:themeColor="text1"/>
          <w:sz w:val="24"/>
          <w:szCs w:val="24"/>
        </w:rPr>
        <w:t>tests,</w:t>
      </w:r>
      <w:r w:rsidR="008C5686" w:rsidRPr="001256F6">
        <w:rPr>
          <w:rFonts w:ascii="Book Antiqua" w:hAnsi="Book Antiqua" w:cs="Times New Roman"/>
          <w:b/>
          <w:color w:val="000000" w:themeColor="text1"/>
          <w:sz w:val="24"/>
          <w:szCs w:val="24"/>
        </w:rPr>
        <w:t xml:space="preserve"> </w:t>
      </w:r>
      <w:r w:rsidR="00CF5FC3" w:rsidRPr="001256F6">
        <w:rPr>
          <w:rFonts w:ascii="Book Antiqua" w:hAnsi="Book Antiqua" w:cs="Times New Roman"/>
          <w:b/>
          <w:color w:val="000000" w:themeColor="text1"/>
          <w:sz w:val="24"/>
          <w:szCs w:val="24"/>
        </w:rPr>
        <w:t xml:space="preserve">and coagulation </w:t>
      </w:r>
      <w:r w:rsidRPr="001256F6">
        <w:rPr>
          <w:rFonts w:ascii="Book Antiqua" w:hAnsi="Book Antiqua" w:cs="Times New Roman"/>
          <w:b/>
          <w:color w:val="000000" w:themeColor="text1"/>
          <w:sz w:val="24"/>
          <w:szCs w:val="24"/>
        </w:rPr>
        <w:t>function tests in our patients</w:t>
      </w:r>
    </w:p>
    <w:tbl>
      <w:tblPr>
        <w:tblW w:w="10216" w:type="dxa"/>
        <w:jc w:val="center"/>
        <w:tblLayout w:type="fixed"/>
        <w:tblLook w:val="04A0" w:firstRow="1" w:lastRow="0" w:firstColumn="1" w:lastColumn="0" w:noHBand="0" w:noVBand="1"/>
      </w:tblPr>
      <w:tblGrid>
        <w:gridCol w:w="1527"/>
        <w:gridCol w:w="2094"/>
        <w:gridCol w:w="2159"/>
        <w:gridCol w:w="2260"/>
        <w:gridCol w:w="2176"/>
      </w:tblGrid>
      <w:tr w:rsidR="00704D1E" w:rsidRPr="00704D1E" w14:paraId="1A7E002D" w14:textId="77777777" w:rsidTr="001256F6">
        <w:trPr>
          <w:trHeight w:val="312"/>
          <w:jc w:val="center"/>
        </w:trPr>
        <w:tc>
          <w:tcPr>
            <w:tcW w:w="3621" w:type="dxa"/>
            <w:gridSpan w:val="2"/>
            <w:vMerge w:val="restart"/>
            <w:tcBorders>
              <w:top w:val="single" w:sz="8" w:space="0" w:color="auto"/>
            </w:tcBorders>
            <w:vAlign w:val="center"/>
          </w:tcPr>
          <w:p w14:paraId="020034AC" w14:textId="77777777" w:rsidR="00CF5FC3" w:rsidRPr="001256F6" w:rsidRDefault="00CF5FC3" w:rsidP="00704D1E">
            <w:pPr>
              <w:adjustRightInd w:val="0"/>
              <w:snapToGrid w:val="0"/>
              <w:spacing w:line="360" w:lineRule="auto"/>
              <w:rPr>
                <w:rFonts w:ascii="Book Antiqua" w:hAnsi="Book Antiqua" w:cs="Times New Roman"/>
                <w:b/>
                <w:color w:val="000000" w:themeColor="text1"/>
                <w:sz w:val="24"/>
                <w:szCs w:val="24"/>
              </w:rPr>
            </w:pPr>
            <w:r w:rsidRPr="001256F6">
              <w:rPr>
                <w:rFonts w:ascii="Book Antiqua" w:hAnsi="Book Antiqua" w:cs="Times New Roman"/>
                <w:b/>
                <w:color w:val="000000" w:themeColor="text1"/>
                <w:sz w:val="24"/>
                <w:szCs w:val="24"/>
              </w:rPr>
              <w:t>Index</w:t>
            </w:r>
          </w:p>
        </w:tc>
        <w:tc>
          <w:tcPr>
            <w:tcW w:w="2159" w:type="dxa"/>
            <w:vMerge w:val="restart"/>
            <w:tcBorders>
              <w:top w:val="single" w:sz="8" w:space="0" w:color="auto"/>
            </w:tcBorders>
            <w:vAlign w:val="center"/>
          </w:tcPr>
          <w:p w14:paraId="5CF15A70" w14:textId="77777777" w:rsidR="00CF5FC3" w:rsidRPr="001256F6" w:rsidRDefault="00CF5FC3" w:rsidP="001256F6">
            <w:pPr>
              <w:adjustRightInd w:val="0"/>
              <w:snapToGrid w:val="0"/>
              <w:spacing w:line="360" w:lineRule="auto"/>
              <w:jc w:val="center"/>
              <w:rPr>
                <w:rFonts w:ascii="Book Antiqua" w:hAnsi="Book Antiqua" w:cs="Times New Roman"/>
                <w:b/>
                <w:color w:val="000000" w:themeColor="text1"/>
                <w:sz w:val="24"/>
                <w:szCs w:val="24"/>
              </w:rPr>
            </w:pPr>
            <w:r w:rsidRPr="001256F6">
              <w:rPr>
                <w:rFonts w:ascii="Book Antiqua" w:hAnsi="Book Antiqua" w:cs="Times New Roman"/>
                <w:b/>
                <w:color w:val="000000" w:themeColor="text1"/>
                <w:sz w:val="24"/>
                <w:szCs w:val="24"/>
              </w:rPr>
              <w:t>NAFLD (-)</w:t>
            </w:r>
          </w:p>
          <w:p w14:paraId="32275E1F" w14:textId="24AEC21D" w:rsidR="00CF5FC3" w:rsidRPr="001256F6" w:rsidRDefault="001256F6" w:rsidP="001256F6">
            <w:pPr>
              <w:adjustRightInd w:val="0"/>
              <w:snapToGrid w:val="0"/>
              <w:spacing w:line="360" w:lineRule="auto"/>
              <w:jc w:val="center"/>
              <w:rPr>
                <w:rFonts w:ascii="Book Antiqua" w:hAnsi="Book Antiqua" w:cs="Times New Roman"/>
                <w:b/>
                <w:color w:val="000000" w:themeColor="text1"/>
                <w:sz w:val="24"/>
                <w:szCs w:val="24"/>
              </w:rPr>
            </w:pPr>
            <w:r w:rsidRPr="001256F6">
              <w:rPr>
                <w:rFonts w:ascii="Book Antiqua" w:hAnsi="Book Antiqua" w:cs="Times New Roman"/>
                <w:b/>
                <w:color w:val="000000" w:themeColor="text1"/>
                <w:sz w:val="24"/>
                <w:szCs w:val="24"/>
              </w:rPr>
              <w:t>(</w:t>
            </w:r>
            <w:r w:rsidRPr="001256F6">
              <w:rPr>
                <w:rFonts w:ascii="Book Antiqua" w:hAnsi="Book Antiqua" w:cs="Times New Roman"/>
                <w:b/>
                <w:i/>
                <w:color w:val="000000" w:themeColor="text1"/>
                <w:sz w:val="24"/>
                <w:szCs w:val="24"/>
              </w:rPr>
              <w:t>n</w:t>
            </w:r>
            <w:r w:rsidRPr="001256F6">
              <w:rPr>
                <w:rFonts w:ascii="Book Antiqua" w:hAnsi="Book Antiqua" w:cs="Times New Roman"/>
                <w:b/>
                <w:color w:val="000000" w:themeColor="text1"/>
                <w:sz w:val="24"/>
                <w:szCs w:val="24"/>
              </w:rPr>
              <w:t xml:space="preserve"> </w:t>
            </w:r>
            <w:r w:rsidR="00CF5FC3" w:rsidRPr="001256F6">
              <w:rPr>
                <w:rFonts w:ascii="Book Antiqua" w:hAnsi="Book Antiqua" w:cs="Times New Roman"/>
                <w:b/>
                <w:color w:val="000000" w:themeColor="text1"/>
                <w:sz w:val="24"/>
                <w:szCs w:val="24"/>
              </w:rPr>
              <w:t>=</w:t>
            </w:r>
            <w:r w:rsidRPr="001256F6">
              <w:rPr>
                <w:rFonts w:ascii="Book Antiqua" w:hAnsi="Book Antiqua" w:cs="Times New Roman"/>
                <w:b/>
                <w:color w:val="000000" w:themeColor="text1"/>
                <w:sz w:val="24"/>
                <w:szCs w:val="24"/>
              </w:rPr>
              <w:t xml:space="preserve"> </w:t>
            </w:r>
            <w:r w:rsidR="00CF5FC3" w:rsidRPr="001256F6">
              <w:rPr>
                <w:rFonts w:ascii="Book Antiqua" w:hAnsi="Book Antiqua" w:cs="Times New Roman"/>
                <w:b/>
                <w:color w:val="000000" w:themeColor="text1"/>
                <w:sz w:val="24"/>
                <w:szCs w:val="24"/>
              </w:rPr>
              <w:t>23)</w:t>
            </w:r>
          </w:p>
        </w:tc>
        <w:tc>
          <w:tcPr>
            <w:tcW w:w="4436" w:type="dxa"/>
            <w:gridSpan w:val="2"/>
            <w:tcBorders>
              <w:top w:val="single" w:sz="8" w:space="0" w:color="auto"/>
            </w:tcBorders>
          </w:tcPr>
          <w:p w14:paraId="2B52972A" w14:textId="77777777" w:rsidR="00CF5FC3" w:rsidRPr="001256F6" w:rsidRDefault="00CF5FC3" w:rsidP="001256F6">
            <w:pPr>
              <w:adjustRightInd w:val="0"/>
              <w:snapToGrid w:val="0"/>
              <w:spacing w:line="360" w:lineRule="auto"/>
              <w:jc w:val="center"/>
              <w:rPr>
                <w:rFonts w:ascii="Book Antiqua" w:hAnsi="Book Antiqua" w:cs="Times New Roman"/>
                <w:b/>
                <w:color w:val="000000" w:themeColor="text1"/>
                <w:sz w:val="24"/>
                <w:szCs w:val="24"/>
              </w:rPr>
            </w:pPr>
            <w:r w:rsidRPr="001256F6">
              <w:rPr>
                <w:rFonts w:ascii="Book Antiqua" w:hAnsi="Book Antiqua" w:cs="Times New Roman"/>
                <w:b/>
                <w:color w:val="000000" w:themeColor="text1"/>
                <w:sz w:val="24"/>
                <w:szCs w:val="24"/>
              </w:rPr>
              <w:t>NAFLD (+)</w:t>
            </w:r>
          </w:p>
        </w:tc>
      </w:tr>
      <w:tr w:rsidR="00704D1E" w:rsidRPr="00704D1E" w14:paraId="7B057ED5" w14:textId="77777777" w:rsidTr="001256F6">
        <w:trPr>
          <w:trHeight w:val="280"/>
          <w:jc w:val="center"/>
        </w:trPr>
        <w:tc>
          <w:tcPr>
            <w:tcW w:w="3621" w:type="dxa"/>
            <w:gridSpan w:val="2"/>
            <w:vMerge/>
            <w:tcBorders>
              <w:bottom w:val="single" w:sz="8" w:space="0" w:color="auto"/>
            </w:tcBorders>
          </w:tcPr>
          <w:p w14:paraId="6ED9709F" w14:textId="77777777" w:rsidR="00CF5FC3" w:rsidRPr="001256F6" w:rsidRDefault="00CF5FC3" w:rsidP="00704D1E">
            <w:pPr>
              <w:adjustRightInd w:val="0"/>
              <w:snapToGrid w:val="0"/>
              <w:spacing w:line="360" w:lineRule="auto"/>
              <w:rPr>
                <w:rFonts w:ascii="Book Antiqua" w:hAnsi="Book Antiqua" w:cs="Times New Roman"/>
                <w:b/>
                <w:i/>
                <w:color w:val="000000" w:themeColor="text1"/>
                <w:sz w:val="24"/>
                <w:szCs w:val="24"/>
              </w:rPr>
            </w:pPr>
          </w:p>
        </w:tc>
        <w:tc>
          <w:tcPr>
            <w:tcW w:w="2159" w:type="dxa"/>
            <w:vMerge/>
            <w:tcBorders>
              <w:bottom w:val="single" w:sz="8" w:space="0" w:color="auto"/>
            </w:tcBorders>
            <w:vAlign w:val="center"/>
          </w:tcPr>
          <w:p w14:paraId="26C27F65" w14:textId="77777777" w:rsidR="00CF5FC3" w:rsidRPr="001256F6" w:rsidRDefault="00CF5FC3" w:rsidP="001256F6">
            <w:pPr>
              <w:adjustRightInd w:val="0"/>
              <w:snapToGrid w:val="0"/>
              <w:spacing w:line="360" w:lineRule="auto"/>
              <w:jc w:val="center"/>
              <w:rPr>
                <w:rFonts w:ascii="Book Antiqua" w:hAnsi="Book Antiqua" w:cs="Times New Roman"/>
                <w:b/>
                <w:color w:val="000000" w:themeColor="text1"/>
                <w:sz w:val="24"/>
                <w:szCs w:val="24"/>
              </w:rPr>
            </w:pPr>
          </w:p>
        </w:tc>
        <w:tc>
          <w:tcPr>
            <w:tcW w:w="2260" w:type="dxa"/>
            <w:tcBorders>
              <w:bottom w:val="single" w:sz="8" w:space="0" w:color="auto"/>
            </w:tcBorders>
            <w:vAlign w:val="center"/>
          </w:tcPr>
          <w:p w14:paraId="0E9E1472" w14:textId="2FC0771E" w:rsidR="00CF5FC3" w:rsidRPr="001256F6" w:rsidRDefault="001256F6" w:rsidP="001256F6">
            <w:pPr>
              <w:adjustRightInd w:val="0"/>
              <w:snapToGrid w:val="0"/>
              <w:spacing w:line="360" w:lineRule="auto"/>
              <w:jc w:val="center"/>
              <w:rPr>
                <w:rFonts w:ascii="Book Antiqua" w:hAnsi="Book Antiqua" w:cs="Times New Roman"/>
                <w:b/>
                <w:i/>
                <w:color w:val="000000" w:themeColor="text1"/>
                <w:sz w:val="24"/>
                <w:szCs w:val="24"/>
              </w:rPr>
            </w:pPr>
            <w:r w:rsidRPr="001256F6">
              <w:rPr>
                <w:rFonts w:ascii="Book Antiqua" w:hAnsi="Book Antiqua" w:cs="Times New Roman"/>
                <w:b/>
                <w:color w:val="000000" w:themeColor="text1"/>
                <w:sz w:val="24"/>
                <w:szCs w:val="24"/>
              </w:rPr>
              <w:t>NAFLD (</w:t>
            </w:r>
            <w:r w:rsidRPr="001256F6">
              <w:rPr>
                <w:rFonts w:ascii="Book Antiqua" w:hAnsi="Book Antiqua" w:cs="Times New Roman"/>
                <w:b/>
                <w:i/>
                <w:color w:val="000000" w:themeColor="text1"/>
                <w:sz w:val="24"/>
                <w:szCs w:val="24"/>
              </w:rPr>
              <w:t>n</w:t>
            </w:r>
            <w:r w:rsidRPr="001256F6">
              <w:rPr>
                <w:rFonts w:ascii="Book Antiqua" w:hAnsi="Book Antiqua" w:cs="Times New Roman"/>
                <w:b/>
                <w:color w:val="000000" w:themeColor="text1"/>
                <w:sz w:val="24"/>
                <w:szCs w:val="24"/>
              </w:rPr>
              <w:t xml:space="preserve"> </w:t>
            </w:r>
            <w:r w:rsidR="00CF5FC3" w:rsidRPr="001256F6">
              <w:rPr>
                <w:rFonts w:ascii="Book Antiqua" w:hAnsi="Book Antiqua" w:cs="Times New Roman"/>
                <w:b/>
                <w:color w:val="000000" w:themeColor="text1"/>
                <w:sz w:val="24"/>
                <w:szCs w:val="24"/>
              </w:rPr>
              <w:t>=</w:t>
            </w:r>
            <w:r w:rsidRPr="001256F6">
              <w:rPr>
                <w:rFonts w:ascii="Book Antiqua" w:hAnsi="Book Antiqua" w:cs="Times New Roman"/>
                <w:b/>
                <w:color w:val="000000" w:themeColor="text1"/>
                <w:sz w:val="24"/>
                <w:szCs w:val="24"/>
              </w:rPr>
              <w:t xml:space="preserve"> </w:t>
            </w:r>
            <w:r w:rsidR="00CF5FC3" w:rsidRPr="001256F6">
              <w:rPr>
                <w:rFonts w:ascii="Book Antiqua" w:hAnsi="Book Antiqua" w:cs="Times New Roman"/>
                <w:b/>
                <w:color w:val="000000" w:themeColor="text1"/>
                <w:sz w:val="24"/>
                <w:szCs w:val="24"/>
              </w:rPr>
              <w:t>20)</w:t>
            </w:r>
          </w:p>
        </w:tc>
        <w:tc>
          <w:tcPr>
            <w:tcW w:w="2176" w:type="dxa"/>
            <w:tcBorders>
              <w:bottom w:val="single" w:sz="8" w:space="0" w:color="auto"/>
            </w:tcBorders>
            <w:vAlign w:val="center"/>
          </w:tcPr>
          <w:p w14:paraId="61830937" w14:textId="07D6C0EC" w:rsidR="00CF5FC3" w:rsidRPr="001256F6" w:rsidRDefault="001256F6" w:rsidP="001256F6">
            <w:pPr>
              <w:adjustRightInd w:val="0"/>
              <w:snapToGrid w:val="0"/>
              <w:spacing w:line="360" w:lineRule="auto"/>
              <w:jc w:val="center"/>
              <w:rPr>
                <w:rFonts w:ascii="Book Antiqua" w:hAnsi="Book Antiqua" w:cs="Times New Roman"/>
                <w:b/>
                <w:i/>
                <w:color w:val="000000" w:themeColor="text1"/>
                <w:sz w:val="24"/>
                <w:szCs w:val="24"/>
              </w:rPr>
            </w:pPr>
            <w:r w:rsidRPr="001256F6">
              <w:rPr>
                <w:rFonts w:ascii="Book Antiqua" w:hAnsi="Book Antiqua" w:cs="Times New Roman"/>
                <w:b/>
                <w:color w:val="000000" w:themeColor="text1"/>
                <w:sz w:val="24"/>
                <w:szCs w:val="24"/>
              </w:rPr>
              <w:t>Cirrhosis (</w:t>
            </w:r>
            <w:r w:rsidRPr="001256F6">
              <w:rPr>
                <w:rFonts w:ascii="Book Antiqua" w:hAnsi="Book Antiqua" w:cs="Times New Roman"/>
                <w:b/>
                <w:i/>
                <w:color w:val="000000" w:themeColor="text1"/>
                <w:sz w:val="24"/>
                <w:szCs w:val="24"/>
              </w:rPr>
              <w:t>n</w:t>
            </w:r>
            <w:r w:rsidRPr="001256F6">
              <w:rPr>
                <w:rFonts w:ascii="Book Antiqua" w:hAnsi="Book Antiqua" w:cs="Times New Roman"/>
                <w:b/>
                <w:color w:val="000000" w:themeColor="text1"/>
                <w:sz w:val="24"/>
                <w:szCs w:val="24"/>
              </w:rPr>
              <w:t xml:space="preserve"> </w:t>
            </w:r>
            <w:r w:rsidR="00CF5FC3" w:rsidRPr="001256F6">
              <w:rPr>
                <w:rFonts w:ascii="Book Antiqua" w:hAnsi="Book Antiqua" w:cs="Times New Roman"/>
                <w:b/>
                <w:color w:val="000000" w:themeColor="text1"/>
                <w:sz w:val="24"/>
                <w:szCs w:val="24"/>
              </w:rPr>
              <w:t>=</w:t>
            </w:r>
            <w:r w:rsidRPr="001256F6">
              <w:rPr>
                <w:rFonts w:ascii="Book Antiqua" w:hAnsi="Book Antiqua" w:cs="Times New Roman"/>
                <w:b/>
                <w:color w:val="000000" w:themeColor="text1"/>
                <w:sz w:val="24"/>
                <w:szCs w:val="24"/>
              </w:rPr>
              <w:t xml:space="preserve"> </w:t>
            </w:r>
            <w:r w:rsidR="00CF5FC3" w:rsidRPr="001256F6">
              <w:rPr>
                <w:rFonts w:ascii="Book Antiqua" w:hAnsi="Book Antiqua" w:cs="Times New Roman"/>
                <w:b/>
                <w:color w:val="000000" w:themeColor="text1"/>
                <w:sz w:val="24"/>
                <w:szCs w:val="24"/>
              </w:rPr>
              <w:t>7)</w:t>
            </w:r>
          </w:p>
        </w:tc>
      </w:tr>
      <w:tr w:rsidR="00704D1E" w:rsidRPr="00704D1E" w14:paraId="2BFDDBF6" w14:textId="77777777" w:rsidTr="001256F6">
        <w:trPr>
          <w:trHeight w:val="280"/>
          <w:jc w:val="center"/>
        </w:trPr>
        <w:tc>
          <w:tcPr>
            <w:tcW w:w="1527" w:type="dxa"/>
            <w:vMerge w:val="restart"/>
            <w:tcBorders>
              <w:top w:val="single" w:sz="8" w:space="0" w:color="auto"/>
            </w:tcBorders>
          </w:tcPr>
          <w:p w14:paraId="1CDFBB40"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p w14:paraId="4E1F421E"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p w14:paraId="203857C3"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p w14:paraId="2C8B85AB"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p w14:paraId="7F93C2F0"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Liver enzymes</w:t>
            </w:r>
          </w:p>
        </w:tc>
        <w:tc>
          <w:tcPr>
            <w:tcW w:w="2094" w:type="dxa"/>
            <w:tcBorders>
              <w:top w:val="single" w:sz="8" w:space="0" w:color="auto"/>
            </w:tcBorders>
          </w:tcPr>
          <w:p w14:paraId="62AA7EE0"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ALT (U/L)</w:t>
            </w:r>
          </w:p>
        </w:tc>
        <w:tc>
          <w:tcPr>
            <w:tcW w:w="2159" w:type="dxa"/>
            <w:tcBorders>
              <w:top w:val="single" w:sz="8" w:space="0" w:color="auto"/>
            </w:tcBorders>
            <w:vAlign w:val="center"/>
          </w:tcPr>
          <w:p w14:paraId="41D243CC"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26.0 (20.0-41.0)</w:t>
            </w:r>
          </w:p>
        </w:tc>
        <w:tc>
          <w:tcPr>
            <w:tcW w:w="2260" w:type="dxa"/>
            <w:tcBorders>
              <w:top w:val="single" w:sz="8" w:space="0" w:color="auto"/>
            </w:tcBorders>
            <w:vAlign w:val="center"/>
          </w:tcPr>
          <w:p w14:paraId="3A7FBC95"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35.0 (27.3-81.8)</w:t>
            </w:r>
          </w:p>
        </w:tc>
        <w:tc>
          <w:tcPr>
            <w:tcW w:w="2176" w:type="dxa"/>
            <w:tcBorders>
              <w:top w:val="single" w:sz="8" w:space="0" w:color="auto"/>
            </w:tcBorders>
            <w:vAlign w:val="center"/>
          </w:tcPr>
          <w:p w14:paraId="517260F1"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23.0 (19.0-59.0)</w:t>
            </w:r>
          </w:p>
        </w:tc>
      </w:tr>
      <w:tr w:rsidR="00704D1E" w:rsidRPr="00704D1E" w14:paraId="21843170" w14:textId="77777777" w:rsidTr="001256F6">
        <w:trPr>
          <w:trHeight w:val="280"/>
          <w:jc w:val="center"/>
        </w:trPr>
        <w:tc>
          <w:tcPr>
            <w:tcW w:w="1527" w:type="dxa"/>
            <w:vMerge/>
          </w:tcPr>
          <w:p w14:paraId="44EC411C"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tc>
        <w:tc>
          <w:tcPr>
            <w:tcW w:w="2094" w:type="dxa"/>
          </w:tcPr>
          <w:p w14:paraId="368AB9B9"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ALB (g/L)</w:t>
            </w:r>
          </w:p>
        </w:tc>
        <w:tc>
          <w:tcPr>
            <w:tcW w:w="2159" w:type="dxa"/>
            <w:vAlign w:val="center"/>
          </w:tcPr>
          <w:p w14:paraId="0303ACED" w14:textId="2FFAF0EC"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46.8</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3.5</w:t>
            </w:r>
            <w:r w:rsidRPr="00704D1E">
              <w:rPr>
                <w:rFonts w:ascii="Book Antiqua" w:hAnsi="Book Antiqua" w:cs="Times New Roman"/>
                <w:color w:val="000000" w:themeColor="text1"/>
                <w:sz w:val="24"/>
                <w:szCs w:val="24"/>
                <w:vertAlign w:val="superscript"/>
              </w:rPr>
              <w:t>a</w:t>
            </w:r>
          </w:p>
        </w:tc>
        <w:tc>
          <w:tcPr>
            <w:tcW w:w="2260" w:type="dxa"/>
            <w:vAlign w:val="center"/>
          </w:tcPr>
          <w:p w14:paraId="3F0DB4D9" w14:textId="5DBF653A"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47.7</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3.0</w:t>
            </w:r>
            <w:r w:rsidRPr="00704D1E">
              <w:rPr>
                <w:rFonts w:ascii="Book Antiqua" w:hAnsi="Book Antiqua" w:cs="Times New Roman"/>
                <w:color w:val="000000" w:themeColor="text1"/>
                <w:sz w:val="24"/>
                <w:szCs w:val="24"/>
                <w:vertAlign w:val="superscript"/>
              </w:rPr>
              <w:t>a</w:t>
            </w:r>
          </w:p>
        </w:tc>
        <w:tc>
          <w:tcPr>
            <w:tcW w:w="2176" w:type="dxa"/>
            <w:vAlign w:val="center"/>
          </w:tcPr>
          <w:p w14:paraId="0BDFBDE2" w14:textId="6C443E0D"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49.6</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4.6</w:t>
            </w:r>
          </w:p>
        </w:tc>
      </w:tr>
      <w:tr w:rsidR="00704D1E" w:rsidRPr="00704D1E" w14:paraId="18584DBA" w14:textId="77777777" w:rsidTr="001256F6">
        <w:trPr>
          <w:trHeight w:val="280"/>
          <w:jc w:val="center"/>
        </w:trPr>
        <w:tc>
          <w:tcPr>
            <w:tcW w:w="1527" w:type="dxa"/>
            <w:vMerge/>
          </w:tcPr>
          <w:p w14:paraId="67696137"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tc>
        <w:tc>
          <w:tcPr>
            <w:tcW w:w="2094" w:type="dxa"/>
          </w:tcPr>
          <w:p w14:paraId="50C3586A"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proofErr w:type="spellStart"/>
            <w:r w:rsidRPr="00704D1E">
              <w:rPr>
                <w:rFonts w:ascii="Book Antiqua" w:hAnsi="Book Antiqua" w:cs="Times New Roman"/>
                <w:color w:val="000000" w:themeColor="text1"/>
                <w:sz w:val="24"/>
                <w:szCs w:val="24"/>
              </w:rPr>
              <w:t>TBil</w:t>
            </w:r>
            <w:proofErr w:type="spellEnd"/>
            <w:r w:rsidRPr="00704D1E">
              <w:rPr>
                <w:rFonts w:ascii="Book Antiqua" w:hAnsi="Book Antiqua" w:cs="Times New Roman"/>
                <w:color w:val="000000" w:themeColor="text1"/>
                <w:sz w:val="24"/>
                <w:szCs w:val="24"/>
              </w:rPr>
              <w:t xml:space="preserve"> (</w:t>
            </w:r>
            <w:proofErr w:type="spellStart"/>
            <w:r w:rsidRPr="00704D1E">
              <w:rPr>
                <w:rFonts w:ascii="Book Antiqua" w:hAnsi="Book Antiqua" w:cs="Times New Roman"/>
                <w:color w:val="000000" w:themeColor="text1"/>
                <w:sz w:val="24"/>
                <w:szCs w:val="24"/>
              </w:rPr>
              <w:t>μmol</w:t>
            </w:r>
            <w:proofErr w:type="spellEnd"/>
            <w:r w:rsidRPr="00704D1E">
              <w:rPr>
                <w:rFonts w:ascii="Book Antiqua" w:hAnsi="Book Antiqua" w:cs="Times New Roman"/>
                <w:color w:val="000000" w:themeColor="text1"/>
                <w:sz w:val="24"/>
                <w:szCs w:val="24"/>
              </w:rPr>
              <w:t>/L)</w:t>
            </w:r>
          </w:p>
        </w:tc>
        <w:tc>
          <w:tcPr>
            <w:tcW w:w="2159" w:type="dxa"/>
            <w:vAlign w:val="center"/>
          </w:tcPr>
          <w:p w14:paraId="7123C7C0" w14:textId="1FB449F1"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8.7</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(6.9-14.4)</w:t>
            </w:r>
            <w:r w:rsidRPr="00704D1E">
              <w:rPr>
                <w:rFonts w:ascii="Book Antiqua" w:hAnsi="Book Antiqua" w:cs="Times New Roman"/>
                <w:color w:val="000000" w:themeColor="text1"/>
                <w:sz w:val="24"/>
                <w:szCs w:val="24"/>
                <w:vertAlign w:val="superscript"/>
              </w:rPr>
              <w:t>b</w:t>
            </w:r>
          </w:p>
        </w:tc>
        <w:tc>
          <w:tcPr>
            <w:tcW w:w="2260" w:type="dxa"/>
            <w:vAlign w:val="center"/>
          </w:tcPr>
          <w:p w14:paraId="04B30A83" w14:textId="49641632"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12.3 (8.0-17.1)</w:t>
            </w:r>
            <w:r w:rsidRPr="00704D1E">
              <w:rPr>
                <w:rFonts w:ascii="Book Antiqua" w:hAnsi="Book Antiqua" w:cs="Times New Roman"/>
                <w:color w:val="000000" w:themeColor="text1"/>
                <w:sz w:val="24"/>
                <w:szCs w:val="24"/>
                <w:vertAlign w:val="superscript"/>
              </w:rPr>
              <w:t>a</w:t>
            </w:r>
          </w:p>
        </w:tc>
        <w:tc>
          <w:tcPr>
            <w:tcW w:w="2176" w:type="dxa"/>
            <w:vAlign w:val="center"/>
          </w:tcPr>
          <w:p w14:paraId="63A6FD82"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13.2 (9.9-15.9)</w:t>
            </w:r>
          </w:p>
        </w:tc>
      </w:tr>
      <w:tr w:rsidR="00704D1E" w:rsidRPr="00704D1E" w14:paraId="05A4C831" w14:textId="77777777" w:rsidTr="001256F6">
        <w:trPr>
          <w:trHeight w:val="280"/>
          <w:jc w:val="center"/>
        </w:trPr>
        <w:tc>
          <w:tcPr>
            <w:tcW w:w="1527" w:type="dxa"/>
            <w:vMerge/>
          </w:tcPr>
          <w:p w14:paraId="0EAAA8D2"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tc>
        <w:tc>
          <w:tcPr>
            <w:tcW w:w="2094" w:type="dxa"/>
          </w:tcPr>
          <w:p w14:paraId="441B485F"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proofErr w:type="spellStart"/>
            <w:r w:rsidRPr="00704D1E">
              <w:rPr>
                <w:rFonts w:ascii="Book Antiqua" w:hAnsi="Book Antiqua" w:cs="Times New Roman"/>
                <w:color w:val="000000" w:themeColor="text1"/>
                <w:sz w:val="24"/>
                <w:szCs w:val="24"/>
              </w:rPr>
              <w:t>DBil</w:t>
            </w:r>
            <w:proofErr w:type="spellEnd"/>
            <w:r w:rsidRPr="00704D1E">
              <w:rPr>
                <w:rFonts w:ascii="Book Antiqua" w:hAnsi="Book Antiqua" w:cs="Times New Roman"/>
                <w:color w:val="000000" w:themeColor="text1"/>
                <w:sz w:val="24"/>
                <w:szCs w:val="24"/>
              </w:rPr>
              <w:t xml:space="preserve"> (</w:t>
            </w:r>
            <w:proofErr w:type="spellStart"/>
            <w:r w:rsidRPr="00704D1E">
              <w:rPr>
                <w:rFonts w:ascii="Book Antiqua" w:hAnsi="Book Antiqua" w:cs="Times New Roman"/>
                <w:color w:val="000000" w:themeColor="text1"/>
                <w:sz w:val="24"/>
                <w:szCs w:val="24"/>
              </w:rPr>
              <w:t>μmol</w:t>
            </w:r>
            <w:proofErr w:type="spellEnd"/>
            <w:r w:rsidRPr="00704D1E">
              <w:rPr>
                <w:rFonts w:ascii="Book Antiqua" w:hAnsi="Book Antiqua" w:cs="Times New Roman"/>
                <w:color w:val="000000" w:themeColor="text1"/>
                <w:sz w:val="24"/>
                <w:szCs w:val="24"/>
              </w:rPr>
              <w:t>/L)</w:t>
            </w:r>
          </w:p>
        </w:tc>
        <w:tc>
          <w:tcPr>
            <w:tcW w:w="2159" w:type="dxa"/>
            <w:vAlign w:val="center"/>
          </w:tcPr>
          <w:p w14:paraId="65B4344F" w14:textId="62856ADB"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2.6</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(2.2-4.4)</w:t>
            </w:r>
          </w:p>
        </w:tc>
        <w:tc>
          <w:tcPr>
            <w:tcW w:w="2260" w:type="dxa"/>
            <w:vAlign w:val="center"/>
          </w:tcPr>
          <w:p w14:paraId="4D47A5B2"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3.4 (2.6-5.5)</w:t>
            </w:r>
          </w:p>
        </w:tc>
        <w:tc>
          <w:tcPr>
            <w:tcW w:w="2176" w:type="dxa"/>
            <w:vAlign w:val="center"/>
          </w:tcPr>
          <w:p w14:paraId="50AC8630"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4.4 (3.2-5.1)</w:t>
            </w:r>
          </w:p>
        </w:tc>
      </w:tr>
      <w:tr w:rsidR="00704D1E" w:rsidRPr="00704D1E" w14:paraId="12772EEB" w14:textId="77777777" w:rsidTr="001256F6">
        <w:trPr>
          <w:trHeight w:val="280"/>
          <w:jc w:val="center"/>
        </w:trPr>
        <w:tc>
          <w:tcPr>
            <w:tcW w:w="1527" w:type="dxa"/>
            <w:vMerge/>
          </w:tcPr>
          <w:p w14:paraId="1DA0B0BB"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tc>
        <w:tc>
          <w:tcPr>
            <w:tcW w:w="2094" w:type="dxa"/>
          </w:tcPr>
          <w:p w14:paraId="38A8C0DD"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GGT (U/L)</w:t>
            </w:r>
          </w:p>
        </w:tc>
        <w:tc>
          <w:tcPr>
            <w:tcW w:w="2159" w:type="dxa"/>
            <w:vAlign w:val="center"/>
          </w:tcPr>
          <w:p w14:paraId="3CFBAA56" w14:textId="33613843"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23.0 (16.0-33.0)</w:t>
            </w:r>
            <w:r w:rsidRPr="00704D1E">
              <w:rPr>
                <w:rFonts w:ascii="Book Antiqua" w:hAnsi="Book Antiqua" w:cs="Times New Roman"/>
                <w:color w:val="000000" w:themeColor="text1"/>
                <w:sz w:val="24"/>
                <w:szCs w:val="24"/>
                <w:vertAlign w:val="superscript"/>
              </w:rPr>
              <w:t>a</w:t>
            </w:r>
          </w:p>
        </w:tc>
        <w:tc>
          <w:tcPr>
            <w:tcW w:w="2260" w:type="dxa"/>
            <w:vAlign w:val="center"/>
          </w:tcPr>
          <w:p w14:paraId="1DC28D18"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52.0 (29.0-77.0)</w:t>
            </w:r>
          </w:p>
        </w:tc>
        <w:tc>
          <w:tcPr>
            <w:tcW w:w="2176" w:type="dxa"/>
            <w:vAlign w:val="center"/>
          </w:tcPr>
          <w:p w14:paraId="4BABA21E"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52.0 (23.0-141.0)</w:t>
            </w:r>
          </w:p>
        </w:tc>
      </w:tr>
      <w:tr w:rsidR="00704D1E" w:rsidRPr="00704D1E" w14:paraId="2DD48E19" w14:textId="77777777" w:rsidTr="001256F6">
        <w:trPr>
          <w:trHeight w:val="280"/>
          <w:jc w:val="center"/>
        </w:trPr>
        <w:tc>
          <w:tcPr>
            <w:tcW w:w="1527" w:type="dxa"/>
            <w:vMerge/>
          </w:tcPr>
          <w:p w14:paraId="014FB4EF"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tc>
        <w:tc>
          <w:tcPr>
            <w:tcW w:w="2094" w:type="dxa"/>
          </w:tcPr>
          <w:p w14:paraId="69DCD3D8"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ALP (U/L)</w:t>
            </w:r>
          </w:p>
        </w:tc>
        <w:tc>
          <w:tcPr>
            <w:tcW w:w="2159" w:type="dxa"/>
            <w:vAlign w:val="center"/>
          </w:tcPr>
          <w:p w14:paraId="57B7E6F3"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77.0 (60.5-122.5)</w:t>
            </w:r>
          </w:p>
        </w:tc>
        <w:tc>
          <w:tcPr>
            <w:tcW w:w="2260" w:type="dxa"/>
            <w:vAlign w:val="center"/>
          </w:tcPr>
          <w:p w14:paraId="4523E9A5"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82.0 (69.0-92.0)</w:t>
            </w:r>
          </w:p>
        </w:tc>
        <w:tc>
          <w:tcPr>
            <w:tcW w:w="2176" w:type="dxa"/>
            <w:vAlign w:val="center"/>
          </w:tcPr>
          <w:p w14:paraId="0DC731F7"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71.0 (62.0-117.0)</w:t>
            </w:r>
          </w:p>
        </w:tc>
      </w:tr>
      <w:tr w:rsidR="00704D1E" w:rsidRPr="00704D1E" w14:paraId="333B15D0" w14:textId="77777777" w:rsidTr="001256F6">
        <w:trPr>
          <w:trHeight w:val="280"/>
          <w:jc w:val="center"/>
        </w:trPr>
        <w:tc>
          <w:tcPr>
            <w:tcW w:w="1527" w:type="dxa"/>
            <w:vMerge/>
          </w:tcPr>
          <w:p w14:paraId="4E5C25DB"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tc>
        <w:tc>
          <w:tcPr>
            <w:tcW w:w="2094" w:type="dxa"/>
          </w:tcPr>
          <w:p w14:paraId="4025150E"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AST (U/L)</w:t>
            </w:r>
          </w:p>
        </w:tc>
        <w:tc>
          <w:tcPr>
            <w:tcW w:w="2159" w:type="dxa"/>
            <w:vAlign w:val="center"/>
          </w:tcPr>
          <w:p w14:paraId="69A59366"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28.0 (22.5-38.5)</w:t>
            </w:r>
          </w:p>
        </w:tc>
        <w:tc>
          <w:tcPr>
            <w:tcW w:w="2260" w:type="dxa"/>
            <w:vAlign w:val="center"/>
          </w:tcPr>
          <w:p w14:paraId="10149DAE"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36.0 (26.0-55.0)</w:t>
            </w:r>
          </w:p>
        </w:tc>
        <w:tc>
          <w:tcPr>
            <w:tcW w:w="2176" w:type="dxa"/>
            <w:vAlign w:val="center"/>
          </w:tcPr>
          <w:p w14:paraId="01F1C5BA"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26.0 (20.0-59.0)</w:t>
            </w:r>
          </w:p>
        </w:tc>
      </w:tr>
      <w:tr w:rsidR="00704D1E" w:rsidRPr="00704D1E" w14:paraId="25EB62F9" w14:textId="77777777" w:rsidTr="001256F6">
        <w:trPr>
          <w:trHeight w:val="488"/>
          <w:jc w:val="center"/>
        </w:trPr>
        <w:tc>
          <w:tcPr>
            <w:tcW w:w="1527" w:type="dxa"/>
            <w:vMerge/>
          </w:tcPr>
          <w:p w14:paraId="7CC08A9A"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tc>
        <w:tc>
          <w:tcPr>
            <w:tcW w:w="2094" w:type="dxa"/>
          </w:tcPr>
          <w:p w14:paraId="01923614"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TBA (</w:t>
            </w:r>
            <w:proofErr w:type="spellStart"/>
            <w:r w:rsidRPr="00704D1E">
              <w:rPr>
                <w:rFonts w:ascii="Book Antiqua" w:hAnsi="Book Antiqua" w:cs="Times New Roman"/>
                <w:color w:val="000000" w:themeColor="text1"/>
                <w:sz w:val="24"/>
                <w:szCs w:val="24"/>
              </w:rPr>
              <w:t>μmol</w:t>
            </w:r>
            <w:proofErr w:type="spellEnd"/>
            <w:r w:rsidRPr="00704D1E">
              <w:rPr>
                <w:rFonts w:ascii="Book Antiqua" w:hAnsi="Book Antiqua" w:cs="Times New Roman"/>
                <w:color w:val="000000" w:themeColor="text1"/>
                <w:sz w:val="24"/>
                <w:szCs w:val="24"/>
              </w:rPr>
              <w:t>/L)</w:t>
            </w:r>
          </w:p>
        </w:tc>
        <w:tc>
          <w:tcPr>
            <w:tcW w:w="2159" w:type="dxa"/>
            <w:vAlign w:val="center"/>
          </w:tcPr>
          <w:p w14:paraId="613141C1"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2.90 (1.35-3.25)</w:t>
            </w:r>
          </w:p>
        </w:tc>
        <w:tc>
          <w:tcPr>
            <w:tcW w:w="2260" w:type="dxa"/>
            <w:vAlign w:val="center"/>
          </w:tcPr>
          <w:p w14:paraId="39B47490"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3.60 (2.30-7.00)</w:t>
            </w:r>
          </w:p>
        </w:tc>
        <w:tc>
          <w:tcPr>
            <w:tcW w:w="2176" w:type="dxa"/>
            <w:vAlign w:val="center"/>
          </w:tcPr>
          <w:p w14:paraId="5AE88962"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3.60 (1.30-9.10)</w:t>
            </w:r>
          </w:p>
        </w:tc>
      </w:tr>
      <w:tr w:rsidR="00704D1E" w:rsidRPr="00704D1E" w14:paraId="18742B9B" w14:textId="77777777" w:rsidTr="001256F6">
        <w:trPr>
          <w:trHeight w:val="280"/>
          <w:jc w:val="center"/>
        </w:trPr>
        <w:tc>
          <w:tcPr>
            <w:tcW w:w="1527" w:type="dxa"/>
            <w:vMerge/>
          </w:tcPr>
          <w:p w14:paraId="5240B349"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tc>
        <w:tc>
          <w:tcPr>
            <w:tcW w:w="2094" w:type="dxa"/>
          </w:tcPr>
          <w:p w14:paraId="172AE6A4"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LD (U/L)</w:t>
            </w:r>
          </w:p>
        </w:tc>
        <w:tc>
          <w:tcPr>
            <w:tcW w:w="2159" w:type="dxa"/>
            <w:vAlign w:val="center"/>
          </w:tcPr>
          <w:p w14:paraId="63DEE35D" w14:textId="3EA17A1B"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233.9</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54.8</w:t>
            </w:r>
          </w:p>
        </w:tc>
        <w:tc>
          <w:tcPr>
            <w:tcW w:w="2260" w:type="dxa"/>
            <w:vAlign w:val="center"/>
          </w:tcPr>
          <w:p w14:paraId="78C5530E" w14:textId="5CC86579"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227.6</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41.4</w:t>
            </w:r>
          </w:p>
        </w:tc>
        <w:tc>
          <w:tcPr>
            <w:tcW w:w="2176" w:type="dxa"/>
            <w:vAlign w:val="center"/>
          </w:tcPr>
          <w:p w14:paraId="45102BFC" w14:textId="39F22D9A"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215.3</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60.8</w:t>
            </w:r>
          </w:p>
        </w:tc>
      </w:tr>
      <w:tr w:rsidR="00704D1E" w:rsidRPr="00704D1E" w14:paraId="11843B51" w14:textId="77777777" w:rsidTr="001256F6">
        <w:trPr>
          <w:trHeight w:val="280"/>
          <w:jc w:val="center"/>
        </w:trPr>
        <w:tc>
          <w:tcPr>
            <w:tcW w:w="1527" w:type="dxa"/>
            <w:vMerge w:val="restart"/>
            <w:vAlign w:val="center"/>
          </w:tcPr>
          <w:p w14:paraId="3BB9909B" w14:textId="6BE3A775" w:rsidR="00CF5FC3" w:rsidRPr="00704D1E" w:rsidRDefault="008C5686">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Routine b</w:t>
            </w:r>
            <w:r w:rsidRPr="00704D1E">
              <w:rPr>
                <w:rFonts w:ascii="Book Antiqua" w:hAnsi="Book Antiqua" w:cs="Times New Roman"/>
                <w:color w:val="000000" w:themeColor="text1"/>
                <w:sz w:val="24"/>
                <w:szCs w:val="24"/>
              </w:rPr>
              <w:t xml:space="preserve">lood </w:t>
            </w:r>
            <w:r>
              <w:rPr>
                <w:rFonts w:ascii="Book Antiqua" w:hAnsi="Book Antiqua" w:cs="Times New Roman"/>
                <w:color w:val="000000" w:themeColor="text1"/>
                <w:sz w:val="24"/>
                <w:szCs w:val="24"/>
              </w:rPr>
              <w:t>tests</w:t>
            </w:r>
          </w:p>
        </w:tc>
        <w:tc>
          <w:tcPr>
            <w:tcW w:w="2094" w:type="dxa"/>
          </w:tcPr>
          <w:p w14:paraId="58ED6618" w14:textId="2B80EF0B"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WBC (×10</w:t>
            </w:r>
            <w:r w:rsidRPr="00704D1E">
              <w:rPr>
                <w:rFonts w:ascii="Book Antiqua" w:hAnsi="Book Antiqua" w:cs="Times New Roman"/>
                <w:color w:val="000000" w:themeColor="text1"/>
                <w:sz w:val="24"/>
                <w:szCs w:val="24"/>
                <w:vertAlign w:val="superscript"/>
              </w:rPr>
              <w:t>9</w:t>
            </w:r>
            <w:r w:rsidRPr="00704D1E">
              <w:rPr>
                <w:rFonts w:ascii="Book Antiqua" w:hAnsi="Book Antiqua" w:cs="Times New Roman"/>
                <w:color w:val="000000" w:themeColor="text1"/>
                <w:sz w:val="24"/>
                <w:szCs w:val="24"/>
              </w:rPr>
              <w:t>/L)</w:t>
            </w:r>
          </w:p>
        </w:tc>
        <w:tc>
          <w:tcPr>
            <w:tcW w:w="2159" w:type="dxa"/>
            <w:vAlign w:val="center"/>
          </w:tcPr>
          <w:p w14:paraId="2672941E" w14:textId="7CE6E069"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6.53</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2.61</w:t>
            </w:r>
            <w:r w:rsidRPr="00704D1E">
              <w:rPr>
                <w:rFonts w:ascii="Book Antiqua" w:hAnsi="Book Antiqua" w:cs="Times New Roman"/>
                <w:color w:val="000000" w:themeColor="text1"/>
                <w:sz w:val="24"/>
                <w:szCs w:val="24"/>
                <w:vertAlign w:val="superscript"/>
              </w:rPr>
              <w:t>a</w:t>
            </w:r>
          </w:p>
        </w:tc>
        <w:tc>
          <w:tcPr>
            <w:tcW w:w="2260" w:type="dxa"/>
            <w:vAlign w:val="center"/>
          </w:tcPr>
          <w:p w14:paraId="14A8FDDF" w14:textId="556EC31F"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6.32</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1.71</w:t>
            </w:r>
            <w:r w:rsidRPr="00704D1E">
              <w:rPr>
                <w:rFonts w:ascii="Book Antiqua" w:hAnsi="Book Antiqua" w:cs="Times New Roman"/>
                <w:color w:val="000000" w:themeColor="text1"/>
                <w:sz w:val="24"/>
                <w:szCs w:val="24"/>
                <w:vertAlign w:val="superscript"/>
              </w:rPr>
              <w:t>a</w:t>
            </w:r>
          </w:p>
        </w:tc>
        <w:tc>
          <w:tcPr>
            <w:tcW w:w="2176" w:type="dxa"/>
            <w:vAlign w:val="center"/>
          </w:tcPr>
          <w:p w14:paraId="3220059E" w14:textId="23FC88B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4.02</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1.14</w:t>
            </w:r>
          </w:p>
        </w:tc>
      </w:tr>
      <w:tr w:rsidR="00704D1E" w:rsidRPr="00704D1E" w14:paraId="47D87A95" w14:textId="77777777" w:rsidTr="001256F6">
        <w:trPr>
          <w:trHeight w:val="280"/>
          <w:jc w:val="center"/>
        </w:trPr>
        <w:tc>
          <w:tcPr>
            <w:tcW w:w="1527" w:type="dxa"/>
            <w:vMerge/>
          </w:tcPr>
          <w:p w14:paraId="18E45FC1"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tc>
        <w:tc>
          <w:tcPr>
            <w:tcW w:w="2094" w:type="dxa"/>
          </w:tcPr>
          <w:p w14:paraId="0C3A33FA" w14:textId="0C5F39E3"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NEUT# (×10</w:t>
            </w:r>
            <w:r w:rsidRPr="00704D1E">
              <w:rPr>
                <w:rFonts w:ascii="Book Antiqua" w:hAnsi="Book Antiqua" w:cs="Times New Roman"/>
                <w:color w:val="000000" w:themeColor="text1"/>
                <w:sz w:val="24"/>
                <w:szCs w:val="24"/>
                <w:vertAlign w:val="superscript"/>
              </w:rPr>
              <w:t>9</w:t>
            </w:r>
            <w:r w:rsidRPr="00704D1E">
              <w:rPr>
                <w:rFonts w:ascii="Book Antiqua" w:hAnsi="Book Antiqua" w:cs="Times New Roman"/>
                <w:color w:val="000000" w:themeColor="text1"/>
                <w:sz w:val="24"/>
                <w:szCs w:val="24"/>
              </w:rPr>
              <w:t>/L)</w:t>
            </w:r>
          </w:p>
        </w:tc>
        <w:tc>
          <w:tcPr>
            <w:tcW w:w="2159" w:type="dxa"/>
            <w:vAlign w:val="center"/>
          </w:tcPr>
          <w:p w14:paraId="2FE8AE86" w14:textId="064F5D2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3.65</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1.90</w:t>
            </w:r>
            <w:r w:rsidRPr="00704D1E">
              <w:rPr>
                <w:rFonts w:ascii="Book Antiqua" w:hAnsi="Book Antiqua" w:cs="Times New Roman"/>
                <w:color w:val="000000" w:themeColor="text1"/>
                <w:sz w:val="24"/>
                <w:szCs w:val="24"/>
                <w:vertAlign w:val="superscript"/>
              </w:rPr>
              <w:t>b</w:t>
            </w:r>
          </w:p>
        </w:tc>
        <w:tc>
          <w:tcPr>
            <w:tcW w:w="2260" w:type="dxa"/>
            <w:vAlign w:val="center"/>
          </w:tcPr>
          <w:p w14:paraId="0C7C2712" w14:textId="15405B33"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3.44</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1.24</w:t>
            </w:r>
            <w:r w:rsidRPr="00704D1E">
              <w:rPr>
                <w:rFonts w:ascii="Book Antiqua" w:hAnsi="Book Antiqua" w:cs="Times New Roman"/>
                <w:color w:val="000000" w:themeColor="text1"/>
                <w:sz w:val="24"/>
                <w:szCs w:val="24"/>
                <w:vertAlign w:val="superscript"/>
              </w:rPr>
              <w:t>a</w:t>
            </w:r>
          </w:p>
        </w:tc>
        <w:tc>
          <w:tcPr>
            <w:tcW w:w="2176" w:type="dxa"/>
            <w:vAlign w:val="center"/>
          </w:tcPr>
          <w:p w14:paraId="11F38F98" w14:textId="19F33250"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1.75</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0.30</w:t>
            </w:r>
          </w:p>
        </w:tc>
      </w:tr>
      <w:tr w:rsidR="00704D1E" w:rsidRPr="00704D1E" w14:paraId="10817933" w14:textId="77777777" w:rsidTr="001256F6">
        <w:trPr>
          <w:trHeight w:val="280"/>
          <w:jc w:val="center"/>
        </w:trPr>
        <w:tc>
          <w:tcPr>
            <w:tcW w:w="1527" w:type="dxa"/>
            <w:vMerge/>
          </w:tcPr>
          <w:p w14:paraId="56E38117"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tc>
        <w:tc>
          <w:tcPr>
            <w:tcW w:w="2094" w:type="dxa"/>
          </w:tcPr>
          <w:p w14:paraId="70DC3CD3" w14:textId="3C3C787B"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PLT (×10</w:t>
            </w:r>
            <w:r w:rsidRPr="00704D1E">
              <w:rPr>
                <w:rFonts w:ascii="Book Antiqua" w:hAnsi="Book Antiqua" w:cs="Times New Roman"/>
                <w:color w:val="000000" w:themeColor="text1"/>
                <w:sz w:val="24"/>
                <w:szCs w:val="24"/>
                <w:vertAlign w:val="superscript"/>
              </w:rPr>
              <w:t>9</w:t>
            </w:r>
            <w:r w:rsidRPr="00704D1E">
              <w:rPr>
                <w:rFonts w:ascii="Book Antiqua" w:hAnsi="Book Antiqua" w:cs="Times New Roman"/>
                <w:color w:val="000000" w:themeColor="text1"/>
                <w:sz w:val="24"/>
                <w:szCs w:val="24"/>
              </w:rPr>
              <w:t>/L)</w:t>
            </w:r>
          </w:p>
        </w:tc>
        <w:tc>
          <w:tcPr>
            <w:tcW w:w="2159" w:type="dxa"/>
            <w:vAlign w:val="center"/>
          </w:tcPr>
          <w:p w14:paraId="4C1652F4" w14:textId="2DB563A1" w:rsidR="00CF5FC3" w:rsidRPr="00704D1E" w:rsidRDefault="00CF5FC3" w:rsidP="001256F6">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250.5</w:t>
            </w:r>
            <w:r w:rsidR="001256F6">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w:t>
            </w:r>
            <w:r w:rsidR="001256F6">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81.1</w:t>
            </w:r>
            <w:r w:rsidRPr="00704D1E">
              <w:rPr>
                <w:rFonts w:ascii="Book Antiqua" w:eastAsia="等线" w:hAnsi="Book Antiqua" w:cs="Times New Roman"/>
                <w:color w:val="000000" w:themeColor="text1"/>
                <w:sz w:val="24"/>
                <w:szCs w:val="24"/>
                <w:vertAlign w:val="superscript"/>
              </w:rPr>
              <w:t>c</w:t>
            </w:r>
          </w:p>
        </w:tc>
        <w:tc>
          <w:tcPr>
            <w:tcW w:w="2260" w:type="dxa"/>
            <w:vAlign w:val="center"/>
          </w:tcPr>
          <w:p w14:paraId="0F792E7D" w14:textId="136687E6" w:rsidR="00CF5FC3" w:rsidRPr="00704D1E" w:rsidRDefault="00CF5FC3" w:rsidP="001256F6">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273.0</w:t>
            </w:r>
            <w:r w:rsidR="001256F6">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w:t>
            </w:r>
            <w:r w:rsidR="001256F6">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90.1</w:t>
            </w:r>
            <w:r w:rsidRPr="00704D1E">
              <w:rPr>
                <w:rFonts w:ascii="Book Antiqua" w:eastAsia="等线" w:hAnsi="Book Antiqua" w:cs="Times New Roman"/>
                <w:color w:val="000000" w:themeColor="text1"/>
                <w:sz w:val="24"/>
                <w:szCs w:val="24"/>
                <w:vertAlign w:val="superscript"/>
              </w:rPr>
              <w:t>c</w:t>
            </w:r>
          </w:p>
        </w:tc>
        <w:tc>
          <w:tcPr>
            <w:tcW w:w="2176" w:type="dxa"/>
            <w:vAlign w:val="center"/>
          </w:tcPr>
          <w:p w14:paraId="36F92EB4" w14:textId="58A81FB3" w:rsidR="00CF5FC3" w:rsidRPr="00704D1E" w:rsidRDefault="00CF5FC3" w:rsidP="001256F6">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91.1</w:t>
            </w:r>
            <w:r w:rsidR="001256F6">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w:t>
            </w:r>
            <w:r w:rsidR="001256F6">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53.3</w:t>
            </w:r>
          </w:p>
        </w:tc>
      </w:tr>
      <w:tr w:rsidR="00704D1E" w:rsidRPr="00704D1E" w14:paraId="09B992F8" w14:textId="77777777" w:rsidTr="001256F6">
        <w:trPr>
          <w:trHeight w:val="280"/>
          <w:jc w:val="center"/>
        </w:trPr>
        <w:tc>
          <w:tcPr>
            <w:tcW w:w="1527" w:type="dxa"/>
            <w:vMerge w:val="restart"/>
          </w:tcPr>
          <w:p w14:paraId="521349C8"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p w14:paraId="49025699"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p w14:paraId="79C0F65B"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Coagulation function tests</w:t>
            </w:r>
          </w:p>
        </w:tc>
        <w:tc>
          <w:tcPr>
            <w:tcW w:w="2094" w:type="dxa"/>
          </w:tcPr>
          <w:p w14:paraId="7AB80BE6"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PT (s)</w:t>
            </w:r>
          </w:p>
        </w:tc>
        <w:tc>
          <w:tcPr>
            <w:tcW w:w="2159" w:type="dxa"/>
            <w:vAlign w:val="center"/>
          </w:tcPr>
          <w:p w14:paraId="01AD66BA" w14:textId="36BCD4A4"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12.11</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1.06</w:t>
            </w:r>
            <w:r w:rsidRPr="00704D1E">
              <w:rPr>
                <w:rFonts w:ascii="Book Antiqua" w:hAnsi="Book Antiqua" w:cs="Times New Roman"/>
                <w:color w:val="000000" w:themeColor="text1"/>
                <w:sz w:val="24"/>
                <w:szCs w:val="24"/>
                <w:vertAlign w:val="superscript"/>
              </w:rPr>
              <w:t>c</w:t>
            </w:r>
          </w:p>
        </w:tc>
        <w:tc>
          <w:tcPr>
            <w:tcW w:w="2260" w:type="dxa"/>
            <w:vAlign w:val="center"/>
          </w:tcPr>
          <w:p w14:paraId="744A9DE5" w14:textId="47962239"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11.87</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1.01</w:t>
            </w:r>
            <w:r w:rsidRPr="00704D1E">
              <w:rPr>
                <w:rFonts w:ascii="Book Antiqua" w:hAnsi="Book Antiqua" w:cs="Times New Roman"/>
                <w:color w:val="000000" w:themeColor="text1"/>
                <w:sz w:val="24"/>
                <w:szCs w:val="24"/>
                <w:vertAlign w:val="superscript"/>
              </w:rPr>
              <w:t>c</w:t>
            </w:r>
          </w:p>
        </w:tc>
        <w:tc>
          <w:tcPr>
            <w:tcW w:w="2176" w:type="dxa"/>
            <w:vAlign w:val="center"/>
          </w:tcPr>
          <w:p w14:paraId="6D986076" w14:textId="37B82CAF"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15.43</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2.24</w:t>
            </w:r>
          </w:p>
        </w:tc>
      </w:tr>
      <w:tr w:rsidR="00704D1E" w:rsidRPr="00704D1E" w14:paraId="466E55D5" w14:textId="77777777" w:rsidTr="001256F6">
        <w:trPr>
          <w:trHeight w:val="280"/>
          <w:jc w:val="center"/>
        </w:trPr>
        <w:tc>
          <w:tcPr>
            <w:tcW w:w="1527" w:type="dxa"/>
            <w:vMerge/>
          </w:tcPr>
          <w:p w14:paraId="2F47F090"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tc>
        <w:tc>
          <w:tcPr>
            <w:tcW w:w="2094" w:type="dxa"/>
          </w:tcPr>
          <w:p w14:paraId="75E48E30"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PT% (%)</w:t>
            </w:r>
          </w:p>
        </w:tc>
        <w:tc>
          <w:tcPr>
            <w:tcW w:w="2159" w:type="dxa"/>
            <w:vAlign w:val="center"/>
          </w:tcPr>
          <w:p w14:paraId="5C2FCB63" w14:textId="4542B038"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87.3</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8.8</w:t>
            </w:r>
            <w:r w:rsidRPr="00704D1E">
              <w:rPr>
                <w:rFonts w:ascii="Book Antiqua" w:hAnsi="Book Antiqua" w:cs="Times New Roman"/>
                <w:color w:val="000000" w:themeColor="text1"/>
                <w:sz w:val="24"/>
                <w:szCs w:val="24"/>
                <w:vertAlign w:val="superscript"/>
              </w:rPr>
              <w:t>c</w:t>
            </w:r>
          </w:p>
        </w:tc>
        <w:tc>
          <w:tcPr>
            <w:tcW w:w="2260" w:type="dxa"/>
            <w:vAlign w:val="center"/>
          </w:tcPr>
          <w:p w14:paraId="309A69DC" w14:textId="276F17A4"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94.3</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14.9</w:t>
            </w:r>
            <w:r w:rsidRPr="00704D1E">
              <w:rPr>
                <w:rFonts w:ascii="Book Antiqua" w:hAnsi="Book Antiqua" w:cs="Times New Roman"/>
                <w:color w:val="000000" w:themeColor="text1"/>
                <w:sz w:val="24"/>
                <w:szCs w:val="24"/>
                <w:vertAlign w:val="superscript"/>
              </w:rPr>
              <w:t>c</w:t>
            </w:r>
          </w:p>
        </w:tc>
        <w:tc>
          <w:tcPr>
            <w:tcW w:w="2176" w:type="dxa"/>
            <w:vAlign w:val="center"/>
          </w:tcPr>
          <w:p w14:paraId="2EDBEF0B" w14:textId="0BA2510A"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62.6</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12.1</w:t>
            </w:r>
          </w:p>
        </w:tc>
      </w:tr>
      <w:tr w:rsidR="00704D1E" w:rsidRPr="00704D1E" w14:paraId="7C530552" w14:textId="77777777" w:rsidTr="001256F6">
        <w:trPr>
          <w:trHeight w:val="280"/>
          <w:jc w:val="center"/>
        </w:trPr>
        <w:tc>
          <w:tcPr>
            <w:tcW w:w="1527" w:type="dxa"/>
            <w:vMerge/>
          </w:tcPr>
          <w:p w14:paraId="11DFA83E"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tc>
        <w:tc>
          <w:tcPr>
            <w:tcW w:w="2094" w:type="dxa"/>
          </w:tcPr>
          <w:p w14:paraId="4C462086"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INR</w:t>
            </w:r>
          </w:p>
        </w:tc>
        <w:tc>
          <w:tcPr>
            <w:tcW w:w="2159" w:type="dxa"/>
            <w:vAlign w:val="center"/>
          </w:tcPr>
          <w:p w14:paraId="395A91E4" w14:textId="401A0651"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1.05</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0.08</w:t>
            </w:r>
            <w:r w:rsidRPr="00704D1E">
              <w:rPr>
                <w:rFonts w:ascii="Book Antiqua" w:hAnsi="Book Antiqua" w:cs="Times New Roman"/>
                <w:color w:val="000000" w:themeColor="text1"/>
                <w:sz w:val="24"/>
                <w:szCs w:val="24"/>
                <w:vertAlign w:val="superscript"/>
              </w:rPr>
              <w:t>c</w:t>
            </w:r>
          </w:p>
        </w:tc>
        <w:tc>
          <w:tcPr>
            <w:tcW w:w="2260" w:type="dxa"/>
            <w:vAlign w:val="center"/>
          </w:tcPr>
          <w:p w14:paraId="629BB02B" w14:textId="6874BDF2"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1.01</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0.10</w:t>
            </w:r>
            <w:r w:rsidRPr="00704D1E">
              <w:rPr>
                <w:rFonts w:ascii="Book Antiqua" w:hAnsi="Book Antiqua" w:cs="Times New Roman"/>
                <w:color w:val="000000" w:themeColor="text1"/>
                <w:sz w:val="24"/>
                <w:szCs w:val="24"/>
                <w:vertAlign w:val="superscript"/>
              </w:rPr>
              <w:t>c</w:t>
            </w:r>
          </w:p>
        </w:tc>
        <w:tc>
          <w:tcPr>
            <w:tcW w:w="2176" w:type="dxa"/>
            <w:vAlign w:val="center"/>
          </w:tcPr>
          <w:p w14:paraId="09C24162" w14:textId="7FBF6668"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1.33</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0.17</w:t>
            </w:r>
          </w:p>
        </w:tc>
      </w:tr>
      <w:tr w:rsidR="00704D1E" w:rsidRPr="00704D1E" w14:paraId="620EEC03" w14:textId="77777777" w:rsidTr="001256F6">
        <w:trPr>
          <w:trHeight w:val="280"/>
          <w:jc w:val="center"/>
        </w:trPr>
        <w:tc>
          <w:tcPr>
            <w:tcW w:w="1527" w:type="dxa"/>
            <w:vMerge/>
          </w:tcPr>
          <w:p w14:paraId="180007E3"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tc>
        <w:tc>
          <w:tcPr>
            <w:tcW w:w="2094" w:type="dxa"/>
          </w:tcPr>
          <w:p w14:paraId="543B54EC"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proofErr w:type="spellStart"/>
            <w:r w:rsidRPr="00704D1E">
              <w:rPr>
                <w:rFonts w:ascii="Book Antiqua" w:hAnsi="Book Antiqua" w:cs="Times New Roman"/>
                <w:color w:val="000000" w:themeColor="text1"/>
                <w:sz w:val="24"/>
                <w:szCs w:val="24"/>
              </w:rPr>
              <w:t>FgB</w:t>
            </w:r>
            <w:proofErr w:type="spellEnd"/>
            <w:r w:rsidRPr="00704D1E">
              <w:rPr>
                <w:rFonts w:ascii="Book Antiqua" w:hAnsi="Book Antiqua" w:cs="Times New Roman"/>
                <w:color w:val="000000" w:themeColor="text1"/>
                <w:sz w:val="24"/>
                <w:szCs w:val="24"/>
              </w:rPr>
              <w:t xml:space="preserve"> (g/L)</w:t>
            </w:r>
          </w:p>
        </w:tc>
        <w:tc>
          <w:tcPr>
            <w:tcW w:w="2159" w:type="dxa"/>
            <w:vAlign w:val="center"/>
          </w:tcPr>
          <w:p w14:paraId="0335CA30" w14:textId="48C99186"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2.97</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0.78</w:t>
            </w:r>
            <w:r w:rsidRPr="00704D1E">
              <w:rPr>
                <w:rFonts w:ascii="Book Antiqua" w:hAnsi="Book Antiqua" w:cs="Times New Roman"/>
                <w:color w:val="000000" w:themeColor="text1"/>
                <w:sz w:val="24"/>
                <w:szCs w:val="24"/>
                <w:vertAlign w:val="superscript"/>
              </w:rPr>
              <w:t>b</w:t>
            </w:r>
          </w:p>
        </w:tc>
        <w:tc>
          <w:tcPr>
            <w:tcW w:w="2260" w:type="dxa"/>
            <w:vAlign w:val="center"/>
          </w:tcPr>
          <w:p w14:paraId="419A4EDB" w14:textId="7C433806"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3.09</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0.81</w:t>
            </w:r>
            <w:r w:rsidRPr="00704D1E">
              <w:rPr>
                <w:rFonts w:ascii="Book Antiqua" w:hAnsi="Book Antiqua" w:cs="Times New Roman"/>
                <w:color w:val="000000" w:themeColor="text1"/>
                <w:sz w:val="24"/>
                <w:szCs w:val="24"/>
                <w:vertAlign w:val="superscript"/>
              </w:rPr>
              <w:t>b</w:t>
            </w:r>
          </w:p>
        </w:tc>
        <w:tc>
          <w:tcPr>
            <w:tcW w:w="2176" w:type="dxa"/>
            <w:vAlign w:val="center"/>
          </w:tcPr>
          <w:p w14:paraId="57D002F9" w14:textId="67F4701E"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1.89</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0.59</w:t>
            </w:r>
          </w:p>
        </w:tc>
      </w:tr>
      <w:tr w:rsidR="00704D1E" w:rsidRPr="00704D1E" w14:paraId="0B550FAA" w14:textId="77777777" w:rsidTr="001256F6">
        <w:trPr>
          <w:trHeight w:val="280"/>
          <w:jc w:val="center"/>
        </w:trPr>
        <w:tc>
          <w:tcPr>
            <w:tcW w:w="1527" w:type="dxa"/>
            <w:vMerge/>
          </w:tcPr>
          <w:p w14:paraId="71811BF5"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tc>
        <w:tc>
          <w:tcPr>
            <w:tcW w:w="2094" w:type="dxa"/>
          </w:tcPr>
          <w:p w14:paraId="011A834A"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APTT (s)</w:t>
            </w:r>
          </w:p>
        </w:tc>
        <w:tc>
          <w:tcPr>
            <w:tcW w:w="2159" w:type="dxa"/>
            <w:vAlign w:val="center"/>
          </w:tcPr>
          <w:p w14:paraId="712B55F7" w14:textId="77777777" w:rsidR="00CF5FC3" w:rsidRPr="00704D1E" w:rsidRDefault="00CF5FC3" w:rsidP="001256F6">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31.35 (25.70-35.15)</w:t>
            </w:r>
          </w:p>
        </w:tc>
        <w:tc>
          <w:tcPr>
            <w:tcW w:w="2260" w:type="dxa"/>
            <w:vAlign w:val="center"/>
          </w:tcPr>
          <w:p w14:paraId="268DEBC1" w14:textId="77777777" w:rsidR="00CF5FC3" w:rsidRPr="00704D1E" w:rsidRDefault="00CF5FC3" w:rsidP="001256F6">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28.45 (25.30-38.33)</w:t>
            </w:r>
          </w:p>
        </w:tc>
        <w:tc>
          <w:tcPr>
            <w:tcW w:w="2176" w:type="dxa"/>
            <w:vAlign w:val="center"/>
          </w:tcPr>
          <w:p w14:paraId="2D9A1645" w14:textId="77777777" w:rsidR="00CF5FC3" w:rsidRPr="00704D1E" w:rsidRDefault="00CF5FC3" w:rsidP="001256F6">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33.50 (30.48-41.58)</w:t>
            </w:r>
          </w:p>
        </w:tc>
      </w:tr>
      <w:tr w:rsidR="00704D1E" w:rsidRPr="00704D1E" w14:paraId="3EFC1C92" w14:textId="77777777" w:rsidTr="001256F6">
        <w:trPr>
          <w:trHeight w:val="280"/>
          <w:jc w:val="center"/>
        </w:trPr>
        <w:tc>
          <w:tcPr>
            <w:tcW w:w="1527" w:type="dxa"/>
            <w:vMerge/>
            <w:tcBorders>
              <w:bottom w:val="single" w:sz="8" w:space="0" w:color="auto"/>
            </w:tcBorders>
          </w:tcPr>
          <w:p w14:paraId="5946A1E1"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tc>
        <w:tc>
          <w:tcPr>
            <w:tcW w:w="2094" w:type="dxa"/>
            <w:tcBorders>
              <w:bottom w:val="single" w:sz="8" w:space="0" w:color="auto"/>
            </w:tcBorders>
          </w:tcPr>
          <w:p w14:paraId="05BD2CA1"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TT (s)</w:t>
            </w:r>
          </w:p>
        </w:tc>
        <w:tc>
          <w:tcPr>
            <w:tcW w:w="2159" w:type="dxa"/>
            <w:tcBorders>
              <w:bottom w:val="single" w:sz="8" w:space="0" w:color="auto"/>
            </w:tcBorders>
            <w:vAlign w:val="center"/>
          </w:tcPr>
          <w:p w14:paraId="4565C194" w14:textId="3C06FEB3"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18.34</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0.97</w:t>
            </w:r>
            <w:r w:rsidRPr="00704D1E">
              <w:rPr>
                <w:rFonts w:ascii="Book Antiqua" w:hAnsi="Book Antiqua" w:cs="Times New Roman"/>
                <w:color w:val="000000" w:themeColor="text1"/>
                <w:sz w:val="24"/>
                <w:szCs w:val="24"/>
                <w:vertAlign w:val="superscript"/>
              </w:rPr>
              <w:t>b</w:t>
            </w:r>
          </w:p>
        </w:tc>
        <w:tc>
          <w:tcPr>
            <w:tcW w:w="2260" w:type="dxa"/>
            <w:tcBorders>
              <w:bottom w:val="single" w:sz="8" w:space="0" w:color="auto"/>
            </w:tcBorders>
            <w:vAlign w:val="center"/>
          </w:tcPr>
          <w:p w14:paraId="6BC0213B" w14:textId="259A1A13"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17.82</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0.94</w:t>
            </w:r>
            <w:r w:rsidRPr="00704D1E">
              <w:rPr>
                <w:rFonts w:ascii="Book Antiqua" w:hAnsi="Book Antiqua" w:cs="Times New Roman"/>
                <w:color w:val="000000" w:themeColor="text1"/>
                <w:sz w:val="24"/>
                <w:szCs w:val="24"/>
                <w:vertAlign w:val="superscript"/>
              </w:rPr>
              <w:t>c</w:t>
            </w:r>
          </w:p>
        </w:tc>
        <w:tc>
          <w:tcPr>
            <w:tcW w:w="2176" w:type="dxa"/>
            <w:tcBorders>
              <w:bottom w:val="single" w:sz="8" w:space="0" w:color="auto"/>
            </w:tcBorders>
            <w:vAlign w:val="center"/>
          </w:tcPr>
          <w:p w14:paraId="44C7C5CD" w14:textId="6FE4BEF8"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19.75</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1.08</w:t>
            </w:r>
          </w:p>
        </w:tc>
      </w:tr>
    </w:tbl>
    <w:p w14:paraId="68E0D15F" w14:textId="3B4E3F47" w:rsidR="00CF5FC3" w:rsidRPr="00704D1E" w:rsidRDefault="00CF5FC3" w:rsidP="00704D1E">
      <w:pPr>
        <w:adjustRightInd w:val="0"/>
        <w:snapToGrid w:val="0"/>
        <w:spacing w:line="360" w:lineRule="auto"/>
        <w:rPr>
          <w:rFonts w:ascii="Book Antiqua" w:hAnsi="Book Antiqua" w:cs="Times New Roman"/>
          <w:b/>
          <w:color w:val="000000" w:themeColor="text1"/>
          <w:sz w:val="24"/>
          <w:szCs w:val="24"/>
        </w:rPr>
      </w:pPr>
      <w:proofErr w:type="spellStart"/>
      <w:r w:rsidRPr="00704D1E">
        <w:rPr>
          <w:rFonts w:ascii="Book Antiqua" w:hAnsi="Book Antiqua" w:cs="Times New Roman"/>
          <w:i/>
          <w:color w:val="000000" w:themeColor="text1"/>
          <w:sz w:val="24"/>
          <w:szCs w:val="24"/>
          <w:vertAlign w:val="superscript"/>
        </w:rPr>
        <w:t>a</w:t>
      </w:r>
      <w:r w:rsidRPr="00704D1E">
        <w:rPr>
          <w:rFonts w:ascii="Book Antiqua" w:hAnsi="Book Antiqua" w:cs="Times New Roman"/>
          <w:i/>
          <w:color w:val="000000" w:themeColor="text1"/>
          <w:sz w:val="24"/>
          <w:szCs w:val="24"/>
        </w:rPr>
        <w:t>P</w:t>
      </w:r>
      <w:proofErr w:type="spellEnd"/>
      <w:r w:rsidR="00950508">
        <w:rPr>
          <w:rFonts w:ascii="Book Antiqua" w:hAnsi="Book Antiqua" w:cs="Times New Roman"/>
          <w:color w:val="000000" w:themeColor="text1"/>
          <w:sz w:val="24"/>
          <w:szCs w:val="24"/>
        </w:rPr>
        <w:t xml:space="preserve"> &lt; </w:t>
      </w:r>
      <w:r w:rsidRPr="00704D1E">
        <w:rPr>
          <w:rFonts w:ascii="Book Antiqua" w:hAnsi="Book Antiqua" w:cs="Times New Roman"/>
          <w:color w:val="000000" w:themeColor="text1"/>
          <w:sz w:val="24"/>
          <w:szCs w:val="24"/>
        </w:rPr>
        <w:t xml:space="preserve">0.05 </w:t>
      </w:r>
      <w:r w:rsidRPr="00704D1E">
        <w:rPr>
          <w:rFonts w:ascii="Book Antiqua" w:hAnsi="Book Antiqua" w:cs="Times New Roman"/>
          <w:i/>
          <w:color w:val="000000" w:themeColor="text1"/>
          <w:sz w:val="24"/>
          <w:szCs w:val="24"/>
        </w:rPr>
        <w:t>vs</w:t>
      </w:r>
      <w:r w:rsidRPr="00704D1E">
        <w:rPr>
          <w:rFonts w:ascii="Book Antiqua" w:hAnsi="Book Antiqua" w:cs="Times New Roman"/>
          <w:color w:val="000000" w:themeColor="text1"/>
          <w:sz w:val="24"/>
          <w:szCs w:val="24"/>
        </w:rPr>
        <w:t xml:space="preserve"> the cirrhosis group, </w:t>
      </w:r>
      <w:proofErr w:type="spellStart"/>
      <w:r w:rsidRPr="00704D1E">
        <w:rPr>
          <w:rFonts w:ascii="Book Antiqua" w:hAnsi="Book Antiqua" w:cs="Times New Roman"/>
          <w:i/>
          <w:color w:val="000000" w:themeColor="text1"/>
          <w:sz w:val="24"/>
          <w:szCs w:val="24"/>
          <w:vertAlign w:val="superscript"/>
        </w:rPr>
        <w:t>b</w:t>
      </w:r>
      <w:r w:rsidRPr="00704D1E">
        <w:rPr>
          <w:rFonts w:ascii="Book Antiqua" w:hAnsi="Book Antiqua" w:cs="Times New Roman"/>
          <w:i/>
          <w:color w:val="000000" w:themeColor="text1"/>
          <w:sz w:val="24"/>
          <w:szCs w:val="24"/>
        </w:rPr>
        <w:t>P</w:t>
      </w:r>
      <w:proofErr w:type="spellEnd"/>
      <w:r w:rsidR="00950508">
        <w:rPr>
          <w:rFonts w:ascii="Book Antiqua" w:hAnsi="Book Antiqua" w:cs="Times New Roman"/>
          <w:color w:val="000000" w:themeColor="text1"/>
          <w:sz w:val="24"/>
          <w:szCs w:val="24"/>
        </w:rPr>
        <w:t xml:space="preserve"> &lt; </w:t>
      </w:r>
      <w:r w:rsidRPr="00704D1E">
        <w:rPr>
          <w:rFonts w:ascii="Book Antiqua" w:hAnsi="Book Antiqua" w:cs="Times New Roman"/>
          <w:color w:val="000000" w:themeColor="text1"/>
          <w:sz w:val="24"/>
          <w:szCs w:val="24"/>
        </w:rPr>
        <w:t>0.01</w:t>
      </w:r>
      <w:r w:rsidRPr="00704D1E">
        <w:rPr>
          <w:rFonts w:ascii="Book Antiqua" w:hAnsi="Book Antiqua" w:cs="Times New Roman"/>
          <w:i/>
          <w:color w:val="000000" w:themeColor="text1"/>
          <w:sz w:val="24"/>
          <w:szCs w:val="24"/>
        </w:rPr>
        <w:t xml:space="preserve"> vs</w:t>
      </w:r>
      <w:r w:rsidRPr="00704D1E">
        <w:rPr>
          <w:rFonts w:ascii="Book Antiqua" w:hAnsi="Book Antiqua" w:cs="Times New Roman"/>
          <w:color w:val="000000" w:themeColor="text1"/>
          <w:sz w:val="24"/>
          <w:szCs w:val="24"/>
        </w:rPr>
        <w:t xml:space="preserve"> the cirrhosis group, </w:t>
      </w:r>
      <w:proofErr w:type="spellStart"/>
      <w:r w:rsidRPr="00704D1E">
        <w:rPr>
          <w:rFonts w:ascii="Book Antiqua" w:hAnsi="Book Antiqua" w:cs="Times New Roman"/>
          <w:i/>
          <w:color w:val="000000" w:themeColor="text1"/>
          <w:sz w:val="24"/>
          <w:szCs w:val="24"/>
          <w:vertAlign w:val="superscript"/>
        </w:rPr>
        <w:t>c</w:t>
      </w:r>
      <w:r w:rsidRPr="00704D1E">
        <w:rPr>
          <w:rFonts w:ascii="Book Antiqua" w:hAnsi="Book Antiqua" w:cs="Times New Roman"/>
          <w:i/>
          <w:color w:val="000000" w:themeColor="text1"/>
          <w:sz w:val="24"/>
          <w:szCs w:val="24"/>
        </w:rPr>
        <w:t>P</w:t>
      </w:r>
      <w:proofErr w:type="spellEnd"/>
      <w:r w:rsidR="00950508">
        <w:rPr>
          <w:rFonts w:ascii="Book Antiqua" w:hAnsi="Book Antiqua" w:cs="Times New Roman"/>
          <w:color w:val="000000" w:themeColor="text1"/>
          <w:sz w:val="24"/>
          <w:szCs w:val="24"/>
        </w:rPr>
        <w:t xml:space="preserve"> &lt; </w:t>
      </w:r>
      <w:r w:rsidRPr="00704D1E">
        <w:rPr>
          <w:rFonts w:ascii="Book Antiqua" w:hAnsi="Book Antiqua" w:cs="Times New Roman"/>
          <w:color w:val="000000" w:themeColor="text1"/>
          <w:sz w:val="24"/>
          <w:szCs w:val="24"/>
        </w:rPr>
        <w:t>0.001</w:t>
      </w:r>
      <w:r w:rsidRPr="00704D1E">
        <w:rPr>
          <w:rFonts w:ascii="Book Antiqua" w:hAnsi="Book Antiqua" w:cs="Times New Roman"/>
          <w:i/>
          <w:color w:val="000000" w:themeColor="text1"/>
          <w:sz w:val="24"/>
          <w:szCs w:val="24"/>
        </w:rPr>
        <w:t xml:space="preserve"> vs </w:t>
      </w:r>
      <w:r w:rsidRPr="00704D1E">
        <w:rPr>
          <w:rFonts w:ascii="Book Antiqua" w:hAnsi="Book Antiqua" w:cs="Times New Roman"/>
          <w:color w:val="000000" w:themeColor="text1"/>
          <w:sz w:val="24"/>
          <w:szCs w:val="24"/>
        </w:rPr>
        <w:t>the cirrhosis group</w:t>
      </w:r>
      <w:r w:rsidRPr="00704D1E">
        <w:rPr>
          <w:rFonts w:ascii="Book Antiqua" w:eastAsia="等线" w:hAnsi="Book Antiqua" w:cs="Times New Roman"/>
          <w:color w:val="000000" w:themeColor="text1"/>
          <w:sz w:val="24"/>
          <w:szCs w:val="24"/>
        </w:rPr>
        <w:t>.</w:t>
      </w:r>
      <w:r w:rsidR="00741BAB" w:rsidRPr="00704D1E">
        <w:rPr>
          <w:rFonts w:ascii="Book Antiqua" w:eastAsia="等线" w:hAnsi="Book Antiqua" w:cs="Times New Roman"/>
          <w:color w:val="000000" w:themeColor="text1"/>
          <w:sz w:val="24"/>
          <w:szCs w:val="24"/>
        </w:rPr>
        <w:t xml:space="preserve"> </w:t>
      </w:r>
      <w:r w:rsidR="004529D0">
        <w:rPr>
          <w:rFonts w:ascii="Book Antiqua" w:hAnsi="Book Antiqua" w:cs="Times New Roman"/>
          <w:color w:val="000000" w:themeColor="text1"/>
          <w:sz w:val="24"/>
          <w:szCs w:val="24"/>
        </w:rPr>
        <w:t>NAFLD: N</w:t>
      </w:r>
      <w:r w:rsidR="00741BAB" w:rsidRPr="00704D1E">
        <w:rPr>
          <w:rFonts w:ascii="Book Antiqua" w:hAnsi="Book Antiqua" w:cs="Times New Roman"/>
          <w:color w:val="000000" w:themeColor="text1"/>
          <w:sz w:val="24"/>
          <w:szCs w:val="24"/>
        </w:rPr>
        <w:t>on</w:t>
      </w:r>
      <w:r w:rsidR="00C32A0B" w:rsidRPr="00704D1E">
        <w:rPr>
          <w:rFonts w:ascii="Book Antiqua" w:hAnsi="Book Antiqua" w:cs="Times New Roman"/>
          <w:color w:val="000000" w:themeColor="text1"/>
          <w:sz w:val="24"/>
          <w:szCs w:val="24"/>
        </w:rPr>
        <w:t>-</w:t>
      </w:r>
      <w:r w:rsidR="00741BAB" w:rsidRPr="00704D1E">
        <w:rPr>
          <w:rFonts w:ascii="Book Antiqua" w:hAnsi="Book Antiqua" w:cs="Times New Roman"/>
          <w:color w:val="000000" w:themeColor="text1"/>
          <w:sz w:val="24"/>
          <w:szCs w:val="24"/>
        </w:rPr>
        <w:t>alcoh</w:t>
      </w:r>
      <w:r w:rsidR="004529D0">
        <w:rPr>
          <w:rFonts w:ascii="Book Antiqua" w:hAnsi="Book Antiqua" w:cs="Times New Roman"/>
          <w:color w:val="000000" w:themeColor="text1"/>
          <w:sz w:val="24"/>
          <w:szCs w:val="24"/>
        </w:rPr>
        <w:t xml:space="preserve">olic fatty liver disease; ALT: Alanine aminotransferase; ALB: Albumin; </w:t>
      </w:r>
      <w:proofErr w:type="spellStart"/>
      <w:r w:rsidR="004529D0">
        <w:rPr>
          <w:rFonts w:ascii="Book Antiqua" w:hAnsi="Book Antiqua" w:cs="Times New Roman"/>
          <w:color w:val="000000" w:themeColor="text1"/>
          <w:sz w:val="24"/>
          <w:szCs w:val="24"/>
        </w:rPr>
        <w:t>TBil</w:t>
      </w:r>
      <w:proofErr w:type="spellEnd"/>
      <w:r w:rsidR="004529D0">
        <w:rPr>
          <w:rFonts w:ascii="Book Antiqua" w:hAnsi="Book Antiqua" w:cs="Times New Roman"/>
          <w:color w:val="000000" w:themeColor="text1"/>
          <w:sz w:val="24"/>
          <w:szCs w:val="24"/>
        </w:rPr>
        <w:t xml:space="preserve">: Total bilirubin; </w:t>
      </w:r>
      <w:proofErr w:type="spellStart"/>
      <w:r w:rsidR="004529D0">
        <w:rPr>
          <w:rFonts w:ascii="Book Antiqua" w:hAnsi="Book Antiqua" w:cs="Times New Roman"/>
          <w:color w:val="000000" w:themeColor="text1"/>
          <w:sz w:val="24"/>
          <w:szCs w:val="24"/>
        </w:rPr>
        <w:t>DBil</w:t>
      </w:r>
      <w:proofErr w:type="spellEnd"/>
      <w:r w:rsidR="004529D0">
        <w:rPr>
          <w:rFonts w:ascii="Book Antiqua" w:hAnsi="Book Antiqua" w:cs="Times New Roman"/>
          <w:color w:val="000000" w:themeColor="text1"/>
          <w:sz w:val="24"/>
          <w:szCs w:val="24"/>
        </w:rPr>
        <w:t>: D</w:t>
      </w:r>
      <w:r w:rsidR="00741BAB" w:rsidRPr="00704D1E">
        <w:rPr>
          <w:rFonts w:ascii="Book Antiqua" w:hAnsi="Book Antiqua" w:cs="Times New Roman"/>
          <w:color w:val="000000" w:themeColor="text1"/>
          <w:sz w:val="24"/>
          <w:szCs w:val="24"/>
        </w:rPr>
        <w:t>irect bilirubin; GG</w:t>
      </w:r>
      <w:r w:rsidR="004529D0">
        <w:rPr>
          <w:rFonts w:ascii="Book Antiqua" w:hAnsi="Book Antiqua" w:cs="Times New Roman"/>
          <w:color w:val="000000" w:themeColor="text1"/>
          <w:sz w:val="24"/>
          <w:szCs w:val="24"/>
        </w:rPr>
        <w:t>T: γ-</w:t>
      </w:r>
      <w:proofErr w:type="spellStart"/>
      <w:r w:rsidR="004529D0">
        <w:rPr>
          <w:rFonts w:ascii="Book Antiqua" w:hAnsi="Book Antiqua" w:cs="Times New Roman"/>
          <w:color w:val="000000" w:themeColor="text1"/>
          <w:sz w:val="24"/>
          <w:szCs w:val="24"/>
        </w:rPr>
        <w:t>glutamyltransferase</w:t>
      </w:r>
      <w:proofErr w:type="spellEnd"/>
      <w:r w:rsidR="004529D0">
        <w:rPr>
          <w:rFonts w:ascii="Book Antiqua" w:hAnsi="Book Antiqua" w:cs="Times New Roman"/>
          <w:color w:val="000000" w:themeColor="text1"/>
          <w:sz w:val="24"/>
          <w:szCs w:val="24"/>
        </w:rPr>
        <w:t>; ALP: Alkaline phosphatase; AST: A</w:t>
      </w:r>
      <w:r w:rsidR="00741BAB" w:rsidRPr="00704D1E">
        <w:rPr>
          <w:rFonts w:ascii="Book Antiqua" w:hAnsi="Book Antiqua" w:cs="Times New Roman"/>
          <w:color w:val="000000" w:themeColor="text1"/>
          <w:sz w:val="24"/>
          <w:szCs w:val="24"/>
        </w:rPr>
        <w:t>spartate aminotra</w:t>
      </w:r>
      <w:r w:rsidR="004529D0">
        <w:rPr>
          <w:rFonts w:ascii="Book Antiqua" w:hAnsi="Book Antiqua" w:cs="Times New Roman"/>
          <w:color w:val="000000" w:themeColor="text1"/>
          <w:sz w:val="24"/>
          <w:szCs w:val="24"/>
        </w:rPr>
        <w:t>nsferase; TBA: Total bile acid; LD: Lactic dehydrogenase; WBC: White blood cells; NEUT: Neutrophil granulocyte; PLT: Blood platelet; PT: Prothrombin time; INR: I</w:t>
      </w:r>
      <w:r w:rsidR="00741BAB" w:rsidRPr="00704D1E">
        <w:rPr>
          <w:rFonts w:ascii="Book Antiqua" w:hAnsi="Book Antiqua" w:cs="Times New Roman"/>
          <w:color w:val="000000" w:themeColor="text1"/>
          <w:sz w:val="24"/>
          <w:szCs w:val="24"/>
        </w:rPr>
        <w:t>ntern</w:t>
      </w:r>
      <w:r w:rsidR="004529D0">
        <w:rPr>
          <w:rFonts w:ascii="Book Antiqua" w:hAnsi="Book Antiqua" w:cs="Times New Roman"/>
          <w:color w:val="000000" w:themeColor="text1"/>
          <w:sz w:val="24"/>
          <w:szCs w:val="24"/>
        </w:rPr>
        <w:t xml:space="preserve">ational normalized ratio; </w:t>
      </w:r>
      <w:proofErr w:type="spellStart"/>
      <w:r w:rsidR="004529D0">
        <w:rPr>
          <w:rFonts w:ascii="Book Antiqua" w:hAnsi="Book Antiqua" w:cs="Times New Roman"/>
          <w:color w:val="000000" w:themeColor="text1"/>
          <w:sz w:val="24"/>
          <w:szCs w:val="24"/>
        </w:rPr>
        <w:t>FgB</w:t>
      </w:r>
      <w:proofErr w:type="spellEnd"/>
      <w:r w:rsidR="004529D0">
        <w:rPr>
          <w:rFonts w:ascii="Book Antiqua" w:hAnsi="Book Antiqua" w:cs="Times New Roman"/>
          <w:color w:val="000000" w:themeColor="text1"/>
          <w:sz w:val="24"/>
          <w:szCs w:val="24"/>
        </w:rPr>
        <w:t>: Fibrinogen; APTT: A</w:t>
      </w:r>
      <w:r w:rsidR="00741BAB" w:rsidRPr="00704D1E">
        <w:rPr>
          <w:rFonts w:ascii="Book Antiqua" w:hAnsi="Book Antiqua" w:cs="Times New Roman"/>
          <w:color w:val="000000" w:themeColor="text1"/>
          <w:sz w:val="24"/>
          <w:szCs w:val="24"/>
        </w:rPr>
        <w:t>ctivated partial thromboplastin time; TT</w:t>
      </w:r>
      <w:r w:rsidR="004529D0">
        <w:rPr>
          <w:rFonts w:ascii="Book Antiqua" w:hAnsi="Book Antiqua" w:cs="Times New Roman"/>
          <w:color w:val="000000" w:themeColor="text1"/>
          <w:sz w:val="24"/>
          <w:szCs w:val="24"/>
        </w:rPr>
        <w:t>: T</w:t>
      </w:r>
      <w:r w:rsidR="00741BAB" w:rsidRPr="00704D1E">
        <w:rPr>
          <w:rFonts w:ascii="Book Antiqua" w:hAnsi="Book Antiqua" w:cs="Times New Roman"/>
          <w:color w:val="000000" w:themeColor="text1"/>
          <w:sz w:val="24"/>
          <w:szCs w:val="24"/>
        </w:rPr>
        <w:t>hrombin time.</w:t>
      </w:r>
    </w:p>
    <w:p w14:paraId="4589F463" w14:textId="77777777" w:rsidR="004529D0" w:rsidRDefault="004529D0">
      <w:pPr>
        <w:widowControl/>
        <w:jc w:val="left"/>
        <w:rPr>
          <w:rFonts w:ascii="Book Antiqua" w:eastAsiaTheme="minorEastAsia" w:hAnsi="Book Antiqua" w:cs="Times New Roman"/>
          <w:b/>
          <w:bCs/>
          <w:color w:val="000000" w:themeColor="text1"/>
          <w:kern w:val="24"/>
          <w:sz w:val="24"/>
          <w:szCs w:val="24"/>
        </w:rPr>
      </w:pPr>
      <w:r>
        <w:rPr>
          <w:rFonts w:ascii="Book Antiqua" w:eastAsiaTheme="minorEastAsia" w:hAnsi="Book Antiqua" w:cs="Times New Roman"/>
          <w:b/>
          <w:bCs/>
          <w:color w:val="000000" w:themeColor="text1"/>
          <w:kern w:val="24"/>
        </w:rPr>
        <w:br w:type="page"/>
      </w:r>
    </w:p>
    <w:p w14:paraId="7DBC047D" w14:textId="4593D47E" w:rsidR="001C401E" w:rsidRDefault="001C401E" w:rsidP="00704D1E">
      <w:pPr>
        <w:pStyle w:val="af3"/>
        <w:adjustRightInd w:val="0"/>
        <w:snapToGrid w:val="0"/>
        <w:spacing w:before="0" w:beforeAutospacing="0" w:after="0" w:afterAutospacing="0" w:line="360" w:lineRule="auto"/>
        <w:jc w:val="both"/>
        <w:rPr>
          <w:rFonts w:ascii="Book Antiqua" w:eastAsiaTheme="minorEastAsia" w:hAnsi="Book Antiqua" w:cs="Times New Roman"/>
          <w:b/>
          <w:bCs/>
          <w:color w:val="000000" w:themeColor="text1"/>
          <w:kern w:val="24"/>
        </w:rPr>
      </w:pPr>
      <w:r>
        <w:rPr>
          <w:rFonts w:ascii="Book Antiqua" w:eastAsiaTheme="minorEastAsia" w:hAnsi="Book Antiqua" w:cs="Times New Roman"/>
          <w:b/>
          <w:bCs/>
          <w:noProof/>
          <w:color w:val="000000" w:themeColor="text1"/>
          <w:kern w:val="24"/>
        </w:rPr>
        <w:lastRenderedPageBreak/>
        <w:drawing>
          <wp:inline distT="0" distB="0" distL="0" distR="0" wp14:anchorId="2C430B57" wp14:editId="5CB27733">
            <wp:extent cx="5270500" cy="4216400"/>
            <wp:effectExtent l="0" t="0" r="12700" b="0"/>
            <wp:docPr id="1" name="图片 1" descr="../../Library/Containers/com.tencent.qq/Data/Library/Application%20Support/QQ/Users/2466846217/QQ/Temp.db/6023289E-38BD-4B3A-9F48-833033085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Containers/com.tencent.qq/Data/Library/Application%20Support/QQ/Users/2466846217/QQ/Temp.db/6023289E-38BD-4B3A-9F48-83303308501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4216400"/>
                    </a:xfrm>
                    <a:prstGeom prst="rect">
                      <a:avLst/>
                    </a:prstGeom>
                    <a:noFill/>
                    <a:ln>
                      <a:noFill/>
                    </a:ln>
                  </pic:spPr>
                </pic:pic>
              </a:graphicData>
            </a:graphic>
          </wp:inline>
        </w:drawing>
      </w:r>
    </w:p>
    <w:p w14:paraId="03D48AC9" w14:textId="5CAD9A50" w:rsidR="00CF5FC3" w:rsidRPr="00704D1E" w:rsidRDefault="001C401E" w:rsidP="00704D1E">
      <w:pPr>
        <w:pStyle w:val="af3"/>
        <w:adjustRightInd w:val="0"/>
        <w:snapToGrid w:val="0"/>
        <w:spacing w:before="0" w:beforeAutospacing="0" w:after="0" w:afterAutospacing="0" w:line="360" w:lineRule="auto"/>
        <w:jc w:val="both"/>
        <w:rPr>
          <w:rFonts w:ascii="Book Antiqua" w:hAnsi="Book Antiqua"/>
          <w:color w:val="000000" w:themeColor="text1"/>
        </w:rPr>
      </w:pPr>
      <w:r>
        <w:rPr>
          <w:rFonts w:ascii="Book Antiqua" w:eastAsiaTheme="minorEastAsia" w:hAnsi="Book Antiqua" w:cs="Times New Roman"/>
          <w:b/>
          <w:bCs/>
          <w:color w:val="000000" w:themeColor="text1"/>
          <w:kern w:val="24"/>
        </w:rPr>
        <w:t>Figure 1</w:t>
      </w:r>
      <w:r w:rsidR="00CF5FC3" w:rsidRPr="00704D1E">
        <w:rPr>
          <w:rFonts w:ascii="Book Antiqua" w:eastAsiaTheme="minorEastAsia" w:hAnsi="Book Antiqua" w:cs="Times New Roman"/>
          <w:b/>
          <w:bCs/>
          <w:color w:val="000000" w:themeColor="text1"/>
          <w:kern w:val="24"/>
        </w:rPr>
        <w:t xml:space="preserve"> </w:t>
      </w:r>
      <w:r w:rsidR="00CF5FC3" w:rsidRPr="001C401E">
        <w:rPr>
          <w:rFonts w:ascii="Book Antiqua" w:eastAsiaTheme="minorEastAsia" w:hAnsi="Book Antiqua" w:cs="Times New Roman"/>
          <w:b/>
          <w:bCs/>
          <w:color w:val="000000" w:themeColor="text1"/>
          <w:kern w:val="24"/>
        </w:rPr>
        <w:t>Measurement of</w:t>
      </w:r>
      <w:r w:rsidR="00CF5FC3" w:rsidRPr="001C401E">
        <w:rPr>
          <w:rFonts w:ascii="Book Antiqua" w:eastAsiaTheme="minorEastAsia" w:hAnsi="Book Antiqua" w:cs="Times New Roman"/>
          <w:b/>
          <w:color w:val="000000" w:themeColor="text1"/>
          <w:kern w:val="24"/>
        </w:rPr>
        <w:t xml:space="preserve"> biochemical indicators after hormone replacement in cirrhotic patients.</w:t>
      </w:r>
      <w:r w:rsidR="00CF5FC3" w:rsidRPr="00704D1E">
        <w:rPr>
          <w:rFonts w:ascii="Book Antiqua" w:eastAsiaTheme="minorEastAsia" w:hAnsi="Book Antiqua" w:cs="Times New Roman"/>
          <w:color w:val="000000" w:themeColor="text1"/>
          <w:kern w:val="24"/>
        </w:rPr>
        <w:t xml:space="preserve"> The </w:t>
      </w:r>
      <w:r w:rsidR="008C5686" w:rsidRPr="00704D1E">
        <w:rPr>
          <w:rFonts w:ascii="Book Antiqua" w:eastAsiaTheme="minorEastAsia" w:hAnsi="Book Antiqua" w:cs="Times New Roman"/>
          <w:i/>
          <w:iCs/>
          <w:color w:val="000000" w:themeColor="text1"/>
          <w:kern w:val="24"/>
        </w:rPr>
        <w:t>P</w:t>
      </w:r>
      <w:r w:rsidR="008C5686">
        <w:rPr>
          <w:rFonts w:ascii="Book Antiqua" w:eastAsiaTheme="minorEastAsia" w:hAnsi="Book Antiqua" w:cs="Times New Roman"/>
          <w:color w:val="000000" w:themeColor="text1"/>
          <w:kern w:val="24"/>
        </w:rPr>
        <w:t>-</w:t>
      </w:r>
      <w:r w:rsidR="00CF5FC3" w:rsidRPr="00704D1E">
        <w:rPr>
          <w:rFonts w:ascii="Book Antiqua" w:eastAsiaTheme="minorEastAsia" w:hAnsi="Book Antiqua" w:cs="Times New Roman"/>
          <w:color w:val="000000" w:themeColor="text1"/>
          <w:kern w:val="24"/>
        </w:rPr>
        <w:t>values were compared before a</w:t>
      </w:r>
      <w:r>
        <w:rPr>
          <w:rFonts w:ascii="Book Antiqua" w:eastAsiaTheme="minorEastAsia" w:hAnsi="Book Antiqua" w:cs="Times New Roman"/>
          <w:color w:val="000000" w:themeColor="text1"/>
          <w:kern w:val="24"/>
        </w:rPr>
        <w:t xml:space="preserve">nd after hormone replacement. A-C: Changes of </w:t>
      </w:r>
      <w:r>
        <w:rPr>
          <w:rFonts w:ascii="Book Antiqua" w:hAnsi="Book Antiqua" w:cs="Times New Roman"/>
          <w:color w:val="000000" w:themeColor="text1"/>
        </w:rPr>
        <w:t>total cholesterol</w:t>
      </w:r>
      <w:r>
        <w:rPr>
          <w:rFonts w:ascii="Book Antiqua" w:eastAsiaTheme="minorEastAsia" w:hAnsi="Book Antiqua" w:cs="Times New Roman"/>
          <w:color w:val="000000" w:themeColor="text1"/>
          <w:kern w:val="24"/>
        </w:rPr>
        <w:t xml:space="preserve"> (A), </w:t>
      </w:r>
      <w:r>
        <w:rPr>
          <w:rFonts w:ascii="Book Antiqua" w:hAnsi="Book Antiqua" w:cs="Times New Roman"/>
          <w:color w:val="000000" w:themeColor="text1"/>
        </w:rPr>
        <w:t>triglyceride</w:t>
      </w:r>
      <w:r>
        <w:rPr>
          <w:rFonts w:ascii="Book Antiqua" w:eastAsiaTheme="minorEastAsia" w:hAnsi="Book Antiqua" w:cs="Times New Roman"/>
          <w:color w:val="000000" w:themeColor="text1"/>
          <w:kern w:val="24"/>
        </w:rPr>
        <w:t xml:space="preserve"> (B</w:t>
      </w:r>
      <w:r w:rsidR="00CF5FC3" w:rsidRPr="00704D1E">
        <w:rPr>
          <w:rFonts w:ascii="Book Antiqua" w:eastAsiaTheme="minorEastAsia" w:hAnsi="Book Antiqua" w:cs="Times New Roman"/>
          <w:color w:val="000000" w:themeColor="text1"/>
          <w:kern w:val="24"/>
        </w:rPr>
        <w:t>)</w:t>
      </w:r>
      <w:r w:rsidR="008C5686">
        <w:rPr>
          <w:rFonts w:ascii="Book Antiqua" w:eastAsiaTheme="minorEastAsia" w:hAnsi="Book Antiqua" w:cs="Times New Roman"/>
          <w:color w:val="000000" w:themeColor="text1"/>
          <w:kern w:val="24"/>
        </w:rPr>
        <w:t>,</w:t>
      </w:r>
      <w:r w:rsidR="00CF5FC3" w:rsidRPr="00704D1E">
        <w:rPr>
          <w:rFonts w:ascii="Book Antiqua" w:eastAsiaTheme="minorEastAsia" w:hAnsi="Book Antiqua" w:cs="Times New Roman"/>
          <w:color w:val="000000" w:themeColor="text1"/>
          <w:kern w:val="24"/>
        </w:rPr>
        <w:t xml:space="preserve"> and </w:t>
      </w:r>
      <w:r w:rsidR="0018407B">
        <w:rPr>
          <w:rFonts w:ascii="Book Antiqua" w:hAnsi="Book Antiqua" w:cs="Times New Roman"/>
          <w:color w:val="000000" w:themeColor="text1"/>
        </w:rPr>
        <w:t>h</w:t>
      </w:r>
      <w:r w:rsidR="0018407B" w:rsidRPr="00704D1E">
        <w:rPr>
          <w:rFonts w:ascii="Book Antiqua" w:hAnsi="Book Antiqua" w:cs="Times New Roman"/>
          <w:color w:val="000000" w:themeColor="text1"/>
        </w:rPr>
        <w:t>omeostasis model assessment of insulin resistance</w:t>
      </w:r>
      <w:r w:rsidR="00CF5FC3" w:rsidRPr="00704D1E">
        <w:rPr>
          <w:rFonts w:ascii="Book Antiqua" w:eastAsiaTheme="minorEastAsia" w:hAnsi="Book Antiqua" w:cs="Times New Roman"/>
          <w:color w:val="000000" w:themeColor="text1"/>
          <w:kern w:val="24"/>
        </w:rPr>
        <w:t xml:space="preserve"> (</w:t>
      </w:r>
      <w:r>
        <w:rPr>
          <w:rFonts w:ascii="Book Antiqua" w:eastAsiaTheme="minorEastAsia" w:hAnsi="Book Antiqua" w:cs="Times New Roman"/>
          <w:color w:val="000000" w:themeColor="text1"/>
          <w:kern w:val="24"/>
        </w:rPr>
        <w:t>C). D-F</w:t>
      </w:r>
      <w:r w:rsidR="00CF5FC3" w:rsidRPr="00704D1E">
        <w:rPr>
          <w:rFonts w:ascii="Book Antiqua" w:eastAsiaTheme="minorEastAsia" w:hAnsi="Book Antiqua" w:cs="Times New Roman"/>
          <w:color w:val="000000" w:themeColor="text1"/>
          <w:kern w:val="24"/>
        </w:rPr>
        <w:t>: Changes of serum aminotransferase</w:t>
      </w:r>
      <w:r>
        <w:rPr>
          <w:rFonts w:ascii="Book Antiqua" w:eastAsiaTheme="minorEastAsia" w:hAnsi="Book Antiqua" w:cs="Times New Roman"/>
          <w:color w:val="000000" w:themeColor="text1"/>
          <w:kern w:val="24"/>
        </w:rPr>
        <w:t xml:space="preserve"> </w:t>
      </w:r>
      <w:r>
        <w:rPr>
          <w:rFonts w:ascii="Book Antiqua" w:hAnsi="Book Antiqua" w:cs="Times New Roman"/>
          <w:color w:val="000000" w:themeColor="text1"/>
        </w:rPr>
        <w:t>a</w:t>
      </w:r>
      <w:r w:rsidRPr="00704D1E">
        <w:rPr>
          <w:rFonts w:ascii="Book Antiqua" w:hAnsi="Book Antiqua" w:cs="Times New Roman"/>
          <w:color w:val="000000" w:themeColor="text1"/>
        </w:rPr>
        <w:t>lanine aminotransferase</w:t>
      </w:r>
      <w:r>
        <w:rPr>
          <w:rFonts w:ascii="Book Antiqua" w:eastAsiaTheme="minorEastAsia" w:hAnsi="Book Antiqua" w:cs="Times New Roman"/>
          <w:color w:val="000000" w:themeColor="text1"/>
          <w:kern w:val="24"/>
        </w:rPr>
        <w:t xml:space="preserve"> (D), </w:t>
      </w:r>
      <w:r w:rsidRPr="00704D1E">
        <w:rPr>
          <w:rFonts w:ascii="Book Antiqua" w:hAnsi="Book Antiqua" w:cs="Times New Roman"/>
          <w:color w:val="000000" w:themeColor="text1"/>
        </w:rPr>
        <w:t xml:space="preserve">aspartate </w:t>
      </w:r>
      <w:proofErr w:type="spellStart"/>
      <w:r w:rsidRPr="00704D1E">
        <w:rPr>
          <w:rFonts w:ascii="Book Antiqua" w:hAnsi="Book Antiqua" w:cs="Times New Roman"/>
          <w:color w:val="000000" w:themeColor="text1"/>
        </w:rPr>
        <w:t>aminotransferas</w:t>
      </w:r>
      <w:proofErr w:type="spellEnd"/>
      <w:r>
        <w:rPr>
          <w:rFonts w:ascii="Book Antiqua" w:eastAsiaTheme="minorEastAsia" w:hAnsi="Book Antiqua" w:cs="Times New Roman"/>
          <w:color w:val="000000" w:themeColor="text1"/>
          <w:kern w:val="24"/>
        </w:rPr>
        <w:t xml:space="preserve"> (E)</w:t>
      </w:r>
      <w:r w:rsidR="008C5686">
        <w:rPr>
          <w:rFonts w:ascii="Book Antiqua" w:eastAsiaTheme="minorEastAsia" w:hAnsi="Book Antiqua" w:cs="Times New Roman"/>
          <w:color w:val="000000" w:themeColor="text1"/>
          <w:kern w:val="24"/>
        </w:rPr>
        <w:t>,</w:t>
      </w:r>
      <w:r>
        <w:rPr>
          <w:rFonts w:ascii="Book Antiqua" w:eastAsiaTheme="minorEastAsia" w:hAnsi="Book Antiqua" w:cs="Times New Roman"/>
          <w:color w:val="000000" w:themeColor="text1"/>
          <w:kern w:val="24"/>
        </w:rPr>
        <w:t xml:space="preserve"> and </w:t>
      </w:r>
      <w:r w:rsidRPr="00704D1E">
        <w:rPr>
          <w:rFonts w:ascii="Book Antiqua" w:hAnsi="Book Antiqua" w:cs="Times New Roman"/>
          <w:color w:val="000000" w:themeColor="text1"/>
        </w:rPr>
        <w:t>γ-</w:t>
      </w:r>
      <w:proofErr w:type="spellStart"/>
      <w:r w:rsidRPr="00704D1E">
        <w:rPr>
          <w:rFonts w:ascii="Book Antiqua" w:hAnsi="Book Antiqua" w:cs="Times New Roman"/>
          <w:color w:val="000000" w:themeColor="text1"/>
        </w:rPr>
        <w:t>glutamyltransferase</w:t>
      </w:r>
      <w:proofErr w:type="spellEnd"/>
      <w:r>
        <w:rPr>
          <w:rFonts w:ascii="Book Antiqua" w:eastAsiaTheme="minorEastAsia" w:hAnsi="Book Antiqua" w:cs="Times New Roman"/>
          <w:color w:val="000000" w:themeColor="text1"/>
          <w:kern w:val="24"/>
        </w:rPr>
        <w:t xml:space="preserve"> (F). G-I</w:t>
      </w:r>
      <w:r w:rsidR="00CF5FC3" w:rsidRPr="00704D1E">
        <w:rPr>
          <w:rFonts w:ascii="Book Antiqua" w:eastAsiaTheme="minorEastAsia" w:hAnsi="Book Antiqua" w:cs="Times New Roman"/>
          <w:color w:val="000000" w:themeColor="text1"/>
          <w:kern w:val="24"/>
        </w:rPr>
        <w:t>:</w:t>
      </w:r>
      <w:r>
        <w:rPr>
          <w:rFonts w:ascii="Book Antiqua" w:eastAsiaTheme="minorEastAsia" w:hAnsi="Book Antiqua" w:cs="Times New Roman"/>
          <w:color w:val="000000" w:themeColor="text1"/>
          <w:kern w:val="24"/>
        </w:rPr>
        <w:t xml:space="preserve"> Changes of white blood count (G), neutrophil count (H)</w:t>
      </w:r>
      <w:r w:rsidR="008C5686">
        <w:rPr>
          <w:rFonts w:ascii="Book Antiqua" w:eastAsiaTheme="minorEastAsia" w:hAnsi="Book Antiqua" w:cs="Times New Roman"/>
          <w:color w:val="000000" w:themeColor="text1"/>
          <w:kern w:val="24"/>
        </w:rPr>
        <w:t>,</w:t>
      </w:r>
      <w:r>
        <w:rPr>
          <w:rFonts w:ascii="Book Antiqua" w:eastAsiaTheme="minorEastAsia" w:hAnsi="Book Antiqua" w:cs="Times New Roman"/>
          <w:color w:val="000000" w:themeColor="text1"/>
          <w:kern w:val="24"/>
        </w:rPr>
        <w:t xml:space="preserve"> and blood platelet count (I</w:t>
      </w:r>
      <w:r w:rsidR="00CF5FC3" w:rsidRPr="00704D1E">
        <w:rPr>
          <w:rFonts w:ascii="Book Antiqua" w:eastAsiaTheme="minorEastAsia" w:hAnsi="Book Antiqua" w:cs="Times New Roman"/>
          <w:color w:val="000000" w:themeColor="text1"/>
          <w:kern w:val="24"/>
        </w:rPr>
        <w:t xml:space="preserve">). Significant differences were defined by </w:t>
      </w:r>
      <w:r w:rsidR="008C5686">
        <w:rPr>
          <w:rFonts w:ascii="Book Antiqua" w:eastAsiaTheme="minorEastAsia" w:hAnsi="Book Antiqua" w:cs="Times New Roman"/>
          <w:color w:val="000000" w:themeColor="text1"/>
          <w:kern w:val="24"/>
        </w:rPr>
        <w:t xml:space="preserve">a </w:t>
      </w:r>
      <w:r w:rsidR="00CF5FC3" w:rsidRPr="00704D1E">
        <w:rPr>
          <w:rFonts w:ascii="Book Antiqua" w:eastAsiaTheme="minorEastAsia" w:hAnsi="Book Antiqua" w:cs="Times New Roman"/>
          <w:i/>
          <w:iCs/>
          <w:color w:val="000000" w:themeColor="text1"/>
          <w:kern w:val="24"/>
        </w:rPr>
        <w:t>P</w:t>
      </w:r>
      <w:r w:rsidR="008C5686">
        <w:rPr>
          <w:rFonts w:ascii="Book Antiqua" w:eastAsiaTheme="minorEastAsia" w:hAnsi="Book Antiqua" w:cs="Times New Roman"/>
          <w:i/>
          <w:iCs/>
          <w:color w:val="000000" w:themeColor="text1"/>
          <w:kern w:val="24"/>
        </w:rPr>
        <w:t>-</w:t>
      </w:r>
      <w:r w:rsidR="00CF5FC3" w:rsidRPr="00704D1E">
        <w:rPr>
          <w:rFonts w:ascii="Book Antiqua" w:eastAsiaTheme="minorEastAsia" w:hAnsi="Book Antiqua" w:cs="Times New Roman"/>
          <w:color w:val="000000" w:themeColor="text1"/>
          <w:kern w:val="24"/>
        </w:rPr>
        <w:t>value being lower than 0.05.</w:t>
      </w:r>
      <w:r w:rsidR="00741BAB" w:rsidRPr="00704D1E">
        <w:rPr>
          <w:rFonts w:ascii="Book Antiqua" w:eastAsiaTheme="minorEastAsia" w:hAnsi="Book Antiqua" w:cs="Times New Roman"/>
          <w:color w:val="000000" w:themeColor="text1"/>
          <w:kern w:val="24"/>
        </w:rPr>
        <w:t xml:space="preserve"> </w:t>
      </w:r>
      <w:r w:rsidR="00741BAB" w:rsidRPr="00704D1E">
        <w:rPr>
          <w:rFonts w:ascii="Book Antiqua" w:hAnsi="Book Antiqua" w:cs="Times New Roman"/>
          <w:color w:val="000000" w:themeColor="text1"/>
        </w:rPr>
        <w:t>ALT</w:t>
      </w:r>
      <w:r>
        <w:rPr>
          <w:rFonts w:ascii="Book Antiqua" w:hAnsi="Book Antiqua" w:cs="Times New Roman"/>
          <w:color w:val="000000" w:themeColor="text1"/>
        </w:rPr>
        <w:t>: A</w:t>
      </w:r>
      <w:r w:rsidR="00741BAB" w:rsidRPr="00704D1E">
        <w:rPr>
          <w:rFonts w:ascii="Book Antiqua" w:hAnsi="Book Antiqua" w:cs="Times New Roman"/>
          <w:color w:val="000000" w:themeColor="text1"/>
        </w:rPr>
        <w:t>lanine aminotransferase;</w:t>
      </w:r>
      <w:r>
        <w:rPr>
          <w:rFonts w:ascii="Book Antiqua" w:hAnsi="Book Antiqua" w:cs="Times New Roman"/>
          <w:color w:val="000000" w:themeColor="text1"/>
        </w:rPr>
        <w:t xml:space="preserve"> AST: A</w:t>
      </w:r>
      <w:r w:rsidR="00FA4921" w:rsidRPr="00704D1E">
        <w:rPr>
          <w:rFonts w:ascii="Book Antiqua" w:hAnsi="Book Antiqua" w:cs="Times New Roman"/>
          <w:color w:val="000000" w:themeColor="text1"/>
        </w:rPr>
        <w:t xml:space="preserve">spartate aminotransferase; </w:t>
      </w:r>
      <w:r w:rsidR="00741BAB" w:rsidRPr="00704D1E">
        <w:rPr>
          <w:rFonts w:ascii="Book Antiqua" w:hAnsi="Book Antiqua" w:cs="Times New Roman"/>
          <w:color w:val="000000" w:themeColor="text1"/>
        </w:rPr>
        <w:t>GGT: γ-</w:t>
      </w:r>
      <w:proofErr w:type="spellStart"/>
      <w:r w:rsidR="00741BAB" w:rsidRPr="00704D1E">
        <w:rPr>
          <w:rFonts w:ascii="Book Antiqua" w:hAnsi="Book Antiqua" w:cs="Times New Roman"/>
          <w:color w:val="000000" w:themeColor="text1"/>
        </w:rPr>
        <w:t>glutamyltransferase</w:t>
      </w:r>
      <w:proofErr w:type="spellEnd"/>
      <w:r w:rsidR="00741BAB" w:rsidRPr="00704D1E">
        <w:rPr>
          <w:rFonts w:ascii="Book Antiqua" w:hAnsi="Book Antiqua" w:cs="Times New Roman"/>
          <w:color w:val="000000" w:themeColor="text1"/>
        </w:rPr>
        <w:t>;</w:t>
      </w:r>
      <w:r w:rsidR="00FA4921" w:rsidRPr="00704D1E">
        <w:rPr>
          <w:rFonts w:ascii="Book Antiqua" w:hAnsi="Book Antiqua" w:cs="Times New Roman"/>
          <w:color w:val="000000" w:themeColor="text1"/>
        </w:rPr>
        <w:t xml:space="preserve"> </w:t>
      </w:r>
      <w:r>
        <w:rPr>
          <w:rFonts w:ascii="Book Antiqua" w:hAnsi="Book Antiqua" w:cs="Times New Roman"/>
          <w:color w:val="000000" w:themeColor="text1"/>
        </w:rPr>
        <w:t>WBC: White blood cells; NEUT: Neutrophil granulocyte; PLT: Blood platelet; TC: Total cholesterol; TG: Triglyceride;</w:t>
      </w:r>
      <w:r w:rsidR="0018407B" w:rsidRPr="0018407B">
        <w:rPr>
          <w:rFonts w:ascii="Book Antiqua" w:eastAsiaTheme="minorEastAsia" w:hAnsi="Book Antiqua" w:cs="Times New Roman"/>
          <w:color w:val="000000" w:themeColor="text1"/>
          <w:kern w:val="24"/>
        </w:rPr>
        <w:t xml:space="preserve"> </w:t>
      </w:r>
      <w:r w:rsidR="0018407B" w:rsidRPr="00704D1E">
        <w:rPr>
          <w:rFonts w:ascii="Book Antiqua" w:eastAsiaTheme="minorEastAsia" w:hAnsi="Book Antiqua" w:cs="Times New Roman"/>
          <w:color w:val="000000" w:themeColor="text1"/>
          <w:kern w:val="24"/>
        </w:rPr>
        <w:t>HOMA-IR</w:t>
      </w:r>
      <w:r w:rsidR="0018407B">
        <w:rPr>
          <w:rFonts w:ascii="Book Antiqua" w:eastAsiaTheme="minorEastAsia" w:hAnsi="Book Antiqua" w:cs="Times New Roman"/>
          <w:color w:val="000000" w:themeColor="text1"/>
          <w:kern w:val="24"/>
        </w:rPr>
        <w:t xml:space="preserve">: </w:t>
      </w:r>
      <w:r w:rsidR="0018407B">
        <w:rPr>
          <w:rFonts w:ascii="Book Antiqua" w:hAnsi="Book Antiqua" w:cs="Times New Roman"/>
          <w:color w:val="000000" w:themeColor="text1"/>
        </w:rPr>
        <w:t>H</w:t>
      </w:r>
      <w:r w:rsidR="0018407B" w:rsidRPr="00704D1E">
        <w:rPr>
          <w:rFonts w:ascii="Book Antiqua" w:hAnsi="Book Antiqua" w:cs="Times New Roman"/>
          <w:color w:val="000000" w:themeColor="text1"/>
        </w:rPr>
        <w:t>omeostasis model assessment of insulin resistance</w:t>
      </w:r>
      <w:r w:rsidR="0018407B">
        <w:rPr>
          <w:rFonts w:ascii="Book Antiqua" w:hAnsi="Book Antiqua" w:cs="Times New Roman"/>
          <w:color w:val="000000" w:themeColor="text1"/>
        </w:rPr>
        <w:t>.</w:t>
      </w:r>
    </w:p>
    <w:sectPr w:rsidR="00CF5FC3" w:rsidRPr="00704D1E" w:rsidSect="00814573">
      <w:footerReference w:type="default" r:id="rId9"/>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6F424" w14:textId="77777777" w:rsidR="00D10B10" w:rsidRDefault="00D10B10" w:rsidP="004C4542">
      <w:r>
        <w:separator/>
      </w:r>
    </w:p>
  </w:endnote>
  <w:endnote w:type="continuationSeparator" w:id="0">
    <w:p w14:paraId="5FE635DF" w14:textId="77777777" w:rsidR="00D10B10" w:rsidRDefault="00D10B10" w:rsidP="004C4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DCE8D" w14:textId="45429B5F" w:rsidR="00137C84" w:rsidRDefault="00137C84">
    <w:pPr>
      <w:pStyle w:val="a5"/>
    </w:pPr>
  </w:p>
  <w:p w14:paraId="77C9B543" w14:textId="77777777" w:rsidR="00137C84" w:rsidRDefault="00137C8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3213717"/>
      <w:docPartObj>
        <w:docPartGallery w:val="Page Numbers (Bottom of Page)"/>
        <w:docPartUnique/>
      </w:docPartObj>
    </w:sdtPr>
    <w:sdtEndPr/>
    <w:sdtContent>
      <w:sdt>
        <w:sdtPr>
          <w:id w:val="-1934733257"/>
          <w:docPartObj>
            <w:docPartGallery w:val="Page Numbers (Top of Page)"/>
            <w:docPartUnique/>
          </w:docPartObj>
        </w:sdtPr>
        <w:sdtEndPr/>
        <w:sdtContent>
          <w:p w14:paraId="51BF85D2" w14:textId="14E84323" w:rsidR="00137C84" w:rsidRDefault="00137C84">
            <w:pPr>
              <w:pStyle w:val="a5"/>
            </w:pPr>
            <w:r>
              <w:rPr>
                <w:lang w:val="zh-CN"/>
              </w:rPr>
              <w:t xml:space="preserve"> </w:t>
            </w:r>
          </w:p>
        </w:sdtContent>
      </w:sdt>
    </w:sdtContent>
  </w:sdt>
  <w:p w14:paraId="3B7DB8B5" w14:textId="77777777" w:rsidR="00137C84" w:rsidRDefault="00137C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F494D" w14:textId="77777777" w:rsidR="00D10B10" w:rsidRDefault="00D10B10" w:rsidP="004C4542">
      <w:r>
        <w:separator/>
      </w:r>
    </w:p>
  </w:footnote>
  <w:footnote w:type="continuationSeparator" w:id="0">
    <w:p w14:paraId="7162104C" w14:textId="77777777" w:rsidR="00D10B10" w:rsidRDefault="00D10B10" w:rsidP="004C45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宋体&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92waa2rcsdve5ev5vn5209c55wptpwp5a0f&quot;&gt;SGA追赶生长与代谢性疾病&lt;record-ids&gt;&lt;item&gt;466&lt;/item&gt;&lt;item&gt;468&lt;/item&gt;&lt;item&gt;469&lt;/item&gt;&lt;item&gt;470&lt;/item&gt;&lt;item&gt;471&lt;/item&gt;&lt;item&gt;472&lt;/item&gt;&lt;item&gt;473&lt;/item&gt;&lt;item&gt;474&lt;/item&gt;&lt;item&gt;475&lt;/item&gt;&lt;item&gt;476&lt;/item&gt;&lt;item&gt;477&lt;/item&gt;&lt;item&gt;478&lt;/item&gt;&lt;item&gt;479&lt;/item&gt;&lt;item&gt;480&lt;/item&gt;&lt;item&gt;481&lt;/item&gt;&lt;item&gt;482&lt;/item&gt;&lt;item&gt;483&lt;/item&gt;&lt;item&gt;484&lt;/item&gt;&lt;item&gt;485&lt;/item&gt;&lt;item&gt;486&lt;/item&gt;&lt;item&gt;487&lt;/item&gt;&lt;item&gt;488&lt;/item&gt;&lt;item&gt;489&lt;/item&gt;&lt;item&gt;490&lt;/item&gt;&lt;item&gt;491&lt;/item&gt;&lt;item&gt;492&lt;/item&gt;&lt;item&gt;493&lt;/item&gt;&lt;item&gt;494&lt;/item&gt;&lt;item&gt;497&lt;/item&gt;&lt;item&gt;498&lt;/item&gt;&lt;item&gt;499&lt;/item&gt;&lt;item&gt;514&lt;/item&gt;&lt;/record-ids&gt;&lt;/item&gt;&lt;/Libraries&gt;"/>
  </w:docVars>
  <w:rsids>
    <w:rsidRoot w:val="00AE0BD5"/>
    <w:rsid w:val="00001E32"/>
    <w:rsid w:val="0000310D"/>
    <w:rsid w:val="00006E17"/>
    <w:rsid w:val="00007940"/>
    <w:rsid w:val="00013A58"/>
    <w:rsid w:val="00013F07"/>
    <w:rsid w:val="0001615E"/>
    <w:rsid w:val="00020009"/>
    <w:rsid w:val="00020DEE"/>
    <w:rsid w:val="00023789"/>
    <w:rsid w:val="00023815"/>
    <w:rsid w:val="000245BD"/>
    <w:rsid w:val="000268E8"/>
    <w:rsid w:val="00027917"/>
    <w:rsid w:val="00027989"/>
    <w:rsid w:val="0003226F"/>
    <w:rsid w:val="00032F54"/>
    <w:rsid w:val="00033D3E"/>
    <w:rsid w:val="0003562E"/>
    <w:rsid w:val="00037600"/>
    <w:rsid w:val="00041EAA"/>
    <w:rsid w:val="00042692"/>
    <w:rsid w:val="00045CF7"/>
    <w:rsid w:val="000474D8"/>
    <w:rsid w:val="000504B9"/>
    <w:rsid w:val="00052DFE"/>
    <w:rsid w:val="000566CE"/>
    <w:rsid w:val="00057597"/>
    <w:rsid w:val="00057CD8"/>
    <w:rsid w:val="00060CD6"/>
    <w:rsid w:val="00060D31"/>
    <w:rsid w:val="0006279C"/>
    <w:rsid w:val="00063B49"/>
    <w:rsid w:val="00066397"/>
    <w:rsid w:val="000668DA"/>
    <w:rsid w:val="00067DE0"/>
    <w:rsid w:val="0007612C"/>
    <w:rsid w:val="00077FA7"/>
    <w:rsid w:val="00090648"/>
    <w:rsid w:val="00092939"/>
    <w:rsid w:val="00092FC9"/>
    <w:rsid w:val="00095CD0"/>
    <w:rsid w:val="000A10F8"/>
    <w:rsid w:val="000A60C6"/>
    <w:rsid w:val="000A7A5A"/>
    <w:rsid w:val="000B2870"/>
    <w:rsid w:val="000B3CF6"/>
    <w:rsid w:val="000B5B52"/>
    <w:rsid w:val="000B7B56"/>
    <w:rsid w:val="000C2A84"/>
    <w:rsid w:val="000C4576"/>
    <w:rsid w:val="000C5E28"/>
    <w:rsid w:val="000D0D90"/>
    <w:rsid w:val="000E13EC"/>
    <w:rsid w:val="000E63F0"/>
    <w:rsid w:val="000F0014"/>
    <w:rsid w:val="000F4222"/>
    <w:rsid w:val="000F7477"/>
    <w:rsid w:val="00100AC5"/>
    <w:rsid w:val="00102937"/>
    <w:rsid w:val="001100E0"/>
    <w:rsid w:val="0011265A"/>
    <w:rsid w:val="00121A4C"/>
    <w:rsid w:val="00123523"/>
    <w:rsid w:val="00123FF2"/>
    <w:rsid w:val="00124157"/>
    <w:rsid w:val="00125559"/>
    <w:rsid w:val="001256F6"/>
    <w:rsid w:val="00137C84"/>
    <w:rsid w:val="0014079B"/>
    <w:rsid w:val="00144CFF"/>
    <w:rsid w:val="0015509F"/>
    <w:rsid w:val="00156209"/>
    <w:rsid w:val="00160F31"/>
    <w:rsid w:val="00166558"/>
    <w:rsid w:val="00172BE8"/>
    <w:rsid w:val="00176A32"/>
    <w:rsid w:val="001805A5"/>
    <w:rsid w:val="00181724"/>
    <w:rsid w:val="0018256A"/>
    <w:rsid w:val="00182A20"/>
    <w:rsid w:val="00182CA9"/>
    <w:rsid w:val="0018407B"/>
    <w:rsid w:val="00187339"/>
    <w:rsid w:val="00192A24"/>
    <w:rsid w:val="0019301D"/>
    <w:rsid w:val="001934E4"/>
    <w:rsid w:val="001A397E"/>
    <w:rsid w:val="001A5372"/>
    <w:rsid w:val="001A61D9"/>
    <w:rsid w:val="001B057A"/>
    <w:rsid w:val="001B2445"/>
    <w:rsid w:val="001B6775"/>
    <w:rsid w:val="001C30B6"/>
    <w:rsid w:val="001C35A5"/>
    <w:rsid w:val="001C3978"/>
    <w:rsid w:val="001C401E"/>
    <w:rsid w:val="001C7878"/>
    <w:rsid w:val="001D0304"/>
    <w:rsid w:val="001D1DC6"/>
    <w:rsid w:val="001D39DF"/>
    <w:rsid w:val="001E09EC"/>
    <w:rsid w:val="001F64A9"/>
    <w:rsid w:val="001F65C1"/>
    <w:rsid w:val="001F70FD"/>
    <w:rsid w:val="00200033"/>
    <w:rsid w:val="00202A3C"/>
    <w:rsid w:val="00217248"/>
    <w:rsid w:val="0022355D"/>
    <w:rsid w:val="0023087D"/>
    <w:rsid w:val="00230C84"/>
    <w:rsid w:val="00233C6E"/>
    <w:rsid w:val="002365D5"/>
    <w:rsid w:val="00240A72"/>
    <w:rsid w:val="0024216A"/>
    <w:rsid w:val="00242DC9"/>
    <w:rsid w:val="00242ECE"/>
    <w:rsid w:val="0024592E"/>
    <w:rsid w:val="00250D99"/>
    <w:rsid w:val="00254EF0"/>
    <w:rsid w:val="00256636"/>
    <w:rsid w:val="002567A5"/>
    <w:rsid w:val="0026181A"/>
    <w:rsid w:val="002654B3"/>
    <w:rsid w:val="0026568E"/>
    <w:rsid w:val="00267831"/>
    <w:rsid w:val="00270DCC"/>
    <w:rsid w:val="00270F54"/>
    <w:rsid w:val="00272545"/>
    <w:rsid w:val="00274F32"/>
    <w:rsid w:val="0027536C"/>
    <w:rsid w:val="00276C4F"/>
    <w:rsid w:val="00277C0F"/>
    <w:rsid w:val="002817AC"/>
    <w:rsid w:val="00282371"/>
    <w:rsid w:val="00283038"/>
    <w:rsid w:val="00290981"/>
    <w:rsid w:val="002977CF"/>
    <w:rsid w:val="002A0172"/>
    <w:rsid w:val="002A199B"/>
    <w:rsid w:val="002A314E"/>
    <w:rsid w:val="002A4D6A"/>
    <w:rsid w:val="002A54FE"/>
    <w:rsid w:val="002A7830"/>
    <w:rsid w:val="002B042D"/>
    <w:rsid w:val="002B49CD"/>
    <w:rsid w:val="002C13E8"/>
    <w:rsid w:val="002C1B98"/>
    <w:rsid w:val="002C2308"/>
    <w:rsid w:val="002C6382"/>
    <w:rsid w:val="002D01F8"/>
    <w:rsid w:val="002D0C98"/>
    <w:rsid w:val="002D13C8"/>
    <w:rsid w:val="002E0998"/>
    <w:rsid w:val="002E1C97"/>
    <w:rsid w:val="002E2344"/>
    <w:rsid w:val="002E55C0"/>
    <w:rsid w:val="002E7005"/>
    <w:rsid w:val="002E7E08"/>
    <w:rsid w:val="002F0E88"/>
    <w:rsid w:val="002F3C05"/>
    <w:rsid w:val="002F53AF"/>
    <w:rsid w:val="002F64A9"/>
    <w:rsid w:val="00305084"/>
    <w:rsid w:val="00306FE5"/>
    <w:rsid w:val="003075C5"/>
    <w:rsid w:val="00311719"/>
    <w:rsid w:val="003139AB"/>
    <w:rsid w:val="00314AA0"/>
    <w:rsid w:val="00315788"/>
    <w:rsid w:val="00327110"/>
    <w:rsid w:val="00334986"/>
    <w:rsid w:val="00334BAD"/>
    <w:rsid w:val="003378B5"/>
    <w:rsid w:val="00337CB8"/>
    <w:rsid w:val="00340CC0"/>
    <w:rsid w:val="00342C59"/>
    <w:rsid w:val="00344C4F"/>
    <w:rsid w:val="00345A0F"/>
    <w:rsid w:val="00347F68"/>
    <w:rsid w:val="00351DF1"/>
    <w:rsid w:val="00351E57"/>
    <w:rsid w:val="00351FEE"/>
    <w:rsid w:val="00353FC9"/>
    <w:rsid w:val="00354A3A"/>
    <w:rsid w:val="0035762F"/>
    <w:rsid w:val="00360FB6"/>
    <w:rsid w:val="003628F5"/>
    <w:rsid w:val="00365C1D"/>
    <w:rsid w:val="003726C1"/>
    <w:rsid w:val="00372B80"/>
    <w:rsid w:val="00380C80"/>
    <w:rsid w:val="0038625D"/>
    <w:rsid w:val="00386C5B"/>
    <w:rsid w:val="00387F3F"/>
    <w:rsid w:val="00392A22"/>
    <w:rsid w:val="00395F98"/>
    <w:rsid w:val="003A05F4"/>
    <w:rsid w:val="003A171A"/>
    <w:rsid w:val="003A3D67"/>
    <w:rsid w:val="003B0ED2"/>
    <w:rsid w:val="003C19B1"/>
    <w:rsid w:val="003C361D"/>
    <w:rsid w:val="003C76F6"/>
    <w:rsid w:val="003C77C4"/>
    <w:rsid w:val="003C7C54"/>
    <w:rsid w:val="003D4058"/>
    <w:rsid w:val="003D6687"/>
    <w:rsid w:val="003D67F2"/>
    <w:rsid w:val="003D6E93"/>
    <w:rsid w:val="003E0C94"/>
    <w:rsid w:val="003E0E4A"/>
    <w:rsid w:val="003E1570"/>
    <w:rsid w:val="003E621E"/>
    <w:rsid w:val="003F2025"/>
    <w:rsid w:val="003F388E"/>
    <w:rsid w:val="003F3A59"/>
    <w:rsid w:val="003F49C9"/>
    <w:rsid w:val="003F4C2D"/>
    <w:rsid w:val="003F599F"/>
    <w:rsid w:val="003F6C66"/>
    <w:rsid w:val="00401FA8"/>
    <w:rsid w:val="00404C50"/>
    <w:rsid w:val="00405834"/>
    <w:rsid w:val="0041101F"/>
    <w:rsid w:val="0041319E"/>
    <w:rsid w:val="0041429D"/>
    <w:rsid w:val="004153C3"/>
    <w:rsid w:val="00416CA4"/>
    <w:rsid w:val="00423BF2"/>
    <w:rsid w:val="00423C65"/>
    <w:rsid w:val="0043128C"/>
    <w:rsid w:val="004321D9"/>
    <w:rsid w:val="00432608"/>
    <w:rsid w:val="00433F9A"/>
    <w:rsid w:val="00434ED0"/>
    <w:rsid w:val="0043742A"/>
    <w:rsid w:val="0044017F"/>
    <w:rsid w:val="00440AE0"/>
    <w:rsid w:val="00443117"/>
    <w:rsid w:val="004529D0"/>
    <w:rsid w:val="0045340D"/>
    <w:rsid w:val="0045480F"/>
    <w:rsid w:val="00454C53"/>
    <w:rsid w:val="00455B36"/>
    <w:rsid w:val="00462733"/>
    <w:rsid w:val="00463C12"/>
    <w:rsid w:val="004701AB"/>
    <w:rsid w:val="0047197B"/>
    <w:rsid w:val="004743B5"/>
    <w:rsid w:val="00476746"/>
    <w:rsid w:val="00476F81"/>
    <w:rsid w:val="00481019"/>
    <w:rsid w:val="00487AFC"/>
    <w:rsid w:val="004911C3"/>
    <w:rsid w:val="00491B3E"/>
    <w:rsid w:val="00491C0E"/>
    <w:rsid w:val="00494459"/>
    <w:rsid w:val="00494B3D"/>
    <w:rsid w:val="00495713"/>
    <w:rsid w:val="004A14EE"/>
    <w:rsid w:val="004A29DD"/>
    <w:rsid w:val="004A607D"/>
    <w:rsid w:val="004A6085"/>
    <w:rsid w:val="004A7287"/>
    <w:rsid w:val="004C06C2"/>
    <w:rsid w:val="004C0CD7"/>
    <w:rsid w:val="004C106A"/>
    <w:rsid w:val="004C2CC2"/>
    <w:rsid w:val="004C2FDA"/>
    <w:rsid w:val="004C3543"/>
    <w:rsid w:val="004C4542"/>
    <w:rsid w:val="004C5ABE"/>
    <w:rsid w:val="004C6C26"/>
    <w:rsid w:val="004D108E"/>
    <w:rsid w:val="004D2D1D"/>
    <w:rsid w:val="004D47B9"/>
    <w:rsid w:val="004D5318"/>
    <w:rsid w:val="004D7D47"/>
    <w:rsid w:val="004E03C1"/>
    <w:rsid w:val="004E043D"/>
    <w:rsid w:val="004E3543"/>
    <w:rsid w:val="004E45C0"/>
    <w:rsid w:val="004E76FD"/>
    <w:rsid w:val="004F57C6"/>
    <w:rsid w:val="005012E1"/>
    <w:rsid w:val="0050443C"/>
    <w:rsid w:val="005054FB"/>
    <w:rsid w:val="00506C7E"/>
    <w:rsid w:val="00513B08"/>
    <w:rsid w:val="00514645"/>
    <w:rsid w:val="005238AD"/>
    <w:rsid w:val="00525D36"/>
    <w:rsid w:val="005312A6"/>
    <w:rsid w:val="005324E5"/>
    <w:rsid w:val="00533BA1"/>
    <w:rsid w:val="0054058D"/>
    <w:rsid w:val="005416BE"/>
    <w:rsid w:val="00541EB1"/>
    <w:rsid w:val="005426C8"/>
    <w:rsid w:val="00545845"/>
    <w:rsid w:val="00547D5A"/>
    <w:rsid w:val="00560785"/>
    <w:rsid w:val="005639C3"/>
    <w:rsid w:val="00564148"/>
    <w:rsid w:val="00572BB3"/>
    <w:rsid w:val="00574748"/>
    <w:rsid w:val="005803B7"/>
    <w:rsid w:val="005810A0"/>
    <w:rsid w:val="00581134"/>
    <w:rsid w:val="005831EC"/>
    <w:rsid w:val="00586715"/>
    <w:rsid w:val="0059066A"/>
    <w:rsid w:val="005910F7"/>
    <w:rsid w:val="00592CA7"/>
    <w:rsid w:val="005938B5"/>
    <w:rsid w:val="00594ACE"/>
    <w:rsid w:val="0059645D"/>
    <w:rsid w:val="005966F2"/>
    <w:rsid w:val="005A0BD3"/>
    <w:rsid w:val="005A734C"/>
    <w:rsid w:val="005B1A0B"/>
    <w:rsid w:val="005B3C35"/>
    <w:rsid w:val="005B3C70"/>
    <w:rsid w:val="005B64A4"/>
    <w:rsid w:val="005C5ABE"/>
    <w:rsid w:val="005D0CCF"/>
    <w:rsid w:val="005D3241"/>
    <w:rsid w:val="005D5899"/>
    <w:rsid w:val="005E071A"/>
    <w:rsid w:val="005E44AE"/>
    <w:rsid w:val="005F6643"/>
    <w:rsid w:val="006000D4"/>
    <w:rsid w:val="006006B9"/>
    <w:rsid w:val="00601E4A"/>
    <w:rsid w:val="006055FE"/>
    <w:rsid w:val="0060668E"/>
    <w:rsid w:val="0060768F"/>
    <w:rsid w:val="006115AE"/>
    <w:rsid w:val="00611F1F"/>
    <w:rsid w:val="00612F79"/>
    <w:rsid w:val="0062051D"/>
    <w:rsid w:val="006237AC"/>
    <w:rsid w:val="006248C2"/>
    <w:rsid w:val="006335B9"/>
    <w:rsid w:val="006344E8"/>
    <w:rsid w:val="00640B4E"/>
    <w:rsid w:val="006477B8"/>
    <w:rsid w:val="00647819"/>
    <w:rsid w:val="00647A84"/>
    <w:rsid w:val="006525BF"/>
    <w:rsid w:val="00653A06"/>
    <w:rsid w:val="00653CB1"/>
    <w:rsid w:val="00654A2A"/>
    <w:rsid w:val="00657D8C"/>
    <w:rsid w:val="0066350D"/>
    <w:rsid w:val="006661F6"/>
    <w:rsid w:val="006679D8"/>
    <w:rsid w:val="00672855"/>
    <w:rsid w:val="00675E86"/>
    <w:rsid w:val="00682685"/>
    <w:rsid w:val="00687E39"/>
    <w:rsid w:val="006900F1"/>
    <w:rsid w:val="00693893"/>
    <w:rsid w:val="00695C9E"/>
    <w:rsid w:val="00696666"/>
    <w:rsid w:val="006A59AE"/>
    <w:rsid w:val="006A6F2A"/>
    <w:rsid w:val="006C061D"/>
    <w:rsid w:val="006C2C4F"/>
    <w:rsid w:val="006C5309"/>
    <w:rsid w:val="006C59C7"/>
    <w:rsid w:val="006C7344"/>
    <w:rsid w:val="006D131F"/>
    <w:rsid w:val="006D269B"/>
    <w:rsid w:val="006D2AC8"/>
    <w:rsid w:val="006D368D"/>
    <w:rsid w:val="006E305C"/>
    <w:rsid w:val="006E4820"/>
    <w:rsid w:val="006E5B8C"/>
    <w:rsid w:val="006E61F4"/>
    <w:rsid w:val="006E6F13"/>
    <w:rsid w:val="006F011D"/>
    <w:rsid w:val="006F2034"/>
    <w:rsid w:val="006F528B"/>
    <w:rsid w:val="006F581C"/>
    <w:rsid w:val="006F5CD7"/>
    <w:rsid w:val="007045F0"/>
    <w:rsid w:val="00704D1E"/>
    <w:rsid w:val="00707B6F"/>
    <w:rsid w:val="007119F8"/>
    <w:rsid w:val="00712E9F"/>
    <w:rsid w:val="00713699"/>
    <w:rsid w:val="0071460F"/>
    <w:rsid w:val="00714655"/>
    <w:rsid w:val="00716C87"/>
    <w:rsid w:val="0071754D"/>
    <w:rsid w:val="00721290"/>
    <w:rsid w:val="00724671"/>
    <w:rsid w:val="007253A3"/>
    <w:rsid w:val="0073136B"/>
    <w:rsid w:val="0073513D"/>
    <w:rsid w:val="00737ED4"/>
    <w:rsid w:val="00740102"/>
    <w:rsid w:val="007409BA"/>
    <w:rsid w:val="00740B63"/>
    <w:rsid w:val="00740ED6"/>
    <w:rsid w:val="00741BAB"/>
    <w:rsid w:val="007430AD"/>
    <w:rsid w:val="00747237"/>
    <w:rsid w:val="007530BE"/>
    <w:rsid w:val="00753B3A"/>
    <w:rsid w:val="00757C01"/>
    <w:rsid w:val="0076657D"/>
    <w:rsid w:val="00773FC9"/>
    <w:rsid w:val="00775CE3"/>
    <w:rsid w:val="0077617B"/>
    <w:rsid w:val="00776547"/>
    <w:rsid w:val="00781355"/>
    <w:rsid w:val="00781BA8"/>
    <w:rsid w:val="00783348"/>
    <w:rsid w:val="00784657"/>
    <w:rsid w:val="00784F0A"/>
    <w:rsid w:val="00786D25"/>
    <w:rsid w:val="00790CEC"/>
    <w:rsid w:val="00797DD6"/>
    <w:rsid w:val="007A0156"/>
    <w:rsid w:val="007A497A"/>
    <w:rsid w:val="007C1CFF"/>
    <w:rsid w:val="007C4E33"/>
    <w:rsid w:val="007D6B8B"/>
    <w:rsid w:val="007E330C"/>
    <w:rsid w:val="007E65CC"/>
    <w:rsid w:val="007E75B9"/>
    <w:rsid w:val="007F3E53"/>
    <w:rsid w:val="007F40F0"/>
    <w:rsid w:val="007F7B2C"/>
    <w:rsid w:val="00801DB4"/>
    <w:rsid w:val="008055A6"/>
    <w:rsid w:val="008067A4"/>
    <w:rsid w:val="00806C83"/>
    <w:rsid w:val="00807FF0"/>
    <w:rsid w:val="00811627"/>
    <w:rsid w:val="0081258E"/>
    <w:rsid w:val="00814573"/>
    <w:rsid w:val="008150D5"/>
    <w:rsid w:val="00815695"/>
    <w:rsid w:val="00817C37"/>
    <w:rsid w:val="00823AD9"/>
    <w:rsid w:val="00825F2F"/>
    <w:rsid w:val="00831292"/>
    <w:rsid w:val="00831788"/>
    <w:rsid w:val="008353EB"/>
    <w:rsid w:val="00835AE5"/>
    <w:rsid w:val="00836F3C"/>
    <w:rsid w:val="00844C71"/>
    <w:rsid w:val="0085535A"/>
    <w:rsid w:val="008614D2"/>
    <w:rsid w:val="00864848"/>
    <w:rsid w:val="00870392"/>
    <w:rsid w:val="008733DC"/>
    <w:rsid w:val="00877192"/>
    <w:rsid w:val="00877D45"/>
    <w:rsid w:val="00893BB0"/>
    <w:rsid w:val="00894AEB"/>
    <w:rsid w:val="0089523F"/>
    <w:rsid w:val="0089698B"/>
    <w:rsid w:val="008A29A6"/>
    <w:rsid w:val="008A35B9"/>
    <w:rsid w:val="008A67BC"/>
    <w:rsid w:val="008A6C6C"/>
    <w:rsid w:val="008B0CD8"/>
    <w:rsid w:val="008B26EC"/>
    <w:rsid w:val="008B4914"/>
    <w:rsid w:val="008C3C27"/>
    <w:rsid w:val="008C3FCB"/>
    <w:rsid w:val="008C428D"/>
    <w:rsid w:val="008C5686"/>
    <w:rsid w:val="008C6A4D"/>
    <w:rsid w:val="008D1B9F"/>
    <w:rsid w:val="008D2F3C"/>
    <w:rsid w:val="008D32B9"/>
    <w:rsid w:val="008D7157"/>
    <w:rsid w:val="008D733E"/>
    <w:rsid w:val="008D7E6A"/>
    <w:rsid w:val="008E49E6"/>
    <w:rsid w:val="008E6489"/>
    <w:rsid w:val="008F0759"/>
    <w:rsid w:val="00900C5A"/>
    <w:rsid w:val="0090566B"/>
    <w:rsid w:val="00912970"/>
    <w:rsid w:val="00912A67"/>
    <w:rsid w:val="009203AF"/>
    <w:rsid w:val="00921022"/>
    <w:rsid w:val="0092224C"/>
    <w:rsid w:val="00923498"/>
    <w:rsid w:val="00930429"/>
    <w:rsid w:val="00937963"/>
    <w:rsid w:val="00937AA7"/>
    <w:rsid w:val="009414CD"/>
    <w:rsid w:val="0094203E"/>
    <w:rsid w:val="00944E01"/>
    <w:rsid w:val="00950508"/>
    <w:rsid w:val="0095410C"/>
    <w:rsid w:val="00954465"/>
    <w:rsid w:val="00955BF5"/>
    <w:rsid w:val="00957E55"/>
    <w:rsid w:val="00960652"/>
    <w:rsid w:val="0096154F"/>
    <w:rsid w:val="00961871"/>
    <w:rsid w:val="00963F49"/>
    <w:rsid w:val="009701DC"/>
    <w:rsid w:val="00970DDA"/>
    <w:rsid w:val="00975556"/>
    <w:rsid w:val="00976AFF"/>
    <w:rsid w:val="009819E8"/>
    <w:rsid w:val="009849E4"/>
    <w:rsid w:val="009905FD"/>
    <w:rsid w:val="00990919"/>
    <w:rsid w:val="009918C4"/>
    <w:rsid w:val="009977D8"/>
    <w:rsid w:val="009A33F7"/>
    <w:rsid w:val="009A341F"/>
    <w:rsid w:val="009A37AE"/>
    <w:rsid w:val="009A3BDE"/>
    <w:rsid w:val="009A48B4"/>
    <w:rsid w:val="009B0B27"/>
    <w:rsid w:val="009B1782"/>
    <w:rsid w:val="009B194C"/>
    <w:rsid w:val="009B2115"/>
    <w:rsid w:val="009B3510"/>
    <w:rsid w:val="009B38C4"/>
    <w:rsid w:val="009C32C3"/>
    <w:rsid w:val="009C3724"/>
    <w:rsid w:val="009D095B"/>
    <w:rsid w:val="009D3B83"/>
    <w:rsid w:val="009D42DA"/>
    <w:rsid w:val="009D4864"/>
    <w:rsid w:val="009D4E4A"/>
    <w:rsid w:val="009D5F38"/>
    <w:rsid w:val="009D7A2F"/>
    <w:rsid w:val="009E017B"/>
    <w:rsid w:val="009E09F1"/>
    <w:rsid w:val="009E16BE"/>
    <w:rsid w:val="009E6884"/>
    <w:rsid w:val="009E7C11"/>
    <w:rsid w:val="009F2911"/>
    <w:rsid w:val="009F45F1"/>
    <w:rsid w:val="009F7DE6"/>
    <w:rsid w:val="00A03628"/>
    <w:rsid w:val="00A03A1D"/>
    <w:rsid w:val="00A05D39"/>
    <w:rsid w:val="00A06C5A"/>
    <w:rsid w:val="00A100A6"/>
    <w:rsid w:val="00A1197C"/>
    <w:rsid w:val="00A1540C"/>
    <w:rsid w:val="00A158D0"/>
    <w:rsid w:val="00A17AC9"/>
    <w:rsid w:val="00A17F15"/>
    <w:rsid w:val="00A2353E"/>
    <w:rsid w:val="00A32572"/>
    <w:rsid w:val="00A32F5A"/>
    <w:rsid w:val="00A34744"/>
    <w:rsid w:val="00A35C89"/>
    <w:rsid w:val="00A35D21"/>
    <w:rsid w:val="00A422D3"/>
    <w:rsid w:val="00A42AE4"/>
    <w:rsid w:val="00A448C9"/>
    <w:rsid w:val="00A54A4C"/>
    <w:rsid w:val="00A54AE4"/>
    <w:rsid w:val="00A55831"/>
    <w:rsid w:val="00A5608B"/>
    <w:rsid w:val="00A625A3"/>
    <w:rsid w:val="00A670BB"/>
    <w:rsid w:val="00A70E6E"/>
    <w:rsid w:val="00A82A56"/>
    <w:rsid w:val="00A82C80"/>
    <w:rsid w:val="00A861A2"/>
    <w:rsid w:val="00A86375"/>
    <w:rsid w:val="00A929E6"/>
    <w:rsid w:val="00A96159"/>
    <w:rsid w:val="00AA069E"/>
    <w:rsid w:val="00AA6F4B"/>
    <w:rsid w:val="00AA7A60"/>
    <w:rsid w:val="00AB31FA"/>
    <w:rsid w:val="00AB3F24"/>
    <w:rsid w:val="00AB4D6F"/>
    <w:rsid w:val="00AB5095"/>
    <w:rsid w:val="00AC389E"/>
    <w:rsid w:val="00AC5966"/>
    <w:rsid w:val="00AC60A7"/>
    <w:rsid w:val="00AD5C01"/>
    <w:rsid w:val="00AD7DA8"/>
    <w:rsid w:val="00AE0A95"/>
    <w:rsid w:val="00AE0BD5"/>
    <w:rsid w:val="00AE130A"/>
    <w:rsid w:val="00AE1541"/>
    <w:rsid w:val="00AE71D8"/>
    <w:rsid w:val="00AE7A86"/>
    <w:rsid w:val="00AF3044"/>
    <w:rsid w:val="00AF3476"/>
    <w:rsid w:val="00AF44F8"/>
    <w:rsid w:val="00AF6987"/>
    <w:rsid w:val="00AF76A1"/>
    <w:rsid w:val="00B007FD"/>
    <w:rsid w:val="00B05127"/>
    <w:rsid w:val="00B0575F"/>
    <w:rsid w:val="00B10A20"/>
    <w:rsid w:val="00B13080"/>
    <w:rsid w:val="00B24A91"/>
    <w:rsid w:val="00B24DDA"/>
    <w:rsid w:val="00B25221"/>
    <w:rsid w:val="00B26ED9"/>
    <w:rsid w:val="00B305B7"/>
    <w:rsid w:val="00B30ED0"/>
    <w:rsid w:val="00B31F88"/>
    <w:rsid w:val="00B34559"/>
    <w:rsid w:val="00B3633B"/>
    <w:rsid w:val="00B37920"/>
    <w:rsid w:val="00B412C2"/>
    <w:rsid w:val="00B42374"/>
    <w:rsid w:val="00B46D93"/>
    <w:rsid w:val="00B50DB8"/>
    <w:rsid w:val="00B5455D"/>
    <w:rsid w:val="00B57687"/>
    <w:rsid w:val="00B6071D"/>
    <w:rsid w:val="00B63665"/>
    <w:rsid w:val="00B654BB"/>
    <w:rsid w:val="00B657AF"/>
    <w:rsid w:val="00B65AB4"/>
    <w:rsid w:val="00B7027D"/>
    <w:rsid w:val="00B7131C"/>
    <w:rsid w:val="00B71F01"/>
    <w:rsid w:val="00B735D3"/>
    <w:rsid w:val="00B74704"/>
    <w:rsid w:val="00B74B20"/>
    <w:rsid w:val="00B76867"/>
    <w:rsid w:val="00B779FE"/>
    <w:rsid w:val="00B8193A"/>
    <w:rsid w:val="00B826EE"/>
    <w:rsid w:val="00B8388C"/>
    <w:rsid w:val="00B83DCC"/>
    <w:rsid w:val="00B87137"/>
    <w:rsid w:val="00B87F46"/>
    <w:rsid w:val="00B90188"/>
    <w:rsid w:val="00B904CC"/>
    <w:rsid w:val="00B91127"/>
    <w:rsid w:val="00B941E8"/>
    <w:rsid w:val="00B9450F"/>
    <w:rsid w:val="00B96756"/>
    <w:rsid w:val="00BA5AA2"/>
    <w:rsid w:val="00BA6488"/>
    <w:rsid w:val="00BB147A"/>
    <w:rsid w:val="00BB1DC5"/>
    <w:rsid w:val="00BB3292"/>
    <w:rsid w:val="00BB6860"/>
    <w:rsid w:val="00BC60FD"/>
    <w:rsid w:val="00BD1ECC"/>
    <w:rsid w:val="00BD2069"/>
    <w:rsid w:val="00BD47F6"/>
    <w:rsid w:val="00BD48BE"/>
    <w:rsid w:val="00BD4DA1"/>
    <w:rsid w:val="00BD742B"/>
    <w:rsid w:val="00BE03DB"/>
    <w:rsid w:val="00BE23F9"/>
    <w:rsid w:val="00BE51EF"/>
    <w:rsid w:val="00BE65AF"/>
    <w:rsid w:val="00BE7A3A"/>
    <w:rsid w:val="00BF0AB8"/>
    <w:rsid w:val="00BF0F68"/>
    <w:rsid w:val="00BF3D2F"/>
    <w:rsid w:val="00BF3D79"/>
    <w:rsid w:val="00BF7644"/>
    <w:rsid w:val="00BF7DFD"/>
    <w:rsid w:val="00C00253"/>
    <w:rsid w:val="00C00A60"/>
    <w:rsid w:val="00C02A74"/>
    <w:rsid w:val="00C14ED8"/>
    <w:rsid w:val="00C15027"/>
    <w:rsid w:val="00C2451E"/>
    <w:rsid w:val="00C25845"/>
    <w:rsid w:val="00C27743"/>
    <w:rsid w:val="00C300E1"/>
    <w:rsid w:val="00C301BB"/>
    <w:rsid w:val="00C32A0B"/>
    <w:rsid w:val="00C344EA"/>
    <w:rsid w:val="00C36105"/>
    <w:rsid w:val="00C3665C"/>
    <w:rsid w:val="00C37B99"/>
    <w:rsid w:val="00C41411"/>
    <w:rsid w:val="00C44F7D"/>
    <w:rsid w:val="00C45033"/>
    <w:rsid w:val="00C45C8B"/>
    <w:rsid w:val="00C47ACF"/>
    <w:rsid w:val="00C47FD3"/>
    <w:rsid w:val="00C502D9"/>
    <w:rsid w:val="00C50CBB"/>
    <w:rsid w:val="00C57A7A"/>
    <w:rsid w:val="00C61865"/>
    <w:rsid w:val="00C64821"/>
    <w:rsid w:val="00C64ABB"/>
    <w:rsid w:val="00C65287"/>
    <w:rsid w:val="00C65886"/>
    <w:rsid w:val="00C65A85"/>
    <w:rsid w:val="00C66163"/>
    <w:rsid w:val="00C6699D"/>
    <w:rsid w:val="00C71AA9"/>
    <w:rsid w:val="00C75533"/>
    <w:rsid w:val="00C75B95"/>
    <w:rsid w:val="00C83005"/>
    <w:rsid w:val="00C934CE"/>
    <w:rsid w:val="00C9461E"/>
    <w:rsid w:val="00C947CC"/>
    <w:rsid w:val="00CA3C7C"/>
    <w:rsid w:val="00CA4AA3"/>
    <w:rsid w:val="00CA53F6"/>
    <w:rsid w:val="00CB11DA"/>
    <w:rsid w:val="00CB2B59"/>
    <w:rsid w:val="00CB4FE1"/>
    <w:rsid w:val="00CB5319"/>
    <w:rsid w:val="00CB73BF"/>
    <w:rsid w:val="00CB7DFE"/>
    <w:rsid w:val="00CC1152"/>
    <w:rsid w:val="00CC1F0A"/>
    <w:rsid w:val="00CC222B"/>
    <w:rsid w:val="00CC2A3C"/>
    <w:rsid w:val="00CC3CC2"/>
    <w:rsid w:val="00CC3E06"/>
    <w:rsid w:val="00CD2209"/>
    <w:rsid w:val="00CD35E3"/>
    <w:rsid w:val="00CD3AB4"/>
    <w:rsid w:val="00CD61FC"/>
    <w:rsid w:val="00CD6E00"/>
    <w:rsid w:val="00CD6FFD"/>
    <w:rsid w:val="00CD7687"/>
    <w:rsid w:val="00CE2D55"/>
    <w:rsid w:val="00CE4554"/>
    <w:rsid w:val="00CE5595"/>
    <w:rsid w:val="00CE6835"/>
    <w:rsid w:val="00CE7ED6"/>
    <w:rsid w:val="00CF1877"/>
    <w:rsid w:val="00CF3478"/>
    <w:rsid w:val="00CF394E"/>
    <w:rsid w:val="00CF568B"/>
    <w:rsid w:val="00CF59F7"/>
    <w:rsid w:val="00CF5FC3"/>
    <w:rsid w:val="00D00EED"/>
    <w:rsid w:val="00D0295A"/>
    <w:rsid w:val="00D03CAD"/>
    <w:rsid w:val="00D03E3A"/>
    <w:rsid w:val="00D04764"/>
    <w:rsid w:val="00D069AC"/>
    <w:rsid w:val="00D10A2E"/>
    <w:rsid w:val="00D10B10"/>
    <w:rsid w:val="00D120B6"/>
    <w:rsid w:val="00D13179"/>
    <w:rsid w:val="00D14275"/>
    <w:rsid w:val="00D15A0C"/>
    <w:rsid w:val="00D24F93"/>
    <w:rsid w:val="00D25170"/>
    <w:rsid w:val="00D277EA"/>
    <w:rsid w:val="00D27DAC"/>
    <w:rsid w:val="00D30C74"/>
    <w:rsid w:val="00D31563"/>
    <w:rsid w:val="00D317A6"/>
    <w:rsid w:val="00D332D4"/>
    <w:rsid w:val="00D35761"/>
    <w:rsid w:val="00D419AC"/>
    <w:rsid w:val="00D44ABA"/>
    <w:rsid w:val="00D513E6"/>
    <w:rsid w:val="00D55A7B"/>
    <w:rsid w:val="00D60C25"/>
    <w:rsid w:val="00D63BBE"/>
    <w:rsid w:val="00D64941"/>
    <w:rsid w:val="00D6610A"/>
    <w:rsid w:val="00D67036"/>
    <w:rsid w:val="00D70DA3"/>
    <w:rsid w:val="00D73BFB"/>
    <w:rsid w:val="00D74668"/>
    <w:rsid w:val="00D746CF"/>
    <w:rsid w:val="00D77424"/>
    <w:rsid w:val="00D832E9"/>
    <w:rsid w:val="00D83945"/>
    <w:rsid w:val="00D84687"/>
    <w:rsid w:val="00D85301"/>
    <w:rsid w:val="00D8558D"/>
    <w:rsid w:val="00D86AA3"/>
    <w:rsid w:val="00D86DC8"/>
    <w:rsid w:val="00D907A1"/>
    <w:rsid w:val="00D90946"/>
    <w:rsid w:val="00D9243D"/>
    <w:rsid w:val="00D93B0F"/>
    <w:rsid w:val="00D95F48"/>
    <w:rsid w:val="00D967E6"/>
    <w:rsid w:val="00DA0706"/>
    <w:rsid w:val="00DA0A58"/>
    <w:rsid w:val="00DA1A18"/>
    <w:rsid w:val="00DA6F0E"/>
    <w:rsid w:val="00DA7E85"/>
    <w:rsid w:val="00DB06B9"/>
    <w:rsid w:val="00DB32FF"/>
    <w:rsid w:val="00DC166D"/>
    <w:rsid w:val="00DC1B88"/>
    <w:rsid w:val="00DC31BA"/>
    <w:rsid w:val="00DC3C78"/>
    <w:rsid w:val="00DC7434"/>
    <w:rsid w:val="00DC78F0"/>
    <w:rsid w:val="00DD3CD4"/>
    <w:rsid w:val="00DD4A31"/>
    <w:rsid w:val="00DE5CD7"/>
    <w:rsid w:val="00DE734A"/>
    <w:rsid w:val="00DE75C2"/>
    <w:rsid w:val="00DE7F75"/>
    <w:rsid w:val="00DF2A74"/>
    <w:rsid w:val="00DF3E3D"/>
    <w:rsid w:val="00DF6B8C"/>
    <w:rsid w:val="00E0213A"/>
    <w:rsid w:val="00E04452"/>
    <w:rsid w:val="00E05841"/>
    <w:rsid w:val="00E06733"/>
    <w:rsid w:val="00E0674C"/>
    <w:rsid w:val="00E10271"/>
    <w:rsid w:val="00E119D0"/>
    <w:rsid w:val="00E14A7E"/>
    <w:rsid w:val="00E14C75"/>
    <w:rsid w:val="00E156A6"/>
    <w:rsid w:val="00E15F44"/>
    <w:rsid w:val="00E16697"/>
    <w:rsid w:val="00E16A41"/>
    <w:rsid w:val="00E16F74"/>
    <w:rsid w:val="00E21642"/>
    <w:rsid w:val="00E229E8"/>
    <w:rsid w:val="00E27CBB"/>
    <w:rsid w:val="00E309AE"/>
    <w:rsid w:val="00E36CA1"/>
    <w:rsid w:val="00E416E8"/>
    <w:rsid w:val="00E41F84"/>
    <w:rsid w:val="00E44C34"/>
    <w:rsid w:val="00E451AC"/>
    <w:rsid w:val="00E53DC9"/>
    <w:rsid w:val="00E55A0C"/>
    <w:rsid w:val="00E57E5F"/>
    <w:rsid w:val="00E60623"/>
    <w:rsid w:val="00E62163"/>
    <w:rsid w:val="00E669E2"/>
    <w:rsid w:val="00E67517"/>
    <w:rsid w:val="00E7155E"/>
    <w:rsid w:val="00E7212C"/>
    <w:rsid w:val="00E734AF"/>
    <w:rsid w:val="00E802DD"/>
    <w:rsid w:val="00E8369B"/>
    <w:rsid w:val="00E8444C"/>
    <w:rsid w:val="00E85997"/>
    <w:rsid w:val="00E95559"/>
    <w:rsid w:val="00E97977"/>
    <w:rsid w:val="00EA1AAD"/>
    <w:rsid w:val="00EA4E58"/>
    <w:rsid w:val="00EA748E"/>
    <w:rsid w:val="00EA7C90"/>
    <w:rsid w:val="00EB3979"/>
    <w:rsid w:val="00EB3FDE"/>
    <w:rsid w:val="00EB656D"/>
    <w:rsid w:val="00EB7E03"/>
    <w:rsid w:val="00EC1C2B"/>
    <w:rsid w:val="00EC2CEF"/>
    <w:rsid w:val="00ED50C6"/>
    <w:rsid w:val="00ED6E98"/>
    <w:rsid w:val="00EE171F"/>
    <w:rsid w:val="00EE44E4"/>
    <w:rsid w:val="00EE5874"/>
    <w:rsid w:val="00EF57E3"/>
    <w:rsid w:val="00EF62E6"/>
    <w:rsid w:val="00F00B81"/>
    <w:rsid w:val="00F01690"/>
    <w:rsid w:val="00F01FC2"/>
    <w:rsid w:val="00F0296A"/>
    <w:rsid w:val="00F03402"/>
    <w:rsid w:val="00F03F32"/>
    <w:rsid w:val="00F06514"/>
    <w:rsid w:val="00F104E9"/>
    <w:rsid w:val="00F14F92"/>
    <w:rsid w:val="00F30E20"/>
    <w:rsid w:val="00F34A2D"/>
    <w:rsid w:val="00F34ED4"/>
    <w:rsid w:val="00F356E4"/>
    <w:rsid w:val="00F366B4"/>
    <w:rsid w:val="00F50915"/>
    <w:rsid w:val="00F528A9"/>
    <w:rsid w:val="00F57E5B"/>
    <w:rsid w:val="00F67998"/>
    <w:rsid w:val="00F765D2"/>
    <w:rsid w:val="00F834B3"/>
    <w:rsid w:val="00F865B0"/>
    <w:rsid w:val="00F90674"/>
    <w:rsid w:val="00F91114"/>
    <w:rsid w:val="00FA2A26"/>
    <w:rsid w:val="00FA2BF4"/>
    <w:rsid w:val="00FA4921"/>
    <w:rsid w:val="00FB266A"/>
    <w:rsid w:val="00FB72F3"/>
    <w:rsid w:val="00FB79C3"/>
    <w:rsid w:val="00FC599B"/>
    <w:rsid w:val="00FD00CF"/>
    <w:rsid w:val="00FD03B1"/>
    <w:rsid w:val="00FD0C11"/>
    <w:rsid w:val="00FE5697"/>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63B8C2"/>
  <w15:docId w15:val="{B7947797-B3B0-40F3-8B97-39A92806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454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C4542"/>
    <w:rPr>
      <w:sz w:val="18"/>
      <w:szCs w:val="18"/>
    </w:rPr>
  </w:style>
  <w:style w:type="paragraph" w:styleId="a5">
    <w:name w:val="footer"/>
    <w:basedOn w:val="a"/>
    <w:link w:val="a6"/>
    <w:uiPriority w:val="99"/>
    <w:unhideWhenUsed/>
    <w:rsid w:val="004C4542"/>
    <w:pPr>
      <w:tabs>
        <w:tab w:val="center" w:pos="4153"/>
        <w:tab w:val="right" w:pos="8306"/>
      </w:tabs>
      <w:snapToGrid w:val="0"/>
      <w:jc w:val="left"/>
    </w:pPr>
    <w:rPr>
      <w:sz w:val="18"/>
      <w:szCs w:val="18"/>
    </w:rPr>
  </w:style>
  <w:style w:type="character" w:customStyle="1" w:styleId="a6">
    <w:name w:val="页脚 字符"/>
    <w:basedOn w:val="a0"/>
    <w:link w:val="a5"/>
    <w:uiPriority w:val="99"/>
    <w:rsid w:val="004C4542"/>
    <w:rPr>
      <w:sz w:val="18"/>
      <w:szCs w:val="18"/>
    </w:rPr>
  </w:style>
  <w:style w:type="paragraph" w:styleId="a7">
    <w:name w:val="List Paragraph"/>
    <w:basedOn w:val="a"/>
    <w:uiPriority w:val="34"/>
    <w:qFormat/>
    <w:rsid w:val="009A37AE"/>
    <w:pPr>
      <w:ind w:firstLineChars="200" w:firstLine="420"/>
    </w:pPr>
  </w:style>
  <w:style w:type="character" w:styleId="a8">
    <w:name w:val="annotation reference"/>
    <w:basedOn w:val="a0"/>
    <w:uiPriority w:val="99"/>
    <w:unhideWhenUsed/>
    <w:rsid w:val="005312A6"/>
    <w:rPr>
      <w:sz w:val="21"/>
      <w:szCs w:val="21"/>
    </w:rPr>
  </w:style>
  <w:style w:type="paragraph" w:styleId="a9">
    <w:name w:val="annotation text"/>
    <w:basedOn w:val="a"/>
    <w:link w:val="aa"/>
    <w:uiPriority w:val="99"/>
    <w:semiHidden/>
    <w:unhideWhenUsed/>
    <w:rsid w:val="005312A6"/>
    <w:pPr>
      <w:jc w:val="left"/>
    </w:pPr>
  </w:style>
  <w:style w:type="character" w:customStyle="1" w:styleId="aa">
    <w:name w:val="批注文字 字符"/>
    <w:basedOn w:val="a0"/>
    <w:link w:val="a9"/>
    <w:uiPriority w:val="99"/>
    <w:semiHidden/>
    <w:rsid w:val="005312A6"/>
  </w:style>
  <w:style w:type="paragraph" w:styleId="ab">
    <w:name w:val="annotation subject"/>
    <w:basedOn w:val="a9"/>
    <w:next w:val="a9"/>
    <w:link w:val="ac"/>
    <w:uiPriority w:val="99"/>
    <w:semiHidden/>
    <w:unhideWhenUsed/>
    <w:rsid w:val="005312A6"/>
    <w:rPr>
      <w:b/>
      <w:bCs/>
    </w:rPr>
  </w:style>
  <w:style w:type="character" w:customStyle="1" w:styleId="ac">
    <w:name w:val="批注主题 字符"/>
    <w:basedOn w:val="aa"/>
    <w:link w:val="ab"/>
    <w:uiPriority w:val="99"/>
    <w:semiHidden/>
    <w:rsid w:val="005312A6"/>
    <w:rPr>
      <w:b/>
      <w:bCs/>
    </w:rPr>
  </w:style>
  <w:style w:type="paragraph" w:styleId="ad">
    <w:name w:val="Balloon Text"/>
    <w:basedOn w:val="a"/>
    <w:link w:val="ae"/>
    <w:uiPriority w:val="99"/>
    <w:semiHidden/>
    <w:unhideWhenUsed/>
    <w:rsid w:val="005312A6"/>
    <w:rPr>
      <w:sz w:val="18"/>
      <w:szCs w:val="18"/>
    </w:rPr>
  </w:style>
  <w:style w:type="character" w:customStyle="1" w:styleId="ae">
    <w:name w:val="批注框文本 字符"/>
    <w:basedOn w:val="a0"/>
    <w:link w:val="ad"/>
    <w:uiPriority w:val="99"/>
    <w:semiHidden/>
    <w:rsid w:val="005312A6"/>
    <w:rPr>
      <w:sz w:val="18"/>
      <w:szCs w:val="18"/>
    </w:rPr>
  </w:style>
  <w:style w:type="character" w:styleId="af">
    <w:name w:val="Hyperlink"/>
    <w:basedOn w:val="a0"/>
    <w:uiPriority w:val="99"/>
    <w:unhideWhenUsed/>
    <w:rsid w:val="00E16F74"/>
    <w:rPr>
      <w:color w:val="0563C1" w:themeColor="hyperlink"/>
      <w:u w:val="single"/>
    </w:rPr>
  </w:style>
  <w:style w:type="character" w:customStyle="1" w:styleId="1">
    <w:name w:val="未处理的提及1"/>
    <w:basedOn w:val="a0"/>
    <w:uiPriority w:val="99"/>
    <w:semiHidden/>
    <w:unhideWhenUsed/>
    <w:rsid w:val="00E16F74"/>
    <w:rPr>
      <w:color w:val="605E5C"/>
      <w:shd w:val="clear" w:color="auto" w:fill="E1DFDD"/>
    </w:rPr>
  </w:style>
  <w:style w:type="character" w:styleId="af0">
    <w:name w:val="line number"/>
    <w:basedOn w:val="a0"/>
    <w:uiPriority w:val="99"/>
    <w:semiHidden/>
    <w:unhideWhenUsed/>
    <w:rsid w:val="006000D4"/>
  </w:style>
  <w:style w:type="paragraph" w:styleId="af1">
    <w:name w:val="Revision"/>
    <w:hidden/>
    <w:uiPriority w:val="99"/>
    <w:semiHidden/>
    <w:rsid w:val="0019301D"/>
  </w:style>
  <w:style w:type="table" w:styleId="af2">
    <w:name w:val="Table Grid"/>
    <w:basedOn w:val="a1"/>
    <w:uiPriority w:val="39"/>
    <w:rsid w:val="00DF3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iPriority w:val="99"/>
    <w:unhideWhenUsed/>
    <w:rsid w:val="00F00B81"/>
    <w:pPr>
      <w:widowControl/>
      <w:spacing w:before="100" w:beforeAutospacing="1" w:after="100" w:afterAutospacing="1"/>
      <w:jc w:val="left"/>
    </w:pPr>
    <w:rPr>
      <w:rFonts w:ascii="宋体" w:hAnsi="宋体" w:cs="宋体"/>
      <w:kern w:val="0"/>
      <w:sz w:val="24"/>
      <w:szCs w:val="24"/>
    </w:rPr>
  </w:style>
  <w:style w:type="character" w:customStyle="1" w:styleId="UnresolvedMention1">
    <w:name w:val="Unresolved Mention1"/>
    <w:basedOn w:val="a0"/>
    <w:uiPriority w:val="99"/>
    <w:semiHidden/>
    <w:unhideWhenUsed/>
    <w:rsid w:val="009B194C"/>
    <w:rPr>
      <w:color w:val="605E5C"/>
      <w:shd w:val="clear" w:color="auto" w:fill="E1DFDD"/>
    </w:rPr>
  </w:style>
  <w:style w:type="paragraph" w:customStyle="1" w:styleId="EndNoteBibliographyTitle">
    <w:name w:val="EndNote Bibliography Title"/>
    <w:basedOn w:val="a"/>
    <w:link w:val="EndNoteBibliographyTitle0"/>
    <w:rsid w:val="004D2D1D"/>
    <w:pPr>
      <w:jc w:val="center"/>
    </w:pPr>
    <w:rPr>
      <w:rFonts w:ascii="宋体" w:hAnsi="宋体"/>
      <w:noProof/>
      <w:sz w:val="24"/>
    </w:rPr>
  </w:style>
  <w:style w:type="character" w:customStyle="1" w:styleId="EndNoteBibliographyTitle0">
    <w:name w:val="EndNote Bibliography Title 字符"/>
    <w:basedOn w:val="a0"/>
    <w:link w:val="EndNoteBibliographyTitle"/>
    <w:rsid w:val="004D2D1D"/>
    <w:rPr>
      <w:rFonts w:ascii="宋体" w:hAnsi="宋体"/>
      <w:noProof/>
      <w:sz w:val="24"/>
    </w:rPr>
  </w:style>
  <w:style w:type="paragraph" w:customStyle="1" w:styleId="EndNoteBibliography">
    <w:name w:val="EndNote Bibliography"/>
    <w:basedOn w:val="a"/>
    <w:link w:val="EndNoteBibliography0"/>
    <w:rsid w:val="004D2D1D"/>
    <w:rPr>
      <w:rFonts w:ascii="宋体" w:hAnsi="宋体"/>
      <w:noProof/>
      <w:sz w:val="24"/>
    </w:rPr>
  </w:style>
  <w:style w:type="character" w:customStyle="1" w:styleId="EndNoteBibliography0">
    <w:name w:val="EndNote Bibliography 字符"/>
    <w:basedOn w:val="a0"/>
    <w:link w:val="EndNoteBibliography"/>
    <w:rsid w:val="004D2D1D"/>
    <w:rPr>
      <w:rFonts w:ascii="宋体" w:hAnsi="宋体"/>
      <w:noProof/>
      <w:sz w:val="24"/>
    </w:rPr>
  </w:style>
  <w:style w:type="paragraph" w:customStyle="1" w:styleId="10">
    <w:name w:val="样式1"/>
    <w:basedOn w:val="EndNoteBibliography"/>
    <w:link w:val="11"/>
    <w:qFormat/>
    <w:rsid w:val="007F7B2C"/>
    <w:rPr>
      <w:rFonts w:ascii="Book Antiqua" w:eastAsia="Book Antiqua" w:hAnsi="Book Antiqua"/>
    </w:rPr>
  </w:style>
  <w:style w:type="paragraph" w:customStyle="1" w:styleId="BookAntiqua">
    <w:name w:val="Book Antiqua"/>
    <w:basedOn w:val="EndNoteBibliography"/>
    <w:link w:val="BookAntiqua0"/>
    <w:qFormat/>
    <w:rsid w:val="007F7B2C"/>
    <w:pPr>
      <w:spacing w:line="360" w:lineRule="auto"/>
    </w:pPr>
    <w:rPr>
      <w:rFonts w:ascii="Book Antiqua" w:eastAsia="Book Antiqua" w:hAnsi="Book Antiqua" w:cs="Times New Roman"/>
      <w:szCs w:val="24"/>
    </w:rPr>
  </w:style>
  <w:style w:type="character" w:customStyle="1" w:styleId="11">
    <w:name w:val="样式1 字符"/>
    <w:basedOn w:val="EndNoteBibliography0"/>
    <w:link w:val="10"/>
    <w:rsid w:val="007F7B2C"/>
    <w:rPr>
      <w:rFonts w:ascii="Book Antiqua" w:eastAsia="Book Antiqua" w:hAnsi="Book Antiqua"/>
      <w:noProof/>
      <w:sz w:val="24"/>
    </w:rPr>
  </w:style>
  <w:style w:type="character" w:customStyle="1" w:styleId="BookAntiqua0">
    <w:name w:val="Book Antiqua 字符"/>
    <w:basedOn w:val="EndNoteBibliography0"/>
    <w:link w:val="BookAntiqua"/>
    <w:rsid w:val="007F7B2C"/>
    <w:rPr>
      <w:rFonts w:ascii="Book Antiqua" w:eastAsia="Book Antiqua" w:hAnsi="Book Antiqua"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9147">
      <w:bodyDiv w:val="1"/>
      <w:marLeft w:val="0"/>
      <w:marRight w:val="0"/>
      <w:marTop w:val="0"/>
      <w:marBottom w:val="0"/>
      <w:divBdr>
        <w:top w:val="none" w:sz="0" w:space="0" w:color="auto"/>
        <w:left w:val="none" w:sz="0" w:space="0" w:color="auto"/>
        <w:bottom w:val="none" w:sz="0" w:space="0" w:color="auto"/>
        <w:right w:val="none" w:sz="0" w:space="0" w:color="auto"/>
      </w:divBdr>
    </w:div>
    <w:div w:id="100611327">
      <w:bodyDiv w:val="1"/>
      <w:marLeft w:val="0"/>
      <w:marRight w:val="0"/>
      <w:marTop w:val="0"/>
      <w:marBottom w:val="0"/>
      <w:divBdr>
        <w:top w:val="none" w:sz="0" w:space="0" w:color="auto"/>
        <w:left w:val="none" w:sz="0" w:space="0" w:color="auto"/>
        <w:bottom w:val="none" w:sz="0" w:space="0" w:color="auto"/>
        <w:right w:val="none" w:sz="0" w:space="0" w:color="auto"/>
      </w:divBdr>
    </w:div>
    <w:div w:id="120811599">
      <w:bodyDiv w:val="1"/>
      <w:marLeft w:val="0"/>
      <w:marRight w:val="0"/>
      <w:marTop w:val="0"/>
      <w:marBottom w:val="0"/>
      <w:divBdr>
        <w:top w:val="none" w:sz="0" w:space="0" w:color="auto"/>
        <w:left w:val="none" w:sz="0" w:space="0" w:color="auto"/>
        <w:bottom w:val="none" w:sz="0" w:space="0" w:color="auto"/>
        <w:right w:val="none" w:sz="0" w:space="0" w:color="auto"/>
      </w:divBdr>
    </w:div>
    <w:div w:id="159086046">
      <w:bodyDiv w:val="1"/>
      <w:marLeft w:val="0"/>
      <w:marRight w:val="0"/>
      <w:marTop w:val="0"/>
      <w:marBottom w:val="0"/>
      <w:divBdr>
        <w:top w:val="none" w:sz="0" w:space="0" w:color="auto"/>
        <w:left w:val="none" w:sz="0" w:space="0" w:color="auto"/>
        <w:bottom w:val="none" w:sz="0" w:space="0" w:color="auto"/>
        <w:right w:val="none" w:sz="0" w:space="0" w:color="auto"/>
      </w:divBdr>
    </w:div>
    <w:div w:id="207884051">
      <w:bodyDiv w:val="1"/>
      <w:marLeft w:val="0"/>
      <w:marRight w:val="0"/>
      <w:marTop w:val="0"/>
      <w:marBottom w:val="0"/>
      <w:divBdr>
        <w:top w:val="none" w:sz="0" w:space="0" w:color="auto"/>
        <w:left w:val="none" w:sz="0" w:space="0" w:color="auto"/>
        <w:bottom w:val="none" w:sz="0" w:space="0" w:color="auto"/>
        <w:right w:val="none" w:sz="0" w:space="0" w:color="auto"/>
      </w:divBdr>
    </w:div>
    <w:div w:id="320931794">
      <w:bodyDiv w:val="1"/>
      <w:marLeft w:val="0"/>
      <w:marRight w:val="0"/>
      <w:marTop w:val="0"/>
      <w:marBottom w:val="0"/>
      <w:divBdr>
        <w:top w:val="none" w:sz="0" w:space="0" w:color="auto"/>
        <w:left w:val="none" w:sz="0" w:space="0" w:color="auto"/>
        <w:bottom w:val="none" w:sz="0" w:space="0" w:color="auto"/>
        <w:right w:val="none" w:sz="0" w:space="0" w:color="auto"/>
      </w:divBdr>
    </w:div>
    <w:div w:id="462845822">
      <w:bodyDiv w:val="1"/>
      <w:marLeft w:val="0"/>
      <w:marRight w:val="0"/>
      <w:marTop w:val="0"/>
      <w:marBottom w:val="0"/>
      <w:divBdr>
        <w:top w:val="none" w:sz="0" w:space="0" w:color="auto"/>
        <w:left w:val="none" w:sz="0" w:space="0" w:color="auto"/>
        <w:bottom w:val="none" w:sz="0" w:space="0" w:color="auto"/>
        <w:right w:val="none" w:sz="0" w:space="0" w:color="auto"/>
      </w:divBdr>
    </w:div>
    <w:div w:id="528643409">
      <w:bodyDiv w:val="1"/>
      <w:marLeft w:val="0"/>
      <w:marRight w:val="0"/>
      <w:marTop w:val="0"/>
      <w:marBottom w:val="0"/>
      <w:divBdr>
        <w:top w:val="none" w:sz="0" w:space="0" w:color="auto"/>
        <w:left w:val="none" w:sz="0" w:space="0" w:color="auto"/>
        <w:bottom w:val="none" w:sz="0" w:space="0" w:color="auto"/>
        <w:right w:val="none" w:sz="0" w:space="0" w:color="auto"/>
      </w:divBdr>
    </w:div>
    <w:div w:id="544758197">
      <w:bodyDiv w:val="1"/>
      <w:marLeft w:val="0"/>
      <w:marRight w:val="0"/>
      <w:marTop w:val="0"/>
      <w:marBottom w:val="0"/>
      <w:divBdr>
        <w:top w:val="none" w:sz="0" w:space="0" w:color="auto"/>
        <w:left w:val="none" w:sz="0" w:space="0" w:color="auto"/>
        <w:bottom w:val="none" w:sz="0" w:space="0" w:color="auto"/>
        <w:right w:val="none" w:sz="0" w:space="0" w:color="auto"/>
      </w:divBdr>
    </w:div>
    <w:div w:id="594821370">
      <w:bodyDiv w:val="1"/>
      <w:marLeft w:val="0"/>
      <w:marRight w:val="0"/>
      <w:marTop w:val="0"/>
      <w:marBottom w:val="0"/>
      <w:divBdr>
        <w:top w:val="none" w:sz="0" w:space="0" w:color="auto"/>
        <w:left w:val="none" w:sz="0" w:space="0" w:color="auto"/>
        <w:bottom w:val="none" w:sz="0" w:space="0" w:color="auto"/>
        <w:right w:val="none" w:sz="0" w:space="0" w:color="auto"/>
      </w:divBdr>
    </w:div>
    <w:div w:id="823669264">
      <w:bodyDiv w:val="1"/>
      <w:marLeft w:val="0"/>
      <w:marRight w:val="0"/>
      <w:marTop w:val="0"/>
      <w:marBottom w:val="0"/>
      <w:divBdr>
        <w:top w:val="none" w:sz="0" w:space="0" w:color="auto"/>
        <w:left w:val="none" w:sz="0" w:space="0" w:color="auto"/>
        <w:bottom w:val="none" w:sz="0" w:space="0" w:color="auto"/>
        <w:right w:val="none" w:sz="0" w:space="0" w:color="auto"/>
      </w:divBdr>
    </w:div>
    <w:div w:id="841168353">
      <w:bodyDiv w:val="1"/>
      <w:marLeft w:val="0"/>
      <w:marRight w:val="0"/>
      <w:marTop w:val="0"/>
      <w:marBottom w:val="0"/>
      <w:divBdr>
        <w:top w:val="none" w:sz="0" w:space="0" w:color="auto"/>
        <w:left w:val="none" w:sz="0" w:space="0" w:color="auto"/>
        <w:bottom w:val="none" w:sz="0" w:space="0" w:color="auto"/>
        <w:right w:val="none" w:sz="0" w:space="0" w:color="auto"/>
      </w:divBdr>
    </w:div>
    <w:div w:id="1040664663">
      <w:bodyDiv w:val="1"/>
      <w:marLeft w:val="0"/>
      <w:marRight w:val="0"/>
      <w:marTop w:val="0"/>
      <w:marBottom w:val="0"/>
      <w:divBdr>
        <w:top w:val="none" w:sz="0" w:space="0" w:color="auto"/>
        <w:left w:val="none" w:sz="0" w:space="0" w:color="auto"/>
        <w:bottom w:val="none" w:sz="0" w:space="0" w:color="auto"/>
        <w:right w:val="none" w:sz="0" w:space="0" w:color="auto"/>
      </w:divBdr>
    </w:div>
    <w:div w:id="1070347134">
      <w:bodyDiv w:val="1"/>
      <w:marLeft w:val="0"/>
      <w:marRight w:val="0"/>
      <w:marTop w:val="0"/>
      <w:marBottom w:val="0"/>
      <w:divBdr>
        <w:top w:val="none" w:sz="0" w:space="0" w:color="auto"/>
        <w:left w:val="none" w:sz="0" w:space="0" w:color="auto"/>
        <w:bottom w:val="none" w:sz="0" w:space="0" w:color="auto"/>
        <w:right w:val="none" w:sz="0" w:space="0" w:color="auto"/>
      </w:divBdr>
    </w:div>
    <w:div w:id="1232497097">
      <w:bodyDiv w:val="1"/>
      <w:marLeft w:val="0"/>
      <w:marRight w:val="0"/>
      <w:marTop w:val="0"/>
      <w:marBottom w:val="0"/>
      <w:divBdr>
        <w:top w:val="none" w:sz="0" w:space="0" w:color="auto"/>
        <w:left w:val="none" w:sz="0" w:space="0" w:color="auto"/>
        <w:bottom w:val="none" w:sz="0" w:space="0" w:color="auto"/>
        <w:right w:val="none" w:sz="0" w:space="0" w:color="auto"/>
      </w:divBdr>
    </w:div>
    <w:div w:id="1244608447">
      <w:bodyDiv w:val="1"/>
      <w:marLeft w:val="0"/>
      <w:marRight w:val="0"/>
      <w:marTop w:val="0"/>
      <w:marBottom w:val="0"/>
      <w:divBdr>
        <w:top w:val="none" w:sz="0" w:space="0" w:color="auto"/>
        <w:left w:val="none" w:sz="0" w:space="0" w:color="auto"/>
        <w:bottom w:val="none" w:sz="0" w:space="0" w:color="auto"/>
        <w:right w:val="none" w:sz="0" w:space="0" w:color="auto"/>
      </w:divBdr>
    </w:div>
    <w:div w:id="1272006563">
      <w:bodyDiv w:val="1"/>
      <w:marLeft w:val="0"/>
      <w:marRight w:val="0"/>
      <w:marTop w:val="0"/>
      <w:marBottom w:val="0"/>
      <w:divBdr>
        <w:top w:val="none" w:sz="0" w:space="0" w:color="auto"/>
        <w:left w:val="none" w:sz="0" w:space="0" w:color="auto"/>
        <w:bottom w:val="none" w:sz="0" w:space="0" w:color="auto"/>
        <w:right w:val="none" w:sz="0" w:space="0" w:color="auto"/>
      </w:divBdr>
    </w:div>
    <w:div w:id="1417051697">
      <w:bodyDiv w:val="1"/>
      <w:marLeft w:val="0"/>
      <w:marRight w:val="0"/>
      <w:marTop w:val="0"/>
      <w:marBottom w:val="0"/>
      <w:divBdr>
        <w:top w:val="none" w:sz="0" w:space="0" w:color="auto"/>
        <w:left w:val="none" w:sz="0" w:space="0" w:color="auto"/>
        <w:bottom w:val="none" w:sz="0" w:space="0" w:color="auto"/>
        <w:right w:val="none" w:sz="0" w:space="0" w:color="auto"/>
      </w:divBdr>
    </w:div>
    <w:div w:id="1426875139">
      <w:bodyDiv w:val="1"/>
      <w:marLeft w:val="0"/>
      <w:marRight w:val="0"/>
      <w:marTop w:val="0"/>
      <w:marBottom w:val="0"/>
      <w:divBdr>
        <w:top w:val="none" w:sz="0" w:space="0" w:color="auto"/>
        <w:left w:val="none" w:sz="0" w:space="0" w:color="auto"/>
        <w:bottom w:val="none" w:sz="0" w:space="0" w:color="auto"/>
        <w:right w:val="none" w:sz="0" w:space="0" w:color="auto"/>
      </w:divBdr>
    </w:div>
    <w:div w:id="1459956196">
      <w:bodyDiv w:val="1"/>
      <w:marLeft w:val="0"/>
      <w:marRight w:val="0"/>
      <w:marTop w:val="0"/>
      <w:marBottom w:val="0"/>
      <w:divBdr>
        <w:top w:val="none" w:sz="0" w:space="0" w:color="auto"/>
        <w:left w:val="none" w:sz="0" w:space="0" w:color="auto"/>
        <w:bottom w:val="none" w:sz="0" w:space="0" w:color="auto"/>
        <w:right w:val="none" w:sz="0" w:space="0" w:color="auto"/>
      </w:divBdr>
    </w:div>
    <w:div w:id="1513691294">
      <w:bodyDiv w:val="1"/>
      <w:marLeft w:val="0"/>
      <w:marRight w:val="0"/>
      <w:marTop w:val="0"/>
      <w:marBottom w:val="0"/>
      <w:divBdr>
        <w:top w:val="none" w:sz="0" w:space="0" w:color="auto"/>
        <w:left w:val="none" w:sz="0" w:space="0" w:color="auto"/>
        <w:bottom w:val="none" w:sz="0" w:space="0" w:color="auto"/>
        <w:right w:val="none" w:sz="0" w:space="0" w:color="auto"/>
      </w:divBdr>
    </w:div>
    <w:div w:id="1586500867">
      <w:bodyDiv w:val="1"/>
      <w:marLeft w:val="0"/>
      <w:marRight w:val="0"/>
      <w:marTop w:val="0"/>
      <w:marBottom w:val="0"/>
      <w:divBdr>
        <w:top w:val="none" w:sz="0" w:space="0" w:color="auto"/>
        <w:left w:val="none" w:sz="0" w:space="0" w:color="auto"/>
        <w:bottom w:val="none" w:sz="0" w:space="0" w:color="auto"/>
        <w:right w:val="none" w:sz="0" w:space="0" w:color="auto"/>
      </w:divBdr>
    </w:div>
    <w:div w:id="1600723563">
      <w:bodyDiv w:val="1"/>
      <w:marLeft w:val="0"/>
      <w:marRight w:val="0"/>
      <w:marTop w:val="0"/>
      <w:marBottom w:val="0"/>
      <w:divBdr>
        <w:top w:val="none" w:sz="0" w:space="0" w:color="auto"/>
        <w:left w:val="none" w:sz="0" w:space="0" w:color="auto"/>
        <w:bottom w:val="none" w:sz="0" w:space="0" w:color="auto"/>
        <w:right w:val="none" w:sz="0" w:space="0" w:color="auto"/>
      </w:divBdr>
    </w:div>
    <w:div w:id="1649166360">
      <w:bodyDiv w:val="1"/>
      <w:marLeft w:val="0"/>
      <w:marRight w:val="0"/>
      <w:marTop w:val="0"/>
      <w:marBottom w:val="0"/>
      <w:divBdr>
        <w:top w:val="none" w:sz="0" w:space="0" w:color="auto"/>
        <w:left w:val="none" w:sz="0" w:space="0" w:color="auto"/>
        <w:bottom w:val="none" w:sz="0" w:space="0" w:color="auto"/>
        <w:right w:val="none" w:sz="0" w:space="0" w:color="auto"/>
      </w:divBdr>
    </w:div>
    <w:div w:id="1708143167">
      <w:bodyDiv w:val="1"/>
      <w:marLeft w:val="0"/>
      <w:marRight w:val="0"/>
      <w:marTop w:val="0"/>
      <w:marBottom w:val="0"/>
      <w:divBdr>
        <w:top w:val="none" w:sz="0" w:space="0" w:color="auto"/>
        <w:left w:val="none" w:sz="0" w:space="0" w:color="auto"/>
        <w:bottom w:val="none" w:sz="0" w:space="0" w:color="auto"/>
        <w:right w:val="none" w:sz="0" w:space="0" w:color="auto"/>
      </w:divBdr>
    </w:div>
    <w:div w:id="1895463469">
      <w:bodyDiv w:val="1"/>
      <w:marLeft w:val="0"/>
      <w:marRight w:val="0"/>
      <w:marTop w:val="0"/>
      <w:marBottom w:val="0"/>
      <w:divBdr>
        <w:top w:val="none" w:sz="0" w:space="0" w:color="auto"/>
        <w:left w:val="none" w:sz="0" w:space="0" w:color="auto"/>
        <w:bottom w:val="none" w:sz="0" w:space="0" w:color="auto"/>
        <w:right w:val="none" w:sz="0" w:space="0" w:color="auto"/>
      </w:divBdr>
    </w:div>
    <w:div w:id="1940673103">
      <w:bodyDiv w:val="1"/>
      <w:marLeft w:val="0"/>
      <w:marRight w:val="0"/>
      <w:marTop w:val="0"/>
      <w:marBottom w:val="0"/>
      <w:divBdr>
        <w:top w:val="none" w:sz="0" w:space="0" w:color="auto"/>
        <w:left w:val="none" w:sz="0" w:space="0" w:color="auto"/>
        <w:bottom w:val="none" w:sz="0" w:space="0" w:color="auto"/>
        <w:right w:val="none" w:sz="0" w:space="0" w:color="auto"/>
      </w:divBdr>
    </w:div>
    <w:div w:id="2013876382">
      <w:bodyDiv w:val="1"/>
      <w:marLeft w:val="0"/>
      <w:marRight w:val="0"/>
      <w:marTop w:val="0"/>
      <w:marBottom w:val="0"/>
      <w:divBdr>
        <w:top w:val="none" w:sz="0" w:space="0" w:color="auto"/>
        <w:left w:val="none" w:sz="0" w:space="0" w:color="auto"/>
        <w:bottom w:val="none" w:sz="0" w:space="0" w:color="auto"/>
        <w:right w:val="none" w:sz="0" w:space="0" w:color="auto"/>
      </w:divBdr>
    </w:div>
    <w:div w:id="2088307278">
      <w:bodyDiv w:val="1"/>
      <w:marLeft w:val="0"/>
      <w:marRight w:val="0"/>
      <w:marTop w:val="0"/>
      <w:marBottom w:val="0"/>
      <w:divBdr>
        <w:top w:val="none" w:sz="0" w:space="0" w:color="auto"/>
        <w:left w:val="none" w:sz="0" w:space="0" w:color="auto"/>
        <w:bottom w:val="none" w:sz="0" w:space="0" w:color="auto"/>
        <w:right w:val="none" w:sz="0" w:space="0" w:color="auto"/>
      </w:divBdr>
    </w:div>
    <w:div w:id="214724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FE142-F2A8-4E49-86CE-3E8BF63D1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30</Pages>
  <Words>7520</Words>
  <Characters>42866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cherish</dc:creator>
  <cp:keywords/>
  <dc:description/>
  <cp:lastModifiedBy>宋 涵</cp:lastModifiedBy>
  <cp:revision>5</cp:revision>
  <dcterms:created xsi:type="dcterms:W3CDTF">2019-03-25T04:36:00Z</dcterms:created>
  <dcterms:modified xsi:type="dcterms:W3CDTF">2019-04-12T05:51:00Z</dcterms:modified>
</cp:coreProperties>
</file>