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ti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9CD30D" w14:textId="77777777" w:rsidR="007761C0" w:rsidRPr="006B24DA" w:rsidRDefault="007761C0" w:rsidP="00F67887">
      <w:pPr>
        <w:adjustRightInd w:val="0"/>
        <w:snapToGrid w:val="0"/>
        <w:spacing w:after="0" w:line="360" w:lineRule="auto"/>
        <w:jc w:val="both"/>
        <w:outlineLvl w:val="0"/>
        <w:rPr>
          <w:rFonts w:ascii="Book Antiqua" w:hAnsi="Book Antiqua" w:cs="Tahoma"/>
          <w:b/>
          <w:sz w:val="24"/>
          <w:szCs w:val="24"/>
        </w:rPr>
      </w:pPr>
      <w:bookmarkStart w:id="0" w:name="_Hlk516500106"/>
      <w:bookmarkStart w:id="1" w:name="_Hlk530736372"/>
      <w:bookmarkStart w:id="2" w:name="_Hlk517206330"/>
      <w:bookmarkStart w:id="3" w:name="_Hlk511588072"/>
      <w:r w:rsidRPr="006B24DA">
        <w:rPr>
          <w:rFonts w:ascii="Book Antiqua" w:hAnsi="Book Antiqua" w:cs="Tahoma"/>
          <w:b/>
          <w:sz w:val="24"/>
          <w:szCs w:val="24"/>
        </w:rPr>
        <w:t xml:space="preserve">Name of Journal: </w:t>
      </w:r>
      <w:r w:rsidRPr="006B24DA">
        <w:rPr>
          <w:rFonts w:ascii="Book Antiqua" w:hAnsi="Book Antiqua" w:cs="Tahoma"/>
          <w:b/>
          <w:i/>
          <w:sz w:val="24"/>
          <w:szCs w:val="24"/>
        </w:rPr>
        <w:t>World Journal of Gastroenterology</w:t>
      </w:r>
    </w:p>
    <w:p w14:paraId="64598791" w14:textId="77777777" w:rsidR="007761C0" w:rsidRPr="006B24DA" w:rsidRDefault="007761C0" w:rsidP="00F67887">
      <w:pPr>
        <w:adjustRightInd w:val="0"/>
        <w:snapToGrid w:val="0"/>
        <w:spacing w:after="0" w:line="360" w:lineRule="auto"/>
        <w:jc w:val="both"/>
        <w:outlineLvl w:val="0"/>
        <w:rPr>
          <w:rFonts w:ascii="Book Antiqua" w:eastAsia="宋体" w:hAnsi="Book Antiqua" w:cs="Tahoma"/>
          <w:b/>
          <w:sz w:val="24"/>
          <w:szCs w:val="24"/>
          <w:lang w:eastAsia="zh-CN"/>
        </w:rPr>
      </w:pPr>
      <w:r w:rsidRPr="006B24DA">
        <w:rPr>
          <w:rFonts w:ascii="Book Antiqua" w:hAnsi="Book Antiqua" w:cs="Tahoma"/>
          <w:b/>
          <w:sz w:val="24"/>
          <w:szCs w:val="24"/>
        </w:rPr>
        <w:t>Manuscript NO:</w:t>
      </w:r>
      <w:r w:rsidRPr="006B24DA">
        <w:rPr>
          <w:rFonts w:ascii="Book Antiqua" w:eastAsia="宋体" w:hAnsi="Book Antiqua" w:cs="Tahoma"/>
          <w:b/>
          <w:sz w:val="24"/>
          <w:szCs w:val="24"/>
          <w:lang w:eastAsia="zh-CN"/>
        </w:rPr>
        <w:t xml:space="preserve"> 44801</w:t>
      </w:r>
    </w:p>
    <w:p w14:paraId="59B2AA74" w14:textId="2B67EB9E" w:rsidR="007761C0" w:rsidRPr="006B24DA" w:rsidRDefault="007761C0" w:rsidP="003B13C7">
      <w:pPr>
        <w:shd w:val="clear" w:color="auto" w:fill="FFFFFF" w:themeFill="background1"/>
        <w:adjustRightInd w:val="0"/>
        <w:snapToGrid w:val="0"/>
        <w:spacing w:after="0" w:line="360" w:lineRule="auto"/>
        <w:jc w:val="both"/>
        <w:outlineLvl w:val="0"/>
        <w:rPr>
          <w:rFonts w:ascii="Book Antiqua" w:hAnsi="Book Antiqua" w:cs="Times New Roman"/>
          <w:b/>
          <w:bCs/>
          <w:color w:val="000000" w:themeColor="text1"/>
          <w:sz w:val="24"/>
          <w:szCs w:val="24"/>
        </w:rPr>
      </w:pPr>
      <w:r w:rsidRPr="006B24DA">
        <w:rPr>
          <w:rFonts w:ascii="Book Antiqua" w:hAnsi="Book Antiqua"/>
          <w:b/>
          <w:bCs/>
          <w:color w:val="000000"/>
          <w:sz w:val="24"/>
          <w:szCs w:val="24"/>
          <w:shd w:val="clear" w:color="auto" w:fill="FFFFFF"/>
        </w:rPr>
        <w:t>Manuscript Type</w:t>
      </w:r>
      <w:r w:rsidRPr="006B24DA">
        <w:rPr>
          <w:rFonts w:ascii="Book Antiqua" w:hAnsi="Book Antiqua" w:cs="Tahoma"/>
          <w:b/>
          <w:bCs/>
          <w:sz w:val="24"/>
          <w:szCs w:val="24"/>
        </w:rPr>
        <w:t>:</w:t>
      </w:r>
      <w:r w:rsidRPr="006B24DA">
        <w:rPr>
          <w:rFonts w:ascii="Book Antiqua" w:hAnsi="Book Antiqua"/>
          <w:b/>
          <w:bCs/>
          <w:sz w:val="24"/>
          <w:szCs w:val="24"/>
        </w:rPr>
        <w:t xml:space="preserve"> FRONTIER</w:t>
      </w:r>
    </w:p>
    <w:p w14:paraId="4CC6C724" w14:textId="77777777" w:rsidR="002E6245" w:rsidRPr="006B24DA" w:rsidRDefault="002E6245" w:rsidP="007761C0">
      <w:pPr>
        <w:shd w:val="clear" w:color="auto" w:fill="FFFFFF"/>
        <w:adjustRightInd w:val="0"/>
        <w:snapToGrid w:val="0"/>
        <w:spacing w:after="0" w:line="360" w:lineRule="auto"/>
        <w:jc w:val="both"/>
        <w:rPr>
          <w:rFonts w:ascii="Book Antiqua" w:hAnsi="Book Antiqua" w:cs="Times New Roman"/>
          <w:b/>
          <w:color w:val="000000" w:themeColor="text1"/>
          <w:sz w:val="24"/>
          <w:szCs w:val="24"/>
          <w:lang w:eastAsia="zh-CN"/>
        </w:rPr>
      </w:pPr>
    </w:p>
    <w:p w14:paraId="01805EA6" w14:textId="6765BEC2" w:rsidR="002E6245" w:rsidRPr="006B24DA" w:rsidRDefault="002E6245" w:rsidP="003B13C7">
      <w:pPr>
        <w:shd w:val="clear" w:color="auto" w:fill="FFFFFF" w:themeFill="background1"/>
        <w:adjustRightInd w:val="0"/>
        <w:snapToGrid w:val="0"/>
        <w:spacing w:after="0" w:line="360" w:lineRule="auto"/>
        <w:jc w:val="both"/>
        <w:outlineLvl w:val="0"/>
        <w:rPr>
          <w:rFonts w:ascii="Book Antiqua" w:hAnsi="Book Antiqua" w:cs="Times New Roman"/>
          <w:b/>
          <w:bCs/>
          <w:color w:val="000000" w:themeColor="text1"/>
          <w:sz w:val="24"/>
          <w:szCs w:val="24"/>
          <w:lang w:eastAsia="zh-CN"/>
        </w:rPr>
      </w:pPr>
      <w:bookmarkStart w:id="4" w:name="OLE_LINK29"/>
      <w:r w:rsidRPr="006B24DA">
        <w:rPr>
          <w:rFonts w:ascii="Book Antiqua" w:hAnsi="Book Antiqua" w:cs="Times New Roman"/>
          <w:b/>
          <w:bCs/>
          <w:color w:val="000000" w:themeColor="text1"/>
          <w:sz w:val="24"/>
          <w:szCs w:val="24"/>
        </w:rPr>
        <w:t>Endoscopic foregut surgery and interventions</w:t>
      </w:r>
      <w:bookmarkEnd w:id="0"/>
      <w:r w:rsidR="00E20495" w:rsidRPr="006B24DA">
        <w:rPr>
          <w:rFonts w:ascii="Book Antiqua" w:hAnsi="Book Antiqua" w:cs="Times New Roman"/>
          <w:b/>
          <w:bCs/>
          <w:color w:val="000000" w:themeColor="text1"/>
          <w:sz w:val="24"/>
          <w:szCs w:val="24"/>
        </w:rPr>
        <w:t xml:space="preserve">: The </w:t>
      </w:r>
      <w:r w:rsidRPr="006B24DA">
        <w:rPr>
          <w:rFonts w:ascii="Book Antiqua" w:hAnsi="Book Antiqua" w:cs="Times New Roman"/>
          <w:b/>
          <w:bCs/>
          <w:color w:val="000000" w:themeColor="text1"/>
          <w:sz w:val="24"/>
          <w:szCs w:val="24"/>
        </w:rPr>
        <w:t>future is now</w:t>
      </w:r>
      <w:bookmarkEnd w:id="4"/>
      <w:r w:rsidR="00E20495" w:rsidRPr="006B24DA">
        <w:rPr>
          <w:rFonts w:ascii="Book Antiqua" w:hAnsi="Book Antiqua" w:cs="Times New Roman"/>
          <w:b/>
          <w:bCs/>
          <w:color w:val="000000" w:themeColor="text1"/>
          <w:sz w:val="24"/>
          <w:szCs w:val="24"/>
        </w:rPr>
        <w:t xml:space="preserve"> </w:t>
      </w:r>
    </w:p>
    <w:bookmarkEnd w:id="1"/>
    <w:p w14:paraId="35C68C4A" w14:textId="77777777" w:rsidR="00B84D49" w:rsidRDefault="00B84D49">
      <w:pPr>
        <w:shd w:val="clear" w:color="auto" w:fill="FFFFFF" w:themeFill="background1"/>
        <w:adjustRightInd w:val="0"/>
        <w:snapToGrid w:val="0"/>
        <w:spacing w:after="0" w:line="360" w:lineRule="auto"/>
        <w:jc w:val="both"/>
        <w:outlineLvl w:val="0"/>
        <w:rPr>
          <w:rFonts w:ascii="Book Antiqua" w:hAnsi="Book Antiqua" w:cs="Times New Roman"/>
          <w:bCs/>
          <w:color w:val="000000" w:themeColor="text1"/>
          <w:sz w:val="24"/>
          <w:szCs w:val="24"/>
        </w:rPr>
      </w:pPr>
    </w:p>
    <w:p w14:paraId="364209BF" w14:textId="4A583A6F" w:rsidR="00E20495" w:rsidRPr="006B24DA" w:rsidRDefault="00B84D49">
      <w:pPr>
        <w:shd w:val="clear" w:color="auto" w:fill="FFFFFF" w:themeFill="background1"/>
        <w:adjustRightInd w:val="0"/>
        <w:snapToGrid w:val="0"/>
        <w:spacing w:after="0" w:line="360" w:lineRule="auto"/>
        <w:jc w:val="both"/>
        <w:outlineLvl w:val="0"/>
        <w:rPr>
          <w:rFonts w:ascii="Book Antiqua" w:hAnsi="Book Antiqua" w:cs="Times New Roman"/>
          <w:color w:val="000000" w:themeColor="text1"/>
          <w:sz w:val="24"/>
          <w:szCs w:val="24"/>
        </w:rPr>
      </w:pPr>
      <w:r w:rsidRPr="004F3ABE">
        <w:rPr>
          <w:rFonts w:ascii="Book Antiqua" w:hAnsi="Book Antiqua" w:cs="Times New Roman"/>
          <w:bCs/>
          <w:color w:val="000000" w:themeColor="text1"/>
          <w:sz w:val="24"/>
          <w:szCs w:val="24"/>
        </w:rPr>
        <w:t>Chang KJ.</w:t>
      </w:r>
      <w:r>
        <w:rPr>
          <w:rFonts w:ascii="Book Antiqua" w:hAnsi="Book Antiqua" w:cs="Times New Roman"/>
          <w:color w:val="000000" w:themeColor="text1"/>
          <w:sz w:val="24"/>
          <w:szCs w:val="24"/>
        </w:rPr>
        <w:t xml:space="preserve"> The s</w:t>
      </w:r>
      <w:r w:rsidRPr="004F3ABE">
        <w:rPr>
          <w:rFonts w:ascii="Book Antiqua" w:hAnsi="Book Antiqua" w:cs="Times New Roman"/>
          <w:color w:val="000000" w:themeColor="text1"/>
          <w:sz w:val="24"/>
          <w:szCs w:val="24"/>
        </w:rPr>
        <w:t>tate-of-the-art and my personal journey</w:t>
      </w:r>
      <w:r w:rsidR="00E20495" w:rsidRPr="006B24DA">
        <w:rPr>
          <w:rFonts w:ascii="Book Antiqua" w:hAnsi="Book Antiqua" w:cs="Times New Roman"/>
          <w:color w:val="000000" w:themeColor="text1"/>
          <w:sz w:val="24"/>
          <w:szCs w:val="24"/>
        </w:rPr>
        <w:t xml:space="preserve"> </w:t>
      </w:r>
    </w:p>
    <w:bookmarkEnd w:id="2"/>
    <w:p w14:paraId="1E7CA38E" w14:textId="77777777" w:rsidR="00E20495" w:rsidRPr="00B84D49" w:rsidRDefault="00E20495" w:rsidP="0077128A">
      <w:pPr>
        <w:shd w:val="clear" w:color="auto" w:fill="FFFFFF"/>
        <w:adjustRightInd w:val="0"/>
        <w:snapToGrid w:val="0"/>
        <w:spacing w:after="0" w:line="360" w:lineRule="auto"/>
        <w:jc w:val="both"/>
        <w:rPr>
          <w:rFonts w:ascii="Book Antiqua" w:hAnsi="Book Antiqua" w:cs="Times New Roman"/>
          <w:b/>
          <w:color w:val="000000" w:themeColor="text1"/>
          <w:sz w:val="24"/>
          <w:szCs w:val="24"/>
        </w:rPr>
      </w:pPr>
    </w:p>
    <w:p w14:paraId="2E9B36C9" w14:textId="3E3A7A51" w:rsidR="00E20495" w:rsidRPr="006B24DA" w:rsidRDefault="00E20495" w:rsidP="003B13C7">
      <w:pPr>
        <w:shd w:val="clear" w:color="auto" w:fill="FFFFFF" w:themeFill="background1"/>
        <w:adjustRightInd w:val="0"/>
        <w:snapToGrid w:val="0"/>
        <w:spacing w:after="0" w:line="360" w:lineRule="auto"/>
        <w:jc w:val="both"/>
        <w:outlineLvl w:val="0"/>
        <w:rPr>
          <w:rFonts w:ascii="Book Antiqua" w:hAnsi="Book Antiqua" w:cs="Times New Roman"/>
          <w:color w:val="000000" w:themeColor="text1"/>
          <w:sz w:val="24"/>
          <w:szCs w:val="24"/>
        </w:rPr>
      </w:pPr>
      <w:r w:rsidRPr="006B24DA">
        <w:rPr>
          <w:rFonts w:ascii="Book Antiqua" w:hAnsi="Book Antiqua" w:cs="Times New Roman"/>
          <w:color w:val="000000" w:themeColor="text1"/>
          <w:sz w:val="24"/>
          <w:szCs w:val="24"/>
        </w:rPr>
        <w:t>K</w:t>
      </w:r>
      <w:r w:rsidR="004F3ABE" w:rsidRPr="006B24DA">
        <w:rPr>
          <w:rFonts w:ascii="Book Antiqua" w:hAnsi="Book Antiqua" w:cs="Times New Roman"/>
          <w:color w:val="000000" w:themeColor="text1"/>
          <w:sz w:val="24"/>
          <w:szCs w:val="24"/>
        </w:rPr>
        <w:t>enneth J</w:t>
      </w:r>
      <w:r w:rsidRPr="006B24DA">
        <w:rPr>
          <w:rFonts w:ascii="Book Antiqua" w:hAnsi="Book Antiqua" w:cs="Times New Roman"/>
          <w:color w:val="000000" w:themeColor="text1"/>
          <w:sz w:val="24"/>
          <w:szCs w:val="24"/>
        </w:rPr>
        <w:t xml:space="preserve"> </w:t>
      </w:r>
      <w:bookmarkStart w:id="5" w:name="OLE_LINK33"/>
      <w:bookmarkStart w:id="6" w:name="OLE_LINK34"/>
      <w:r w:rsidRPr="006B24DA">
        <w:rPr>
          <w:rFonts w:ascii="Book Antiqua" w:hAnsi="Book Antiqua" w:cs="Times New Roman"/>
          <w:color w:val="000000" w:themeColor="text1"/>
          <w:sz w:val="24"/>
          <w:szCs w:val="24"/>
        </w:rPr>
        <w:t>C</w:t>
      </w:r>
      <w:r w:rsidR="004F3ABE" w:rsidRPr="006B24DA">
        <w:rPr>
          <w:rFonts w:ascii="Book Antiqua" w:hAnsi="Book Antiqua" w:cs="Times New Roman"/>
          <w:color w:val="000000" w:themeColor="text1"/>
          <w:sz w:val="24"/>
          <w:szCs w:val="24"/>
        </w:rPr>
        <w:t>hang</w:t>
      </w:r>
      <w:bookmarkEnd w:id="5"/>
      <w:bookmarkEnd w:id="6"/>
    </w:p>
    <w:p w14:paraId="3133301D" w14:textId="77777777" w:rsidR="0077128A" w:rsidRPr="006B24DA" w:rsidRDefault="0077128A" w:rsidP="007761C0">
      <w:pPr>
        <w:shd w:val="clear" w:color="auto" w:fill="FFFFFF"/>
        <w:adjustRightInd w:val="0"/>
        <w:snapToGrid w:val="0"/>
        <w:spacing w:after="0" w:line="360" w:lineRule="auto"/>
        <w:jc w:val="both"/>
        <w:rPr>
          <w:rFonts w:ascii="Book Antiqua" w:hAnsi="Book Antiqua" w:cs="Times New Roman"/>
          <w:b/>
          <w:bCs/>
          <w:color w:val="000000" w:themeColor="text1"/>
          <w:sz w:val="24"/>
          <w:szCs w:val="24"/>
        </w:rPr>
      </w:pPr>
    </w:p>
    <w:p w14:paraId="13917957" w14:textId="4424D695" w:rsidR="00E20495" w:rsidRPr="006B24DA" w:rsidRDefault="0077128A" w:rsidP="003B13C7">
      <w:pPr>
        <w:shd w:val="clear" w:color="auto" w:fill="FFFFFF" w:themeFill="background1"/>
        <w:adjustRightInd w:val="0"/>
        <w:snapToGrid w:val="0"/>
        <w:spacing w:after="0" w:line="360" w:lineRule="auto"/>
        <w:jc w:val="both"/>
        <w:rPr>
          <w:rFonts w:ascii="Book Antiqua" w:hAnsi="Book Antiqua" w:cs="Times New Roman"/>
          <w:color w:val="000000" w:themeColor="text1"/>
          <w:sz w:val="24"/>
          <w:szCs w:val="24"/>
        </w:rPr>
      </w:pPr>
      <w:r w:rsidRPr="006B24DA">
        <w:rPr>
          <w:rFonts w:ascii="Book Antiqua" w:hAnsi="Book Antiqua" w:cs="Times New Roman"/>
          <w:b/>
          <w:bCs/>
          <w:color w:val="000000" w:themeColor="text1"/>
          <w:sz w:val="24"/>
          <w:szCs w:val="24"/>
        </w:rPr>
        <w:t xml:space="preserve">Kenneth J Chang, </w:t>
      </w:r>
      <w:r w:rsidRPr="006B24DA">
        <w:rPr>
          <w:rFonts w:ascii="Book Antiqua" w:hAnsi="Book Antiqua" w:cs="Times New Roman"/>
          <w:color w:val="000000" w:themeColor="text1"/>
          <w:sz w:val="24"/>
          <w:szCs w:val="24"/>
        </w:rPr>
        <w:t>H</w:t>
      </w:r>
      <w:r w:rsidR="00B42F2F" w:rsidRPr="006B24DA">
        <w:rPr>
          <w:rFonts w:ascii="Book Antiqua" w:hAnsi="Book Antiqua" w:cs="Times New Roman"/>
          <w:color w:val="000000" w:themeColor="text1"/>
          <w:sz w:val="24"/>
          <w:szCs w:val="24"/>
        </w:rPr>
        <w:t>.</w:t>
      </w:r>
      <w:r w:rsidRPr="006B24DA">
        <w:rPr>
          <w:rFonts w:ascii="Book Antiqua" w:hAnsi="Book Antiqua" w:cs="Times New Roman"/>
          <w:color w:val="000000" w:themeColor="text1"/>
          <w:sz w:val="24"/>
          <w:szCs w:val="24"/>
        </w:rPr>
        <w:t>H</w:t>
      </w:r>
      <w:r w:rsidR="00B42F2F" w:rsidRPr="006B24DA">
        <w:rPr>
          <w:rFonts w:ascii="Book Antiqua" w:hAnsi="Book Antiqua" w:cs="Times New Roman"/>
          <w:color w:val="000000" w:themeColor="text1"/>
          <w:sz w:val="24"/>
          <w:szCs w:val="24"/>
        </w:rPr>
        <w:t>.</w:t>
      </w:r>
      <w:r w:rsidRPr="006B24DA">
        <w:rPr>
          <w:rFonts w:ascii="Book Antiqua" w:hAnsi="Book Antiqua" w:cs="Times New Roman"/>
          <w:color w:val="000000" w:themeColor="text1"/>
          <w:sz w:val="24"/>
          <w:szCs w:val="24"/>
        </w:rPr>
        <w:t xml:space="preserve"> Chao Comprehensive Digestive Disease Center, </w:t>
      </w:r>
      <w:r w:rsidR="00E20495" w:rsidRPr="006B24DA">
        <w:rPr>
          <w:rFonts w:ascii="Book Antiqua" w:hAnsi="Book Antiqua" w:cs="Times New Roman"/>
          <w:color w:val="000000" w:themeColor="text1"/>
          <w:sz w:val="24"/>
          <w:szCs w:val="24"/>
        </w:rPr>
        <w:t>University of California, Irvine</w:t>
      </w:r>
      <w:r w:rsidR="00B84D49">
        <w:rPr>
          <w:rFonts w:ascii="Book Antiqua" w:hAnsi="Book Antiqua" w:cs="Times New Roman"/>
          <w:color w:val="000000" w:themeColor="text1"/>
          <w:sz w:val="24"/>
          <w:szCs w:val="24"/>
        </w:rPr>
        <w:t xml:space="preserve"> Medical Center,</w:t>
      </w:r>
      <w:r w:rsidR="00E20495" w:rsidRPr="006B24DA">
        <w:rPr>
          <w:rFonts w:ascii="Book Antiqua" w:hAnsi="Book Antiqua" w:cs="Times New Roman"/>
          <w:color w:val="000000" w:themeColor="text1"/>
          <w:sz w:val="24"/>
          <w:szCs w:val="24"/>
        </w:rPr>
        <w:t xml:space="preserve"> </w:t>
      </w:r>
      <w:r w:rsidRPr="006B24DA">
        <w:rPr>
          <w:rFonts w:ascii="Book Antiqua" w:hAnsi="Book Antiqua" w:cs="Times New Roman"/>
          <w:color w:val="000000" w:themeColor="text1"/>
          <w:sz w:val="24"/>
          <w:szCs w:val="24"/>
        </w:rPr>
        <w:t>Orange, CA</w:t>
      </w:r>
      <w:r w:rsidR="00F67887" w:rsidRPr="006B24DA">
        <w:rPr>
          <w:rFonts w:ascii="Book Antiqua" w:hAnsi="Book Antiqua" w:cs="Times New Roman"/>
          <w:color w:val="000000" w:themeColor="text1"/>
          <w:sz w:val="24"/>
          <w:szCs w:val="24"/>
        </w:rPr>
        <w:t xml:space="preserve"> 92868</w:t>
      </w:r>
      <w:r w:rsidRPr="006B24DA">
        <w:rPr>
          <w:rFonts w:ascii="Book Antiqua" w:hAnsi="Book Antiqua" w:cs="Times New Roman"/>
          <w:color w:val="000000" w:themeColor="text1"/>
          <w:sz w:val="24"/>
          <w:szCs w:val="24"/>
        </w:rPr>
        <w:t xml:space="preserve">, </w:t>
      </w:r>
      <w:r w:rsidR="00F67887" w:rsidRPr="006B24DA">
        <w:rPr>
          <w:rFonts w:ascii="Book Antiqua" w:hAnsi="Book Antiqua" w:cs="Times New Roman"/>
          <w:color w:val="000000" w:themeColor="text1"/>
          <w:sz w:val="24"/>
          <w:szCs w:val="24"/>
        </w:rPr>
        <w:t>United States</w:t>
      </w:r>
    </w:p>
    <w:p w14:paraId="5CE0BD38" w14:textId="77777777" w:rsidR="00F67887" w:rsidRPr="006B24DA" w:rsidRDefault="00F67887" w:rsidP="007761C0">
      <w:pPr>
        <w:shd w:val="clear" w:color="auto" w:fill="FFFFFF"/>
        <w:adjustRightInd w:val="0"/>
        <w:snapToGrid w:val="0"/>
        <w:spacing w:after="0" w:line="360" w:lineRule="auto"/>
        <w:jc w:val="both"/>
        <w:rPr>
          <w:rFonts w:ascii="Book Antiqua" w:hAnsi="Book Antiqua" w:cs="Times New Roman"/>
          <w:bCs/>
          <w:color w:val="000000" w:themeColor="text1"/>
          <w:sz w:val="24"/>
          <w:szCs w:val="24"/>
        </w:rPr>
      </w:pPr>
    </w:p>
    <w:p w14:paraId="3B47CC47" w14:textId="34D1FC9A" w:rsidR="00F67887" w:rsidRPr="006B24DA" w:rsidRDefault="00F67887" w:rsidP="003B13C7">
      <w:pPr>
        <w:shd w:val="clear" w:color="auto" w:fill="FFFFFF" w:themeFill="background1"/>
        <w:adjustRightInd w:val="0"/>
        <w:snapToGrid w:val="0"/>
        <w:spacing w:after="0" w:line="360" w:lineRule="auto"/>
        <w:jc w:val="both"/>
        <w:outlineLvl w:val="0"/>
        <w:rPr>
          <w:rFonts w:ascii="Book Antiqua" w:eastAsia="Times New Roman" w:hAnsi="Book Antiqua" w:cs="Times New Roman"/>
          <w:color w:val="000000" w:themeColor="text1"/>
          <w:sz w:val="24"/>
          <w:szCs w:val="24"/>
        </w:rPr>
      </w:pPr>
      <w:r w:rsidRPr="006B24DA">
        <w:rPr>
          <w:rFonts w:ascii="Book Antiqua" w:hAnsi="Book Antiqua" w:cs="Times New Roman"/>
          <w:b/>
          <w:bCs/>
          <w:color w:val="000000" w:themeColor="text1"/>
          <w:sz w:val="24"/>
          <w:szCs w:val="24"/>
        </w:rPr>
        <w:t xml:space="preserve">ORCID number: </w:t>
      </w:r>
      <w:r w:rsidRPr="006B24DA">
        <w:rPr>
          <w:rFonts w:ascii="Book Antiqua" w:hAnsi="Book Antiqua" w:cs="Times New Roman"/>
          <w:color w:val="000000" w:themeColor="text1"/>
          <w:sz w:val="24"/>
          <w:szCs w:val="24"/>
        </w:rPr>
        <w:t>Kenneth J Chang (0000-0001-9897-277X).</w:t>
      </w:r>
    </w:p>
    <w:p w14:paraId="2CB51DDF" w14:textId="77777777" w:rsidR="00F67887" w:rsidRPr="006B24DA" w:rsidRDefault="00F67887" w:rsidP="007761C0">
      <w:pPr>
        <w:shd w:val="clear" w:color="auto" w:fill="FFFFFF"/>
        <w:adjustRightInd w:val="0"/>
        <w:snapToGrid w:val="0"/>
        <w:spacing w:after="0" w:line="360" w:lineRule="auto"/>
        <w:jc w:val="both"/>
        <w:rPr>
          <w:rFonts w:ascii="Book Antiqua" w:hAnsi="Book Antiqua" w:cs="Times New Roman"/>
          <w:bCs/>
          <w:color w:val="000000" w:themeColor="text1"/>
          <w:sz w:val="24"/>
          <w:szCs w:val="24"/>
        </w:rPr>
      </w:pPr>
    </w:p>
    <w:p w14:paraId="4EE8BA8C" w14:textId="77777777" w:rsidR="00E20495" w:rsidRPr="006B24DA" w:rsidRDefault="00E20495" w:rsidP="003B13C7">
      <w:pPr>
        <w:shd w:val="clear" w:color="auto" w:fill="FFFFFF" w:themeFill="background1"/>
        <w:adjustRightInd w:val="0"/>
        <w:snapToGrid w:val="0"/>
        <w:spacing w:after="0" w:line="360" w:lineRule="auto"/>
        <w:jc w:val="both"/>
        <w:rPr>
          <w:rFonts w:ascii="Book Antiqua" w:hAnsi="Book Antiqua" w:cs="Times New Roman"/>
          <w:color w:val="000000" w:themeColor="text1"/>
          <w:sz w:val="24"/>
          <w:szCs w:val="24"/>
        </w:rPr>
      </w:pPr>
      <w:r w:rsidRPr="006B24DA">
        <w:rPr>
          <w:rFonts w:ascii="Book Antiqua" w:hAnsi="Book Antiqua" w:cs="Times New Roman"/>
          <w:b/>
          <w:bCs/>
          <w:color w:val="000000" w:themeColor="text1"/>
          <w:sz w:val="24"/>
          <w:szCs w:val="24"/>
        </w:rPr>
        <w:t xml:space="preserve">Author contributions: </w:t>
      </w:r>
      <w:r w:rsidRPr="006B24DA">
        <w:rPr>
          <w:rFonts w:ascii="Book Antiqua" w:hAnsi="Book Antiqua" w:cs="Times New Roman"/>
          <w:color w:val="000000" w:themeColor="text1"/>
          <w:sz w:val="24"/>
          <w:szCs w:val="24"/>
        </w:rPr>
        <w:t>Chang KJ designed the overall concept, outline of this manuscript and was responsible for writing, and editing of the manuscript.</w:t>
      </w:r>
    </w:p>
    <w:p w14:paraId="5EA57F5D" w14:textId="77777777" w:rsidR="00F67887" w:rsidRPr="006B24DA" w:rsidRDefault="00F67887" w:rsidP="007761C0">
      <w:pPr>
        <w:shd w:val="clear" w:color="auto" w:fill="FFFFFF"/>
        <w:adjustRightInd w:val="0"/>
        <w:snapToGrid w:val="0"/>
        <w:spacing w:after="0" w:line="360" w:lineRule="auto"/>
        <w:jc w:val="both"/>
        <w:rPr>
          <w:rFonts w:ascii="Book Antiqua" w:eastAsia="Times New Roman" w:hAnsi="Book Antiqua" w:cs="Times New Roman"/>
          <w:b/>
          <w:bCs/>
          <w:color w:val="000000" w:themeColor="text1"/>
          <w:sz w:val="24"/>
          <w:szCs w:val="24"/>
        </w:rPr>
      </w:pPr>
    </w:p>
    <w:p w14:paraId="0E1406C7" w14:textId="7BB93C89" w:rsidR="00F67887" w:rsidRPr="006B24DA" w:rsidRDefault="00F67887" w:rsidP="003B13C7">
      <w:pPr>
        <w:shd w:val="clear" w:color="auto" w:fill="FFFFFF" w:themeFill="background1"/>
        <w:adjustRightInd w:val="0"/>
        <w:snapToGrid w:val="0"/>
        <w:spacing w:after="0" w:line="360" w:lineRule="auto"/>
        <w:jc w:val="both"/>
        <w:outlineLvl w:val="0"/>
        <w:rPr>
          <w:rFonts w:ascii="Book Antiqua" w:hAnsi="Book Antiqua"/>
          <w:color w:val="000000"/>
          <w:sz w:val="24"/>
          <w:szCs w:val="24"/>
        </w:rPr>
      </w:pPr>
      <w:r w:rsidRPr="006B24DA">
        <w:rPr>
          <w:rFonts w:ascii="Book Antiqua" w:hAnsi="Book Antiqua"/>
          <w:b/>
          <w:bCs/>
          <w:color w:val="000000"/>
          <w:sz w:val="24"/>
          <w:szCs w:val="24"/>
        </w:rPr>
        <w:t xml:space="preserve">Conflict-of-interest statement: </w:t>
      </w:r>
      <w:r w:rsidRPr="006B24DA">
        <w:rPr>
          <w:rFonts w:ascii="Book Antiqua" w:hAnsi="Book Antiqua"/>
          <w:color w:val="000000"/>
          <w:sz w:val="24"/>
          <w:szCs w:val="24"/>
        </w:rPr>
        <w:t>There’s no conflict of interest to declare.</w:t>
      </w:r>
    </w:p>
    <w:p w14:paraId="25605568" w14:textId="77777777" w:rsidR="00F67887" w:rsidRPr="006B24DA" w:rsidRDefault="00F67887" w:rsidP="00F67887">
      <w:pPr>
        <w:shd w:val="clear" w:color="auto" w:fill="FFFFFF"/>
        <w:adjustRightInd w:val="0"/>
        <w:snapToGrid w:val="0"/>
        <w:spacing w:after="0" w:line="360" w:lineRule="auto"/>
        <w:jc w:val="both"/>
        <w:rPr>
          <w:rFonts w:ascii="Book Antiqua" w:eastAsia="Times New Roman" w:hAnsi="Book Antiqua" w:cs="Times New Roman"/>
          <w:bCs/>
          <w:color w:val="000000" w:themeColor="text1"/>
          <w:sz w:val="24"/>
          <w:szCs w:val="24"/>
        </w:rPr>
      </w:pPr>
    </w:p>
    <w:p w14:paraId="6AD978CC" w14:textId="77777777" w:rsidR="00F67887" w:rsidRPr="006B24DA" w:rsidRDefault="00F67887" w:rsidP="00F67887">
      <w:pPr>
        <w:adjustRightInd w:val="0"/>
        <w:snapToGrid w:val="0"/>
        <w:spacing w:after="0" w:line="360" w:lineRule="auto"/>
        <w:jc w:val="both"/>
        <w:rPr>
          <w:rFonts w:ascii="Book Antiqua" w:hAnsi="Book Antiqua"/>
          <w:sz w:val="24"/>
          <w:szCs w:val="24"/>
        </w:rPr>
      </w:pPr>
      <w:bookmarkStart w:id="7" w:name="OLE_LINK25"/>
      <w:bookmarkStart w:id="8" w:name="OLE_LINK26"/>
      <w:bookmarkStart w:id="9" w:name="OLE_LINK375"/>
      <w:bookmarkStart w:id="10" w:name="OLE_LINK32"/>
      <w:r w:rsidRPr="006B24DA">
        <w:rPr>
          <w:rFonts w:ascii="Book Antiqua" w:hAnsi="Book Antiqua"/>
          <w:b/>
          <w:color w:val="000000"/>
          <w:sz w:val="24"/>
          <w:szCs w:val="24"/>
        </w:rPr>
        <w:t xml:space="preserve">Open-Access: </w:t>
      </w:r>
      <w:r w:rsidRPr="006B24DA">
        <w:rPr>
          <w:rFonts w:ascii="Book Antiqua" w:hAnsi="Book Antiqua"/>
          <w:color w:val="000000"/>
          <w:sz w:val="24"/>
          <w:szCs w:val="24"/>
        </w:rPr>
        <w:t xml:space="preserve">This is an </w:t>
      </w:r>
      <w:r w:rsidRPr="006B24DA">
        <w:rPr>
          <w:rFonts w:ascii="Book Antiqua" w:hAnsi="Book Antiqua" w:cs="宋体"/>
          <w:sz w:val="24"/>
          <w:szCs w:val="24"/>
        </w:rPr>
        <w:t xml:space="preserve">open-access article that was </w:t>
      </w:r>
      <w:r w:rsidRPr="006B24DA">
        <w:rPr>
          <w:rFonts w:ascii="Book Antiqua" w:hAnsi="Book Antiqua"/>
          <w:sz w:val="24"/>
          <w:szCs w:val="24"/>
        </w:rPr>
        <w:t xml:space="preserve">selected by an in-house editor and fully peer-reviewed by external reviewers. It is </w:t>
      </w:r>
      <w:r w:rsidRPr="006B24DA">
        <w:rPr>
          <w:rFonts w:ascii="Book Antiqua" w:hAnsi="Book Antiqua" w:cs="宋体"/>
          <w:sz w:val="24"/>
          <w:szCs w:val="24"/>
        </w:rPr>
        <w:t xml:space="preserve">distributed in accordance with </w:t>
      </w:r>
      <w:r w:rsidRPr="006B24DA">
        <w:rPr>
          <w:rFonts w:ascii="Book Antiqua" w:hAnsi="Book Antiqua"/>
          <w:sz w:val="24"/>
          <w:szCs w:val="24"/>
        </w:rPr>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6B24DA">
          <w:rPr>
            <w:rStyle w:val="a3"/>
            <w:rFonts w:ascii="Book Antiqua" w:hAnsi="Book Antiqua"/>
            <w:sz w:val="24"/>
            <w:szCs w:val="24"/>
          </w:rPr>
          <w:t>http://creativecommons.org/licenses/by-nc/4.0/</w:t>
        </w:r>
      </w:hyperlink>
    </w:p>
    <w:p w14:paraId="33FC1928" w14:textId="77777777" w:rsidR="00F67887" w:rsidRPr="006B24DA" w:rsidRDefault="00F67887" w:rsidP="00F67887">
      <w:pPr>
        <w:adjustRightInd w:val="0"/>
        <w:snapToGrid w:val="0"/>
        <w:spacing w:after="0" w:line="360" w:lineRule="auto"/>
        <w:jc w:val="both"/>
        <w:rPr>
          <w:rFonts w:ascii="Book Antiqua" w:hAnsi="Book Antiqua"/>
          <w:sz w:val="24"/>
          <w:szCs w:val="24"/>
        </w:rPr>
      </w:pPr>
    </w:p>
    <w:p w14:paraId="009B8F6A" w14:textId="2F23E13A" w:rsidR="00F67887" w:rsidRPr="006B24DA" w:rsidRDefault="00F67887" w:rsidP="003B13C7">
      <w:pPr>
        <w:shd w:val="clear" w:color="auto" w:fill="FFFFFF" w:themeFill="background1"/>
        <w:adjustRightInd w:val="0"/>
        <w:snapToGrid w:val="0"/>
        <w:spacing w:after="0" w:line="360" w:lineRule="auto"/>
        <w:jc w:val="both"/>
        <w:outlineLvl w:val="0"/>
        <w:rPr>
          <w:rFonts w:ascii="Book Antiqua" w:hAnsi="Book Antiqua" w:cs="Times New Roman"/>
          <w:sz w:val="24"/>
          <w:szCs w:val="24"/>
        </w:rPr>
      </w:pPr>
      <w:bookmarkStart w:id="11" w:name="OLE_LINK11"/>
      <w:r w:rsidRPr="006B24DA">
        <w:rPr>
          <w:rFonts w:ascii="Book Antiqua" w:hAnsi="Book Antiqua" w:cs="Times New Roman"/>
          <w:b/>
          <w:bCs/>
          <w:sz w:val="24"/>
          <w:szCs w:val="24"/>
        </w:rPr>
        <w:t>Manuscript source:</w:t>
      </w:r>
      <w:r w:rsidRPr="006B24DA">
        <w:rPr>
          <w:rFonts w:ascii="Book Antiqua" w:hAnsi="Book Antiqua" w:cs="Times New Roman"/>
          <w:b/>
          <w:bCs/>
          <w:sz w:val="24"/>
          <w:szCs w:val="24"/>
          <w:lang w:eastAsia="zh-CN"/>
        </w:rPr>
        <w:t xml:space="preserve"> </w:t>
      </w:r>
      <w:r w:rsidR="00B84D49">
        <w:rPr>
          <w:rFonts w:ascii="Book Antiqua" w:hAnsi="Book Antiqua" w:cs="Times New Roman"/>
          <w:sz w:val="24"/>
          <w:szCs w:val="24"/>
        </w:rPr>
        <w:t>Invited</w:t>
      </w:r>
      <w:r w:rsidR="00137281" w:rsidRPr="006B24DA">
        <w:rPr>
          <w:rFonts w:ascii="Book Antiqua" w:hAnsi="Book Antiqua" w:cs="Times New Roman"/>
          <w:sz w:val="24"/>
          <w:szCs w:val="24"/>
        </w:rPr>
        <w:t xml:space="preserve"> </w:t>
      </w:r>
      <w:r w:rsidRPr="006B24DA">
        <w:rPr>
          <w:rFonts w:ascii="Book Antiqua" w:hAnsi="Book Antiqua" w:cs="Times New Roman"/>
          <w:sz w:val="24"/>
          <w:szCs w:val="24"/>
        </w:rPr>
        <w:t>manuscript</w:t>
      </w:r>
      <w:bookmarkEnd w:id="7"/>
      <w:bookmarkEnd w:id="8"/>
      <w:bookmarkEnd w:id="9"/>
      <w:bookmarkEnd w:id="10"/>
      <w:bookmarkEnd w:id="11"/>
    </w:p>
    <w:p w14:paraId="79A92E67" w14:textId="77777777" w:rsidR="00F67887" w:rsidRPr="006B24DA" w:rsidRDefault="00F67887" w:rsidP="00F67887">
      <w:pPr>
        <w:shd w:val="clear" w:color="auto" w:fill="FFFFFF"/>
        <w:adjustRightInd w:val="0"/>
        <w:snapToGrid w:val="0"/>
        <w:spacing w:after="0" w:line="360" w:lineRule="auto"/>
        <w:jc w:val="both"/>
        <w:rPr>
          <w:rFonts w:ascii="Book Antiqua" w:eastAsia="Times New Roman" w:hAnsi="Book Antiqua" w:cs="Times New Roman"/>
          <w:bCs/>
          <w:color w:val="000000" w:themeColor="text1"/>
          <w:sz w:val="24"/>
          <w:szCs w:val="24"/>
        </w:rPr>
      </w:pPr>
    </w:p>
    <w:p w14:paraId="1D5DC4B2" w14:textId="69652BE4" w:rsidR="00F67887" w:rsidRPr="006B24DA" w:rsidRDefault="00F67887" w:rsidP="003B13C7">
      <w:pPr>
        <w:shd w:val="clear" w:color="auto" w:fill="FFFFFF" w:themeFill="background1"/>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hAnsi="Book Antiqua"/>
          <w:b/>
          <w:bCs/>
          <w:sz w:val="24"/>
          <w:szCs w:val="24"/>
        </w:rPr>
        <w:t>Corresponding author to:</w:t>
      </w:r>
      <w:r w:rsidR="00E20495" w:rsidRPr="006B24DA">
        <w:rPr>
          <w:rFonts w:ascii="Book Antiqua" w:eastAsia="Times New Roman" w:hAnsi="Book Antiqua" w:cs="Times New Roman"/>
          <w:color w:val="000000" w:themeColor="text1"/>
          <w:sz w:val="24"/>
          <w:szCs w:val="24"/>
        </w:rPr>
        <w:t xml:space="preserve"> </w:t>
      </w:r>
      <w:r w:rsidR="00E20495" w:rsidRPr="006B24DA">
        <w:rPr>
          <w:rFonts w:ascii="Book Antiqua" w:eastAsia="Times New Roman" w:hAnsi="Book Antiqua" w:cs="Times New Roman"/>
          <w:b/>
          <w:bCs/>
          <w:color w:val="000000" w:themeColor="text1"/>
          <w:sz w:val="24"/>
          <w:szCs w:val="24"/>
        </w:rPr>
        <w:t>K</w:t>
      </w:r>
      <w:r w:rsidRPr="006B24DA">
        <w:rPr>
          <w:rFonts w:ascii="Book Antiqua" w:eastAsia="Times New Roman" w:hAnsi="Book Antiqua" w:cs="Times New Roman"/>
          <w:b/>
          <w:bCs/>
          <w:color w:val="000000" w:themeColor="text1"/>
          <w:sz w:val="24"/>
          <w:szCs w:val="24"/>
        </w:rPr>
        <w:t>enneth J</w:t>
      </w:r>
      <w:r w:rsidR="00E20495" w:rsidRPr="006B24DA">
        <w:rPr>
          <w:rFonts w:ascii="Book Antiqua" w:eastAsia="Times New Roman" w:hAnsi="Book Antiqua" w:cs="Times New Roman"/>
          <w:b/>
          <w:bCs/>
          <w:color w:val="000000" w:themeColor="text1"/>
          <w:sz w:val="24"/>
          <w:szCs w:val="24"/>
        </w:rPr>
        <w:t xml:space="preserve"> Chang, </w:t>
      </w:r>
      <w:r w:rsidRPr="006B24DA">
        <w:rPr>
          <w:rFonts w:ascii="Book Antiqua" w:eastAsia="Times New Roman" w:hAnsi="Book Antiqua" w:cs="Times New Roman"/>
          <w:b/>
          <w:bCs/>
          <w:color w:val="000000" w:themeColor="text1"/>
          <w:sz w:val="24"/>
          <w:szCs w:val="24"/>
        </w:rPr>
        <w:t xml:space="preserve">FACG, FASGE, </w:t>
      </w:r>
      <w:r w:rsidR="00E20495" w:rsidRPr="006B24DA">
        <w:rPr>
          <w:rFonts w:ascii="Book Antiqua" w:eastAsia="Times New Roman" w:hAnsi="Book Antiqua" w:cs="Times New Roman"/>
          <w:b/>
          <w:bCs/>
          <w:color w:val="000000" w:themeColor="text1"/>
          <w:sz w:val="24"/>
          <w:szCs w:val="24"/>
        </w:rPr>
        <w:t xml:space="preserve">MD, </w:t>
      </w:r>
      <w:r w:rsidRPr="006B24DA">
        <w:rPr>
          <w:rFonts w:ascii="Book Antiqua" w:eastAsia="Times New Roman" w:hAnsi="Book Antiqua" w:cs="Times New Roman"/>
          <w:b/>
          <w:bCs/>
          <w:color w:val="000000" w:themeColor="text1"/>
          <w:sz w:val="24"/>
          <w:szCs w:val="24"/>
        </w:rPr>
        <w:t>Professor</w:t>
      </w:r>
      <w:r w:rsidR="00196EF1" w:rsidRPr="006B24DA">
        <w:rPr>
          <w:rFonts w:ascii="Book Antiqua" w:eastAsia="Times New Roman" w:hAnsi="Book Antiqua" w:cs="Times New Roman"/>
          <w:b/>
          <w:bCs/>
          <w:color w:val="000000" w:themeColor="text1"/>
          <w:sz w:val="24"/>
          <w:szCs w:val="24"/>
        </w:rPr>
        <w:t xml:space="preserve">, </w:t>
      </w:r>
      <w:r w:rsidR="00196EF1" w:rsidRPr="00B84D49">
        <w:rPr>
          <w:rFonts w:ascii="Book Antiqua" w:eastAsia="Times New Roman" w:hAnsi="Book Antiqua" w:cs="Times New Roman"/>
          <w:bCs/>
          <w:color w:val="000000" w:themeColor="text1"/>
          <w:sz w:val="24"/>
          <w:szCs w:val="24"/>
        </w:rPr>
        <w:t>Gastroenterology and Hepatology Division</w:t>
      </w:r>
      <w:r w:rsidR="00E20495" w:rsidRPr="00B84D49">
        <w:rPr>
          <w:rFonts w:ascii="Book Antiqua" w:eastAsia="Times New Roman" w:hAnsi="Book Antiqua" w:cs="Times New Roman"/>
          <w:bCs/>
          <w:color w:val="000000" w:themeColor="text1"/>
          <w:sz w:val="24"/>
          <w:szCs w:val="24"/>
        </w:rPr>
        <w:t>,</w:t>
      </w:r>
      <w:r w:rsidR="00E20495" w:rsidRPr="00B84D49">
        <w:rPr>
          <w:rFonts w:ascii="Book Antiqua" w:eastAsia="Times New Roman" w:hAnsi="Book Antiqua" w:cs="Times New Roman"/>
          <w:color w:val="000000" w:themeColor="text1"/>
          <w:sz w:val="24"/>
          <w:szCs w:val="24"/>
        </w:rPr>
        <w:t xml:space="preserve"> </w:t>
      </w:r>
      <w:r w:rsidRPr="00B84D49">
        <w:rPr>
          <w:rFonts w:ascii="Book Antiqua" w:hAnsi="Book Antiqua" w:cs="Times New Roman"/>
          <w:color w:val="000000" w:themeColor="text1"/>
          <w:sz w:val="24"/>
          <w:szCs w:val="24"/>
        </w:rPr>
        <w:t>H</w:t>
      </w:r>
      <w:r w:rsidR="00B42F2F" w:rsidRPr="006B24DA">
        <w:rPr>
          <w:rFonts w:ascii="Book Antiqua" w:hAnsi="Book Antiqua" w:cs="Times New Roman"/>
          <w:color w:val="000000" w:themeColor="text1"/>
          <w:sz w:val="24"/>
          <w:szCs w:val="24"/>
        </w:rPr>
        <w:t>.</w:t>
      </w:r>
      <w:r w:rsidRPr="006B24DA">
        <w:rPr>
          <w:rFonts w:ascii="Book Antiqua" w:hAnsi="Book Antiqua" w:cs="Times New Roman"/>
          <w:color w:val="000000" w:themeColor="text1"/>
          <w:sz w:val="24"/>
          <w:szCs w:val="24"/>
        </w:rPr>
        <w:t>H</w:t>
      </w:r>
      <w:r w:rsidR="00B42F2F" w:rsidRPr="006B24DA">
        <w:rPr>
          <w:rFonts w:ascii="Book Antiqua" w:hAnsi="Book Antiqua" w:cs="Times New Roman"/>
          <w:color w:val="000000" w:themeColor="text1"/>
          <w:sz w:val="24"/>
          <w:szCs w:val="24"/>
        </w:rPr>
        <w:t>.</w:t>
      </w:r>
      <w:r w:rsidRPr="006B24DA">
        <w:rPr>
          <w:rFonts w:ascii="Book Antiqua" w:hAnsi="Book Antiqua" w:cs="Times New Roman"/>
          <w:color w:val="000000" w:themeColor="text1"/>
          <w:sz w:val="24"/>
          <w:szCs w:val="24"/>
        </w:rPr>
        <w:t xml:space="preserve"> Chao Comprehensive Digestive Disease Center, University of California, Irvine</w:t>
      </w:r>
      <w:r w:rsidR="00196EF1" w:rsidRPr="006B24DA">
        <w:rPr>
          <w:rFonts w:ascii="Book Antiqua" w:hAnsi="Book Antiqua" w:cs="Times New Roman"/>
          <w:color w:val="000000" w:themeColor="text1"/>
          <w:sz w:val="24"/>
          <w:szCs w:val="24"/>
        </w:rPr>
        <w:t xml:space="preserve"> Medical Center</w:t>
      </w:r>
      <w:r w:rsidRPr="006B24DA">
        <w:rPr>
          <w:rFonts w:ascii="Book Antiqua" w:hAnsi="Book Antiqua" w:cs="Times New Roman"/>
          <w:color w:val="000000" w:themeColor="text1"/>
          <w:sz w:val="24"/>
          <w:szCs w:val="24"/>
        </w:rPr>
        <w:t>,</w:t>
      </w:r>
      <w:r w:rsidR="00E20495" w:rsidRPr="006B24DA">
        <w:rPr>
          <w:rFonts w:ascii="Book Antiqua" w:eastAsia="Times New Roman" w:hAnsi="Book Antiqua" w:cs="Times New Roman"/>
          <w:color w:val="000000" w:themeColor="text1"/>
          <w:sz w:val="24"/>
          <w:szCs w:val="24"/>
        </w:rPr>
        <w:t xml:space="preserve"> 101 The City Drive, Orange, CA 92868,</w:t>
      </w:r>
      <w:r w:rsidRPr="006B24DA">
        <w:rPr>
          <w:rFonts w:ascii="Book Antiqua" w:eastAsia="Times New Roman" w:hAnsi="Book Antiqua" w:cs="Times New Roman"/>
          <w:color w:val="000000" w:themeColor="text1"/>
          <w:sz w:val="24"/>
          <w:szCs w:val="24"/>
        </w:rPr>
        <w:t xml:space="preserve"> United States. kchang@uci.edu</w:t>
      </w:r>
    </w:p>
    <w:p w14:paraId="4CD3BBF4" w14:textId="77777777" w:rsidR="00F67887" w:rsidRPr="006B24DA" w:rsidRDefault="00E20495" w:rsidP="003B13C7">
      <w:pPr>
        <w:shd w:val="clear" w:color="auto" w:fill="FFFFFF" w:themeFill="background1"/>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b/>
          <w:bCs/>
          <w:color w:val="000000" w:themeColor="text1"/>
          <w:sz w:val="24"/>
          <w:szCs w:val="24"/>
        </w:rPr>
        <w:t>Tel</w:t>
      </w:r>
      <w:r w:rsidR="00F67887" w:rsidRPr="006B24DA">
        <w:rPr>
          <w:rFonts w:ascii="Book Antiqua" w:eastAsia="Times New Roman" w:hAnsi="Book Antiqua" w:cs="Times New Roman"/>
          <w:b/>
          <w:bCs/>
          <w:color w:val="000000" w:themeColor="text1"/>
          <w:sz w:val="24"/>
          <w:szCs w:val="24"/>
        </w:rPr>
        <w:t>ephone:</w:t>
      </w:r>
      <w:r w:rsidRPr="006B24DA">
        <w:rPr>
          <w:rFonts w:ascii="Book Antiqua" w:eastAsia="Times New Roman" w:hAnsi="Book Antiqua" w:cs="Times New Roman"/>
          <w:b/>
          <w:bCs/>
          <w:color w:val="000000" w:themeColor="text1"/>
          <w:sz w:val="24"/>
          <w:szCs w:val="24"/>
        </w:rPr>
        <w:t xml:space="preserve"> </w:t>
      </w:r>
      <w:r w:rsidR="00F67887" w:rsidRPr="006B24DA">
        <w:rPr>
          <w:rFonts w:ascii="Book Antiqua" w:eastAsia="Times New Roman" w:hAnsi="Book Antiqua" w:cs="Times New Roman"/>
          <w:color w:val="000000" w:themeColor="text1"/>
          <w:sz w:val="24"/>
          <w:szCs w:val="24"/>
        </w:rPr>
        <w:t>+1-714-4566187</w:t>
      </w:r>
    </w:p>
    <w:p w14:paraId="63D784EC" w14:textId="23D3FC19" w:rsidR="00E20495" w:rsidRPr="006B24DA" w:rsidRDefault="00E20495" w:rsidP="003B13C7">
      <w:pPr>
        <w:shd w:val="clear" w:color="auto" w:fill="FFFFFF" w:themeFill="background1"/>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b/>
          <w:bCs/>
          <w:color w:val="000000" w:themeColor="text1"/>
          <w:sz w:val="24"/>
          <w:szCs w:val="24"/>
        </w:rPr>
        <w:t>Fax</w:t>
      </w:r>
      <w:r w:rsidR="00F67887" w:rsidRPr="006B24DA">
        <w:rPr>
          <w:rFonts w:ascii="Book Antiqua" w:eastAsia="Times New Roman" w:hAnsi="Book Antiqua" w:cs="Times New Roman"/>
          <w:b/>
          <w:bCs/>
          <w:color w:val="000000" w:themeColor="text1"/>
          <w:sz w:val="24"/>
          <w:szCs w:val="24"/>
        </w:rPr>
        <w:t>:</w:t>
      </w:r>
      <w:r w:rsidRPr="006B24DA">
        <w:rPr>
          <w:rFonts w:ascii="Book Antiqua" w:eastAsia="Times New Roman" w:hAnsi="Book Antiqua" w:cs="Times New Roman"/>
          <w:b/>
          <w:bCs/>
          <w:color w:val="000000" w:themeColor="text1"/>
          <w:sz w:val="24"/>
          <w:szCs w:val="24"/>
        </w:rPr>
        <w:t xml:space="preserve"> </w:t>
      </w:r>
      <w:r w:rsidR="00F67887" w:rsidRPr="006B24DA">
        <w:rPr>
          <w:rFonts w:ascii="Book Antiqua" w:eastAsia="Times New Roman" w:hAnsi="Book Antiqua" w:cs="Times New Roman"/>
          <w:color w:val="000000" w:themeColor="text1"/>
          <w:sz w:val="24"/>
          <w:szCs w:val="24"/>
        </w:rPr>
        <w:t>+1-714-456</w:t>
      </w:r>
      <w:r w:rsidRPr="006B24DA">
        <w:rPr>
          <w:rFonts w:ascii="Book Antiqua" w:eastAsia="Times New Roman" w:hAnsi="Book Antiqua" w:cs="Times New Roman"/>
          <w:color w:val="000000" w:themeColor="text1"/>
          <w:sz w:val="24"/>
          <w:szCs w:val="24"/>
        </w:rPr>
        <w:t xml:space="preserve">7520 </w:t>
      </w:r>
    </w:p>
    <w:p w14:paraId="5E13358A" w14:textId="77777777" w:rsidR="00E20495" w:rsidRPr="006B24DA" w:rsidRDefault="00E20495" w:rsidP="00F67887">
      <w:pPr>
        <w:shd w:val="clear" w:color="auto" w:fill="FFFFFF"/>
        <w:adjustRightInd w:val="0"/>
        <w:snapToGrid w:val="0"/>
        <w:spacing w:after="0" w:line="360" w:lineRule="auto"/>
        <w:jc w:val="both"/>
        <w:rPr>
          <w:rFonts w:ascii="Book Antiqua" w:eastAsia="Times New Roman" w:hAnsi="Book Antiqua" w:cs="Times New Roman"/>
          <w:bCs/>
          <w:color w:val="000000" w:themeColor="text1"/>
          <w:sz w:val="24"/>
          <w:szCs w:val="24"/>
        </w:rPr>
      </w:pPr>
    </w:p>
    <w:p w14:paraId="75143932" w14:textId="13B4DE93" w:rsidR="00F67887" w:rsidRPr="006B24DA" w:rsidRDefault="00F67887" w:rsidP="00F67887">
      <w:pPr>
        <w:adjustRightInd w:val="0"/>
        <w:snapToGrid w:val="0"/>
        <w:spacing w:after="0" w:line="360" w:lineRule="auto"/>
        <w:jc w:val="both"/>
        <w:outlineLvl w:val="0"/>
        <w:rPr>
          <w:rFonts w:ascii="Book Antiqua" w:hAnsi="Book Antiqua"/>
          <w:b/>
          <w:sz w:val="24"/>
          <w:szCs w:val="24"/>
        </w:rPr>
      </w:pPr>
      <w:bookmarkStart w:id="12" w:name="OLE_LINK14"/>
      <w:bookmarkStart w:id="13" w:name="OLE_LINK16"/>
      <w:bookmarkStart w:id="14" w:name="OLE_LINK51"/>
      <w:bookmarkStart w:id="15" w:name="OLE_LINK27"/>
      <w:r w:rsidRPr="006B24DA">
        <w:rPr>
          <w:rFonts w:ascii="Book Antiqua" w:hAnsi="Book Antiqua"/>
          <w:b/>
          <w:sz w:val="24"/>
          <w:szCs w:val="24"/>
        </w:rPr>
        <w:t xml:space="preserve">Received: </w:t>
      </w:r>
      <w:bookmarkStart w:id="16" w:name="OLE_LINK20"/>
      <w:r w:rsidRPr="006B24DA">
        <w:rPr>
          <w:rFonts w:ascii="Book Antiqua" w:hAnsi="Book Antiqua"/>
          <w:sz w:val="24"/>
          <w:szCs w:val="24"/>
        </w:rPr>
        <w:t>November</w:t>
      </w:r>
      <w:r w:rsidRPr="006B24DA">
        <w:rPr>
          <w:rFonts w:ascii="Book Antiqua" w:eastAsia="DengXian" w:hAnsi="Book Antiqua"/>
          <w:sz w:val="24"/>
          <w:szCs w:val="24"/>
        </w:rPr>
        <w:t xml:space="preserve"> 28</w:t>
      </w:r>
      <w:bookmarkEnd w:id="16"/>
      <w:r w:rsidRPr="006B24DA">
        <w:rPr>
          <w:rFonts w:ascii="Book Antiqua" w:eastAsia="DengXian" w:hAnsi="Book Antiqua"/>
          <w:sz w:val="24"/>
          <w:szCs w:val="24"/>
        </w:rPr>
        <w:t>, 2018</w:t>
      </w:r>
      <w:r w:rsidR="002A29F4" w:rsidRPr="006B24DA">
        <w:rPr>
          <w:rFonts w:ascii="Book Antiqua" w:hAnsi="Book Antiqua"/>
          <w:b/>
          <w:sz w:val="24"/>
          <w:szCs w:val="24"/>
        </w:rPr>
        <w:t xml:space="preserve"> </w:t>
      </w:r>
    </w:p>
    <w:p w14:paraId="23E31C97" w14:textId="41C15E9C" w:rsidR="00F67887" w:rsidRPr="006B24DA" w:rsidRDefault="00F67887" w:rsidP="00F67887">
      <w:pPr>
        <w:adjustRightInd w:val="0"/>
        <w:snapToGrid w:val="0"/>
        <w:spacing w:after="0" w:line="360" w:lineRule="auto"/>
        <w:jc w:val="both"/>
        <w:outlineLvl w:val="0"/>
        <w:rPr>
          <w:rFonts w:ascii="Book Antiqua" w:eastAsia="DengXian" w:hAnsi="Book Antiqua"/>
          <w:b/>
          <w:sz w:val="24"/>
          <w:szCs w:val="24"/>
        </w:rPr>
      </w:pPr>
      <w:r w:rsidRPr="006B24DA">
        <w:rPr>
          <w:rFonts w:ascii="Book Antiqua" w:hAnsi="Book Antiqua"/>
          <w:b/>
          <w:sz w:val="24"/>
          <w:szCs w:val="24"/>
        </w:rPr>
        <w:t>Peer-review started:</w:t>
      </w:r>
      <w:r w:rsidRPr="006B24DA">
        <w:rPr>
          <w:rFonts w:ascii="Book Antiqua" w:eastAsia="DengXian" w:hAnsi="Book Antiqua"/>
          <w:b/>
          <w:sz w:val="24"/>
          <w:szCs w:val="24"/>
        </w:rPr>
        <w:t xml:space="preserve"> </w:t>
      </w:r>
      <w:r w:rsidRPr="006B24DA">
        <w:rPr>
          <w:rFonts w:ascii="Book Antiqua" w:hAnsi="Book Antiqua"/>
          <w:sz w:val="24"/>
          <w:szCs w:val="24"/>
        </w:rPr>
        <w:t>November</w:t>
      </w:r>
      <w:r w:rsidRPr="006B24DA">
        <w:rPr>
          <w:rFonts w:ascii="Book Antiqua" w:eastAsia="DengXian" w:hAnsi="Book Antiqua"/>
          <w:sz w:val="24"/>
          <w:szCs w:val="24"/>
        </w:rPr>
        <w:t xml:space="preserve"> 28, 2018</w:t>
      </w:r>
    </w:p>
    <w:p w14:paraId="5ACC9635" w14:textId="3BC68A8A" w:rsidR="00F67887" w:rsidRPr="006B24DA" w:rsidRDefault="00F67887" w:rsidP="00F67887">
      <w:pPr>
        <w:adjustRightInd w:val="0"/>
        <w:snapToGrid w:val="0"/>
        <w:spacing w:after="0" w:line="360" w:lineRule="auto"/>
        <w:jc w:val="both"/>
        <w:outlineLvl w:val="0"/>
        <w:rPr>
          <w:rFonts w:ascii="Book Antiqua" w:eastAsia="DengXian" w:hAnsi="Book Antiqua"/>
          <w:b/>
          <w:sz w:val="24"/>
          <w:szCs w:val="24"/>
        </w:rPr>
      </w:pPr>
      <w:r w:rsidRPr="006B24DA">
        <w:rPr>
          <w:rFonts w:ascii="Book Antiqua" w:hAnsi="Book Antiqua"/>
          <w:b/>
          <w:sz w:val="24"/>
          <w:szCs w:val="24"/>
        </w:rPr>
        <w:t>First decision:</w:t>
      </w:r>
      <w:r w:rsidRPr="006B24DA">
        <w:rPr>
          <w:rFonts w:ascii="Book Antiqua" w:eastAsia="DengXian" w:hAnsi="Book Antiqua"/>
          <w:b/>
          <w:sz w:val="24"/>
          <w:szCs w:val="24"/>
        </w:rPr>
        <w:t xml:space="preserve"> </w:t>
      </w:r>
      <w:r w:rsidR="00563A78" w:rsidRPr="006B24DA">
        <w:rPr>
          <w:rFonts w:ascii="Book Antiqua" w:eastAsia="DengXian" w:hAnsi="Book Antiqua"/>
          <w:sz w:val="24"/>
          <w:szCs w:val="24"/>
        </w:rPr>
        <w:t>December 5, 2018</w:t>
      </w:r>
    </w:p>
    <w:p w14:paraId="75AB68C9" w14:textId="6951B74C" w:rsidR="00F67887" w:rsidRPr="00B84D49" w:rsidRDefault="00F67887" w:rsidP="00F67887">
      <w:pPr>
        <w:adjustRightInd w:val="0"/>
        <w:snapToGrid w:val="0"/>
        <w:spacing w:after="0" w:line="360" w:lineRule="auto"/>
        <w:jc w:val="both"/>
        <w:outlineLvl w:val="0"/>
        <w:rPr>
          <w:rFonts w:ascii="Book Antiqua" w:hAnsi="Book Antiqua"/>
          <w:sz w:val="24"/>
          <w:szCs w:val="24"/>
        </w:rPr>
      </w:pPr>
      <w:r w:rsidRPr="006B24DA">
        <w:rPr>
          <w:rFonts w:ascii="Book Antiqua" w:hAnsi="Book Antiqua"/>
          <w:b/>
          <w:sz w:val="24"/>
          <w:szCs w:val="24"/>
        </w:rPr>
        <w:t>Revised:</w:t>
      </w:r>
      <w:r w:rsidRPr="00B84D49">
        <w:rPr>
          <w:rFonts w:ascii="Book Antiqua" w:hAnsi="Book Antiqua"/>
          <w:sz w:val="24"/>
          <w:szCs w:val="24"/>
        </w:rPr>
        <w:t xml:space="preserve"> </w:t>
      </w:r>
      <w:r w:rsidR="00B84D49" w:rsidRPr="00B84D49">
        <w:rPr>
          <w:rFonts w:ascii="Book Antiqua" w:hAnsi="Book Antiqua"/>
          <w:sz w:val="24"/>
          <w:szCs w:val="24"/>
        </w:rPr>
        <w:t>December 13, 2018</w:t>
      </w:r>
    </w:p>
    <w:p w14:paraId="4BDFD8AF" w14:textId="77777777" w:rsidR="00F67887" w:rsidRPr="006B24DA" w:rsidRDefault="00F67887" w:rsidP="00F67887">
      <w:pPr>
        <w:adjustRightInd w:val="0"/>
        <w:snapToGrid w:val="0"/>
        <w:spacing w:after="0" w:line="360" w:lineRule="auto"/>
        <w:jc w:val="both"/>
        <w:outlineLvl w:val="0"/>
        <w:rPr>
          <w:rFonts w:ascii="Book Antiqua" w:hAnsi="Book Antiqua"/>
          <w:b/>
          <w:sz w:val="24"/>
          <w:szCs w:val="24"/>
        </w:rPr>
      </w:pPr>
      <w:r w:rsidRPr="006B24DA">
        <w:rPr>
          <w:rFonts w:ascii="Book Antiqua" w:hAnsi="Book Antiqua"/>
          <w:b/>
          <w:sz w:val="24"/>
          <w:szCs w:val="24"/>
        </w:rPr>
        <w:t xml:space="preserve">Accepted: </w:t>
      </w:r>
    </w:p>
    <w:p w14:paraId="6588A08B" w14:textId="77777777" w:rsidR="00F67887" w:rsidRPr="006B24DA" w:rsidRDefault="00F67887" w:rsidP="00F67887">
      <w:pPr>
        <w:adjustRightInd w:val="0"/>
        <w:snapToGrid w:val="0"/>
        <w:spacing w:after="0" w:line="360" w:lineRule="auto"/>
        <w:jc w:val="both"/>
        <w:outlineLvl w:val="0"/>
        <w:rPr>
          <w:rFonts w:ascii="Book Antiqua" w:hAnsi="Book Antiqua"/>
          <w:b/>
          <w:sz w:val="24"/>
          <w:szCs w:val="24"/>
        </w:rPr>
      </w:pPr>
      <w:r w:rsidRPr="006B24DA">
        <w:rPr>
          <w:rFonts w:ascii="Book Antiqua" w:hAnsi="Book Antiqua"/>
          <w:b/>
          <w:sz w:val="24"/>
          <w:szCs w:val="24"/>
        </w:rPr>
        <w:t>Article in press:</w:t>
      </w:r>
    </w:p>
    <w:p w14:paraId="0B9569AA" w14:textId="4583CEB6" w:rsidR="00F67887" w:rsidRPr="006B24DA" w:rsidRDefault="00F67887" w:rsidP="003B13C7">
      <w:pPr>
        <w:shd w:val="clear" w:color="auto" w:fill="FFFFFF" w:themeFill="background1"/>
        <w:adjustRightInd w:val="0"/>
        <w:snapToGrid w:val="0"/>
        <w:spacing w:after="0" w:line="360" w:lineRule="auto"/>
        <w:jc w:val="both"/>
        <w:outlineLvl w:val="0"/>
        <w:rPr>
          <w:rFonts w:ascii="Book Antiqua" w:eastAsia="Times New Roman" w:hAnsi="Book Antiqua" w:cs="Times New Roman"/>
          <w:color w:val="000000" w:themeColor="text1"/>
          <w:sz w:val="24"/>
          <w:szCs w:val="24"/>
        </w:rPr>
      </w:pPr>
      <w:r w:rsidRPr="006B24DA">
        <w:rPr>
          <w:rFonts w:ascii="Book Antiqua" w:hAnsi="Book Antiqua"/>
          <w:b/>
          <w:bCs/>
          <w:sz w:val="24"/>
          <w:szCs w:val="24"/>
        </w:rPr>
        <w:t>Published online:</w:t>
      </w:r>
      <w:bookmarkEnd w:id="12"/>
      <w:bookmarkEnd w:id="13"/>
      <w:bookmarkEnd w:id="14"/>
      <w:bookmarkEnd w:id="15"/>
    </w:p>
    <w:p w14:paraId="21F9C6E0" w14:textId="77777777" w:rsidR="00E20495" w:rsidRPr="006B24DA" w:rsidRDefault="00E20495" w:rsidP="00F67887">
      <w:pPr>
        <w:adjustRightInd w:val="0"/>
        <w:snapToGrid w:val="0"/>
        <w:spacing w:after="0" w:line="360" w:lineRule="auto"/>
        <w:jc w:val="both"/>
        <w:rPr>
          <w:rFonts w:ascii="Book Antiqua" w:eastAsia="Times New Roman" w:hAnsi="Book Antiqua" w:cs="Times New Roman"/>
          <w:b/>
          <w:bCs/>
          <w:i/>
          <w:color w:val="000000" w:themeColor="text1"/>
          <w:sz w:val="24"/>
          <w:szCs w:val="24"/>
        </w:rPr>
      </w:pPr>
      <w:r w:rsidRPr="006B24DA">
        <w:rPr>
          <w:rFonts w:ascii="Book Antiqua" w:eastAsia="Times New Roman" w:hAnsi="Book Antiqua" w:cs="Times New Roman"/>
          <w:b/>
          <w:bCs/>
          <w:i/>
          <w:color w:val="000000" w:themeColor="text1"/>
          <w:sz w:val="24"/>
          <w:szCs w:val="24"/>
        </w:rPr>
        <w:br w:type="page"/>
      </w:r>
    </w:p>
    <w:p w14:paraId="064F4DC1" w14:textId="0F6E23D9" w:rsidR="00E20495" w:rsidRPr="006B24DA" w:rsidRDefault="00F67887" w:rsidP="003B13C7">
      <w:pPr>
        <w:shd w:val="clear" w:color="auto" w:fill="FFFFFF" w:themeFill="background1"/>
        <w:adjustRightInd w:val="0"/>
        <w:snapToGrid w:val="0"/>
        <w:spacing w:after="0" w:line="360" w:lineRule="auto"/>
        <w:jc w:val="both"/>
        <w:outlineLvl w:val="0"/>
        <w:rPr>
          <w:rFonts w:ascii="Book Antiqua" w:eastAsia="Times New Roman" w:hAnsi="Book Antiqua" w:cs="Times New Roman"/>
          <w:b/>
          <w:bCs/>
          <w:color w:val="000000" w:themeColor="text1"/>
          <w:sz w:val="24"/>
          <w:szCs w:val="24"/>
        </w:rPr>
      </w:pPr>
      <w:bookmarkStart w:id="17" w:name="_Hlk524025207"/>
      <w:r w:rsidRPr="006B24DA">
        <w:rPr>
          <w:rFonts w:ascii="Book Antiqua" w:eastAsia="Times New Roman" w:hAnsi="Book Antiqua" w:cs="Times New Roman"/>
          <w:b/>
          <w:bCs/>
          <w:color w:val="000000" w:themeColor="text1"/>
          <w:sz w:val="24"/>
          <w:szCs w:val="24"/>
        </w:rPr>
        <w:lastRenderedPageBreak/>
        <w:t>Abstract</w:t>
      </w:r>
    </w:p>
    <w:bookmarkEnd w:id="17"/>
    <w:p w14:paraId="52D0345C" w14:textId="65B7125E" w:rsidR="004C769E" w:rsidRPr="006B24DA" w:rsidRDefault="004C769E" w:rsidP="004C769E">
      <w:pPr>
        <w:adjustRightInd w:val="0"/>
        <w:snapToGrid w:val="0"/>
        <w:spacing w:after="0" w:line="360" w:lineRule="auto"/>
        <w:jc w:val="both"/>
        <w:rPr>
          <w:rFonts w:ascii="Book Antiqua" w:eastAsia="Times New Roman" w:hAnsi="Book Antiqua" w:cs="Times New Roman"/>
          <w:bCs/>
          <w:color w:val="000000" w:themeColor="text1"/>
          <w:sz w:val="24"/>
          <w:szCs w:val="24"/>
        </w:rPr>
      </w:pPr>
      <w:r w:rsidRPr="006B24DA">
        <w:rPr>
          <w:rFonts w:ascii="Book Antiqua" w:eastAsia="Times New Roman" w:hAnsi="Book Antiqua" w:cs="Times New Roman"/>
          <w:bCs/>
          <w:color w:val="000000" w:themeColor="text1"/>
          <w:sz w:val="24"/>
          <w:szCs w:val="24"/>
        </w:rPr>
        <w:t xml:space="preserve">In this paper, I reviewed the emerging field of endoscopic surgery and present data supporting the contention that endoscopy can now be used to treat many foregut diseases that have been traditionally treated surgically. Within each topic, the content will progress as follows: “lessons learned”, “technical considerations” and “future opportunities”. Lessons learned will </w:t>
      </w:r>
      <w:r w:rsidRPr="006B24DA">
        <w:rPr>
          <w:rFonts w:ascii="Book Antiqua" w:eastAsia="Times New Roman" w:hAnsi="Book Antiqua" w:cs="Times New Roman"/>
          <w:color w:val="000000" w:themeColor="text1"/>
          <w:sz w:val="24"/>
          <w:szCs w:val="24"/>
          <w:shd w:val="clear" w:color="auto" w:fill="FFFFFF"/>
        </w:rPr>
        <w:t xml:space="preserve">provide a brief background and update on the most current literature. Technical considerations will include my personal experience, including tips and tricks that I have learned over the years. Finally, future opportunities will address current unmet needs and potential new areas of development. </w:t>
      </w:r>
      <w:r w:rsidRPr="006B24DA">
        <w:rPr>
          <w:rFonts w:ascii="Book Antiqua" w:eastAsia="Times New Roman" w:hAnsi="Book Antiqua" w:cs="Times New Roman"/>
          <w:bCs/>
          <w:color w:val="000000" w:themeColor="text1"/>
          <w:sz w:val="24"/>
          <w:szCs w:val="24"/>
        </w:rPr>
        <w:t xml:space="preserve">The foregut is defined as “the upper part of the embryonic alimentary canal from which the pharynx, esophagus, lung, stomach, liver, pancreas, and part of the duodenum develop”. Foregut surgery is well established in treating conditions such as gastroesophageal reflux disease (GERD), achalasia, esophageal diverticula, Barrett’s esophagus (BE) and esophageal cancer, stomach cancer, gastric-outlet obstruction, and obesity. Over the past decade, remarkable progress in interventional endoscopy has culminated in the conceptualization and practice of endoscopic foregut surgery for various clinical conditions summarized in this paper. Regarding GERD, there are now several technologies available to effectively treat it and potentially eliminate symptoms, and the need for long-term treatment with proton pump inhibitors. For the first time, fundoplication can be performed without the need for open or laparoscopic surgery. Long-term data going out 5-10 years are now emerging showing extended durability. In respect to achalasia, per-oral endoscopic </w:t>
      </w:r>
      <w:proofErr w:type="spellStart"/>
      <w:r w:rsidRPr="006B24DA">
        <w:rPr>
          <w:rFonts w:ascii="Book Antiqua" w:eastAsia="Times New Roman" w:hAnsi="Book Antiqua" w:cs="Times New Roman"/>
          <w:bCs/>
          <w:color w:val="000000" w:themeColor="text1"/>
          <w:sz w:val="24"/>
          <w:szCs w:val="24"/>
        </w:rPr>
        <w:t>myotomy</w:t>
      </w:r>
      <w:proofErr w:type="spellEnd"/>
      <w:r w:rsidRPr="006B24DA">
        <w:rPr>
          <w:rFonts w:ascii="Book Antiqua" w:eastAsia="Times New Roman" w:hAnsi="Book Antiqua" w:cs="Times New Roman"/>
          <w:bCs/>
          <w:color w:val="000000" w:themeColor="text1"/>
          <w:sz w:val="24"/>
          <w:szCs w:val="24"/>
        </w:rPr>
        <w:t xml:space="preserve"> (POEM) which was developed in </w:t>
      </w:r>
      <w:proofErr w:type="gramStart"/>
      <w:r w:rsidRPr="006B24DA">
        <w:rPr>
          <w:rFonts w:ascii="Book Antiqua" w:eastAsia="Times New Roman" w:hAnsi="Book Antiqua" w:cs="Times New Roman"/>
          <w:bCs/>
          <w:color w:val="000000" w:themeColor="text1"/>
          <w:sz w:val="24"/>
          <w:szCs w:val="24"/>
        </w:rPr>
        <w:t>Japan,</w:t>
      </w:r>
      <w:proofErr w:type="gramEnd"/>
      <w:r w:rsidRPr="006B24DA">
        <w:rPr>
          <w:rFonts w:ascii="Book Antiqua" w:eastAsia="Times New Roman" w:hAnsi="Book Antiqua" w:cs="Times New Roman"/>
          <w:bCs/>
          <w:color w:val="000000" w:themeColor="text1"/>
          <w:sz w:val="24"/>
          <w:szCs w:val="24"/>
        </w:rPr>
        <w:t xml:space="preserve"> has become an alternative to the traditional Heller’s </w:t>
      </w:r>
      <w:proofErr w:type="spellStart"/>
      <w:r w:rsidRPr="006B24DA">
        <w:rPr>
          <w:rFonts w:ascii="Book Antiqua" w:eastAsia="Times New Roman" w:hAnsi="Book Antiqua" w:cs="Times New Roman"/>
          <w:bCs/>
          <w:color w:val="000000" w:themeColor="text1"/>
          <w:sz w:val="24"/>
          <w:szCs w:val="24"/>
        </w:rPr>
        <w:t>myotomy</w:t>
      </w:r>
      <w:proofErr w:type="spellEnd"/>
      <w:r w:rsidRPr="006B24DA">
        <w:rPr>
          <w:rFonts w:ascii="Book Antiqua" w:eastAsia="Times New Roman" w:hAnsi="Book Antiqua" w:cs="Times New Roman"/>
          <w:bCs/>
          <w:color w:val="000000" w:themeColor="text1"/>
          <w:sz w:val="24"/>
          <w:szCs w:val="24"/>
        </w:rPr>
        <w:t xml:space="preserve">. Recent meta-analysis show that POEM may have better results than Heller, but the issue of post-POEM GERD still needs to be addressed. There is now a resurgence of endoscopic treatment of </w:t>
      </w:r>
      <w:proofErr w:type="spellStart"/>
      <w:r w:rsidRPr="006B24DA">
        <w:rPr>
          <w:rFonts w:ascii="Book Antiqua" w:eastAsia="Times New Roman" w:hAnsi="Book Antiqua" w:cs="Times New Roman"/>
          <w:bCs/>
          <w:color w:val="000000" w:themeColor="text1"/>
          <w:sz w:val="24"/>
          <w:szCs w:val="24"/>
        </w:rPr>
        <w:t>Zenker’s</w:t>
      </w:r>
      <w:proofErr w:type="spellEnd"/>
      <w:r w:rsidRPr="006B24DA">
        <w:rPr>
          <w:rFonts w:ascii="Book Antiqua" w:eastAsia="Times New Roman" w:hAnsi="Book Antiqua" w:cs="Times New Roman"/>
          <w:bCs/>
          <w:color w:val="000000" w:themeColor="text1"/>
          <w:sz w:val="24"/>
          <w:szCs w:val="24"/>
        </w:rPr>
        <w:t xml:space="preserve"> diverticula with improved technique (Z-POEM) and equipment; thus, patients are choosing flexible endoscopic treatment as opposed to open or rigid endoscopy options. In regard to BE, endoscopic submucosal dissection (ESD) well established in Asia, is now becoming more mainstream in the West for the treatment of </w:t>
      </w:r>
      <w:r w:rsidRPr="006B24DA">
        <w:rPr>
          <w:rFonts w:ascii="Book Antiqua" w:eastAsia="Times New Roman" w:hAnsi="Book Antiqua" w:cs="Times New Roman"/>
          <w:bCs/>
          <w:color w:val="000000" w:themeColor="text1"/>
          <w:sz w:val="24"/>
          <w:szCs w:val="24"/>
        </w:rPr>
        <w:lastRenderedPageBreak/>
        <w:t xml:space="preserve">BE with high grade dysplasia, as well as early esophageal cancer. In combination with all the ablation technologies (radiofrequency ablation, cryotherapy, hybrid argon plasma coagulation), the entire spectrum of Barrett’s and related dysplasia and early cancer can be managed predominantly by endoscopy. </w:t>
      </w:r>
    </w:p>
    <w:p w14:paraId="187592BA" w14:textId="5A6EAA4F" w:rsidR="004C769E" w:rsidRPr="006B24DA" w:rsidRDefault="00A00023" w:rsidP="004C769E">
      <w:pPr>
        <w:adjustRightInd w:val="0"/>
        <w:snapToGrid w:val="0"/>
        <w:spacing w:after="0" w:line="360" w:lineRule="auto"/>
        <w:jc w:val="both"/>
        <w:rPr>
          <w:rFonts w:ascii="Book Antiqua" w:eastAsia="Times New Roman" w:hAnsi="Book Antiqua" w:cs="Times New Roman"/>
          <w:color w:val="000000" w:themeColor="text1"/>
          <w:sz w:val="24"/>
          <w:szCs w:val="24"/>
          <w:shd w:val="clear" w:color="auto" w:fill="FFFFFF"/>
        </w:rPr>
      </w:pPr>
      <w:r>
        <w:rPr>
          <w:rFonts w:ascii="Book Antiqua" w:eastAsia="Times New Roman" w:hAnsi="Book Antiqua" w:cs="Times New Roman"/>
          <w:bCs/>
          <w:color w:val="000000" w:themeColor="text1"/>
          <w:sz w:val="24"/>
          <w:szCs w:val="24"/>
        </w:rPr>
        <w:t xml:space="preserve">  </w:t>
      </w:r>
      <w:r w:rsidR="004C769E" w:rsidRPr="006B24DA">
        <w:rPr>
          <w:rFonts w:ascii="Book Antiqua" w:eastAsia="Times New Roman" w:hAnsi="Book Antiqua" w:cs="Times New Roman"/>
          <w:bCs/>
          <w:color w:val="000000" w:themeColor="text1"/>
          <w:sz w:val="24"/>
          <w:szCs w:val="24"/>
        </w:rPr>
        <w:t xml:space="preserve">Importantly, in regard to early gastric cancer and submucosal tumors (SMTs) of the stomach, ESD and full thickness resection (FTR) can excise these lesions </w:t>
      </w:r>
      <w:proofErr w:type="spellStart"/>
      <w:r w:rsidR="004C769E" w:rsidRPr="006B24DA">
        <w:rPr>
          <w:rFonts w:ascii="Book Antiqua" w:eastAsia="Times New Roman" w:hAnsi="Book Antiqua" w:cs="Times New Roman"/>
          <w:bCs/>
          <w:i/>
          <w:color w:val="000000" w:themeColor="text1"/>
          <w:sz w:val="24"/>
          <w:szCs w:val="24"/>
        </w:rPr>
        <w:t>en</w:t>
      </w:r>
      <w:proofErr w:type="spellEnd"/>
      <w:r w:rsidR="004C769E" w:rsidRPr="006B24DA">
        <w:rPr>
          <w:rFonts w:ascii="Book Antiqua" w:eastAsia="Times New Roman" w:hAnsi="Book Antiqua" w:cs="Times New Roman"/>
          <w:bCs/>
          <w:i/>
          <w:color w:val="000000" w:themeColor="text1"/>
          <w:sz w:val="24"/>
          <w:szCs w:val="24"/>
        </w:rPr>
        <w:t>-bloc</w:t>
      </w:r>
      <w:r w:rsidR="004C769E" w:rsidRPr="006B24DA">
        <w:rPr>
          <w:rFonts w:ascii="Book Antiqua" w:eastAsia="Times New Roman" w:hAnsi="Book Antiqua" w:cs="Times New Roman"/>
          <w:bCs/>
          <w:color w:val="000000" w:themeColor="text1"/>
          <w:sz w:val="24"/>
          <w:szCs w:val="24"/>
        </w:rPr>
        <w:t xml:space="preserve"> and endoscopic suturing is now used to close large defects and perforations.</w:t>
      </w:r>
      <w:r w:rsidR="00820109">
        <w:rPr>
          <w:rFonts w:ascii="Book Antiqua" w:eastAsia="Times New Roman" w:hAnsi="Book Antiqua" w:cs="Times New Roman"/>
          <w:bCs/>
          <w:color w:val="000000" w:themeColor="text1"/>
          <w:sz w:val="24"/>
          <w:szCs w:val="24"/>
        </w:rPr>
        <w:t xml:space="preserve"> </w:t>
      </w:r>
      <w:r w:rsidR="004C769E" w:rsidRPr="006B24DA">
        <w:rPr>
          <w:rFonts w:ascii="Book Antiqua" w:eastAsia="Times New Roman" w:hAnsi="Book Antiqua" w:cs="Times New Roman"/>
          <w:bCs/>
          <w:color w:val="000000" w:themeColor="text1"/>
          <w:sz w:val="24"/>
          <w:szCs w:val="24"/>
        </w:rPr>
        <w:t>For treatment of patients with malignant gastric outlet obstruction (GOO), endoscopic gastro-</w:t>
      </w:r>
      <w:proofErr w:type="spellStart"/>
      <w:r w:rsidR="004C769E" w:rsidRPr="006B24DA">
        <w:rPr>
          <w:rFonts w:ascii="Book Antiqua" w:eastAsia="Times New Roman" w:hAnsi="Book Antiqua" w:cs="Times New Roman"/>
          <w:bCs/>
          <w:color w:val="000000" w:themeColor="text1"/>
          <w:sz w:val="24"/>
          <w:szCs w:val="24"/>
        </w:rPr>
        <w:t>jejunostomy</w:t>
      </w:r>
      <w:proofErr w:type="spellEnd"/>
      <w:r w:rsidR="004C769E" w:rsidRPr="006B24DA">
        <w:rPr>
          <w:rFonts w:ascii="Book Antiqua" w:eastAsia="Times New Roman" w:hAnsi="Book Antiqua" w:cs="Times New Roman"/>
          <w:bCs/>
          <w:color w:val="000000" w:themeColor="text1"/>
          <w:sz w:val="24"/>
          <w:szCs w:val="24"/>
        </w:rPr>
        <w:t xml:space="preserve"> is now showing better results than enteral stenting. G-POEM is also emerging as a treatment option for patients with gastroparesis. Obesity has become an epidemic in many western countries and is becoming also prevalent in Asia. Endoscopic sleeve </w:t>
      </w:r>
      <w:proofErr w:type="spellStart"/>
      <w:r w:rsidR="004C769E" w:rsidRPr="006B24DA">
        <w:rPr>
          <w:rFonts w:ascii="Book Antiqua" w:eastAsia="Times New Roman" w:hAnsi="Book Antiqua" w:cs="Times New Roman"/>
          <w:bCs/>
          <w:color w:val="000000" w:themeColor="text1"/>
          <w:sz w:val="24"/>
          <w:szCs w:val="24"/>
        </w:rPr>
        <w:t>gastroplasty</w:t>
      </w:r>
      <w:proofErr w:type="spellEnd"/>
      <w:r w:rsidR="004C769E" w:rsidRPr="006B24DA">
        <w:rPr>
          <w:rFonts w:ascii="Book Antiqua" w:eastAsia="Times New Roman" w:hAnsi="Book Antiqua" w:cs="Times New Roman"/>
          <w:bCs/>
          <w:color w:val="000000" w:themeColor="text1"/>
          <w:sz w:val="24"/>
          <w:szCs w:val="24"/>
        </w:rPr>
        <w:t xml:space="preserve"> (ESG) is now becoming an established treatment option, especially for obese patients with body mass index between 30 and 35. Data show an average weight loss of 16 kg after ESG with long-term data confirming sustainability. Finally, in respect to endo-hepatology, there are many new endoscopic interventions that have been developed for patients with liver diseas</w:t>
      </w:r>
      <w:r>
        <w:rPr>
          <w:rFonts w:ascii="Book Antiqua" w:eastAsia="Times New Roman" w:hAnsi="Book Antiqua" w:cs="Times New Roman"/>
          <w:bCs/>
          <w:color w:val="000000" w:themeColor="text1"/>
          <w:sz w:val="24"/>
          <w:szCs w:val="24"/>
        </w:rPr>
        <w:t>e. Endoscopic ultrasound (EUS)-</w:t>
      </w:r>
      <w:r w:rsidR="004C769E" w:rsidRPr="006B24DA">
        <w:rPr>
          <w:rFonts w:ascii="Book Antiqua" w:eastAsia="Times New Roman" w:hAnsi="Book Antiqua" w:cs="Times New Roman"/>
          <w:bCs/>
          <w:color w:val="000000" w:themeColor="text1"/>
          <w:sz w:val="24"/>
          <w:szCs w:val="24"/>
        </w:rPr>
        <w:t>guided liver biopsy and EUS-guided portal pressure measurement are exciting new frontiers for the endo-</w:t>
      </w:r>
      <w:proofErr w:type="spellStart"/>
      <w:r w:rsidR="004C769E" w:rsidRPr="006B24DA">
        <w:rPr>
          <w:rFonts w:ascii="Book Antiqua" w:eastAsia="Times New Roman" w:hAnsi="Book Antiqua" w:cs="Times New Roman"/>
          <w:bCs/>
          <w:color w:val="000000" w:themeColor="text1"/>
          <w:sz w:val="24"/>
          <w:szCs w:val="24"/>
        </w:rPr>
        <w:t>hepatologists</w:t>
      </w:r>
      <w:proofErr w:type="spellEnd"/>
      <w:r w:rsidR="004C769E" w:rsidRPr="006B24DA">
        <w:rPr>
          <w:rFonts w:ascii="Book Antiqua" w:eastAsia="Times New Roman" w:hAnsi="Book Antiqua" w:cs="Times New Roman"/>
          <w:bCs/>
          <w:color w:val="000000" w:themeColor="text1"/>
          <w:sz w:val="24"/>
          <w:szCs w:val="24"/>
        </w:rPr>
        <w:t xml:space="preserve">. </w:t>
      </w:r>
    </w:p>
    <w:p w14:paraId="5ED141E6" w14:textId="77777777" w:rsidR="00082088" w:rsidRPr="006B24DA" w:rsidRDefault="00082088" w:rsidP="007761C0">
      <w:pPr>
        <w:shd w:val="clear" w:color="auto" w:fill="FFFFFF"/>
        <w:adjustRightInd w:val="0"/>
        <w:snapToGrid w:val="0"/>
        <w:spacing w:after="0" w:line="360" w:lineRule="auto"/>
        <w:jc w:val="both"/>
        <w:rPr>
          <w:rFonts w:ascii="Book Antiqua" w:eastAsia="Times New Roman" w:hAnsi="Book Antiqua" w:cs="Times New Roman"/>
          <w:b/>
          <w:bCs/>
          <w:color w:val="000000" w:themeColor="text1"/>
          <w:sz w:val="24"/>
          <w:szCs w:val="24"/>
        </w:rPr>
      </w:pPr>
    </w:p>
    <w:p w14:paraId="172602A7" w14:textId="5CF455E2" w:rsidR="00E20495" w:rsidRPr="006B24DA" w:rsidRDefault="00E20495" w:rsidP="003B13C7">
      <w:pPr>
        <w:shd w:val="clear" w:color="auto" w:fill="FFFFFF" w:themeFill="background1"/>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b/>
          <w:bCs/>
          <w:color w:val="000000" w:themeColor="text1"/>
          <w:sz w:val="24"/>
          <w:szCs w:val="24"/>
        </w:rPr>
        <w:t xml:space="preserve">Key words: </w:t>
      </w:r>
      <w:r w:rsidR="00082088" w:rsidRPr="006B24DA">
        <w:rPr>
          <w:rFonts w:ascii="Book Antiqua" w:eastAsia="Times New Roman" w:hAnsi="Book Antiqua" w:cs="Times New Roman"/>
          <w:color w:val="000000" w:themeColor="text1"/>
          <w:sz w:val="24"/>
          <w:szCs w:val="24"/>
        </w:rPr>
        <w:t xml:space="preserve">Endoscopy; Foregut diseases; Endoscopic sleeve </w:t>
      </w:r>
      <w:proofErr w:type="spellStart"/>
      <w:r w:rsidR="00082088" w:rsidRPr="006B24DA">
        <w:rPr>
          <w:rFonts w:ascii="Book Antiqua" w:eastAsia="Times New Roman" w:hAnsi="Book Antiqua" w:cs="Times New Roman"/>
          <w:color w:val="000000" w:themeColor="text1"/>
          <w:sz w:val="24"/>
          <w:szCs w:val="24"/>
        </w:rPr>
        <w:t>gastroplasty</w:t>
      </w:r>
      <w:proofErr w:type="spellEnd"/>
      <w:r w:rsidR="00082088" w:rsidRPr="006B24DA">
        <w:rPr>
          <w:rFonts w:ascii="Book Antiqua" w:eastAsia="Times New Roman" w:hAnsi="Book Antiqua" w:cs="Times New Roman"/>
          <w:color w:val="000000" w:themeColor="text1"/>
          <w:sz w:val="24"/>
          <w:szCs w:val="24"/>
        </w:rPr>
        <w:t>; E</w:t>
      </w:r>
      <w:r w:rsidRPr="006B24DA">
        <w:rPr>
          <w:rFonts w:ascii="Book Antiqua" w:eastAsia="Times New Roman" w:hAnsi="Book Antiqua" w:cs="Times New Roman"/>
          <w:color w:val="000000" w:themeColor="text1"/>
          <w:sz w:val="24"/>
          <w:szCs w:val="24"/>
        </w:rPr>
        <w:t>ndoscopic submucosal dissection</w:t>
      </w:r>
      <w:r w:rsidR="00082088" w:rsidRPr="006B24DA">
        <w:rPr>
          <w:rFonts w:ascii="Book Antiqua" w:eastAsia="Times New Roman" w:hAnsi="Book Antiqua" w:cs="Times New Roman"/>
          <w:color w:val="000000" w:themeColor="text1"/>
          <w:sz w:val="24"/>
          <w:szCs w:val="24"/>
        </w:rPr>
        <w:t>; P</w:t>
      </w:r>
      <w:r w:rsidRPr="006B24DA">
        <w:rPr>
          <w:rFonts w:ascii="Book Antiqua" w:eastAsia="Times New Roman" w:hAnsi="Book Antiqua" w:cs="Times New Roman"/>
          <w:color w:val="000000" w:themeColor="text1"/>
          <w:sz w:val="24"/>
          <w:szCs w:val="24"/>
        </w:rPr>
        <w:t xml:space="preserve">er-oral endoscopic </w:t>
      </w:r>
      <w:proofErr w:type="spellStart"/>
      <w:r w:rsidRPr="006B24DA">
        <w:rPr>
          <w:rFonts w:ascii="Book Antiqua" w:eastAsia="Times New Roman" w:hAnsi="Book Antiqua" w:cs="Times New Roman"/>
          <w:color w:val="000000" w:themeColor="text1"/>
          <w:sz w:val="24"/>
          <w:szCs w:val="24"/>
        </w:rPr>
        <w:t>myotomy</w:t>
      </w:r>
      <w:proofErr w:type="spellEnd"/>
      <w:r w:rsidR="00082088" w:rsidRPr="006B24DA">
        <w:rPr>
          <w:rFonts w:ascii="Book Antiqua" w:eastAsia="Times New Roman" w:hAnsi="Book Antiqua" w:cs="Times New Roman"/>
          <w:color w:val="000000" w:themeColor="text1"/>
          <w:sz w:val="24"/>
          <w:szCs w:val="24"/>
        </w:rPr>
        <w:t>; E</w:t>
      </w:r>
      <w:r w:rsidRPr="006B24DA">
        <w:rPr>
          <w:rFonts w:ascii="Book Antiqua" w:eastAsia="Times New Roman" w:hAnsi="Book Antiqua" w:cs="Times New Roman"/>
          <w:color w:val="000000" w:themeColor="text1"/>
          <w:sz w:val="24"/>
          <w:szCs w:val="24"/>
        </w:rPr>
        <w:t>ndo-hepatology</w:t>
      </w:r>
    </w:p>
    <w:p w14:paraId="28408E25" w14:textId="77777777" w:rsidR="00E20495" w:rsidRPr="006B24DA" w:rsidRDefault="00E20495" w:rsidP="00082088">
      <w:pPr>
        <w:shd w:val="clear" w:color="auto" w:fill="FFFFFF"/>
        <w:adjustRightInd w:val="0"/>
        <w:snapToGrid w:val="0"/>
        <w:spacing w:after="0" w:line="360" w:lineRule="auto"/>
        <w:jc w:val="both"/>
        <w:rPr>
          <w:rFonts w:ascii="Book Antiqua" w:eastAsia="Times New Roman" w:hAnsi="Book Antiqua" w:cs="Times New Roman"/>
          <w:bCs/>
          <w:color w:val="000000" w:themeColor="text1"/>
          <w:sz w:val="24"/>
          <w:szCs w:val="24"/>
        </w:rPr>
      </w:pPr>
    </w:p>
    <w:p w14:paraId="248F968B" w14:textId="1AD3F5D4" w:rsidR="00082088" w:rsidRPr="006B24DA" w:rsidRDefault="00082088" w:rsidP="00082088">
      <w:pPr>
        <w:shd w:val="clear" w:color="auto" w:fill="FFFFFF"/>
        <w:adjustRightInd w:val="0"/>
        <w:snapToGrid w:val="0"/>
        <w:spacing w:after="0" w:line="360" w:lineRule="auto"/>
        <w:jc w:val="both"/>
        <w:rPr>
          <w:rFonts w:ascii="Book Antiqua" w:hAnsi="Book Antiqua"/>
          <w:sz w:val="24"/>
          <w:szCs w:val="24"/>
        </w:rPr>
      </w:pPr>
      <w:bookmarkStart w:id="18" w:name="OLE_LINK43"/>
      <w:bookmarkStart w:id="19" w:name="OLE_LINK44"/>
      <w:proofErr w:type="gramStart"/>
      <w:r w:rsidRPr="006B24DA">
        <w:rPr>
          <w:rFonts w:ascii="Book Antiqua" w:hAnsi="Book Antiqua"/>
          <w:b/>
          <w:sz w:val="24"/>
          <w:szCs w:val="24"/>
        </w:rPr>
        <w:t>© The Author(s) 2018.</w:t>
      </w:r>
      <w:proofErr w:type="gramEnd"/>
      <w:r w:rsidRPr="006B24DA">
        <w:rPr>
          <w:rFonts w:ascii="Book Antiqua" w:hAnsi="Book Antiqua"/>
          <w:b/>
          <w:sz w:val="24"/>
          <w:szCs w:val="24"/>
        </w:rPr>
        <w:t xml:space="preserve"> </w:t>
      </w:r>
      <w:proofErr w:type="gramStart"/>
      <w:r w:rsidRPr="006B24DA">
        <w:rPr>
          <w:rFonts w:ascii="Book Antiqua" w:hAnsi="Book Antiqua"/>
          <w:sz w:val="24"/>
          <w:szCs w:val="24"/>
        </w:rPr>
        <w:t xml:space="preserve">Published by </w:t>
      </w:r>
      <w:proofErr w:type="spellStart"/>
      <w:r w:rsidRPr="006B24DA">
        <w:rPr>
          <w:rFonts w:ascii="Book Antiqua" w:hAnsi="Book Antiqua"/>
          <w:sz w:val="24"/>
          <w:szCs w:val="24"/>
        </w:rPr>
        <w:t>Baishideng</w:t>
      </w:r>
      <w:proofErr w:type="spellEnd"/>
      <w:r w:rsidRPr="006B24DA">
        <w:rPr>
          <w:rFonts w:ascii="Book Antiqua" w:hAnsi="Book Antiqua"/>
          <w:sz w:val="24"/>
          <w:szCs w:val="24"/>
        </w:rPr>
        <w:t xml:space="preserve"> Publishing Group Inc.</w:t>
      </w:r>
      <w:proofErr w:type="gramEnd"/>
      <w:r w:rsidRPr="006B24DA">
        <w:rPr>
          <w:rFonts w:ascii="Book Antiqua" w:hAnsi="Book Antiqua"/>
          <w:sz w:val="24"/>
          <w:szCs w:val="24"/>
        </w:rPr>
        <w:t xml:space="preserve"> All rights reserved.</w:t>
      </w:r>
      <w:bookmarkEnd w:id="18"/>
      <w:bookmarkEnd w:id="19"/>
    </w:p>
    <w:p w14:paraId="3387E117" w14:textId="77777777" w:rsidR="00082088" w:rsidRPr="006B24DA" w:rsidRDefault="00082088" w:rsidP="00082088">
      <w:pPr>
        <w:shd w:val="clear" w:color="auto" w:fill="FFFFFF"/>
        <w:adjustRightInd w:val="0"/>
        <w:snapToGrid w:val="0"/>
        <w:spacing w:after="0" w:line="360" w:lineRule="auto"/>
        <w:jc w:val="both"/>
        <w:rPr>
          <w:rFonts w:ascii="Book Antiqua" w:eastAsia="Times New Roman" w:hAnsi="Book Antiqua" w:cs="Times New Roman"/>
          <w:bCs/>
          <w:color w:val="000000" w:themeColor="text1"/>
          <w:sz w:val="24"/>
          <w:szCs w:val="24"/>
        </w:rPr>
      </w:pPr>
    </w:p>
    <w:p w14:paraId="4F99F43D" w14:textId="0A471760" w:rsidR="00E20495" w:rsidRPr="006B24DA" w:rsidRDefault="00E20495" w:rsidP="003B13C7">
      <w:pPr>
        <w:shd w:val="clear" w:color="auto" w:fill="FFFFFF" w:themeFill="background1"/>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b/>
          <w:bCs/>
          <w:color w:val="000000" w:themeColor="text1"/>
          <w:sz w:val="24"/>
          <w:szCs w:val="24"/>
        </w:rPr>
        <w:t>C</w:t>
      </w:r>
      <w:r w:rsidR="00082088" w:rsidRPr="006B24DA">
        <w:rPr>
          <w:rFonts w:ascii="Book Antiqua" w:eastAsia="Times New Roman" w:hAnsi="Book Antiqua" w:cs="Times New Roman"/>
          <w:b/>
          <w:bCs/>
          <w:color w:val="000000" w:themeColor="text1"/>
          <w:sz w:val="24"/>
          <w:szCs w:val="24"/>
        </w:rPr>
        <w:t>ore tip</w:t>
      </w:r>
      <w:r w:rsidRPr="006B24DA">
        <w:rPr>
          <w:rFonts w:ascii="Book Antiqua" w:eastAsia="Times New Roman" w:hAnsi="Book Antiqua" w:cs="Times New Roman"/>
          <w:b/>
          <w:bCs/>
          <w:color w:val="000000" w:themeColor="text1"/>
          <w:sz w:val="24"/>
          <w:szCs w:val="24"/>
        </w:rPr>
        <w:t xml:space="preserve">: </w:t>
      </w:r>
      <w:r w:rsidRPr="006B24DA">
        <w:rPr>
          <w:rFonts w:ascii="Book Antiqua" w:eastAsia="Times New Roman" w:hAnsi="Book Antiqua" w:cs="Times New Roman"/>
          <w:color w:val="000000" w:themeColor="text1"/>
          <w:sz w:val="24"/>
          <w:szCs w:val="24"/>
        </w:rPr>
        <w:t>In this paper</w:t>
      </w:r>
      <w:r w:rsidR="00082088" w:rsidRPr="006B24DA">
        <w:rPr>
          <w:rFonts w:ascii="Book Antiqua" w:eastAsia="Times New Roman" w:hAnsi="Book Antiqua" w:cs="Times New Roman"/>
          <w:color w:val="000000" w:themeColor="text1"/>
          <w:sz w:val="24"/>
          <w:szCs w:val="24"/>
        </w:rPr>
        <w:t>,</w:t>
      </w:r>
      <w:r w:rsidRPr="006B24DA">
        <w:rPr>
          <w:rFonts w:ascii="Book Antiqua" w:eastAsia="Times New Roman" w:hAnsi="Book Antiqua" w:cs="Times New Roman"/>
          <w:color w:val="000000" w:themeColor="text1"/>
          <w:sz w:val="24"/>
          <w:szCs w:val="24"/>
        </w:rPr>
        <w:t xml:space="preserve"> we demonstrate how foregut diseases, such as </w:t>
      </w:r>
      <w:r w:rsidR="00082088" w:rsidRPr="006B24DA">
        <w:rPr>
          <w:rFonts w:ascii="Book Antiqua" w:eastAsia="Times New Roman" w:hAnsi="Book Antiqua" w:cs="Times New Roman"/>
          <w:color w:val="000000" w:themeColor="text1"/>
          <w:sz w:val="24"/>
          <w:szCs w:val="24"/>
        </w:rPr>
        <w:t>gastroesophageal reflux disease</w:t>
      </w:r>
      <w:r w:rsidRPr="006B24DA">
        <w:rPr>
          <w:rFonts w:ascii="Book Antiqua" w:eastAsia="Times New Roman" w:hAnsi="Book Antiqua" w:cs="Times New Roman"/>
          <w:color w:val="000000" w:themeColor="text1"/>
          <w:sz w:val="24"/>
          <w:szCs w:val="24"/>
        </w:rPr>
        <w:t>, achalasia, Barrett’s esophagus</w:t>
      </w:r>
      <w:r w:rsidR="000F42A8" w:rsidRPr="006B24DA">
        <w:rPr>
          <w:rFonts w:ascii="Book Antiqua" w:eastAsia="Times New Roman" w:hAnsi="Book Antiqua" w:cs="Times New Roman"/>
          <w:color w:val="000000" w:themeColor="text1"/>
          <w:sz w:val="24"/>
          <w:szCs w:val="24"/>
        </w:rPr>
        <w:t xml:space="preserve"> with </w:t>
      </w:r>
      <w:r w:rsidRPr="006B24DA">
        <w:rPr>
          <w:rFonts w:ascii="Book Antiqua" w:eastAsia="Times New Roman" w:hAnsi="Book Antiqua" w:cs="Times New Roman"/>
          <w:color w:val="000000" w:themeColor="text1"/>
          <w:sz w:val="24"/>
          <w:szCs w:val="24"/>
        </w:rPr>
        <w:t xml:space="preserve">dysplasia and early cancer of the esophagus and stomach, </w:t>
      </w:r>
      <w:proofErr w:type="spellStart"/>
      <w:r w:rsidRPr="006B24DA">
        <w:rPr>
          <w:rFonts w:ascii="Book Antiqua" w:eastAsia="Times New Roman" w:hAnsi="Book Antiqua" w:cs="Times New Roman"/>
          <w:color w:val="000000" w:themeColor="text1"/>
          <w:sz w:val="24"/>
          <w:szCs w:val="24"/>
        </w:rPr>
        <w:t>Zenker’s</w:t>
      </w:r>
      <w:proofErr w:type="spellEnd"/>
      <w:r w:rsidRPr="006B24DA">
        <w:rPr>
          <w:rFonts w:ascii="Book Antiqua" w:eastAsia="Times New Roman" w:hAnsi="Book Antiqua" w:cs="Times New Roman"/>
          <w:color w:val="000000" w:themeColor="text1"/>
          <w:sz w:val="24"/>
          <w:szCs w:val="24"/>
        </w:rPr>
        <w:t xml:space="preserve"> diverticulum, </w:t>
      </w:r>
      <w:r w:rsidR="000F42A8" w:rsidRPr="006B24DA">
        <w:rPr>
          <w:rFonts w:ascii="Book Antiqua" w:eastAsia="Times New Roman" w:hAnsi="Book Antiqua" w:cs="Times New Roman"/>
          <w:color w:val="000000" w:themeColor="text1"/>
          <w:sz w:val="24"/>
          <w:szCs w:val="24"/>
        </w:rPr>
        <w:t>obesity</w:t>
      </w:r>
      <w:r w:rsidRPr="006B24DA">
        <w:rPr>
          <w:rFonts w:ascii="Book Antiqua" w:eastAsia="Times New Roman" w:hAnsi="Book Antiqua" w:cs="Times New Roman"/>
          <w:color w:val="000000" w:themeColor="text1"/>
          <w:sz w:val="24"/>
          <w:szCs w:val="24"/>
        </w:rPr>
        <w:t xml:space="preserve">, gastric outlet obstruction, </w:t>
      </w:r>
      <w:r w:rsidR="000F42A8" w:rsidRPr="006B24DA">
        <w:rPr>
          <w:rFonts w:ascii="Book Antiqua" w:eastAsia="Times New Roman" w:hAnsi="Book Antiqua" w:cs="Times New Roman"/>
          <w:color w:val="000000" w:themeColor="text1"/>
          <w:sz w:val="24"/>
          <w:szCs w:val="24"/>
        </w:rPr>
        <w:t xml:space="preserve">and </w:t>
      </w:r>
      <w:r w:rsidRPr="006B24DA">
        <w:rPr>
          <w:rFonts w:ascii="Book Antiqua" w:eastAsia="Times New Roman" w:hAnsi="Book Antiqua" w:cs="Times New Roman"/>
          <w:color w:val="000000" w:themeColor="text1"/>
          <w:sz w:val="24"/>
          <w:szCs w:val="24"/>
        </w:rPr>
        <w:t xml:space="preserve">gastroparesis, </w:t>
      </w:r>
      <w:r w:rsidR="000F42A8" w:rsidRPr="006B24DA">
        <w:rPr>
          <w:rFonts w:ascii="Book Antiqua" w:eastAsia="Times New Roman" w:hAnsi="Book Antiqua" w:cs="Times New Roman"/>
          <w:color w:val="000000" w:themeColor="text1"/>
          <w:sz w:val="24"/>
          <w:szCs w:val="24"/>
        </w:rPr>
        <w:t xml:space="preserve">which </w:t>
      </w:r>
      <w:r w:rsidRPr="006B24DA">
        <w:rPr>
          <w:rFonts w:ascii="Book Antiqua" w:eastAsia="Times New Roman" w:hAnsi="Book Antiqua" w:cs="Times New Roman"/>
          <w:color w:val="000000" w:themeColor="text1"/>
          <w:sz w:val="24"/>
          <w:szCs w:val="24"/>
        </w:rPr>
        <w:t>have been traditionally treated surgically are now being diagnos</w:t>
      </w:r>
      <w:r w:rsidR="00D33133" w:rsidRPr="006B24DA">
        <w:rPr>
          <w:rFonts w:ascii="Book Antiqua" w:eastAsia="Times New Roman" w:hAnsi="Book Antiqua" w:cs="Times New Roman"/>
          <w:color w:val="000000" w:themeColor="text1"/>
          <w:sz w:val="24"/>
          <w:szCs w:val="24"/>
        </w:rPr>
        <w:t xml:space="preserve">ed </w:t>
      </w:r>
      <w:r w:rsidR="00D33133" w:rsidRPr="006B24DA">
        <w:rPr>
          <w:rFonts w:ascii="Book Antiqua" w:eastAsia="Times New Roman" w:hAnsi="Book Antiqua" w:cs="Times New Roman"/>
          <w:color w:val="000000" w:themeColor="text1"/>
          <w:sz w:val="24"/>
          <w:szCs w:val="24"/>
        </w:rPr>
        <w:lastRenderedPageBreak/>
        <w:t xml:space="preserve">and treated endoscopically. </w:t>
      </w:r>
      <w:r w:rsidRPr="006B24DA">
        <w:rPr>
          <w:rFonts w:ascii="Book Antiqua" w:eastAsia="Times New Roman" w:hAnsi="Book Antiqua" w:cs="Times New Roman"/>
          <w:color w:val="000000" w:themeColor="text1"/>
          <w:sz w:val="24"/>
          <w:szCs w:val="24"/>
        </w:rPr>
        <w:t xml:space="preserve">For each section, I will review “lessons learned”, then discuss some “technical considerations” and consider “future opportunities”. </w:t>
      </w:r>
    </w:p>
    <w:p w14:paraId="6ACF92BE" w14:textId="77777777" w:rsidR="00082088" w:rsidRPr="006B24DA" w:rsidRDefault="00082088" w:rsidP="00082088">
      <w:pPr>
        <w:shd w:val="clear" w:color="auto" w:fill="FFFFFF"/>
        <w:adjustRightInd w:val="0"/>
        <w:snapToGrid w:val="0"/>
        <w:spacing w:after="0" w:line="360" w:lineRule="auto"/>
        <w:jc w:val="both"/>
        <w:rPr>
          <w:rFonts w:ascii="Book Antiqua" w:eastAsia="Times New Roman" w:hAnsi="Book Antiqua" w:cs="Times New Roman"/>
          <w:bCs/>
          <w:color w:val="000000" w:themeColor="text1"/>
          <w:sz w:val="24"/>
          <w:szCs w:val="24"/>
        </w:rPr>
      </w:pPr>
    </w:p>
    <w:p w14:paraId="383D6BC6" w14:textId="391526D5" w:rsidR="00082088" w:rsidRPr="006B24DA" w:rsidRDefault="00082088" w:rsidP="003B13C7">
      <w:pPr>
        <w:shd w:val="clear" w:color="auto" w:fill="FFFFFF" w:themeFill="background1"/>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hAnsi="Book Antiqua" w:cs="Times New Roman"/>
          <w:color w:val="000000" w:themeColor="text1"/>
          <w:sz w:val="24"/>
          <w:szCs w:val="24"/>
        </w:rPr>
        <w:t xml:space="preserve">Chang KJ. Endoscopic foregut surgery and interventions: The future is now. </w:t>
      </w:r>
      <w:bookmarkStart w:id="20" w:name="OLE_LINK1105"/>
      <w:bookmarkStart w:id="21" w:name="OLE_LINK1107"/>
      <w:bookmarkStart w:id="22" w:name="OLE_LINK380"/>
      <w:r w:rsidRPr="006B24DA">
        <w:rPr>
          <w:rFonts w:ascii="Book Antiqua" w:hAnsi="Book Antiqua"/>
          <w:i/>
          <w:iCs/>
          <w:color w:val="000000"/>
          <w:sz w:val="24"/>
          <w:szCs w:val="24"/>
        </w:rPr>
        <w:t xml:space="preserve">World J </w:t>
      </w:r>
      <w:proofErr w:type="spellStart"/>
      <w:r w:rsidRPr="006B24DA">
        <w:rPr>
          <w:rFonts w:ascii="Book Antiqua" w:hAnsi="Book Antiqua"/>
          <w:i/>
          <w:iCs/>
          <w:color w:val="000000"/>
          <w:sz w:val="24"/>
          <w:szCs w:val="24"/>
        </w:rPr>
        <w:t>Gastroenterol</w:t>
      </w:r>
      <w:proofErr w:type="spellEnd"/>
      <w:r w:rsidRPr="006B24DA">
        <w:rPr>
          <w:rFonts w:ascii="Book Antiqua" w:hAnsi="Book Antiqua"/>
          <w:i/>
          <w:iCs/>
          <w:color w:val="000000"/>
          <w:sz w:val="24"/>
          <w:szCs w:val="24"/>
        </w:rPr>
        <w:t xml:space="preserve"> </w:t>
      </w:r>
      <w:r w:rsidRPr="006B24DA">
        <w:rPr>
          <w:rFonts w:ascii="Book Antiqua" w:hAnsi="Book Antiqua"/>
          <w:color w:val="000000"/>
          <w:sz w:val="24"/>
          <w:szCs w:val="24"/>
        </w:rPr>
        <w:t xml:space="preserve">2018; </w:t>
      </w:r>
      <w:proofErr w:type="gramStart"/>
      <w:r w:rsidRPr="006B24DA">
        <w:rPr>
          <w:rFonts w:ascii="Book Antiqua" w:hAnsi="Book Antiqua"/>
          <w:color w:val="000000"/>
          <w:sz w:val="24"/>
          <w:szCs w:val="24"/>
        </w:rPr>
        <w:t>In</w:t>
      </w:r>
      <w:proofErr w:type="gramEnd"/>
      <w:r w:rsidRPr="006B24DA">
        <w:rPr>
          <w:rFonts w:ascii="Book Antiqua" w:hAnsi="Book Antiqua"/>
          <w:color w:val="000000"/>
          <w:sz w:val="24"/>
          <w:szCs w:val="24"/>
        </w:rPr>
        <w:t xml:space="preserve"> press</w:t>
      </w:r>
      <w:bookmarkEnd w:id="20"/>
      <w:bookmarkEnd w:id="21"/>
      <w:bookmarkEnd w:id="22"/>
    </w:p>
    <w:p w14:paraId="603B96FC" w14:textId="77777777" w:rsidR="00E20495" w:rsidRPr="006B24DA" w:rsidRDefault="00E20495" w:rsidP="007761C0">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br w:type="page"/>
      </w:r>
    </w:p>
    <w:p w14:paraId="6F1557CA" w14:textId="5BD731FC" w:rsidR="00E20495" w:rsidRPr="006B24DA" w:rsidRDefault="00E20495" w:rsidP="003B13C7">
      <w:pPr>
        <w:shd w:val="clear" w:color="auto" w:fill="FFFFFF" w:themeFill="background1"/>
        <w:adjustRightInd w:val="0"/>
        <w:snapToGrid w:val="0"/>
        <w:spacing w:after="0" w:line="360" w:lineRule="auto"/>
        <w:jc w:val="both"/>
        <w:rPr>
          <w:rFonts w:ascii="Book Antiqua" w:eastAsia="Times New Roman" w:hAnsi="Book Antiqua" w:cs="Times New Roman"/>
          <w:b/>
          <w:bCs/>
          <w:color w:val="000000" w:themeColor="text1"/>
          <w:sz w:val="24"/>
          <w:szCs w:val="24"/>
        </w:rPr>
      </w:pPr>
      <w:bookmarkStart w:id="23" w:name="_Hlk516499390"/>
      <w:r w:rsidRPr="006B24DA">
        <w:rPr>
          <w:rFonts w:ascii="Book Antiqua" w:eastAsia="Times New Roman" w:hAnsi="Book Antiqua" w:cs="Times New Roman"/>
          <w:b/>
          <w:bCs/>
          <w:color w:val="000000" w:themeColor="text1"/>
          <w:sz w:val="24"/>
          <w:szCs w:val="24"/>
        </w:rPr>
        <w:lastRenderedPageBreak/>
        <w:t>BIOGRAPHY</w:t>
      </w:r>
      <w:bookmarkEnd w:id="23"/>
    </w:p>
    <w:p w14:paraId="20D5E588" w14:textId="3E35AD32" w:rsidR="00E20495" w:rsidRPr="006B24DA" w:rsidRDefault="00370EDB" w:rsidP="003B13C7">
      <w:pPr>
        <w:shd w:val="clear" w:color="auto" w:fill="FFFFFF" w:themeFill="background1"/>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t>Kenneth J</w:t>
      </w:r>
      <w:r w:rsidR="00E20495" w:rsidRPr="006B24DA">
        <w:rPr>
          <w:rFonts w:ascii="Book Antiqua" w:eastAsia="Times New Roman" w:hAnsi="Book Antiqua" w:cs="Times New Roman"/>
          <w:color w:val="000000" w:themeColor="text1"/>
          <w:sz w:val="24"/>
          <w:szCs w:val="24"/>
        </w:rPr>
        <w:t xml:space="preserve"> C</w:t>
      </w:r>
      <w:r w:rsidRPr="006B24DA">
        <w:rPr>
          <w:rFonts w:ascii="Book Antiqua" w:eastAsia="Times New Roman" w:hAnsi="Book Antiqua" w:cs="Times New Roman"/>
          <w:color w:val="000000" w:themeColor="text1"/>
          <w:sz w:val="24"/>
          <w:szCs w:val="24"/>
        </w:rPr>
        <w:t xml:space="preserve">hang </w:t>
      </w:r>
      <w:r w:rsidR="00B42F2F" w:rsidRPr="006B24DA">
        <w:rPr>
          <w:rFonts w:ascii="Book Antiqua" w:eastAsia="Times New Roman" w:hAnsi="Book Antiqua" w:cs="Times New Roman"/>
          <w:color w:val="000000" w:themeColor="text1"/>
          <w:sz w:val="24"/>
          <w:szCs w:val="24"/>
        </w:rPr>
        <w:t>(Figure 1</w:t>
      </w:r>
      <w:r w:rsidRPr="006B24DA">
        <w:rPr>
          <w:rFonts w:ascii="Book Antiqua" w:eastAsia="Times New Roman" w:hAnsi="Book Antiqua" w:cs="Times New Roman"/>
          <w:color w:val="000000" w:themeColor="text1"/>
          <w:sz w:val="24"/>
          <w:szCs w:val="24"/>
        </w:rPr>
        <w:t>)</w:t>
      </w:r>
      <w:r w:rsidR="00E20495"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 xml:space="preserve">FACG, FASGE, </w:t>
      </w:r>
      <w:r w:rsidR="00E20495" w:rsidRPr="006B24DA">
        <w:rPr>
          <w:rFonts w:ascii="Book Antiqua" w:eastAsia="Times New Roman" w:hAnsi="Book Antiqua" w:cs="Times New Roman"/>
          <w:color w:val="000000" w:themeColor="text1"/>
          <w:sz w:val="24"/>
          <w:szCs w:val="24"/>
        </w:rPr>
        <w:t>MD</w:t>
      </w:r>
      <w:r w:rsidRPr="006B24DA">
        <w:rPr>
          <w:rFonts w:ascii="Book Antiqua" w:eastAsia="Times New Roman" w:hAnsi="Book Antiqua" w:cs="Times New Roman"/>
          <w:b/>
          <w:bCs/>
          <w:color w:val="000000" w:themeColor="text1"/>
          <w:sz w:val="24"/>
          <w:szCs w:val="24"/>
        </w:rPr>
        <w:t xml:space="preserve"> </w:t>
      </w:r>
      <w:r w:rsidR="00E20495" w:rsidRPr="006B24DA">
        <w:rPr>
          <w:rFonts w:ascii="Book Antiqua" w:eastAsia="Times New Roman" w:hAnsi="Book Antiqua" w:cs="Times New Roman"/>
          <w:color w:val="000000" w:themeColor="text1"/>
          <w:sz w:val="24"/>
          <w:szCs w:val="24"/>
        </w:rPr>
        <w:t>is Professor of Medicine and Chief, Division of Gastroenterology at th</w:t>
      </w:r>
      <w:r w:rsidR="007F39D2" w:rsidRPr="006B24DA">
        <w:rPr>
          <w:rFonts w:ascii="Book Antiqua" w:eastAsia="Times New Roman" w:hAnsi="Book Antiqua" w:cs="Times New Roman"/>
          <w:color w:val="000000" w:themeColor="text1"/>
          <w:sz w:val="24"/>
          <w:szCs w:val="24"/>
        </w:rPr>
        <w:t xml:space="preserve">e University of California, </w:t>
      </w:r>
      <w:r w:rsidR="00E20495" w:rsidRPr="006B24DA">
        <w:rPr>
          <w:rFonts w:ascii="Book Antiqua" w:eastAsia="Times New Roman" w:hAnsi="Book Antiqua" w:cs="Times New Roman"/>
          <w:color w:val="000000" w:themeColor="text1"/>
          <w:sz w:val="24"/>
          <w:szCs w:val="24"/>
        </w:rPr>
        <w:t>Irvine</w:t>
      </w:r>
      <w:r w:rsidR="007F39D2" w:rsidRPr="006B24DA">
        <w:rPr>
          <w:rFonts w:ascii="Book Antiqua" w:eastAsia="Times New Roman" w:hAnsi="Book Antiqua" w:cs="Times New Roman"/>
          <w:color w:val="000000" w:themeColor="text1"/>
          <w:sz w:val="24"/>
          <w:szCs w:val="24"/>
        </w:rPr>
        <w:t>,</w:t>
      </w:r>
      <w:r w:rsidR="00E20495" w:rsidRPr="006B24DA">
        <w:rPr>
          <w:rFonts w:ascii="Book Antiqua" w:eastAsia="Times New Roman" w:hAnsi="Book Antiqua" w:cs="Times New Roman"/>
          <w:color w:val="000000" w:themeColor="text1"/>
          <w:sz w:val="24"/>
          <w:szCs w:val="24"/>
        </w:rPr>
        <w:t xml:space="preserve"> School of Medicine. He is also Executive Director of the H.H. Chao Comprehensive Digestive Disease Center and Vincent and Anna Kong Endowed C</w:t>
      </w:r>
      <w:r w:rsidR="007F39D2" w:rsidRPr="006B24DA">
        <w:rPr>
          <w:rFonts w:ascii="Book Antiqua" w:eastAsia="Times New Roman" w:hAnsi="Book Antiqua" w:cs="Times New Roman"/>
          <w:color w:val="000000" w:themeColor="text1"/>
          <w:sz w:val="24"/>
          <w:szCs w:val="24"/>
        </w:rPr>
        <w:t>hair in GI Endoscopic Oncology.</w:t>
      </w:r>
    </w:p>
    <w:p w14:paraId="48D363B4" w14:textId="581E44BE" w:rsidR="00E20495" w:rsidRPr="006B24DA" w:rsidRDefault="007F39D2" w:rsidP="007761C0">
      <w:pPr>
        <w:adjustRightInd w:val="0"/>
        <w:snapToGrid w:val="0"/>
        <w:spacing w:after="0" w:line="360" w:lineRule="auto"/>
        <w:jc w:val="both"/>
        <w:rPr>
          <w:rFonts w:ascii="Book Antiqua" w:hAnsi="Book Antiqua"/>
          <w:color w:val="000000" w:themeColor="text1"/>
          <w:sz w:val="24"/>
          <w:szCs w:val="24"/>
        </w:rPr>
      </w:pPr>
      <w:bookmarkStart w:id="24" w:name="_Hlk516499611"/>
      <w:r w:rsidRPr="006B24DA">
        <w:rPr>
          <w:rFonts w:ascii="Book Antiqua" w:eastAsia="Times New Roman" w:hAnsi="Book Antiqua" w:cs="Times New Roman"/>
          <w:color w:val="000000" w:themeColor="text1"/>
          <w:sz w:val="24"/>
          <w:szCs w:val="24"/>
        </w:rPr>
        <w:t xml:space="preserve">  </w:t>
      </w:r>
      <w:r w:rsidR="00E20495" w:rsidRPr="006B24DA">
        <w:rPr>
          <w:rFonts w:ascii="Book Antiqua" w:eastAsia="Times New Roman" w:hAnsi="Book Antiqua" w:cs="Times New Roman"/>
          <w:color w:val="000000" w:themeColor="text1"/>
          <w:sz w:val="24"/>
          <w:szCs w:val="24"/>
        </w:rPr>
        <w:t xml:space="preserve">Dr. Chang </w:t>
      </w:r>
      <w:bookmarkEnd w:id="24"/>
      <w:r w:rsidR="00E20495" w:rsidRPr="006B24DA">
        <w:rPr>
          <w:rFonts w:ascii="Book Antiqua" w:eastAsia="Times New Roman" w:hAnsi="Book Antiqua" w:cs="Times New Roman"/>
          <w:color w:val="000000" w:themeColor="text1"/>
          <w:sz w:val="24"/>
          <w:szCs w:val="24"/>
        </w:rPr>
        <w:t>received his MD degree from the Brown University Medical School, Providence, Rhode Island in 1985. He completed internship and residency in General Internal Medicine at the</w:t>
      </w:r>
      <w:r w:rsidR="00E20495" w:rsidRPr="006B24DA">
        <w:rPr>
          <w:rFonts w:ascii="Book Antiqua" w:hAnsi="Book Antiqua" w:cs="Times New Roman"/>
          <w:color w:val="000000" w:themeColor="text1"/>
          <w:sz w:val="24"/>
          <w:szCs w:val="24"/>
        </w:rPr>
        <w:t xml:space="preserve"> </w:t>
      </w:r>
      <w:r w:rsidR="00E20495" w:rsidRPr="006B24DA">
        <w:rPr>
          <w:rFonts w:ascii="Book Antiqua" w:hAnsi="Book Antiqua" w:cs="Times New Roman"/>
          <w:bCs/>
          <w:color w:val="000000" w:themeColor="text1"/>
          <w:sz w:val="24"/>
          <w:szCs w:val="24"/>
        </w:rPr>
        <w:t>Rhode Island Hospital, Providence, Rhode Island in 1988,</w:t>
      </w:r>
      <w:r w:rsidR="00E20495" w:rsidRPr="006B24DA">
        <w:rPr>
          <w:rFonts w:ascii="Book Antiqua" w:hAnsi="Book Antiqua" w:cs="Times New Roman"/>
          <w:color w:val="000000" w:themeColor="text1"/>
          <w:sz w:val="24"/>
          <w:szCs w:val="24"/>
        </w:rPr>
        <w:t xml:space="preserve"> and an academic fellowship in gastroenterology and hepatology </w:t>
      </w:r>
      <w:bookmarkStart w:id="25" w:name="_Hlk516342919"/>
      <w:r w:rsidR="00E20495" w:rsidRPr="006B24DA">
        <w:rPr>
          <w:rFonts w:ascii="Book Antiqua" w:hAnsi="Book Antiqua" w:cs="Times New Roman"/>
          <w:color w:val="000000" w:themeColor="text1"/>
          <w:sz w:val="24"/>
          <w:szCs w:val="24"/>
        </w:rPr>
        <w:t>at</w:t>
      </w:r>
      <w:r w:rsidRPr="006B24DA">
        <w:rPr>
          <w:rFonts w:ascii="Book Antiqua" w:hAnsi="Book Antiqua" w:cs="Times New Roman"/>
          <w:color w:val="000000" w:themeColor="text1"/>
          <w:sz w:val="24"/>
          <w:szCs w:val="24"/>
        </w:rPr>
        <w:t xml:space="preserve"> the University of California, </w:t>
      </w:r>
      <w:r w:rsidR="00E20495" w:rsidRPr="006B24DA">
        <w:rPr>
          <w:rFonts w:ascii="Book Antiqua" w:hAnsi="Book Antiqua" w:cs="Times New Roman"/>
          <w:color w:val="000000" w:themeColor="text1"/>
          <w:sz w:val="24"/>
          <w:szCs w:val="24"/>
        </w:rPr>
        <w:t>Irvine</w:t>
      </w:r>
      <w:bookmarkEnd w:id="25"/>
      <w:r w:rsidRPr="006B24DA">
        <w:rPr>
          <w:rFonts w:ascii="Book Antiqua" w:hAnsi="Book Antiqua" w:cs="Times New Roman"/>
          <w:color w:val="000000" w:themeColor="text1"/>
          <w:sz w:val="24"/>
          <w:szCs w:val="24"/>
        </w:rPr>
        <w:t xml:space="preserve">, </w:t>
      </w:r>
      <w:r w:rsidR="00D33133" w:rsidRPr="006B24DA">
        <w:rPr>
          <w:rFonts w:ascii="Book Antiqua" w:hAnsi="Book Antiqua" w:cs="Times New Roman"/>
          <w:color w:val="000000" w:themeColor="text1"/>
          <w:sz w:val="24"/>
          <w:szCs w:val="24"/>
        </w:rPr>
        <w:t>1988-1991.</w:t>
      </w:r>
      <w:r w:rsidR="00E20495" w:rsidRPr="006B24DA">
        <w:rPr>
          <w:rFonts w:ascii="Book Antiqua" w:hAnsi="Book Antiqua" w:cs="Times New Roman"/>
          <w:color w:val="000000" w:themeColor="text1"/>
          <w:sz w:val="24"/>
          <w:szCs w:val="24"/>
        </w:rPr>
        <w:t xml:space="preserve"> From 1991 to the present, he had academic appointments as an assistant, associate and full professor of medicine, respectively, at the University of California, Irvine</w:t>
      </w:r>
      <w:r w:rsidRPr="006B24DA">
        <w:rPr>
          <w:rFonts w:ascii="Book Antiqua" w:hAnsi="Book Antiqua" w:cs="Times New Roman"/>
          <w:color w:val="000000" w:themeColor="text1"/>
          <w:sz w:val="24"/>
          <w:szCs w:val="24"/>
        </w:rPr>
        <w:t>,</w:t>
      </w:r>
      <w:r w:rsidR="00E20495" w:rsidRPr="006B24DA">
        <w:rPr>
          <w:rFonts w:ascii="Book Antiqua" w:hAnsi="Book Antiqua" w:cs="Times New Roman"/>
          <w:color w:val="000000" w:themeColor="text1"/>
          <w:sz w:val="24"/>
          <w:szCs w:val="24"/>
        </w:rPr>
        <w:t xml:space="preserve"> at the Department of Medicine; and as a Professor in Clinical Radiological Sciences, Department of Radiological Sciences</w:t>
      </w:r>
      <w:r w:rsidR="00E20495" w:rsidRPr="006B24DA">
        <w:rPr>
          <w:rFonts w:ascii="Book Antiqua" w:hAnsi="Book Antiqua" w:cs="Times New Roman"/>
          <w:b/>
          <w:bCs/>
          <w:color w:val="000000" w:themeColor="text1"/>
          <w:sz w:val="24"/>
          <w:szCs w:val="24"/>
        </w:rPr>
        <w:t xml:space="preserve">. </w:t>
      </w:r>
      <w:r w:rsidR="00E20495" w:rsidRPr="006B24DA">
        <w:rPr>
          <w:rFonts w:ascii="Book Antiqua" w:eastAsia="Times New Roman" w:hAnsi="Book Antiqua" w:cs="Times New Roman"/>
          <w:color w:val="000000" w:themeColor="text1"/>
          <w:sz w:val="24"/>
          <w:szCs w:val="24"/>
        </w:rPr>
        <w:t xml:space="preserve">He is board certified in Medicine and Gastroenterology; is a Fellow of the American College of Gastroenterology and a Fellow of the </w:t>
      </w:r>
      <w:bookmarkStart w:id="26" w:name="_Hlk516427749"/>
      <w:r w:rsidR="00E20495" w:rsidRPr="006B24DA">
        <w:rPr>
          <w:rFonts w:ascii="Book Antiqua" w:eastAsia="Times New Roman" w:hAnsi="Book Antiqua" w:cs="Times New Roman"/>
          <w:color w:val="000000" w:themeColor="text1"/>
          <w:sz w:val="24"/>
          <w:szCs w:val="24"/>
        </w:rPr>
        <w:t>American Society of Gastrointestinal Endoscopy</w:t>
      </w:r>
      <w:bookmarkEnd w:id="26"/>
      <w:r w:rsidR="00E20495" w:rsidRPr="006B24DA">
        <w:rPr>
          <w:rFonts w:ascii="Book Antiqua" w:eastAsia="Times New Roman" w:hAnsi="Book Antiqua" w:cs="Times New Roman"/>
          <w:color w:val="000000" w:themeColor="text1"/>
          <w:sz w:val="24"/>
          <w:szCs w:val="24"/>
        </w:rPr>
        <w:t xml:space="preserve">. He served 2009 </w:t>
      </w:r>
      <w:r w:rsidR="00966E42" w:rsidRPr="006B24DA">
        <w:rPr>
          <w:rFonts w:ascii="Book Antiqua" w:eastAsia="Times New Roman" w:hAnsi="Book Antiqua" w:cs="Times New Roman"/>
          <w:color w:val="000000" w:themeColor="text1"/>
          <w:sz w:val="24"/>
          <w:szCs w:val="24"/>
        </w:rPr>
        <w:t>-</w:t>
      </w:r>
      <w:r w:rsidR="00E20495" w:rsidRPr="006B24DA">
        <w:rPr>
          <w:rFonts w:ascii="Book Antiqua" w:eastAsia="Times New Roman" w:hAnsi="Book Antiqua" w:cs="Times New Roman"/>
          <w:color w:val="000000" w:themeColor="text1"/>
          <w:sz w:val="24"/>
          <w:szCs w:val="24"/>
        </w:rPr>
        <w:t xml:space="preserve"> 2015 as Governor of the American College of Gastroenterology, Southern California B, and served in various capacities in the American Society of Gastrointestinal Endoscopy (</w:t>
      </w:r>
      <w:r w:rsidR="00E20495" w:rsidRPr="006B24DA">
        <w:rPr>
          <w:rFonts w:ascii="Book Antiqua" w:hAnsi="Book Antiqua" w:cs="Times New Roman"/>
          <w:color w:val="000000" w:themeColor="text1"/>
          <w:sz w:val="24"/>
          <w:szCs w:val="24"/>
        </w:rPr>
        <w:t xml:space="preserve">EUS Committee, Postgraduate Education Committee Member, Scientific Program Committee Member </w:t>
      </w:r>
      <w:r w:rsidR="00C031C5" w:rsidRPr="006B24DA">
        <w:rPr>
          <w:rFonts w:ascii="Book Antiqua" w:hAnsi="Book Antiqua" w:cs="Times New Roman"/>
          <w:color w:val="000000" w:themeColor="text1"/>
          <w:sz w:val="24"/>
          <w:szCs w:val="24"/>
        </w:rPr>
        <w:t xml:space="preserve">and </w:t>
      </w:r>
      <w:r w:rsidR="00E20495" w:rsidRPr="006B24DA">
        <w:rPr>
          <w:rFonts w:ascii="Book Antiqua" w:hAnsi="Book Antiqua" w:cs="Times New Roman"/>
          <w:color w:val="000000" w:themeColor="text1"/>
          <w:sz w:val="24"/>
          <w:szCs w:val="24"/>
        </w:rPr>
        <w:t>Chair, and the Technology Assessment Committee Member</w:t>
      </w:r>
      <w:r w:rsidRPr="006B24DA">
        <w:rPr>
          <w:rFonts w:ascii="Book Antiqua" w:hAnsi="Book Antiqua" w:cs="Times New Roman"/>
          <w:color w:val="000000" w:themeColor="text1"/>
          <w:sz w:val="24"/>
          <w:szCs w:val="24"/>
        </w:rPr>
        <w:t>)</w:t>
      </w:r>
      <w:r w:rsidR="00E20495" w:rsidRPr="006B24DA">
        <w:rPr>
          <w:rFonts w:ascii="Book Antiqua" w:hAnsi="Book Antiqua" w:cs="Times New Roman"/>
          <w:color w:val="000000" w:themeColor="text1"/>
          <w:sz w:val="24"/>
          <w:szCs w:val="24"/>
        </w:rPr>
        <w:t xml:space="preserve">. </w:t>
      </w:r>
      <w:r w:rsidR="00E20495" w:rsidRPr="006B24DA">
        <w:rPr>
          <w:rFonts w:ascii="Book Antiqua" w:eastAsia="Times New Roman" w:hAnsi="Book Antiqua" w:cs="Times New Roman"/>
          <w:color w:val="000000" w:themeColor="text1"/>
          <w:sz w:val="24"/>
          <w:szCs w:val="24"/>
        </w:rPr>
        <w:t xml:space="preserve">He was a Founding Member of the American </w:t>
      </w:r>
      <w:proofErr w:type="spellStart"/>
      <w:r w:rsidR="00E20495" w:rsidRPr="006B24DA">
        <w:rPr>
          <w:rFonts w:ascii="Book Antiqua" w:eastAsia="Times New Roman" w:hAnsi="Book Antiqua" w:cs="Times New Roman"/>
          <w:color w:val="000000" w:themeColor="text1"/>
          <w:sz w:val="24"/>
          <w:szCs w:val="24"/>
        </w:rPr>
        <w:t>Endosonography</w:t>
      </w:r>
      <w:proofErr w:type="spellEnd"/>
      <w:r w:rsidR="00E20495" w:rsidRPr="006B24DA">
        <w:rPr>
          <w:rFonts w:ascii="Book Antiqua" w:eastAsia="Times New Roman" w:hAnsi="Book Antiqua" w:cs="Times New Roman"/>
          <w:color w:val="000000" w:themeColor="text1"/>
          <w:sz w:val="24"/>
          <w:szCs w:val="24"/>
        </w:rPr>
        <w:t xml:space="preserve"> Club, and recently was invited to be a founding Board Member of the newly formed Americ</w:t>
      </w:r>
      <w:r w:rsidRPr="006B24DA">
        <w:rPr>
          <w:rFonts w:ascii="Book Antiqua" w:eastAsia="Times New Roman" w:hAnsi="Book Antiqua" w:cs="Times New Roman"/>
          <w:color w:val="000000" w:themeColor="text1"/>
          <w:sz w:val="24"/>
          <w:szCs w:val="24"/>
        </w:rPr>
        <w:t>an Foregut Society.</w:t>
      </w:r>
    </w:p>
    <w:p w14:paraId="70A4CD4D" w14:textId="457401CF" w:rsidR="00E20495" w:rsidRPr="006B24DA" w:rsidRDefault="007F39D2" w:rsidP="007761C0">
      <w:pPr>
        <w:pStyle w:val="Default"/>
        <w:snapToGrid w:val="0"/>
        <w:spacing w:line="360" w:lineRule="auto"/>
        <w:jc w:val="both"/>
        <w:rPr>
          <w:rFonts w:ascii="Book Antiqua" w:eastAsia="Times New Roman" w:hAnsi="Book Antiqua"/>
          <w:color w:val="000000" w:themeColor="text1"/>
        </w:rPr>
      </w:pPr>
      <w:r w:rsidRPr="006B24DA">
        <w:rPr>
          <w:rFonts w:ascii="Book Antiqua" w:eastAsia="Times New Roman" w:hAnsi="Book Antiqua"/>
          <w:color w:val="000000" w:themeColor="text1"/>
        </w:rPr>
        <w:t xml:space="preserve">  </w:t>
      </w:r>
      <w:r w:rsidR="00E20495" w:rsidRPr="006B24DA">
        <w:rPr>
          <w:rFonts w:ascii="Book Antiqua" w:eastAsia="Times New Roman" w:hAnsi="Book Antiqua"/>
          <w:color w:val="000000" w:themeColor="text1"/>
        </w:rPr>
        <w:t xml:space="preserve">Dr. Chang is internationally recognized for his advanced expertise in gastrointestinal </w:t>
      </w:r>
      <w:r w:rsidR="00D33133" w:rsidRPr="006B24DA">
        <w:rPr>
          <w:rFonts w:ascii="Book Antiqua" w:eastAsia="Times New Roman" w:hAnsi="Book Antiqua"/>
          <w:color w:val="000000" w:themeColor="text1"/>
        </w:rPr>
        <w:t>endoscopy and new technologies.</w:t>
      </w:r>
      <w:r w:rsidR="00E20495" w:rsidRPr="006B24DA">
        <w:rPr>
          <w:rFonts w:ascii="Book Antiqua" w:eastAsia="Times New Roman" w:hAnsi="Book Antiqua"/>
          <w:color w:val="000000" w:themeColor="text1"/>
        </w:rPr>
        <w:t xml:space="preserve"> He developed and pioneered </w:t>
      </w:r>
      <w:bookmarkStart w:id="27" w:name="OLE_LINK36"/>
      <w:bookmarkStart w:id="28" w:name="OLE_LINK37"/>
      <w:bookmarkStart w:id="29" w:name="OLE_LINK42"/>
      <w:r w:rsidRPr="006B24DA">
        <w:rPr>
          <w:rFonts w:ascii="Book Antiqua" w:eastAsia="Times New Roman" w:hAnsi="Book Antiqua"/>
          <w:color w:val="000000" w:themeColor="text1"/>
        </w:rPr>
        <w:t>endoscopic ultrasound</w:t>
      </w:r>
      <w:bookmarkEnd w:id="27"/>
      <w:bookmarkEnd w:id="28"/>
      <w:bookmarkEnd w:id="29"/>
      <w:r w:rsidRPr="006B24DA">
        <w:rPr>
          <w:rFonts w:ascii="Book Antiqua" w:eastAsia="Times New Roman" w:hAnsi="Book Antiqua"/>
          <w:color w:val="000000" w:themeColor="text1"/>
        </w:rPr>
        <w:t xml:space="preserve"> (EUS)-</w:t>
      </w:r>
      <w:r w:rsidR="00E20495" w:rsidRPr="006B24DA">
        <w:rPr>
          <w:rFonts w:ascii="Book Antiqua" w:eastAsia="Times New Roman" w:hAnsi="Book Antiqua"/>
          <w:color w:val="000000" w:themeColor="text1"/>
        </w:rPr>
        <w:t>guided fine needle aspiration (FNA), which broke the critical technology barrier and enabled a world-wide a</w:t>
      </w:r>
      <w:r w:rsidRPr="006B24DA">
        <w:rPr>
          <w:rFonts w:ascii="Book Antiqua" w:eastAsia="Times New Roman" w:hAnsi="Book Antiqua"/>
          <w:color w:val="000000" w:themeColor="text1"/>
        </w:rPr>
        <w:t xml:space="preserve">pplication of this technique. </w:t>
      </w:r>
      <w:r w:rsidR="00E20495" w:rsidRPr="006B24DA">
        <w:rPr>
          <w:rFonts w:ascii="Book Antiqua" w:eastAsia="Times New Roman" w:hAnsi="Book Antiqua"/>
          <w:color w:val="000000" w:themeColor="text1"/>
        </w:rPr>
        <w:t xml:space="preserve">He then developed novel techniques for EUS-guided fine needle injection (FNI), including delivery of anti-tumor agents, paving the way to </w:t>
      </w:r>
      <w:r w:rsidRPr="006B24DA">
        <w:rPr>
          <w:rFonts w:ascii="Book Antiqua" w:eastAsia="Times New Roman" w:hAnsi="Book Antiqua"/>
          <w:color w:val="000000" w:themeColor="text1"/>
        </w:rPr>
        <w:t xml:space="preserve">interventional endoscopy and interventional </w:t>
      </w:r>
      <w:r w:rsidR="00D33133" w:rsidRPr="006B24DA">
        <w:rPr>
          <w:rFonts w:ascii="Book Antiqua" w:eastAsia="Times New Roman" w:hAnsi="Book Antiqua"/>
          <w:color w:val="000000" w:themeColor="text1"/>
        </w:rPr>
        <w:t>EUS.</w:t>
      </w:r>
      <w:r w:rsidR="00E20495" w:rsidRPr="006B24DA">
        <w:rPr>
          <w:rFonts w:ascii="Book Antiqua" w:eastAsia="Times New Roman" w:hAnsi="Book Antiqua"/>
          <w:color w:val="000000" w:themeColor="text1"/>
        </w:rPr>
        <w:t xml:space="preserve"> More recently, he has made major contributions to </w:t>
      </w:r>
      <w:r w:rsidR="00E20495" w:rsidRPr="006B24DA">
        <w:rPr>
          <w:rFonts w:ascii="Book Antiqua" w:eastAsia="Times New Roman" w:hAnsi="Book Antiqua"/>
        </w:rPr>
        <w:t xml:space="preserve">in vivo identification and diagnosing of </w:t>
      </w:r>
      <w:r w:rsidR="00E20495" w:rsidRPr="006B24DA">
        <w:rPr>
          <w:rFonts w:ascii="Book Antiqua" w:eastAsia="Times New Roman" w:hAnsi="Book Antiqua"/>
        </w:rPr>
        <w:lastRenderedPageBreak/>
        <w:t xml:space="preserve">pancreatic cystic neoplasms with needle-based confocal laser </w:t>
      </w:r>
      <w:proofErr w:type="spellStart"/>
      <w:r w:rsidR="00E20495" w:rsidRPr="006B24DA">
        <w:rPr>
          <w:rFonts w:ascii="Book Antiqua" w:eastAsia="Times New Roman" w:hAnsi="Book Antiqua"/>
        </w:rPr>
        <w:t>endomicroscopy</w:t>
      </w:r>
      <w:proofErr w:type="spellEnd"/>
      <w:r w:rsidR="00E20495" w:rsidRPr="006B24DA">
        <w:rPr>
          <w:rFonts w:ascii="Book Antiqua" w:eastAsia="Times New Roman" w:hAnsi="Book Antiqua"/>
          <w:color w:val="000000" w:themeColor="text1"/>
        </w:rPr>
        <w:t xml:space="preserve">, </w:t>
      </w:r>
      <w:hyperlink r:id="rId9" w:history="1"/>
      <w:r w:rsidR="00E20495" w:rsidRPr="006B24DA">
        <w:rPr>
          <w:rFonts w:ascii="Book Antiqua" w:eastAsia="Times New Roman" w:hAnsi="Book Antiqua"/>
          <w:color w:val="000000" w:themeColor="text1"/>
        </w:rPr>
        <w:t xml:space="preserve">and developed a new method of </w:t>
      </w:r>
      <w:r w:rsidR="00E20495" w:rsidRPr="006B24DA">
        <w:rPr>
          <w:rFonts w:ascii="Book Antiqua" w:eastAsia="Times New Roman" w:hAnsi="Book Antiqua"/>
        </w:rPr>
        <w:t xml:space="preserve">EUS-guided portal pressure gradient measurement in humans with a simple novel device. </w:t>
      </w:r>
      <w:r w:rsidR="00E20495" w:rsidRPr="006B24DA">
        <w:rPr>
          <w:rFonts w:ascii="Book Antiqua" w:eastAsia="Times New Roman" w:hAnsi="Book Antiqua"/>
          <w:color w:val="000000" w:themeColor="text1"/>
        </w:rPr>
        <w:t>Dr. Chang’s career passion has been to expand the use of endoscopy</w:t>
      </w:r>
      <w:r w:rsidR="00D33133" w:rsidRPr="006B24DA">
        <w:rPr>
          <w:rFonts w:ascii="Book Antiqua" w:eastAsia="Times New Roman" w:hAnsi="Book Antiqua"/>
          <w:color w:val="000000" w:themeColor="text1"/>
        </w:rPr>
        <w:t xml:space="preserve"> within the field of oncology. </w:t>
      </w:r>
      <w:r w:rsidR="00E20495" w:rsidRPr="006B24DA">
        <w:rPr>
          <w:rFonts w:ascii="Book Antiqua" w:eastAsia="Times New Roman" w:hAnsi="Book Antiqua"/>
          <w:color w:val="000000" w:themeColor="text1"/>
        </w:rPr>
        <w:t xml:space="preserve">This has stemmed the entire spectrum of early and precise detection of cancer and pre-cancerous lesions in the esophagus and pancreas, accurate local staging of </w:t>
      </w:r>
      <w:r w:rsidR="002509A0" w:rsidRPr="006B24DA">
        <w:rPr>
          <w:rFonts w:ascii="Book Antiqua" w:eastAsia="Times New Roman" w:hAnsi="Book Antiqua"/>
          <w:color w:val="000000" w:themeColor="text1"/>
        </w:rPr>
        <w:t>gastrointestinal (</w:t>
      </w:r>
      <w:r w:rsidR="00E20495" w:rsidRPr="006B24DA">
        <w:rPr>
          <w:rFonts w:ascii="Book Antiqua" w:eastAsia="Times New Roman" w:hAnsi="Book Antiqua"/>
          <w:color w:val="000000" w:themeColor="text1"/>
        </w:rPr>
        <w:t>GI</w:t>
      </w:r>
      <w:r w:rsidR="002509A0" w:rsidRPr="006B24DA">
        <w:rPr>
          <w:rFonts w:ascii="Book Antiqua" w:eastAsia="Times New Roman" w:hAnsi="Book Antiqua"/>
          <w:color w:val="000000" w:themeColor="text1"/>
        </w:rPr>
        <w:t>)</w:t>
      </w:r>
      <w:r w:rsidR="00E20495" w:rsidRPr="006B24DA">
        <w:rPr>
          <w:rFonts w:ascii="Book Antiqua" w:eastAsia="Times New Roman" w:hAnsi="Book Antiqua"/>
          <w:color w:val="000000" w:themeColor="text1"/>
        </w:rPr>
        <w:t xml:space="preserve"> malignancies, complete eradication of pre-cancerous Barrett’s esophagus</w:t>
      </w:r>
      <w:r w:rsidR="00D4044E" w:rsidRPr="006B24DA">
        <w:rPr>
          <w:rFonts w:ascii="Book Antiqua" w:eastAsia="Times New Roman" w:hAnsi="Book Antiqua"/>
          <w:color w:val="000000" w:themeColor="text1"/>
        </w:rPr>
        <w:t xml:space="preserve"> (BE)</w:t>
      </w:r>
      <w:r w:rsidR="00E20495" w:rsidRPr="006B24DA">
        <w:rPr>
          <w:rFonts w:ascii="Book Antiqua" w:eastAsia="Times New Roman" w:hAnsi="Book Antiqua"/>
          <w:color w:val="000000" w:themeColor="text1"/>
        </w:rPr>
        <w:t>, and the delivery of novel therap</w:t>
      </w:r>
      <w:r w:rsidR="00D33133" w:rsidRPr="006B24DA">
        <w:rPr>
          <w:rFonts w:ascii="Book Antiqua" w:eastAsia="Times New Roman" w:hAnsi="Book Antiqua"/>
          <w:color w:val="000000" w:themeColor="text1"/>
        </w:rPr>
        <w:t>eutics.</w:t>
      </w:r>
      <w:r w:rsidR="00E20495" w:rsidRPr="006B24DA">
        <w:rPr>
          <w:rFonts w:ascii="Book Antiqua" w:eastAsia="Times New Roman" w:hAnsi="Book Antiqua"/>
          <w:color w:val="000000" w:themeColor="text1"/>
        </w:rPr>
        <w:t xml:space="preserve"> One of the most widely used endoscopic device world-wide is the Barrx90 radiofrequency</w:t>
      </w:r>
      <w:r w:rsidR="00B27D0F" w:rsidRPr="006B24DA">
        <w:rPr>
          <w:rFonts w:ascii="Book Antiqua" w:eastAsia="Times New Roman" w:hAnsi="Book Antiqua"/>
          <w:color w:val="000000" w:themeColor="text1"/>
        </w:rPr>
        <w:t xml:space="preserve"> (RF)</w:t>
      </w:r>
      <w:r w:rsidR="00E20495" w:rsidRPr="006B24DA">
        <w:rPr>
          <w:rFonts w:ascii="Book Antiqua" w:eastAsia="Times New Roman" w:hAnsi="Book Antiqua"/>
          <w:color w:val="000000" w:themeColor="text1"/>
        </w:rPr>
        <w:t xml:space="preserve"> device, which bears the name “Chang Cap”. More recently, his focus has included the endoscopic treatment of conditions that predispose patients to ca</w:t>
      </w:r>
      <w:r w:rsidR="002509A0" w:rsidRPr="006B24DA">
        <w:rPr>
          <w:rFonts w:ascii="Book Antiqua" w:eastAsia="Times New Roman" w:hAnsi="Book Antiqua"/>
          <w:color w:val="000000" w:themeColor="text1"/>
        </w:rPr>
        <w:t xml:space="preserve">ncer, namely </w:t>
      </w:r>
      <w:bookmarkStart w:id="30" w:name="OLE_LINK45"/>
      <w:bookmarkStart w:id="31" w:name="OLE_LINK46"/>
      <w:r w:rsidR="002509A0" w:rsidRPr="006B24DA">
        <w:rPr>
          <w:rFonts w:ascii="Book Antiqua" w:eastAsia="Times New Roman" w:hAnsi="Book Antiqua"/>
          <w:bCs/>
          <w:color w:val="000000" w:themeColor="text1"/>
        </w:rPr>
        <w:t>gastroesophageal reflux disease</w:t>
      </w:r>
      <w:bookmarkEnd w:id="30"/>
      <w:bookmarkEnd w:id="31"/>
      <w:r w:rsidR="002509A0" w:rsidRPr="006B24DA">
        <w:rPr>
          <w:rFonts w:ascii="Book Antiqua" w:eastAsia="Times New Roman" w:hAnsi="Book Antiqua"/>
          <w:bCs/>
          <w:color w:val="000000" w:themeColor="text1"/>
        </w:rPr>
        <w:t xml:space="preserve"> (GERD)</w:t>
      </w:r>
      <w:r w:rsidR="002509A0" w:rsidRPr="006B24DA">
        <w:rPr>
          <w:rFonts w:ascii="Book Antiqua" w:eastAsia="Times New Roman" w:hAnsi="Book Antiqua"/>
          <w:color w:val="000000" w:themeColor="text1"/>
        </w:rPr>
        <w:t xml:space="preserve"> and obesity.</w:t>
      </w:r>
    </w:p>
    <w:p w14:paraId="22D0D9CB" w14:textId="53159974" w:rsidR="00E20495" w:rsidRPr="006B24DA" w:rsidRDefault="002509A0" w:rsidP="002509A0">
      <w:pPr>
        <w:adjustRightInd w:val="0"/>
        <w:snapToGrid w:val="0"/>
        <w:spacing w:after="0" w:line="360" w:lineRule="auto"/>
        <w:jc w:val="both"/>
        <w:rPr>
          <w:rFonts w:ascii="Book Antiqua" w:eastAsia="Calibri"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t xml:space="preserve">  </w:t>
      </w:r>
      <w:r w:rsidR="00E20495" w:rsidRPr="006B24DA">
        <w:rPr>
          <w:rFonts w:ascii="Book Antiqua" w:eastAsia="Times New Roman" w:hAnsi="Book Antiqua" w:cs="Times New Roman"/>
          <w:color w:val="000000" w:themeColor="text1"/>
          <w:sz w:val="24"/>
          <w:szCs w:val="24"/>
        </w:rPr>
        <w:t xml:space="preserve">He has authored over 170 scientific papers, including papers in </w:t>
      </w:r>
      <w:r w:rsidRPr="006B24DA">
        <w:rPr>
          <w:rFonts w:ascii="Book Antiqua" w:eastAsia="Times New Roman" w:hAnsi="Book Antiqua" w:cs="Times New Roman"/>
          <w:i/>
          <w:color w:val="000000" w:themeColor="text1"/>
          <w:sz w:val="24"/>
          <w:szCs w:val="24"/>
        </w:rPr>
        <w:t>The New England Journal of Medicine</w:t>
      </w:r>
      <w:r w:rsidR="00E20495" w:rsidRPr="006B24DA">
        <w:rPr>
          <w:rFonts w:ascii="Book Antiqua" w:eastAsia="Times New Roman" w:hAnsi="Book Antiqua" w:cs="Times New Roman"/>
          <w:color w:val="000000" w:themeColor="text1"/>
          <w:sz w:val="24"/>
          <w:szCs w:val="24"/>
        </w:rPr>
        <w:t xml:space="preserve">, </w:t>
      </w:r>
      <w:r w:rsidR="00E20495" w:rsidRPr="006B24DA">
        <w:rPr>
          <w:rFonts w:ascii="Book Antiqua" w:eastAsia="Times New Roman" w:hAnsi="Book Antiqua" w:cs="Times New Roman"/>
          <w:i/>
          <w:color w:val="000000" w:themeColor="text1"/>
          <w:sz w:val="24"/>
          <w:szCs w:val="24"/>
        </w:rPr>
        <w:t>Nature Genetics</w:t>
      </w:r>
      <w:r w:rsidR="00E20495" w:rsidRPr="006B24DA">
        <w:rPr>
          <w:rFonts w:ascii="Book Antiqua" w:eastAsia="Times New Roman" w:hAnsi="Book Antiqua" w:cs="Times New Roman"/>
          <w:color w:val="000000" w:themeColor="text1"/>
          <w:sz w:val="24"/>
          <w:szCs w:val="24"/>
        </w:rPr>
        <w:t xml:space="preserve">, </w:t>
      </w:r>
      <w:r w:rsidR="00E20495" w:rsidRPr="006B24DA">
        <w:rPr>
          <w:rFonts w:ascii="Book Antiqua" w:eastAsia="Times New Roman" w:hAnsi="Book Antiqua" w:cs="Times New Roman"/>
          <w:i/>
          <w:color w:val="000000" w:themeColor="text1"/>
          <w:sz w:val="24"/>
          <w:szCs w:val="24"/>
        </w:rPr>
        <w:t>Gastroenterology</w:t>
      </w:r>
      <w:r w:rsidR="00E20495" w:rsidRPr="006B24DA">
        <w:rPr>
          <w:rFonts w:ascii="Book Antiqua" w:eastAsia="Times New Roman" w:hAnsi="Book Antiqua" w:cs="Times New Roman"/>
          <w:color w:val="000000" w:themeColor="text1"/>
          <w:sz w:val="24"/>
          <w:szCs w:val="24"/>
        </w:rPr>
        <w:t>,</w:t>
      </w:r>
      <w:r w:rsidR="00E20495" w:rsidRPr="006B24DA">
        <w:rPr>
          <w:rFonts w:ascii="Book Antiqua" w:eastAsia="Calibri" w:hAnsi="Book Antiqua" w:cs="Times New Roman"/>
          <w:color w:val="000000" w:themeColor="text1"/>
          <w:sz w:val="24"/>
          <w:szCs w:val="24"/>
        </w:rPr>
        <w:t xml:space="preserve"> </w:t>
      </w:r>
      <w:r w:rsidR="00E20495" w:rsidRPr="006B24DA">
        <w:rPr>
          <w:rFonts w:ascii="Book Antiqua" w:eastAsia="Times New Roman" w:hAnsi="Book Antiqua" w:cs="Times New Roman"/>
          <w:i/>
          <w:color w:val="000000" w:themeColor="text1"/>
          <w:sz w:val="24"/>
          <w:szCs w:val="24"/>
        </w:rPr>
        <w:t xml:space="preserve">Nature Clinical Practice Gastroenterology </w:t>
      </w:r>
      <w:r w:rsidRPr="006B24DA">
        <w:rPr>
          <w:rFonts w:ascii="Book Antiqua" w:eastAsia="Times New Roman" w:hAnsi="Book Antiqua" w:cs="Times New Roman"/>
          <w:i/>
          <w:color w:val="000000" w:themeColor="text1"/>
          <w:sz w:val="24"/>
          <w:szCs w:val="24"/>
        </w:rPr>
        <w:t>and</w:t>
      </w:r>
      <w:r w:rsidR="00E20495" w:rsidRPr="006B24DA">
        <w:rPr>
          <w:rFonts w:ascii="Book Antiqua" w:eastAsia="Times New Roman" w:hAnsi="Book Antiqua" w:cs="Times New Roman"/>
          <w:i/>
          <w:color w:val="000000" w:themeColor="text1"/>
          <w:sz w:val="24"/>
          <w:szCs w:val="24"/>
        </w:rPr>
        <w:t xml:space="preserve"> Hepatology</w:t>
      </w:r>
      <w:r w:rsidR="00E20495" w:rsidRPr="006B24DA">
        <w:rPr>
          <w:rFonts w:ascii="Book Antiqua" w:eastAsia="Times New Roman" w:hAnsi="Book Antiqua" w:cs="Times New Roman"/>
          <w:color w:val="000000" w:themeColor="text1"/>
          <w:sz w:val="24"/>
          <w:szCs w:val="24"/>
        </w:rPr>
        <w:t xml:space="preserve">, </w:t>
      </w:r>
      <w:r w:rsidR="00E20495" w:rsidRPr="006B24DA">
        <w:rPr>
          <w:rFonts w:ascii="Book Antiqua" w:eastAsia="Times New Roman" w:hAnsi="Book Antiqua" w:cs="Times New Roman"/>
          <w:i/>
          <w:color w:val="000000" w:themeColor="text1"/>
          <w:sz w:val="24"/>
          <w:szCs w:val="24"/>
        </w:rPr>
        <w:t>Cancer</w:t>
      </w:r>
      <w:r w:rsidR="00E20495" w:rsidRPr="006B24DA">
        <w:rPr>
          <w:rFonts w:ascii="Book Antiqua" w:eastAsia="Times New Roman" w:hAnsi="Book Antiqua" w:cs="Times New Roman"/>
          <w:color w:val="000000" w:themeColor="text1"/>
          <w:sz w:val="24"/>
          <w:szCs w:val="24"/>
        </w:rPr>
        <w:t xml:space="preserve">, </w:t>
      </w:r>
      <w:r w:rsidR="00E20495" w:rsidRPr="006B24DA">
        <w:rPr>
          <w:rFonts w:ascii="Book Antiqua" w:eastAsia="Times New Roman" w:hAnsi="Book Antiqua" w:cs="Times New Roman"/>
          <w:i/>
          <w:color w:val="000000" w:themeColor="text1"/>
          <w:sz w:val="24"/>
          <w:szCs w:val="24"/>
        </w:rPr>
        <w:t>Endoscopy</w:t>
      </w:r>
      <w:r w:rsidR="00E20495"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i/>
          <w:color w:val="000000" w:themeColor="text1"/>
          <w:sz w:val="24"/>
          <w:szCs w:val="24"/>
        </w:rPr>
        <w:t>American Journal of Gastroenterology</w:t>
      </w:r>
      <w:r w:rsidR="00E20495" w:rsidRPr="006B24DA">
        <w:rPr>
          <w:rFonts w:ascii="Book Antiqua" w:eastAsia="Times New Roman" w:hAnsi="Book Antiqua" w:cs="Times New Roman"/>
          <w:color w:val="000000" w:themeColor="text1"/>
          <w:sz w:val="24"/>
          <w:szCs w:val="24"/>
        </w:rPr>
        <w:t xml:space="preserve">, </w:t>
      </w:r>
      <w:r w:rsidR="00E20495" w:rsidRPr="006B24DA">
        <w:rPr>
          <w:rFonts w:ascii="Book Antiqua" w:eastAsia="Times New Roman" w:hAnsi="Book Antiqua" w:cs="Times New Roman"/>
          <w:i/>
          <w:color w:val="000000" w:themeColor="text1"/>
          <w:sz w:val="24"/>
          <w:szCs w:val="24"/>
        </w:rPr>
        <w:t>Gastrointestinal Endoscopy</w:t>
      </w:r>
      <w:r w:rsidR="00E20495" w:rsidRPr="006B24DA">
        <w:rPr>
          <w:rFonts w:ascii="Book Antiqua" w:eastAsia="Times New Roman" w:hAnsi="Book Antiqua" w:cs="Times New Roman"/>
          <w:color w:val="000000" w:themeColor="text1"/>
          <w:sz w:val="24"/>
          <w:szCs w:val="24"/>
        </w:rPr>
        <w:t xml:space="preserve">, </w:t>
      </w:r>
      <w:r w:rsidR="00E20495" w:rsidRPr="006B24DA">
        <w:rPr>
          <w:rFonts w:ascii="Book Antiqua" w:eastAsia="Calibri" w:hAnsi="Book Antiqua" w:cs="Times New Roman"/>
          <w:i/>
          <w:color w:val="000000" w:themeColor="text1"/>
          <w:sz w:val="24"/>
          <w:szCs w:val="24"/>
        </w:rPr>
        <w:t>Clinical Cancer Res</w:t>
      </w:r>
      <w:r w:rsidRPr="006B24DA">
        <w:rPr>
          <w:rFonts w:ascii="Book Antiqua" w:eastAsia="Calibri" w:hAnsi="Book Antiqua" w:cs="Times New Roman"/>
          <w:i/>
          <w:color w:val="000000" w:themeColor="text1"/>
          <w:sz w:val="24"/>
          <w:szCs w:val="24"/>
        </w:rPr>
        <w:t>earch</w:t>
      </w:r>
      <w:r w:rsidR="00E20495" w:rsidRPr="006B24DA">
        <w:rPr>
          <w:rFonts w:ascii="Book Antiqua" w:eastAsia="Calibri" w:hAnsi="Book Antiqua" w:cs="Times New Roman"/>
          <w:color w:val="000000" w:themeColor="text1"/>
          <w:sz w:val="24"/>
          <w:szCs w:val="24"/>
        </w:rPr>
        <w:t xml:space="preserve">, </w:t>
      </w:r>
      <w:bookmarkStart w:id="32" w:name="OLE_LINK38"/>
      <w:bookmarkStart w:id="33" w:name="OLE_LINK39"/>
      <w:r w:rsidR="00D33133" w:rsidRPr="006B24DA">
        <w:rPr>
          <w:rFonts w:ascii="Book Antiqua" w:eastAsia="Calibri" w:hAnsi="Book Antiqua" w:cs="Times New Roman"/>
          <w:i/>
          <w:color w:val="000000" w:themeColor="text1"/>
          <w:sz w:val="24"/>
          <w:szCs w:val="24"/>
        </w:rPr>
        <w:t xml:space="preserve">Digestive Diseases and </w:t>
      </w:r>
      <w:r w:rsidR="00E20495" w:rsidRPr="006B24DA">
        <w:rPr>
          <w:rFonts w:ascii="Book Antiqua" w:eastAsia="Calibri" w:hAnsi="Book Antiqua" w:cs="Times New Roman"/>
          <w:i/>
          <w:color w:val="000000" w:themeColor="text1"/>
          <w:sz w:val="24"/>
          <w:szCs w:val="24"/>
        </w:rPr>
        <w:t>Sciences</w:t>
      </w:r>
      <w:bookmarkEnd w:id="32"/>
      <w:bookmarkEnd w:id="33"/>
      <w:r w:rsidR="00E20495" w:rsidRPr="006B24DA">
        <w:rPr>
          <w:rFonts w:ascii="Book Antiqua" w:eastAsia="Calibri" w:hAnsi="Book Antiqua" w:cs="Times New Roman"/>
          <w:color w:val="000000" w:themeColor="text1"/>
          <w:sz w:val="24"/>
          <w:szCs w:val="24"/>
        </w:rPr>
        <w:t xml:space="preserve">, </w:t>
      </w:r>
      <w:r w:rsidR="00E20495" w:rsidRPr="006B24DA">
        <w:rPr>
          <w:rFonts w:ascii="Book Antiqua" w:eastAsia="Calibri" w:hAnsi="Book Antiqua" w:cs="Times New Roman"/>
          <w:i/>
          <w:color w:val="000000" w:themeColor="text1"/>
          <w:sz w:val="24"/>
          <w:szCs w:val="24"/>
        </w:rPr>
        <w:t>Digestive Endoscopy</w:t>
      </w:r>
      <w:r w:rsidR="00E20495" w:rsidRPr="006B24DA">
        <w:rPr>
          <w:rFonts w:ascii="Book Antiqua" w:eastAsia="Calibri" w:hAnsi="Book Antiqua" w:cs="Times New Roman"/>
          <w:color w:val="000000" w:themeColor="text1"/>
          <w:sz w:val="24"/>
          <w:szCs w:val="24"/>
        </w:rPr>
        <w:t xml:space="preserve">, </w:t>
      </w:r>
      <w:r w:rsidR="00E20495" w:rsidRPr="006B24DA">
        <w:rPr>
          <w:rFonts w:ascii="Book Antiqua" w:eastAsia="Calibri" w:hAnsi="Book Antiqua" w:cs="Times New Roman"/>
          <w:i/>
          <w:color w:val="000000" w:themeColor="text1"/>
          <w:sz w:val="24"/>
          <w:szCs w:val="24"/>
        </w:rPr>
        <w:t>Gastrointestinal Endoscopic Clinics of North America</w:t>
      </w:r>
      <w:r w:rsidR="00E20495" w:rsidRPr="006B24DA">
        <w:rPr>
          <w:rFonts w:ascii="Book Antiqua" w:eastAsia="Calibri" w:hAnsi="Book Antiqua" w:cs="Times New Roman"/>
          <w:color w:val="000000" w:themeColor="text1"/>
          <w:sz w:val="24"/>
          <w:szCs w:val="24"/>
        </w:rPr>
        <w:t xml:space="preserve">, </w:t>
      </w:r>
      <w:r w:rsidR="00E20495" w:rsidRPr="006B24DA">
        <w:rPr>
          <w:rFonts w:ascii="Book Antiqua" w:eastAsia="Calibri" w:hAnsi="Book Antiqua" w:cs="Times New Roman"/>
          <w:i/>
          <w:color w:val="000000" w:themeColor="text1"/>
          <w:sz w:val="24"/>
          <w:szCs w:val="24"/>
        </w:rPr>
        <w:t>J</w:t>
      </w:r>
      <w:r w:rsidRPr="006B24DA">
        <w:rPr>
          <w:rFonts w:ascii="Book Antiqua" w:eastAsia="Calibri" w:hAnsi="Book Antiqua" w:cs="Times New Roman"/>
          <w:i/>
          <w:color w:val="000000" w:themeColor="text1"/>
          <w:sz w:val="24"/>
          <w:szCs w:val="24"/>
        </w:rPr>
        <w:t>ournal of</w:t>
      </w:r>
      <w:r w:rsidR="00E20495" w:rsidRPr="006B24DA">
        <w:rPr>
          <w:rFonts w:ascii="Book Antiqua" w:eastAsia="Calibri" w:hAnsi="Book Antiqua" w:cs="Times New Roman"/>
          <w:i/>
          <w:color w:val="000000" w:themeColor="text1"/>
          <w:sz w:val="24"/>
          <w:szCs w:val="24"/>
        </w:rPr>
        <w:t xml:space="preserve"> Clinical Imaging Science</w:t>
      </w:r>
      <w:r w:rsidR="00E20495" w:rsidRPr="006B24DA">
        <w:rPr>
          <w:rFonts w:ascii="Book Antiqua" w:eastAsia="Calibri" w:hAnsi="Book Antiqua" w:cs="Times New Roman"/>
          <w:color w:val="000000" w:themeColor="text1"/>
          <w:sz w:val="24"/>
          <w:szCs w:val="24"/>
        </w:rPr>
        <w:t xml:space="preserve">, </w:t>
      </w:r>
      <w:r w:rsidR="00E20495" w:rsidRPr="006B24DA">
        <w:rPr>
          <w:rFonts w:ascii="Book Antiqua" w:eastAsia="Calibri" w:hAnsi="Book Antiqua" w:cs="Times New Roman"/>
          <w:i/>
          <w:color w:val="000000" w:themeColor="text1"/>
          <w:sz w:val="24"/>
          <w:szCs w:val="24"/>
        </w:rPr>
        <w:t>J</w:t>
      </w:r>
      <w:r w:rsidRPr="006B24DA">
        <w:rPr>
          <w:rFonts w:ascii="Book Antiqua" w:eastAsia="Calibri" w:hAnsi="Book Antiqua" w:cs="Times New Roman"/>
          <w:i/>
          <w:color w:val="000000" w:themeColor="text1"/>
          <w:sz w:val="24"/>
          <w:szCs w:val="24"/>
        </w:rPr>
        <w:t xml:space="preserve">ournal of </w:t>
      </w:r>
      <w:r w:rsidR="00E20495" w:rsidRPr="006B24DA">
        <w:rPr>
          <w:rFonts w:ascii="Book Antiqua" w:eastAsia="Calibri" w:hAnsi="Book Antiqua" w:cs="Times New Roman"/>
          <w:i/>
          <w:color w:val="000000" w:themeColor="text1"/>
          <w:sz w:val="24"/>
          <w:szCs w:val="24"/>
        </w:rPr>
        <w:t>Clinical Oncology</w:t>
      </w:r>
      <w:r w:rsidR="00E20495" w:rsidRPr="006B24DA">
        <w:rPr>
          <w:rFonts w:ascii="Book Antiqua" w:eastAsia="Calibri" w:hAnsi="Book Antiqua" w:cs="Times New Roman"/>
          <w:color w:val="000000" w:themeColor="text1"/>
          <w:sz w:val="24"/>
          <w:szCs w:val="24"/>
        </w:rPr>
        <w:t xml:space="preserve">, </w:t>
      </w:r>
      <w:r w:rsidR="00E20495" w:rsidRPr="006B24DA">
        <w:rPr>
          <w:rFonts w:ascii="Book Antiqua" w:eastAsia="Calibri" w:hAnsi="Book Antiqua" w:cs="Times New Roman"/>
          <w:i/>
          <w:color w:val="000000" w:themeColor="text1"/>
          <w:sz w:val="24"/>
          <w:szCs w:val="24"/>
        </w:rPr>
        <w:t>J</w:t>
      </w:r>
      <w:r w:rsidRPr="006B24DA">
        <w:rPr>
          <w:rFonts w:ascii="Book Antiqua" w:eastAsia="Calibri" w:hAnsi="Book Antiqua" w:cs="Times New Roman"/>
          <w:i/>
          <w:color w:val="000000" w:themeColor="text1"/>
          <w:sz w:val="24"/>
          <w:szCs w:val="24"/>
        </w:rPr>
        <w:t>ournal of</w:t>
      </w:r>
      <w:r w:rsidR="00E20495" w:rsidRPr="006B24DA">
        <w:rPr>
          <w:rFonts w:ascii="Book Antiqua" w:eastAsia="Calibri" w:hAnsi="Book Antiqua" w:cs="Times New Roman"/>
          <w:i/>
          <w:color w:val="000000" w:themeColor="text1"/>
          <w:sz w:val="24"/>
          <w:szCs w:val="24"/>
        </w:rPr>
        <w:t xml:space="preserve"> Gastroenterology </w:t>
      </w:r>
      <w:r w:rsidRPr="006B24DA">
        <w:rPr>
          <w:rFonts w:ascii="Book Antiqua" w:eastAsia="Calibri" w:hAnsi="Book Antiqua" w:cs="Times New Roman"/>
          <w:i/>
          <w:color w:val="000000" w:themeColor="text1"/>
          <w:sz w:val="24"/>
          <w:szCs w:val="24"/>
        </w:rPr>
        <w:t>and</w:t>
      </w:r>
      <w:r w:rsidR="00E20495" w:rsidRPr="006B24DA">
        <w:rPr>
          <w:rFonts w:ascii="Book Antiqua" w:eastAsia="Calibri" w:hAnsi="Book Antiqua" w:cs="Times New Roman"/>
          <w:i/>
          <w:color w:val="000000" w:themeColor="text1"/>
          <w:sz w:val="24"/>
          <w:szCs w:val="24"/>
        </w:rPr>
        <w:t xml:space="preserve"> Hepatology</w:t>
      </w:r>
      <w:r w:rsidR="00E20495" w:rsidRPr="006B24DA">
        <w:rPr>
          <w:rFonts w:ascii="Book Antiqua" w:eastAsia="Calibri" w:hAnsi="Book Antiqua" w:cs="Times New Roman"/>
          <w:color w:val="000000" w:themeColor="text1"/>
          <w:sz w:val="24"/>
          <w:szCs w:val="24"/>
        </w:rPr>
        <w:t xml:space="preserve">, </w:t>
      </w:r>
      <w:r w:rsidR="00E20495" w:rsidRPr="006B24DA">
        <w:rPr>
          <w:rFonts w:ascii="Book Antiqua" w:eastAsia="Calibri" w:hAnsi="Book Antiqua" w:cs="Times New Roman"/>
          <w:i/>
          <w:color w:val="000000" w:themeColor="text1"/>
          <w:sz w:val="24"/>
          <w:szCs w:val="24"/>
        </w:rPr>
        <w:t>J</w:t>
      </w:r>
      <w:r w:rsidRPr="006B24DA">
        <w:rPr>
          <w:rFonts w:ascii="Book Antiqua" w:eastAsia="Calibri" w:hAnsi="Book Antiqua" w:cs="Times New Roman"/>
          <w:i/>
          <w:color w:val="000000" w:themeColor="text1"/>
          <w:sz w:val="24"/>
          <w:szCs w:val="24"/>
        </w:rPr>
        <w:t>ournal of</w:t>
      </w:r>
      <w:r w:rsidR="00E20495" w:rsidRPr="006B24DA">
        <w:rPr>
          <w:rFonts w:ascii="Book Antiqua" w:eastAsia="Calibri" w:hAnsi="Book Antiqua" w:cs="Times New Roman"/>
          <w:i/>
          <w:color w:val="000000" w:themeColor="text1"/>
          <w:sz w:val="24"/>
          <w:szCs w:val="24"/>
        </w:rPr>
        <w:t xml:space="preserve"> Physiology and Pharmacology</w:t>
      </w:r>
      <w:r w:rsidR="00E20495" w:rsidRPr="006B24DA">
        <w:rPr>
          <w:rFonts w:ascii="Book Antiqua" w:eastAsia="Calibri" w:hAnsi="Book Antiqua" w:cs="Times New Roman"/>
          <w:color w:val="000000" w:themeColor="text1"/>
          <w:sz w:val="24"/>
          <w:szCs w:val="24"/>
        </w:rPr>
        <w:t xml:space="preserve">, </w:t>
      </w:r>
      <w:r w:rsidR="00E20495" w:rsidRPr="006B24DA">
        <w:rPr>
          <w:rFonts w:ascii="Book Antiqua" w:eastAsia="Calibri" w:hAnsi="Book Antiqua" w:cs="Times New Roman"/>
          <w:i/>
          <w:color w:val="000000" w:themeColor="text1"/>
          <w:sz w:val="24"/>
          <w:szCs w:val="24"/>
        </w:rPr>
        <w:t>J</w:t>
      </w:r>
      <w:r w:rsidRPr="006B24DA">
        <w:rPr>
          <w:rFonts w:ascii="Book Antiqua" w:eastAsia="Calibri" w:hAnsi="Book Antiqua" w:cs="Times New Roman"/>
          <w:i/>
          <w:color w:val="000000" w:themeColor="text1"/>
          <w:sz w:val="24"/>
          <w:szCs w:val="24"/>
        </w:rPr>
        <w:t xml:space="preserve">ournal of </w:t>
      </w:r>
      <w:r w:rsidR="00E20495" w:rsidRPr="006B24DA">
        <w:rPr>
          <w:rFonts w:ascii="Book Antiqua" w:eastAsia="Calibri" w:hAnsi="Book Antiqua" w:cs="Times New Roman"/>
          <w:i/>
          <w:color w:val="000000" w:themeColor="text1"/>
          <w:sz w:val="24"/>
          <w:szCs w:val="24"/>
        </w:rPr>
        <w:t>Hepatobiliary and Pancreatic Science</w:t>
      </w:r>
      <w:r w:rsidR="00E20495" w:rsidRPr="006B24DA">
        <w:rPr>
          <w:rFonts w:ascii="Book Antiqua" w:eastAsia="Calibri" w:hAnsi="Book Antiqua" w:cs="Times New Roman"/>
          <w:color w:val="000000" w:themeColor="text1"/>
          <w:sz w:val="24"/>
          <w:szCs w:val="24"/>
        </w:rPr>
        <w:t xml:space="preserve">, </w:t>
      </w:r>
      <w:bookmarkStart w:id="34" w:name="OLE_LINK40"/>
      <w:bookmarkStart w:id="35" w:name="OLE_LINK41"/>
      <w:r w:rsidR="00E20495" w:rsidRPr="006B24DA">
        <w:rPr>
          <w:rFonts w:ascii="Book Antiqua" w:eastAsia="Calibri" w:hAnsi="Book Antiqua" w:cs="Times New Roman"/>
          <w:i/>
          <w:color w:val="000000" w:themeColor="text1"/>
          <w:sz w:val="24"/>
          <w:szCs w:val="24"/>
        </w:rPr>
        <w:t>J</w:t>
      </w:r>
      <w:r w:rsidRPr="006B24DA">
        <w:rPr>
          <w:rFonts w:ascii="Book Antiqua" w:eastAsia="Calibri" w:hAnsi="Book Antiqua" w:cs="Times New Roman"/>
          <w:i/>
          <w:color w:val="000000" w:themeColor="text1"/>
          <w:sz w:val="24"/>
          <w:szCs w:val="24"/>
        </w:rPr>
        <w:t>ournal of</w:t>
      </w:r>
      <w:r w:rsidR="00E20495" w:rsidRPr="006B24DA">
        <w:rPr>
          <w:rFonts w:ascii="Book Antiqua" w:eastAsia="Calibri" w:hAnsi="Book Antiqua" w:cs="Times New Roman"/>
          <w:i/>
          <w:color w:val="000000" w:themeColor="text1"/>
          <w:sz w:val="24"/>
          <w:szCs w:val="24"/>
        </w:rPr>
        <w:t xml:space="preserve"> Hepatobiliary Pancreatic Surgery</w:t>
      </w:r>
      <w:bookmarkEnd w:id="34"/>
      <w:bookmarkEnd w:id="35"/>
      <w:r w:rsidR="00E20495" w:rsidRPr="006B24DA">
        <w:rPr>
          <w:rFonts w:ascii="Book Antiqua" w:eastAsia="Calibri" w:hAnsi="Book Antiqua" w:cs="Times New Roman"/>
          <w:color w:val="000000" w:themeColor="text1"/>
          <w:sz w:val="24"/>
          <w:szCs w:val="24"/>
        </w:rPr>
        <w:t xml:space="preserve">, </w:t>
      </w:r>
      <w:r w:rsidR="00E20495" w:rsidRPr="006B24DA">
        <w:rPr>
          <w:rFonts w:ascii="Book Antiqua" w:eastAsia="Calibri" w:hAnsi="Book Antiqua" w:cs="Times New Roman"/>
          <w:i/>
          <w:color w:val="000000" w:themeColor="text1"/>
          <w:sz w:val="24"/>
          <w:szCs w:val="24"/>
        </w:rPr>
        <w:t>Annals of Surgery</w:t>
      </w:r>
      <w:r w:rsidR="00E20495" w:rsidRPr="006B24DA">
        <w:rPr>
          <w:rFonts w:ascii="Book Antiqua" w:eastAsia="Calibri" w:hAnsi="Book Antiqua" w:cs="Times New Roman"/>
          <w:color w:val="000000" w:themeColor="text1"/>
          <w:sz w:val="24"/>
          <w:szCs w:val="24"/>
        </w:rPr>
        <w:t xml:space="preserve">, </w:t>
      </w:r>
      <w:r w:rsidR="00E20495" w:rsidRPr="006B24DA">
        <w:rPr>
          <w:rFonts w:ascii="Book Antiqua" w:eastAsia="Calibri" w:hAnsi="Book Antiqua" w:cs="Times New Roman"/>
          <w:i/>
          <w:color w:val="000000" w:themeColor="text1"/>
          <w:sz w:val="24"/>
          <w:szCs w:val="24"/>
        </w:rPr>
        <w:t>Annals of Surgical Oncology</w:t>
      </w:r>
      <w:r w:rsidRPr="006B24DA">
        <w:rPr>
          <w:rFonts w:ascii="Book Antiqua" w:eastAsia="Calibri" w:hAnsi="Book Antiqua" w:cs="Times New Roman"/>
          <w:color w:val="000000" w:themeColor="text1"/>
          <w:sz w:val="24"/>
          <w:szCs w:val="24"/>
        </w:rPr>
        <w:t xml:space="preserve">, </w:t>
      </w:r>
      <w:r w:rsidR="00E20495" w:rsidRPr="006B24DA">
        <w:rPr>
          <w:rFonts w:ascii="Book Antiqua" w:eastAsia="Calibri" w:hAnsi="Book Antiqua" w:cs="Times New Roman"/>
          <w:i/>
          <w:color w:val="000000" w:themeColor="text1"/>
          <w:sz w:val="24"/>
          <w:szCs w:val="24"/>
        </w:rPr>
        <w:t>Pancreas</w:t>
      </w:r>
      <w:r w:rsidR="00E20495" w:rsidRPr="006B24DA">
        <w:rPr>
          <w:rFonts w:ascii="Book Antiqua" w:eastAsia="Calibri" w:hAnsi="Book Antiqua" w:cs="Times New Roman"/>
          <w:color w:val="000000" w:themeColor="text1"/>
          <w:sz w:val="24"/>
          <w:szCs w:val="24"/>
        </w:rPr>
        <w:t xml:space="preserve">, </w:t>
      </w:r>
      <w:r w:rsidR="00E20495" w:rsidRPr="006B24DA">
        <w:rPr>
          <w:rFonts w:ascii="Book Antiqua" w:eastAsia="Calibri" w:hAnsi="Book Antiqua" w:cs="Times New Roman"/>
          <w:i/>
          <w:color w:val="000000" w:themeColor="text1"/>
          <w:sz w:val="24"/>
          <w:szCs w:val="24"/>
        </w:rPr>
        <w:t>United European Gastroenterology Journal</w:t>
      </w:r>
      <w:r w:rsidR="00E20495" w:rsidRPr="006B24DA">
        <w:rPr>
          <w:rFonts w:ascii="Book Antiqua" w:eastAsia="Calibri" w:hAnsi="Book Antiqua" w:cs="Times New Roman"/>
          <w:color w:val="000000" w:themeColor="text1"/>
          <w:sz w:val="24"/>
          <w:szCs w:val="24"/>
        </w:rPr>
        <w:t xml:space="preserve">, </w:t>
      </w:r>
      <w:r w:rsidR="00E20495" w:rsidRPr="006B24DA">
        <w:rPr>
          <w:rFonts w:ascii="Book Antiqua" w:eastAsia="Calibri" w:hAnsi="Book Antiqua" w:cs="Times New Roman"/>
          <w:i/>
          <w:color w:val="000000" w:themeColor="text1"/>
          <w:sz w:val="24"/>
          <w:szCs w:val="24"/>
        </w:rPr>
        <w:t>World J</w:t>
      </w:r>
      <w:r w:rsidRPr="006B24DA">
        <w:rPr>
          <w:rFonts w:ascii="Book Antiqua" w:eastAsia="Calibri" w:hAnsi="Book Antiqua" w:cs="Times New Roman"/>
          <w:i/>
          <w:color w:val="000000" w:themeColor="text1"/>
          <w:sz w:val="24"/>
          <w:szCs w:val="24"/>
        </w:rPr>
        <w:t>ournal of</w:t>
      </w:r>
      <w:r w:rsidR="00E20495" w:rsidRPr="006B24DA">
        <w:rPr>
          <w:rFonts w:ascii="Book Antiqua" w:eastAsia="Calibri" w:hAnsi="Book Antiqua" w:cs="Times New Roman"/>
          <w:i/>
          <w:color w:val="000000" w:themeColor="text1"/>
          <w:sz w:val="24"/>
          <w:szCs w:val="24"/>
        </w:rPr>
        <w:t xml:space="preserve"> Gastroenterology</w:t>
      </w:r>
      <w:r w:rsidR="00E20495" w:rsidRPr="006B24DA">
        <w:rPr>
          <w:rFonts w:ascii="Book Antiqua" w:eastAsia="Calibri" w:hAnsi="Book Antiqua" w:cs="Times New Roman"/>
          <w:color w:val="000000" w:themeColor="text1"/>
          <w:sz w:val="24"/>
          <w:szCs w:val="24"/>
        </w:rPr>
        <w:t xml:space="preserve"> and others. He authored 3 books, 3 CD-ROM teaching programs distributed world-wide, 200 abstracts and had over 480 presentations at local and national meetings (DDW/AGA/ASGE</w:t>
      </w:r>
      <w:r w:rsidR="00252360" w:rsidRPr="006B24DA">
        <w:rPr>
          <w:rFonts w:ascii="Book Antiqua" w:eastAsia="Calibri" w:hAnsi="Book Antiqua" w:cs="Times New Roman"/>
          <w:color w:val="000000" w:themeColor="text1"/>
          <w:sz w:val="24"/>
          <w:szCs w:val="24"/>
        </w:rPr>
        <w:t>/ACG</w:t>
      </w:r>
      <w:r w:rsidR="00E20495" w:rsidRPr="006B24DA">
        <w:rPr>
          <w:rFonts w:ascii="Book Antiqua" w:eastAsia="Calibri" w:hAnsi="Book Antiqua" w:cs="Times New Roman"/>
          <w:color w:val="000000" w:themeColor="text1"/>
          <w:sz w:val="24"/>
          <w:szCs w:val="24"/>
        </w:rPr>
        <w:t xml:space="preserve">) including numerous papers at plenary sessions. He has 5 </w:t>
      </w:r>
      <w:r w:rsidRPr="006B24DA">
        <w:rPr>
          <w:rFonts w:ascii="Book Antiqua" w:eastAsia="Calibri" w:hAnsi="Book Antiqua" w:cs="Times New Roman"/>
          <w:color w:val="000000" w:themeColor="text1"/>
          <w:sz w:val="24"/>
          <w:szCs w:val="24"/>
        </w:rPr>
        <w:t>United States</w:t>
      </w:r>
      <w:r w:rsidR="00E20495" w:rsidRPr="006B24DA">
        <w:rPr>
          <w:rFonts w:ascii="Book Antiqua" w:eastAsia="Calibri" w:hAnsi="Book Antiqua" w:cs="Times New Roman"/>
          <w:color w:val="000000" w:themeColor="text1"/>
          <w:sz w:val="24"/>
          <w:szCs w:val="24"/>
        </w:rPr>
        <w:t xml:space="preserve"> patents: </w:t>
      </w:r>
      <w:r w:rsidRPr="006B24DA">
        <w:rPr>
          <w:rFonts w:ascii="Book Antiqua" w:eastAsia="Calibri" w:hAnsi="Book Antiqua" w:cs="Times New Roman"/>
          <w:color w:val="000000" w:themeColor="text1"/>
          <w:sz w:val="24"/>
          <w:szCs w:val="24"/>
        </w:rPr>
        <w:t>(</w:t>
      </w:r>
      <w:r w:rsidR="00E20495" w:rsidRPr="006B24DA">
        <w:rPr>
          <w:rFonts w:ascii="Book Antiqua" w:eastAsia="Calibri" w:hAnsi="Book Antiqua" w:cs="Times New Roman"/>
          <w:color w:val="000000" w:themeColor="text1"/>
          <w:sz w:val="24"/>
          <w:szCs w:val="24"/>
        </w:rPr>
        <w:t xml:space="preserve">1) Methods of Using </w:t>
      </w:r>
      <w:proofErr w:type="spellStart"/>
      <w:r w:rsidR="00E20495" w:rsidRPr="006B24DA">
        <w:rPr>
          <w:rFonts w:ascii="Book Antiqua" w:eastAsia="Calibri" w:hAnsi="Book Antiqua" w:cs="Times New Roman"/>
          <w:color w:val="000000" w:themeColor="text1"/>
          <w:sz w:val="24"/>
          <w:szCs w:val="24"/>
        </w:rPr>
        <w:t>Nitroxides</w:t>
      </w:r>
      <w:proofErr w:type="spellEnd"/>
      <w:r w:rsidR="00E20495" w:rsidRPr="006B24DA">
        <w:rPr>
          <w:rFonts w:ascii="Book Antiqua" w:eastAsia="Calibri" w:hAnsi="Book Antiqua" w:cs="Times New Roman"/>
          <w:color w:val="000000" w:themeColor="text1"/>
          <w:sz w:val="24"/>
          <w:szCs w:val="24"/>
        </w:rPr>
        <w:t xml:space="preserve"> in Conjunction with Photosensitizers and </w:t>
      </w:r>
      <w:proofErr w:type="spellStart"/>
      <w:r w:rsidR="00E20495" w:rsidRPr="006B24DA">
        <w:rPr>
          <w:rFonts w:ascii="Book Antiqua" w:eastAsia="Calibri" w:hAnsi="Book Antiqua" w:cs="Times New Roman"/>
          <w:color w:val="000000" w:themeColor="text1"/>
          <w:sz w:val="24"/>
          <w:szCs w:val="24"/>
        </w:rPr>
        <w:t>Sonosenitizers</w:t>
      </w:r>
      <w:proofErr w:type="spellEnd"/>
      <w:r w:rsidR="00E20495" w:rsidRPr="006B24DA">
        <w:rPr>
          <w:rFonts w:ascii="Book Antiqua" w:eastAsia="Calibri" w:hAnsi="Book Antiqua" w:cs="Times New Roman"/>
          <w:color w:val="000000" w:themeColor="text1"/>
          <w:sz w:val="24"/>
          <w:szCs w:val="24"/>
        </w:rPr>
        <w:t xml:space="preserve">; </w:t>
      </w:r>
      <w:r w:rsidRPr="006B24DA">
        <w:rPr>
          <w:rFonts w:ascii="Book Antiqua" w:eastAsia="Calibri" w:hAnsi="Book Antiqua" w:cs="Times New Roman"/>
          <w:color w:val="000000" w:themeColor="text1"/>
          <w:sz w:val="24"/>
          <w:szCs w:val="24"/>
        </w:rPr>
        <w:t>(</w:t>
      </w:r>
      <w:r w:rsidR="00E20495" w:rsidRPr="006B24DA">
        <w:rPr>
          <w:rFonts w:ascii="Book Antiqua" w:eastAsia="Calibri" w:hAnsi="Book Antiqua" w:cs="Times New Roman"/>
          <w:color w:val="000000" w:themeColor="text1"/>
          <w:sz w:val="24"/>
          <w:szCs w:val="24"/>
        </w:rPr>
        <w:t xml:space="preserve">2) Fluoroscopy-Free Guide Wire System and Methods; </w:t>
      </w:r>
      <w:r w:rsidRPr="006B24DA">
        <w:rPr>
          <w:rFonts w:ascii="Book Antiqua" w:eastAsia="Calibri" w:hAnsi="Book Antiqua" w:cs="Times New Roman"/>
          <w:color w:val="000000" w:themeColor="text1"/>
          <w:sz w:val="24"/>
          <w:szCs w:val="24"/>
        </w:rPr>
        <w:t>(</w:t>
      </w:r>
      <w:r w:rsidR="00E20495" w:rsidRPr="006B24DA">
        <w:rPr>
          <w:rFonts w:ascii="Book Antiqua" w:eastAsia="Calibri" w:hAnsi="Book Antiqua" w:cs="Times New Roman"/>
          <w:color w:val="000000" w:themeColor="text1"/>
          <w:sz w:val="24"/>
          <w:szCs w:val="24"/>
        </w:rPr>
        <w:t xml:space="preserve">3) Percutaneous </w:t>
      </w:r>
      <w:proofErr w:type="spellStart"/>
      <w:r w:rsidR="00E20495" w:rsidRPr="006B24DA">
        <w:rPr>
          <w:rFonts w:ascii="Book Antiqua" w:eastAsia="Calibri" w:hAnsi="Book Antiqua" w:cs="Times New Roman"/>
          <w:color w:val="000000" w:themeColor="text1"/>
          <w:sz w:val="24"/>
          <w:szCs w:val="24"/>
        </w:rPr>
        <w:t>Transgastric</w:t>
      </w:r>
      <w:proofErr w:type="spellEnd"/>
      <w:r w:rsidR="00E20495" w:rsidRPr="006B24DA">
        <w:rPr>
          <w:rFonts w:ascii="Book Antiqua" w:eastAsia="Calibri" w:hAnsi="Book Antiqua" w:cs="Times New Roman"/>
          <w:color w:val="000000" w:themeColor="text1"/>
          <w:sz w:val="24"/>
          <w:szCs w:val="24"/>
        </w:rPr>
        <w:t xml:space="preserve"> </w:t>
      </w:r>
      <w:proofErr w:type="spellStart"/>
      <w:r w:rsidR="00E20495" w:rsidRPr="006B24DA">
        <w:rPr>
          <w:rFonts w:ascii="Book Antiqua" w:eastAsia="Calibri" w:hAnsi="Book Antiqua" w:cs="Times New Roman"/>
          <w:color w:val="000000" w:themeColor="text1"/>
          <w:sz w:val="24"/>
          <w:szCs w:val="24"/>
        </w:rPr>
        <w:t>Gastroplication</w:t>
      </w:r>
      <w:proofErr w:type="spellEnd"/>
      <w:r w:rsidR="00E20495" w:rsidRPr="006B24DA">
        <w:rPr>
          <w:rFonts w:ascii="Book Antiqua" w:eastAsia="Calibri" w:hAnsi="Book Antiqua" w:cs="Times New Roman"/>
          <w:color w:val="000000" w:themeColor="text1"/>
          <w:sz w:val="24"/>
          <w:szCs w:val="24"/>
        </w:rPr>
        <w:t xml:space="preserve"> and </w:t>
      </w:r>
      <w:proofErr w:type="spellStart"/>
      <w:r w:rsidR="00E20495" w:rsidRPr="006B24DA">
        <w:rPr>
          <w:rFonts w:ascii="Book Antiqua" w:eastAsia="Calibri" w:hAnsi="Book Antiqua" w:cs="Times New Roman"/>
          <w:color w:val="000000" w:themeColor="text1"/>
          <w:sz w:val="24"/>
          <w:szCs w:val="24"/>
        </w:rPr>
        <w:t>Transgastric</w:t>
      </w:r>
      <w:proofErr w:type="spellEnd"/>
      <w:r w:rsidR="00E20495" w:rsidRPr="006B24DA">
        <w:rPr>
          <w:rFonts w:ascii="Book Antiqua" w:eastAsia="Calibri" w:hAnsi="Book Antiqua" w:cs="Times New Roman"/>
          <w:color w:val="000000" w:themeColor="text1"/>
          <w:sz w:val="24"/>
          <w:szCs w:val="24"/>
        </w:rPr>
        <w:t xml:space="preserve"> Minimally Invasive Surgery; </w:t>
      </w:r>
      <w:r w:rsidRPr="006B24DA">
        <w:rPr>
          <w:rFonts w:ascii="Book Antiqua" w:eastAsia="Calibri" w:hAnsi="Book Antiqua" w:cs="Times New Roman"/>
          <w:color w:val="000000" w:themeColor="text1"/>
          <w:sz w:val="24"/>
          <w:szCs w:val="24"/>
        </w:rPr>
        <w:t>(</w:t>
      </w:r>
      <w:r w:rsidR="00E20495" w:rsidRPr="006B24DA">
        <w:rPr>
          <w:rFonts w:ascii="Book Antiqua" w:eastAsia="Calibri" w:hAnsi="Book Antiqua" w:cs="Times New Roman"/>
          <w:color w:val="000000" w:themeColor="text1"/>
          <w:sz w:val="24"/>
          <w:szCs w:val="24"/>
        </w:rPr>
        <w:t>4) Ring Magnets for Surgical Procedu</w:t>
      </w:r>
      <w:r w:rsidRPr="006B24DA">
        <w:rPr>
          <w:rFonts w:ascii="Book Antiqua" w:eastAsia="Calibri" w:hAnsi="Book Antiqua" w:cs="Times New Roman"/>
          <w:color w:val="000000" w:themeColor="text1"/>
          <w:sz w:val="24"/>
          <w:szCs w:val="24"/>
        </w:rPr>
        <w:t>res;</w:t>
      </w:r>
      <w:r w:rsidR="00E20495" w:rsidRPr="006B24DA">
        <w:rPr>
          <w:rFonts w:ascii="Book Antiqua" w:eastAsia="Calibri" w:hAnsi="Book Antiqua" w:cs="Times New Roman"/>
          <w:color w:val="000000" w:themeColor="text1"/>
          <w:sz w:val="24"/>
          <w:szCs w:val="24"/>
        </w:rPr>
        <w:t xml:space="preserve"> and </w:t>
      </w:r>
      <w:r w:rsidRPr="006B24DA">
        <w:rPr>
          <w:rFonts w:ascii="Book Antiqua" w:eastAsia="Calibri" w:hAnsi="Book Antiqua" w:cs="Times New Roman"/>
          <w:color w:val="000000" w:themeColor="text1"/>
          <w:sz w:val="24"/>
          <w:szCs w:val="24"/>
        </w:rPr>
        <w:t>(</w:t>
      </w:r>
      <w:r w:rsidR="00E20495" w:rsidRPr="006B24DA">
        <w:rPr>
          <w:rFonts w:ascii="Book Antiqua" w:eastAsia="Calibri" w:hAnsi="Book Antiqua" w:cs="Times New Roman"/>
          <w:color w:val="000000" w:themeColor="text1"/>
          <w:sz w:val="24"/>
          <w:szCs w:val="24"/>
        </w:rPr>
        <w:t>5) Hood Method and Device for End</w:t>
      </w:r>
      <w:r w:rsidR="00D33133" w:rsidRPr="006B24DA">
        <w:rPr>
          <w:rFonts w:ascii="Book Antiqua" w:eastAsia="Calibri" w:hAnsi="Book Antiqua" w:cs="Times New Roman"/>
          <w:color w:val="000000" w:themeColor="text1"/>
          <w:sz w:val="24"/>
          <w:szCs w:val="24"/>
        </w:rPr>
        <w:t xml:space="preserve">oscopic Submucosal Dissection. </w:t>
      </w:r>
      <w:r w:rsidR="00E20495" w:rsidRPr="006B24DA">
        <w:rPr>
          <w:rFonts w:ascii="Book Antiqua" w:eastAsia="Calibri" w:hAnsi="Book Antiqua" w:cs="Times New Roman"/>
          <w:color w:val="000000" w:themeColor="text1"/>
          <w:sz w:val="24"/>
          <w:szCs w:val="24"/>
        </w:rPr>
        <w:t xml:space="preserve">Dr. Chang was the key-note speaker at prestigious international meetings in Australia, Austria, Brazil, China, France, Hong </w:t>
      </w:r>
      <w:r w:rsidR="00E20495" w:rsidRPr="006B24DA">
        <w:rPr>
          <w:rFonts w:ascii="Book Antiqua" w:eastAsia="Calibri" w:hAnsi="Book Antiqua" w:cs="Times New Roman"/>
          <w:color w:val="000000" w:themeColor="text1"/>
          <w:sz w:val="24"/>
          <w:szCs w:val="24"/>
        </w:rPr>
        <w:lastRenderedPageBreak/>
        <w:t xml:space="preserve">Kong, Hungary, India, Japan, </w:t>
      </w:r>
      <w:r w:rsidRPr="006B24DA">
        <w:rPr>
          <w:rFonts w:ascii="Book Antiqua" w:eastAsia="Calibri" w:hAnsi="Book Antiqua" w:cs="Times New Roman"/>
          <w:color w:val="000000" w:themeColor="text1"/>
          <w:sz w:val="24"/>
          <w:szCs w:val="24"/>
        </w:rPr>
        <w:t xml:space="preserve">South </w:t>
      </w:r>
      <w:r w:rsidR="00E20495" w:rsidRPr="006B24DA">
        <w:rPr>
          <w:rFonts w:ascii="Book Antiqua" w:eastAsia="Calibri" w:hAnsi="Book Antiqua" w:cs="Times New Roman"/>
          <w:color w:val="000000" w:themeColor="text1"/>
          <w:sz w:val="24"/>
          <w:szCs w:val="24"/>
        </w:rPr>
        <w:t>Korea, Taiwan, Thailand and the United European G</w:t>
      </w:r>
      <w:r w:rsidR="00D33133" w:rsidRPr="006B24DA">
        <w:rPr>
          <w:rFonts w:ascii="Book Antiqua" w:eastAsia="Calibri" w:hAnsi="Book Antiqua" w:cs="Times New Roman"/>
          <w:color w:val="000000" w:themeColor="text1"/>
          <w:sz w:val="24"/>
          <w:szCs w:val="24"/>
        </w:rPr>
        <w:t xml:space="preserve">astroenterology Week meetings. </w:t>
      </w:r>
      <w:r w:rsidR="00E20495" w:rsidRPr="006B24DA">
        <w:rPr>
          <w:rFonts w:ascii="Book Antiqua" w:eastAsia="Calibri" w:hAnsi="Book Antiqua" w:cs="Times New Roman"/>
          <w:color w:val="000000" w:themeColor="text1"/>
          <w:sz w:val="24"/>
          <w:szCs w:val="24"/>
        </w:rPr>
        <w:t>He received</w:t>
      </w:r>
      <w:r w:rsidR="00E20495" w:rsidRPr="006B24DA">
        <w:rPr>
          <w:rFonts w:ascii="Book Antiqua" w:eastAsia="Times New Roman" w:hAnsi="Book Antiqua" w:cs="Times New Roman"/>
          <w:color w:val="000000" w:themeColor="text1"/>
          <w:sz w:val="24"/>
          <w:szCs w:val="24"/>
        </w:rPr>
        <w:t xml:space="preserve"> numerous awards including American College of Gastroenterology Senior Governor Award and the National Canc</w:t>
      </w:r>
      <w:r w:rsidR="00D33133" w:rsidRPr="006B24DA">
        <w:rPr>
          <w:rFonts w:ascii="Book Antiqua" w:eastAsia="Times New Roman" w:hAnsi="Book Antiqua" w:cs="Times New Roman"/>
          <w:color w:val="000000" w:themeColor="text1"/>
          <w:sz w:val="24"/>
          <w:szCs w:val="24"/>
        </w:rPr>
        <w:t xml:space="preserve">er Institute Clinician award. </w:t>
      </w:r>
      <w:r w:rsidR="00E20495" w:rsidRPr="006B24DA">
        <w:rPr>
          <w:rFonts w:ascii="Book Antiqua" w:eastAsia="Times New Roman" w:hAnsi="Book Antiqua" w:cs="Times New Roman"/>
          <w:color w:val="000000" w:themeColor="text1"/>
          <w:sz w:val="24"/>
          <w:szCs w:val="24"/>
        </w:rPr>
        <w:t>He has consistently been included in Best Doctors in America</w:t>
      </w:r>
      <w:bookmarkStart w:id="36" w:name="_Hlk512175349"/>
      <w:r w:rsidR="00E20495" w:rsidRPr="006B24DA">
        <w:rPr>
          <w:rFonts w:ascii="Book Antiqua" w:eastAsia="Times New Roman" w:hAnsi="Book Antiqua" w:cs="Times New Roman"/>
          <w:color w:val="000000" w:themeColor="text1"/>
          <w:sz w:val="24"/>
          <w:szCs w:val="24"/>
        </w:rPr>
        <w:t>, which recognizes the top 5</w:t>
      </w:r>
      <w:r w:rsidR="00D33133" w:rsidRPr="006B24DA">
        <w:rPr>
          <w:rFonts w:ascii="Book Antiqua" w:eastAsia="Times New Roman" w:hAnsi="Book Antiqua" w:cs="Times New Roman"/>
          <w:color w:val="000000" w:themeColor="text1"/>
          <w:sz w:val="24"/>
          <w:szCs w:val="24"/>
        </w:rPr>
        <w:t>% of physicians in the country.</w:t>
      </w:r>
      <w:r w:rsidR="00E20495" w:rsidRPr="006B24DA">
        <w:rPr>
          <w:rFonts w:ascii="Book Antiqua" w:eastAsia="Times New Roman" w:hAnsi="Book Antiqua" w:cs="Times New Roman"/>
          <w:color w:val="000000" w:themeColor="text1"/>
          <w:sz w:val="24"/>
          <w:szCs w:val="24"/>
        </w:rPr>
        <w:t xml:space="preserve"> He has mentored 42 Advanced Endoscopy Fellows, of whom 23 currently hold prominent academic positions in the </w:t>
      </w:r>
      <w:r w:rsidRPr="006B24DA">
        <w:rPr>
          <w:rFonts w:ascii="Book Antiqua" w:eastAsia="Times New Roman" w:hAnsi="Book Antiqua" w:cs="Times New Roman"/>
          <w:color w:val="000000" w:themeColor="text1"/>
          <w:sz w:val="24"/>
          <w:szCs w:val="24"/>
        </w:rPr>
        <w:t>United States</w:t>
      </w:r>
      <w:r w:rsidR="00E20495" w:rsidRPr="006B24DA">
        <w:rPr>
          <w:rFonts w:ascii="Book Antiqua" w:eastAsia="Times New Roman" w:hAnsi="Book Antiqua" w:cs="Times New Roman"/>
          <w:color w:val="000000" w:themeColor="text1"/>
          <w:sz w:val="24"/>
          <w:szCs w:val="24"/>
        </w:rPr>
        <w:t xml:space="preserve">, and 11 are respected faculty in Japan, </w:t>
      </w:r>
      <w:r w:rsidRPr="006B24DA">
        <w:rPr>
          <w:rFonts w:ascii="Book Antiqua" w:eastAsia="Times New Roman" w:hAnsi="Book Antiqua" w:cs="Times New Roman"/>
          <w:color w:val="000000" w:themeColor="text1"/>
          <w:sz w:val="24"/>
          <w:szCs w:val="24"/>
        </w:rPr>
        <w:t xml:space="preserve">South </w:t>
      </w:r>
      <w:r w:rsidR="00E20495" w:rsidRPr="006B24DA">
        <w:rPr>
          <w:rFonts w:ascii="Book Antiqua" w:eastAsia="Times New Roman" w:hAnsi="Book Antiqua" w:cs="Times New Roman"/>
          <w:color w:val="000000" w:themeColor="text1"/>
          <w:sz w:val="24"/>
          <w:szCs w:val="24"/>
        </w:rPr>
        <w:t>Korea, and Australia.</w:t>
      </w:r>
      <w:bookmarkEnd w:id="36"/>
    </w:p>
    <w:p w14:paraId="56E6C55E" w14:textId="77777777" w:rsidR="00E20495" w:rsidRPr="006B24DA" w:rsidRDefault="00E20495" w:rsidP="007761C0">
      <w:pPr>
        <w:shd w:val="clear" w:color="auto" w:fill="FFFFFF"/>
        <w:adjustRightInd w:val="0"/>
        <w:snapToGrid w:val="0"/>
        <w:spacing w:after="0" w:line="360" w:lineRule="auto"/>
        <w:jc w:val="both"/>
        <w:rPr>
          <w:rFonts w:ascii="Book Antiqua" w:eastAsia="Times New Roman" w:hAnsi="Book Antiqua" w:cs="Times New Roman"/>
          <w:b/>
          <w:bCs/>
          <w:color w:val="000000" w:themeColor="text1"/>
          <w:sz w:val="24"/>
          <w:szCs w:val="24"/>
        </w:rPr>
      </w:pPr>
    </w:p>
    <w:p w14:paraId="5643B977" w14:textId="7F2EE80A" w:rsidR="002509A0" w:rsidRPr="006B24DA" w:rsidRDefault="002509A0" w:rsidP="003B13C7">
      <w:pPr>
        <w:shd w:val="clear" w:color="auto" w:fill="FFFFFF" w:themeFill="background1"/>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b/>
          <w:bCs/>
          <w:color w:val="000000" w:themeColor="text1"/>
          <w:sz w:val="24"/>
          <w:szCs w:val="24"/>
        </w:rPr>
        <w:t>INTRODUCTION</w:t>
      </w:r>
    </w:p>
    <w:p w14:paraId="6E2E8C4D" w14:textId="354199C7" w:rsidR="00E20495" w:rsidRPr="006B24DA" w:rsidRDefault="00E20495" w:rsidP="003B13C7">
      <w:pPr>
        <w:shd w:val="clear" w:color="auto" w:fill="FFFFFF" w:themeFill="background1"/>
        <w:adjustRightInd w:val="0"/>
        <w:snapToGrid w:val="0"/>
        <w:spacing w:after="0" w:line="360" w:lineRule="auto"/>
        <w:jc w:val="both"/>
        <w:rPr>
          <w:rFonts w:ascii="Book Antiqua" w:eastAsia="Times New Roman" w:hAnsi="Book Antiqua" w:cs="Times New Roman"/>
          <w:color w:val="000000" w:themeColor="text1"/>
          <w:sz w:val="24"/>
          <w:szCs w:val="24"/>
          <w:shd w:val="clear" w:color="auto" w:fill="FFFFFF"/>
        </w:rPr>
      </w:pPr>
      <w:r w:rsidRPr="006B24DA">
        <w:rPr>
          <w:rFonts w:ascii="Book Antiqua" w:eastAsia="Times New Roman" w:hAnsi="Book Antiqua" w:cs="Times New Roman"/>
          <w:color w:val="000000" w:themeColor="text1"/>
          <w:sz w:val="24"/>
          <w:szCs w:val="24"/>
        </w:rPr>
        <w:t>In this paper, I reviewed the emerging field of endoscopic surgery and present data supporting the contention that endoscopy can now be used to treat many foregut diseases that have been traditionally treated surgically. Within each topic, the content will progress as follows: “lessons learned”, “technical consideratio</w:t>
      </w:r>
      <w:r w:rsidR="00D33133" w:rsidRPr="006B24DA">
        <w:rPr>
          <w:rFonts w:ascii="Book Antiqua" w:eastAsia="Times New Roman" w:hAnsi="Book Antiqua" w:cs="Times New Roman"/>
          <w:color w:val="000000" w:themeColor="text1"/>
          <w:sz w:val="24"/>
          <w:szCs w:val="24"/>
        </w:rPr>
        <w:t>ns” and “future opportunities”.</w:t>
      </w:r>
      <w:r w:rsidRPr="006B24DA">
        <w:rPr>
          <w:rFonts w:ascii="Book Antiqua" w:eastAsia="Times New Roman" w:hAnsi="Book Antiqua" w:cs="Times New Roman"/>
          <w:color w:val="000000" w:themeColor="text1"/>
          <w:sz w:val="24"/>
          <w:szCs w:val="24"/>
        </w:rPr>
        <w:t xml:space="preserve"> Lessons learned will </w:t>
      </w:r>
      <w:r w:rsidRPr="006B24DA">
        <w:rPr>
          <w:rFonts w:ascii="Book Antiqua" w:eastAsia="Times New Roman" w:hAnsi="Book Antiqua" w:cs="Times New Roman"/>
          <w:color w:val="000000" w:themeColor="text1"/>
          <w:sz w:val="24"/>
          <w:szCs w:val="24"/>
          <w:shd w:val="clear" w:color="auto" w:fill="FFFFFF"/>
        </w:rPr>
        <w:t>provide a brief background and update o</w:t>
      </w:r>
      <w:r w:rsidR="00D33133" w:rsidRPr="006B24DA">
        <w:rPr>
          <w:rFonts w:ascii="Book Antiqua" w:eastAsia="Times New Roman" w:hAnsi="Book Antiqua" w:cs="Times New Roman"/>
          <w:color w:val="000000" w:themeColor="text1"/>
          <w:sz w:val="24"/>
          <w:szCs w:val="24"/>
          <w:shd w:val="clear" w:color="auto" w:fill="FFFFFF"/>
        </w:rPr>
        <w:t xml:space="preserve">n the most current literature. </w:t>
      </w:r>
      <w:r w:rsidRPr="006B24DA">
        <w:rPr>
          <w:rFonts w:ascii="Book Antiqua" w:eastAsia="Times New Roman" w:hAnsi="Book Antiqua" w:cs="Times New Roman"/>
          <w:color w:val="000000" w:themeColor="text1"/>
          <w:sz w:val="24"/>
          <w:szCs w:val="24"/>
          <w:shd w:val="clear" w:color="auto" w:fill="FFFFFF"/>
        </w:rPr>
        <w:t xml:space="preserve">Technical considerations discuss procedural issues including my personal experience - tips and tricks that </w:t>
      </w:r>
      <w:r w:rsidR="00D33133" w:rsidRPr="006B24DA">
        <w:rPr>
          <w:rFonts w:ascii="Book Antiqua" w:eastAsia="Times New Roman" w:hAnsi="Book Antiqua" w:cs="Times New Roman"/>
          <w:color w:val="000000" w:themeColor="text1"/>
          <w:sz w:val="24"/>
          <w:szCs w:val="24"/>
          <w:shd w:val="clear" w:color="auto" w:fill="FFFFFF"/>
        </w:rPr>
        <w:t xml:space="preserve">I have learned over the years. </w:t>
      </w:r>
      <w:r w:rsidRPr="006B24DA">
        <w:rPr>
          <w:rFonts w:ascii="Book Antiqua" w:eastAsia="Times New Roman" w:hAnsi="Book Antiqua" w:cs="Times New Roman"/>
          <w:color w:val="000000" w:themeColor="text1"/>
          <w:sz w:val="24"/>
          <w:szCs w:val="24"/>
          <w:shd w:val="clear" w:color="auto" w:fill="FFFFFF"/>
        </w:rPr>
        <w:t>Finally, future opportunities will address current unmet needs and potential new areas of development.</w:t>
      </w:r>
      <w:r w:rsidR="00820109">
        <w:rPr>
          <w:rFonts w:ascii="Book Antiqua" w:eastAsia="Times New Roman" w:hAnsi="Book Antiqua" w:cs="Times New Roman"/>
          <w:color w:val="000000" w:themeColor="text1"/>
          <w:sz w:val="24"/>
          <w:szCs w:val="24"/>
          <w:shd w:val="clear" w:color="auto" w:fill="FFFFFF"/>
        </w:rPr>
        <w:t xml:space="preserve"> </w:t>
      </w:r>
    </w:p>
    <w:p w14:paraId="0AC9480F" w14:textId="4618695D" w:rsidR="00E20495" w:rsidRPr="006B24DA" w:rsidRDefault="00941D70" w:rsidP="003B13C7">
      <w:pPr>
        <w:shd w:val="clear" w:color="auto" w:fill="FFFFFF" w:themeFill="background1"/>
        <w:adjustRightInd w:val="0"/>
        <w:snapToGrid w:val="0"/>
        <w:spacing w:after="0" w:line="360" w:lineRule="auto"/>
        <w:jc w:val="both"/>
        <w:rPr>
          <w:rFonts w:ascii="Book Antiqua" w:eastAsia="Times New Roman" w:hAnsi="Book Antiqua" w:cs="Times New Roman"/>
          <w:b/>
          <w:bCs/>
          <w:color w:val="000000" w:themeColor="text1"/>
          <w:sz w:val="24"/>
          <w:szCs w:val="24"/>
        </w:rPr>
      </w:pPr>
      <w:r w:rsidRPr="006B24DA">
        <w:rPr>
          <w:rFonts w:ascii="Book Antiqua" w:eastAsia="Times New Roman" w:hAnsi="Book Antiqua" w:cs="Times New Roman"/>
          <w:color w:val="000000" w:themeColor="text1"/>
          <w:sz w:val="24"/>
          <w:szCs w:val="24"/>
        </w:rPr>
        <w:t xml:space="preserve">  </w:t>
      </w:r>
      <w:r w:rsidR="00E20495" w:rsidRPr="006B24DA">
        <w:rPr>
          <w:rFonts w:ascii="Book Antiqua" w:eastAsia="Times New Roman" w:hAnsi="Book Antiqua" w:cs="Times New Roman"/>
          <w:color w:val="000000" w:themeColor="text1"/>
          <w:sz w:val="24"/>
          <w:szCs w:val="24"/>
        </w:rPr>
        <w:t xml:space="preserve">The foregut is defined as “the upper part of the embryonic alimentary canal from which the pharynx, esophagus, lung, stomach, liver, pancreas, and </w:t>
      </w:r>
      <w:r w:rsidR="00D33133" w:rsidRPr="006B24DA">
        <w:rPr>
          <w:rFonts w:ascii="Book Antiqua" w:eastAsia="Times New Roman" w:hAnsi="Book Antiqua" w:cs="Times New Roman"/>
          <w:color w:val="000000" w:themeColor="text1"/>
          <w:sz w:val="24"/>
          <w:szCs w:val="24"/>
        </w:rPr>
        <w:t xml:space="preserve">part of the duodenum develop”. </w:t>
      </w:r>
      <w:r w:rsidR="00E20495" w:rsidRPr="006B24DA">
        <w:rPr>
          <w:rFonts w:ascii="Book Antiqua" w:eastAsia="Times New Roman" w:hAnsi="Book Antiqua" w:cs="Times New Roman"/>
          <w:color w:val="000000" w:themeColor="text1"/>
          <w:sz w:val="24"/>
          <w:szCs w:val="24"/>
        </w:rPr>
        <w:t xml:space="preserve">Foregut surgery is well established in treating conditions such as </w:t>
      </w:r>
      <w:r w:rsidRPr="006B24DA">
        <w:rPr>
          <w:rFonts w:ascii="Book Antiqua" w:eastAsia="Times New Roman" w:hAnsi="Book Antiqua" w:cs="Times New Roman"/>
          <w:color w:val="000000" w:themeColor="text1"/>
          <w:sz w:val="24"/>
          <w:szCs w:val="24"/>
        </w:rPr>
        <w:t>GERD</w:t>
      </w:r>
      <w:r w:rsidR="00E20495" w:rsidRPr="006B24DA">
        <w:rPr>
          <w:rFonts w:ascii="Book Antiqua" w:eastAsia="Times New Roman" w:hAnsi="Book Antiqua" w:cs="Times New Roman"/>
          <w:color w:val="000000" w:themeColor="text1"/>
          <w:sz w:val="24"/>
          <w:szCs w:val="24"/>
        </w:rPr>
        <w:t xml:space="preserve">, achalasia, esophageal diverticula, </w:t>
      </w:r>
      <w:r w:rsidR="00A00023">
        <w:rPr>
          <w:rFonts w:ascii="Book Antiqua" w:eastAsia="Times New Roman" w:hAnsi="Book Antiqua" w:cs="Times New Roman"/>
          <w:color w:val="000000" w:themeColor="text1"/>
          <w:sz w:val="24"/>
          <w:szCs w:val="24"/>
        </w:rPr>
        <w:t>BE</w:t>
      </w:r>
      <w:r w:rsidR="00E20495" w:rsidRPr="006B24DA">
        <w:rPr>
          <w:rFonts w:ascii="Book Antiqua" w:eastAsia="Times New Roman" w:hAnsi="Book Antiqua" w:cs="Times New Roman"/>
          <w:color w:val="000000" w:themeColor="text1"/>
          <w:sz w:val="24"/>
          <w:szCs w:val="24"/>
        </w:rPr>
        <w:t xml:space="preserve"> and esophageal cancer, stomach cancer, gastric-outlet obstruction, and obesi</w:t>
      </w:r>
      <w:r w:rsidRPr="006B24DA">
        <w:rPr>
          <w:rFonts w:ascii="Book Antiqua" w:eastAsia="Times New Roman" w:hAnsi="Book Antiqua" w:cs="Times New Roman"/>
          <w:color w:val="000000" w:themeColor="text1"/>
          <w:sz w:val="24"/>
          <w:szCs w:val="24"/>
        </w:rPr>
        <w:t xml:space="preserve">ty. </w:t>
      </w:r>
      <w:r w:rsidR="00E20495" w:rsidRPr="006B24DA">
        <w:rPr>
          <w:rFonts w:ascii="Book Antiqua" w:eastAsia="Times New Roman" w:hAnsi="Book Antiqua" w:cs="Times New Roman"/>
          <w:color w:val="000000" w:themeColor="text1"/>
          <w:sz w:val="24"/>
          <w:szCs w:val="24"/>
        </w:rPr>
        <w:t xml:space="preserve">Over the past decade, remarkable progress in interventional endoscopy has culminated in the conceptualization and practice of endoscopic foregut surgery for various clinical conditions summarized in this paper.  </w:t>
      </w:r>
    </w:p>
    <w:p w14:paraId="66DE1215" w14:textId="77777777" w:rsidR="00E20495" w:rsidRPr="006B24DA" w:rsidRDefault="00E20495" w:rsidP="007761C0">
      <w:pPr>
        <w:pStyle w:val="a6"/>
        <w:shd w:val="clear" w:color="auto" w:fill="FFFFFF"/>
        <w:adjustRightInd w:val="0"/>
        <w:snapToGrid w:val="0"/>
        <w:spacing w:after="0" w:line="360" w:lineRule="auto"/>
        <w:ind w:left="0"/>
        <w:contextualSpacing w:val="0"/>
        <w:jc w:val="both"/>
        <w:rPr>
          <w:rFonts w:ascii="Book Antiqua" w:eastAsia="Times New Roman" w:hAnsi="Book Antiqua" w:cs="Times New Roman"/>
          <w:b/>
          <w:bCs/>
          <w:color w:val="000000" w:themeColor="text1"/>
          <w:sz w:val="24"/>
          <w:szCs w:val="24"/>
        </w:rPr>
      </w:pPr>
    </w:p>
    <w:p w14:paraId="70689707" w14:textId="00E45A32" w:rsidR="00E20495" w:rsidRPr="006B24DA" w:rsidRDefault="00E20495" w:rsidP="003B13C7">
      <w:pPr>
        <w:shd w:val="clear" w:color="auto" w:fill="FFFFFF" w:themeFill="background1"/>
        <w:adjustRightInd w:val="0"/>
        <w:snapToGrid w:val="0"/>
        <w:spacing w:after="0" w:line="360" w:lineRule="auto"/>
        <w:jc w:val="both"/>
        <w:outlineLvl w:val="0"/>
        <w:rPr>
          <w:rFonts w:ascii="Book Antiqua" w:eastAsia="Times New Roman" w:hAnsi="Book Antiqua" w:cs="Times New Roman"/>
          <w:b/>
          <w:bCs/>
          <w:color w:val="000000" w:themeColor="text1"/>
          <w:sz w:val="24"/>
          <w:szCs w:val="24"/>
        </w:rPr>
      </w:pPr>
      <w:bookmarkStart w:id="37" w:name="_Hlk530993225"/>
      <w:r w:rsidRPr="006B24DA">
        <w:rPr>
          <w:rFonts w:ascii="Book Antiqua" w:eastAsia="Times New Roman" w:hAnsi="Book Antiqua" w:cs="Times New Roman"/>
          <w:b/>
          <w:bCs/>
          <w:color w:val="000000" w:themeColor="text1"/>
          <w:sz w:val="24"/>
          <w:szCs w:val="24"/>
        </w:rPr>
        <w:t>GERD</w:t>
      </w:r>
      <w:bookmarkEnd w:id="37"/>
    </w:p>
    <w:p w14:paraId="014966AC" w14:textId="06C58D83" w:rsidR="00941D70" w:rsidRPr="006B24DA" w:rsidRDefault="00941D70" w:rsidP="003B13C7">
      <w:pPr>
        <w:shd w:val="clear" w:color="auto" w:fill="FFFFFF" w:themeFill="background1"/>
        <w:adjustRightInd w:val="0"/>
        <w:snapToGrid w:val="0"/>
        <w:spacing w:after="0" w:line="360" w:lineRule="auto"/>
        <w:jc w:val="both"/>
        <w:rPr>
          <w:rFonts w:ascii="Book Antiqua" w:eastAsia="Times New Roman" w:hAnsi="Book Antiqua" w:cs="Times New Roman"/>
          <w:b/>
          <w:bCs/>
          <w:color w:val="000000" w:themeColor="text1"/>
          <w:sz w:val="24"/>
          <w:szCs w:val="24"/>
        </w:rPr>
      </w:pPr>
      <w:r w:rsidRPr="006B24DA">
        <w:rPr>
          <w:rFonts w:ascii="Book Antiqua" w:eastAsia="Times New Roman" w:hAnsi="Book Antiqua" w:cs="Times New Roman"/>
          <w:b/>
          <w:bCs/>
          <w:i/>
          <w:iCs/>
          <w:color w:val="000000" w:themeColor="text1"/>
          <w:sz w:val="24"/>
          <w:szCs w:val="24"/>
        </w:rPr>
        <w:t>Lessons l</w:t>
      </w:r>
      <w:r w:rsidR="00E20495" w:rsidRPr="006B24DA">
        <w:rPr>
          <w:rFonts w:ascii="Book Antiqua" w:eastAsia="Times New Roman" w:hAnsi="Book Antiqua" w:cs="Times New Roman"/>
          <w:b/>
          <w:bCs/>
          <w:i/>
          <w:iCs/>
          <w:color w:val="000000" w:themeColor="text1"/>
          <w:sz w:val="24"/>
          <w:szCs w:val="24"/>
        </w:rPr>
        <w:t>earned</w:t>
      </w:r>
    </w:p>
    <w:p w14:paraId="7776DADB" w14:textId="2B143737" w:rsidR="00E20495" w:rsidRPr="006B24DA" w:rsidRDefault="00E20495" w:rsidP="003B13C7">
      <w:pPr>
        <w:shd w:val="clear" w:color="auto" w:fill="FFFFFF" w:themeFill="background1"/>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lastRenderedPageBreak/>
        <w:t>GERD</w:t>
      </w:r>
      <w:r w:rsidRPr="006B24DA">
        <w:rPr>
          <w:rFonts w:ascii="Book Antiqua" w:eastAsia="Times New Roman" w:hAnsi="Book Antiqua" w:cs="Times New Roman"/>
          <w:b/>
          <w:bCs/>
          <w:color w:val="000000" w:themeColor="text1"/>
          <w:sz w:val="24"/>
          <w:szCs w:val="24"/>
        </w:rPr>
        <w:t xml:space="preserve"> </w:t>
      </w:r>
      <w:r w:rsidRPr="006B24DA">
        <w:rPr>
          <w:rFonts w:ascii="Book Antiqua" w:eastAsia="Times New Roman" w:hAnsi="Book Antiqua" w:cs="Times New Roman"/>
          <w:color w:val="000000" w:themeColor="text1"/>
          <w:sz w:val="24"/>
          <w:szCs w:val="24"/>
        </w:rPr>
        <w:t xml:space="preserve">is the most prevalent </w:t>
      </w:r>
      <w:r w:rsidR="00941D70" w:rsidRPr="006B24DA">
        <w:rPr>
          <w:rFonts w:ascii="Book Antiqua" w:eastAsia="Times New Roman" w:hAnsi="Book Antiqua" w:cs="Times New Roman"/>
          <w:color w:val="000000" w:themeColor="text1"/>
          <w:sz w:val="24"/>
          <w:szCs w:val="24"/>
        </w:rPr>
        <w:t>GI</w:t>
      </w:r>
      <w:r w:rsidRPr="006B24DA">
        <w:rPr>
          <w:rFonts w:ascii="Book Antiqua" w:eastAsia="Times New Roman" w:hAnsi="Book Antiqua" w:cs="Times New Roman"/>
          <w:color w:val="000000" w:themeColor="text1"/>
          <w:sz w:val="24"/>
          <w:szCs w:val="24"/>
        </w:rPr>
        <w:t xml:space="preserve"> disorder in the United States</w:t>
      </w:r>
      <w:r w:rsidRPr="006B24DA">
        <w:rPr>
          <w:rFonts w:ascii="Book Antiqua" w:eastAsia="Times New Roman" w:hAnsi="Book Antiqua" w:cs="Times New Roman"/>
          <w:noProof/>
          <w:color w:val="000000" w:themeColor="text1"/>
          <w:sz w:val="24"/>
          <w:szCs w:val="24"/>
          <w:vertAlign w:val="superscript"/>
        </w:rPr>
        <w:t>[1]</w:t>
      </w:r>
      <w:r w:rsidRPr="006B24DA">
        <w:rPr>
          <w:rFonts w:ascii="Book Antiqua" w:eastAsia="Times New Roman" w:hAnsi="Book Antiqua" w:cs="Times New Roman"/>
          <w:color w:val="000000" w:themeColor="text1"/>
          <w:sz w:val="24"/>
          <w:szCs w:val="24"/>
        </w:rPr>
        <w:t xml:space="preserve"> and the extent of anatomical alterations underlying the mechanism of GERD can be viewed as a spectrum from normal t</w:t>
      </w:r>
      <w:r w:rsidR="00941D70" w:rsidRPr="006B24DA">
        <w:rPr>
          <w:rFonts w:ascii="Book Antiqua" w:eastAsia="Times New Roman" w:hAnsi="Book Antiqua" w:cs="Times New Roman"/>
          <w:color w:val="000000" w:themeColor="text1"/>
          <w:sz w:val="24"/>
          <w:szCs w:val="24"/>
        </w:rPr>
        <w:t>o a single anatomic alteration [</w:t>
      </w:r>
      <w:r w:rsidRPr="006B24DA">
        <w:rPr>
          <w:rFonts w:ascii="Book Antiqua" w:eastAsia="Times New Roman" w:hAnsi="Book Antiqua" w:cs="Times New Roman"/>
          <w:i/>
          <w:iCs/>
          <w:color w:val="000000" w:themeColor="text1"/>
          <w:sz w:val="24"/>
          <w:szCs w:val="24"/>
        </w:rPr>
        <w:t>e.g.</w:t>
      </w:r>
      <w:r w:rsidR="00B27D0F" w:rsidRPr="006B24DA">
        <w:rPr>
          <w:rFonts w:ascii="Book Antiqua" w:eastAsia="Times New Roman" w:hAnsi="Book Antiqua" w:cs="Times New Roman"/>
          <w:color w:val="000000" w:themeColor="text1"/>
          <w:sz w:val="24"/>
          <w:szCs w:val="24"/>
        </w:rPr>
        <w:t>,</w:t>
      </w:r>
      <w:r w:rsidRPr="006B24DA">
        <w:rPr>
          <w:rFonts w:ascii="Book Antiqua" w:eastAsia="Times New Roman" w:hAnsi="Book Antiqua" w:cs="Times New Roman"/>
          <w:color w:val="000000" w:themeColor="text1"/>
          <w:sz w:val="24"/>
          <w:szCs w:val="24"/>
        </w:rPr>
        <w:t xml:space="preserve"> weak </w:t>
      </w:r>
      <w:bookmarkStart w:id="38" w:name="OLE_LINK47"/>
      <w:r w:rsidR="00941D70" w:rsidRPr="006B24DA">
        <w:rPr>
          <w:rFonts w:ascii="Book Antiqua" w:eastAsia="Times New Roman" w:hAnsi="Book Antiqua" w:cs="Times New Roman"/>
          <w:color w:val="000000" w:themeColor="text1"/>
          <w:sz w:val="24"/>
          <w:szCs w:val="24"/>
        </w:rPr>
        <w:t>lower esophageal sphincter (</w:t>
      </w:r>
      <w:r w:rsidRPr="006B24DA">
        <w:rPr>
          <w:rFonts w:ascii="Book Antiqua" w:eastAsia="Times New Roman" w:hAnsi="Book Antiqua" w:cs="Times New Roman"/>
          <w:color w:val="000000" w:themeColor="text1"/>
          <w:sz w:val="24"/>
          <w:szCs w:val="24"/>
        </w:rPr>
        <w:t>LES</w:t>
      </w:r>
      <w:bookmarkEnd w:id="38"/>
      <w:r w:rsidRPr="006B24DA">
        <w:rPr>
          <w:rFonts w:ascii="Book Antiqua" w:eastAsia="Times New Roman" w:hAnsi="Book Antiqua" w:cs="Times New Roman"/>
          <w:color w:val="000000" w:themeColor="text1"/>
          <w:sz w:val="24"/>
          <w:szCs w:val="24"/>
        </w:rPr>
        <w:t>)</w:t>
      </w:r>
      <w:r w:rsidR="00941D70" w:rsidRPr="006B24DA">
        <w:rPr>
          <w:rFonts w:ascii="Book Antiqua" w:eastAsia="Times New Roman" w:hAnsi="Book Antiqua" w:cs="Times New Roman"/>
          <w:color w:val="000000" w:themeColor="text1"/>
          <w:sz w:val="24"/>
          <w:szCs w:val="24"/>
        </w:rPr>
        <w:t>]</w:t>
      </w:r>
      <w:r w:rsidRPr="006B24DA">
        <w:rPr>
          <w:rFonts w:ascii="Book Antiqua" w:eastAsia="Times New Roman" w:hAnsi="Book Antiqua" w:cs="Times New Roman"/>
          <w:color w:val="000000" w:themeColor="text1"/>
          <w:sz w:val="24"/>
          <w:szCs w:val="24"/>
        </w:rPr>
        <w:t xml:space="preserve"> to multiple anatomic alterations such as weak LES, open diaphragmatic hiatus, hiatal hernia </w:t>
      </w:r>
      <w:r w:rsidR="00B42F2F" w:rsidRPr="006B24DA">
        <w:rPr>
          <w:rFonts w:ascii="Book Antiqua" w:eastAsia="Times New Roman" w:hAnsi="Book Antiqua" w:cs="Times New Roman"/>
          <w:color w:val="000000" w:themeColor="text1"/>
          <w:sz w:val="24"/>
          <w:szCs w:val="24"/>
        </w:rPr>
        <w:t xml:space="preserve">(Figure </w:t>
      </w:r>
      <w:r w:rsidR="007E46D2" w:rsidRPr="006B24DA">
        <w:rPr>
          <w:rFonts w:ascii="Book Antiqua" w:eastAsia="Times New Roman" w:hAnsi="Book Antiqua" w:cs="Times New Roman"/>
          <w:color w:val="000000" w:themeColor="text1"/>
          <w:sz w:val="24"/>
          <w:szCs w:val="24"/>
        </w:rPr>
        <w:t>2</w:t>
      </w:r>
      <w:r w:rsidRPr="006B24DA">
        <w:rPr>
          <w:rFonts w:ascii="Book Antiqua" w:eastAsia="Times New Roman" w:hAnsi="Book Antiqua" w:cs="Times New Roman"/>
          <w:color w:val="000000" w:themeColor="text1"/>
          <w:sz w:val="24"/>
          <w:szCs w:val="24"/>
        </w:rPr>
        <w:t>)</w:t>
      </w:r>
      <w:r w:rsidR="00941D70" w:rsidRPr="006B24DA">
        <w:rPr>
          <w:rFonts w:ascii="Book Antiqua" w:eastAsia="Times New Roman" w:hAnsi="Book Antiqua" w:cs="Times New Roman"/>
          <w:noProof/>
          <w:color w:val="000000" w:themeColor="text1"/>
          <w:sz w:val="24"/>
          <w:szCs w:val="24"/>
          <w:vertAlign w:val="superscript"/>
        </w:rPr>
        <w:t>[2,</w:t>
      </w:r>
      <w:r w:rsidRPr="006B24DA">
        <w:rPr>
          <w:rFonts w:ascii="Book Antiqua" w:eastAsia="Times New Roman" w:hAnsi="Book Antiqua" w:cs="Times New Roman"/>
          <w:noProof/>
          <w:color w:val="000000" w:themeColor="text1"/>
          <w:sz w:val="24"/>
          <w:szCs w:val="24"/>
          <w:vertAlign w:val="superscript"/>
        </w:rPr>
        <w:t>3]</w:t>
      </w:r>
      <w:r w:rsidRPr="006B24DA">
        <w:rPr>
          <w:rFonts w:ascii="Book Antiqua" w:eastAsia="Times New Roman" w:hAnsi="Book Antiqua" w:cs="Times New Roman"/>
          <w:color w:val="000000" w:themeColor="text1"/>
          <w:sz w:val="24"/>
          <w:szCs w:val="24"/>
        </w:rPr>
        <w:t>. The degree of anatomical alterations also appear to correlate with the complications of GERD, namely degree of esophagitis, the presence of Barrett’s metaplasia</w:t>
      </w:r>
      <w:r w:rsidRPr="006B24DA">
        <w:rPr>
          <w:rFonts w:ascii="Book Antiqua" w:eastAsia="Times New Roman" w:hAnsi="Book Antiqua" w:cs="Times New Roman"/>
          <w:noProof/>
          <w:color w:val="000000" w:themeColor="text1"/>
          <w:sz w:val="24"/>
          <w:szCs w:val="24"/>
          <w:vertAlign w:val="superscript"/>
        </w:rPr>
        <w:t>[4]</w:t>
      </w:r>
      <w:r w:rsidRPr="006B24DA">
        <w:rPr>
          <w:rFonts w:ascii="Book Antiqua" w:eastAsia="Times New Roman" w:hAnsi="Book Antiqua" w:cs="Times New Roman"/>
          <w:color w:val="000000" w:themeColor="text1"/>
          <w:sz w:val="24"/>
          <w:szCs w:val="24"/>
        </w:rPr>
        <w:t>, dysplasia and its progression to esophageal adenocarcinoma. Thus, as GERD is a spectrum disorder, then treatment should be individualized to the anatomi</w:t>
      </w:r>
      <w:r w:rsidR="00D33133" w:rsidRPr="006B24DA">
        <w:rPr>
          <w:rFonts w:ascii="Book Antiqua" w:eastAsia="Times New Roman" w:hAnsi="Book Antiqua" w:cs="Times New Roman"/>
          <w:color w:val="000000" w:themeColor="text1"/>
          <w:sz w:val="24"/>
          <w:szCs w:val="24"/>
        </w:rPr>
        <w:t xml:space="preserve">c alterations of each patient. </w:t>
      </w:r>
      <w:r w:rsidRPr="006B24DA">
        <w:rPr>
          <w:rFonts w:ascii="Book Antiqua" w:eastAsia="Times New Roman" w:hAnsi="Book Antiqua" w:cs="Times New Roman"/>
          <w:color w:val="000000" w:themeColor="text1"/>
          <w:sz w:val="24"/>
          <w:szCs w:val="24"/>
        </w:rPr>
        <w:t xml:space="preserve">While medical and surgical </w:t>
      </w:r>
      <w:proofErr w:type="gramStart"/>
      <w:r w:rsidRPr="006B24DA">
        <w:rPr>
          <w:rFonts w:ascii="Book Antiqua" w:eastAsia="Times New Roman" w:hAnsi="Book Antiqua" w:cs="Times New Roman"/>
          <w:color w:val="000000" w:themeColor="text1"/>
          <w:sz w:val="24"/>
          <w:szCs w:val="24"/>
        </w:rPr>
        <w:t>therapy have</w:t>
      </w:r>
      <w:proofErr w:type="gramEnd"/>
      <w:r w:rsidRPr="006B24DA">
        <w:rPr>
          <w:rFonts w:ascii="Book Antiqua" w:eastAsia="Times New Roman" w:hAnsi="Book Antiqua" w:cs="Times New Roman"/>
          <w:color w:val="000000" w:themeColor="text1"/>
          <w:sz w:val="24"/>
          <w:szCs w:val="24"/>
        </w:rPr>
        <w:t xml:space="preserve"> been the mainstay of treatment for GERD, there are currently several </w:t>
      </w:r>
      <w:r w:rsidR="00B27D0F" w:rsidRPr="006B24DA">
        <w:rPr>
          <w:rFonts w:ascii="Book Antiqua" w:eastAsia="Times New Roman" w:hAnsi="Book Antiqua" w:cs="Times New Roman"/>
          <w:color w:val="000000" w:themeColor="text1"/>
          <w:sz w:val="24"/>
          <w:szCs w:val="24"/>
        </w:rPr>
        <w:t>Food and Drug Administration (</w:t>
      </w:r>
      <w:r w:rsidRPr="006B24DA">
        <w:rPr>
          <w:rFonts w:ascii="Book Antiqua" w:eastAsia="Times New Roman" w:hAnsi="Book Antiqua" w:cs="Times New Roman"/>
          <w:color w:val="000000" w:themeColor="text1"/>
          <w:sz w:val="24"/>
          <w:szCs w:val="24"/>
        </w:rPr>
        <w:t>FDA</w:t>
      </w:r>
      <w:r w:rsidR="00B27D0F" w:rsidRPr="006B24DA">
        <w:rPr>
          <w:rFonts w:ascii="Book Antiqua" w:eastAsia="Times New Roman" w:hAnsi="Book Antiqua" w:cs="Times New Roman"/>
          <w:color w:val="000000" w:themeColor="text1"/>
          <w:sz w:val="24"/>
          <w:szCs w:val="24"/>
        </w:rPr>
        <w:t>)</w:t>
      </w:r>
      <w:r w:rsidRPr="006B24DA">
        <w:rPr>
          <w:rFonts w:ascii="Book Antiqua" w:eastAsia="Times New Roman" w:hAnsi="Book Antiqua" w:cs="Times New Roman"/>
          <w:color w:val="000000" w:themeColor="text1"/>
          <w:sz w:val="24"/>
          <w:szCs w:val="24"/>
        </w:rPr>
        <w:t>-approved devices available for endoscopic treatment of GERD, thus filling in the therapeutic gap be</w:t>
      </w:r>
      <w:r w:rsidR="00D33133" w:rsidRPr="006B24DA">
        <w:rPr>
          <w:rFonts w:ascii="Book Antiqua" w:eastAsia="Times New Roman" w:hAnsi="Book Antiqua" w:cs="Times New Roman"/>
          <w:color w:val="000000" w:themeColor="text1"/>
          <w:sz w:val="24"/>
          <w:szCs w:val="24"/>
        </w:rPr>
        <w:t xml:space="preserve">tween medications and surgery. </w:t>
      </w:r>
      <w:r w:rsidRPr="006B24DA">
        <w:rPr>
          <w:rFonts w:ascii="Book Antiqua" w:eastAsia="Times New Roman" w:hAnsi="Book Antiqua" w:cs="Times New Roman"/>
          <w:color w:val="000000" w:themeColor="text1"/>
          <w:sz w:val="24"/>
          <w:szCs w:val="24"/>
        </w:rPr>
        <w:t>Endoscopic treatment options are now considered appropriate treatment in patien</w:t>
      </w:r>
      <w:r w:rsidR="00B27D0F" w:rsidRPr="006B24DA">
        <w:rPr>
          <w:rFonts w:ascii="Book Antiqua" w:eastAsia="Times New Roman" w:hAnsi="Book Antiqua" w:cs="Times New Roman"/>
          <w:color w:val="000000" w:themeColor="text1"/>
          <w:sz w:val="24"/>
          <w:szCs w:val="24"/>
        </w:rPr>
        <w:t>ts early in the GERD spectrum.</w:t>
      </w:r>
    </w:p>
    <w:p w14:paraId="7FD97F87" w14:textId="582A9CF5" w:rsidR="00B27D0F" w:rsidRPr="006B24DA" w:rsidRDefault="00E20495" w:rsidP="00B27D0F">
      <w:pPr>
        <w:pStyle w:val="a6"/>
        <w:shd w:val="clear" w:color="auto" w:fill="FFFFFF"/>
        <w:adjustRightInd w:val="0"/>
        <w:snapToGrid w:val="0"/>
        <w:spacing w:after="0" w:line="360" w:lineRule="auto"/>
        <w:ind w:left="0" w:firstLine="120"/>
        <w:contextualSpacing w:val="0"/>
        <w:jc w:val="both"/>
        <w:rPr>
          <w:rFonts w:ascii="Book Antiqua" w:hAnsi="Book Antiqua" w:cs="Times New Roman"/>
          <w:color w:val="000000" w:themeColor="text1"/>
          <w:sz w:val="24"/>
          <w:szCs w:val="24"/>
        </w:rPr>
      </w:pPr>
      <w:r w:rsidRPr="006B24DA">
        <w:rPr>
          <w:rFonts w:ascii="Book Antiqua" w:eastAsia="Times New Roman" w:hAnsi="Book Antiqua" w:cs="Times New Roman"/>
          <w:bCs/>
          <w:color w:val="000000" w:themeColor="text1"/>
          <w:sz w:val="24"/>
          <w:szCs w:val="24"/>
        </w:rPr>
        <w:t>The first group in the spectrum would include patients with a normal LES tone, no hiatal hernia, and a closed diaphragmatic hiatus. This has been called “Dy</w:t>
      </w:r>
      <w:r w:rsidR="00D33133" w:rsidRPr="006B24DA">
        <w:rPr>
          <w:rFonts w:ascii="Book Antiqua" w:eastAsia="Times New Roman" w:hAnsi="Book Antiqua" w:cs="Times New Roman"/>
          <w:bCs/>
          <w:color w:val="000000" w:themeColor="text1"/>
          <w:sz w:val="24"/>
          <w:szCs w:val="24"/>
        </w:rPr>
        <w:t xml:space="preserve">namic Failure” (Hill Grade I). </w:t>
      </w:r>
      <w:r w:rsidRPr="006B24DA">
        <w:rPr>
          <w:rFonts w:ascii="Book Antiqua" w:eastAsia="Times New Roman" w:hAnsi="Book Antiqua" w:cs="Times New Roman"/>
          <w:bCs/>
          <w:color w:val="000000" w:themeColor="text1"/>
          <w:sz w:val="24"/>
          <w:szCs w:val="24"/>
        </w:rPr>
        <w:t>These patients have the phenotype of daytime reflux, no esophagitis or Barrett’s, and on ambulatory pH monitoring will have</w:t>
      </w:r>
      <w:r w:rsidR="00B27D0F" w:rsidRPr="006B24DA">
        <w:rPr>
          <w:rFonts w:ascii="Book Antiqua" w:eastAsia="Times New Roman" w:hAnsi="Book Antiqua" w:cs="Times New Roman"/>
          <w:bCs/>
          <w:color w:val="000000" w:themeColor="text1"/>
          <w:sz w:val="24"/>
          <w:szCs w:val="24"/>
        </w:rPr>
        <w:t xml:space="preserve"> predominantly upright reflux. </w:t>
      </w:r>
      <w:r w:rsidRPr="006B24DA">
        <w:rPr>
          <w:rFonts w:ascii="Book Antiqua" w:eastAsia="Times New Roman" w:hAnsi="Book Antiqua" w:cs="Times New Roman"/>
          <w:bCs/>
          <w:color w:val="000000" w:themeColor="text1"/>
          <w:sz w:val="24"/>
          <w:szCs w:val="24"/>
        </w:rPr>
        <w:t>The main mechanism for GERD in these patients is inappropriate tran</w:t>
      </w:r>
      <w:r w:rsidR="00D33133" w:rsidRPr="006B24DA">
        <w:rPr>
          <w:rFonts w:ascii="Book Antiqua" w:eastAsia="Times New Roman" w:hAnsi="Book Antiqua" w:cs="Times New Roman"/>
          <w:bCs/>
          <w:color w:val="000000" w:themeColor="text1"/>
          <w:sz w:val="24"/>
          <w:szCs w:val="24"/>
        </w:rPr>
        <w:t>sient LES relaxation (</w:t>
      </w:r>
      <w:proofErr w:type="spellStart"/>
      <w:r w:rsidR="00D33133" w:rsidRPr="006B24DA">
        <w:rPr>
          <w:rFonts w:ascii="Book Antiqua" w:eastAsia="Times New Roman" w:hAnsi="Book Antiqua" w:cs="Times New Roman"/>
          <w:bCs/>
          <w:color w:val="000000" w:themeColor="text1"/>
          <w:sz w:val="24"/>
          <w:szCs w:val="24"/>
        </w:rPr>
        <w:t>tLESRs</w:t>
      </w:r>
      <w:proofErr w:type="spellEnd"/>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The major stimulus for </w:t>
      </w:r>
      <w:proofErr w:type="spellStart"/>
      <w:r w:rsidRPr="006B24DA">
        <w:rPr>
          <w:rFonts w:ascii="Book Antiqua" w:eastAsia="Times New Roman" w:hAnsi="Book Antiqua" w:cs="Times New Roman"/>
          <w:bCs/>
          <w:color w:val="000000" w:themeColor="text1"/>
          <w:sz w:val="24"/>
          <w:szCs w:val="24"/>
        </w:rPr>
        <w:t>tLESRs</w:t>
      </w:r>
      <w:proofErr w:type="spellEnd"/>
      <w:r w:rsidRPr="006B24DA">
        <w:rPr>
          <w:rFonts w:ascii="Book Antiqua" w:eastAsia="Times New Roman" w:hAnsi="Book Antiqua" w:cs="Times New Roman"/>
          <w:bCs/>
          <w:color w:val="000000" w:themeColor="text1"/>
          <w:sz w:val="24"/>
          <w:szCs w:val="24"/>
        </w:rPr>
        <w:t xml:space="preserve"> is distension of the proximal </w:t>
      </w:r>
      <w:proofErr w:type="gramStart"/>
      <w:r w:rsidRPr="006B24DA">
        <w:rPr>
          <w:rFonts w:ascii="Book Antiqua" w:eastAsia="Times New Roman" w:hAnsi="Book Antiqua" w:cs="Times New Roman"/>
          <w:bCs/>
          <w:color w:val="000000" w:themeColor="text1"/>
          <w:sz w:val="24"/>
          <w:szCs w:val="24"/>
        </w:rPr>
        <w:t>stomach</w:t>
      </w:r>
      <w:r w:rsidRPr="006B24DA">
        <w:rPr>
          <w:rFonts w:ascii="Book Antiqua" w:eastAsia="Times New Roman" w:hAnsi="Book Antiqua" w:cs="Times New Roman"/>
          <w:bCs/>
          <w:noProof/>
          <w:color w:val="000000" w:themeColor="text1"/>
          <w:sz w:val="24"/>
          <w:szCs w:val="24"/>
          <w:vertAlign w:val="superscript"/>
        </w:rPr>
        <w:t>[</w:t>
      </w:r>
      <w:proofErr w:type="gramEnd"/>
      <w:r w:rsidRPr="006B24DA">
        <w:rPr>
          <w:rFonts w:ascii="Book Antiqua" w:eastAsia="Times New Roman" w:hAnsi="Book Antiqua" w:cs="Times New Roman"/>
          <w:bCs/>
          <w:noProof/>
          <w:color w:val="000000" w:themeColor="text1"/>
          <w:sz w:val="24"/>
          <w:szCs w:val="24"/>
          <w:vertAlign w:val="superscript"/>
        </w:rPr>
        <w:t>3]</w:t>
      </w:r>
      <w:r w:rsidR="00B27D0F"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Interventions that decrease the </w:t>
      </w:r>
      <w:proofErr w:type="spellStart"/>
      <w:r w:rsidRPr="006B24DA">
        <w:rPr>
          <w:rFonts w:ascii="Book Antiqua" w:eastAsia="Times New Roman" w:hAnsi="Book Antiqua" w:cs="Times New Roman"/>
          <w:bCs/>
          <w:color w:val="000000" w:themeColor="text1"/>
          <w:sz w:val="24"/>
          <w:szCs w:val="24"/>
        </w:rPr>
        <w:t>distensibility</w:t>
      </w:r>
      <w:proofErr w:type="spellEnd"/>
      <w:r w:rsidRPr="006B24DA">
        <w:rPr>
          <w:rFonts w:ascii="Book Antiqua" w:eastAsia="Times New Roman" w:hAnsi="Book Antiqua" w:cs="Times New Roman"/>
          <w:bCs/>
          <w:color w:val="000000" w:themeColor="text1"/>
          <w:sz w:val="24"/>
          <w:szCs w:val="24"/>
        </w:rPr>
        <w:t xml:space="preserve"> of the proximal stomach have </w:t>
      </w:r>
      <w:r w:rsidR="00D33133" w:rsidRPr="006B24DA">
        <w:rPr>
          <w:rFonts w:ascii="Book Antiqua" w:eastAsia="Times New Roman" w:hAnsi="Book Antiqua" w:cs="Times New Roman"/>
          <w:bCs/>
          <w:color w:val="000000" w:themeColor="text1"/>
          <w:sz w:val="24"/>
          <w:szCs w:val="24"/>
        </w:rPr>
        <w:t xml:space="preserve">been shown to decrease </w:t>
      </w:r>
      <w:proofErr w:type="spellStart"/>
      <w:r w:rsidR="00D33133" w:rsidRPr="006B24DA">
        <w:rPr>
          <w:rFonts w:ascii="Book Antiqua" w:eastAsia="Times New Roman" w:hAnsi="Book Antiqua" w:cs="Times New Roman"/>
          <w:bCs/>
          <w:color w:val="000000" w:themeColor="text1"/>
          <w:sz w:val="24"/>
          <w:szCs w:val="24"/>
        </w:rPr>
        <w:t>tLESRs</w:t>
      </w:r>
      <w:proofErr w:type="spellEnd"/>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This is one of the predominant mechanism</w:t>
      </w:r>
      <w:r w:rsidR="000C6E86" w:rsidRPr="006B24DA">
        <w:rPr>
          <w:rFonts w:ascii="Book Antiqua" w:eastAsia="Times New Roman" w:hAnsi="Book Antiqua" w:cs="Times New Roman"/>
          <w:bCs/>
          <w:color w:val="000000" w:themeColor="text1"/>
          <w:sz w:val="24"/>
          <w:szCs w:val="24"/>
        </w:rPr>
        <w:t>s</w:t>
      </w:r>
      <w:r w:rsidRPr="006B24DA">
        <w:rPr>
          <w:rFonts w:ascii="Book Antiqua" w:eastAsia="Times New Roman" w:hAnsi="Book Antiqua" w:cs="Times New Roman"/>
          <w:bCs/>
          <w:color w:val="000000" w:themeColor="text1"/>
          <w:sz w:val="24"/>
          <w:szCs w:val="24"/>
        </w:rPr>
        <w:t xml:space="preserve"> for endoscopic </w:t>
      </w:r>
      <w:r w:rsidR="00F75C82" w:rsidRPr="006B24DA">
        <w:rPr>
          <w:rFonts w:ascii="Book Antiqua" w:eastAsia="Times New Roman" w:hAnsi="Book Antiqua" w:cs="Times New Roman"/>
          <w:bCs/>
          <w:color w:val="000000" w:themeColor="text1"/>
          <w:sz w:val="24"/>
          <w:szCs w:val="24"/>
        </w:rPr>
        <w:t>radiofrequency (</w:t>
      </w:r>
      <w:r w:rsidR="00B27D0F" w:rsidRPr="006B24DA">
        <w:rPr>
          <w:rFonts w:ascii="Book Antiqua" w:eastAsia="Times New Roman" w:hAnsi="Book Antiqua" w:cs="Times New Roman"/>
          <w:bCs/>
          <w:color w:val="000000" w:themeColor="text1"/>
          <w:sz w:val="24"/>
          <w:szCs w:val="24"/>
        </w:rPr>
        <w:t>RF</w:t>
      </w:r>
      <w:r w:rsidR="00F75C82" w:rsidRPr="006B24DA">
        <w:rPr>
          <w:rFonts w:ascii="Book Antiqua" w:eastAsia="Times New Roman" w:hAnsi="Book Antiqua" w:cs="Times New Roman"/>
          <w:bCs/>
          <w:color w:val="000000" w:themeColor="text1"/>
          <w:sz w:val="24"/>
          <w:szCs w:val="24"/>
        </w:rPr>
        <w:t>)</w:t>
      </w:r>
      <w:r w:rsidRPr="006B24DA">
        <w:rPr>
          <w:rFonts w:ascii="Book Antiqua" w:eastAsia="Times New Roman" w:hAnsi="Book Antiqua" w:cs="Times New Roman"/>
          <w:bCs/>
          <w:color w:val="000000" w:themeColor="text1"/>
          <w:sz w:val="24"/>
          <w:szCs w:val="24"/>
        </w:rPr>
        <w:t xml:space="preserve"> treatment for GERD (</w:t>
      </w:r>
      <w:proofErr w:type="spellStart"/>
      <w:r w:rsidRPr="006B24DA">
        <w:rPr>
          <w:rFonts w:ascii="Book Antiqua" w:eastAsia="Times New Roman" w:hAnsi="Book Antiqua" w:cs="Times New Roman"/>
          <w:bCs/>
          <w:color w:val="000000" w:themeColor="text1"/>
          <w:sz w:val="24"/>
          <w:szCs w:val="24"/>
        </w:rPr>
        <w:t>Stretta</w:t>
      </w:r>
      <w:proofErr w:type="spellEnd"/>
      <w:r w:rsidRPr="006B24DA">
        <w:rPr>
          <w:rFonts w:ascii="Book Antiqua" w:eastAsia="Times New Roman" w:hAnsi="Book Antiqua" w:cs="Times New Roman"/>
          <w:bCs/>
          <w:color w:val="000000" w:themeColor="text1"/>
          <w:sz w:val="24"/>
          <w:szCs w:val="24"/>
        </w:rPr>
        <w:t xml:space="preserve">; </w:t>
      </w:r>
      <w:r w:rsidRPr="006B24DA">
        <w:rPr>
          <w:rFonts w:ascii="Book Antiqua" w:hAnsi="Book Antiqua" w:cs="Times New Roman"/>
          <w:color w:val="000000" w:themeColor="text1"/>
          <w:sz w:val="24"/>
          <w:szCs w:val="24"/>
        </w:rPr>
        <w:t xml:space="preserve">Figure </w:t>
      </w:r>
      <w:r w:rsidR="007E46D2" w:rsidRPr="006B24DA">
        <w:rPr>
          <w:rFonts w:ascii="Book Antiqua" w:hAnsi="Book Antiqua" w:cs="Times New Roman"/>
          <w:color w:val="000000" w:themeColor="text1"/>
          <w:sz w:val="24"/>
          <w:szCs w:val="24"/>
        </w:rPr>
        <w:t>3</w:t>
      </w:r>
      <w:proofErr w:type="gramStart"/>
      <w:r w:rsidRPr="006B24DA">
        <w:rPr>
          <w:rFonts w:ascii="Book Antiqua" w:hAnsi="Book Antiqua" w:cs="Times New Roman"/>
          <w:bCs/>
          <w:color w:val="000000" w:themeColor="text1"/>
          <w:sz w:val="24"/>
          <w:szCs w:val="24"/>
        </w:rPr>
        <w:t>)</w:t>
      </w:r>
      <w:r w:rsidRPr="006B24DA">
        <w:rPr>
          <w:rFonts w:ascii="Book Antiqua" w:hAnsi="Book Antiqua" w:cs="Times New Roman"/>
          <w:bCs/>
          <w:noProof/>
          <w:color w:val="000000" w:themeColor="text1"/>
          <w:sz w:val="24"/>
          <w:szCs w:val="24"/>
          <w:vertAlign w:val="superscript"/>
        </w:rPr>
        <w:t>[</w:t>
      </w:r>
      <w:proofErr w:type="gramEnd"/>
      <w:r w:rsidRPr="006B24DA">
        <w:rPr>
          <w:rFonts w:ascii="Book Antiqua" w:hAnsi="Book Antiqua" w:cs="Times New Roman"/>
          <w:bCs/>
          <w:noProof/>
          <w:color w:val="000000" w:themeColor="text1"/>
          <w:sz w:val="24"/>
          <w:szCs w:val="24"/>
          <w:vertAlign w:val="superscript"/>
        </w:rPr>
        <w:t>5]</w:t>
      </w:r>
      <w:r w:rsidRPr="006B24DA">
        <w:rPr>
          <w:rFonts w:ascii="Book Antiqua" w:hAnsi="Book Antiqua"/>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With this device, </w:t>
      </w:r>
      <w:r w:rsidR="00B27D0F" w:rsidRPr="006B24DA">
        <w:rPr>
          <w:rFonts w:ascii="Book Antiqua" w:eastAsia="Times New Roman" w:hAnsi="Book Antiqua" w:cs="Times New Roman"/>
          <w:bCs/>
          <w:color w:val="000000" w:themeColor="text1"/>
          <w:sz w:val="24"/>
          <w:szCs w:val="24"/>
        </w:rPr>
        <w:t>RF</w:t>
      </w:r>
      <w:r w:rsidRPr="006B24DA">
        <w:rPr>
          <w:rFonts w:ascii="Book Antiqua" w:eastAsia="Times New Roman" w:hAnsi="Book Antiqua" w:cs="Times New Roman"/>
          <w:bCs/>
          <w:color w:val="000000" w:themeColor="text1"/>
          <w:sz w:val="24"/>
          <w:szCs w:val="24"/>
        </w:rPr>
        <w:t xml:space="preserve"> energy is delivered endos</w:t>
      </w:r>
      <w:r w:rsidR="00941D70" w:rsidRPr="006B24DA">
        <w:rPr>
          <w:rFonts w:ascii="Book Antiqua" w:eastAsia="Times New Roman" w:hAnsi="Book Antiqua" w:cs="Times New Roman"/>
          <w:bCs/>
          <w:color w:val="000000" w:themeColor="text1"/>
          <w:sz w:val="24"/>
          <w:szCs w:val="24"/>
        </w:rPr>
        <w:t>copically to the muscle of the LES</w:t>
      </w:r>
      <w:r w:rsidRPr="006B24DA">
        <w:rPr>
          <w:rFonts w:ascii="Book Antiqua" w:eastAsia="Times New Roman" w:hAnsi="Book Antiqua" w:cs="Times New Roman"/>
          <w:bCs/>
          <w:color w:val="000000" w:themeColor="text1"/>
          <w:sz w:val="24"/>
          <w:szCs w:val="24"/>
        </w:rPr>
        <w:t xml:space="preserve"> and the gastric cardia. The hypothesis that </w:t>
      </w:r>
      <w:proofErr w:type="spellStart"/>
      <w:r w:rsidRPr="006B24DA">
        <w:rPr>
          <w:rFonts w:ascii="Book Antiqua" w:eastAsia="Times New Roman" w:hAnsi="Book Antiqua" w:cs="Times New Roman"/>
          <w:bCs/>
          <w:color w:val="000000" w:themeColor="text1"/>
          <w:sz w:val="24"/>
          <w:szCs w:val="24"/>
        </w:rPr>
        <w:t>Stretta</w:t>
      </w:r>
      <w:proofErr w:type="spellEnd"/>
      <w:r w:rsidRPr="006B24DA">
        <w:rPr>
          <w:rFonts w:ascii="Book Antiqua" w:eastAsia="Times New Roman" w:hAnsi="Book Antiqua" w:cs="Times New Roman"/>
          <w:bCs/>
          <w:color w:val="000000" w:themeColor="text1"/>
          <w:sz w:val="24"/>
          <w:szCs w:val="24"/>
        </w:rPr>
        <w:t xml:space="preserve"> alters </w:t>
      </w:r>
      <w:r w:rsidR="00B27D0F" w:rsidRPr="006B24DA">
        <w:rPr>
          <w:rFonts w:ascii="Book Antiqua" w:eastAsia="Times New Roman" w:hAnsi="Book Antiqua" w:cs="Times New Roman"/>
          <w:bCs/>
          <w:color w:val="000000" w:themeColor="text1"/>
          <w:sz w:val="24"/>
          <w:szCs w:val="24"/>
        </w:rPr>
        <w:t>esophageal gastric junction (</w:t>
      </w:r>
      <w:r w:rsidRPr="006B24DA">
        <w:rPr>
          <w:rFonts w:ascii="Book Antiqua" w:eastAsia="Times New Roman" w:hAnsi="Book Antiqua" w:cs="Times New Roman"/>
          <w:bCs/>
          <w:color w:val="000000" w:themeColor="text1"/>
          <w:sz w:val="24"/>
          <w:szCs w:val="24"/>
        </w:rPr>
        <w:t>EGJ</w:t>
      </w:r>
      <w:r w:rsidR="00B27D0F" w:rsidRPr="006B24DA">
        <w:rPr>
          <w:rFonts w:ascii="Book Antiqua" w:eastAsia="Times New Roman" w:hAnsi="Book Antiqua" w:cs="Times New Roman"/>
          <w:bCs/>
          <w:color w:val="000000" w:themeColor="text1"/>
          <w:sz w:val="24"/>
          <w:szCs w:val="24"/>
        </w:rPr>
        <w:t>)</w:t>
      </w:r>
      <w:r w:rsidRPr="006B24DA">
        <w:rPr>
          <w:rFonts w:ascii="Book Antiqua" w:eastAsia="Times New Roman" w:hAnsi="Book Antiqua" w:cs="Times New Roman"/>
          <w:bCs/>
          <w:color w:val="000000" w:themeColor="text1"/>
          <w:sz w:val="24"/>
          <w:szCs w:val="24"/>
        </w:rPr>
        <w:t xml:space="preserve"> resistance dynamically was established in a double-blind randomized crossover study of </w:t>
      </w:r>
      <w:proofErr w:type="spellStart"/>
      <w:r w:rsidRPr="006B24DA">
        <w:rPr>
          <w:rFonts w:ascii="Book Antiqua" w:eastAsia="Times New Roman" w:hAnsi="Book Antiqua" w:cs="Times New Roman"/>
          <w:bCs/>
          <w:color w:val="000000" w:themeColor="text1"/>
          <w:sz w:val="24"/>
          <w:szCs w:val="24"/>
        </w:rPr>
        <w:t>Stretta</w:t>
      </w:r>
      <w:proofErr w:type="spellEnd"/>
      <w:r w:rsidRPr="006B24DA">
        <w:rPr>
          <w:rFonts w:ascii="Book Antiqua" w:eastAsia="Times New Roman" w:hAnsi="Book Antiqua" w:cs="Times New Roman"/>
          <w:bCs/>
          <w:color w:val="000000" w:themeColor="text1"/>
          <w:sz w:val="24"/>
          <w:szCs w:val="24"/>
        </w:rPr>
        <w:t xml:space="preserve"> and sham treatment in 22 patients with </w:t>
      </w:r>
      <w:proofErr w:type="gramStart"/>
      <w:r w:rsidRPr="006B24DA">
        <w:rPr>
          <w:rFonts w:ascii="Book Antiqua" w:eastAsia="Times New Roman" w:hAnsi="Book Antiqua" w:cs="Times New Roman"/>
          <w:bCs/>
          <w:color w:val="000000" w:themeColor="text1"/>
          <w:sz w:val="24"/>
          <w:szCs w:val="24"/>
        </w:rPr>
        <w:t>GERD</w:t>
      </w:r>
      <w:r w:rsidRPr="006B24DA">
        <w:rPr>
          <w:rFonts w:ascii="Book Antiqua" w:eastAsia="Times New Roman" w:hAnsi="Book Antiqua" w:cs="Times New Roman"/>
          <w:bCs/>
          <w:noProof/>
          <w:color w:val="000000" w:themeColor="text1"/>
          <w:sz w:val="24"/>
          <w:szCs w:val="24"/>
          <w:vertAlign w:val="superscript"/>
        </w:rPr>
        <w:t>[</w:t>
      </w:r>
      <w:proofErr w:type="gramEnd"/>
      <w:r w:rsidRPr="006B24DA">
        <w:rPr>
          <w:rFonts w:ascii="Book Antiqua" w:eastAsia="Times New Roman" w:hAnsi="Book Antiqua" w:cs="Times New Roman"/>
          <w:bCs/>
          <w:noProof/>
          <w:color w:val="000000" w:themeColor="text1"/>
          <w:sz w:val="24"/>
          <w:szCs w:val="24"/>
          <w:vertAlign w:val="superscript"/>
        </w:rPr>
        <w:t>6]</w:t>
      </w:r>
      <w:r w:rsidRPr="006B24DA">
        <w:rPr>
          <w:rFonts w:ascii="Book Antiqua" w:eastAsia="Times New Roman" w:hAnsi="Book Antiqua" w:cs="Times New Roman"/>
          <w:bCs/>
          <w:color w:val="000000" w:themeColor="text1"/>
          <w:sz w:val="24"/>
          <w:szCs w:val="24"/>
        </w:rPr>
        <w:t xml:space="preserve">. </w:t>
      </w:r>
      <w:proofErr w:type="spellStart"/>
      <w:r w:rsidRPr="006B24DA">
        <w:rPr>
          <w:rFonts w:ascii="Book Antiqua" w:eastAsia="Times New Roman" w:hAnsi="Book Antiqua" w:cs="Times New Roman"/>
          <w:bCs/>
          <w:color w:val="000000" w:themeColor="text1"/>
          <w:sz w:val="24"/>
          <w:szCs w:val="24"/>
        </w:rPr>
        <w:t>Stretta</w:t>
      </w:r>
      <w:proofErr w:type="spellEnd"/>
      <w:r w:rsidRPr="006B24DA">
        <w:rPr>
          <w:rFonts w:ascii="Book Antiqua" w:eastAsia="Times New Roman" w:hAnsi="Book Antiqua" w:cs="Times New Roman"/>
          <w:bCs/>
          <w:color w:val="000000" w:themeColor="text1"/>
          <w:sz w:val="24"/>
          <w:szCs w:val="24"/>
        </w:rPr>
        <w:t xml:space="preserve"> decreased EGJ compliance, while administration of sildenafil normalized EGJ compliance back to pre-</w:t>
      </w:r>
      <w:proofErr w:type="spellStart"/>
      <w:r w:rsidRPr="006B24DA">
        <w:rPr>
          <w:rFonts w:ascii="Book Antiqua" w:eastAsia="Times New Roman" w:hAnsi="Book Antiqua" w:cs="Times New Roman"/>
          <w:bCs/>
          <w:color w:val="000000" w:themeColor="text1"/>
          <w:sz w:val="24"/>
          <w:szCs w:val="24"/>
        </w:rPr>
        <w:t>Stretta</w:t>
      </w:r>
      <w:proofErr w:type="spellEnd"/>
      <w:r w:rsidRPr="006B24DA">
        <w:rPr>
          <w:rFonts w:ascii="Book Antiqua" w:eastAsia="Times New Roman" w:hAnsi="Book Antiqua" w:cs="Times New Roman"/>
          <w:bCs/>
          <w:color w:val="000000" w:themeColor="text1"/>
          <w:sz w:val="24"/>
          <w:szCs w:val="24"/>
        </w:rPr>
        <w:t xml:space="preserve"> level, arguing against EGJ fibrosis as the underlying mechanism. The authors concluded that </w:t>
      </w:r>
      <w:r w:rsidRPr="006B24DA">
        <w:rPr>
          <w:rFonts w:ascii="Book Antiqua" w:eastAsia="Times New Roman" w:hAnsi="Book Antiqua" w:cs="Times New Roman"/>
          <w:bCs/>
          <w:color w:val="000000" w:themeColor="text1"/>
          <w:sz w:val="24"/>
          <w:szCs w:val="24"/>
        </w:rPr>
        <w:lastRenderedPageBreak/>
        <w:t xml:space="preserve">decreased EGJ compliance, which reflects altered LES neuromuscular function, may contribute to symptomatic benefit by decreasing </w:t>
      </w:r>
      <w:proofErr w:type="spellStart"/>
      <w:r w:rsidRPr="006B24DA">
        <w:rPr>
          <w:rFonts w:ascii="Book Antiqua" w:eastAsia="Times New Roman" w:hAnsi="Book Antiqua" w:cs="Times New Roman"/>
          <w:bCs/>
          <w:color w:val="000000" w:themeColor="text1"/>
          <w:sz w:val="24"/>
          <w:szCs w:val="24"/>
        </w:rPr>
        <w:t>refluxate</w:t>
      </w:r>
      <w:proofErr w:type="spellEnd"/>
      <w:r w:rsidRPr="006B24DA">
        <w:rPr>
          <w:rFonts w:ascii="Book Antiqua" w:eastAsia="Times New Roman" w:hAnsi="Book Antiqua" w:cs="Times New Roman"/>
          <w:bCs/>
          <w:color w:val="000000" w:themeColor="text1"/>
          <w:sz w:val="24"/>
          <w:szCs w:val="24"/>
        </w:rPr>
        <w:t xml:space="preserve"> volume. A number of clinical trials have confirmed that </w:t>
      </w:r>
      <w:proofErr w:type="spellStart"/>
      <w:r w:rsidRPr="006B24DA">
        <w:rPr>
          <w:rFonts w:ascii="Book Antiqua" w:eastAsia="Times New Roman" w:hAnsi="Book Antiqua" w:cs="Times New Roman"/>
          <w:bCs/>
          <w:color w:val="000000" w:themeColor="text1"/>
          <w:sz w:val="24"/>
          <w:szCs w:val="24"/>
        </w:rPr>
        <w:t>Stretta</w:t>
      </w:r>
      <w:proofErr w:type="spellEnd"/>
      <w:r w:rsidRPr="006B24DA">
        <w:rPr>
          <w:rFonts w:ascii="Book Antiqua" w:eastAsia="Times New Roman" w:hAnsi="Book Antiqua" w:cs="Times New Roman"/>
          <w:bCs/>
          <w:color w:val="000000" w:themeColor="text1"/>
          <w:sz w:val="24"/>
          <w:szCs w:val="24"/>
        </w:rPr>
        <w:t xml:space="preserve"> effectively improves GERD symptoms and reduces, but does not normalize esophageal acid </w:t>
      </w:r>
      <w:proofErr w:type="gramStart"/>
      <w:r w:rsidRPr="006B24DA">
        <w:rPr>
          <w:rFonts w:ascii="Book Antiqua" w:eastAsia="Times New Roman" w:hAnsi="Book Antiqua" w:cs="Times New Roman"/>
          <w:bCs/>
          <w:color w:val="000000" w:themeColor="text1"/>
          <w:sz w:val="24"/>
          <w:szCs w:val="24"/>
        </w:rPr>
        <w:t>exposure</w:t>
      </w:r>
      <w:r w:rsidR="00B27D0F" w:rsidRPr="006B24DA">
        <w:rPr>
          <w:rFonts w:ascii="Book Antiqua" w:eastAsia="Times New Roman" w:hAnsi="Book Antiqua" w:cs="Times New Roman"/>
          <w:bCs/>
          <w:noProof/>
          <w:color w:val="000000" w:themeColor="text1"/>
          <w:sz w:val="24"/>
          <w:szCs w:val="24"/>
          <w:vertAlign w:val="superscript"/>
        </w:rPr>
        <w:t>[</w:t>
      </w:r>
      <w:proofErr w:type="gramEnd"/>
      <w:r w:rsidR="00B27D0F" w:rsidRPr="006B24DA">
        <w:rPr>
          <w:rFonts w:ascii="Book Antiqua" w:eastAsia="Times New Roman" w:hAnsi="Book Antiqua" w:cs="Times New Roman"/>
          <w:bCs/>
          <w:noProof/>
          <w:color w:val="000000" w:themeColor="text1"/>
          <w:sz w:val="24"/>
          <w:szCs w:val="24"/>
          <w:vertAlign w:val="superscript"/>
        </w:rPr>
        <w:t>7,</w:t>
      </w:r>
      <w:r w:rsidRPr="006B24DA">
        <w:rPr>
          <w:rFonts w:ascii="Book Antiqua" w:eastAsia="Times New Roman" w:hAnsi="Book Antiqua" w:cs="Times New Roman"/>
          <w:bCs/>
          <w:noProof/>
          <w:color w:val="000000" w:themeColor="text1"/>
          <w:sz w:val="24"/>
          <w:szCs w:val="24"/>
          <w:vertAlign w:val="superscript"/>
        </w:rPr>
        <w:t>8]</w:t>
      </w:r>
      <w:r w:rsidRPr="006B24DA">
        <w:rPr>
          <w:rFonts w:ascii="Book Antiqua" w:hAnsi="Book Antiqua" w:cs="Times New Roman"/>
          <w:color w:val="000000" w:themeColor="text1"/>
          <w:sz w:val="24"/>
          <w:szCs w:val="24"/>
        </w:rPr>
        <w:t>. There have also been several meta-analysis papers similarly</w:t>
      </w:r>
      <w:r w:rsidR="000C6E86" w:rsidRPr="006B24DA">
        <w:rPr>
          <w:rFonts w:ascii="Book Antiqua" w:hAnsi="Book Antiqua" w:cs="Times New Roman"/>
          <w:color w:val="000000" w:themeColor="text1"/>
          <w:sz w:val="24"/>
          <w:szCs w:val="24"/>
        </w:rPr>
        <w:t xml:space="preserve"> showing</w:t>
      </w:r>
      <w:r w:rsidRPr="006B24DA">
        <w:rPr>
          <w:rFonts w:ascii="Book Antiqua" w:hAnsi="Book Antiqua" w:cs="Times New Roman"/>
          <w:color w:val="000000" w:themeColor="text1"/>
          <w:sz w:val="24"/>
          <w:szCs w:val="24"/>
        </w:rPr>
        <w:t xml:space="preserve"> that </w:t>
      </w:r>
      <w:proofErr w:type="spellStart"/>
      <w:r w:rsidRPr="006B24DA">
        <w:rPr>
          <w:rFonts w:ascii="Book Antiqua" w:hAnsi="Book Antiqua" w:cs="Times New Roman"/>
          <w:color w:val="000000" w:themeColor="text1"/>
          <w:sz w:val="24"/>
          <w:szCs w:val="24"/>
        </w:rPr>
        <w:t>Stretta</w:t>
      </w:r>
      <w:proofErr w:type="spellEnd"/>
      <w:r w:rsidRPr="006B24DA">
        <w:rPr>
          <w:rFonts w:ascii="Book Antiqua" w:hAnsi="Book Antiqua" w:cs="Times New Roman"/>
          <w:color w:val="000000" w:themeColor="text1"/>
          <w:sz w:val="24"/>
          <w:szCs w:val="24"/>
        </w:rPr>
        <w:t xml:space="preserve"> is effective for symptom relief, is safe and well tolerated, and allows patients to decrease intake of proton pump inhibitors </w:t>
      </w:r>
      <w:r w:rsidR="00B27D0F" w:rsidRPr="006B24DA">
        <w:rPr>
          <w:rFonts w:ascii="Book Antiqua" w:hAnsi="Book Antiqua" w:cs="Times New Roman"/>
          <w:color w:val="000000" w:themeColor="text1"/>
          <w:sz w:val="24"/>
          <w:szCs w:val="24"/>
        </w:rPr>
        <w:t xml:space="preserve">(PPI) </w:t>
      </w:r>
      <w:r w:rsidRPr="006B24DA">
        <w:rPr>
          <w:rFonts w:ascii="Book Antiqua" w:hAnsi="Book Antiqua" w:cs="Times New Roman"/>
          <w:color w:val="000000" w:themeColor="text1"/>
          <w:sz w:val="24"/>
          <w:szCs w:val="24"/>
        </w:rPr>
        <w:t>medications</w:t>
      </w:r>
      <w:r w:rsidR="00B27D0F" w:rsidRPr="006B24DA">
        <w:rPr>
          <w:rFonts w:ascii="Book Antiqua" w:hAnsi="Book Antiqua" w:cs="Times New Roman"/>
          <w:noProof/>
          <w:color w:val="000000" w:themeColor="text1"/>
          <w:sz w:val="24"/>
          <w:szCs w:val="24"/>
          <w:vertAlign w:val="superscript"/>
        </w:rPr>
        <w:t>[9,</w:t>
      </w:r>
      <w:r w:rsidRPr="006B24DA">
        <w:rPr>
          <w:rFonts w:ascii="Book Antiqua" w:hAnsi="Book Antiqua" w:cs="Times New Roman"/>
          <w:noProof/>
          <w:color w:val="000000" w:themeColor="text1"/>
          <w:sz w:val="24"/>
          <w:szCs w:val="24"/>
          <w:vertAlign w:val="superscript"/>
        </w:rPr>
        <w:t>10]</w:t>
      </w:r>
      <w:r w:rsidR="00D33133" w:rsidRPr="006B24DA">
        <w:rPr>
          <w:rFonts w:ascii="Book Antiqua" w:hAnsi="Book Antiqua" w:cs="Times New Roman"/>
          <w:color w:val="000000" w:themeColor="text1"/>
          <w:sz w:val="24"/>
          <w:szCs w:val="24"/>
        </w:rPr>
        <w:t>.</w:t>
      </w:r>
      <w:r w:rsidRPr="006B24DA">
        <w:rPr>
          <w:rFonts w:ascii="Book Antiqua" w:hAnsi="Book Antiqua" w:cs="Times New Roman"/>
          <w:color w:val="000000" w:themeColor="text1"/>
          <w:sz w:val="24"/>
          <w:szCs w:val="24"/>
        </w:rPr>
        <w:t xml:space="preserve"> Interestingly, the durability of </w:t>
      </w:r>
      <w:proofErr w:type="spellStart"/>
      <w:r w:rsidRPr="006B24DA">
        <w:rPr>
          <w:rFonts w:ascii="Book Antiqua" w:hAnsi="Book Antiqua" w:cs="Times New Roman"/>
          <w:color w:val="000000" w:themeColor="text1"/>
          <w:sz w:val="24"/>
          <w:szCs w:val="24"/>
        </w:rPr>
        <w:t>Stretta’s</w:t>
      </w:r>
      <w:proofErr w:type="spellEnd"/>
      <w:r w:rsidRPr="006B24DA">
        <w:rPr>
          <w:rFonts w:ascii="Book Antiqua" w:hAnsi="Book Antiqua" w:cs="Times New Roman"/>
          <w:color w:val="000000" w:themeColor="text1"/>
          <w:sz w:val="24"/>
          <w:szCs w:val="24"/>
        </w:rPr>
        <w:t xml:space="preserve"> effects may reach beyond 10 </w:t>
      </w:r>
      <w:proofErr w:type="gramStart"/>
      <w:r w:rsidRPr="006B24DA">
        <w:rPr>
          <w:rFonts w:ascii="Book Antiqua" w:hAnsi="Book Antiqua" w:cs="Times New Roman"/>
          <w:color w:val="000000" w:themeColor="text1"/>
          <w:sz w:val="24"/>
          <w:szCs w:val="24"/>
        </w:rPr>
        <w:t>years</w:t>
      </w:r>
      <w:r w:rsidR="00B27D0F" w:rsidRPr="006B24DA">
        <w:rPr>
          <w:rFonts w:ascii="Book Antiqua" w:hAnsi="Book Antiqua" w:cs="Times New Roman"/>
          <w:noProof/>
          <w:color w:val="000000" w:themeColor="text1"/>
          <w:sz w:val="24"/>
          <w:szCs w:val="24"/>
          <w:vertAlign w:val="superscript"/>
        </w:rPr>
        <w:t>[</w:t>
      </w:r>
      <w:proofErr w:type="gramEnd"/>
      <w:r w:rsidR="00B27D0F" w:rsidRPr="006B24DA">
        <w:rPr>
          <w:rFonts w:ascii="Book Antiqua" w:hAnsi="Book Antiqua" w:cs="Times New Roman"/>
          <w:noProof/>
          <w:color w:val="000000" w:themeColor="text1"/>
          <w:sz w:val="24"/>
          <w:szCs w:val="24"/>
          <w:vertAlign w:val="superscript"/>
        </w:rPr>
        <w:t>11,</w:t>
      </w:r>
      <w:r w:rsidRPr="006B24DA">
        <w:rPr>
          <w:rFonts w:ascii="Book Antiqua" w:hAnsi="Book Antiqua" w:cs="Times New Roman"/>
          <w:noProof/>
          <w:color w:val="000000" w:themeColor="text1"/>
          <w:sz w:val="24"/>
          <w:szCs w:val="24"/>
          <w:vertAlign w:val="superscript"/>
        </w:rPr>
        <w:t>12]</w:t>
      </w:r>
      <w:r w:rsidRPr="006B24DA">
        <w:rPr>
          <w:rFonts w:ascii="Book Antiqua" w:hAnsi="Book Antiqua" w:cs="Times New Roman"/>
          <w:color w:val="000000" w:themeColor="text1"/>
          <w:sz w:val="24"/>
          <w:szCs w:val="24"/>
        </w:rPr>
        <w:t xml:space="preserve">. Some of the </w:t>
      </w:r>
      <w:proofErr w:type="spellStart"/>
      <w:r w:rsidRPr="006B24DA">
        <w:rPr>
          <w:rFonts w:ascii="Book Antiqua" w:hAnsi="Book Antiqua" w:cs="Times New Roman"/>
          <w:color w:val="000000" w:themeColor="text1"/>
          <w:sz w:val="24"/>
          <w:szCs w:val="24"/>
        </w:rPr>
        <w:t>Stretta</w:t>
      </w:r>
      <w:proofErr w:type="spellEnd"/>
      <w:r w:rsidRPr="006B24DA">
        <w:rPr>
          <w:rFonts w:ascii="Book Antiqua" w:hAnsi="Book Antiqua" w:cs="Times New Roman"/>
          <w:color w:val="000000" w:themeColor="text1"/>
          <w:sz w:val="24"/>
          <w:szCs w:val="24"/>
        </w:rPr>
        <w:t xml:space="preserve"> related issues and pathophysiology were elegantly elaborated upon by </w:t>
      </w:r>
      <w:proofErr w:type="spellStart"/>
      <w:proofErr w:type="gramStart"/>
      <w:r w:rsidRPr="006B24DA">
        <w:rPr>
          <w:rFonts w:ascii="Book Antiqua" w:hAnsi="Book Antiqua" w:cs="Times New Roman"/>
          <w:color w:val="000000" w:themeColor="text1"/>
          <w:sz w:val="24"/>
          <w:szCs w:val="24"/>
        </w:rPr>
        <w:t>Triadafilopoulos</w:t>
      </w:r>
      <w:proofErr w:type="spellEnd"/>
      <w:r w:rsidRPr="006B24DA">
        <w:rPr>
          <w:rFonts w:ascii="Book Antiqua" w:hAnsi="Book Antiqua" w:cs="Times New Roman"/>
          <w:noProof/>
          <w:color w:val="000000" w:themeColor="text1"/>
          <w:sz w:val="24"/>
          <w:szCs w:val="24"/>
          <w:vertAlign w:val="superscript"/>
        </w:rPr>
        <w:t>[</w:t>
      </w:r>
      <w:proofErr w:type="gramEnd"/>
      <w:r w:rsidRPr="006B24DA">
        <w:rPr>
          <w:rFonts w:ascii="Book Antiqua" w:hAnsi="Book Antiqua" w:cs="Times New Roman"/>
          <w:noProof/>
          <w:color w:val="000000" w:themeColor="text1"/>
          <w:sz w:val="24"/>
          <w:szCs w:val="24"/>
          <w:vertAlign w:val="superscript"/>
        </w:rPr>
        <w:t>13]</w:t>
      </w:r>
      <w:r w:rsidR="00B27D0F" w:rsidRPr="006B24DA">
        <w:rPr>
          <w:rFonts w:ascii="Book Antiqua" w:hAnsi="Book Antiqua" w:cs="Times New Roman"/>
          <w:color w:val="000000" w:themeColor="text1"/>
          <w:sz w:val="24"/>
          <w:szCs w:val="24"/>
        </w:rPr>
        <w:t>.</w:t>
      </w:r>
    </w:p>
    <w:p w14:paraId="79FB5DAF" w14:textId="77777777" w:rsidR="00B27D0F" w:rsidRPr="006B24DA" w:rsidRDefault="00B27D0F" w:rsidP="00B27D0F">
      <w:pPr>
        <w:shd w:val="clear" w:color="auto" w:fill="FFFFFF"/>
        <w:adjustRightInd w:val="0"/>
        <w:snapToGrid w:val="0"/>
        <w:spacing w:after="0" w:line="360" w:lineRule="auto"/>
        <w:jc w:val="both"/>
        <w:rPr>
          <w:rFonts w:ascii="Book Antiqua" w:hAnsi="Book Antiqua" w:cs="Times New Roman"/>
          <w:b/>
          <w:bCs/>
          <w:i/>
          <w:color w:val="000000" w:themeColor="text1"/>
          <w:sz w:val="24"/>
          <w:szCs w:val="24"/>
        </w:rPr>
      </w:pPr>
    </w:p>
    <w:p w14:paraId="6F8BEE0B" w14:textId="55FE4E5C" w:rsidR="00B27D0F" w:rsidRPr="006B24DA" w:rsidRDefault="00B27D0F" w:rsidP="00B27D0F">
      <w:pPr>
        <w:shd w:val="clear" w:color="auto" w:fill="FFFFFF"/>
        <w:adjustRightInd w:val="0"/>
        <w:snapToGrid w:val="0"/>
        <w:spacing w:after="0" w:line="360" w:lineRule="auto"/>
        <w:jc w:val="both"/>
        <w:rPr>
          <w:rFonts w:ascii="Book Antiqua" w:hAnsi="Book Antiqua" w:cs="Times New Roman"/>
          <w:color w:val="000000" w:themeColor="text1"/>
          <w:sz w:val="24"/>
          <w:szCs w:val="24"/>
        </w:rPr>
      </w:pPr>
      <w:r w:rsidRPr="006B24DA">
        <w:rPr>
          <w:rFonts w:ascii="Book Antiqua" w:hAnsi="Book Antiqua" w:cs="Times New Roman"/>
          <w:b/>
          <w:bCs/>
          <w:i/>
          <w:color w:val="000000" w:themeColor="text1"/>
          <w:sz w:val="24"/>
          <w:szCs w:val="24"/>
        </w:rPr>
        <w:t>Lessons l</w:t>
      </w:r>
      <w:r w:rsidR="00E20495" w:rsidRPr="006B24DA">
        <w:rPr>
          <w:rFonts w:ascii="Book Antiqua" w:hAnsi="Book Antiqua" w:cs="Times New Roman"/>
          <w:b/>
          <w:bCs/>
          <w:i/>
          <w:color w:val="000000" w:themeColor="text1"/>
          <w:sz w:val="24"/>
          <w:szCs w:val="24"/>
        </w:rPr>
        <w:t xml:space="preserve">earned for </w:t>
      </w:r>
      <w:proofErr w:type="spellStart"/>
      <w:r w:rsidR="00E20495" w:rsidRPr="006B24DA">
        <w:rPr>
          <w:rFonts w:ascii="Book Antiqua" w:hAnsi="Book Antiqua" w:cs="Times New Roman"/>
          <w:b/>
          <w:bCs/>
          <w:i/>
          <w:color w:val="000000" w:themeColor="text1"/>
          <w:sz w:val="24"/>
          <w:szCs w:val="24"/>
        </w:rPr>
        <w:t>Stretta</w:t>
      </w:r>
      <w:proofErr w:type="spellEnd"/>
      <w:r w:rsidR="00E20495" w:rsidRPr="006B24DA">
        <w:rPr>
          <w:rFonts w:ascii="Book Antiqua" w:hAnsi="Book Antiqua" w:cs="Times New Roman"/>
          <w:b/>
          <w:color w:val="000000" w:themeColor="text1"/>
          <w:sz w:val="24"/>
          <w:szCs w:val="24"/>
        </w:rPr>
        <w:t xml:space="preserve"> </w:t>
      </w:r>
    </w:p>
    <w:p w14:paraId="120FF959" w14:textId="1D95EA32" w:rsidR="00257DAF" w:rsidRPr="006B24DA" w:rsidRDefault="00E20495" w:rsidP="007761C0">
      <w:pPr>
        <w:pStyle w:val="a6"/>
        <w:shd w:val="clear" w:color="auto" w:fill="FFFFFF"/>
        <w:adjustRightInd w:val="0"/>
        <w:snapToGrid w:val="0"/>
        <w:spacing w:after="0" w:line="360" w:lineRule="auto"/>
        <w:ind w:left="0"/>
        <w:contextualSpacing w:val="0"/>
        <w:jc w:val="both"/>
        <w:rPr>
          <w:rFonts w:ascii="Book Antiqua" w:hAnsi="Book Antiqua" w:cs="Times New Roman"/>
          <w:color w:val="000000" w:themeColor="text1"/>
          <w:sz w:val="24"/>
          <w:szCs w:val="24"/>
        </w:rPr>
      </w:pPr>
      <w:r w:rsidRPr="006B24DA">
        <w:rPr>
          <w:rFonts w:ascii="Book Antiqua" w:hAnsi="Book Antiqua" w:cs="Times New Roman"/>
          <w:color w:val="000000" w:themeColor="text1"/>
          <w:sz w:val="24"/>
          <w:szCs w:val="24"/>
        </w:rPr>
        <w:t xml:space="preserve">I have been performing </w:t>
      </w:r>
      <w:proofErr w:type="spellStart"/>
      <w:r w:rsidRPr="006B24DA">
        <w:rPr>
          <w:rFonts w:ascii="Book Antiqua" w:hAnsi="Book Antiqua" w:cs="Times New Roman"/>
          <w:color w:val="000000" w:themeColor="text1"/>
          <w:sz w:val="24"/>
          <w:szCs w:val="24"/>
        </w:rPr>
        <w:t>Stretta</w:t>
      </w:r>
      <w:proofErr w:type="spellEnd"/>
      <w:r w:rsidR="00D33133" w:rsidRPr="006B24DA">
        <w:rPr>
          <w:rFonts w:ascii="Book Antiqua" w:hAnsi="Book Antiqua" w:cs="Times New Roman"/>
          <w:color w:val="000000" w:themeColor="text1"/>
          <w:sz w:val="24"/>
          <w:szCs w:val="24"/>
        </w:rPr>
        <w:t xml:space="preserve"> procedures for over 15 years. </w:t>
      </w:r>
      <w:r w:rsidRPr="006B24DA">
        <w:rPr>
          <w:rFonts w:ascii="Book Antiqua" w:hAnsi="Book Antiqua" w:cs="Times New Roman"/>
          <w:color w:val="000000" w:themeColor="text1"/>
          <w:sz w:val="24"/>
          <w:szCs w:val="24"/>
        </w:rPr>
        <w:t>In my opinion, it is the least invasive procedure for GERD, takes about 25 min to perform, and if performed on the appropriate patient, has high effectiveness in symptom relief with the majority of p</w:t>
      </w:r>
      <w:r w:rsidR="00D33133" w:rsidRPr="006B24DA">
        <w:rPr>
          <w:rFonts w:ascii="Book Antiqua" w:hAnsi="Book Antiqua" w:cs="Times New Roman"/>
          <w:color w:val="000000" w:themeColor="text1"/>
          <w:sz w:val="24"/>
          <w:szCs w:val="24"/>
        </w:rPr>
        <w:t xml:space="preserve">atients able to come off PPIs. </w:t>
      </w:r>
      <w:r w:rsidRPr="006B24DA">
        <w:rPr>
          <w:rFonts w:ascii="Book Antiqua" w:hAnsi="Book Antiqua" w:cs="Times New Roman"/>
          <w:color w:val="000000" w:themeColor="text1"/>
          <w:sz w:val="24"/>
          <w:szCs w:val="24"/>
        </w:rPr>
        <w:t>The main caveat is that the patients in this first group (dynamic failure) are the most su</w:t>
      </w:r>
      <w:r w:rsidR="00D33133" w:rsidRPr="006B24DA">
        <w:rPr>
          <w:rFonts w:ascii="Book Antiqua" w:hAnsi="Book Antiqua" w:cs="Times New Roman"/>
          <w:color w:val="000000" w:themeColor="text1"/>
          <w:sz w:val="24"/>
          <w:szCs w:val="24"/>
        </w:rPr>
        <w:t xml:space="preserve">itable candidates for </w:t>
      </w:r>
      <w:proofErr w:type="spellStart"/>
      <w:r w:rsidR="00D33133" w:rsidRPr="006B24DA">
        <w:rPr>
          <w:rFonts w:ascii="Book Antiqua" w:hAnsi="Book Antiqua" w:cs="Times New Roman"/>
          <w:color w:val="000000" w:themeColor="text1"/>
          <w:sz w:val="24"/>
          <w:szCs w:val="24"/>
        </w:rPr>
        <w:t>Stretta</w:t>
      </w:r>
      <w:proofErr w:type="spellEnd"/>
      <w:r w:rsidR="00D33133" w:rsidRPr="006B24DA">
        <w:rPr>
          <w:rFonts w:ascii="Book Antiqua" w:hAnsi="Book Antiqua" w:cs="Times New Roman"/>
          <w:color w:val="000000" w:themeColor="text1"/>
          <w:sz w:val="24"/>
          <w:szCs w:val="24"/>
        </w:rPr>
        <w:t xml:space="preserve">. </w:t>
      </w:r>
      <w:r w:rsidRPr="006B24DA">
        <w:rPr>
          <w:rFonts w:ascii="Book Antiqua" w:hAnsi="Book Antiqua" w:cs="Times New Roman"/>
          <w:color w:val="000000" w:themeColor="text1"/>
          <w:sz w:val="24"/>
          <w:szCs w:val="24"/>
        </w:rPr>
        <w:t xml:space="preserve">These are the upright </w:t>
      </w:r>
      <w:proofErr w:type="spellStart"/>
      <w:r w:rsidRPr="006B24DA">
        <w:rPr>
          <w:rFonts w:ascii="Book Antiqua" w:hAnsi="Book Antiqua" w:cs="Times New Roman"/>
          <w:color w:val="000000" w:themeColor="text1"/>
          <w:sz w:val="24"/>
          <w:szCs w:val="24"/>
        </w:rPr>
        <w:t>refluxers</w:t>
      </w:r>
      <w:proofErr w:type="spellEnd"/>
      <w:r w:rsidRPr="006B24DA">
        <w:rPr>
          <w:rFonts w:ascii="Book Antiqua" w:hAnsi="Book Antiqua" w:cs="Times New Roman"/>
          <w:color w:val="000000" w:themeColor="text1"/>
          <w:sz w:val="24"/>
          <w:szCs w:val="24"/>
        </w:rPr>
        <w:t xml:space="preserve"> with minimal esophagitis (non-erosive reflux disease, or NERD).</w:t>
      </w:r>
    </w:p>
    <w:p w14:paraId="0FC9EEB9" w14:textId="77777777" w:rsidR="00257DAF" w:rsidRPr="006B24DA" w:rsidRDefault="00257DAF" w:rsidP="007761C0">
      <w:pPr>
        <w:pStyle w:val="a6"/>
        <w:shd w:val="clear" w:color="auto" w:fill="FFFFFF"/>
        <w:adjustRightInd w:val="0"/>
        <w:snapToGrid w:val="0"/>
        <w:spacing w:after="0" w:line="360" w:lineRule="auto"/>
        <w:ind w:left="0"/>
        <w:contextualSpacing w:val="0"/>
        <w:jc w:val="both"/>
        <w:rPr>
          <w:rFonts w:ascii="Book Antiqua" w:hAnsi="Book Antiqua" w:cs="Times New Roman"/>
          <w:color w:val="000000" w:themeColor="text1"/>
          <w:sz w:val="24"/>
          <w:szCs w:val="24"/>
        </w:rPr>
      </w:pPr>
    </w:p>
    <w:p w14:paraId="1DA9B47C" w14:textId="50D7DB7D" w:rsidR="00257DAF" w:rsidRPr="006B24DA" w:rsidRDefault="00E20495" w:rsidP="007761C0">
      <w:pPr>
        <w:pStyle w:val="a6"/>
        <w:shd w:val="clear" w:color="auto" w:fill="FFFFFF"/>
        <w:adjustRightInd w:val="0"/>
        <w:snapToGrid w:val="0"/>
        <w:spacing w:after="0" w:line="360" w:lineRule="auto"/>
        <w:ind w:left="0"/>
        <w:contextualSpacing w:val="0"/>
        <w:jc w:val="both"/>
        <w:rPr>
          <w:rFonts w:ascii="Book Antiqua" w:hAnsi="Book Antiqua" w:cs="Times New Roman"/>
          <w:b/>
          <w:color w:val="000000" w:themeColor="text1"/>
          <w:sz w:val="24"/>
          <w:szCs w:val="24"/>
        </w:rPr>
      </w:pPr>
      <w:r w:rsidRPr="006B24DA">
        <w:rPr>
          <w:rFonts w:ascii="Book Antiqua" w:hAnsi="Book Antiqua" w:cs="Times New Roman"/>
          <w:b/>
          <w:i/>
          <w:color w:val="000000" w:themeColor="text1"/>
          <w:sz w:val="24"/>
          <w:szCs w:val="24"/>
        </w:rPr>
        <w:t xml:space="preserve">Technical considerations for </w:t>
      </w:r>
      <w:proofErr w:type="spellStart"/>
      <w:r w:rsidRPr="006B24DA">
        <w:rPr>
          <w:rFonts w:ascii="Book Antiqua" w:hAnsi="Book Antiqua" w:cs="Times New Roman"/>
          <w:b/>
          <w:i/>
          <w:color w:val="000000" w:themeColor="text1"/>
          <w:sz w:val="24"/>
          <w:szCs w:val="24"/>
        </w:rPr>
        <w:t>Stretta</w:t>
      </w:r>
      <w:proofErr w:type="spellEnd"/>
    </w:p>
    <w:p w14:paraId="767D3F96" w14:textId="6A6B596C" w:rsidR="00E20495" w:rsidRPr="006B24DA" w:rsidRDefault="00E20495" w:rsidP="007761C0">
      <w:pPr>
        <w:pStyle w:val="a6"/>
        <w:shd w:val="clear" w:color="auto" w:fill="FFFFFF"/>
        <w:adjustRightInd w:val="0"/>
        <w:snapToGrid w:val="0"/>
        <w:spacing w:after="0" w:line="360" w:lineRule="auto"/>
        <w:ind w:left="0"/>
        <w:contextualSpacing w:val="0"/>
        <w:jc w:val="both"/>
        <w:rPr>
          <w:rFonts w:ascii="Book Antiqua" w:hAnsi="Book Antiqua" w:cs="Times New Roman"/>
          <w:bCs/>
          <w:color w:val="000000" w:themeColor="text1"/>
          <w:sz w:val="24"/>
          <w:szCs w:val="24"/>
        </w:rPr>
      </w:pPr>
      <w:r w:rsidRPr="006B24DA">
        <w:rPr>
          <w:rFonts w:ascii="Book Antiqua" w:hAnsi="Book Antiqua" w:cs="Times New Roman"/>
          <w:color w:val="000000" w:themeColor="text1"/>
          <w:sz w:val="24"/>
          <w:szCs w:val="24"/>
        </w:rPr>
        <w:t xml:space="preserve">The procedural goal of </w:t>
      </w:r>
      <w:proofErr w:type="spellStart"/>
      <w:r w:rsidRPr="006B24DA">
        <w:rPr>
          <w:rFonts w:ascii="Book Antiqua" w:hAnsi="Book Antiqua" w:cs="Times New Roman"/>
          <w:color w:val="000000" w:themeColor="text1"/>
          <w:sz w:val="24"/>
          <w:szCs w:val="24"/>
        </w:rPr>
        <w:t>Stretta</w:t>
      </w:r>
      <w:proofErr w:type="spellEnd"/>
      <w:r w:rsidRPr="006B24DA">
        <w:rPr>
          <w:rFonts w:ascii="Book Antiqua" w:hAnsi="Book Antiqua" w:cs="Times New Roman"/>
          <w:color w:val="000000" w:themeColor="text1"/>
          <w:sz w:val="24"/>
          <w:szCs w:val="24"/>
        </w:rPr>
        <w:t xml:space="preserve"> is to precisely deliver RF ene</w:t>
      </w:r>
      <w:r w:rsidR="00D33133" w:rsidRPr="006B24DA">
        <w:rPr>
          <w:rFonts w:ascii="Book Antiqua" w:hAnsi="Book Antiqua" w:cs="Times New Roman"/>
          <w:color w:val="000000" w:themeColor="text1"/>
          <w:sz w:val="24"/>
          <w:szCs w:val="24"/>
        </w:rPr>
        <w:t xml:space="preserve">rgy to the LES and the cardia. </w:t>
      </w:r>
      <w:r w:rsidRPr="006B24DA">
        <w:rPr>
          <w:rFonts w:ascii="Book Antiqua" w:hAnsi="Book Antiqua" w:cs="Times New Roman"/>
          <w:color w:val="000000" w:themeColor="text1"/>
          <w:sz w:val="24"/>
          <w:szCs w:val="24"/>
        </w:rPr>
        <w:t>Other than placement, practically every other parameter is automated a</w:t>
      </w:r>
      <w:r w:rsidR="00257DAF" w:rsidRPr="006B24DA">
        <w:rPr>
          <w:rFonts w:ascii="Book Antiqua" w:hAnsi="Book Antiqua" w:cs="Times New Roman"/>
          <w:color w:val="000000" w:themeColor="text1"/>
          <w:sz w:val="24"/>
          <w:szCs w:val="24"/>
        </w:rPr>
        <w:t>nd self-regulated -</w:t>
      </w:r>
      <w:r w:rsidRPr="006B24DA">
        <w:rPr>
          <w:rFonts w:ascii="Book Antiqua" w:hAnsi="Book Antiqua" w:cs="Times New Roman"/>
          <w:color w:val="000000" w:themeColor="text1"/>
          <w:sz w:val="24"/>
          <w:szCs w:val="24"/>
        </w:rPr>
        <w:t xml:space="preserve"> including needle electrode temperature, mucosal temperature, 60</w:t>
      </w:r>
      <w:r w:rsidR="00D33133" w:rsidRPr="006B24DA">
        <w:rPr>
          <w:rFonts w:ascii="Book Antiqua" w:hAnsi="Book Antiqua" w:cs="Times New Roman"/>
          <w:color w:val="000000" w:themeColor="text1"/>
          <w:sz w:val="24"/>
          <w:szCs w:val="24"/>
        </w:rPr>
        <w:t xml:space="preserve"> s</w:t>
      </w:r>
      <w:r w:rsidR="001D5F0F" w:rsidRPr="006B24DA">
        <w:rPr>
          <w:rFonts w:ascii="Book Antiqua" w:hAnsi="Book Antiqua" w:cs="Times New Roman"/>
          <w:color w:val="000000" w:themeColor="text1"/>
          <w:sz w:val="24"/>
          <w:szCs w:val="24"/>
        </w:rPr>
        <w:t>econd</w:t>
      </w:r>
      <w:r w:rsidR="00D33133" w:rsidRPr="006B24DA">
        <w:rPr>
          <w:rFonts w:ascii="Book Antiqua" w:hAnsi="Book Antiqua" w:cs="Times New Roman"/>
          <w:color w:val="000000" w:themeColor="text1"/>
          <w:sz w:val="24"/>
          <w:szCs w:val="24"/>
        </w:rPr>
        <w:t xml:space="preserve"> application, and impedance. </w:t>
      </w:r>
      <w:r w:rsidRPr="006B24DA">
        <w:rPr>
          <w:rFonts w:ascii="Book Antiqua" w:hAnsi="Book Antiqua" w:cs="Times New Roman"/>
          <w:color w:val="000000" w:themeColor="text1"/>
          <w:sz w:val="24"/>
          <w:szCs w:val="24"/>
        </w:rPr>
        <w:t>After the first 2 levels in the esophagus, I routinely re-insert the endoscope to see if the RF marks are properly placed starti</w:t>
      </w:r>
      <w:r w:rsidR="00D33133" w:rsidRPr="006B24DA">
        <w:rPr>
          <w:rFonts w:ascii="Book Antiqua" w:hAnsi="Book Antiqua" w:cs="Times New Roman"/>
          <w:color w:val="000000" w:themeColor="text1"/>
          <w:sz w:val="24"/>
          <w:szCs w:val="24"/>
        </w:rPr>
        <w:t>ng at 1 cm proximal to the EGJ.</w:t>
      </w:r>
      <w:r w:rsidRPr="006B24DA">
        <w:rPr>
          <w:rFonts w:ascii="Book Antiqua" w:hAnsi="Book Antiqua" w:cs="Times New Roman"/>
          <w:color w:val="000000" w:themeColor="text1"/>
          <w:sz w:val="24"/>
          <w:szCs w:val="24"/>
        </w:rPr>
        <w:t xml:space="preserve"> If the marks are too distal, I will ad</w:t>
      </w:r>
      <w:r w:rsidR="00D33133" w:rsidRPr="006B24DA">
        <w:rPr>
          <w:rFonts w:ascii="Book Antiqua" w:hAnsi="Book Antiqua" w:cs="Times New Roman"/>
          <w:color w:val="000000" w:themeColor="text1"/>
          <w:sz w:val="24"/>
          <w:szCs w:val="24"/>
        </w:rPr>
        <w:t xml:space="preserve">just the 2 levels accordingly. </w:t>
      </w:r>
      <w:r w:rsidRPr="006B24DA">
        <w:rPr>
          <w:rFonts w:ascii="Book Antiqua" w:hAnsi="Book Antiqua" w:cs="Times New Roman"/>
          <w:color w:val="000000" w:themeColor="text1"/>
          <w:sz w:val="24"/>
          <w:szCs w:val="24"/>
        </w:rPr>
        <w:t>However, it is my strong belief that the most important RF en</w:t>
      </w:r>
      <w:r w:rsidR="00D33133" w:rsidRPr="006B24DA">
        <w:rPr>
          <w:rFonts w:ascii="Book Antiqua" w:hAnsi="Book Antiqua" w:cs="Times New Roman"/>
          <w:color w:val="000000" w:themeColor="text1"/>
          <w:sz w:val="24"/>
          <w:szCs w:val="24"/>
        </w:rPr>
        <w:t>ergy delivery is to the cardia.</w:t>
      </w:r>
      <w:r w:rsidRPr="006B24DA">
        <w:rPr>
          <w:rFonts w:ascii="Book Antiqua" w:hAnsi="Book Antiqua" w:cs="Times New Roman"/>
          <w:color w:val="000000" w:themeColor="text1"/>
          <w:sz w:val="24"/>
          <w:szCs w:val="24"/>
        </w:rPr>
        <w:t xml:space="preserve"> The 2 treatment levels at the cardia are done with the balloon inflated in the stomach and then the catheter is gently pulled back so the balloon fi</w:t>
      </w:r>
      <w:r w:rsidR="00D33133" w:rsidRPr="006B24DA">
        <w:rPr>
          <w:rFonts w:ascii="Book Antiqua" w:hAnsi="Book Antiqua" w:cs="Times New Roman"/>
          <w:color w:val="000000" w:themeColor="text1"/>
          <w:sz w:val="24"/>
          <w:szCs w:val="24"/>
        </w:rPr>
        <w:t xml:space="preserve">ts snug up against the cardia. </w:t>
      </w:r>
      <w:r w:rsidRPr="006B24DA">
        <w:rPr>
          <w:rFonts w:ascii="Book Antiqua" w:hAnsi="Book Antiqua" w:cs="Times New Roman"/>
          <w:color w:val="000000" w:themeColor="text1"/>
          <w:sz w:val="24"/>
          <w:szCs w:val="24"/>
        </w:rPr>
        <w:t xml:space="preserve">During the 3 applications at each level in the cardia, I find it useful to </w:t>
      </w:r>
      <w:r w:rsidRPr="006B24DA">
        <w:rPr>
          <w:rFonts w:ascii="Book Antiqua" w:hAnsi="Book Antiqua" w:cs="Times New Roman"/>
          <w:color w:val="000000" w:themeColor="text1"/>
          <w:sz w:val="24"/>
          <w:szCs w:val="24"/>
        </w:rPr>
        <w:lastRenderedPageBreak/>
        <w:t xml:space="preserve">unhook the suction from the device, allowing the balloon </w:t>
      </w:r>
      <w:r w:rsidR="00D33133" w:rsidRPr="006B24DA">
        <w:rPr>
          <w:rFonts w:ascii="Book Antiqua" w:hAnsi="Book Antiqua" w:cs="Times New Roman"/>
          <w:color w:val="000000" w:themeColor="text1"/>
          <w:sz w:val="24"/>
          <w:szCs w:val="24"/>
        </w:rPr>
        <w:t xml:space="preserve">to slide freely into position. </w:t>
      </w:r>
      <w:r w:rsidRPr="006B24DA">
        <w:rPr>
          <w:rFonts w:ascii="Book Antiqua" w:hAnsi="Book Antiqua" w:cs="Times New Roman"/>
          <w:color w:val="000000" w:themeColor="text1"/>
          <w:sz w:val="24"/>
          <w:szCs w:val="24"/>
        </w:rPr>
        <w:t xml:space="preserve">The suction is applied just prior to advancing the needle electrodes. At the end of a successful procedure, a retroflexed view of the EGJ should demonstrate a cluster of RF marks around the cardia, creating a “swollen lip” appearance, with little to no “stray” RF marks </w:t>
      </w:r>
      <w:r w:rsidR="00B42F2F" w:rsidRPr="006B24DA">
        <w:rPr>
          <w:rFonts w:ascii="Book Antiqua" w:hAnsi="Book Antiqua" w:cs="Times New Roman"/>
          <w:bCs/>
          <w:color w:val="000000" w:themeColor="text1"/>
          <w:sz w:val="24"/>
          <w:szCs w:val="24"/>
        </w:rPr>
        <w:t xml:space="preserve">(Figure </w:t>
      </w:r>
      <w:r w:rsidR="007E46D2" w:rsidRPr="006B24DA">
        <w:rPr>
          <w:rFonts w:ascii="Book Antiqua" w:hAnsi="Book Antiqua" w:cs="Times New Roman"/>
          <w:bCs/>
          <w:color w:val="000000" w:themeColor="text1"/>
          <w:sz w:val="24"/>
          <w:szCs w:val="24"/>
        </w:rPr>
        <w:t>4</w:t>
      </w:r>
      <w:r w:rsidR="00257DAF" w:rsidRPr="006B24DA">
        <w:rPr>
          <w:rFonts w:ascii="Book Antiqua" w:hAnsi="Book Antiqua" w:cs="Times New Roman"/>
          <w:bCs/>
          <w:color w:val="000000" w:themeColor="text1"/>
          <w:sz w:val="24"/>
          <w:szCs w:val="24"/>
        </w:rPr>
        <w:t xml:space="preserve">A and </w:t>
      </w:r>
      <w:r w:rsidR="007E46D2" w:rsidRPr="006B24DA">
        <w:rPr>
          <w:rFonts w:ascii="Book Antiqua" w:hAnsi="Book Antiqua" w:cs="Times New Roman"/>
          <w:bCs/>
          <w:color w:val="000000" w:themeColor="text1"/>
          <w:sz w:val="24"/>
          <w:szCs w:val="24"/>
        </w:rPr>
        <w:t>4</w:t>
      </w:r>
      <w:r w:rsidRPr="006B24DA">
        <w:rPr>
          <w:rFonts w:ascii="Book Antiqua" w:hAnsi="Book Antiqua" w:cs="Times New Roman"/>
          <w:bCs/>
          <w:color w:val="000000" w:themeColor="text1"/>
          <w:sz w:val="24"/>
          <w:szCs w:val="24"/>
        </w:rPr>
        <w:t>B).</w:t>
      </w:r>
    </w:p>
    <w:p w14:paraId="5338EE24" w14:textId="77777777" w:rsidR="00257DAF" w:rsidRPr="006B24DA" w:rsidRDefault="00257DAF" w:rsidP="007761C0">
      <w:pPr>
        <w:pStyle w:val="a6"/>
        <w:shd w:val="clear" w:color="auto" w:fill="FFFFFF"/>
        <w:adjustRightInd w:val="0"/>
        <w:snapToGrid w:val="0"/>
        <w:spacing w:after="0" w:line="360" w:lineRule="auto"/>
        <w:ind w:left="0"/>
        <w:contextualSpacing w:val="0"/>
        <w:jc w:val="both"/>
        <w:rPr>
          <w:rFonts w:ascii="Book Antiqua" w:hAnsi="Book Antiqua" w:cs="Times New Roman"/>
          <w:color w:val="000000" w:themeColor="text1"/>
          <w:sz w:val="24"/>
          <w:szCs w:val="24"/>
        </w:rPr>
      </w:pPr>
    </w:p>
    <w:p w14:paraId="1B783E7D" w14:textId="157223E5" w:rsidR="00257DAF" w:rsidRPr="006B24DA" w:rsidRDefault="00257DAF" w:rsidP="003B13C7">
      <w:pPr>
        <w:shd w:val="clear" w:color="auto" w:fill="FFFFFF" w:themeFill="background1"/>
        <w:adjustRightInd w:val="0"/>
        <w:snapToGrid w:val="0"/>
        <w:spacing w:after="0" w:line="360" w:lineRule="auto"/>
        <w:jc w:val="both"/>
        <w:rPr>
          <w:rFonts w:ascii="Book Antiqua" w:eastAsia="Times New Roman" w:hAnsi="Book Antiqua" w:cs="Times New Roman"/>
          <w:b/>
          <w:bCs/>
          <w:color w:val="000000" w:themeColor="text1"/>
          <w:sz w:val="24"/>
          <w:szCs w:val="24"/>
        </w:rPr>
      </w:pPr>
      <w:bookmarkStart w:id="39" w:name="_Hlk530738346"/>
      <w:bookmarkStart w:id="40" w:name="_Hlk532206881"/>
      <w:r w:rsidRPr="006B24DA">
        <w:rPr>
          <w:rFonts w:ascii="Book Antiqua" w:eastAsia="Times New Roman" w:hAnsi="Book Antiqua" w:cs="Times New Roman"/>
          <w:b/>
          <w:bCs/>
          <w:i/>
          <w:iCs/>
          <w:color w:val="000000" w:themeColor="text1"/>
          <w:sz w:val="24"/>
          <w:szCs w:val="24"/>
        </w:rPr>
        <w:t>Lessons l</w:t>
      </w:r>
      <w:r w:rsidR="00E20495" w:rsidRPr="006B24DA">
        <w:rPr>
          <w:rFonts w:ascii="Book Antiqua" w:eastAsia="Times New Roman" w:hAnsi="Book Antiqua" w:cs="Times New Roman"/>
          <w:b/>
          <w:bCs/>
          <w:i/>
          <w:iCs/>
          <w:color w:val="000000" w:themeColor="text1"/>
          <w:sz w:val="24"/>
          <w:szCs w:val="24"/>
        </w:rPr>
        <w:t>earned for TIF</w:t>
      </w:r>
      <w:bookmarkEnd w:id="39"/>
    </w:p>
    <w:p w14:paraId="3DFD6137" w14:textId="63B82859" w:rsidR="00E20495" w:rsidRPr="006B24DA" w:rsidRDefault="00E20495" w:rsidP="007761C0">
      <w:pPr>
        <w:shd w:val="clear" w:color="auto" w:fill="FFFFFF"/>
        <w:adjustRightInd w:val="0"/>
        <w:snapToGrid w:val="0"/>
        <w:spacing w:after="0" w:line="360" w:lineRule="auto"/>
        <w:jc w:val="both"/>
        <w:rPr>
          <w:rFonts w:ascii="Book Antiqua" w:hAnsi="Book Antiqua" w:cs="Times New Roman"/>
          <w:color w:val="000000" w:themeColor="text1"/>
          <w:sz w:val="24"/>
          <w:szCs w:val="24"/>
        </w:rPr>
      </w:pPr>
      <w:r w:rsidRPr="006B24DA">
        <w:rPr>
          <w:rFonts w:ascii="Book Antiqua" w:eastAsia="Times New Roman" w:hAnsi="Book Antiqua" w:cs="Times New Roman"/>
          <w:bCs/>
          <w:color w:val="000000" w:themeColor="text1"/>
          <w:sz w:val="24"/>
          <w:szCs w:val="24"/>
        </w:rPr>
        <w:t xml:space="preserve">The second group of the spectrum </w:t>
      </w:r>
      <w:r w:rsidR="00E3107A" w:rsidRPr="006B24DA">
        <w:rPr>
          <w:rFonts w:ascii="Book Antiqua" w:eastAsia="Times New Roman" w:hAnsi="Book Antiqua" w:cs="Times New Roman"/>
          <w:bCs/>
          <w:color w:val="000000" w:themeColor="text1"/>
          <w:sz w:val="24"/>
          <w:szCs w:val="24"/>
        </w:rPr>
        <w:t xml:space="preserve">(Figure </w:t>
      </w:r>
      <w:r w:rsidR="00E3218A" w:rsidRPr="006B24DA">
        <w:rPr>
          <w:rFonts w:ascii="Book Antiqua" w:eastAsia="Times New Roman" w:hAnsi="Book Antiqua" w:cs="Times New Roman"/>
          <w:bCs/>
          <w:color w:val="000000" w:themeColor="text1"/>
          <w:sz w:val="24"/>
          <w:szCs w:val="24"/>
        </w:rPr>
        <w:t>2</w:t>
      </w:r>
      <w:r w:rsidR="00E3107A"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would include patients with a low LES basal pressure, with no hiatal hernia, but the presence of a loose diaphragmatic hiatus (Hill Grade II). </w:t>
      </w:r>
      <w:bookmarkEnd w:id="40"/>
      <w:r w:rsidRPr="006B24DA">
        <w:rPr>
          <w:rFonts w:ascii="Book Antiqua" w:eastAsia="Times New Roman" w:hAnsi="Book Antiqua" w:cs="Times New Roman"/>
          <w:bCs/>
          <w:color w:val="000000" w:themeColor="text1"/>
          <w:sz w:val="24"/>
          <w:szCs w:val="24"/>
        </w:rPr>
        <w:t xml:space="preserve">These patients have the phenotype of both daytime and nighttime reflux, with possible grade A or B esophagitis, and on ambulatory pH monitoring will have both upright and </w:t>
      </w:r>
      <w:r w:rsidR="00C81BA3" w:rsidRPr="006B24DA">
        <w:rPr>
          <w:rFonts w:ascii="Book Antiqua" w:eastAsia="Times New Roman" w:hAnsi="Book Antiqua" w:cs="Times New Roman"/>
          <w:bCs/>
          <w:color w:val="000000" w:themeColor="text1"/>
          <w:sz w:val="24"/>
          <w:szCs w:val="24"/>
        </w:rPr>
        <w:t xml:space="preserve">supine reflux. </w:t>
      </w:r>
      <w:r w:rsidRPr="006B24DA">
        <w:rPr>
          <w:rFonts w:ascii="Book Antiqua" w:eastAsia="Times New Roman" w:hAnsi="Book Antiqua" w:cs="Times New Roman"/>
          <w:bCs/>
          <w:color w:val="000000" w:themeColor="text1"/>
          <w:sz w:val="24"/>
          <w:szCs w:val="24"/>
        </w:rPr>
        <w:t>The mechanisms for GERD in these patients are an incompetent LES and/or an open diaphragmatic hiatus. These patients would be ideally suited for trans</w:t>
      </w:r>
      <w:r w:rsidR="001A6EDB" w:rsidRPr="006B24DA">
        <w:rPr>
          <w:rFonts w:ascii="Book Antiqua" w:eastAsia="Times New Roman" w:hAnsi="Book Antiqua" w:cs="Times New Roman"/>
          <w:bCs/>
          <w:color w:val="000000" w:themeColor="text1"/>
          <w:sz w:val="24"/>
          <w:szCs w:val="24"/>
        </w:rPr>
        <w:t>-</w:t>
      </w:r>
      <w:r w:rsidRPr="006B24DA">
        <w:rPr>
          <w:rFonts w:ascii="Book Antiqua" w:eastAsia="Times New Roman" w:hAnsi="Book Antiqua" w:cs="Times New Roman"/>
          <w:bCs/>
          <w:color w:val="000000" w:themeColor="text1"/>
          <w:sz w:val="24"/>
          <w:szCs w:val="24"/>
        </w:rPr>
        <w:t xml:space="preserve">oral incisionless fundoplication (TIF), using the </w:t>
      </w:r>
      <w:proofErr w:type="spellStart"/>
      <w:r w:rsidRPr="006B24DA">
        <w:rPr>
          <w:rFonts w:ascii="Book Antiqua" w:eastAsia="Times New Roman" w:hAnsi="Book Antiqua" w:cs="Times New Roman"/>
          <w:bCs/>
          <w:color w:val="000000" w:themeColor="text1"/>
          <w:sz w:val="24"/>
          <w:szCs w:val="24"/>
        </w:rPr>
        <w:t>Esophyx</w:t>
      </w:r>
      <w:proofErr w:type="spellEnd"/>
      <w:r w:rsidRPr="006B24DA">
        <w:rPr>
          <w:rFonts w:ascii="Book Antiqua" w:eastAsia="Times New Roman" w:hAnsi="Book Antiqua" w:cs="Times New Roman"/>
          <w:bCs/>
          <w:color w:val="000000" w:themeColor="text1"/>
          <w:sz w:val="24"/>
          <w:szCs w:val="24"/>
        </w:rPr>
        <w:t xml:space="preserve"> device </w:t>
      </w:r>
      <w:r w:rsidR="00B42F2F" w:rsidRPr="006B24DA">
        <w:rPr>
          <w:rFonts w:ascii="Book Antiqua" w:eastAsia="Times New Roman" w:hAnsi="Book Antiqua" w:cs="Times New Roman"/>
          <w:color w:val="000000" w:themeColor="text1"/>
          <w:sz w:val="24"/>
          <w:szCs w:val="24"/>
        </w:rPr>
        <w:t xml:space="preserve">(Figure </w:t>
      </w:r>
      <w:r w:rsidR="00727931" w:rsidRPr="006B24DA">
        <w:rPr>
          <w:rFonts w:ascii="Book Antiqua" w:eastAsia="Times New Roman" w:hAnsi="Book Antiqua" w:cs="Times New Roman"/>
          <w:color w:val="000000" w:themeColor="text1"/>
          <w:sz w:val="24"/>
          <w:szCs w:val="24"/>
        </w:rPr>
        <w:t>6</w:t>
      </w:r>
      <w:r w:rsidRPr="006B24DA">
        <w:rPr>
          <w:rFonts w:ascii="Book Antiqua" w:eastAsia="Times New Roman" w:hAnsi="Book Antiqua" w:cs="Times New Roman"/>
          <w:color w:val="000000" w:themeColor="text1"/>
          <w:sz w:val="24"/>
          <w:szCs w:val="24"/>
        </w:rPr>
        <w:t>)</w:t>
      </w:r>
      <w:r w:rsidRPr="006B24DA">
        <w:rPr>
          <w:rFonts w:ascii="Book Antiqua" w:eastAsia="Times New Roman" w:hAnsi="Book Antiqua" w:cs="Times New Roman"/>
          <w:bCs/>
          <w:color w:val="000000" w:themeColor="text1"/>
          <w:sz w:val="24"/>
          <w:szCs w:val="24"/>
        </w:rPr>
        <w:t xml:space="preserve">. There have been 3 recent </w:t>
      </w:r>
      <w:r w:rsidR="00B46B72" w:rsidRPr="006B24DA">
        <w:rPr>
          <w:rFonts w:ascii="Book Antiqua" w:eastAsia="Times New Roman" w:hAnsi="Book Antiqua" w:cs="Times New Roman"/>
          <w:bCs/>
          <w:color w:val="000000" w:themeColor="text1"/>
          <w:sz w:val="24"/>
          <w:szCs w:val="24"/>
        </w:rPr>
        <w:t xml:space="preserve">randomized control </w:t>
      </w:r>
      <w:r w:rsidRPr="006B24DA">
        <w:rPr>
          <w:rFonts w:ascii="Book Antiqua" w:eastAsia="Times New Roman" w:hAnsi="Book Antiqua" w:cs="Times New Roman"/>
          <w:bCs/>
          <w:color w:val="000000" w:themeColor="text1"/>
          <w:sz w:val="24"/>
          <w:szCs w:val="24"/>
        </w:rPr>
        <w:t xml:space="preserve">clinical trials using TIF 2.0, which employs the most advanced technique, similar to laparoscopic anti-reflux surgery. </w:t>
      </w:r>
      <w:r w:rsidRPr="006B24DA">
        <w:rPr>
          <w:rFonts w:ascii="Book Antiqua" w:hAnsi="Book Antiqua" w:cs="Times New Roman"/>
          <w:color w:val="000000" w:themeColor="text1"/>
          <w:sz w:val="24"/>
          <w:szCs w:val="24"/>
        </w:rPr>
        <w:t xml:space="preserve">The first, known as the TEMPO trial, consisted of 63 patients randomized to TIF (40 patients) </w:t>
      </w:r>
      <w:r w:rsidRPr="006B24DA">
        <w:rPr>
          <w:rFonts w:ascii="Book Antiqua" w:hAnsi="Book Antiqua" w:cs="Times New Roman"/>
          <w:i/>
          <w:color w:val="000000" w:themeColor="text1"/>
          <w:sz w:val="24"/>
          <w:szCs w:val="24"/>
        </w:rPr>
        <w:t>vs</w:t>
      </w:r>
      <w:r w:rsidRPr="006B24DA">
        <w:rPr>
          <w:rFonts w:ascii="Book Antiqua" w:hAnsi="Book Antiqua" w:cs="Times New Roman"/>
          <w:color w:val="000000" w:themeColor="text1"/>
          <w:sz w:val="24"/>
          <w:szCs w:val="24"/>
        </w:rPr>
        <w:t xml:space="preserve"> high dose PPI (23 patients</w:t>
      </w:r>
      <w:proofErr w:type="gramStart"/>
      <w:r w:rsidRPr="006B24DA">
        <w:rPr>
          <w:rFonts w:ascii="Book Antiqua" w:hAnsi="Book Antiqua" w:cs="Times New Roman"/>
          <w:color w:val="000000" w:themeColor="text1"/>
          <w:sz w:val="24"/>
          <w:szCs w:val="24"/>
        </w:rPr>
        <w:t>)</w:t>
      </w:r>
      <w:r w:rsidRPr="006B24DA">
        <w:rPr>
          <w:rFonts w:ascii="Book Antiqua" w:hAnsi="Book Antiqua" w:cs="Times New Roman"/>
          <w:noProof/>
          <w:color w:val="000000" w:themeColor="text1"/>
          <w:sz w:val="24"/>
          <w:szCs w:val="24"/>
          <w:vertAlign w:val="superscript"/>
        </w:rPr>
        <w:t>[</w:t>
      </w:r>
      <w:proofErr w:type="gramEnd"/>
      <w:r w:rsidRPr="006B24DA">
        <w:rPr>
          <w:rFonts w:ascii="Book Antiqua" w:hAnsi="Book Antiqua" w:cs="Times New Roman"/>
          <w:noProof/>
          <w:color w:val="000000" w:themeColor="text1"/>
          <w:sz w:val="24"/>
          <w:szCs w:val="24"/>
          <w:vertAlign w:val="superscript"/>
        </w:rPr>
        <w:t>14]</w:t>
      </w:r>
      <w:r w:rsidR="00D33133" w:rsidRPr="006B24DA">
        <w:rPr>
          <w:rFonts w:ascii="Book Antiqua" w:hAnsi="Book Antiqua" w:cs="Times New Roman"/>
          <w:color w:val="000000" w:themeColor="text1"/>
          <w:sz w:val="24"/>
          <w:szCs w:val="24"/>
        </w:rPr>
        <w:t xml:space="preserve">. </w:t>
      </w:r>
      <w:r w:rsidRPr="006B24DA">
        <w:rPr>
          <w:rFonts w:ascii="Book Antiqua" w:hAnsi="Book Antiqua" w:cs="Times New Roman"/>
          <w:color w:val="000000" w:themeColor="text1"/>
          <w:sz w:val="24"/>
          <w:szCs w:val="24"/>
        </w:rPr>
        <w:t xml:space="preserve">The primary outcome was elimination of daily troublesome regurgitation or </w:t>
      </w:r>
      <w:proofErr w:type="spellStart"/>
      <w:r w:rsidRPr="006B24DA">
        <w:rPr>
          <w:rFonts w:ascii="Book Antiqua" w:hAnsi="Book Antiqua" w:cs="Times New Roman"/>
          <w:color w:val="000000" w:themeColor="text1"/>
          <w:sz w:val="24"/>
          <w:szCs w:val="24"/>
        </w:rPr>
        <w:t>extraesophageal</w:t>
      </w:r>
      <w:proofErr w:type="spellEnd"/>
      <w:r w:rsidRPr="006B24DA">
        <w:rPr>
          <w:rFonts w:ascii="Book Antiqua" w:hAnsi="Book Antiqua" w:cs="Times New Roman"/>
          <w:color w:val="000000" w:themeColor="text1"/>
          <w:sz w:val="24"/>
          <w:szCs w:val="24"/>
        </w:rPr>
        <w:t xml:space="preserve"> symptoms. Secondary outcomes were normalization of esophageal acid exposure, PPI usage, and healing of esophagitis. At the 6-mo follow-up, troublesome regurgitation was eliminated in 97% of TIF patients versus 50% of PPI patients (RR = 1.9, 95%</w:t>
      </w:r>
      <w:r w:rsidR="00966E42" w:rsidRPr="006B24DA">
        <w:rPr>
          <w:rFonts w:ascii="Book Antiqua" w:hAnsi="Book Antiqua" w:cs="Times New Roman"/>
          <w:color w:val="000000" w:themeColor="text1"/>
          <w:sz w:val="24"/>
          <w:szCs w:val="24"/>
        </w:rPr>
        <w:t>CI</w:t>
      </w:r>
      <w:r w:rsidRPr="006B24DA">
        <w:rPr>
          <w:rFonts w:ascii="Book Antiqua" w:hAnsi="Book Antiqua" w:cs="Times New Roman"/>
          <w:color w:val="000000" w:themeColor="text1"/>
          <w:sz w:val="24"/>
          <w:szCs w:val="24"/>
        </w:rPr>
        <w:t xml:space="preserve">, </w:t>
      </w:r>
      <w:r w:rsidRPr="006B24DA">
        <w:rPr>
          <w:rFonts w:ascii="Book Antiqua" w:hAnsi="Book Antiqua" w:cs="Times New Roman"/>
          <w:i/>
          <w:iCs/>
          <w:color w:val="000000" w:themeColor="text1"/>
          <w:sz w:val="24"/>
          <w:szCs w:val="24"/>
        </w:rPr>
        <w:t>P</w:t>
      </w:r>
      <w:r w:rsidRPr="006B24DA">
        <w:rPr>
          <w:rFonts w:ascii="Book Antiqua" w:hAnsi="Book Antiqua" w:cs="Times New Roman"/>
          <w:color w:val="000000" w:themeColor="text1"/>
          <w:sz w:val="24"/>
          <w:szCs w:val="24"/>
        </w:rPr>
        <w:t xml:space="preserve"> = 0.006). Globally, 62% of TIF patients experienced elimination of regurgitation and </w:t>
      </w:r>
      <w:proofErr w:type="spellStart"/>
      <w:r w:rsidRPr="006B24DA">
        <w:rPr>
          <w:rFonts w:ascii="Book Antiqua" w:hAnsi="Book Antiqua" w:cs="Times New Roman"/>
          <w:color w:val="000000" w:themeColor="text1"/>
          <w:sz w:val="24"/>
          <w:szCs w:val="24"/>
        </w:rPr>
        <w:t>extraesophageal</w:t>
      </w:r>
      <w:proofErr w:type="spellEnd"/>
      <w:r w:rsidRPr="006B24DA">
        <w:rPr>
          <w:rFonts w:ascii="Book Antiqua" w:hAnsi="Book Antiqua" w:cs="Times New Roman"/>
          <w:color w:val="000000" w:themeColor="text1"/>
          <w:sz w:val="24"/>
          <w:szCs w:val="24"/>
        </w:rPr>
        <w:t xml:space="preserve"> symptoms versus 5% of PPI patients (RR </w:t>
      </w:r>
      <w:r w:rsidR="00966E42" w:rsidRPr="006B24DA">
        <w:rPr>
          <w:rFonts w:ascii="Book Antiqua" w:hAnsi="Book Antiqua" w:cs="Times New Roman"/>
          <w:color w:val="000000" w:themeColor="text1"/>
          <w:sz w:val="24"/>
          <w:szCs w:val="24"/>
        </w:rPr>
        <w:t xml:space="preserve">= </w:t>
      </w:r>
      <w:r w:rsidRPr="006B24DA">
        <w:rPr>
          <w:rFonts w:ascii="Book Antiqua" w:hAnsi="Book Antiqua" w:cs="Times New Roman"/>
          <w:color w:val="000000" w:themeColor="text1"/>
          <w:sz w:val="24"/>
          <w:szCs w:val="24"/>
        </w:rPr>
        <w:t>12.9, CI</w:t>
      </w:r>
      <w:r w:rsidR="00966E42" w:rsidRPr="006B24DA">
        <w:rPr>
          <w:rFonts w:ascii="Book Antiqua" w:hAnsi="Book Antiqua" w:cs="Times New Roman"/>
          <w:color w:val="000000" w:themeColor="text1"/>
          <w:sz w:val="24"/>
          <w:szCs w:val="24"/>
        </w:rPr>
        <w:t>:</w:t>
      </w:r>
      <w:r w:rsidRPr="006B24DA">
        <w:rPr>
          <w:rFonts w:ascii="Book Antiqua" w:hAnsi="Book Antiqua" w:cs="Times New Roman"/>
          <w:color w:val="000000" w:themeColor="text1"/>
          <w:sz w:val="24"/>
          <w:szCs w:val="24"/>
        </w:rPr>
        <w:t xml:space="preserve"> 1.9-88.9, </w:t>
      </w:r>
      <w:r w:rsidRPr="006B24DA">
        <w:rPr>
          <w:rFonts w:ascii="Book Antiqua" w:hAnsi="Book Antiqua" w:cs="Times New Roman"/>
          <w:i/>
          <w:iCs/>
          <w:color w:val="000000" w:themeColor="text1"/>
          <w:sz w:val="24"/>
          <w:szCs w:val="24"/>
        </w:rPr>
        <w:t>P</w:t>
      </w:r>
      <w:r w:rsidRPr="006B24DA">
        <w:rPr>
          <w:rFonts w:ascii="Book Antiqua" w:hAnsi="Book Antiqua" w:cs="Times New Roman"/>
          <w:color w:val="000000" w:themeColor="text1"/>
          <w:sz w:val="24"/>
          <w:szCs w:val="24"/>
        </w:rPr>
        <w:t xml:space="preserve"> = 0.009). Esophageal acid exposure was normalized in 54% of TIF patients versus 52% of </w:t>
      </w:r>
      <w:r w:rsidR="00966E42" w:rsidRPr="006B24DA">
        <w:rPr>
          <w:rFonts w:ascii="Book Antiqua" w:hAnsi="Book Antiqua" w:cs="Times New Roman"/>
          <w:color w:val="000000" w:themeColor="text1"/>
          <w:sz w:val="24"/>
          <w:szCs w:val="24"/>
        </w:rPr>
        <w:t>PPI patients (RR = 1.0, 95%CI:</w:t>
      </w:r>
      <w:r w:rsidRPr="006B24DA">
        <w:rPr>
          <w:rFonts w:ascii="Book Antiqua" w:hAnsi="Book Antiqua" w:cs="Times New Roman"/>
          <w:color w:val="000000" w:themeColor="text1"/>
          <w:sz w:val="24"/>
          <w:szCs w:val="24"/>
        </w:rPr>
        <w:t xml:space="preserve"> 0.6-1.7, </w:t>
      </w:r>
      <w:r w:rsidRPr="006B24DA">
        <w:rPr>
          <w:rFonts w:ascii="Book Antiqua" w:hAnsi="Book Antiqua" w:cs="Times New Roman"/>
          <w:i/>
          <w:iCs/>
          <w:color w:val="000000" w:themeColor="text1"/>
          <w:sz w:val="24"/>
          <w:szCs w:val="24"/>
        </w:rPr>
        <w:t>P</w:t>
      </w:r>
      <w:r w:rsidRPr="006B24DA">
        <w:rPr>
          <w:rFonts w:ascii="Book Antiqua" w:hAnsi="Book Antiqua" w:cs="Times New Roman"/>
          <w:color w:val="000000" w:themeColor="text1"/>
          <w:sz w:val="24"/>
          <w:szCs w:val="24"/>
        </w:rPr>
        <w:t xml:space="preserve"> = 0.914). 90% of TIF patients were off PPIs. The authors concluded that at the 6-mo follow-up, TIF was more effective than maximum standard dose PPI therapy in eliminating troublesome regurgitation and </w:t>
      </w:r>
      <w:proofErr w:type="spellStart"/>
      <w:r w:rsidRPr="006B24DA">
        <w:rPr>
          <w:rFonts w:ascii="Book Antiqua" w:hAnsi="Book Antiqua" w:cs="Times New Roman"/>
          <w:color w:val="000000" w:themeColor="text1"/>
          <w:sz w:val="24"/>
          <w:szCs w:val="24"/>
        </w:rPr>
        <w:t>extraesophageal</w:t>
      </w:r>
      <w:proofErr w:type="spellEnd"/>
      <w:r w:rsidRPr="006B24DA">
        <w:rPr>
          <w:rFonts w:ascii="Book Antiqua" w:hAnsi="Book Antiqua" w:cs="Times New Roman"/>
          <w:color w:val="000000" w:themeColor="text1"/>
          <w:sz w:val="24"/>
          <w:szCs w:val="24"/>
        </w:rPr>
        <w:t xml:space="preserve"> symptoms of GERD. The second clinical trial studying TIF 2.0 against PPIs was the RESPECT </w:t>
      </w:r>
      <w:proofErr w:type="gramStart"/>
      <w:r w:rsidRPr="006B24DA">
        <w:rPr>
          <w:rFonts w:ascii="Book Antiqua" w:hAnsi="Book Antiqua" w:cs="Times New Roman"/>
          <w:color w:val="000000" w:themeColor="text1"/>
          <w:sz w:val="24"/>
          <w:szCs w:val="24"/>
        </w:rPr>
        <w:t>trial</w:t>
      </w:r>
      <w:r w:rsidRPr="006B24DA">
        <w:rPr>
          <w:rFonts w:ascii="Book Antiqua" w:hAnsi="Book Antiqua" w:cs="Times New Roman"/>
          <w:noProof/>
          <w:color w:val="000000" w:themeColor="text1"/>
          <w:sz w:val="24"/>
          <w:szCs w:val="24"/>
          <w:vertAlign w:val="superscript"/>
        </w:rPr>
        <w:t>[</w:t>
      </w:r>
      <w:proofErr w:type="gramEnd"/>
      <w:r w:rsidRPr="006B24DA">
        <w:rPr>
          <w:rFonts w:ascii="Book Antiqua" w:hAnsi="Book Antiqua" w:cs="Times New Roman"/>
          <w:noProof/>
          <w:color w:val="000000" w:themeColor="text1"/>
          <w:sz w:val="24"/>
          <w:szCs w:val="24"/>
          <w:vertAlign w:val="superscript"/>
        </w:rPr>
        <w:t>15]</w:t>
      </w:r>
      <w:r w:rsidRPr="006B24DA">
        <w:rPr>
          <w:rFonts w:ascii="Book Antiqua" w:hAnsi="Book Antiqua" w:cs="Times New Roman"/>
          <w:color w:val="000000" w:themeColor="text1"/>
          <w:sz w:val="24"/>
          <w:szCs w:val="24"/>
        </w:rPr>
        <w:t xml:space="preserve">, which was </w:t>
      </w:r>
      <w:r w:rsidRPr="006B24DA">
        <w:rPr>
          <w:rFonts w:ascii="Book Antiqua" w:hAnsi="Book Antiqua" w:cs="Times New Roman"/>
          <w:color w:val="000000" w:themeColor="text1"/>
          <w:sz w:val="24"/>
          <w:szCs w:val="24"/>
        </w:rPr>
        <w:lastRenderedPageBreak/>
        <w:t xml:space="preserve">a prospective, sham-controlled trial to determine if TIF reduced troublesome regurgitation to a greater extent than PPIs in patients with GERD. 696 patients with troublesome regurgitation despite daily PPI with 3 validated GERD-specific symptom scales, on and off PPIs, were initially screened. 87 patients with GERD and hiatal hernias </w:t>
      </w:r>
      <w:r w:rsidR="00966E42" w:rsidRPr="006B24DA">
        <w:rPr>
          <w:rFonts w:ascii="Book Antiqua" w:hAnsi="Book Antiqua" w:cs="Times New Roman"/>
          <w:color w:val="000000" w:themeColor="text1"/>
          <w:sz w:val="24"/>
          <w:szCs w:val="24"/>
        </w:rPr>
        <w:t>≤</w:t>
      </w:r>
      <w:r w:rsidRPr="006B24DA">
        <w:rPr>
          <w:rFonts w:ascii="Book Antiqua" w:hAnsi="Book Antiqua" w:cs="Times New Roman"/>
          <w:color w:val="000000" w:themeColor="text1"/>
          <w:sz w:val="24"/>
          <w:szCs w:val="24"/>
        </w:rPr>
        <w:t xml:space="preserve"> 2 cm were randomly assigned to groups that underwent TIF and then received 6 </w:t>
      </w:r>
      <w:proofErr w:type="spellStart"/>
      <w:r w:rsidR="00A00023">
        <w:rPr>
          <w:rFonts w:ascii="Book Antiqua" w:hAnsi="Book Antiqua" w:cs="Times New Roman"/>
          <w:color w:val="000000" w:themeColor="text1"/>
          <w:sz w:val="24"/>
          <w:szCs w:val="24"/>
        </w:rPr>
        <w:t>mo</w:t>
      </w:r>
      <w:proofErr w:type="spellEnd"/>
      <w:r w:rsidRPr="006B24DA">
        <w:rPr>
          <w:rFonts w:ascii="Book Antiqua" w:hAnsi="Book Antiqua" w:cs="Times New Roman"/>
          <w:color w:val="000000" w:themeColor="text1"/>
          <w:sz w:val="24"/>
          <w:szCs w:val="24"/>
        </w:rPr>
        <w:t xml:space="preserve"> of placebo, or sham surgery and 6 </w:t>
      </w:r>
      <w:proofErr w:type="spellStart"/>
      <w:r w:rsidR="00A00023">
        <w:rPr>
          <w:rFonts w:ascii="Book Antiqua" w:hAnsi="Book Antiqua" w:cs="Times New Roman"/>
          <w:color w:val="000000" w:themeColor="text1"/>
          <w:sz w:val="24"/>
          <w:szCs w:val="24"/>
        </w:rPr>
        <w:t>mo</w:t>
      </w:r>
      <w:proofErr w:type="spellEnd"/>
      <w:r w:rsidRPr="006B24DA">
        <w:rPr>
          <w:rFonts w:ascii="Book Antiqua" w:hAnsi="Book Antiqua" w:cs="Times New Roman"/>
          <w:color w:val="000000" w:themeColor="text1"/>
          <w:sz w:val="24"/>
          <w:szCs w:val="24"/>
        </w:rPr>
        <w:t xml:space="preserve"> of once- or twice-daily omeprazole (controls, </w:t>
      </w:r>
      <w:r w:rsidRPr="006B24DA">
        <w:rPr>
          <w:rFonts w:ascii="Book Antiqua" w:hAnsi="Book Antiqua" w:cs="Times New Roman"/>
          <w:i/>
          <w:color w:val="000000" w:themeColor="text1"/>
          <w:sz w:val="24"/>
          <w:szCs w:val="24"/>
        </w:rPr>
        <w:t xml:space="preserve">n </w:t>
      </w:r>
      <w:r w:rsidRPr="006B24DA">
        <w:rPr>
          <w:rFonts w:ascii="Book Antiqua" w:hAnsi="Book Antiqua" w:cs="Times New Roman"/>
          <w:color w:val="000000" w:themeColor="text1"/>
          <w:sz w:val="24"/>
          <w:szCs w:val="24"/>
        </w:rPr>
        <w:t>= 42). Patients were blinded to therapy during the follow-up period and reassessed at 2, 12, and 26 w</w:t>
      </w:r>
      <w:r w:rsidR="00966E42" w:rsidRPr="006B24DA">
        <w:rPr>
          <w:rFonts w:ascii="Book Antiqua" w:hAnsi="Book Antiqua" w:cs="Times New Roman"/>
          <w:color w:val="000000" w:themeColor="text1"/>
          <w:sz w:val="24"/>
          <w:szCs w:val="24"/>
        </w:rPr>
        <w:t>k</w:t>
      </w:r>
      <w:r w:rsidRPr="006B24DA">
        <w:rPr>
          <w:rFonts w:ascii="Book Antiqua" w:hAnsi="Book Antiqua" w:cs="Times New Roman"/>
          <w:color w:val="000000" w:themeColor="text1"/>
          <w:sz w:val="24"/>
          <w:szCs w:val="24"/>
        </w:rPr>
        <w:t xml:space="preserve">. At 6 </w:t>
      </w:r>
      <w:proofErr w:type="spellStart"/>
      <w:proofErr w:type="gramStart"/>
      <w:r w:rsidR="00A00023">
        <w:rPr>
          <w:rFonts w:ascii="Book Antiqua" w:hAnsi="Book Antiqua" w:cs="Times New Roman"/>
          <w:color w:val="000000" w:themeColor="text1"/>
          <w:sz w:val="24"/>
          <w:szCs w:val="24"/>
        </w:rPr>
        <w:t>mo</w:t>
      </w:r>
      <w:proofErr w:type="spellEnd"/>
      <w:proofErr w:type="gramEnd"/>
      <w:r w:rsidRPr="006B24DA">
        <w:rPr>
          <w:rFonts w:ascii="Book Antiqua" w:hAnsi="Book Antiqua" w:cs="Times New Roman"/>
          <w:color w:val="000000" w:themeColor="text1"/>
          <w:sz w:val="24"/>
          <w:szCs w:val="24"/>
        </w:rPr>
        <w:t xml:space="preserve">, patients underwent 48-h esophageal pH monitoring and </w:t>
      </w:r>
      <w:proofErr w:type="spellStart"/>
      <w:r w:rsidRPr="006B24DA">
        <w:rPr>
          <w:rFonts w:ascii="Book Antiqua" w:hAnsi="Book Antiqua" w:cs="Times New Roman"/>
          <w:color w:val="000000" w:themeColor="text1"/>
          <w:sz w:val="24"/>
          <w:szCs w:val="24"/>
        </w:rPr>
        <w:t>esophagoduodenoscopy</w:t>
      </w:r>
      <w:proofErr w:type="spellEnd"/>
      <w:r w:rsidRPr="006B24DA">
        <w:rPr>
          <w:rFonts w:ascii="Book Antiqua" w:hAnsi="Book Antiqua" w:cs="Times New Roman"/>
          <w:color w:val="000000" w:themeColor="text1"/>
          <w:sz w:val="24"/>
          <w:szCs w:val="24"/>
        </w:rPr>
        <w:t>. By intention-to-treat analysis, TIF eliminated troublesome regurgitation in a larger proportion of patients (67%) than PPIs (45%) (</w:t>
      </w:r>
      <w:r w:rsidRPr="006B24DA">
        <w:rPr>
          <w:rFonts w:ascii="Book Antiqua" w:hAnsi="Book Antiqua" w:cs="Times New Roman"/>
          <w:i/>
          <w:color w:val="000000" w:themeColor="text1"/>
          <w:sz w:val="24"/>
          <w:szCs w:val="24"/>
        </w:rPr>
        <w:t>P</w:t>
      </w:r>
      <w:r w:rsidRPr="006B24DA">
        <w:rPr>
          <w:rFonts w:ascii="Book Antiqua" w:hAnsi="Book Antiqua" w:cs="Times New Roman"/>
          <w:color w:val="000000" w:themeColor="text1"/>
          <w:sz w:val="24"/>
          <w:szCs w:val="24"/>
        </w:rPr>
        <w:t xml:space="preserve"> = 0.023). A larger proportion of controls had no response at 3 </w:t>
      </w:r>
      <w:proofErr w:type="spellStart"/>
      <w:proofErr w:type="gramStart"/>
      <w:r w:rsidR="00A00023">
        <w:rPr>
          <w:rFonts w:ascii="Book Antiqua" w:hAnsi="Book Antiqua" w:cs="Times New Roman"/>
          <w:color w:val="000000" w:themeColor="text1"/>
          <w:sz w:val="24"/>
          <w:szCs w:val="24"/>
        </w:rPr>
        <w:t>mo</w:t>
      </w:r>
      <w:proofErr w:type="spellEnd"/>
      <w:proofErr w:type="gramEnd"/>
      <w:r w:rsidRPr="006B24DA">
        <w:rPr>
          <w:rFonts w:ascii="Book Antiqua" w:hAnsi="Book Antiqua" w:cs="Times New Roman"/>
          <w:color w:val="000000" w:themeColor="text1"/>
          <w:sz w:val="24"/>
          <w:szCs w:val="24"/>
        </w:rPr>
        <w:t xml:space="preserve"> (36%) than patients who received TIF (11%) (</w:t>
      </w:r>
      <w:r w:rsidRPr="006B24DA">
        <w:rPr>
          <w:rFonts w:ascii="Book Antiqua" w:hAnsi="Book Antiqua" w:cs="Times New Roman"/>
          <w:i/>
          <w:color w:val="000000" w:themeColor="text1"/>
          <w:sz w:val="24"/>
          <w:szCs w:val="24"/>
        </w:rPr>
        <w:t>P</w:t>
      </w:r>
      <w:r w:rsidRPr="006B24DA">
        <w:rPr>
          <w:rFonts w:ascii="Book Antiqua" w:hAnsi="Book Antiqua" w:cs="Times New Roman"/>
          <w:color w:val="000000" w:themeColor="text1"/>
          <w:sz w:val="24"/>
          <w:szCs w:val="24"/>
        </w:rPr>
        <w:t xml:space="preserve"> = 0.004). Control of esophageal pH improved after TIF (mean 9.3% before and 6.3% after; </w:t>
      </w:r>
      <w:r w:rsidRPr="006B24DA">
        <w:rPr>
          <w:rFonts w:ascii="Book Antiqua" w:hAnsi="Book Antiqua" w:cs="Times New Roman"/>
          <w:i/>
          <w:color w:val="000000" w:themeColor="text1"/>
          <w:sz w:val="24"/>
          <w:szCs w:val="24"/>
        </w:rPr>
        <w:t>P</w:t>
      </w:r>
      <w:r w:rsidRPr="006B24DA">
        <w:rPr>
          <w:rFonts w:ascii="Book Antiqua" w:hAnsi="Book Antiqua" w:cs="Times New Roman"/>
          <w:color w:val="000000" w:themeColor="text1"/>
          <w:sz w:val="24"/>
          <w:szCs w:val="24"/>
        </w:rPr>
        <w:t xml:space="preserve"> &lt; 0.001), but not after sham surgery (mean 8.6% before and 8.9% after). Patients from both groups who completed the protocol had similar reduction in GERD symptom scores. The authors concluded that TIF was an effective treatment for patients with GERD symptoms, particularly in those with persistent regurgitation despite PPI therapy, based on evaluation 6 </w:t>
      </w:r>
      <w:proofErr w:type="spellStart"/>
      <w:proofErr w:type="gramStart"/>
      <w:r w:rsidR="00A00023">
        <w:rPr>
          <w:rFonts w:ascii="Book Antiqua" w:hAnsi="Book Antiqua" w:cs="Times New Roman"/>
          <w:color w:val="000000" w:themeColor="text1"/>
          <w:sz w:val="24"/>
          <w:szCs w:val="24"/>
        </w:rPr>
        <w:t>mo</w:t>
      </w:r>
      <w:proofErr w:type="spellEnd"/>
      <w:proofErr w:type="gramEnd"/>
      <w:r w:rsidRPr="006B24DA">
        <w:rPr>
          <w:rFonts w:ascii="Book Antiqua" w:hAnsi="Book Antiqua" w:cs="Times New Roman"/>
          <w:color w:val="000000" w:themeColor="text1"/>
          <w:sz w:val="24"/>
          <w:szCs w:val="24"/>
        </w:rPr>
        <w:t xml:space="preserve"> after the procedure.</w:t>
      </w:r>
    </w:p>
    <w:p w14:paraId="015791D8" w14:textId="7206C86F" w:rsidR="006069DB" w:rsidRPr="006B24DA" w:rsidRDefault="00966E42" w:rsidP="007761C0">
      <w:pPr>
        <w:pStyle w:val="Body"/>
        <w:adjustRightInd w:val="0"/>
        <w:snapToGrid w:val="0"/>
        <w:spacing w:line="360" w:lineRule="auto"/>
        <w:jc w:val="both"/>
        <w:rPr>
          <w:rFonts w:ascii="Book Antiqua" w:hAnsi="Book Antiqua" w:cs="Times New Roman"/>
          <w:color w:val="000000" w:themeColor="text1"/>
          <w:sz w:val="24"/>
          <w:szCs w:val="24"/>
        </w:rPr>
      </w:pPr>
      <w:r w:rsidRPr="006B24DA">
        <w:rPr>
          <w:rFonts w:ascii="Book Antiqua" w:hAnsi="Book Antiqua" w:cs="Times New Roman"/>
          <w:color w:val="000000" w:themeColor="text1"/>
          <w:sz w:val="24"/>
          <w:szCs w:val="24"/>
        </w:rPr>
        <w:t xml:space="preserve">  </w:t>
      </w:r>
      <w:r w:rsidR="00E20495" w:rsidRPr="006B24DA">
        <w:rPr>
          <w:rFonts w:ascii="Book Antiqua" w:hAnsi="Book Antiqua" w:cs="Times New Roman"/>
          <w:color w:val="000000" w:themeColor="text1"/>
          <w:sz w:val="24"/>
          <w:szCs w:val="24"/>
        </w:rPr>
        <w:t xml:space="preserve">The third clinical trial performed in a European </w:t>
      </w:r>
      <w:proofErr w:type="gramStart"/>
      <w:r w:rsidR="00E20495" w:rsidRPr="006B24DA">
        <w:rPr>
          <w:rFonts w:ascii="Book Antiqua" w:hAnsi="Book Antiqua" w:cs="Times New Roman"/>
          <w:color w:val="000000" w:themeColor="text1"/>
          <w:sz w:val="24"/>
          <w:szCs w:val="24"/>
        </w:rPr>
        <w:t>study</w:t>
      </w:r>
      <w:r w:rsidR="00E20495" w:rsidRPr="006B24DA">
        <w:rPr>
          <w:rFonts w:ascii="Book Antiqua" w:hAnsi="Book Antiqua" w:cs="Times New Roman"/>
          <w:noProof/>
          <w:color w:val="000000" w:themeColor="text1"/>
          <w:sz w:val="24"/>
          <w:szCs w:val="24"/>
          <w:vertAlign w:val="superscript"/>
        </w:rPr>
        <w:t>[</w:t>
      </w:r>
      <w:proofErr w:type="gramEnd"/>
      <w:r w:rsidR="00E20495" w:rsidRPr="006B24DA">
        <w:rPr>
          <w:rFonts w:ascii="Book Antiqua" w:hAnsi="Book Antiqua" w:cs="Times New Roman"/>
          <w:noProof/>
          <w:color w:val="000000" w:themeColor="text1"/>
          <w:sz w:val="24"/>
          <w:szCs w:val="24"/>
          <w:vertAlign w:val="superscript"/>
        </w:rPr>
        <w:t>16]</w:t>
      </w:r>
      <w:r w:rsidR="00E20495" w:rsidRPr="006B24DA">
        <w:rPr>
          <w:rFonts w:ascii="Book Antiqua" w:hAnsi="Book Antiqua" w:cs="Times New Roman"/>
          <w:color w:val="000000" w:themeColor="text1"/>
          <w:sz w:val="24"/>
          <w:szCs w:val="24"/>
        </w:rPr>
        <w:t xml:space="preserve"> was a double-blind sham-controlled study in GERD patients wh</w:t>
      </w:r>
      <w:r w:rsidRPr="006B24DA">
        <w:rPr>
          <w:rFonts w:ascii="Book Antiqua" w:hAnsi="Book Antiqua" w:cs="Times New Roman"/>
          <w:color w:val="000000" w:themeColor="text1"/>
          <w:sz w:val="24"/>
          <w:szCs w:val="24"/>
        </w:rPr>
        <w:t>o were chronic PPI users. Forty-</w:t>
      </w:r>
      <w:r w:rsidR="00E20495" w:rsidRPr="006B24DA">
        <w:rPr>
          <w:rFonts w:ascii="Book Antiqua" w:hAnsi="Book Antiqua" w:cs="Times New Roman"/>
          <w:color w:val="000000" w:themeColor="text1"/>
          <w:sz w:val="24"/>
          <w:szCs w:val="24"/>
        </w:rPr>
        <w:t xml:space="preserve">four patients were randomized equally to 22 patients in each group. The primary effectiveness endpoint was the proportion of patients in clinical remission after 6-mo follow-up. Secondary outcomes were: PPI consumption, esophageal acid exposure, reduction in Quality of Life in Reflux and Dyspepsia and Gastrointestinal Symptom Rating Scale scores and healing of reflux esophagitis. Results showed that the time in remission after TIF procedure (197 d) was significantly longer compared to those submitted to the sham intervention (107 d), P &lt; 0.001. After 6 </w:t>
      </w:r>
      <w:proofErr w:type="spellStart"/>
      <w:r w:rsidR="00A00023">
        <w:rPr>
          <w:rFonts w:ascii="Book Antiqua" w:hAnsi="Book Antiqua" w:cs="Times New Roman"/>
          <w:color w:val="000000" w:themeColor="text1"/>
          <w:sz w:val="24"/>
          <w:szCs w:val="24"/>
        </w:rPr>
        <w:t>mo</w:t>
      </w:r>
      <w:proofErr w:type="spellEnd"/>
      <w:r w:rsidRPr="006B24DA">
        <w:rPr>
          <w:rFonts w:ascii="Book Antiqua" w:hAnsi="Book Antiqua" w:cs="Times New Roman"/>
          <w:color w:val="000000" w:themeColor="text1"/>
          <w:sz w:val="24"/>
          <w:szCs w:val="24"/>
        </w:rPr>
        <w:t>,</w:t>
      </w:r>
      <w:r w:rsidR="00E20495" w:rsidRPr="006B24DA">
        <w:rPr>
          <w:rFonts w:ascii="Book Antiqua" w:hAnsi="Book Antiqua" w:cs="Times New Roman"/>
          <w:color w:val="000000" w:themeColor="text1"/>
          <w:sz w:val="24"/>
          <w:szCs w:val="24"/>
        </w:rPr>
        <w:t xml:space="preserve"> 13/22 (59%) of the chronic GERD patients remained in clinical remission after TIF. A recent meta-</w:t>
      </w:r>
      <w:proofErr w:type="gramStart"/>
      <w:r w:rsidR="00E20495" w:rsidRPr="006B24DA">
        <w:rPr>
          <w:rFonts w:ascii="Book Antiqua" w:hAnsi="Book Antiqua" w:cs="Times New Roman"/>
          <w:color w:val="000000" w:themeColor="text1"/>
          <w:sz w:val="24"/>
          <w:szCs w:val="24"/>
        </w:rPr>
        <w:t>analysis</w:t>
      </w:r>
      <w:r w:rsidR="00E20495" w:rsidRPr="006B24DA">
        <w:rPr>
          <w:rFonts w:ascii="Book Antiqua" w:eastAsia="Times New Roman" w:hAnsi="Book Antiqua" w:cs="Times New Roman"/>
          <w:noProof/>
          <w:color w:val="000000" w:themeColor="text1"/>
          <w:sz w:val="24"/>
          <w:szCs w:val="24"/>
          <w:vertAlign w:val="superscript"/>
        </w:rPr>
        <w:t>[</w:t>
      </w:r>
      <w:proofErr w:type="gramEnd"/>
      <w:r w:rsidR="00E20495" w:rsidRPr="006B24DA">
        <w:rPr>
          <w:rFonts w:ascii="Book Antiqua" w:eastAsia="Times New Roman" w:hAnsi="Book Antiqua" w:cs="Times New Roman"/>
          <w:noProof/>
          <w:color w:val="000000" w:themeColor="text1"/>
          <w:sz w:val="24"/>
          <w:szCs w:val="24"/>
          <w:vertAlign w:val="superscript"/>
        </w:rPr>
        <w:t>17]</w:t>
      </w:r>
      <w:r w:rsidR="00E20495" w:rsidRPr="006B24DA">
        <w:rPr>
          <w:rFonts w:ascii="Book Antiqua" w:hAnsi="Book Antiqua" w:cs="Times New Roman"/>
          <w:color w:val="000000" w:themeColor="text1"/>
          <w:sz w:val="24"/>
          <w:szCs w:val="24"/>
        </w:rPr>
        <w:t xml:space="preserve"> was conducted using data only from these 3 randomized studies that assessed the TIF 2.0 procedure compared to a control. The purpose of the meta-analysis was to determine the efficacy </w:t>
      </w:r>
      <w:r w:rsidR="00E20495" w:rsidRPr="006B24DA">
        <w:rPr>
          <w:rFonts w:ascii="Book Antiqua" w:hAnsi="Book Antiqua" w:cs="Times New Roman"/>
          <w:color w:val="000000" w:themeColor="text1"/>
          <w:sz w:val="24"/>
          <w:szCs w:val="24"/>
        </w:rPr>
        <w:lastRenderedPageBreak/>
        <w:t xml:space="preserve">and long-term outcomes associated with performance of the TIF 2.0 procedure in patients with chronic long-term refractory GERD on optimized PPI therapy, including esophageal pH, PPI utilization and quality of life. Results from this meta-analysis, including data from 233 patients, demonstrated that TIF subjects at 3 years had improved esophageal pH, a decrease in PPI utilization, and improved quality of life. Recent publications are also showing favorable durability with long-term outcomes at 5 </w:t>
      </w:r>
      <w:proofErr w:type="gramStart"/>
      <w:r w:rsidR="00E20495" w:rsidRPr="006B24DA">
        <w:rPr>
          <w:rFonts w:ascii="Book Antiqua" w:hAnsi="Book Antiqua" w:cs="Times New Roman"/>
          <w:color w:val="000000" w:themeColor="text1"/>
          <w:sz w:val="24"/>
          <w:szCs w:val="24"/>
        </w:rPr>
        <w:t>years</w:t>
      </w:r>
      <w:r w:rsidRPr="006B24DA">
        <w:rPr>
          <w:rFonts w:ascii="Book Antiqua" w:hAnsi="Book Antiqua" w:cs="Times New Roman"/>
          <w:noProof/>
          <w:color w:val="000000" w:themeColor="text1"/>
          <w:sz w:val="24"/>
          <w:szCs w:val="24"/>
          <w:vertAlign w:val="superscript"/>
        </w:rPr>
        <w:t>[</w:t>
      </w:r>
      <w:proofErr w:type="gramEnd"/>
      <w:r w:rsidRPr="006B24DA">
        <w:rPr>
          <w:rFonts w:ascii="Book Antiqua" w:hAnsi="Book Antiqua" w:cs="Times New Roman"/>
          <w:noProof/>
          <w:color w:val="000000" w:themeColor="text1"/>
          <w:sz w:val="24"/>
          <w:szCs w:val="24"/>
          <w:vertAlign w:val="superscript"/>
        </w:rPr>
        <w:t>18,</w:t>
      </w:r>
      <w:r w:rsidR="00E20495" w:rsidRPr="006B24DA">
        <w:rPr>
          <w:rFonts w:ascii="Book Antiqua" w:hAnsi="Book Antiqua" w:cs="Times New Roman"/>
          <w:noProof/>
          <w:color w:val="000000" w:themeColor="text1"/>
          <w:sz w:val="24"/>
          <w:szCs w:val="24"/>
          <w:vertAlign w:val="superscript"/>
        </w:rPr>
        <w:t>19]</w:t>
      </w:r>
      <w:r w:rsidR="00E20495" w:rsidRPr="006B24DA">
        <w:rPr>
          <w:rFonts w:ascii="Book Antiqua" w:hAnsi="Book Antiqua" w:cs="Times New Roman"/>
          <w:color w:val="000000" w:themeColor="text1"/>
          <w:sz w:val="24"/>
          <w:szCs w:val="24"/>
        </w:rPr>
        <w:t xml:space="preserve"> and even preliminary data at 10 years</w:t>
      </w:r>
      <w:r w:rsidR="00E20495" w:rsidRPr="006B24DA">
        <w:rPr>
          <w:rFonts w:ascii="Book Antiqua" w:hAnsi="Book Antiqua" w:cs="Times New Roman"/>
          <w:noProof/>
          <w:color w:val="000000" w:themeColor="text1"/>
          <w:sz w:val="24"/>
          <w:szCs w:val="24"/>
          <w:vertAlign w:val="superscript"/>
        </w:rPr>
        <w:t>[20]</w:t>
      </w:r>
      <w:r w:rsidR="00E20495" w:rsidRPr="006B24DA">
        <w:rPr>
          <w:rFonts w:ascii="Book Antiqua" w:hAnsi="Book Antiqua" w:cs="Times New Roman"/>
          <w:color w:val="000000" w:themeColor="text1"/>
          <w:sz w:val="24"/>
          <w:szCs w:val="24"/>
        </w:rPr>
        <w:t>. The FDA has recently expanded the device label to include concomitant laparoscopic hernia repair with TIF in patients with hiatal hernia</w:t>
      </w:r>
      <w:r w:rsidR="00D33133" w:rsidRPr="006B24DA">
        <w:rPr>
          <w:rFonts w:ascii="Book Antiqua" w:hAnsi="Book Antiqua" w:cs="Times New Roman"/>
          <w:color w:val="000000" w:themeColor="text1"/>
          <w:sz w:val="24"/>
          <w:szCs w:val="24"/>
        </w:rPr>
        <w:t xml:space="preserve">s greater than 2 cm in height. </w:t>
      </w:r>
    </w:p>
    <w:p w14:paraId="3C876168" w14:textId="0E8A4C64" w:rsidR="00E20495" w:rsidRPr="006B24DA" w:rsidRDefault="00A00023" w:rsidP="007761C0">
      <w:pPr>
        <w:pStyle w:val="Body"/>
        <w:adjustRightInd w:val="0"/>
        <w:snapToGrid w:val="0"/>
        <w:spacing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t xml:space="preserve">  </w:t>
      </w:r>
      <w:r w:rsidR="00E20495" w:rsidRPr="006B24DA">
        <w:rPr>
          <w:rFonts w:ascii="Book Antiqua" w:hAnsi="Book Antiqua" w:cs="Times New Roman"/>
          <w:color w:val="000000" w:themeColor="text1"/>
          <w:sz w:val="24"/>
          <w:szCs w:val="24"/>
        </w:rPr>
        <w:t xml:space="preserve">Thus, with both </w:t>
      </w:r>
      <w:proofErr w:type="spellStart"/>
      <w:r w:rsidR="00E20495" w:rsidRPr="006B24DA">
        <w:rPr>
          <w:rFonts w:ascii="Book Antiqua" w:hAnsi="Book Antiqua" w:cs="Times New Roman"/>
          <w:color w:val="000000" w:themeColor="text1"/>
          <w:sz w:val="24"/>
          <w:szCs w:val="24"/>
        </w:rPr>
        <w:t>Stretta</w:t>
      </w:r>
      <w:proofErr w:type="spellEnd"/>
      <w:r w:rsidR="00E20495" w:rsidRPr="006B24DA">
        <w:rPr>
          <w:rFonts w:ascii="Book Antiqua" w:hAnsi="Book Antiqua" w:cs="Times New Roman"/>
          <w:color w:val="000000" w:themeColor="text1"/>
          <w:sz w:val="24"/>
          <w:szCs w:val="24"/>
        </w:rPr>
        <w:t xml:space="preserve"> and TIF showing level 1 data with durability, being FDA approved and commercially available, with category 1 CPT codes and reimbursement by many </w:t>
      </w:r>
      <w:proofErr w:type="spellStart"/>
      <w:r w:rsidR="00E20495" w:rsidRPr="006B24DA">
        <w:rPr>
          <w:rFonts w:ascii="Book Antiqua" w:hAnsi="Book Antiqua" w:cs="Times New Roman"/>
          <w:color w:val="000000" w:themeColor="text1"/>
          <w:sz w:val="24"/>
          <w:szCs w:val="24"/>
        </w:rPr>
        <w:t>payors</w:t>
      </w:r>
      <w:proofErr w:type="spellEnd"/>
      <w:r w:rsidR="00E20495" w:rsidRPr="006B24DA">
        <w:rPr>
          <w:rFonts w:ascii="Book Antiqua" w:hAnsi="Book Antiqua" w:cs="Times New Roman"/>
          <w:color w:val="000000" w:themeColor="text1"/>
          <w:sz w:val="24"/>
          <w:szCs w:val="24"/>
        </w:rPr>
        <w:t>, the endoscopic foregut surgery for GERD patients is now a reality. With the emergence of effective endoscopic treatment for GERD, and the simultaneous public concern over long-term PPI use, we have seen a dramatic</w:t>
      </w:r>
      <w:r w:rsidR="00D33133" w:rsidRPr="006B24DA">
        <w:rPr>
          <w:rFonts w:ascii="Book Antiqua" w:hAnsi="Book Antiqua" w:cs="Times New Roman"/>
          <w:color w:val="000000" w:themeColor="text1"/>
          <w:sz w:val="24"/>
          <w:szCs w:val="24"/>
        </w:rPr>
        <w:t xml:space="preserve"> growth in our GERD referrals. </w:t>
      </w:r>
      <w:r w:rsidR="00E20495" w:rsidRPr="006B24DA">
        <w:rPr>
          <w:rFonts w:ascii="Book Antiqua" w:hAnsi="Book Antiqua" w:cs="Times New Roman"/>
          <w:color w:val="000000" w:themeColor="text1"/>
          <w:sz w:val="24"/>
          <w:szCs w:val="24"/>
        </w:rPr>
        <w:t xml:space="preserve">To meet this growing demand, we recently established a Comprehensive Heartburn Center at the University </w:t>
      </w:r>
      <w:proofErr w:type="gramStart"/>
      <w:r w:rsidR="00E20495" w:rsidRPr="006B24DA">
        <w:rPr>
          <w:rFonts w:ascii="Book Antiqua" w:hAnsi="Book Antiqua" w:cs="Times New Roman"/>
          <w:color w:val="000000" w:themeColor="text1"/>
          <w:sz w:val="24"/>
          <w:szCs w:val="24"/>
        </w:rPr>
        <w:t>of</w:t>
      </w:r>
      <w:proofErr w:type="gramEnd"/>
      <w:r w:rsidR="00E20495" w:rsidRPr="006B24DA">
        <w:rPr>
          <w:rFonts w:ascii="Book Antiqua" w:hAnsi="Book Antiqua" w:cs="Times New Roman"/>
          <w:color w:val="000000" w:themeColor="text1"/>
          <w:sz w:val="24"/>
          <w:szCs w:val="24"/>
        </w:rPr>
        <w:t xml:space="preserve"> California</w:t>
      </w:r>
      <w:r w:rsidR="006069DB" w:rsidRPr="006B24DA">
        <w:rPr>
          <w:rFonts w:ascii="Book Antiqua" w:hAnsi="Book Antiqua" w:cs="Times New Roman"/>
          <w:color w:val="000000" w:themeColor="text1"/>
          <w:sz w:val="24"/>
          <w:szCs w:val="24"/>
        </w:rPr>
        <w:t xml:space="preserve"> </w:t>
      </w:r>
      <w:r w:rsidR="00E20495" w:rsidRPr="006B24DA">
        <w:rPr>
          <w:rFonts w:ascii="Book Antiqua" w:hAnsi="Book Antiqua" w:cs="Times New Roman"/>
          <w:color w:val="000000" w:themeColor="text1"/>
          <w:sz w:val="24"/>
          <w:szCs w:val="24"/>
        </w:rPr>
        <w:t>Irvine Medical Center, which allows patients easy access to medical, endoscopic and surgical options under a one-stop-shop individualized a</w:t>
      </w:r>
      <w:r w:rsidR="00D33133" w:rsidRPr="006B24DA">
        <w:rPr>
          <w:rFonts w:ascii="Book Antiqua" w:hAnsi="Book Antiqua" w:cs="Times New Roman"/>
          <w:color w:val="000000" w:themeColor="text1"/>
          <w:sz w:val="24"/>
          <w:szCs w:val="24"/>
        </w:rPr>
        <w:t xml:space="preserve">pproach to patients with GERD. </w:t>
      </w:r>
    </w:p>
    <w:p w14:paraId="30B0B83C" w14:textId="77777777" w:rsidR="00E20495" w:rsidRPr="006B24DA" w:rsidRDefault="00E20495" w:rsidP="007761C0">
      <w:pPr>
        <w:pStyle w:val="Body"/>
        <w:adjustRightInd w:val="0"/>
        <w:snapToGrid w:val="0"/>
        <w:spacing w:line="360" w:lineRule="auto"/>
        <w:jc w:val="both"/>
        <w:rPr>
          <w:rFonts w:ascii="Book Antiqua" w:hAnsi="Book Antiqua" w:cs="Times New Roman"/>
          <w:color w:val="000000" w:themeColor="text1"/>
          <w:sz w:val="24"/>
          <w:szCs w:val="24"/>
        </w:rPr>
      </w:pPr>
    </w:p>
    <w:p w14:paraId="6182F7C2" w14:textId="77777777" w:rsidR="00966E42" w:rsidRPr="006B24DA" w:rsidRDefault="00E20495" w:rsidP="007761C0">
      <w:pPr>
        <w:pStyle w:val="Body"/>
        <w:adjustRightInd w:val="0"/>
        <w:snapToGrid w:val="0"/>
        <w:spacing w:line="360" w:lineRule="auto"/>
        <w:jc w:val="both"/>
        <w:rPr>
          <w:rFonts w:ascii="Book Antiqua" w:hAnsi="Book Antiqua" w:cs="Times New Roman"/>
          <w:b/>
          <w:bCs/>
          <w:i/>
          <w:color w:val="000000" w:themeColor="text1"/>
          <w:sz w:val="24"/>
          <w:szCs w:val="24"/>
        </w:rPr>
      </w:pPr>
      <w:r w:rsidRPr="006B24DA">
        <w:rPr>
          <w:rFonts w:ascii="Book Antiqua" w:hAnsi="Book Antiqua" w:cs="Times New Roman"/>
          <w:b/>
          <w:bCs/>
          <w:i/>
          <w:color w:val="000000" w:themeColor="text1"/>
          <w:sz w:val="24"/>
          <w:szCs w:val="24"/>
        </w:rPr>
        <w:t>T</w:t>
      </w:r>
      <w:r w:rsidR="00966E42" w:rsidRPr="006B24DA">
        <w:rPr>
          <w:rFonts w:ascii="Book Antiqua" w:hAnsi="Book Antiqua" w:cs="Times New Roman"/>
          <w:b/>
          <w:bCs/>
          <w:i/>
          <w:color w:val="000000" w:themeColor="text1"/>
          <w:sz w:val="24"/>
          <w:szCs w:val="24"/>
        </w:rPr>
        <w:t>echnical considerations for TIF</w:t>
      </w:r>
    </w:p>
    <w:p w14:paraId="0698AD64" w14:textId="1C284C00" w:rsidR="00E20495" w:rsidRPr="006B24DA" w:rsidRDefault="00E20495" w:rsidP="007761C0">
      <w:pPr>
        <w:pStyle w:val="Body"/>
        <w:adjustRightInd w:val="0"/>
        <w:snapToGrid w:val="0"/>
        <w:spacing w:line="360" w:lineRule="auto"/>
        <w:jc w:val="both"/>
        <w:rPr>
          <w:rFonts w:ascii="Book Antiqua" w:hAnsi="Book Antiqua" w:cs="Times New Roman"/>
          <w:color w:val="000000" w:themeColor="text1"/>
          <w:sz w:val="24"/>
          <w:szCs w:val="24"/>
        </w:rPr>
      </w:pPr>
      <w:r w:rsidRPr="006B24DA">
        <w:rPr>
          <w:rFonts w:ascii="Book Antiqua" w:hAnsi="Book Antiqua" w:cs="Times New Roman"/>
          <w:color w:val="000000" w:themeColor="text1"/>
          <w:sz w:val="24"/>
          <w:szCs w:val="24"/>
        </w:rPr>
        <w:t xml:space="preserve">The </w:t>
      </w:r>
      <w:proofErr w:type="spellStart"/>
      <w:r w:rsidRPr="006B24DA">
        <w:rPr>
          <w:rFonts w:ascii="Book Antiqua" w:hAnsi="Book Antiqua" w:cs="Times New Roman"/>
          <w:color w:val="000000" w:themeColor="text1"/>
          <w:sz w:val="24"/>
          <w:szCs w:val="24"/>
        </w:rPr>
        <w:t>EsophyX</w:t>
      </w:r>
      <w:r w:rsidRPr="006B24DA">
        <w:rPr>
          <w:rFonts w:ascii="Book Antiqua" w:hAnsi="Book Antiqua" w:cs="Times New Roman"/>
          <w:color w:val="000000" w:themeColor="text1"/>
          <w:sz w:val="24"/>
          <w:szCs w:val="24"/>
          <w:vertAlign w:val="superscript"/>
        </w:rPr>
        <w:t>TM</w:t>
      </w:r>
      <w:proofErr w:type="spellEnd"/>
      <w:r w:rsidRPr="006B24DA">
        <w:rPr>
          <w:rFonts w:ascii="Book Antiqua" w:hAnsi="Book Antiqua" w:cs="Times New Roman"/>
          <w:color w:val="000000" w:themeColor="text1"/>
          <w:sz w:val="24"/>
          <w:szCs w:val="24"/>
        </w:rPr>
        <w:t xml:space="preserve"> device </w:t>
      </w:r>
      <w:r w:rsidR="00B42F2F" w:rsidRPr="006B24DA">
        <w:rPr>
          <w:rFonts w:ascii="Book Antiqua" w:hAnsi="Book Antiqua" w:cs="Times New Roman"/>
          <w:bCs/>
          <w:color w:val="000000" w:themeColor="text1"/>
          <w:sz w:val="24"/>
          <w:szCs w:val="24"/>
        </w:rPr>
        <w:t>(Figure 5</w:t>
      </w:r>
      <w:r w:rsidRPr="006B24DA">
        <w:rPr>
          <w:rFonts w:ascii="Book Antiqua" w:hAnsi="Book Antiqua" w:cs="Times New Roman"/>
          <w:bCs/>
          <w:color w:val="000000" w:themeColor="text1"/>
          <w:sz w:val="24"/>
          <w:szCs w:val="24"/>
        </w:rPr>
        <w:t>)</w:t>
      </w:r>
      <w:r w:rsidRPr="006B24DA">
        <w:rPr>
          <w:rFonts w:ascii="Book Antiqua" w:hAnsi="Book Antiqua" w:cs="Times New Roman"/>
          <w:color w:val="000000" w:themeColor="text1"/>
          <w:sz w:val="24"/>
          <w:szCs w:val="24"/>
        </w:rPr>
        <w:t xml:space="preserve"> is composed of the following: a handle with controls; an 18 mm diameter frame through which control channels can run and a standard front-view 9 mm diameter endoscope can be introduced; the tissue invaginator, which consists of side holes stationed on the distal part of the frame, and to which external suction can be applied; the tissue mold, which pushes tissue against the shaft of the device; a helical screw, which is advanced into the tissue and allowed for the retraction of the tissue between the tissue mold and the shaft; two stylets, which puncture the </w:t>
      </w:r>
      <w:proofErr w:type="spellStart"/>
      <w:r w:rsidRPr="006B24DA">
        <w:rPr>
          <w:rFonts w:ascii="Book Antiqua" w:hAnsi="Book Antiqua" w:cs="Times New Roman"/>
          <w:color w:val="000000" w:themeColor="text1"/>
          <w:sz w:val="24"/>
          <w:szCs w:val="24"/>
        </w:rPr>
        <w:t>plicated</w:t>
      </w:r>
      <w:proofErr w:type="spellEnd"/>
      <w:r w:rsidRPr="006B24DA">
        <w:rPr>
          <w:rFonts w:ascii="Book Antiqua" w:hAnsi="Book Antiqua" w:cs="Times New Roman"/>
          <w:color w:val="000000" w:themeColor="text1"/>
          <w:sz w:val="24"/>
          <w:szCs w:val="24"/>
        </w:rPr>
        <w:t xml:space="preserve"> tissue and tissue mold, and over which polypropylene H-shaped fasteners can be deployed; and a cartridge, which holds 20 fasteners. In the TIF2 technique, the device </w:t>
      </w:r>
      <w:r w:rsidRPr="006B24DA">
        <w:rPr>
          <w:rFonts w:ascii="Book Antiqua" w:hAnsi="Book Antiqua" w:cs="Times New Roman"/>
          <w:color w:val="000000" w:themeColor="text1"/>
          <w:sz w:val="24"/>
          <w:szCs w:val="24"/>
        </w:rPr>
        <w:lastRenderedPageBreak/>
        <w:t>is introduced over the endoscope and into the stomach, and CO</w:t>
      </w:r>
      <w:r w:rsidRPr="006B24DA">
        <w:rPr>
          <w:rFonts w:ascii="Book Antiqua" w:hAnsi="Book Antiqua" w:cs="Times New Roman"/>
          <w:color w:val="000000" w:themeColor="text1"/>
          <w:sz w:val="24"/>
          <w:szCs w:val="24"/>
          <w:vertAlign w:val="subscript"/>
        </w:rPr>
        <w:t>2</w:t>
      </w:r>
      <w:r w:rsidRPr="006B24DA">
        <w:rPr>
          <w:rFonts w:ascii="Book Antiqua" w:hAnsi="Book Antiqua" w:cs="Times New Roman"/>
          <w:color w:val="000000" w:themeColor="text1"/>
          <w:sz w:val="24"/>
          <w:szCs w:val="24"/>
        </w:rPr>
        <w:t xml:space="preserve"> is used to insufflate the gastric cavity </w:t>
      </w:r>
      <w:r w:rsidR="00B42F2F" w:rsidRPr="006B24DA">
        <w:rPr>
          <w:rFonts w:ascii="Book Antiqua" w:hAnsi="Book Antiqua" w:cs="Times New Roman"/>
          <w:bCs/>
          <w:color w:val="000000" w:themeColor="text1"/>
          <w:sz w:val="24"/>
          <w:szCs w:val="24"/>
        </w:rPr>
        <w:t>(Figure 6</w:t>
      </w:r>
      <w:r w:rsidRPr="006B24DA">
        <w:rPr>
          <w:rFonts w:ascii="Book Antiqua" w:hAnsi="Book Antiqua" w:cs="Times New Roman"/>
          <w:bCs/>
          <w:color w:val="000000" w:themeColor="text1"/>
          <w:sz w:val="24"/>
          <w:szCs w:val="24"/>
        </w:rPr>
        <w:t>A-G)</w:t>
      </w:r>
      <w:r w:rsidRPr="006B24DA">
        <w:rPr>
          <w:rFonts w:ascii="Book Antiqua" w:hAnsi="Book Antiqua" w:cs="Times New Roman"/>
          <w:color w:val="000000" w:themeColor="text1"/>
          <w:sz w:val="24"/>
          <w:szCs w:val="24"/>
        </w:rPr>
        <w:t xml:space="preserve">. The endoscope is positioned in </w:t>
      </w:r>
      <w:proofErr w:type="spellStart"/>
      <w:r w:rsidRPr="006B24DA">
        <w:rPr>
          <w:rFonts w:ascii="Book Antiqua" w:hAnsi="Book Antiqua" w:cs="Times New Roman"/>
          <w:color w:val="000000" w:themeColor="text1"/>
          <w:sz w:val="24"/>
          <w:szCs w:val="24"/>
        </w:rPr>
        <w:t>retroflexion</w:t>
      </w:r>
      <w:proofErr w:type="spellEnd"/>
      <w:r w:rsidRPr="006B24DA">
        <w:rPr>
          <w:rFonts w:ascii="Book Antiqua" w:hAnsi="Book Antiqua" w:cs="Times New Roman"/>
          <w:color w:val="000000" w:themeColor="text1"/>
          <w:sz w:val="24"/>
          <w:szCs w:val="24"/>
        </w:rPr>
        <w:t>, and the lesser curve and the greater curve are located at 12 and 6 o’clock positions</w:t>
      </w:r>
      <w:r w:rsidR="006069DB" w:rsidRPr="006B24DA">
        <w:rPr>
          <w:rFonts w:ascii="Book Antiqua" w:hAnsi="Book Antiqua" w:cs="Times New Roman"/>
          <w:color w:val="000000" w:themeColor="text1"/>
          <w:sz w:val="24"/>
          <w:szCs w:val="24"/>
        </w:rPr>
        <w:t>, respectively</w:t>
      </w:r>
      <w:r w:rsidRPr="006B24DA">
        <w:rPr>
          <w:rFonts w:ascii="Book Antiqua" w:hAnsi="Book Antiqua" w:cs="Times New Roman"/>
          <w:color w:val="000000" w:themeColor="text1"/>
          <w:sz w:val="24"/>
          <w:szCs w:val="24"/>
        </w:rPr>
        <w:t>. The tissue mold is retroflexed, closed against the device, rotated to 11 (posterior,</w:t>
      </w:r>
      <w:r w:rsidR="00B42F2F" w:rsidRPr="006B24DA">
        <w:rPr>
          <w:rFonts w:ascii="Book Antiqua" w:hAnsi="Book Antiqua" w:cs="Times New Roman"/>
          <w:bCs/>
          <w:color w:val="000000" w:themeColor="text1"/>
          <w:sz w:val="24"/>
          <w:szCs w:val="24"/>
        </w:rPr>
        <w:t xml:space="preserve"> Figure 6</w:t>
      </w:r>
      <w:r w:rsidRPr="006B24DA">
        <w:rPr>
          <w:rFonts w:ascii="Book Antiqua" w:hAnsi="Book Antiqua" w:cs="Times New Roman"/>
          <w:bCs/>
          <w:color w:val="000000" w:themeColor="text1"/>
          <w:sz w:val="24"/>
          <w:szCs w:val="24"/>
        </w:rPr>
        <w:t>D</w:t>
      </w:r>
      <w:r w:rsidRPr="006B24DA">
        <w:rPr>
          <w:rFonts w:ascii="Book Antiqua" w:hAnsi="Book Antiqua" w:cs="Times New Roman"/>
          <w:color w:val="000000" w:themeColor="text1"/>
          <w:sz w:val="24"/>
          <w:szCs w:val="24"/>
        </w:rPr>
        <w:t xml:space="preserve">), and withdrawn such that the tip may be located at the </w:t>
      </w:r>
      <w:r w:rsidR="00B27D0F" w:rsidRPr="006B24DA">
        <w:rPr>
          <w:rFonts w:ascii="Book Antiqua" w:hAnsi="Book Antiqua" w:cs="Times New Roman"/>
          <w:color w:val="000000" w:themeColor="text1"/>
          <w:sz w:val="24"/>
          <w:szCs w:val="24"/>
        </w:rPr>
        <w:t>EGJ</w:t>
      </w:r>
      <w:r w:rsidRPr="006B24DA">
        <w:rPr>
          <w:rFonts w:ascii="Book Antiqua" w:hAnsi="Book Antiqua" w:cs="Times New Roman"/>
          <w:color w:val="000000" w:themeColor="text1"/>
          <w:sz w:val="24"/>
          <w:szCs w:val="24"/>
        </w:rPr>
        <w:t xml:space="preserve">. Once this is accomplished, the helical screw is advanced to engage tissue just below the </w:t>
      </w:r>
      <w:proofErr w:type="spellStart"/>
      <w:r w:rsidRPr="006B24DA">
        <w:rPr>
          <w:rFonts w:ascii="Book Antiqua" w:hAnsi="Book Antiqua" w:cs="Times New Roman"/>
          <w:color w:val="000000" w:themeColor="text1"/>
          <w:sz w:val="24"/>
          <w:szCs w:val="24"/>
        </w:rPr>
        <w:t>squamocolumnar</w:t>
      </w:r>
      <w:proofErr w:type="spellEnd"/>
      <w:r w:rsidRPr="006B24DA">
        <w:rPr>
          <w:rFonts w:ascii="Book Antiqua" w:hAnsi="Book Antiqua" w:cs="Times New Roman"/>
          <w:color w:val="000000" w:themeColor="text1"/>
          <w:sz w:val="24"/>
          <w:szCs w:val="24"/>
        </w:rPr>
        <w:t xml:space="preserve"> junction. Traction is then applied to allow the gastric cardia and distal esophagus to slide downward into the tissue mold. Plication is then achieved by deploying multiple H-shaped fasteners while rotating the tissue mold such that it slides the stomach over the esophagus. This results in a circumferential tightening of the newly-created valve &gt; 240</w:t>
      </w:r>
      <w:r w:rsidR="006069DB" w:rsidRPr="006B24DA">
        <w:rPr>
          <w:rFonts w:ascii="Book Antiqua" w:hAnsi="Book Antiqua" w:cs="Times New Roman"/>
          <w:color w:val="000000" w:themeColor="text1"/>
          <w:sz w:val="24"/>
          <w:szCs w:val="24"/>
        </w:rPr>
        <w:t xml:space="preserve"> degrees</w:t>
      </w:r>
      <w:r w:rsidRPr="006B24DA">
        <w:rPr>
          <w:rFonts w:ascii="Book Antiqua" w:hAnsi="Book Antiqua" w:cs="Times New Roman"/>
          <w:color w:val="000000" w:themeColor="text1"/>
          <w:sz w:val="24"/>
          <w:szCs w:val="24"/>
        </w:rPr>
        <w:t xml:space="preserve">. Twenty fasteners over ten plications are necessary to construct an adequate gastroesophageal valve (3 plications in each of the posterior and anterior corners, and 4 plications on the greater curve). The mechanism of action of the TIF procedure in many ways mirrors that of the Laparoscopic Anti-reflux surgery </w:t>
      </w:r>
      <w:proofErr w:type="spellStart"/>
      <w:r w:rsidRPr="006B24DA">
        <w:rPr>
          <w:rFonts w:ascii="Book Antiqua" w:hAnsi="Book Antiqua" w:cs="Times New Roman"/>
          <w:color w:val="000000" w:themeColor="text1"/>
          <w:sz w:val="24"/>
          <w:szCs w:val="24"/>
        </w:rPr>
        <w:t>Nissen</w:t>
      </w:r>
      <w:proofErr w:type="spellEnd"/>
      <w:r w:rsidRPr="006B24DA">
        <w:rPr>
          <w:rFonts w:ascii="Book Antiqua" w:hAnsi="Book Antiqua" w:cs="Times New Roman"/>
          <w:color w:val="000000" w:themeColor="text1"/>
          <w:sz w:val="24"/>
          <w:szCs w:val="24"/>
        </w:rPr>
        <w:t xml:space="preserve"> (LARS</w:t>
      </w:r>
      <w:proofErr w:type="gramStart"/>
      <w:r w:rsidRPr="006B24DA">
        <w:rPr>
          <w:rFonts w:ascii="Book Antiqua" w:hAnsi="Book Antiqua" w:cs="Times New Roman"/>
          <w:color w:val="000000" w:themeColor="text1"/>
          <w:sz w:val="24"/>
          <w:szCs w:val="24"/>
        </w:rPr>
        <w:t>)</w:t>
      </w:r>
      <w:r w:rsidRPr="006B24DA">
        <w:rPr>
          <w:rFonts w:ascii="Book Antiqua" w:hAnsi="Book Antiqua" w:cs="Times New Roman"/>
          <w:noProof/>
          <w:color w:val="000000" w:themeColor="text1"/>
          <w:sz w:val="24"/>
          <w:szCs w:val="24"/>
          <w:vertAlign w:val="superscript"/>
        </w:rPr>
        <w:t>[</w:t>
      </w:r>
      <w:proofErr w:type="gramEnd"/>
      <w:r w:rsidRPr="006B24DA">
        <w:rPr>
          <w:rFonts w:ascii="Book Antiqua" w:hAnsi="Book Antiqua" w:cs="Times New Roman"/>
          <w:noProof/>
          <w:color w:val="000000" w:themeColor="text1"/>
          <w:sz w:val="24"/>
          <w:szCs w:val="24"/>
          <w:vertAlign w:val="superscript"/>
        </w:rPr>
        <w:t>21]</w:t>
      </w:r>
      <w:r w:rsidR="00966E42" w:rsidRPr="006B24DA">
        <w:rPr>
          <w:rFonts w:ascii="Book Antiqua" w:hAnsi="Book Antiqua" w:cs="Times New Roman"/>
          <w:color w:val="000000" w:themeColor="text1"/>
          <w:sz w:val="24"/>
          <w:szCs w:val="24"/>
        </w:rPr>
        <w:t xml:space="preserve">. </w:t>
      </w:r>
      <w:r w:rsidRPr="006B24DA">
        <w:rPr>
          <w:rFonts w:ascii="Book Antiqua" w:hAnsi="Book Antiqua" w:cs="Times New Roman"/>
          <w:color w:val="000000" w:themeColor="text1"/>
          <w:sz w:val="24"/>
          <w:szCs w:val="24"/>
        </w:rPr>
        <w:t xml:space="preserve">One paper, published by </w:t>
      </w:r>
      <w:proofErr w:type="spellStart"/>
      <w:r w:rsidRPr="006B24DA">
        <w:rPr>
          <w:rFonts w:ascii="Book Antiqua" w:hAnsi="Book Antiqua" w:cs="Times New Roman"/>
          <w:color w:val="000000" w:themeColor="text1"/>
          <w:sz w:val="24"/>
          <w:szCs w:val="24"/>
        </w:rPr>
        <w:t>Rinsma</w:t>
      </w:r>
      <w:proofErr w:type="spellEnd"/>
      <w:r w:rsidRPr="006B24DA">
        <w:rPr>
          <w:rFonts w:ascii="Book Antiqua" w:hAnsi="Book Antiqua" w:cs="Times New Roman"/>
          <w:color w:val="000000" w:themeColor="text1"/>
          <w:sz w:val="24"/>
          <w:szCs w:val="24"/>
        </w:rPr>
        <w:t xml:space="preserve"> </w:t>
      </w:r>
      <w:r w:rsidRPr="006B24DA">
        <w:rPr>
          <w:rFonts w:ascii="Book Antiqua" w:hAnsi="Book Antiqua" w:cs="Times New Roman"/>
          <w:i/>
          <w:iCs/>
          <w:color w:val="000000" w:themeColor="text1"/>
          <w:sz w:val="24"/>
          <w:szCs w:val="24"/>
        </w:rPr>
        <w:t xml:space="preserve">et </w:t>
      </w:r>
      <w:proofErr w:type="gramStart"/>
      <w:r w:rsidRPr="006B24DA">
        <w:rPr>
          <w:rFonts w:ascii="Book Antiqua" w:hAnsi="Book Antiqua" w:cs="Times New Roman"/>
          <w:i/>
          <w:iCs/>
          <w:color w:val="000000" w:themeColor="text1"/>
          <w:sz w:val="24"/>
          <w:szCs w:val="24"/>
        </w:rPr>
        <w:t>al</w:t>
      </w:r>
      <w:r w:rsidRPr="006B24DA">
        <w:rPr>
          <w:rFonts w:ascii="Book Antiqua" w:hAnsi="Book Antiqua" w:cs="Times New Roman"/>
          <w:noProof/>
          <w:color w:val="000000" w:themeColor="text1"/>
          <w:sz w:val="24"/>
          <w:szCs w:val="24"/>
          <w:vertAlign w:val="superscript"/>
        </w:rPr>
        <w:t>[</w:t>
      </w:r>
      <w:proofErr w:type="gramEnd"/>
      <w:r w:rsidRPr="006B24DA">
        <w:rPr>
          <w:rFonts w:ascii="Book Antiqua" w:hAnsi="Book Antiqua" w:cs="Times New Roman"/>
          <w:noProof/>
          <w:color w:val="000000" w:themeColor="text1"/>
          <w:sz w:val="24"/>
          <w:szCs w:val="24"/>
          <w:vertAlign w:val="superscript"/>
        </w:rPr>
        <w:t>22]</w:t>
      </w:r>
      <w:r w:rsidRPr="006B24DA">
        <w:rPr>
          <w:rFonts w:ascii="Book Antiqua" w:hAnsi="Book Antiqua" w:cs="Times New Roman"/>
          <w:color w:val="000000" w:themeColor="text1"/>
          <w:sz w:val="24"/>
          <w:szCs w:val="24"/>
        </w:rPr>
        <w:t xml:space="preserve"> characterizes such mechanisms. In their study involving fifteen patients, they performed 90-min postprandial combined with high-resolution manometry and impedance-pH monitoring followed by an ambulatory 24-h pH-impedance monitoring. EGJ </w:t>
      </w:r>
      <w:proofErr w:type="spellStart"/>
      <w:r w:rsidRPr="006B24DA">
        <w:rPr>
          <w:rFonts w:ascii="Book Antiqua" w:hAnsi="Book Antiqua" w:cs="Times New Roman"/>
          <w:color w:val="000000" w:themeColor="text1"/>
          <w:sz w:val="24"/>
          <w:szCs w:val="24"/>
        </w:rPr>
        <w:t>distensibility</w:t>
      </w:r>
      <w:proofErr w:type="spellEnd"/>
      <w:r w:rsidRPr="006B24DA">
        <w:rPr>
          <w:rFonts w:ascii="Book Antiqua" w:hAnsi="Book Antiqua" w:cs="Times New Roman"/>
          <w:color w:val="000000" w:themeColor="text1"/>
          <w:sz w:val="24"/>
          <w:szCs w:val="24"/>
        </w:rPr>
        <w:t xml:space="preserve"> was evaluated using an endoscopic functional luminal imaging probe using the </w:t>
      </w:r>
      <w:r w:rsidR="00966E42" w:rsidRPr="006B24DA">
        <w:rPr>
          <w:rFonts w:ascii="Book Antiqua" w:eastAsia="Times New Roman" w:hAnsi="Book Antiqua" w:cs="Times New Roman"/>
          <w:bCs/>
          <w:color w:val="000000" w:themeColor="text1"/>
          <w:sz w:val="24"/>
          <w:szCs w:val="24"/>
        </w:rPr>
        <w:t>endoscopic functional lumen imaging probe</w:t>
      </w:r>
      <w:r w:rsidR="00966E42" w:rsidRPr="006B24DA">
        <w:rPr>
          <w:rFonts w:ascii="Book Antiqua" w:hAnsi="Book Antiqua" w:cs="Times New Roman"/>
          <w:color w:val="000000" w:themeColor="text1"/>
          <w:sz w:val="24"/>
          <w:szCs w:val="24"/>
        </w:rPr>
        <w:t xml:space="preserve"> </w:t>
      </w:r>
      <w:r w:rsidRPr="006B24DA">
        <w:rPr>
          <w:rFonts w:ascii="Book Antiqua" w:hAnsi="Book Antiqua" w:cs="Times New Roman"/>
          <w:color w:val="000000" w:themeColor="text1"/>
          <w:sz w:val="24"/>
          <w:szCs w:val="24"/>
        </w:rPr>
        <w:t>(</w:t>
      </w:r>
      <w:proofErr w:type="spellStart"/>
      <w:r w:rsidR="00966E42" w:rsidRPr="006B24DA">
        <w:rPr>
          <w:rFonts w:ascii="Book Antiqua" w:hAnsi="Book Antiqua" w:cs="Times New Roman"/>
          <w:color w:val="000000" w:themeColor="text1"/>
          <w:sz w:val="24"/>
          <w:szCs w:val="24"/>
        </w:rPr>
        <w:t>EndoFLIP</w:t>
      </w:r>
      <w:proofErr w:type="spellEnd"/>
      <w:r w:rsidRPr="006B24DA">
        <w:rPr>
          <w:rFonts w:ascii="Book Antiqua" w:eastAsia="Times New Roman" w:hAnsi="Book Antiqua" w:cs="Times New Roman"/>
          <w:bCs/>
          <w:color w:val="000000" w:themeColor="text1"/>
          <w:sz w:val="24"/>
          <w:szCs w:val="24"/>
        </w:rPr>
        <w:t xml:space="preserve">) </w:t>
      </w:r>
      <w:r w:rsidRPr="006B24DA">
        <w:rPr>
          <w:rFonts w:ascii="Book Antiqua" w:hAnsi="Book Antiqua" w:cs="Times New Roman"/>
          <w:color w:val="000000" w:themeColor="text1"/>
          <w:sz w:val="24"/>
          <w:szCs w:val="24"/>
        </w:rPr>
        <w:t xml:space="preserve">before and directly after the procedures. The patients were followed for 6 </w:t>
      </w:r>
      <w:proofErr w:type="gramStart"/>
      <w:r w:rsidR="00A00023">
        <w:rPr>
          <w:rFonts w:ascii="Book Antiqua" w:hAnsi="Book Antiqua" w:cs="Times New Roman"/>
          <w:color w:val="000000" w:themeColor="text1"/>
          <w:sz w:val="24"/>
          <w:szCs w:val="24"/>
        </w:rPr>
        <w:t>mo</w:t>
      </w:r>
      <w:proofErr w:type="gramEnd"/>
      <w:r w:rsidRPr="006B24DA">
        <w:rPr>
          <w:rFonts w:ascii="Book Antiqua" w:hAnsi="Book Antiqua" w:cs="Times New Roman"/>
          <w:color w:val="000000" w:themeColor="text1"/>
          <w:sz w:val="24"/>
          <w:szCs w:val="24"/>
        </w:rPr>
        <w:t xml:space="preserve">. With regards to the stationary esophageal manometry and impedance-pH monitoring performed directly after the procedure, TIF resulted in a marked reduction of both the number of </w:t>
      </w:r>
      <w:r w:rsidR="00966E42" w:rsidRPr="006B24DA">
        <w:rPr>
          <w:rFonts w:ascii="Book Antiqua" w:hAnsi="Book Antiqua" w:cs="Times New Roman"/>
          <w:color w:val="000000" w:themeColor="text1"/>
          <w:sz w:val="24"/>
          <w:szCs w:val="24"/>
        </w:rPr>
        <w:t>transient LES relaxation</w:t>
      </w:r>
      <w:r w:rsidRPr="006B24DA">
        <w:rPr>
          <w:rFonts w:ascii="Book Antiqua" w:hAnsi="Book Antiqua" w:cs="Times New Roman"/>
          <w:color w:val="000000" w:themeColor="text1"/>
          <w:sz w:val="24"/>
          <w:szCs w:val="24"/>
        </w:rPr>
        <w:t xml:space="preserve"> (</w:t>
      </w:r>
      <w:proofErr w:type="spellStart"/>
      <w:r w:rsidR="00966E42" w:rsidRPr="006B24DA">
        <w:rPr>
          <w:rFonts w:ascii="Book Antiqua" w:hAnsi="Book Antiqua" w:cs="Times New Roman"/>
          <w:color w:val="000000" w:themeColor="text1"/>
          <w:sz w:val="24"/>
          <w:szCs w:val="24"/>
        </w:rPr>
        <w:t>tLESRs</w:t>
      </w:r>
      <w:proofErr w:type="spellEnd"/>
      <w:r w:rsidR="00966E42" w:rsidRPr="006B24DA">
        <w:rPr>
          <w:rFonts w:ascii="Book Antiqua" w:hAnsi="Book Antiqua" w:cs="Times New Roman"/>
          <w:color w:val="000000" w:themeColor="text1"/>
          <w:sz w:val="24"/>
          <w:szCs w:val="24"/>
        </w:rPr>
        <w:t xml:space="preserve">) (16.8 ± 1.5 </w:t>
      </w:r>
      <w:bookmarkStart w:id="41" w:name="OLE_LINK54"/>
      <w:bookmarkStart w:id="42" w:name="OLE_LINK55"/>
      <w:r w:rsidR="00966E42" w:rsidRPr="006B24DA">
        <w:rPr>
          <w:rFonts w:ascii="Book Antiqua" w:hAnsi="Book Antiqua" w:cs="Times New Roman"/>
          <w:i/>
          <w:color w:val="000000" w:themeColor="text1"/>
          <w:sz w:val="24"/>
          <w:szCs w:val="24"/>
        </w:rPr>
        <w:t>vs</w:t>
      </w:r>
      <w:bookmarkEnd w:id="41"/>
      <w:bookmarkEnd w:id="42"/>
      <w:r w:rsidRPr="006B24DA">
        <w:rPr>
          <w:rFonts w:ascii="Book Antiqua" w:hAnsi="Book Antiqua" w:cs="Times New Roman"/>
          <w:color w:val="000000" w:themeColor="text1"/>
          <w:sz w:val="24"/>
          <w:szCs w:val="24"/>
        </w:rPr>
        <w:t xml:space="preserve"> 9.2 ± 1.3; </w:t>
      </w:r>
      <w:r w:rsidR="00966E42" w:rsidRPr="006B24DA">
        <w:rPr>
          <w:rFonts w:ascii="Book Antiqua" w:hAnsi="Book Antiqua" w:cs="Times New Roman"/>
          <w:i/>
          <w:color w:val="000000" w:themeColor="text1"/>
          <w:sz w:val="24"/>
          <w:szCs w:val="24"/>
        </w:rPr>
        <w:t xml:space="preserve">P </w:t>
      </w:r>
      <w:r w:rsidRPr="006B24DA">
        <w:rPr>
          <w:rFonts w:ascii="Book Antiqua" w:hAnsi="Book Antiqua" w:cs="Times New Roman"/>
          <w:color w:val="000000" w:themeColor="text1"/>
          <w:sz w:val="24"/>
          <w:szCs w:val="24"/>
        </w:rPr>
        <w:t>&lt;</w:t>
      </w:r>
      <w:r w:rsidR="00966E42" w:rsidRPr="006B24DA">
        <w:rPr>
          <w:rFonts w:ascii="Book Antiqua" w:hAnsi="Book Antiqua" w:cs="Times New Roman"/>
          <w:color w:val="000000" w:themeColor="text1"/>
          <w:sz w:val="24"/>
          <w:szCs w:val="24"/>
        </w:rPr>
        <w:t xml:space="preserve"> </w:t>
      </w:r>
      <w:r w:rsidRPr="006B24DA">
        <w:rPr>
          <w:rFonts w:ascii="Book Antiqua" w:hAnsi="Book Antiqua" w:cs="Times New Roman"/>
          <w:color w:val="000000" w:themeColor="text1"/>
          <w:sz w:val="24"/>
          <w:szCs w:val="24"/>
        </w:rPr>
        <w:t xml:space="preserve">0.01) and the number of </w:t>
      </w:r>
      <w:proofErr w:type="spellStart"/>
      <w:r w:rsidRPr="006B24DA">
        <w:rPr>
          <w:rFonts w:ascii="Book Antiqua" w:hAnsi="Book Antiqua" w:cs="Times New Roman"/>
          <w:color w:val="000000" w:themeColor="text1"/>
          <w:sz w:val="24"/>
          <w:szCs w:val="24"/>
        </w:rPr>
        <w:t>tLESRs</w:t>
      </w:r>
      <w:proofErr w:type="spellEnd"/>
      <w:r w:rsidRPr="006B24DA">
        <w:rPr>
          <w:rFonts w:ascii="Book Antiqua" w:hAnsi="Book Antiqua" w:cs="Times New Roman"/>
          <w:color w:val="000000" w:themeColor="text1"/>
          <w:sz w:val="24"/>
          <w:szCs w:val="24"/>
        </w:rPr>
        <w:t xml:space="preserve"> associated with liquid-containing reflux after the procedure (fr</w:t>
      </w:r>
      <w:r w:rsidR="00966E42" w:rsidRPr="006B24DA">
        <w:rPr>
          <w:rFonts w:ascii="Book Antiqua" w:hAnsi="Book Antiqua" w:cs="Times New Roman"/>
          <w:color w:val="000000" w:themeColor="text1"/>
          <w:sz w:val="24"/>
          <w:szCs w:val="24"/>
        </w:rPr>
        <w:t xml:space="preserve">om 11.1 ± 1.6 </w:t>
      </w:r>
      <w:r w:rsidR="00966E42" w:rsidRPr="006B24DA">
        <w:rPr>
          <w:rFonts w:ascii="Book Antiqua" w:hAnsi="Book Antiqua" w:cs="Times New Roman"/>
          <w:i/>
          <w:color w:val="000000" w:themeColor="text1"/>
          <w:sz w:val="24"/>
          <w:szCs w:val="24"/>
        </w:rPr>
        <w:t>vs</w:t>
      </w:r>
      <w:r w:rsidRPr="006B24DA">
        <w:rPr>
          <w:rFonts w:ascii="Book Antiqua" w:hAnsi="Book Antiqua" w:cs="Times New Roman"/>
          <w:i/>
          <w:color w:val="000000" w:themeColor="text1"/>
          <w:sz w:val="24"/>
          <w:szCs w:val="24"/>
        </w:rPr>
        <w:t xml:space="preserve"> </w:t>
      </w:r>
      <w:r w:rsidRPr="006B24DA">
        <w:rPr>
          <w:rFonts w:ascii="Book Antiqua" w:hAnsi="Book Antiqua" w:cs="Times New Roman"/>
          <w:color w:val="000000" w:themeColor="text1"/>
          <w:sz w:val="24"/>
          <w:szCs w:val="24"/>
        </w:rPr>
        <w:t xml:space="preserve">5.6 ± 0.6; </w:t>
      </w:r>
      <w:r w:rsidR="00966E42" w:rsidRPr="006B24DA">
        <w:rPr>
          <w:rFonts w:ascii="Book Antiqua" w:hAnsi="Book Antiqua" w:cs="Times New Roman"/>
          <w:i/>
          <w:color w:val="000000" w:themeColor="text1"/>
          <w:sz w:val="24"/>
          <w:szCs w:val="24"/>
        </w:rPr>
        <w:t xml:space="preserve">P </w:t>
      </w:r>
      <w:r w:rsidRPr="006B24DA">
        <w:rPr>
          <w:rFonts w:ascii="Book Antiqua" w:hAnsi="Book Antiqua" w:cs="Times New Roman"/>
          <w:color w:val="000000" w:themeColor="text1"/>
          <w:sz w:val="24"/>
          <w:szCs w:val="24"/>
        </w:rPr>
        <w:t>&lt;</w:t>
      </w:r>
      <w:r w:rsidR="00966E42" w:rsidRPr="006B24DA">
        <w:rPr>
          <w:rFonts w:ascii="Book Antiqua" w:hAnsi="Book Antiqua" w:cs="Times New Roman"/>
          <w:color w:val="000000" w:themeColor="text1"/>
          <w:sz w:val="24"/>
          <w:szCs w:val="24"/>
        </w:rPr>
        <w:t xml:space="preserve"> </w:t>
      </w:r>
      <w:r w:rsidRPr="006B24DA">
        <w:rPr>
          <w:rFonts w:ascii="Book Antiqua" w:hAnsi="Book Antiqua" w:cs="Times New Roman"/>
          <w:color w:val="000000" w:themeColor="text1"/>
          <w:sz w:val="24"/>
          <w:szCs w:val="24"/>
        </w:rPr>
        <w:t xml:space="preserve">0.01). TIF also led to a decrease in the number and proximal extent of reflux episodes and an improvement of acid exposure in the upright position; conversely, TIF had no effect on the number of gas reflux episodes, corroborating the low incidence of post-TIF gas-bloat symptoms. </w:t>
      </w:r>
      <w:r w:rsidR="00B27D0F" w:rsidRPr="006B24DA">
        <w:rPr>
          <w:rFonts w:ascii="Book Antiqua" w:hAnsi="Book Antiqua" w:cs="Times New Roman"/>
          <w:color w:val="000000" w:themeColor="text1"/>
          <w:sz w:val="24"/>
          <w:szCs w:val="24"/>
        </w:rPr>
        <w:t>EGJ</w:t>
      </w:r>
      <w:r w:rsidRPr="006B24DA">
        <w:rPr>
          <w:rFonts w:ascii="Book Antiqua" w:hAnsi="Book Antiqua" w:cs="Times New Roman"/>
          <w:color w:val="000000" w:themeColor="text1"/>
          <w:sz w:val="24"/>
          <w:szCs w:val="24"/>
        </w:rPr>
        <w:t xml:space="preserve"> </w:t>
      </w:r>
      <w:proofErr w:type="spellStart"/>
      <w:r w:rsidRPr="006B24DA">
        <w:rPr>
          <w:rFonts w:ascii="Book Antiqua" w:hAnsi="Book Antiqua" w:cs="Times New Roman"/>
          <w:color w:val="000000" w:themeColor="text1"/>
          <w:sz w:val="24"/>
          <w:szCs w:val="24"/>
        </w:rPr>
        <w:t>distensibility</w:t>
      </w:r>
      <w:proofErr w:type="spellEnd"/>
      <w:r w:rsidRPr="006B24DA">
        <w:rPr>
          <w:rFonts w:ascii="Book Antiqua" w:hAnsi="Book Antiqua" w:cs="Times New Roman"/>
          <w:color w:val="000000" w:themeColor="text1"/>
          <w:sz w:val="24"/>
          <w:szCs w:val="24"/>
        </w:rPr>
        <w:t xml:space="preserve"> was reduced af</w:t>
      </w:r>
      <w:r w:rsidR="00966E42" w:rsidRPr="006B24DA">
        <w:rPr>
          <w:rFonts w:ascii="Book Antiqua" w:hAnsi="Book Antiqua" w:cs="Times New Roman"/>
          <w:color w:val="000000" w:themeColor="text1"/>
          <w:sz w:val="24"/>
          <w:szCs w:val="24"/>
        </w:rPr>
        <w:t>ter the procedure (2.4 ± 0.3 mm</w:t>
      </w:r>
      <w:r w:rsidR="00966E42" w:rsidRPr="006B24DA">
        <w:rPr>
          <w:rFonts w:ascii="Book Antiqua" w:hAnsi="Book Antiqua" w:cs="Times New Roman"/>
          <w:color w:val="000000" w:themeColor="text1"/>
          <w:sz w:val="24"/>
          <w:szCs w:val="24"/>
          <w:vertAlign w:val="superscript"/>
        </w:rPr>
        <w:t>2</w:t>
      </w:r>
      <w:r w:rsidR="00966E42" w:rsidRPr="006B24DA">
        <w:rPr>
          <w:rFonts w:ascii="Book Antiqua" w:hAnsi="Book Antiqua" w:cs="Times New Roman"/>
          <w:color w:val="000000" w:themeColor="text1"/>
          <w:sz w:val="24"/>
          <w:szCs w:val="24"/>
        </w:rPr>
        <w:t>/mmHg</w:t>
      </w:r>
      <w:r w:rsidR="00966E42" w:rsidRPr="006B24DA">
        <w:rPr>
          <w:rFonts w:ascii="Book Antiqua" w:hAnsi="Book Antiqua" w:cs="Times New Roman"/>
          <w:i/>
          <w:color w:val="000000" w:themeColor="text1"/>
          <w:sz w:val="24"/>
          <w:szCs w:val="24"/>
        </w:rPr>
        <w:t xml:space="preserve"> vs</w:t>
      </w:r>
      <w:r w:rsidRPr="006B24DA">
        <w:rPr>
          <w:rFonts w:ascii="Book Antiqua" w:hAnsi="Book Antiqua" w:cs="Times New Roman"/>
          <w:color w:val="000000" w:themeColor="text1"/>
          <w:sz w:val="24"/>
          <w:szCs w:val="24"/>
        </w:rPr>
        <w:t xml:space="preserve"> 1.6 ± 0.2 mm</w:t>
      </w:r>
      <w:r w:rsidRPr="006B24DA">
        <w:rPr>
          <w:rFonts w:ascii="Book Antiqua" w:hAnsi="Book Antiqua" w:cs="Times New Roman"/>
          <w:color w:val="000000" w:themeColor="text1"/>
          <w:sz w:val="24"/>
          <w:szCs w:val="24"/>
          <w:vertAlign w:val="superscript"/>
        </w:rPr>
        <w:t>2</w:t>
      </w:r>
      <w:r w:rsidRPr="006B24DA">
        <w:rPr>
          <w:rFonts w:ascii="Book Antiqua" w:hAnsi="Book Antiqua" w:cs="Times New Roman"/>
          <w:color w:val="000000" w:themeColor="text1"/>
          <w:sz w:val="24"/>
          <w:szCs w:val="24"/>
        </w:rPr>
        <w:t xml:space="preserve">/mmHg; </w:t>
      </w:r>
      <w:r w:rsidR="00966E42" w:rsidRPr="006B24DA">
        <w:rPr>
          <w:rFonts w:ascii="Book Antiqua" w:hAnsi="Book Antiqua" w:cs="Times New Roman"/>
          <w:i/>
          <w:color w:val="000000" w:themeColor="text1"/>
          <w:sz w:val="24"/>
          <w:szCs w:val="24"/>
        </w:rPr>
        <w:t xml:space="preserve">P </w:t>
      </w:r>
      <w:r w:rsidRPr="006B24DA">
        <w:rPr>
          <w:rFonts w:ascii="Book Antiqua" w:hAnsi="Book Antiqua" w:cs="Times New Roman"/>
          <w:color w:val="000000" w:themeColor="text1"/>
          <w:sz w:val="24"/>
          <w:szCs w:val="24"/>
        </w:rPr>
        <w:t>&lt;</w:t>
      </w:r>
      <w:r w:rsidR="00966E42" w:rsidRPr="006B24DA">
        <w:rPr>
          <w:rFonts w:ascii="Book Antiqua" w:hAnsi="Book Antiqua" w:cs="Times New Roman"/>
          <w:color w:val="000000" w:themeColor="text1"/>
          <w:sz w:val="24"/>
          <w:szCs w:val="24"/>
        </w:rPr>
        <w:t xml:space="preserve"> </w:t>
      </w:r>
      <w:r w:rsidRPr="006B24DA">
        <w:rPr>
          <w:rFonts w:ascii="Book Antiqua" w:hAnsi="Book Antiqua" w:cs="Times New Roman"/>
          <w:color w:val="000000" w:themeColor="text1"/>
          <w:sz w:val="24"/>
          <w:szCs w:val="24"/>
        </w:rPr>
        <w:t xml:space="preserve">0.05). </w:t>
      </w:r>
      <w:r w:rsidRPr="006B24DA">
        <w:rPr>
          <w:rFonts w:ascii="Book Antiqua" w:hAnsi="Book Antiqua" w:cs="Times New Roman"/>
          <w:color w:val="000000" w:themeColor="text1"/>
          <w:sz w:val="24"/>
          <w:szCs w:val="24"/>
        </w:rPr>
        <w:lastRenderedPageBreak/>
        <w:t>Also of note, the basal LES pressure in the fasted state was increased after TIF (f</w:t>
      </w:r>
      <w:r w:rsidR="00D33133" w:rsidRPr="006B24DA">
        <w:rPr>
          <w:rFonts w:ascii="Book Antiqua" w:hAnsi="Book Antiqua" w:cs="Times New Roman"/>
          <w:color w:val="000000" w:themeColor="text1"/>
          <w:sz w:val="24"/>
          <w:szCs w:val="24"/>
        </w:rPr>
        <w:t>rom 13.9 ± 1.0 to 20.5 ± 1.8 mm</w:t>
      </w:r>
      <w:r w:rsidRPr="006B24DA">
        <w:rPr>
          <w:rFonts w:ascii="Book Antiqua" w:hAnsi="Book Antiqua" w:cs="Times New Roman"/>
          <w:color w:val="000000" w:themeColor="text1"/>
          <w:sz w:val="24"/>
          <w:szCs w:val="24"/>
        </w:rPr>
        <w:t xml:space="preserve">Hg; </w:t>
      </w:r>
      <w:r w:rsidR="00966E42" w:rsidRPr="006B24DA">
        <w:rPr>
          <w:rFonts w:ascii="Book Antiqua" w:hAnsi="Book Antiqua" w:cs="Times New Roman"/>
          <w:i/>
          <w:color w:val="000000" w:themeColor="text1"/>
          <w:sz w:val="24"/>
          <w:szCs w:val="24"/>
        </w:rPr>
        <w:t>P</w:t>
      </w:r>
      <w:r w:rsidR="00966E42" w:rsidRPr="006B24DA">
        <w:rPr>
          <w:rFonts w:ascii="Book Antiqua" w:hAnsi="Book Antiqua" w:cs="Times New Roman"/>
          <w:color w:val="000000" w:themeColor="text1"/>
          <w:sz w:val="24"/>
          <w:szCs w:val="24"/>
        </w:rPr>
        <w:t xml:space="preserve"> </w:t>
      </w:r>
      <w:r w:rsidRPr="006B24DA">
        <w:rPr>
          <w:rFonts w:ascii="Book Antiqua" w:hAnsi="Book Antiqua" w:cs="Times New Roman"/>
          <w:color w:val="000000" w:themeColor="text1"/>
          <w:sz w:val="24"/>
          <w:szCs w:val="24"/>
        </w:rPr>
        <w:t>&lt;</w:t>
      </w:r>
      <w:r w:rsidR="00966E42" w:rsidRPr="006B24DA">
        <w:rPr>
          <w:rFonts w:ascii="Book Antiqua" w:hAnsi="Book Antiqua" w:cs="Times New Roman"/>
          <w:color w:val="000000" w:themeColor="text1"/>
          <w:sz w:val="24"/>
          <w:szCs w:val="24"/>
        </w:rPr>
        <w:t xml:space="preserve"> </w:t>
      </w:r>
      <w:r w:rsidR="00D33133" w:rsidRPr="006B24DA">
        <w:rPr>
          <w:rFonts w:ascii="Book Antiqua" w:hAnsi="Book Antiqua" w:cs="Times New Roman"/>
          <w:color w:val="000000" w:themeColor="text1"/>
          <w:sz w:val="24"/>
          <w:szCs w:val="24"/>
        </w:rPr>
        <w:t xml:space="preserve">0.01). </w:t>
      </w:r>
      <w:r w:rsidRPr="006B24DA">
        <w:rPr>
          <w:rFonts w:ascii="Book Antiqua" w:hAnsi="Book Antiqua" w:cs="Times New Roman"/>
          <w:color w:val="000000" w:themeColor="text1"/>
          <w:sz w:val="24"/>
          <w:szCs w:val="24"/>
        </w:rPr>
        <w:t xml:space="preserve">Thus, TIF reduces EGJ </w:t>
      </w:r>
      <w:proofErr w:type="spellStart"/>
      <w:r w:rsidRPr="006B24DA">
        <w:rPr>
          <w:rFonts w:ascii="Book Antiqua" w:hAnsi="Book Antiqua" w:cs="Times New Roman"/>
          <w:color w:val="000000" w:themeColor="text1"/>
          <w:sz w:val="24"/>
          <w:szCs w:val="24"/>
        </w:rPr>
        <w:t>distensibility</w:t>
      </w:r>
      <w:proofErr w:type="spellEnd"/>
      <w:r w:rsidRPr="006B24DA">
        <w:rPr>
          <w:rFonts w:ascii="Book Antiqua" w:hAnsi="Book Antiqua" w:cs="Times New Roman"/>
          <w:color w:val="000000" w:themeColor="text1"/>
          <w:sz w:val="24"/>
          <w:szCs w:val="24"/>
        </w:rPr>
        <w:t xml:space="preserve">, thereby decreasing </w:t>
      </w:r>
      <w:proofErr w:type="spellStart"/>
      <w:r w:rsidRPr="006B24DA">
        <w:rPr>
          <w:rFonts w:ascii="Book Antiqua" w:hAnsi="Book Antiqua" w:cs="Times New Roman"/>
          <w:color w:val="000000" w:themeColor="text1"/>
          <w:sz w:val="24"/>
          <w:szCs w:val="24"/>
        </w:rPr>
        <w:t>tLESRs</w:t>
      </w:r>
      <w:proofErr w:type="spellEnd"/>
      <w:r w:rsidRPr="006B24DA">
        <w:rPr>
          <w:rFonts w:ascii="Book Antiqua" w:hAnsi="Book Antiqua" w:cs="Times New Roman"/>
          <w:color w:val="000000" w:themeColor="text1"/>
          <w:sz w:val="24"/>
          <w:szCs w:val="24"/>
        </w:rPr>
        <w:t xml:space="preserve">, which is the main mechanism for upright </w:t>
      </w:r>
      <w:proofErr w:type="spellStart"/>
      <w:r w:rsidR="00D33133" w:rsidRPr="006B24DA">
        <w:rPr>
          <w:rFonts w:ascii="Book Antiqua" w:hAnsi="Book Antiqua" w:cs="Times New Roman"/>
          <w:color w:val="000000" w:themeColor="text1"/>
          <w:sz w:val="24"/>
          <w:szCs w:val="24"/>
        </w:rPr>
        <w:t>refluxers</w:t>
      </w:r>
      <w:proofErr w:type="spellEnd"/>
      <w:r w:rsidR="00D33133" w:rsidRPr="006B24DA">
        <w:rPr>
          <w:rFonts w:ascii="Book Antiqua" w:hAnsi="Book Antiqua" w:cs="Times New Roman"/>
          <w:color w:val="000000" w:themeColor="text1"/>
          <w:sz w:val="24"/>
          <w:szCs w:val="24"/>
        </w:rPr>
        <w:t xml:space="preserve">. </w:t>
      </w:r>
      <w:r w:rsidR="00966E42" w:rsidRPr="006B24DA">
        <w:rPr>
          <w:rFonts w:ascii="Book Antiqua" w:hAnsi="Book Antiqua" w:cs="Times New Roman"/>
          <w:color w:val="000000" w:themeColor="text1"/>
          <w:sz w:val="24"/>
          <w:szCs w:val="24"/>
        </w:rPr>
        <w:t>It also creates a 3-</w:t>
      </w:r>
      <w:r w:rsidRPr="006B24DA">
        <w:rPr>
          <w:rFonts w:ascii="Book Antiqua" w:hAnsi="Book Antiqua" w:cs="Times New Roman"/>
          <w:color w:val="000000" w:themeColor="text1"/>
          <w:sz w:val="24"/>
          <w:szCs w:val="24"/>
        </w:rPr>
        <w:t>cm high pressure zone at the distal esophagus in the configuration of a flap valve, which should decrease b</w:t>
      </w:r>
      <w:r w:rsidR="00D33133" w:rsidRPr="006B24DA">
        <w:rPr>
          <w:rFonts w:ascii="Book Antiqua" w:hAnsi="Book Antiqua" w:cs="Times New Roman"/>
          <w:color w:val="000000" w:themeColor="text1"/>
          <w:sz w:val="24"/>
          <w:szCs w:val="24"/>
        </w:rPr>
        <w:t xml:space="preserve">oth upright and supine reflux. </w:t>
      </w:r>
      <w:r w:rsidRPr="006B24DA">
        <w:rPr>
          <w:rFonts w:ascii="Book Antiqua" w:hAnsi="Book Antiqua" w:cs="Times New Roman"/>
          <w:color w:val="000000" w:themeColor="text1"/>
          <w:sz w:val="24"/>
          <w:szCs w:val="24"/>
        </w:rPr>
        <w:t>However, since it is a 270</w:t>
      </w:r>
      <w:r w:rsidRPr="006B24DA">
        <w:rPr>
          <w:rFonts w:ascii="Book Antiqua" w:hAnsi="Book Antiqua" w:cs="Times New Roman"/>
          <w:color w:val="000000" w:themeColor="text1"/>
          <w:sz w:val="24"/>
          <w:szCs w:val="24"/>
        </w:rPr>
        <w:sym w:font="Symbol" w:char="F0B0"/>
      </w:r>
      <w:r w:rsidRPr="006B24DA">
        <w:rPr>
          <w:rFonts w:ascii="Book Antiqua" w:hAnsi="Book Antiqua" w:cs="Times New Roman"/>
          <w:color w:val="000000" w:themeColor="text1"/>
          <w:sz w:val="24"/>
          <w:szCs w:val="24"/>
        </w:rPr>
        <w:t xml:space="preserve"> partial fundoplication, and the flap valve luminal diameter is controlled by the diameter of the device (prevents over-tightening)</w:t>
      </w:r>
      <w:proofErr w:type="gramStart"/>
      <w:r w:rsidRPr="006B24DA">
        <w:rPr>
          <w:rFonts w:ascii="Book Antiqua" w:hAnsi="Book Antiqua" w:cs="Times New Roman"/>
          <w:color w:val="000000" w:themeColor="text1"/>
          <w:sz w:val="24"/>
          <w:szCs w:val="24"/>
        </w:rPr>
        <w:t>,</w:t>
      </w:r>
      <w:proofErr w:type="gramEnd"/>
      <w:r w:rsidRPr="006B24DA">
        <w:rPr>
          <w:rFonts w:ascii="Book Antiqua" w:hAnsi="Book Antiqua" w:cs="Times New Roman"/>
          <w:color w:val="000000" w:themeColor="text1"/>
          <w:sz w:val="24"/>
          <w:szCs w:val="24"/>
        </w:rPr>
        <w:t xml:space="preserve"> gas can still escape from the stomach into the esophagus, minimizing the side-effect of gas-bloat. </w:t>
      </w:r>
    </w:p>
    <w:p w14:paraId="2A4095C5" w14:textId="77777777" w:rsidR="00E20495" w:rsidRPr="006B24DA" w:rsidRDefault="00E20495" w:rsidP="007761C0">
      <w:pPr>
        <w:pStyle w:val="Body"/>
        <w:adjustRightInd w:val="0"/>
        <w:snapToGrid w:val="0"/>
        <w:spacing w:line="360" w:lineRule="auto"/>
        <w:jc w:val="both"/>
        <w:rPr>
          <w:rFonts w:ascii="Book Antiqua" w:hAnsi="Book Antiqua" w:cs="Times New Roman"/>
          <w:b/>
          <w:color w:val="000000" w:themeColor="text1"/>
          <w:sz w:val="24"/>
          <w:szCs w:val="24"/>
        </w:rPr>
      </w:pPr>
    </w:p>
    <w:p w14:paraId="72C09FB2" w14:textId="1B25E4E4" w:rsidR="00966E42" w:rsidRPr="006B24DA" w:rsidRDefault="00E20495" w:rsidP="007761C0">
      <w:pPr>
        <w:pStyle w:val="Body"/>
        <w:adjustRightInd w:val="0"/>
        <w:snapToGrid w:val="0"/>
        <w:spacing w:line="360" w:lineRule="auto"/>
        <w:jc w:val="both"/>
        <w:rPr>
          <w:rFonts w:ascii="Book Antiqua" w:hAnsi="Book Antiqua" w:cs="Times New Roman"/>
          <w:b/>
          <w:color w:val="000000" w:themeColor="text1"/>
          <w:sz w:val="24"/>
          <w:szCs w:val="24"/>
        </w:rPr>
      </w:pPr>
      <w:r w:rsidRPr="006B24DA">
        <w:rPr>
          <w:rFonts w:ascii="Book Antiqua" w:hAnsi="Book Antiqua" w:cs="Times New Roman"/>
          <w:b/>
          <w:i/>
          <w:color w:val="000000" w:themeColor="text1"/>
          <w:sz w:val="24"/>
          <w:szCs w:val="24"/>
        </w:rPr>
        <w:t>Futur</w:t>
      </w:r>
      <w:r w:rsidR="00966E42" w:rsidRPr="006B24DA">
        <w:rPr>
          <w:rFonts w:ascii="Book Antiqua" w:hAnsi="Book Antiqua" w:cs="Times New Roman"/>
          <w:b/>
          <w:i/>
          <w:color w:val="000000" w:themeColor="text1"/>
          <w:sz w:val="24"/>
          <w:szCs w:val="24"/>
        </w:rPr>
        <w:t>e opportunities for endoscopic t</w:t>
      </w:r>
      <w:r w:rsidRPr="006B24DA">
        <w:rPr>
          <w:rFonts w:ascii="Book Antiqua" w:hAnsi="Book Antiqua" w:cs="Times New Roman"/>
          <w:b/>
          <w:i/>
          <w:color w:val="000000" w:themeColor="text1"/>
          <w:sz w:val="24"/>
          <w:szCs w:val="24"/>
        </w:rPr>
        <w:t>reatment of GERD</w:t>
      </w:r>
    </w:p>
    <w:p w14:paraId="0ABE6223" w14:textId="22027E2A" w:rsidR="00E20495" w:rsidRPr="006B24DA" w:rsidRDefault="00E20495" w:rsidP="007761C0">
      <w:pPr>
        <w:pStyle w:val="Body"/>
        <w:adjustRightInd w:val="0"/>
        <w:snapToGrid w:val="0"/>
        <w:spacing w:line="360" w:lineRule="auto"/>
        <w:jc w:val="both"/>
        <w:rPr>
          <w:rFonts w:ascii="Book Antiqua" w:hAnsi="Book Antiqua" w:cs="Times New Roman"/>
          <w:color w:val="000000" w:themeColor="text1"/>
          <w:sz w:val="24"/>
          <w:szCs w:val="24"/>
        </w:rPr>
      </w:pPr>
      <w:r w:rsidRPr="006B24DA">
        <w:rPr>
          <w:rFonts w:ascii="Book Antiqua" w:hAnsi="Book Antiqua" w:cs="Times New Roman"/>
          <w:color w:val="000000" w:themeColor="text1"/>
          <w:sz w:val="24"/>
          <w:szCs w:val="24"/>
        </w:rPr>
        <w:t xml:space="preserve">We are now exploring the role of TIF among patients with </w:t>
      </w:r>
      <w:r w:rsidR="00D4044E" w:rsidRPr="006B24DA">
        <w:rPr>
          <w:rFonts w:ascii="Book Antiqua" w:hAnsi="Book Antiqua" w:cs="Times New Roman"/>
          <w:color w:val="000000" w:themeColor="text1"/>
          <w:sz w:val="24"/>
          <w:szCs w:val="24"/>
        </w:rPr>
        <w:t>BE</w:t>
      </w:r>
      <w:r w:rsidRPr="006B24DA">
        <w:rPr>
          <w:rFonts w:ascii="Book Antiqua" w:hAnsi="Book Antiqua" w:cs="Times New Roman"/>
          <w:color w:val="000000" w:themeColor="text1"/>
          <w:sz w:val="24"/>
          <w:szCs w:val="24"/>
        </w:rPr>
        <w:t xml:space="preserve"> </w:t>
      </w:r>
      <w:r w:rsidR="00966E42" w:rsidRPr="006B24DA">
        <w:rPr>
          <w:rFonts w:ascii="Book Antiqua" w:hAnsi="Book Antiqua" w:cs="Times New Roman"/>
          <w:color w:val="000000" w:themeColor="text1"/>
          <w:sz w:val="24"/>
          <w:szCs w:val="24"/>
        </w:rPr>
        <w:t>-</w:t>
      </w:r>
      <w:r w:rsidRPr="006B24DA">
        <w:rPr>
          <w:rFonts w:ascii="Book Antiqua" w:hAnsi="Book Antiqua" w:cs="Times New Roman"/>
          <w:color w:val="000000" w:themeColor="text1"/>
          <w:sz w:val="24"/>
          <w:szCs w:val="24"/>
        </w:rPr>
        <w:t xml:space="preserve"> including non-dysplastic Barrett’s, and those patients with previous history of Barrett’s dysplasia, who have now reached </w:t>
      </w:r>
      <w:bookmarkStart w:id="43" w:name="OLE_LINK56"/>
      <w:bookmarkStart w:id="44" w:name="OLE_LINK57"/>
      <w:r w:rsidR="00966E42" w:rsidRPr="006B24DA">
        <w:rPr>
          <w:rFonts w:ascii="Book Antiqua" w:hAnsi="Book Antiqua" w:cs="Times New Roman"/>
          <w:color w:val="000000" w:themeColor="text1"/>
          <w:sz w:val="24"/>
          <w:szCs w:val="24"/>
        </w:rPr>
        <w:t>complete re</w:t>
      </w:r>
      <w:r w:rsidR="003E0C40" w:rsidRPr="006B24DA">
        <w:rPr>
          <w:rFonts w:ascii="Book Antiqua" w:hAnsi="Book Antiqua" w:cs="Times New Roman"/>
          <w:color w:val="000000" w:themeColor="text1"/>
          <w:sz w:val="24"/>
          <w:szCs w:val="24"/>
        </w:rPr>
        <w:t>mission</w:t>
      </w:r>
      <w:r w:rsidR="00966E42" w:rsidRPr="006B24DA">
        <w:rPr>
          <w:rFonts w:ascii="Book Antiqua" w:hAnsi="Book Antiqua" w:cs="Times New Roman"/>
          <w:color w:val="000000" w:themeColor="text1"/>
          <w:sz w:val="24"/>
          <w:szCs w:val="24"/>
        </w:rPr>
        <w:t xml:space="preserve"> of intestinal metaplasia</w:t>
      </w:r>
      <w:bookmarkEnd w:id="43"/>
      <w:bookmarkEnd w:id="44"/>
      <w:r w:rsidR="00966E42" w:rsidRPr="006B24DA">
        <w:rPr>
          <w:rFonts w:ascii="Book Antiqua" w:hAnsi="Book Antiqua" w:cs="Times New Roman"/>
          <w:color w:val="000000" w:themeColor="text1"/>
          <w:sz w:val="24"/>
          <w:szCs w:val="24"/>
        </w:rPr>
        <w:t xml:space="preserve"> </w:t>
      </w:r>
      <w:r w:rsidRPr="006B24DA">
        <w:rPr>
          <w:rFonts w:ascii="Book Antiqua" w:hAnsi="Book Antiqua" w:cs="Times New Roman"/>
          <w:color w:val="000000" w:themeColor="text1"/>
          <w:sz w:val="24"/>
          <w:szCs w:val="24"/>
        </w:rPr>
        <w:t>(</w:t>
      </w:r>
      <w:r w:rsidR="00966E42" w:rsidRPr="006B24DA">
        <w:rPr>
          <w:rFonts w:ascii="Book Antiqua" w:hAnsi="Book Antiqua" w:cs="Times New Roman"/>
          <w:color w:val="000000" w:themeColor="text1"/>
          <w:sz w:val="24"/>
          <w:szCs w:val="24"/>
        </w:rPr>
        <w:t>CRIM</w:t>
      </w:r>
      <w:r w:rsidRPr="006B24DA">
        <w:rPr>
          <w:rFonts w:ascii="Book Antiqua" w:hAnsi="Book Antiqua" w:cs="Times New Roman"/>
          <w:color w:val="000000" w:themeColor="text1"/>
          <w:sz w:val="24"/>
          <w:szCs w:val="24"/>
        </w:rPr>
        <w:t xml:space="preserve">) </w:t>
      </w:r>
      <w:r w:rsidR="002926C2" w:rsidRPr="006B24DA">
        <w:rPr>
          <w:rFonts w:ascii="Book Antiqua" w:hAnsi="Book Antiqua" w:cs="Times New Roman"/>
          <w:color w:val="000000" w:themeColor="text1"/>
          <w:sz w:val="24"/>
          <w:szCs w:val="24"/>
        </w:rPr>
        <w:t xml:space="preserve">by endoscopic resection and/or ablation, </w:t>
      </w:r>
      <w:r w:rsidRPr="006B24DA">
        <w:rPr>
          <w:rFonts w:ascii="Book Antiqua" w:hAnsi="Book Antiqua" w:cs="Times New Roman"/>
          <w:color w:val="000000" w:themeColor="text1"/>
          <w:sz w:val="24"/>
          <w:szCs w:val="24"/>
        </w:rPr>
        <w:t xml:space="preserve">but are destined to life-long PPIs. In addition, TIF after </w:t>
      </w:r>
      <w:r w:rsidR="00A66203" w:rsidRPr="006B24DA">
        <w:rPr>
          <w:rFonts w:ascii="Book Antiqua" w:hAnsi="Book Antiqua" w:cs="Times New Roman"/>
          <w:color w:val="000000" w:themeColor="text1"/>
          <w:sz w:val="24"/>
          <w:szCs w:val="24"/>
        </w:rPr>
        <w:t xml:space="preserve">per-oral endoscopic </w:t>
      </w:r>
      <w:proofErr w:type="spellStart"/>
      <w:r w:rsidR="00A66203" w:rsidRPr="006B24DA">
        <w:rPr>
          <w:rFonts w:ascii="Book Antiqua" w:hAnsi="Book Antiqua" w:cs="Times New Roman"/>
          <w:color w:val="000000" w:themeColor="text1"/>
          <w:sz w:val="24"/>
          <w:szCs w:val="24"/>
        </w:rPr>
        <w:t>myotomy</w:t>
      </w:r>
      <w:proofErr w:type="spellEnd"/>
      <w:r w:rsidR="00A66203" w:rsidRPr="006B24DA">
        <w:rPr>
          <w:rFonts w:ascii="Book Antiqua" w:hAnsi="Book Antiqua" w:cs="Times New Roman"/>
          <w:color w:val="000000" w:themeColor="text1"/>
          <w:sz w:val="24"/>
          <w:szCs w:val="24"/>
        </w:rPr>
        <w:t xml:space="preserve"> (POEM)</w:t>
      </w:r>
      <w:r w:rsidRPr="006B24DA">
        <w:rPr>
          <w:rFonts w:ascii="Book Antiqua" w:hAnsi="Book Antiqua" w:cs="Times New Roman"/>
          <w:color w:val="000000" w:themeColor="text1"/>
          <w:sz w:val="24"/>
          <w:szCs w:val="24"/>
        </w:rPr>
        <w:t xml:space="preserve"> is a very exciting area of exploration </w:t>
      </w:r>
      <w:r w:rsidR="00966E42" w:rsidRPr="006B24DA">
        <w:rPr>
          <w:rFonts w:ascii="Book Antiqua" w:hAnsi="Book Antiqua" w:cs="Times New Roman"/>
          <w:color w:val="000000" w:themeColor="text1"/>
          <w:sz w:val="24"/>
          <w:szCs w:val="24"/>
        </w:rPr>
        <w:t>-</w:t>
      </w:r>
      <w:r w:rsidRPr="006B24DA">
        <w:rPr>
          <w:rFonts w:ascii="Book Antiqua" w:hAnsi="Book Antiqua" w:cs="Times New Roman"/>
          <w:color w:val="000000" w:themeColor="text1"/>
          <w:sz w:val="24"/>
          <w:szCs w:val="24"/>
        </w:rPr>
        <w:t xml:space="preserve"> as the benefits of POEM over laparoscopic Heller </w:t>
      </w:r>
      <w:proofErr w:type="spellStart"/>
      <w:r w:rsidRPr="006B24DA">
        <w:rPr>
          <w:rFonts w:ascii="Book Antiqua" w:hAnsi="Book Antiqua" w:cs="Times New Roman"/>
          <w:color w:val="000000" w:themeColor="text1"/>
          <w:sz w:val="24"/>
          <w:szCs w:val="24"/>
        </w:rPr>
        <w:t>myotomy</w:t>
      </w:r>
      <w:proofErr w:type="spellEnd"/>
      <w:r w:rsidR="00A66203" w:rsidRPr="006B24DA">
        <w:rPr>
          <w:rFonts w:ascii="Book Antiqua" w:hAnsi="Book Antiqua" w:cs="Times New Roman"/>
          <w:color w:val="000000" w:themeColor="text1"/>
          <w:sz w:val="24"/>
          <w:szCs w:val="24"/>
        </w:rPr>
        <w:t xml:space="preserve"> (LHM)</w:t>
      </w:r>
      <w:r w:rsidRPr="006B24DA">
        <w:rPr>
          <w:rFonts w:ascii="Book Antiqua" w:hAnsi="Book Antiqua" w:cs="Times New Roman"/>
          <w:color w:val="000000" w:themeColor="text1"/>
          <w:sz w:val="24"/>
          <w:szCs w:val="24"/>
        </w:rPr>
        <w:t xml:space="preserve"> with partial fundoplication for patients with achalasia may be outweighed by th</w:t>
      </w:r>
      <w:r w:rsidR="00D33133" w:rsidRPr="006B24DA">
        <w:rPr>
          <w:rFonts w:ascii="Book Antiqua" w:hAnsi="Book Antiqua" w:cs="Times New Roman"/>
          <w:color w:val="000000" w:themeColor="text1"/>
          <w:sz w:val="24"/>
          <w:szCs w:val="24"/>
        </w:rPr>
        <w:t xml:space="preserve">e incidence of post-POEM GERD. </w:t>
      </w:r>
      <w:r w:rsidRPr="006B24DA">
        <w:rPr>
          <w:rFonts w:ascii="Book Antiqua" w:hAnsi="Book Antiqua" w:cs="Times New Roman"/>
          <w:color w:val="000000" w:themeColor="text1"/>
          <w:sz w:val="24"/>
          <w:szCs w:val="24"/>
        </w:rPr>
        <w:t xml:space="preserve">If, however, post-POEM GERD can be controlled either by PPI or TIF, then it would tip the balance strongly to POEM as the procedure of </w:t>
      </w:r>
      <w:r w:rsidR="00D33133" w:rsidRPr="006B24DA">
        <w:rPr>
          <w:rFonts w:ascii="Book Antiqua" w:hAnsi="Book Antiqua" w:cs="Times New Roman"/>
          <w:color w:val="000000" w:themeColor="text1"/>
          <w:sz w:val="24"/>
          <w:szCs w:val="24"/>
        </w:rPr>
        <w:t xml:space="preserve">choice for achalasia patients. </w:t>
      </w:r>
      <w:r w:rsidRPr="006B24DA">
        <w:rPr>
          <w:rFonts w:ascii="Book Antiqua" w:hAnsi="Book Antiqua" w:cs="Times New Roman"/>
          <w:color w:val="000000" w:themeColor="text1"/>
          <w:sz w:val="24"/>
          <w:szCs w:val="24"/>
        </w:rPr>
        <w:t>This will be discussed more ex</w:t>
      </w:r>
      <w:r w:rsidR="00966E42" w:rsidRPr="006B24DA">
        <w:rPr>
          <w:rFonts w:ascii="Book Antiqua" w:hAnsi="Book Antiqua" w:cs="Times New Roman"/>
          <w:color w:val="000000" w:themeColor="text1"/>
          <w:sz w:val="24"/>
          <w:szCs w:val="24"/>
        </w:rPr>
        <w:t>tensively in the next section.</w:t>
      </w:r>
    </w:p>
    <w:p w14:paraId="44C79BB3" w14:textId="46762E62" w:rsidR="00E20495" w:rsidRPr="006B24DA" w:rsidRDefault="00966E42" w:rsidP="007761C0">
      <w:pPr>
        <w:pStyle w:val="Body"/>
        <w:adjustRightInd w:val="0"/>
        <w:snapToGrid w:val="0"/>
        <w:spacing w:line="360" w:lineRule="auto"/>
        <w:jc w:val="both"/>
        <w:rPr>
          <w:rFonts w:ascii="Book Antiqua" w:hAnsi="Book Antiqua" w:cs="Times New Roman"/>
          <w:color w:val="000000" w:themeColor="text1"/>
          <w:sz w:val="24"/>
          <w:szCs w:val="24"/>
        </w:rPr>
      </w:pPr>
      <w:r w:rsidRPr="006B24DA">
        <w:rPr>
          <w:rFonts w:ascii="Book Antiqua" w:hAnsi="Book Antiqua" w:cs="Times New Roman"/>
          <w:color w:val="000000" w:themeColor="text1"/>
          <w:sz w:val="24"/>
          <w:szCs w:val="24"/>
        </w:rPr>
        <w:t xml:space="preserve">  </w:t>
      </w:r>
      <w:r w:rsidR="00E20495" w:rsidRPr="006B24DA">
        <w:rPr>
          <w:rFonts w:ascii="Book Antiqua" w:hAnsi="Book Antiqua" w:cs="Times New Roman"/>
          <w:color w:val="000000" w:themeColor="text1"/>
          <w:sz w:val="24"/>
          <w:szCs w:val="24"/>
        </w:rPr>
        <w:t>We are also developing new techniques and technologies for endoscopic treatment of GERD among patients with altered anatomy (</w:t>
      </w:r>
      <w:proofErr w:type="spellStart"/>
      <w:r w:rsidR="00E20495" w:rsidRPr="006B24DA">
        <w:rPr>
          <w:rFonts w:ascii="Book Antiqua" w:hAnsi="Book Antiqua" w:cs="Times New Roman"/>
          <w:color w:val="000000" w:themeColor="text1"/>
          <w:sz w:val="24"/>
          <w:szCs w:val="24"/>
        </w:rPr>
        <w:t>esophagectomy</w:t>
      </w:r>
      <w:proofErr w:type="spellEnd"/>
      <w:r w:rsidR="00E20495" w:rsidRPr="006B24DA">
        <w:rPr>
          <w:rFonts w:ascii="Book Antiqua" w:hAnsi="Book Antiqua" w:cs="Times New Roman"/>
          <w:color w:val="000000" w:themeColor="text1"/>
          <w:sz w:val="24"/>
          <w:szCs w:val="24"/>
        </w:rPr>
        <w:t xml:space="preserve">, sleeve gastrectomy, gastric bypass, </w:t>
      </w:r>
      <w:proofErr w:type="gramStart"/>
      <w:r w:rsidR="00E20495" w:rsidRPr="006B24DA">
        <w:rPr>
          <w:rFonts w:ascii="Book Antiqua" w:hAnsi="Book Antiqua" w:cs="Times New Roman"/>
          <w:color w:val="000000" w:themeColor="text1"/>
          <w:sz w:val="24"/>
          <w:szCs w:val="24"/>
        </w:rPr>
        <w:t>failed</w:t>
      </w:r>
      <w:proofErr w:type="gramEnd"/>
      <w:r w:rsidR="00E20495" w:rsidRPr="006B24DA">
        <w:rPr>
          <w:rFonts w:ascii="Book Antiqua" w:hAnsi="Book Antiqua" w:cs="Times New Roman"/>
          <w:color w:val="000000" w:themeColor="text1"/>
          <w:sz w:val="24"/>
          <w:szCs w:val="24"/>
        </w:rPr>
        <w:t xml:space="preserve"> </w:t>
      </w:r>
      <w:proofErr w:type="spellStart"/>
      <w:r w:rsidR="00E20495" w:rsidRPr="006B24DA">
        <w:rPr>
          <w:rFonts w:ascii="Book Antiqua" w:hAnsi="Book Antiqua" w:cs="Times New Roman"/>
          <w:color w:val="000000" w:themeColor="text1"/>
          <w:sz w:val="24"/>
          <w:szCs w:val="24"/>
        </w:rPr>
        <w:t>Nissen</w:t>
      </w:r>
      <w:proofErr w:type="spellEnd"/>
      <w:r w:rsidR="00E20495" w:rsidRPr="006B24DA">
        <w:rPr>
          <w:rFonts w:ascii="Book Antiqua" w:hAnsi="Book Antiqua" w:cs="Times New Roman"/>
          <w:color w:val="000000" w:themeColor="text1"/>
          <w:sz w:val="24"/>
          <w:szCs w:val="24"/>
        </w:rPr>
        <w:t xml:space="preserve"> fundoplication) using endoscopic suturing alone (Apollo Overstitch) and in combination with mucosal ablation and endoscopic resection. We reported the first case series of 10 patients who underwent endoscopic augmentation of the </w:t>
      </w:r>
      <w:r w:rsidR="00B27D0F" w:rsidRPr="006B24DA">
        <w:rPr>
          <w:rFonts w:ascii="Book Antiqua" w:hAnsi="Book Antiqua" w:cs="Times New Roman"/>
          <w:color w:val="000000" w:themeColor="text1"/>
          <w:sz w:val="24"/>
          <w:szCs w:val="24"/>
        </w:rPr>
        <w:t>EGJ</w:t>
      </w:r>
      <w:r w:rsidR="00E20495" w:rsidRPr="006B24DA">
        <w:rPr>
          <w:rFonts w:ascii="Book Antiqua" w:hAnsi="Book Antiqua" w:cs="Times New Roman"/>
          <w:color w:val="000000" w:themeColor="text1"/>
          <w:sz w:val="24"/>
          <w:szCs w:val="24"/>
        </w:rPr>
        <w:t xml:space="preserve"> using the Apollo </w:t>
      </w:r>
      <w:proofErr w:type="spellStart"/>
      <w:r w:rsidR="00E20495" w:rsidRPr="006B24DA">
        <w:rPr>
          <w:rFonts w:ascii="Book Antiqua" w:hAnsi="Book Antiqua" w:cs="Times New Roman"/>
          <w:color w:val="000000" w:themeColor="text1"/>
          <w:sz w:val="24"/>
          <w:szCs w:val="24"/>
        </w:rPr>
        <w:t>OverStitch</w:t>
      </w:r>
      <w:proofErr w:type="spellEnd"/>
      <w:r w:rsidR="00E20495" w:rsidRPr="006B24DA">
        <w:rPr>
          <w:rFonts w:ascii="Book Antiqua" w:hAnsi="Book Antiqua" w:cs="Times New Roman"/>
          <w:color w:val="000000" w:themeColor="text1"/>
          <w:sz w:val="24"/>
          <w:szCs w:val="24"/>
        </w:rPr>
        <w:t xml:space="preserve"> endoscopic suturing system in patients with </w:t>
      </w:r>
      <w:proofErr w:type="gramStart"/>
      <w:r w:rsidR="00E20495" w:rsidRPr="006B24DA">
        <w:rPr>
          <w:rFonts w:ascii="Book Antiqua" w:hAnsi="Book Antiqua" w:cs="Times New Roman"/>
          <w:color w:val="000000" w:themeColor="text1"/>
          <w:sz w:val="24"/>
          <w:szCs w:val="24"/>
        </w:rPr>
        <w:t>GERD</w:t>
      </w:r>
      <w:r w:rsidR="00E20495" w:rsidRPr="006B24DA">
        <w:rPr>
          <w:rFonts w:ascii="Book Antiqua" w:hAnsi="Book Antiqua" w:cs="Times New Roman"/>
          <w:noProof/>
          <w:color w:val="000000" w:themeColor="text1"/>
          <w:sz w:val="24"/>
          <w:szCs w:val="24"/>
          <w:vertAlign w:val="superscript"/>
        </w:rPr>
        <w:t>[</w:t>
      </w:r>
      <w:proofErr w:type="gramEnd"/>
      <w:r w:rsidR="00E20495" w:rsidRPr="006B24DA">
        <w:rPr>
          <w:rFonts w:ascii="Book Antiqua" w:hAnsi="Book Antiqua" w:cs="Times New Roman"/>
          <w:noProof/>
          <w:color w:val="000000" w:themeColor="text1"/>
          <w:sz w:val="24"/>
          <w:szCs w:val="24"/>
          <w:vertAlign w:val="superscript"/>
        </w:rPr>
        <w:t>23]</w:t>
      </w:r>
      <w:r w:rsidR="00E20495" w:rsidRPr="006B24DA">
        <w:rPr>
          <w:rFonts w:ascii="Book Antiqua" w:hAnsi="Book Antiqua" w:cs="Times New Roman"/>
          <w:color w:val="000000" w:themeColor="text1"/>
          <w:sz w:val="24"/>
          <w:szCs w:val="24"/>
        </w:rPr>
        <w:t xml:space="preserve">. Using a double-channel </w:t>
      </w:r>
      <w:proofErr w:type="spellStart"/>
      <w:r w:rsidR="00E20495" w:rsidRPr="006B24DA">
        <w:rPr>
          <w:rFonts w:ascii="Book Antiqua" w:hAnsi="Book Antiqua" w:cs="Times New Roman"/>
          <w:color w:val="000000" w:themeColor="text1"/>
          <w:sz w:val="24"/>
          <w:szCs w:val="24"/>
        </w:rPr>
        <w:t>gastroscope</w:t>
      </w:r>
      <w:proofErr w:type="spellEnd"/>
      <w:r w:rsidR="00E20495" w:rsidRPr="006B24DA">
        <w:rPr>
          <w:rFonts w:ascii="Book Antiqua" w:hAnsi="Book Antiqua" w:cs="Times New Roman"/>
          <w:color w:val="000000" w:themeColor="text1"/>
          <w:sz w:val="24"/>
          <w:szCs w:val="24"/>
        </w:rPr>
        <w:t xml:space="preserve"> affixed to the endoscopic suturing platform, interrupted (individual) sutures were placed on the gastric side of the EGJ in 2 layers in order to create a narrowed and elongated EGJ </w:t>
      </w:r>
      <w:r w:rsidR="00B42F2F" w:rsidRPr="006B24DA">
        <w:rPr>
          <w:rFonts w:ascii="Book Antiqua" w:hAnsi="Book Antiqua" w:cs="Times New Roman"/>
          <w:bCs/>
          <w:color w:val="000000" w:themeColor="text1"/>
          <w:sz w:val="24"/>
          <w:szCs w:val="24"/>
        </w:rPr>
        <w:t>(Figure 7</w:t>
      </w:r>
      <w:r w:rsidR="00E20495" w:rsidRPr="006B24DA">
        <w:rPr>
          <w:rFonts w:ascii="Book Antiqua" w:hAnsi="Book Antiqua" w:cs="Times New Roman"/>
          <w:bCs/>
          <w:color w:val="000000" w:themeColor="text1"/>
          <w:sz w:val="24"/>
          <w:szCs w:val="24"/>
        </w:rPr>
        <w:t>A-F)</w:t>
      </w:r>
      <w:r w:rsidR="00D33133" w:rsidRPr="006B24DA">
        <w:rPr>
          <w:rFonts w:ascii="Book Antiqua" w:hAnsi="Book Antiqua" w:cs="Times New Roman"/>
          <w:color w:val="000000" w:themeColor="text1"/>
          <w:sz w:val="24"/>
          <w:szCs w:val="24"/>
        </w:rPr>
        <w:t xml:space="preserve">. </w:t>
      </w:r>
      <w:r w:rsidR="00E20495" w:rsidRPr="006B24DA">
        <w:rPr>
          <w:rFonts w:ascii="Book Antiqua" w:hAnsi="Book Antiqua" w:cs="Times New Roman"/>
          <w:color w:val="000000" w:themeColor="text1"/>
          <w:sz w:val="24"/>
          <w:szCs w:val="24"/>
        </w:rPr>
        <w:t xml:space="preserve">Technical success </w:t>
      </w:r>
      <w:r w:rsidR="00E20495" w:rsidRPr="006B24DA">
        <w:rPr>
          <w:rFonts w:ascii="Book Antiqua" w:hAnsi="Book Antiqua" w:cs="Times New Roman"/>
          <w:color w:val="000000" w:themeColor="text1"/>
          <w:sz w:val="24"/>
          <w:szCs w:val="24"/>
        </w:rPr>
        <w:lastRenderedPageBreak/>
        <w:t>was achieved in all patients, including those with a history of previous anti</w:t>
      </w:r>
      <w:r w:rsidR="002926C2" w:rsidRPr="006B24DA">
        <w:rPr>
          <w:rFonts w:ascii="Book Antiqua" w:hAnsi="Book Antiqua" w:cs="Times New Roman"/>
          <w:color w:val="000000" w:themeColor="text1"/>
          <w:sz w:val="24"/>
          <w:szCs w:val="24"/>
        </w:rPr>
        <w:t>-</w:t>
      </w:r>
      <w:r w:rsidR="00E20495" w:rsidRPr="006B24DA">
        <w:rPr>
          <w:rFonts w:ascii="Book Antiqua" w:hAnsi="Book Antiqua" w:cs="Times New Roman"/>
          <w:color w:val="000000" w:themeColor="text1"/>
          <w:sz w:val="24"/>
          <w:szCs w:val="24"/>
        </w:rPr>
        <w:t>reflux procedures (</w:t>
      </w:r>
      <w:r w:rsidR="00E20495" w:rsidRPr="006B24DA">
        <w:rPr>
          <w:rFonts w:ascii="Book Antiqua" w:hAnsi="Book Antiqua" w:cs="Times New Roman"/>
          <w:i/>
          <w:color w:val="000000" w:themeColor="text1"/>
          <w:sz w:val="24"/>
          <w:szCs w:val="24"/>
        </w:rPr>
        <w:t xml:space="preserve">n </w:t>
      </w:r>
      <w:r w:rsidR="00E20495" w:rsidRPr="006B24DA">
        <w:rPr>
          <w:rFonts w:ascii="Book Antiqua" w:hAnsi="Book Antiqua" w:cs="Times New Roman"/>
          <w:color w:val="000000" w:themeColor="text1"/>
          <w:sz w:val="24"/>
          <w:szCs w:val="24"/>
        </w:rPr>
        <w:t>= 7) and those with a hiatal hernia (</w:t>
      </w:r>
      <w:r w:rsidR="00E20495" w:rsidRPr="006B24DA">
        <w:rPr>
          <w:rFonts w:ascii="Book Antiqua" w:hAnsi="Book Antiqua" w:cs="Times New Roman"/>
          <w:i/>
          <w:color w:val="000000" w:themeColor="text1"/>
          <w:sz w:val="24"/>
          <w:szCs w:val="24"/>
        </w:rPr>
        <w:t xml:space="preserve">n </w:t>
      </w:r>
      <w:r w:rsidR="00E20495" w:rsidRPr="006B24DA">
        <w:rPr>
          <w:rFonts w:ascii="Book Antiqua" w:hAnsi="Book Antiqua" w:cs="Times New Roman"/>
          <w:color w:val="000000" w:themeColor="text1"/>
          <w:sz w:val="24"/>
          <w:szCs w:val="24"/>
        </w:rPr>
        <w:t xml:space="preserve">= 6). Patients with prior </w:t>
      </w:r>
      <w:proofErr w:type="spellStart"/>
      <w:r w:rsidR="00E20495" w:rsidRPr="006B24DA">
        <w:rPr>
          <w:rFonts w:ascii="Book Antiqua" w:hAnsi="Book Antiqua" w:cs="Times New Roman"/>
          <w:color w:val="000000" w:themeColor="text1"/>
          <w:sz w:val="24"/>
          <w:szCs w:val="24"/>
        </w:rPr>
        <w:t>esophagectomy</w:t>
      </w:r>
      <w:proofErr w:type="spellEnd"/>
      <w:r w:rsidR="00E20495" w:rsidRPr="006B24DA">
        <w:rPr>
          <w:rFonts w:ascii="Book Antiqua" w:hAnsi="Book Antiqua" w:cs="Times New Roman"/>
          <w:color w:val="000000" w:themeColor="text1"/>
          <w:sz w:val="24"/>
          <w:szCs w:val="24"/>
        </w:rPr>
        <w:t xml:space="preserve"> and sleeve gastrectomy were also included. The median pre-procedure GERD-Health Related Quality of Life Questionna</w:t>
      </w:r>
      <w:r w:rsidRPr="006B24DA">
        <w:rPr>
          <w:rFonts w:ascii="Book Antiqua" w:hAnsi="Book Antiqua" w:cs="Times New Roman"/>
          <w:color w:val="000000" w:themeColor="text1"/>
          <w:sz w:val="24"/>
          <w:szCs w:val="24"/>
        </w:rPr>
        <w:t>ire improved from 20 (range: 11-</w:t>
      </w:r>
      <w:r w:rsidR="00E20495" w:rsidRPr="006B24DA">
        <w:rPr>
          <w:rFonts w:ascii="Book Antiqua" w:hAnsi="Book Antiqua" w:cs="Times New Roman"/>
          <w:color w:val="000000" w:themeColor="text1"/>
          <w:sz w:val="24"/>
          <w:szCs w:val="24"/>
        </w:rPr>
        <w:t>45) to a post</w:t>
      </w:r>
      <w:r w:rsidRPr="006B24DA">
        <w:rPr>
          <w:rFonts w:ascii="Book Antiqua" w:hAnsi="Book Antiqua" w:cs="Times New Roman"/>
          <w:color w:val="000000" w:themeColor="text1"/>
          <w:sz w:val="24"/>
          <w:szCs w:val="24"/>
        </w:rPr>
        <w:t>-procedure score of 6 (range: 3-</w:t>
      </w:r>
      <w:r w:rsidR="00E20495" w:rsidRPr="006B24DA">
        <w:rPr>
          <w:rFonts w:ascii="Book Antiqua" w:hAnsi="Book Antiqua" w:cs="Times New Roman"/>
          <w:color w:val="000000" w:themeColor="text1"/>
          <w:sz w:val="24"/>
          <w:szCs w:val="24"/>
        </w:rPr>
        <w:t>25) (</w:t>
      </w:r>
      <w:r w:rsidR="00E20495" w:rsidRPr="006B24DA">
        <w:rPr>
          <w:rFonts w:ascii="Book Antiqua" w:hAnsi="Book Antiqua" w:cs="Times New Roman"/>
          <w:i/>
          <w:color w:val="000000" w:themeColor="text1"/>
          <w:sz w:val="24"/>
          <w:szCs w:val="24"/>
        </w:rPr>
        <w:t xml:space="preserve">P </w:t>
      </w:r>
      <w:r w:rsidR="00E20495" w:rsidRPr="006B24DA">
        <w:rPr>
          <w:rFonts w:ascii="Book Antiqua" w:hAnsi="Book Antiqua" w:cs="Times New Roman"/>
          <w:color w:val="000000" w:themeColor="text1"/>
          <w:sz w:val="24"/>
          <w:szCs w:val="24"/>
        </w:rPr>
        <w:t>= 0.001). The median duration of GERD symptom improvement after the procedure, howeve</w:t>
      </w:r>
      <w:r w:rsidRPr="006B24DA">
        <w:rPr>
          <w:rFonts w:ascii="Book Antiqua" w:hAnsi="Book Antiqua" w:cs="Times New Roman"/>
          <w:color w:val="000000" w:themeColor="text1"/>
          <w:sz w:val="24"/>
          <w:szCs w:val="24"/>
        </w:rPr>
        <w:t>r, was only 1 mo</w:t>
      </w:r>
      <w:r w:rsidR="002926C2" w:rsidRPr="006B24DA">
        <w:rPr>
          <w:rFonts w:ascii="Book Antiqua" w:hAnsi="Book Antiqua" w:cs="Times New Roman"/>
          <w:color w:val="000000" w:themeColor="text1"/>
          <w:sz w:val="24"/>
          <w:szCs w:val="24"/>
        </w:rPr>
        <w:t>nth</w:t>
      </w:r>
      <w:r w:rsidRPr="006B24DA">
        <w:rPr>
          <w:rFonts w:ascii="Book Antiqua" w:hAnsi="Book Antiqua" w:cs="Times New Roman"/>
          <w:color w:val="000000" w:themeColor="text1"/>
          <w:sz w:val="24"/>
          <w:szCs w:val="24"/>
        </w:rPr>
        <w:t xml:space="preserve"> (range: 0.5-</w:t>
      </w:r>
      <w:r w:rsidR="00E20495" w:rsidRPr="006B24DA">
        <w:rPr>
          <w:rFonts w:ascii="Book Antiqua" w:hAnsi="Book Antiqua" w:cs="Times New Roman"/>
          <w:color w:val="000000" w:themeColor="text1"/>
          <w:sz w:val="24"/>
          <w:szCs w:val="24"/>
        </w:rPr>
        <w:t xml:space="preserve">4). Adverse events were limited to </w:t>
      </w:r>
      <w:r w:rsidR="002926C2" w:rsidRPr="006B24DA">
        <w:rPr>
          <w:rFonts w:ascii="Book Antiqua" w:hAnsi="Book Antiqua" w:cs="Times New Roman"/>
          <w:color w:val="000000" w:themeColor="text1"/>
          <w:sz w:val="24"/>
          <w:szCs w:val="24"/>
        </w:rPr>
        <w:t>one</w:t>
      </w:r>
      <w:r w:rsidR="00E20495" w:rsidRPr="006B24DA">
        <w:rPr>
          <w:rFonts w:ascii="Book Antiqua" w:hAnsi="Book Antiqua" w:cs="Times New Roman"/>
          <w:color w:val="000000" w:themeColor="text1"/>
          <w:sz w:val="24"/>
          <w:szCs w:val="24"/>
        </w:rPr>
        <w:t xml:space="preserve"> patient who developed se</w:t>
      </w:r>
      <w:r w:rsidR="00D33133" w:rsidRPr="006B24DA">
        <w:rPr>
          <w:rFonts w:ascii="Book Antiqua" w:hAnsi="Book Antiqua" w:cs="Times New Roman"/>
          <w:color w:val="000000" w:themeColor="text1"/>
          <w:sz w:val="24"/>
          <w:szCs w:val="24"/>
        </w:rPr>
        <w:t>lf-limited nausea and vomiting.</w:t>
      </w:r>
      <w:r w:rsidR="00E20495" w:rsidRPr="006B24DA" w:rsidDel="0046532F">
        <w:rPr>
          <w:rFonts w:ascii="Book Antiqua" w:hAnsi="Book Antiqua" w:cs="Times New Roman"/>
          <w:color w:val="000000" w:themeColor="text1"/>
          <w:sz w:val="24"/>
          <w:szCs w:val="24"/>
        </w:rPr>
        <w:t xml:space="preserve"> </w:t>
      </w:r>
      <w:r w:rsidR="00E20495" w:rsidRPr="006B24DA">
        <w:rPr>
          <w:rFonts w:ascii="Book Antiqua" w:hAnsi="Book Antiqua" w:cs="Times New Roman"/>
          <w:color w:val="000000" w:themeColor="text1"/>
          <w:sz w:val="24"/>
          <w:szCs w:val="24"/>
        </w:rPr>
        <w:t>From this preliminary pilot study, we concluded that the technique using a commercially available device for suturing to create a gastro-gastric plication was feasible and appeared safe, especially among patients with altered anatomy which would have precluded all other available s</w:t>
      </w:r>
      <w:r w:rsidR="00D33133" w:rsidRPr="006B24DA">
        <w:rPr>
          <w:rFonts w:ascii="Book Antiqua" w:hAnsi="Book Antiqua" w:cs="Times New Roman"/>
          <w:color w:val="000000" w:themeColor="text1"/>
          <w:sz w:val="24"/>
          <w:szCs w:val="24"/>
        </w:rPr>
        <w:t xml:space="preserve">urgical or endoscopic options. </w:t>
      </w:r>
      <w:r w:rsidR="00E20495" w:rsidRPr="006B24DA">
        <w:rPr>
          <w:rFonts w:ascii="Book Antiqua" w:hAnsi="Book Antiqua" w:cs="Times New Roman"/>
          <w:color w:val="000000" w:themeColor="text1"/>
          <w:sz w:val="24"/>
          <w:szCs w:val="24"/>
        </w:rPr>
        <w:t xml:space="preserve">However, it became apparent that </w:t>
      </w:r>
      <w:r w:rsidR="00D33133" w:rsidRPr="006B24DA">
        <w:rPr>
          <w:rFonts w:ascii="Book Antiqua" w:hAnsi="Book Antiqua" w:cs="Times New Roman"/>
          <w:color w:val="000000" w:themeColor="text1"/>
          <w:sz w:val="24"/>
          <w:szCs w:val="24"/>
        </w:rPr>
        <w:t xml:space="preserve">the durability was inadequate. </w:t>
      </w:r>
      <w:r w:rsidR="00E20495" w:rsidRPr="006B24DA">
        <w:rPr>
          <w:rFonts w:ascii="Book Antiqua" w:hAnsi="Book Antiqua" w:cs="Times New Roman"/>
          <w:color w:val="000000" w:themeColor="text1"/>
          <w:sz w:val="24"/>
          <w:szCs w:val="24"/>
        </w:rPr>
        <w:t xml:space="preserve">The sutures were not predictably placed through the </w:t>
      </w:r>
      <w:proofErr w:type="spellStart"/>
      <w:r w:rsidR="00E20495" w:rsidRPr="006B24DA">
        <w:rPr>
          <w:rFonts w:ascii="Book Antiqua" w:hAnsi="Book Antiqua" w:cs="Times New Roman"/>
          <w:color w:val="000000" w:themeColor="text1"/>
          <w:sz w:val="24"/>
          <w:szCs w:val="24"/>
        </w:rPr>
        <w:t>muscularis</w:t>
      </w:r>
      <w:proofErr w:type="spellEnd"/>
      <w:r w:rsidR="00E20495" w:rsidRPr="006B24DA">
        <w:rPr>
          <w:rFonts w:ascii="Book Antiqua" w:hAnsi="Book Antiqua" w:cs="Times New Roman"/>
          <w:color w:val="000000" w:themeColor="text1"/>
          <w:sz w:val="24"/>
          <w:szCs w:val="24"/>
        </w:rPr>
        <w:t xml:space="preserve"> </w:t>
      </w:r>
      <w:proofErr w:type="spellStart"/>
      <w:r w:rsidR="00E20495" w:rsidRPr="006B24DA">
        <w:rPr>
          <w:rFonts w:ascii="Book Antiqua" w:hAnsi="Book Antiqua" w:cs="Times New Roman"/>
          <w:color w:val="000000" w:themeColor="text1"/>
          <w:sz w:val="24"/>
          <w:szCs w:val="24"/>
        </w:rPr>
        <w:t>propria</w:t>
      </w:r>
      <w:proofErr w:type="spellEnd"/>
      <w:r w:rsidR="00D4044E" w:rsidRPr="006B24DA">
        <w:rPr>
          <w:rFonts w:ascii="Book Antiqua" w:hAnsi="Book Antiqua" w:cs="Times New Roman"/>
          <w:color w:val="000000" w:themeColor="text1"/>
          <w:sz w:val="24"/>
          <w:szCs w:val="24"/>
        </w:rPr>
        <w:t xml:space="preserve"> (MP)</w:t>
      </w:r>
      <w:r w:rsidR="00E20495" w:rsidRPr="006B24DA">
        <w:rPr>
          <w:rFonts w:ascii="Book Antiqua" w:hAnsi="Book Antiqua" w:cs="Times New Roman"/>
          <w:color w:val="000000" w:themeColor="text1"/>
          <w:sz w:val="24"/>
          <w:szCs w:val="24"/>
        </w:rPr>
        <w:t xml:space="preserve"> and over time the sutures would easily cut through the mucosa and ca</w:t>
      </w:r>
      <w:r w:rsidR="00D33133" w:rsidRPr="006B24DA">
        <w:rPr>
          <w:rFonts w:ascii="Book Antiqua" w:hAnsi="Book Antiqua" w:cs="Times New Roman"/>
          <w:color w:val="000000" w:themeColor="text1"/>
          <w:sz w:val="24"/>
          <w:szCs w:val="24"/>
        </w:rPr>
        <w:t>use loosening of the plication.</w:t>
      </w:r>
      <w:r w:rsidR="00E20495" w:rsidRPr="006B24DA">
        <w:rPr>
          <w:rFonts w:ascii="Book Antiqua" w:hAnsi="Book Antiqua" w:cs="Times New Roman"/>
          <w:color w:val="000000" w:themeColor="text1"/>
          <w:sz w:val="24"/>
          <w:szCs w:val="24"/>
        </w:rPr>
        <w:t xml:space="preserve"> In addition, since this was a mucosa to mucosa approximation, adhesion would not be expected to occur, thus lead</w:t>
      </w:r>
      <w:r w:rsidR="00D33133" w:rsidRPr="006B24DA">
        <w:rPr>
          <w:rFonts w:ascii="Book Antiqua" w:hAnsi="Book Antiqua" w:cs="Times New Roman"/>
          <w:color w:val="000000" w:themeColor="text1"/>
          <w:sz w:val="24"/>
          <w:szCs w:val="24"/>
        </w:rPr>
        <w:t>ing to a shortened durability.</w:t>
      </w:r>
      <w:r w:rsidR="00E20495" w:rsidRPr="006B24DA">
        <w:rPr>
          <w:rFonts w:ascii="Book Antiqua" w:hAnsi="Book Antiqua" w:cs="Times New Roman"/>
          <w:color w:val="000000" w:themeColor="text1"/>
          <w:sz w:val="24"/>
          <w:szCs w:val="24"/>
        </w:rPr>
        <w:t xml:space="preserve"> A potential solution was to ablate the mucosa with argon plasma coagulation</w:t>
      </w:r>
      <w:r w:rsidR="003E0C40" w:rsidRPr="006B24DA">
        <w:rPr>
          <w:rFonts w:ascii="Book Antiqua" w:hAnsi="Book Antiqua" w:cs="Times New Roman"/>
          <w:color w:val="000000" w:themeColor="text1"/>
          <w:sz w:val="24"/>
          <w:szCs w:val="24"/>
        </w:rPr>
        <w:t xml:space="preserve"> (APC)</w:t>
      </w:r>
      <w:r w:rsidR="00E20495" w:rsidRPr="006B24DA">
        <w:rPr>
          <w:rFonts w:ascii="Book Antiqua" w:hAnsi="Book Antiqua" w:cs="Times New Roman"/>
          <w:color w:val="000000" w:themeColor="text1"/>
          <w:sz w:val="24"/>
          <w:szCs w:val="24"/>
        </w:rPr>
        <w:t>, a technique we use for gastric bypass revisions where we ablate the gastric mucosa prior to placing a purse-string suture around the pouch an</w:t>
      </w:r>
      <w:r w:rsidR="00D33133" w:rsidRPr="006B24DA">
        <w:rPr>
          <w:rFonts w:ascii="Book Antiqua" w:hAnsi="Book Antiqua" w:cs="Times New Roman"/>
          <w:color w:val="000000" w:themeColor="text1"/>
          <w:sz w:val="24"/>
          <w:szCs w:val="24"/>
        </w:rPr>
        <w:t>astomosis to narrow the outlet.</w:t>
      </w:r>
      <w:r w:rsidR="00E20495" w:rsidRPr="006B24DA">
        <w:rPr>
          <w:rFonts w:ascii="Book Antiqua" w:hAnsi="Book Antiqua" w:cs="Times New Roman"/>
          <w:color w:val="000000" w:themeColor="text1"/>
          <w:sz w:val="24"/>
          <w:szCs w:val="24"/>
        </w:rPr>
        <w:t xml:space="preserve"> We termed this technique </w:t>
      </w:r>
      <w:bookmarkStart w:id="45" w:name="OLE_LINK58"/>
      <w:bookmarkStart w:id="46" w:name="OLE_LINK59"/>
      <w:r w:rsidRPr="006B24DA">
        <w:rPr>
          <w:rFonts w:ascii="Book Antiqua" w:hAnsi="Book Antiqua" w:cs="Times New Roman"/>
          <w:color w:val="000000" w:themeColor="text1"/>
          <w:sz w:val="24"/>
          <w:szCs w:val="24"/>
        </w:rPr>
        <w:t>mucosal ablation and suturing of the EGJ</w:t>
      </w:r>
      <w:bookmarkEnd w:id="45"/>
      <w:bookmarkEnd w:id="46"/>
      <w:r w:rsidRPr="006B24DA">
        <w:rPr>
          <w:rFonts w:ascii="Book Antiqua" w:hAnsi="Book Antiqua" w:cs="Times New Roman"/>
          <w:color w:val="000000" w:themeColor="text1"/>
          <w:sz w:val="24"/>
          <w:szCs w:val="24"/>
        </w:rPr>
        <w:t xml:space="preserve"> </w:t>
      </w:r>
      <w:r w:rsidR="00E20495" w:rsidRPr="006B24DA">
        <w:rPr>
          <w:rFonts w:ascii="Book Antiqua" w:hAnsi="Book Antiqua" w:cs="Times New Roman"/>
          <w:color w:val="000000" w:themeColor="text1"/>
          <w:sz w:val="24"/>
          <w:szCs w:val="24"/>
        </w:rPr>
        <w:t>(</w:t>
      </w:r>
      <w:r w:rsidRPr="006B24DA">
        <w:rPr>
          <w:rFonts w:ascii="Book Antiqua" w:hAnsi="Book Antiqua" w:cs="Times New Roman"/>
          <w:color w:val="000000" w:themeColor="text1"/>
          <w:sz w:val="24"/>
          <w:szCs w:val="24"/>
        </w:rPr>
        <w:t>MASE</w:t>
      </w:r>
      <w:r w:rsidR="00E20495" w:rsidRPr="006B24DA">
        <w:rPr>
          <w:rFonts w:ascii="Book Antiqua" w:hAnsi="Book Antiqua" w:cs="Times New Roman"/>
          <w:color w:val="000000" w:themeColor="text1"/>
          <w:sz w:val="24"/>
          <w:szCs w:val="24"/>
        </w:rPr>
        <w:t xml:space="preserve">), and conducted a pilot trial in 27 patients with a typical procedural length of 25 </w:t>
      </w:r>
      <w:proofErr w:type="gramStart"/>
      <w:r w:rsidR="00E20495" w:rsidRPr="006B24DA">
        <w:rPr>
          <w:rFonts w:ascii="Book Antiqua" w:hAnsi="Book Antiqua" w:cs="Times New Roman"/>
          <w:color w:val="000000" w:themeColor="text1"/>
          <w:sz w:val="24"/>
          <w:szCs w:val="24"/>
        </w:rPr>
        <w:t>min</w:t>
      </w:r>
      <w:r w:rsidR="00E20495" w:rsidRPr="006B24DA">
        <w:rPr>
          <w:rFonts w:ascii="Book Antiqua" w:hAnsi="Book Antiqua" w:cs="Times New Roman"/>
          <w:noProof/>
          <w:color w:val="000000" w:themeColor="text1"/>
          <w:sz w:val="24"/>
          <w:szCs w:val="24"/>
          <w:vertAlign w:val="superscript"/>
        </w:rPr>
        <w:t>[</w:t>
      </w:r>
      <w:proofErr w:type="gramEnd"/>
      <w:r w:rsidR="00E20495" w:rsidRPr="006B24DA">
        <w:rPr>
          <w:rFonts w:ascii="Book Antiqua" w:hAnsi="Book Antiqua" w:cs="Times New Roman"/>
          <w:noProof/>
          <w:color w:val="000000" w:themeColor="text1"/>
          <w:sz w:val="24"/>
          <w:szCs w:val="24"/>
          <w:vertAlign w:val="superscript"/>
        </w:rPr>
        <w:t>24]</w:t>
      </w:r>
      <w:r w:rsidR="00E20495" w:rsidRPr="006B24DA">
        <w:rPr>
          <w:rFonts w:ascii="Book Antiqua" w:hAnsi="Book Antiqua" w:cs="Times New Roman"/>
          <w:color w:val="000000" w:themeColor="text1"/>
          <w:sz w:val="24"/>
          <w:szCs w:val="24"/>
        </w:rPr>
        <w:t xml:space="preserve"> (</w:t>
      </w:r>
      <w:r w:rsidR="00B42F2F" w:rsidRPr="006B24DA">
        <w:rPr>
          <w:rFonts w:ascii="Book Antiqua" w:hAnsi="Book Antiqua" w:cs="Times New Roman"/>
          <w:bCs/>
          <w:color w:val="000000" w:themeColor="text1"/>
          <w:sz w:val="24"/>
          <w:szCs w:val="24"/>
        </w:rPr>
        <w:t>Figure 8</w:t>
      </w:r>
      <w:r w:rsidR="00E20495" w:rsidRPr="006B24DA">
        <w:rPr>
          <w:rFonts w:ascii="Book Antiqua" w:hAnsi="Book Antiqua" w:cs="Times New Roman"/>
          <w:bCs/>
          <w:color w:val="000000" w:themeColor="text1"/>
          <w:sz w:val="24"/>
          <w:szCs w:val="24"/>
        </w:rPr>
        <w:t>A-F)</w:t>
      </w:r>
      <w:r w:rsidR="00D33133" w:rsidRPr="006B24DA">
        <w:rPr>
          <w:rFonts w:ascii="Book Antiqua" w:hAnsi="Book Antiqua" w:cs="Times New Roman"/>
          <w:color w:val="000000" w:themeColor="text1"/>
          <w:sz w:val="24"/>
          <w:szCs w:val="24"/>
        </w:rPr>
        <w:t xml:space="preserve">. </w:t>
      </w:r>
      <w:r w:rsidR="00E20495" w:rsidRPr="006B24DA">
        <w:rPr>
          <w:rFonts w:ascii="Book Antiqua" w:hAnsi="Book Antiqua" w:cs="Times New Roman"/>
          <w:color w:val="000000" w:themeColor="text1"/>
          <w:sz w:val="24"/>
          <w:szCs w:val="24"/>
        </w:rPr>
        <w:t>The mean follow-up time was 124 d</w:t>
      </w:r>
      <w:r w:rsidR="00283F9C" w:rsidRPr="006B24DA">
        <w:rPr>
          <w:rFonts w:ascii="Book Antiqua" w:hAnsi="Book Antiqua" w:cs="Times New Roman"/>
          <w:color w:val="000000" w:themeColor="text1"/>
          <w:sz w:val="24"/>
          <w:szCs w:val="24"/>
        </w:rPr>
        <w:t>ays</w:t>
      </w:r>
      <w:r w:rsidR="00E20495" w:rsidRPr="006B24DA">
        <w:rPr>
          <w:rFonts w:ascii="Book Antiqua" w:hAnsi="Book Antiqua" w:cs="Times New Roman"/>
          <w:color w:val="000000" w:themeColor="text1"/>
          <w:sz w:val="24"/>
          <w:szCs w:val="24"/>
        </w:rPr>
        <w:t>. The indications for the procedure included either poorly controlled symptoms (48%) or a desire to discontinue their medication (52%). Seven patients (26%) had altered anatomy from prior surgery: Fundoplication (</w:t>
      </w:r>
      <w:r w:rsidRPr="006B24DA">
        <w:rPr>
          <w:rFonts w:ascii="Book Antiqua" w:hAnsi="Book Antiqua" w:cs="Times New Roman"/>
          <w:i/>
          <w:color w:val="000000" w:themeColor="text1"/>
          <w:sz w:val="24"/>
          <w:szCs w:val="24"/>
        </w:rPr>
        <w:t>n</w:t>
      </w:r>
      <w:r w:rsidRPr="006B24DA">
        <w:rPr>
          <w:rFonts w:ascii="Book Antiqua" w:hAnsi="Book Antiqua" w:cs="Times New Roman"/>
          <w:color w:val="000000" w:themeColor="text1"/>
          <w:sz w:val="24"/>
          <w:szCs w:val="24"/>
        </w:rPr>
        <w:t xml:space="preserve"> </w:t>
      </w:r>
      <w:r w:rsidR="00E20495" w:rsidRPr="006B24DA">
        <w:rPr>
          <w:rFonts w:ascii="Book Antiqua" w:hAnsi="Book Antiqua" w:cs="Times New Roman"/>
          <w:color w:val="000000" w:themeColor="text1"/>
          <w:sz w:val="24"/>
          <w:szCs w:val="24"/>
        </w:rPr>
        <w:t>=</w:t>
      </w:r>
      <w:r w:rsidRPr="006B24DA">
        <w:rPr>
          <w:rFonts w:ascii="Book Antiqua" w:hAnsi="Book Antiqua" w:cs="Times New Roman"/>
          <w:color w:val="000000" w:themeColor="text1"/>
          <w:sz w:val="24"/>
          <w:szCs w:val="24"/>
        </w:rPr>
        <w:t xml:space="preserve"> </w:t>
      </w:r>
      <w:r w:rsidR="00E20495" w:rsidRPr="006B24DA">
        <w:rPr>
          <w:rFonts w:ascii="Book Antiqua" w:hAnsi="Book Antiqua" w:cs="Times New Roman"/>
          <w:color w:val="000000" w:themeColor="text1"/>
          <w:sz w:val="24"/>
          <w:szCs w:val="24"/>
        </w:rPr>
        <w:t xml:space="preserve">4), </w:t>
      </w:r>
      <w:proofErr w:type="spellStart"/>
      <w:r w:rsidR="00E20495" w:rsidRPr="006B24DA">
        <w:rPr>
          <w:rFonts w:ascii="Book Antiqua" w:hAnsi="Book Antiqua" w:cs="Times New Roman"/>
          <w:color w:val="000000" w:themeColor="text1"/>
          <w:sz w:val="24"/>
          <w:szCs w:val="24"/>
        </w:rPr>
        <w:t>Billroth</w:t>
      </w:r>
      <w:proofErr w:type="spellEnd"/>
      <w:r w:rsidR="00E20495" w:rsidRPr="006B24DA">
        <w:rPr>
          <w:rFonts w:ascii="Book Antiqua" w:hAnsi="Book Antiqua" w:cs="Times New Roman"/>
          <w:color w:val="000000" w:themeColor="text1"/>
          <w:sz w:val="24"/>
          <w:szCs w:val="24"/>
        </w:rPr>
        <w:t xml:space="preserve"> II (</w:t>
      </w:r>
      <w:r w:rsidRPr="006B24DA">
        <w:rPr>
          <w:rFonts w:ascii="Book Antiqua" w:hAnsi="Book Antiqua" w:cs="Times New Roman"/>
          <w:i/>
          <w:color w:val="000000" w:themeColor="text1"/>
          <w:sz w:val="24"/>
          <w:szCs w:val="24"/>
        </w:rPr>
        <w:t>n</w:t>
      </w:r>
      <w:r w:rsidRPr="006B24DA">
        <w:rPr>
          <w:rFonts w:ascii="Book Antiqua" w:hAnsi="Book Antiqua" w:cs="Times New Roman"/>
          <w:color w:val="000000" w:themeColor="text1"/>
          <w:sz w:val="24"/>
          <w:szCs w:val="24"/>
        </w:rPr>
        <w:t xml:space="preserve"> </w:t>
      </w:r>
      <w:r w:rsidR="00E20495" w:rsidRPr="006B24DA">
        <w:rPr>
          <w:rFonts w:ascii="Book Antiqua" w:hAnsi="Book Antiqua" w:cs="Times New Roman"/>
          <w:color w:val="000000" w:themeColor="text1"/>
          <w:sz w:val="24"/>
          <w:szCs w:val="24"/>
        </w:rPr>
        <w:t>=</w:t>
      </w:r>
      <w:r w:rsidRPr="006B24DA">
        <w:rPr>
          <w:rFonts w:ascii="Book Antiqua" w:hAnsi="Book Antiqua" w:cs="Times New Roman"/>
          <w:color w:val="000000" w:themeColor="text1"/>
          <w:sz w:val="24"/>
          <w:szCs w:val="24"/>
        </w:rPr>
        <w:t xml:space="preserve"> </w:t>
      </w:r>
      <w:r w:rsidR="00E20495" w:rsidRPr="006B24DA">
        <w:rPr>
          <w:rFonts w:ascii="Book Antiqua" w:hAnsi="Book Antiqua" w:cs="Times New Roman"/>
          <w:color w:val="000000" w:themeColor="text1"/>
          <w:sz w:val="24"/>
          <w:szCs w:val="24"/>
        </w:rPr>
        <w:t>1), Roux-</w:t>
      </w:r>
      <w:proofErr w:type="spellStart"/>
      <w:r w:rsidR="00E20495" w:rsidRPr="006B24DA">
        <w:rPr>
          <w:rFonts w:ascii="Book Antiqua" w:hAnsi="Book Antiqua" w:cs="Times New Roman"/>
          <w:color w:val="000000" w:themeColor="text1"/>
          <w:sz w:val="24"/>
          <w:szCs w:val="24"/>
        </w:rPr>
        <w:t>en</w:t>
      </w:r>
      <w:proofErr w:type="spellEnd"/>
      <w:r w:rsidR="00E20495" w:rsidRPr="006B24DA">
        <w:rPr>
          <w:rFonts w:ascii="Book Antiqua" w:hAnsi="Book Antiqua" w:cs="Times New Roman"/>
          <w:color w:val="000000" w:themeColor="text1"/>
          <w:sz w:val="24"/>
          <w:szCs w:val="24"/>
        </w:rPr>
        <w:t>-Y (</w:t>
      </w:r>
      <w:r w:rsidRPr="006B24DA">
        <w:rPr>
          <w:rFonts w:ascii="Book Antiqua" w:hAnsi="Book Antiqua" w:cs="Times New Roman"/>
          <w:i/>
          <w:color w:val="000000" w:themeColor="text1"/>
          <w:sz w:val="24"/>
          <w:szCs w:val="24"/>
        </w:rPr>
        <w:t>n</w:t>
      </w:r>
      <w:r w:rsidRPr="006B24DA">
        <w:rPr>
          <w:rFonts w:ascii="Book Antiqua" w:hAnsi="Book Antiqua" w:cs="Times New Roman"/>
          <w:color w:val="000000" w:themeColor="text1"/>
          <w:sz w:val="24"/>
          <w:szCs w:val="24"/>
        </w:rPr>
        <w:t xml:space="preserve"> </w:t>
      </w:r>
      <w:r w:rsidR="00E20495" w:rsidRPr="006B24DA">
        <w:rPr>
          <w:rFonts w:ascii="Book Antiqua" w:hAnsi="Book Antiqua" w:cs="Times New Roman"/>
          <w:color w:val="000000" w:themeColor="text1"/>
          <w:sz w:val="24"/>
          <w:szCs w:val="24"/>
        </w:rPr>
        <w:t>=</w:t>
      </w:r>
      <w:r w:rsidRPr="006B24DA">
        <w:rPr>
          <w:rFonts w:ascii="Book Antiqua" w:hAnsi="Book Antiqua" w:cs="Times New Roman"/>
          <w:color w:val="000000" w:themeColor="text1"/>
          <w:sz w:val="24"/>
          <w:szCs w:val="24"/>
        </w:rPr>
        <w:t xml:space="preserve"> </w:t>
      </w:r>
      <w:r w:rsidR="00E20495" w:rsidRPr="006B24DA">
        <w:rPr>
          <w:rFonts w:ascii="Book Antiqua" w:hAnsi="Book Antiqua" w:cs="Times New Roman"/>
          <w:color w:val="000000" w:themeColor="text1"/>
          <w:sz w:val="24"/>
          <w:szCs w:val="24"/>
        </w:rPr>
        <w:t>1), and Sleeve gastrectomy (</w:t>
      </w:r>
      <w:r w:rsidRPr="006B24DA">
        <w:rPr>
          <w:rFonts w:ascii="Book Antiqua" w:hAnsi="Book Antiqua" w:cs="Times New Roman"/>
          <w:i/>
          <w:color w:val="000000" w:themeColor="text1"/>
          <w:sz w:val="24"/>
          <w:szCs w:val="24"/>
        </w:rPr>
        <w:t>n</w:t>
      </w:r>
      <w:r w:rsidRPr="006B24DA">
        <w:rPr>
          <w:rFonts w:ascii="Book Antiqua" w:hAnsi="Book Antiqua" w:cs="Times New Roman"/>
          <w:color w:val="000000" w:themeColor="text1"/>
          <w:sz w:val="24"/>
          <w:szCs w:val="24"/>
        </w:rPr>
        <w:t xml:space="preserve"> </w:t>
      </w:r>
      <w:r w:rsidR="00E20495" w:rsidRPr="006B24DA">
        <w:rPr>
          <w:rFonts w:ascii="Book Antiqua" w:hAnsi="Book Antiqua" w:cs="Times New Roman"/>
          <w:color w:val="000000" w:themeColor="text1"/>
          <w:sz w:val="24"/>
          <w:szCs w:val="24"/>
        </w:rPr>
        <w:t>=</w:t>
      </w:r>
      <w:r w:rsidRPr="006B24DA">
        <w:rPr>
          <w:rFonts w:ascii="Book Antiqua" w:hAnsi="Book Antiqua" w:cs="Times New Roman"/>
          <w:color w:val="000000" w:themeColor="text1"/>
          <w:sz w:val="24"/>
          <w:szCs w:val="24"/>
        </w:rPr>
        <w:t xml:space="preserve"> </w:t>
      </w:r>
      <w:r w:rsidR="00E20495" w:rsidRPr="006B24DA">
        <w:rPr>
          <w:rFonts w:ascii="Book Antiqua" w:hAnsi="Book Antiqua" w:cs="Times New Roman"/>
          <w:color w:val="000000" w:themeColor="text1"/>
          <w:sz w:val="24"/>
          <w:szCs w:val="24"/>
        </w:rPr>
        <w:t xml:space="preserve">1). Pre-procedure, 22 patients (82%) were on once or twice daily PPI therapy and 5 patients were on H2-receptor antagonists/topical antacids. Of the 22 patients on daily PPI, 13 patients (59%) were able to discontinue their medication, and 3 patients (14%) were able to reduce their dose. Of the 7 patients with altered anatomy, 4 patients (57%) were able to discontinue or reduce their PPI after </w:t>
      </w:r>
      <w:r w:rsidR="00E20495" w:rsidRPr="006B24DA">
        <w:rPr>
          <w:rFonts w:ascii="Book Antiqua" w:hAnsi="Book Antiqua" w:cs="Times New Roman"/>
          <w:color w:val="000000" w:themeColor="text1"/>
          <w:sz w:val="24"/>
          <w:szCs w:val="24"/>
        </w:rPr>
        <w:lastRenderedPageBreak/>
        <w:t>the procedure. With regards to tolerance, the most common side effect was self-limited epigastric pain post-procedure (22%). One patient required an overnight stay in hospital for intravenous pain control. There were no other early or late complications. Our experience thus far suggests that mucosal ablation prior to suturing hel</w:t>
      </w:r>
      <w:r w:rsidR="00D33133" w:rsidRPr="006B24DA">
        <w:rPr>
          <w:rFonts w:ascii="Book Antiqua" w:hAnsi="Book Antiqua" w:cs="Times New Roman"/>
          <w:color w:val="000000" w:themeColor="text1"/>
          <w:sz w:val="24"/>
          <w:szCs w:val="24"/>
        </w:rPr>
        <w:t xml:space="preserve">ps to increase its durability. </w:t>
      </w:r>
      <w:r w:rsidR="00E20495" w:rsidRPr="006B24DA">
        <w:rPr>
          <w:rFonts w:ascii="Book Antiqua" w:hAnsi="Book Antiqua" w:cs="Times New Roman"/>
          <w:color w:val="000000" w:themeColor="text1"/>
          <w:sz w:val="24"/>
          <w:szCs w:val="24"/>
        </w:rPr>
        <w:t>The other variation of this method is to perform endoscopic mucosal res</w:t>
      </w:r>
      <w:r w:rsidR="00D33133" w:rsidRPr="006B24DA">
        <w:rPr>
          <w:rFonts w:ascii="Book Antiqua" w:hAnsi="Book Antiqua" w:cs="Times New Roman"/>
          <w:color w:val="000000" w:themeColor="text1"/>
          <w:sz w:val="24"/>
          <w:szCs w:val="24"/>
        </w:rPr>
        <w:t>ection (EMR) prior to suturing.</w:t>
      </w:r>
      <w:r w:rsidR="00E20495" w:rsidRPr="006B24DA">
        <w:rPr>
          <w:rFonts w:ascii="Book Antiqua" w:hAnsi="Book Antiqua" w:cs="Times New Roman"/>
          <w:color w:val="000000" w:themeColor="text1"/>
          <w:sz w:val="24"/>
          <w:szCs w:val="24"/>
        </w:rPr>
        <w:t xml:space="preserve"> EMR or endoscopic submucosal dissection (ESD) has been shown in a small series to create scarring at the EGJ, which then decreases EGJ </w:t>
      </w:r>
      <w:proofErr w:type="spellStart"/>
      <w:r w:rsidR="00E20495" w:rsidRPr="006B24DA">
        <w:rPr>
          <w:rFonts w:ascii="Book Antiqua" w:hAnsi="Book Antiqua" w:cs="Times New Roman"/>
          <w:color w:val="000000" w:themeColor="text1"/>
          <w:sz w:val="24"/>
          <w:szCs w:val="24"/>
        </w:rPr>
        <w:t>dist</w:t>
      </w:r>
      <w:r w:rsidR="00D33133" w:rsidRPr="006B24DA">
        <w:rPr>
          <w:rFonts w:ascii="Book Antiqua" w:hAnsi="Book Antiqua" w:cs="Times New Roman"/>
          <w:color w:val="000000" w:themeColor="text1"/>
          <w:sz w:val="24"/>
          <w:szCs w:val="24"/>
        </w:rPr>
        <w:t>ensibility</w:t>
      </w:r>
      <w:proofErr w:type="spellEnd"/>
      <w:r w:rsidR="00D33133" w:rsidRPr="006B24DA">
        <w:rPr>
          <w:rFonts w:ascii="Book Antiqua" w:hAnsi="Book Antiqua" w:cs="Times New Roman"/>
          <w:color w:val="000000" w:themeColor="text1"/>
          <w:sz w:val="24"/>
          <w:szCs w:val="24"/>
        </w:rPr>
        <w:t xml:space="preserve"> and improve reflux. </w:t>
      </w:r>
      <w:r w:rsidR="00E20495" w:rsidRPr="006B24DA">
        <w:rPr>
          <w:rFonts w:ascii="Book Antiqua" w:hAnsi="Book Antiqua" w:cs="Times New Roman"/>
          <w:color w:val="000000" w:themeColor="text1"/>
          <w:sz w:val="24"/>
          <w:szCs w:val="24"/>
        </w:rPr>
        <w:t xml:space="preserve">This has been named </w:t>
      </w:r>
      <w:bookmarkStart w:id="47" w:name="OLE_LINK60"/>
      <w:bookmarkStart w:id="48" w:name="OLE_LINK61"/>
      <w:r w:rsidR="00E20495" w:rsidRPr="006B24DA">
        <w:rPr>
          <w:rFonts w:ascii="Book Antiqua" w:hAnsi="Book Antiqua" w:cs="Times New Roman"/>
          <w:color w:val="000000" w:themeColor="text1"/>
          <w:sz w:val="24"/>
          <w:szCs w:val="24"/>
        </w:rPr>
        <w:t xml:space="preserve">anti-reflux </w:t>
      </w:r>
      <w:proofErr w:type="spellStart"/>
      <w:r w:rsidR="00E20495" w:rsidRPr="006B24DA">
        <w:rPr>
          <w:rFonts w:ascii="Book Antiqua" w:hAnsi="Book Antiqua" w:cs="Times New Roman"/>
          <w:color w:val="000000" w:themeColor="text1"/>
          <w:sz w:val="24"/>
          <w:szCs w:val="24"/>
        </w:rPr>
        <w:t>mucosectomy</w:t>
      </w:r>
      <w:bookmarkEnd w:id="47"/>
      <w:bookmarkEnd w:id="48"/>
      <w:proofErr w:type="spellEnd"/>
      <w:r w:rsidR="00E20495" w:rsidRPr="006B24DA">
        <w:rPr>
          <w:rFonts w:ascii="Book Antiqua" w:hAnsi="Book Antiqua" w:cs="Times New Roman"/>
          <w:color w:val="000000" w:themeColor="text1"/>
          <w:sz w:val="24"/>
          <w:szCs w:val="24"/>
        </w:rPr>
        <w:t xml:space="preserve"> (ARM) and in a small series of ten patients showed improvement of esophageal acid </w:t>
      </w:r>
      <w:proofErr w:type="gramStart"/>
      <w:r w:rsidR="00E20495" w:rsidRPr="006B24DA">
        <w:rPr>
          <w:rFonts w:ascii="Book Antiqua" w:hAnsi="Book Antiqua" w:cs="Times New Roman"/>
          <w:color w:val="000000" w:themeColor="text1"/>
          <w:sz w:val="24"/>
          <w:szCs w:val="24"/>
        </w:rPr>
        <w:t>exposure</w:t>
      </w:r>
      <w:r w:rsidR="00E20495" w:rsidRPr="006B24DA">
        <w:rPr>
          <w:rFonts w:ascii="Book Antiqua" w:hAnsi="Book Antiqua" w:cs="Times New Roman"/>
          <w:noProof/>
          <w:color w:val="000000" w:themeColor="text1"/>
          <w:sz w:val="24"/>
          <w:szCs w:val="24"/>
          <w:vertAlign w:val="superscript"/>
        </w:rPr>
        <w:t>[</w:t>
      </w:r>
      <w:proofErr w:type="gramEnd"/>
      <w:r w:rsidR="00E20495" w:rsidRPr="006B24DA">
        <w:rPr>
          <w:rFonts w:ascii="Book Antiqua" w:hAnsi="Book Antiqua" w:cs="Times New Roman"/>
          <w:noProof/>
          <w:color w:val="000000" w:themeColor="text1"/>
          <w:sz w:val="24"/>
          <w:szCs w:val="24"/>
          <w:vertAlign w:val="superscript"/>
        </w:rPr>
        <w:t>25]</w:t>
      </w:r>
      <w:r w:rsidR="00D33133" w:rsidRPr="006B24DA">
        <w:rPr>
          <w:rFonts w:ascii="Book Antiqua" w:hAnsi="Book Antiqua" w:cs="Times New Roman"/>
          <w:color w:val="000000" w:themeColor="text1"/>
          <w:sz w:val="24"/>
          <w:szCs w:val="24"/>
        </w:rPr>
        <w:t xml:space="preserve">. </w:t>
      </w:r>
      <w:r w:rsidR="00E20495" w:rsidRPr="006B24DA">
        <w:rPr>
          <w:rFonts w:ascii="Book Antiqua" w:hAnsi="Book Antiqua" w:cs="Times New Roman"/>
          <w:color w:val="000000" w:themeColor="text1"/>
          <w:sz w:val="24"/>
          <w:szCs w:val="24"/>
        </w:rPr>
        <w:t xml:space="preserve">Combining EMR and suturing was the next step and this was done in a series of 10 patients with </w:t>
      </w:r>
      <w:proofErr w:type="gramStart"/>
      <w:r w:rsidR="00E20495" w:rsidRPr="006B24DA">
        <w:rPr>
          <w:rFonts w:ascii="Book Antiqua" w:hAnsi="Book Antiqua" w:cs="Times New Roman"/>
          <w:color w:val="000000" w:themeColor="text1"/>
          <w:sz w:val="24"/>
          <w:szCs w:val="24"/>
        </w:rPr>
        <w:t>GERD</w:t>
      </w:r>
      <w:r w:rsidR="00E20495" w:rsidRPr="006B24DA">
        <w:rPr>
          <w:rFonts w:ascii="Book Antiqua" w:hAnsi="Book Antiqua" w:cs="Times New Roman"/>
          <w:noProof/>
          <w:color w:val="000000" w:themeColor="text1"/>
          <w:sz w:val="24"/>
          <w:szCs w:val="24"/>
          <w:vertAlign w:val="superscript"/>
        </w:rPr>
        <w:t>[</w:t>
      </w:r>
      <w:proofErr w:type="gramEnd"/>
      <w:r w:rsidR="00E20495" w:rsidRPr="006B24DA">
        <w:rPr>
          <w:rFonts w:ascii="Book Antiqua" w:hAnsi="Book Antiqua" w:cs="Times New Roman"/>
          <w:noProof/>
          <w:color w:val="000000" w:themeColor="text1"/>
          <w:sz w:val="24"/>
          <w:szCs w:val="24"/>
          <w:vertAlign w:val="superscript"/>
        </w:rPr>
        <w:t>26]</w:t>
      </w:r>
      <w:r w:rsidR="00E20495" w:rsidRPr="006B24DA">
        <w:rPr>
          <w:rFonts w:ascii="Book Antiqua" w:hAnsi="Book Antiqua" w:cs="Times New Roman"/>
          <w:color w:val="000000" w:themeColor="text1"/>
          <w:sz w:val="24"/>
          <w:szCs w:val="24"/>
        </w:rPr>
        <w:t xml:space="preserve"> with over-all improvement of GERD symptoms and 8 of 10 patients were able</w:t>
      </w:r>
      <w:r w:rsidR="00D33133" w:rsidRPr="006B24DA">
        <w:rPr>
          <w:rFonts w:ascii="Book Antiqua" w:hAnsi="Book Antiqua" w:cs="Times New Roman"/>
          <w:color w:val="000000" w:themeColor="text1"/>
          <w:sz w:val="24"/>
          <w:szCs w:val="24"/>
        </w:rPr>
        <w:t xml:space="preserve"> to stop their PPI medications.</w:t>
      </w:r>
      <w:r w:rsidR="00E20495" w:rsidRPr="006B24DA">
        <w:rPr>
          <w:rFonts w:ascii="Book Antiqua" w:hAnsi="Book Antiqua" w:cs="Times New Roman"/>
          <w:color w:val="000000" w:themeColor="text1"/>
          <w:sz w:val="24"/>
          <w:szCs w:val="24"/>
        </w:rPr>
        <w:t xml:space="preserve"> This is called the resection and plication (RAP) procedure. We recently performed a combination gastric-bypass revision plus RAP in an obese patient who gained weight after previous gastric-bypass and also had GERD, which was only partially responsive to PPI </w:t>
      </w:r>
      <w:r w:rsidR="00B42F2F" w:rsidRPr="006B24DA">
        <w:rPr>
          <w:rFonts w:ascii="Book Antiqua" w:hAnsi="Book Antiqua" w:cs="Times New Roman"/>
          <w:bCs/>
          <w:color w:val="000000" w:themeColor="text1"/>
          <w:sz w:val="24"/>
          <w:szCs w:val="24"/>
        </w:rPr>
        <w:t>(Figure 9</w:t>
      </w:r>
      <w:r w:rsidR="00E20495" w:rsidRPr="006B24DA">
        <w:rPr>
          <w:rFonts w:ascii="Book Antiqua" w:hAnsi="Book Antiqua" w:cs="Times New Roman"/>
          <w:bCs/>
          <w:color w:val="000000" w:themeColor="text1"/>
          <w:sz w:val="24"/>
          <w:szCs w:val="24"/>
        </w:rPr>
        <w:t>A-D)</w:t>
      </w:r>
      <w:r w:rsidR="00D33133" w:rsidRPr="006B24DA">
        <w:rPr>
          <w:rFonts w:ascii="Book Antiqua" w:hAnsi="Book Antiqua" w:cs="Times New Roman"/>
          <w:color w:val="000000" w:themeColor="text1"/>
          <w:sz w:val="24"/>
          <w:szCs w:val="24"/>
        </w:rPr>
        <w:t xml:space="preserve">. </w:t>
      </w:r>
      <w:r w:rsidR="00E20495" w:rsidRPr="006B24DA">
        <w:rPr>
          <w:rFonts w:ascii="Book Antiqua" w:hAnsi="Book Antiqua" w:cs="Times New Roman"/>
          <w:color w:val="000000" w:themeColor="text1"/>
          <w:sz w:val="24"/>
          <w:szCs w:val="24"/>
        </w:rPr>
        <w:t>We are currently performing both the MASE and RAP procedures to examine the clinical benefits</w:t>
      </w:r>
      <w:r w:rsidR="00D33133" w:rsidRPr="006B24DA">
        <w:rPr>
          <w:rFonts w:ascii="Book Antiqua" w:hAnsi="Book Antiqua" w:cs="Times New Roman"/>
          <w:color w:val="000000" w:themeColor="text1"/>
          <w:sz w:val="24"/>
          <w:szCs w:val="24"/>
        </w:rPr>
        <w:t xml:space="preserve"> and nuances of each procedure.</w:t>
      </w:r>
      <w:r w:rsidR="00E20495" w:rsidRPr="006B24DA">
        <w:rPr>
          <w:rFonts w:ascii="Book Antiqua" w:hAnsi="Book Antiqua" w:cs="Times New Roman"/>
          <w:color w:val="000000" w:themeColor="text1"/>
          <w:sz w:val="24"/>
          <w:szCs w:val="24"/>
        </w:rPr>
        <w:t xml:space="preserve"> Since both can be done in an </w:t>
      </w:r>
      <w:proofErr w:type="spellStart"/>
      <w:r w:rsidR="00E20495" w:rsidRPr="006B24DA">
        <w:rPr>
          <w:rFonts w:ascii="Book Antiqua" w:hAnsi="Book Antiqua" w:cs="Times New Roman"/>
          <w:color w:val="000000" w:themeColor="text1"/>
          <w:sz w:val="24"/>
          <w:szCs w:val="24"/>
        </w:rPr>
        <w:t>antegrade</w:t>
      </w:r>
      <w:proofErr w:type="spellEnd"/>
      <w:r w:rsidR="00E20495" w:rsidRPr="006B24DA">
        <w:rPr>
          <w:rFonts w:ascii="Book Antiqua" w:hAnsi="Book Antiqua" w:cs="Times New Roman"/>
          <w:color w:val="000000" w:themeColor="text1"/>
          <w:sz w:val="24"/>
          <w:szCs w:val="24"/>
        </w:rPr>
        <w:t xml:space="preserve"> fashion, and may be the only option for GERD patients with altered anatomy, I anticipate that both of these techniques or a variation thereof, will be helpful in these special situations. They also may become reasonable options in patients who are in group 1 of the GERD spectrum, i.e. the upright-predominant phenotype without significant esophagitis.  </w:t>
      </w:r>
    </w:p>
    <w:p w14:paraId="38AD0AB4" w14:textId="77777777" w:rsidR="00E20495" w:rsidRPr="006B24DA" w:rsidRDefault="00E20495" w:rsidP="007761C0">
      <w:pPr>
        <w:autoSpaceDE w:val="0"/>
        <w:autoSpaceDN w:val="0"/>
        <w:adjustRightInd w:val="0"/>
        <w:snapToGrid w:val="0"/>
        <w:spacing w:after="0" w:line="360" w:lineRule="auto"/>
        <w:jc w:val="both"/>
        <w:rPr>
          <w:rFonts w:ascii="Book Antiqua" w:hAnsi="Book Antiqua" w:cs="Times New Roman"/>
          <w:color w:val="000000" w:themeColor="text1"/>
          <w:sz w:val="24"/>
          <w:szCs w:val="24"/>
        </w:rPr>
      </w:pPr>
    </w:p>
    <w:p w14:paraId="61806BB6" w14:textId="1A8281D2" w:rsidR="00E20495" w:rsidRPr="006B24DA" w:rsidRDefault="00A66203" w:rsidP="00F67887">
      <w:pPr>
        <w:autoSpaceDE w:val="0"/>
        <w:autoSpaceDN w:val="0"/>
        <w:adjustRightInd w:val="0"/>
        <w:snapToGrid w:val="0"/>
        <w:spacing w:after="0" w:line="360" w:lineRule="auto"/>
        <w:jc w:val="both"/>
        <w:outlineLvl w:val="0"/>
        <w:rPr>
          <w:rFonts w:ascii="Book Antiqua" w:hAnsi="Book Antiqua" w:cs="Times New Roman"/>
          <w:b/>
          <w:color w:val="000000" w:themeColor="text1"/>
          <w:sz w:val="24"/>
          <w:szCs w:val="24"/>
        </w:rPr>
      </w:pPr>
      <w:r w:rsidRPr="006B24DA">
        <w:rPr>
          <w:rFonts w:ascii="Book Antiqua" w:hAnsi="Book Antiqua" w:cs="Times New Roman"/>
          <w:b/>
          <w:color w:val="000000" w:themeColor="text1"/>
          <w:sz w:val="24"/>
          <w:szCs w:val="24"/>
        </w:rPr>
        <w:t>ACHALASIA - POEM</w:t>
      </w:r>
    </w:p>
    <w:p w14:paraId="2295A281" w14:textId="2F11349B" w:rsidR="00A66203" w:rsidRPr="006B24DA" w:rsidRDefault="00A66203" w:rsidP="007761C0">
      <w:pPr>
        <w:autoSpaceDE w:val="0"/>
        <w:autoSpaceDN w:val="0"/>
        <w:adjustRightInd w:val="0"/>
        <w:snapToGrid w:val="0"/>
        <w:spacing w:after="0" w:line="360" w:lineRule="auto"/>
        <w:jc w:val="both"/>
        <w:rPr>
          <w:rFonts w:ascii="Book Antiqua" w:hAnsi="Book Antiqua" w:cs="Times New Roman"/>
          <w:b/>
          <w:color w:val="000000" w:themeColor="text1"/>
          <w:sz w:val="24"/>
          <w:szCs w:val="24"/>
        </w:rPr>
      </w:pPr>
      <w:r w:rsidRPr="006B24DA">
        <w:rPr>
          <w:rFonts w:ascii="Book Antiqua" w:hAnsi="Book Antiqua" w:cs="Times New Roman"/>
          <w:b/>
          <w:i/>
          <w:color w:val="000000" w:themeColor="text1"/>
          <w:sz w:val="24"/>
          <w:szCs w:val="24"/>
        </w:rPr>
        <w:t>Lessons learned</w:t>
      </w:r>
    </w:p>
    <w:p w14:paraId="16B11A88" w14:textId="14229965" w:rsidR="00E20495" w:rsidRPr="006B24DA" w:rsidRDefault="00E20495" w:rsidP="007761C0">
      <w:pPr>
        <w:autoSpaceDE w:val="0"/>
        <w:autoSpaceDN w:val="0"/>
        <w:adjustRightInd w:val="0"/>
        <w:snapToGrid w:val="0"/>
        <w:spacing w:after="0" w:line="360" w:lineRule="auto"/>
        <w:jc w:val="both"/>
        <w:rPr>
          <w:rFonts w:ascii="Book Antiqua" w:eastAsia="Times New Roman" w:hAnsi="Book Antiqua" w:cs="Times New Roman"/>
          <w:bCs/>
          <w:color w:val="000000" w:themeColor="text1"/>
          <w:sz w:val="24"/>
          <w:szCs w:val="24"/>
        </w:rPr>
      </w:pPr>
      <w:r w:rsidRPr="006B24DA">
        <w:rPr>
          <w:rFonts w:ascii="Book Antiqua" w:hAnsi="Book Antiqua" w:cs="Times New Roman"/>
          <w:color w:val="000000" w:themeColor="text1"/>
          <w:sz w:val="24"/>
          <w:szCs w:val="24"/>
        </w:rPr>
        <w:t xml:space="preserve">The </w:t>
      </w:r>
      <w:r w:rsidR="00A66203" w:rsidRPr="006B24DA">
        <w:rPr>
          <w:rFonts w:ascii="Book Antiqua" w:hAnsi="Book Antiqua" w:cs="Times New Roman"/>
          <w:color w:val="000000" w:themeColor="text1"/>
          <w:sz w:val="24"/>
          <w:szCs w:val="24"/>
        </w:rPr>
        <w:t>LHM</w:t>
      </w:r>
      <w:r w:rsidRPr="006B24DA">
        <w:rPr>
          <w:rFonts w:ascii="Book Antiqua" w:hAnsi="Book Antiqua" w:cs="Times New Roman"/>
          <w:color w:val="000000" w:themeColor="text1"/>
          <w:sz w:val="24"/>
          <w:szCs w:val="24"/>
        </w:rPr>
        <w:t xml:space="preserve"> has been the standard of care for definitive treatment of achalasia for many </w:t>
      </w:r>
      <w:proofErr w:type="gramStart"/>
      <w:r w:rsidRPr="006B24DA">
        <w:rPr>
          <w:rFonts w:ascii="Book Antiqua" w:hAnsi="Book Antiqua" w:cs="Times New Roman"/>
          <w:color w:val="000000" w:themeColor="text1"/>
          <w:sz w:val="24"/>
          <w:szCs w:val="24"/>
        </w:rPr>
        <w:t>years</w:t>
      </w:r>
      <w:r w:rsidR="00A66203" w:rsidRPr="006B24DA">
        <w:rPr>
          <w:rFonts w:ascii="Book Antiqua" w:hAnsi="Book Antiqua" w:cs="Times New Roman"/>
          <w:noProof/>
          <w:color w:val="000000" w:themeColor="text1"/>
          <w:sz w:val="24"/>
          <w:szCs w:val="24"/>
          <w:vertAlign w:val="superscript"/>
        </w:rPr>
        <w:t>[</w:t>
      </w:r>
      <w:proofErr w:type="gramEnd"/>
      <w:r w:rsidR="00A66203" w:rsidRPr="006B24DA">
        <w:rPr>
          <w:rFonts w:ascii="Book Antiqua" w:hAnsi="Book Antiqua" w:cs="Times New Roman"/>
          <w:noProof/>
          <w:color w:val="000000" w:themeColor="text1"/>
          <w:sz w:val="24"/>
          <w:szCs w:val="24"/>
          <w:vertAlign w:val="superscript"/>
        </w:rPr>
        <w:t>27,</w:t>
      </w:r>
      <w:r w:rsidRPr="006B24DA">
        <w:rPr>
          <w:rFonts w:ascii="Book Antiqua" w:hAnsi="Book Antiqua" w:cs="Times New Roman"/>
          <w:noProof/>
          <w:color w:val="000000" w:themeColor="text1"/>
          <w:sz w:val="24"/>
          <w:szCs w:val="24"/>
          <w:vertAlign w:val="superscript"/>
        </w:rPr>
        <w:t>28]</w:t>
      </w:r>
      <w:r w:rsidRPr="006B24DA">
        <w:rPr>
          <w:rFonts w:ascii="Book Antiqua" w:hAnsi="Book Antiqua" w:cs="Times New Roman"/>
          <w:color w:val="000000" w:themeColor="text1"/>
          <w:sz w:val="24"/>
          <w:szCs w:val="24"/>
        </w:rPr>
        <w:t xml:space="preserve">. </w:t>
      </w:r>
      <w:bookmarkStart w:id="49" w:name="OLE_LINK62"/>
      <w:bookmarkStart w:id="50" w:name="OLE_LINK63"/>
      <w:bookmarkStart w:id="51" w:name="OLE_LINK64"/>
      <w:r w:rsidRPr="006B24DA">
        <w:rPr>
          <w:rFonts w:ascii="Book Antiqua" w:hAnsi="Book Antiqua" w:cs="Times New Roman"/>
          <w:color w:val="000000" w:themeColor="text1"/>
          <w:sz w:val="24"/>
          <w:szCs w:val="24"/>
        </w:rPr>
        <w:t>POEM</w:t>
      </w:r>
      <w:bookmarkEnd w:id="49"/>
      <w:bookmarkEnd w:id="50"/>
      <w:bookmarkEnd w:id="51"/>
      <w:r w:rsidRPr="006B24DA">
        <w:rPr>
          <w:rFonts w:ascii="Book Antiqua" w:hAnsi="Book Antiqua" w:cs="Times New Roman"/>
          <w:color w:val="000000" w:themeColor="text1"/>
          <w:sz w:val="24"/>
          <w:szCs w:val="24"/>
        </w:rPr>
        <w:t xml:space="preserve"> was first described by Inoue in 2010</w:t>
      </w:r>
      <w:r w:rsidRPr="006B24DA">
        <w:rPr>
          <w:rFonts w:ascii="Book Antiqua" w:hAnsi="Book Antiqua" w:cs="Times New Roman"/>
          <w:noProof/>
          <w:color w:val="000000" w:themeColor="text1"/>
          <w:sz w:val="24"/>
          <w:szCs w:val="24"/>
          <w:vertAlign w:val="superscript"/>
        </w:rPr>
        <w:t>[29]</w:t>
      </w:r>
      <w:r w:rsidRPr="006B24DA">
        <w:rPr>
          <w:rFonts w:ascii="Book Antiqua" w:hAnsi="Book Antiqua" w:cs="Times New Roman"/>
          <w:color w:val="000000" w:themeColor="text1"/>
          <w:sz w:val="24"/>
          <w:szCs w:val="24"/>
        </w:rPr>
        <w:t xml:space="preserve"> and is now considered the procedure of choice for treating achalasia in most tertiary </w:t>
      </w:r>
      <w:proofErr w:type="gramStart"/>
      <w:r w:rsidRPr="006B24DA">
        <w:rPr>
          <w:rFonts w:ascii="Book Antiqua" w:hAnsi="Book Antiqua" w:cs="Times New Roman"/>
          <w:color w:val="000000" w:themeColor="text1"/>
          <w:sz w:val="24"/>
          <w:szCs w:val="24"/>
        </w:rPr>
        <w:t>centers</w:t>
      </w:r>
      <w:r w:rsidRPr="006B24DA">
        <w:rPr>
          <w:rFonts w:ascii="Book Antiqua" w:hAnsi="Book Antiqua" w:cs="Times New Roman"/>
          <w:noProof/>
          <w:color w:val="000000" w:themeColor="text1"/>
          <w:sz w:val="24"/>
          <w:szCs w:val="24"/>
          <w:vertAlign w:val="superscript"/>
        </w:rPr>
        <w:t>[</w:t>
      </w:r>
      <w:proofErr w:type="gramEnd"/>
      <w:r w:rsidRPr="006B24DA">
        <w:rPr>
          <w:rFonts w:ascii="Book Antiqua" w:hAnsi="Book Antiqua" w:cs="Times New Roman"/>
          <w:noProof/>
          <w:color w:val="000000" w:themeColor="text1"/>
          <w:sz w:val="24"/>
          <w:szCs w:val="24"/>
          <w:vertAlign w:val="superscript"/>
        </w:rPr>
        <w:t>30-35]</w:t>
      </w:r>
      <w:r w:rsidR="00D33133" w:rsidRPr="006B24DA">
        <w:rPr>
          <w:rFonts w:ascii="Book Antiqua" w:hAnsi="Book Antiqua" w:cs="Times New Roman"/>
          <w:color w:val="000000" w:themeColor="text1"/>
          <w:sz w:val="24"/>
          <w:szCs w:val="24"/>
        </w:rPr>
        <w:t>.</w:t>
      </w:r>
      <w:r w:rsidRPr="006B24DA">
        <w:rPr>
          <w:rFonts w:ascii="Book Antiqua" w:hAnsi="Book Antiqua" w:cs="Times New Roman"/>
          <w:color w:val="000000" w:themeColor="text1"/>
          <w:sz w:val="24"/>
          <w:szCs w:val="24"/>
        </w:rPr>
        <w:t xml:space="preserve"> POEM has also been shown to be an effective rescue procedure in patients who have previously failed </w:t>
      </w:r>
      <w:proofErr w:type="gramStart"/>
      <w:r w:rsidRPr="006B24DA">
        <w:rPr>
          <w:rFonts w:ascii="Book Antiqua" w:hAnsi="Book Antiqua" w:cs="Times New Roman"/>
          <w:color w:val="000000" w:themeColor="text1"/>
          <w:sz w:val="24"/>
          <w:szCs w:val="24"/>
        </w:rPr>
        <w:t>LHM</w:t>
      </w:r>
      <w:r w:rsidR="00A66203" w:rsidRPr="006B24DA">
        <w:rPr>
          <w:rFonts w:ascii="Book Antiqua" w:hAnsi="Book Antiqua" w:cs="Times New Roman"/>
          <w:noProof/>
          <w:color w:val="000000" w:themeColor="text1"/>
          <w:sz w:val="24"/>
          <w:szCs w:val="24"/>
          <w:vertAlign w:val="superscript"/>
        </w:rPr>
        <w:t>[</w:t>
      </w:r>
      <w:proofErr w:type="gramEnd"/>
      <w:r w:rsidR="00A66203" w:rsidRPr="006B24DA">
        <w:rPr>
          <w:rFonts w:ascii="Book Antiqua" w:hAnsi="Book Antiqua" w:cs="Times New Roman"/>
          <w:noProof/>
          <w:color w:val="000000" w:themeColor="text1"/>
          <w:sz w:val="24"/>
          <w:szCs w:val="24"/>
          <w:vertAlign w:val="superscript"/>
        </w:rPr>
        <w:t>30,36,</w:t>
      </w:r>
      <w:r w:rsidRPr="006B24DA">
        <w:rPr>
          <w:rFonts w:ascii="Book Antiqua" w:hAnsi="Book Antiqua" w:cs="Times New Roman"/>
          <w:noProof/>
          <w:color w:val="000000" w:themeColor="text1"/>
          <w:sz w:val="24"/>
          <w:szCs w:val="24"/>
          <w:vertAlign w:val="superscript"/>
        </w:rPr>
        <w:t>37]</w:t>
      </w:r>
      <w:r w:rsidRPr="006B24DA">
        <w:rPr>
          <w:rFonts w:ascii="Book Antiqua" w:hAnsi="Book Antiqua" w:cs="Times New Roman"/>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Recent meta-analysis show that POEM may have better results than </w:t>
      </w:r>
      <w:proofErr w:type="gramStart"/>
      <w:r w:rsidRPr="006B24DA">
        <w:rPr>
          <w:rFonts w:ascii="Book Antiqua" w:eastAsia="Times New Roman" w:hAnsi="Book Antiqua" w:cs="Times New Roman"/>
          <w:bCs/>
          <w:color w:val="000000" w:themeColor="text1"/>
          <w:sz w:val="24"/>
          <w:szCs w:val="24"/>
        </w:rPr>
        <w:lastRenderedPageBreak/>
        <w:t>LHM</w:t>
      </w:r>
      <w:r w:rsidRPr="006B24DA">
        <w:rPr>
          <w:rFonts w:ascii="Book Antiqua" w:eastAsia="Times New Roman" w:hAnsi="Book Antiqua" w:cs="Times New Roman"/>
          <w:bCs/>
          <w:noProof/>
          <w:color w:val="000000" w:themeColor="text1"/>
          <w:sz w:val="24"/>
          <w:szCs w:val="24"/>
          <w:vertAlign w:val="superscript"/>
        </w:rPr>
        <w:t>[</w:t>
      </w:r>
      <w:proofErr w:type="gramEnd"/>
      <w:r w:rsidRPr="006B24DA">
        <w:rPr>
          <w:rFonts w:ascii="Book Antiqua" w:eastAsia="Times New Roman" w:hAnsi="Book Antiqua" w:cs="Times New Roman"/>
          <w:bCs/>
          <w:noProof/>
          <w:color w:val="000000" w:themeColor="text1"/>
          <w:sz w:val="24"/>
          <w:szCs w:val="24"/>
          <w:vertAlign w:val="superscript"/>
        </w:rPr>
        <w:t>38-41]</w:t>
      </w:r>
      <w:r w:rsidRPr="006B24DA">
        <w:rPr>
          <w:rFonts w:ascii="Book Antiqua" w:eastAsia="Times New Roman" w:hAnsi="Book Antiqua" w:cs="Times New Roman"/>
          <w:bCs/>
          <w:color w:val="000000" w:themeColor="text1"/>
          <w:sz w:val="24"/>
          <w:szCs w:val="24"/>
        </w:rPr>
        <w:t>, but the issue of post-POEM GERD being higher than post-LHM still needs to be addressed</w:t>
      </w:r>
      <w:r w:rsidRPr="006B24DA">
        <w:rPr>
          <w:rFonts w:ascii="Book Antiqua" w:eastAsia="Times New Roman" w:hAnsi="Book Antiqua" w:cs="Times New Roman"/>
          <w:bCs/>
          <w:noProof/>
          <w:color w:val="000000" w:themeColor="text1"/>
          <w:sz w:val="24"/>
          <w:szCs w:val="24"/>
          <w:vertAlign w:val="superscript"/>
        </w:rPr>
        <w:t>[42]</w:t>
      </w:r>
      <w:r w:rsidRPr="006B24DA">
        <w:rPr>
          <w:rFonts w:ascii="Book Antiqua" w:eastAsia="Times New Roman" w:hAnsi="Book Antiqua" w:cs="Times New Roman"/>
          <w:bCs/>
          <w:color w:val="000000" w:themeColor="text1"/>
          <w:sz w:val="24"/>
          <w:szCs w:val="24"/>
        </w:rPr>
        <w:t>. We need to keep in mind that LHM alone has a incidence of post-operative GERD of approximately 50%, while LHM in combination with a partial fundoplication reduces post-operative GERD to approximately 10</w:t>
      </w:r>
      <w:proofErr w:type="gramStart"/>
      <w:r w:rsidRPr="006B24DA">
        <w:rPr>
          <w:rFonts w:ascii="Book Antiqua" w:eastAsia="Times New Roman" w:hAnsi="Book Antiqua" w:cs="Times New Roman"/>
          <w:bCs/>
          <w:color w:val="000000" w:themeColor="text1"/>
          <w:sz w:val="24"/>
          <w:szCs w:val="24"/>
        </w:rPr>
        <w:t>%</w:t>
      </w:r>
      <w:r w:rsidRPr="006B24DA">
        <w:rPr>
          <w:rFonts w:ascii="Book Antiqua" w:eastAsia="Times New Roman" w:hAnsi="Book Antiqua" w:cs="Times New Roman"/>
          <w:bCs/>
          <w:noProof/>
          <w:color w:val="000000" w:themeColor="text1"/>
          <w:sz w:val="24"/>
          <w:szCs w:val="24"/>
          <w:vertAlign w:val="superscript"/>
        </w:rPr>
        <w:t>[</w:t>
      </w:r>
      <w:proofErr w:type="gramEnd"/>
      <w:r w:rsidRPr="006B24DA">
        <w:rPr>
          <w:rFonts w:ascii="Book Antiqua" w:eastAsia="Times New Roman" w:hAnsi="Book Antiqua" w:cs="Times New Roman"/>
          <w:bCs/>
          <w:noProof/>
          <w:color w:val="000000" w:themeColor="text1"/>
          <w:sz w:val="24"/>
          <w:szCs w:val="24"/>
          <w:vertAlign w:val="superscript"/>
        </w:rPr>
        <w:t>43]</w:t>
      </w:r>
      <w:r w:rsidRPr="006B24DA">
        <w:rPr>
          <w:rFonts w:ascii="Book Antiqua" w:eastAsia="Times New Roman" w:hAnsi="Book Antiqua" w:cs="Times New Roman"/>
          <w:bCs/>
          <w:color w:val="000000" w:themeColor="text1"/>
          <w:sz w:val="24"/>
          <w:szCs w:val="24"/>
        </w:rPr>
        <w:t>. Therefore, most surgeons will automatically pe</w:t>
      </w:r>
      <w:r w:rsidR="00D33133" w:rsidRPr="006B24DA">
        <w:rPr>
          <w:rFonts w:ascii="Book Antiqua" w:eastAsia="Times New Roman" w:hAnsi="Book Antiqua" w:cs="Times New Roman"/>
          <w:bCs/>
          <w:color w:val="000000" w:themeColor="text1"/>
          <w:sz w:val="24"/>
          <w:szCs w:val="24"/>
        </w:rPr>
        <w:t>rform both operations together.</w:t>
      </w:r>
      <w:r w:rsidRPr="006B24DA">
        <w:rPr>
          <w:rFonts w:ascii="Book Antiqua" w:eastAsia="Times New Roman" w:hAnsi="Book Antiqua" w:cs="Times New Roman"/>
          <w:bCs/>
          <w:color w:val="000000" w:themeColor="text1"/>
          <w:sz w:val="24"/>
          <w:szCs w:val="24"/>
        </w:rPr>
        <w:t xml:space="preserve"> If a substantial number of patients require anti-reflux surgery after POEM, then it could tip the balance back towards LHM plus partial fundoplication as the preferred first l</w:t>
      </w:r>
      <w:r w:rsidR="00D33133" w:rsidRPr="006B24DA">
        <w:rPr>
          <w:rFonts w:ascii="Book Antiqua" w:eastAsia="Times New Roman" w:hAnsi="Book Antiqua" w:cs="Times New Roman"/>
          <w:bCs/>
          <w:color w:val="000000" w:themeColor="text1"/>
          <w:sz w:val="24"/>
          <w:szCs w:val="24"/>
        </w:rPr>
        <w:t>ine option.</w:t>
      </w:r>
      <w:r w:rsidRPr="006B24DA">
        <w:rPr>
          <w:rFonts w:ascii="Book Antiqua" w:eastAsia="Times New Roman" w:hAnsi="Book Antiqua" w:cs="Times New Roman"/>
          <w:bCs/>
          <w:color w:val="000000" w:themeColor="text1"/>
          <w:sz w:val="24"/>
          <w:szCs w:val="24"/>
        </w:rPr>
        <w:t xml:space="preserve"> Fortunately, there may be an endoscopic solution to post-POEM GERD </w:t>
      </w:r>
      <w:r w:rsidR="00966E42" w:rsidRPr="006B24DA">
        <w:rPr>
          <w:rFonts w:ascii="Book Antiqua" w:eastAsia="Times New Roman" w:hAnsi="Book Antiqua" w:cs="Times New Roman"/>
          <w:bCs/>
          <w:color w:val="000000" w:themeColor="text1"/>
          <w:sz w:val="24"/>
          <w:szCs w:val="24"/>
        </w:rPr>
        <w:t>-</w:t>
      </w:r>
      <w:r w:rsidRPr="006B24DA">
        <w:rPr>
          <w:rFonts w:ascii="Book Antiqua" w:eastAsia="Times New Roman" w:hAnsi="Book Antiqua" w:cs="Times New Roman"/>
          <w:bCs/>
          <w:color w:val="000000" w:themeColor="text1"/>
          <w:sz w:val="24"/>
          <w:szCs w:val="24"/>
        </w:rPr>
        <w:t xml:space="preserve"> namely the TIF </w:t>
      </w:r>
      <w:proofErr w:type="gramStart"/>
      <w:r w:rsidRPr="006B24DA">
        <w:rPr>
          <w:rFonts w:ascii="Book Antiqua" w:eastAsia="Times New Roman" w:hAnsi="Book Antiqua" w:cs="Times New Roman"/>
          <w:bCs/>
          <w:color w:val="000000" w:themeColor="text1"/>
          <w:sz w:val="24"/>
          <w:szCs w:val="24"/>
        </w:rPr>
        <w:t>procedure</w:t>
      </w:r>
      <w:r w:rsidRPr="006B24DA">
        <w:rPr>
          <w:rFonts w:ascii="Book Antiqua" w:eastAsia="Times New Roman" w:hAnsi="Book Antiqua" w:cs="Times New Roman"/>
          <w:bCs/>
          <w:noProof/>
          <w:color w:val="000000" w:themeColor="text1"/>
          <w:sz w:val="24"/>
          <w:szCs w:val="24"/>
          <w:vertAlign w:val="superscript"/>
        </w:rPr>
        <w:t>[</w:t>
      </w:r>
      <w:proofErr w:type="gramEnd"/>
      <w:r w:rsidRPr="006B24DA">
        <w:rPr>
          <w:rFonts w:ascii="Book Antiqua" w:eastAsia="Times New Roman" w:hAnsi="Book Antiqua" w:cs="Times New Roman"/>
          <w:bCs/>
          <w:noProof/>
          <w:color w:val="000000" w:themeColor="text1"/>
          <w:sz w:val="24"/>
          <w:szCs w:val="24"/>
          <w:vertAlign w:val="superscript"/>
        </w:rPr>
        <w:t>44]</w:t>
      </w:r>
      <w:r w:rsidRPr="006B24DA">
        <w:rPr>
          <w:rFonts w:ascii="Book Antiqua" w:eastAsia="Times New Roman" w:hAnsi="Book Antiqua" w:cs="Times New Roman"/>
          <w:bCs/>
          <w:color w:val="000000" w:themeColor="text1"/>
          <w:sz w:val="24"/>
          <w:szCs w:val="24"/>
        </w:rPr>
        <w:t>. In our experience of over 60 consecutive POEM procedures, only 3 patients were refractory to PPI medications and the TIF procedure was able to control GERD symptoms and</w:t>
      </w:r>
      <w:r w:rsidR="00D33133" w:rsidRPr="006B24DA">
        <w:rPr>
          <w:rFonts w:ascii="Book Antiqua" w:eastAsia="Times New Roman" w:hAnsi="Book Antiqua" w:cs="Times New Roman"/>
          <w:bCs/>
          <w:color w:val="000000" w:themeColor="text1"/>
          <w:sz w:val="24"/>
          <w:szCs w:val="24"/>
        </w:rPr>
        <w:t xml:space="preserve"> esophagitis in all 3 patients.</w:t>
      </w:r>
      <w:r w:rsidRPr="006B24DA">
        <w:rPr>
          <w:rFonts w:ascii="Book Antiqua" w:eastAsia="Times New Roman" w:hAnsi="Book Antiqua" w:cs="Times New Roman"/>
          <w:bCs/>
          <w:color w:val="000000" w:themeColor="text1"/>
          <w:sz w:val="24"/>
          <w:szCs w:val="24"/>
        </w:rPr>
        <w:t xml:space="preserve"> Further studies examining both efficacy and durability of TIF post POEM are underway. The other consideration between POEM versus LHM plus fundoplication is - while the durability of the </w:t>
      </w:r>
      <w:proofErr w:type="spellStart"/>
      <w:r w:rsidRPr="006B24DA">
        <w:rPr>
          <w:rFonts w:ascii="Book Antiqua" w:eastAsia="Times New Roman" w:hAnsi="Book Antiqua" w:cs="Times New Roman"/>
          <w:bCs/>
          <w:color w:val="000000" w:themeColor="text1"/>
          <w:sz w:val="24"/>
          <w:szCs w:val="24"/>
        </w:rPr>
        <w:t>myotomy</w:t>
      </w:r>
      <w:proofErr w:type="spellEnd"/>
      <w:r w:rsidRPr="006B24DA">
        <w:rPr>
          <w:rFonts w:ascii="Book Antiqua" w:eastAsia="Times New Roman" w:hAnsi="Book Antiqua" w:cs="Times New Roman"/>
          <w:bCs/>
          <w:color w:val="000000" w:themeColor="text1"/>
          <w:sz w:val="24"/>
          <w:szCs w:val="24"/>
        </w:rPr>
        <w:t xml:space="preserve"> (with both POEM and LHM) should be very long, perhaps several decades, the durability of the partial fundoplication may be more limited, probably less t</w:t>
      </w:r>
      <w:r w:rsidR="00A66203" w:rsidRPr="006B24DA">
        <w:rPr>
          <w:rFonts w:ascii="Book Antiqua" w:eastAsia="Times New Roman" w:hAnsi="Book Antiqua" w:cs="Times New Roman"/>
          <w:bCs/>
          <w:color w:val="000000" w:themeColor="text1"/>
          <w:sz w:val="24"/>
          <w:szCs w:val="24"/>
        </w:rPr>
        <w:t xml:space="preserve">han 10 years. </w:t>
      </w:r>
      <w:r w:rsidRPr="006B24DA">
        <w:rPr>
          <w:rFonts w:ascii="Book Antiqua" w:eastAsia="Times New Roman" w:hAnsi="Book Antiqua" w:cs="Times New Roman"/>
          <w:bCs/>
          <w:color w:val="000000" w:themeColor="text1"/>
          <w:sz w:val="24"/>
          <w:szCs w:val="24"/>
        </w:rPr>
        <w:t xml:space="preserve">At the point of fundoplication loosening, these patients would require </w:t>
      </w:r>
      <w:proofErr w:type="gramStart"/>
      <w:r w:rsidRPr="006B24DA">
        <w:rPr>
          <w:rFonts w:ascii="Book Antiqua" w:eastAsia="Times New Roman" w:hAnsi="Book Antiqua" w:cs="Times New Roman"/>
          <w:bCs/>
          <w:color w:val="000000" w:themeColor="text1"/>
          <w:sz w:val="24"/>
          <w:szCs w:val="24"/>
        </w:rPr>
        <w:t>either chronic</w:t>
      </w:r>
      <w:proofErr w:type="gramEnd"/>
      <w:r w:rsidRPr="006B24DA">
        <w:rPr>
          <w:rFonts w:ascii="Book Antiqua" w:eastAsia="Times New Roman" w:hAnsi="Book Antiqua" w:cs="Times New Roman"/>
          <w:bCs/>
          <w:color w:val="000000" w:themeColor="text1"/>
          <w:sz w:val="24"/>
          <w:szCs w:val="24"/>
        </w:rPr>
        <w:t xml:space="preserve"> PPI, a revision fundopl</w:t>
      </w:r>
      <w:r w:rsidR="00D33133" w:rsidRPr="006B24DA">
        <w:rPr>
          <w:rFonts w:ascii="Book Antiqua" w:eastAsia="Times New Roman" w:hAnsi="Book Antiqua" w:cs="Times New Roman"/>
          <w:bCs/>
          <w:color w:val="000000" w:themeColor="text1"/>
          <w:sz w:val="24"/>
          <w:szCs w:val="24"/>
        </w:rPr>
        <w:t xml:space="preserve">ication, or the TIF procedure. </w:t>
      </w:r>
      <w:r w:rsidRPr="006B24DA">
        <w:rPr>
          <w:rFonts w:ascii="Book Antiqua" w:eastAsia="Times New Roman" w:hAnsi="Book Antiqua" w:cs="Times New Roman"/>
          <w:bCs/>
          <w:color w:val="000000" w:themeColor="text1"/>
          <w:sz w:val="24"/>
          <w:szCs w:val="24"/>
        </w:rPr>
        <w:t xml:space="preserve">Ideally, a POEM with possible TIF among those </w:t>
      </w:r>
      <w:r w:rsidR="000C6E86" w:rsidRPr="006B24DA">
        <w:rPr>
          <w:rFonts w:ascii="Book Antiqua" w:eastAsia="Times New Roman" w:hAnsi="Book Antiqua" w:cs="Times New Roman"/>
          <w:bCs/>
          <w:color w:val="000000" w:themeColor="text1"/>
          <w:sz w:val="24"/>
          <w:szCs w:val="24"/>
        </w:rPr>
        <w:t xml:space="preserve">patients </w:t>
      </w:r>
      <w:r w:rsidRPr="006B24DA">
        <w:rPr>
          <w:rFonts w:ascii="Book Antiqua" w:eastAsia="Times New Roman" w:hAnsi="Book Antiqua" w:cs="Times New Roman"/>
          <w:bCs/>
          <w:color w:val="000000" w:themeColor="text1"/>
          <w:sz w:val="24"/>
          <w:szCs w:val="24"/>
        </w:rPr>
        <w:t xml:space="preserve">refractory to PPI will prove effective, as a repeat TIF is much easier to perform than the revision of a fundoplication.  </w:t>
      </w:r>
    </w:p>
    <w:p w14:paraId="23539F16" w14:textId="5608E33A" w:rsidR="00E20495" w:rsidRPr="006B24DA" w:rsidRDefault="00A66203" w:rsidP="007761C0">
      <w:pPr>
        <w:autoSpaceDE w:val="0"/>
        <w:autoSpaceDN w:val="0"/>
        <w:adjustRightInd w:val="0"/>
        <w:snapToGrid w:val="0"/>
        <w:spacing w:after="0" w:line="360" w:lineRule="auto"/>
        <w:jc w:val="both"/>
        <w:rPr>
          <w:rFonts w:ascii="Book Antiqua" w:eastAsia="Times New Roman" w:hAnsi="Book Antiqua" w:cs="Times New Roman"/>
          <w:bCs/>
          <w:color w:val="000000" w:themeColor="text1"/>
          <w:sz w:val="24"/>
          <w:szCs w:val="24"/>
        </w:rPr>
      </w:pPr>
      <w:r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The POEM procedure has also now extended to other motility disorders such as Jackhammer </w:t>
      </w:r>
      <w:proofErr w:type="gramStart"/>
      <w:r w:rsidR="00E20495" w:rsidRPr="006B24DA">
        <w:rPr>
          <w:rFonts w:ascii="Book Antiqua" w:eastAsia="Times New Roman" w:hAnsi="Book Antiqua" w:cs="Times New Roman"/>
          <w:bCs/>
          <w:color w:val="000000" w:themeColor="text1"/>
          <w:sz w:val="24"/>
          <w:szCs w:val="24"/>
        </w:rPr>
        <w:t>esophagus</w:t>
      </w:r>
      <w:r w:rsidR="00E20495" w:rsidRPr="006B24DA">
        <w:rPr>
          <w:rFonts w:ascii="Book Antiqua" w:eastAsia="Times New Roman" w:hAnsi="Book Antiqua" w:cs="Times New Roman"/>
          <w:bCs/>
          <w:noProof/>
          <w:color w:val="000000" w:themeColor="text1"/>
          <w:sz w:val="24"/>
          <w:szCs w:val="24"/>
          <w:vertAlign w:val="superscript"/>
        </w:rPr>
        <w:t>[</w:t>
      </w:r>
      <w:proofErr w:type="gramEnd"/>
      <w:r w:rsidR="00E20495" w:rsidRPr="006B24DA">
        <w:rPr>
          <w:rFonts w:ascii="Book Antiqua" w:eastAsia="Times New Roman" w:hAnsi="Book Antiqua" w:cs="Times New Roman"/>
          <w:bCs/>
          <w:noProof/>
          <w:color w:val="000000" w:themeColor="text1"/>
          <w:sz w:val="24"/>
          <w:szCs w:val="24"/>
          <w:vertAlign w:val="superscript"/>
        </w:rPr>
        <w:t>45-48]</w:t>
      </w:r>
      <w:r w:rsidR="00E20495" w:rsidRPr="006B24DA">
        <w:rPr>
          <w:rFonts w:ascii="Book Antiqua" w:eastAsia="Times New Roman" w:hAnsi="Book Antiqua" w:cs="Times New Roman"/>
          <w:bCs/>
          <w:color w:val="000000" w:themeColor="text1"/>
          <w:sz w:val="24"/>
          <w:szCs w:val="24"/>
        </w:rPr>
        <w:t xml:space="preserve"> and distal esophageal spasm</w:t>
      </w:r>
      <w:r w:rsidRPr="006B24DA">
        <w:rPr>
          <w:rFonts w:ascii="Book Antiqua" w:eastAsia="Times New Roman" w:hAnsi="Book Antiqua" w:cs="Times New Roman"/>
          <w:bCs/>
          <w:noProof/>
          <w:color w:val="000000" w:themeColor="text1"/>
          <w:sz w:val="24"/>
          <w:szCs w:val="24"/>
          <w:vertAlign w:val="superscript"/>
        </w:rPr>
        <w:t>[49,</w:t>
      </w:r>
      <w:r w:rsidR="00E20495" w:rsidRPr="006B24DA">
        <w:rPr>
          <w:rFonts w:ascii="Book Antiqua" w:eastAsia="Times New Roman" w:hAnsi="Book Antiqua" w:cs="Times New Roman"/>
          <w:bCs/>
          <w:noProof/>
          <w:color w:val="000000" w:themeColor="text1"/>
          <w:sz w:val="24"/>
          <w:szCs w:val="24"/>
          <w:vertAlign w:val="superscript"/>
        </w:rPr>
        <w:t>50]</w:t>
      </w:r>
      <w:r w:rsidR="00E20495" w:rsidRPr="006B24DA">
        <w:rPr>
          <w:rFonts w:ascii="Book Antiqua" w:eastAsia="Times New Roman" w:hAnsi="Book Antiqua" w:cs="Times New Roman"/>
          <w:bCs/>
          <w:color w:val="000000" w:themeColor="text1"/>
          <w:sz w:val="24"/>
          <w:szCs w:val="24"/>
        </w:rPr>
        <w:t xml:space="preserve">, which are categorized under </w:t>
      </w:r>
      <w:bookmarkStart w:id="52" w:name="OLE_LINK65"/>
      <w:bookmarkStart w:id="53" w:name="OLE_LINK66"/>
      <w:r w:rsidR="00E20495" w:rsidRPr="006B24DA">
        <w:rPr>
          <w:rFonts w:ascii="Book Antiqua" w:eastAsia="Times New Roman" w:hAnsi="Book Antiqua" w:cs="Times New Roman"/>
          <w:bCs/>
          <w:color w:val="000000" w:themeColor="text1"/>
          <w:sz w:val="24"/>
          <w:szCs w:val="24"/>
        </w:rPr>
        <w:t>spastic esophageal disorder</w:t>
      </w:r>
      <w:bookmarkEnd w:id="52"/>
      <w:bookmarkEnd w:id="53"/>
      <w:r w:rsidR="00E20495" w:rsidRPr="006B24DA">
        <w:rPr>
          <w:rFonts w:ascii="Book Antiqua" w:eastAsia="Times New Roman" w:hAnsi="Book Antiqua" w:cs="Times New Roman"/>
          <w:bCs/>
          <w:color w:val="000000" w:themeColor="text1"/>
          <w:sz w:val="24"/>
          <w:szCs w:val="24"/>
        </w:rPr>
        <w:t>s (SED)</w:t>
      </w:r>
      <w:r w:rsidR="00E20495" w:rsidRPr="006B24DA">
        <w:rPr>
          <w:rFonts w:ascii="Book Antiqua" w:eastAsia="Times New Roman" w:hAnsi="Book Antiqua" w:cs="Times New Roman"/>
          <w:bCs/>
          <w:noProof/>
          <w:color w:val="000000" w:themeColor="text1"/>
          <w:sz w:val="24"/>
          <w:szCs w:val="24"/>
          <w:vertAlign w:val="superscript"/>
        </w:rPr>
        <w:t>[51]</w:t>
      </w:r>
      <w:r w:rsidR="00E20495" w:rsidRPr="006B24DA">
        <w:rPr>
          <w:rFonts w:ascii="Book Antiqua" w:eastAsia="Times New Roman" w:hAnsi="Book Antiqua" w:cs="Times New Roman"/>
          <w:bCs/>
          <w:color w:val="000000" w:themeColor="text1"/>
          <w:sz w:val="24"/>
          <w:szCs w:val="24"/>
        </w:rPr>
        <w:t xml:space="preserve">. </w:t>
      </w:r>
    </w:p>
    <w:p w14:paraId="3AEDF5C6" w14:textId="77777777" w:rsidR="00A66203" w:rsidRPr="006B24DA" w:rsidRDefault="00A66203" w:rsidP="007761C0">
      <w:pPr>
        <w:autoSpaceDE w:val="0"/>
        <w:autoSpaceDN w:val="0"/>
        <w:adjustRightInd w:val="0"/>
        <w:snapToGrid w:val="0"/>
        <w:spacing w:after="0" w:line="360" w:lineRule="auto"/>
        <w:jc w:val="both"/>
        <w:rPr>
          <w:rFonts w:ascii="Book Antiqua" w:eastAsia="Times New Roman" w:hAnsi="Book Antiqua" w:cs="Times New Roman"/>
          <w:bCs/>
          <w:i/>
          <w:color w:val="000000" w:themeColor="text1"/>
          <w:sz w:val="24"/>
          <w:szCs w:val="24"/>
        </w:rPr>
      </w:pPr>
    </w:p>
    <w:p w14:paraId="03E0A9F9" w14:textId="3934B9A0" w:rsidR="00A66203" w:rsidRPr="006B24DA" w:rsidRDefault="00A66203" w:rsidP="007761C0">
      <w:pPr>
        <w:autoSpaceDE w:val="0"/>
        <w:autoSpaceDN w:val="0"/>
        <w:adjustRightInd w:val="0"/>
        <w:snapToGrid w:val="0"/>
        <w:spacing w:after="0" w:line="360" w:lineRule="auto"/>
        <w:jc w:val="both"/>
        <w:rPr>
          <w:rFonts w:ascii="Book Antiqua" w:eastAsia="Times New Roman" w:hAnsi="Book Antiqua" w:cs="Times New Roman"/>
          <w:b/>
          <w:bCs/>
          <w:color w:val="000000" w:themeColor="text1"/>
          <w:sz w:val="24"/>
          <w:szCs w:val="24"/>
        </w:rPr>
      </w:pPr>
      <w:r w:rsidRPr="006B24DA">
        <w:rPr>
          <w:rFonts w:ascii="Book Antiqua" w:eastAsia="Times New Roman" w:hAnsi="Book Antiqua" w:cs="Times New Roman"/>
          <w:b/>
          <w:bCs/>
          <w:i/>
          <w:color w:val="000000" w:themeColor="text1"/>
          <w:sz w:val="24"/>
          <w:szCs w:val="24"/>
        </w:rPr>
        <w:t>Technical considerations</w:t>
      </w:r>
    </w:p>
    <w:p w14:paraId="5A0AD400" w14:textId="1C966EA2" w:rsidR="00E20495" w:rsidRPr="006B24DA" w:rsidRDefault="00E20495" w:rsidP="007761C0">
      <w:pPr>
        <w:autoSpaceDE w:val="0"/>
        <w:autoSpaceDN w:val="0"/>
        <w:adjustRightInd w:val="0"/>
        <w:snapToGrid w:val="0"/>
        <w:spacing w:after="0" w:line="360" w:lineRule="auto"/>
        <w:jc w:val="both"/>
        <w:rPr>
          <w:rFonts w:ascii="Book Antiqua" w:eastAsia="Times New Roman" w:hAnsi="Book Antiqua" w:cs="Times New Roman"/>
          <w:bCs/>
          <w:color w:val="000000" w:themeColor="text1"/>
          <w:sz w:val="24"/>
          <w:szCs w:val="24"/>
        </w:rPr>
      </w:pPr>
      <w:r w:rsidRPr="006B24DA">
        <w:rPr>
          <w:rFonts w:ascii="Book Antiqua" w:eastAsia="Times New Roman" w:hAnsi="Book Antiqua" w:cs="Times New Roman"/>
          <w:bCs/>
          <w:color w:val="000000" w:themeColor="text1"/>
          <w:sz w:val="24"/>
          <w:szCs w:val="24"/>
        </w:rPr>
        <w:t xml:space="preserve">We are currently performing, on average 4-6 POEM </w:t>
      </w:r>
      <w:r w:rsidR="00D33133" w:rsidRPr="006B24DA">
        <w:rPr>
          <w:rFonts w:ascii="Book Antiqua" w:eastAsia="Times New Roman" w:hAnsi="Book Antiqua" w:cs="Times New Roman"/>
          <w:bCs/>
          <w:color w:val="000000" w:themeColor="text1"/>
          <w:sz w:val="24"/>
          <w:szCs w:val="24"/>
        </w:rPr>
        <w:t xml:space="preserve">procedures per month. </w:t>
      </w:r>
      <w:r w:rsidRPr="006B24DA">
        <w:rPr>
          <w:rFonts w:ascii="Book Antiqua" w:eastAsia="Times New Roman" w:hAnsi="Book Antiqua" w:cs="Times New Roman"/>
          <w:bCs/>
          <w:color w:val="000000" w:themeColor="text1"/>
          <w:sz w:val="24"/>
          <w:szCs w:val="24"/>
        </w:rPr>
        <w:t>On average</w:t>
      </w:r>
      <w:r w:rsidR="00A66203" w:rsidRPr="006B24DA">
        <w:rPr>
          <w:rFonts w:ascii="Book Antiqua" w:eastAsia="Times New Roman" w:hAnsi="Book Antiqua" w:cs="Times New Roman"/>
          <w:bCs/>
          <w:color w:val="000000" w:themeColor="text1"/>
          <w:sz w:val="24"/>
          <w:szCs w:val="24"/>
        </w:rPr>
        <w:t>,</w:t>
      </w:r>
      <w:r w:rsidRPr="006B24DA">
        <w:rPr>
          <w:rFonts w:ascii="Book Antiqua" w:eastAsia="Times New Roman" w:hAnsi="Book Antiqua" w:cs="Times New Roman"/>
          <w:bCs/>
          <w:color w:val="000000" w:themeColor="text1"/>
          <w:sz w:val="24"/>
          <w:szCs w:val="24"/>
        </w:rPr>
        <w:t xml:space="preserve"> it takes 45-90</w:t>
      </w:r>
      <w:r w:rsidR="00D33133" w:rsidRPr="006B24DA">
        <w:rPr>
          <w:rFonts w:ascii="Book Antiqua" w:eastAsia="Times New Roman" w:hAnsi="Book Antiqua" w:cs="Times New Roman"/>
          <w:bCs/>
          <w:color w:val="000000" w:themeColor="text1"/>
          <w:sz w:val="24"/>
          <w:szCs w:val="24"/>
        </w:rPr>
        <w:t xml:space="preserve"> </w:t>
      </w:r>
      <w:r w:rsidR="00A00023">
        <w:rPr>
          <w:rFonts w:ascii="Book Antiqua" w:eastAsia="Times New Roman" w:hAnsi="Book Antiqua" w:cs="Times New Roman"/>
          <w:bCs/>
          <w:color w:val="000000" w:themeColor="text1"/>
          <w:sz w:val="24"/>
          <w:szCs w:val="24"/>
        </w:rPr>
        <w:t>min</w:t>
      </w:r>
      <w:r w:rsidR="00D33133" w:rsidRPr="006B24DA">
        <w:rPr>
          <w:rFonts w:ascii="Book Antiqua" w:eastAsia="Times New Roman" w:hAnsi="Book Antiqua" w:cs="Times New Roman"/>
          <w:bCs/>
          <w:color w:val="000000" w:themeColor="text1"/>
          <w:sz w:val="24"/>
          <w:szCs w:val="24"/>
        </w:rPr>
        <w:t xml:space="preserve"> to perform the procedure. </w:t>
      </w:r>
      <w:r w:rsidRPr="006B24DA">
        <w:rPr>
          <w:rFonts w:ascii="Book Antiqua" w:eastAsia="Times New Roman" w:hAnsi="Book Antiqua" w:cs="Times New Roman"/>
          <w:bCs/>
          <w:color w:val="000000" w:themeColor="text1"/>
          <w:sz w:val="24"/>
          <w:szCs w:val="24"/>
        </w:rPr>
        <w:t>We also include physiologic compliance measurements at the EGJ (</w:t>
      </w:r>
      <w:proofErr w:type="spellStart"/>
      <w:r w:rsidRPr="006B24DA">
        <w:rPr>
          <w:rFonts w:ascii="Book Antiqua" w:eastAsia="Times New Roman" w:hAnsi="Book Antiqua" w:cs="Times New Roman"/>
          <w:bCs/>
          <w:color w:val="000000" w:themeColor="text1"/>
          <w:sz w:val="24"/>
          <w:szCs w:val="24"/>
        </w:rPr>
        <w:t>EndoFlip</w:t>
      </w:r>
      <w:proofErr w:type="spellEnd"/>
      <w:r w:rsidRPr="006B24DA">
        <w:rPr>
          <w:rFonts w:ascii="Book Antiqua" w:eastAsia="Times New Roman" w:hAnsi="Book Antiqua" w:cs="Times New Roman"/>
          <w:bCs/>
          <w:color w:val="000000" w:themeColor="text1"/>
          <w:sz w:val="24"/>
          <w:szCs w:val="24"/>
        </w:rPr>
        <w:t>) immediately</w:t>
      </w:r>
      <w:r w:rsidR="00D33133" w:rsidRPr="006B24DA">
        <w:rPr>
          <w:rFonts w:ascii="Book Antiqua" w:eastAsia="Times New Roman" w:hAnsi="Book Antiqua" w:cs="Times New Roman"/>
          <w:bCs/>
          <w:color w:val="000000" w:themeColor="text1"/>
          <w:sz w:val="24"/>
          <w:szCs w:val="24"/>
        </w:rPr>
        <w:t xml:space="preserve"> pre- and post-POEM procedure. </w:t>
      </w:r>
      <w:r w:rsidRPr="006B24DA">
        <w:rPr>
          <w:rFonts w:ascii="Book Antiqua" w:eastAsia="Times New Roman" w:hAnsi="Book Antiqua" w:cs="Times New Roman"/>
          <w:bCs/>
          <w:color w:val="000000" w:themeColor="text1"/>
          <w:sz w:val="24"/>
          <w:szCs w:val="24"/>
        </w:rPr>
        <w:t xml:space="preserve">We also routinely perform a pre-procedure timed barium </w:t>
      </w:r>
      <w:proofErr w:type="spellStart"/>
      <w:r w:rsidRPr="006B24DA">
        <w:rPr>
          <w:rFonts w:ascii="Book Antiqua" w:eastAsia="Times New Roman" w:hAnsi="Book Antiqua" w:cs="Times New Roman"/>
          <w:bCs/>
          <w:color w:val="000000" w:themeColor="text1"/>
          <w:sz w:val="24"/>
          <w:szCs w:val="24"/>
        </w:rPr>
        <w:t>esophagram</w:t>
      </w:r>
      <w:proofErr w:type="spellEnd"/>
      <w:r w:rsidRPr="006B24DA">
        <w:rPr>
          <w:rFonts w:ascii="Book Antiqua" w:eastAsia="Times New Roman" w:hAnsi="Book Antiqua" w:cs="Times New Roman"/>
          <w:bCs/>
          <w:color w:val="000000" w:themeColor="text1"/>
          <w:sz w:val="24"/>
          <w:szCs w:val="24"/>
        </w:rPr>
        <w:t xml:space="preserve">, and repeat it 4-6 </w:t>
      </w:r>
      <w:proofErr w:type="spellStart"/>
      <w:r w:rsidR="00A00023">
        <w:rPr>
          <w:rFonts w:ascii="Book Antiqua" w:eastAsia="Times New Roman" w:hAnsi="Book Antiqua" w:cs="Times New Roman"/>
          <w:bCs/>
          <w:color w:val="000000" w:themeColor="text1"/>
          <w:sz w:val="24"/>
          <w:szCs w:val="24"/>
        </w:rPr>
        <w:t>wk</w:t>
      </w:r>
      <w:proofErr w:type="spellEnd"/>
      <w:r w:rsidR="00D33133" w:rsidRPr="006B24DA">
        <w:rPr>
          <w:rFonts w:ascii="Book Antiqua" w:eastAsia="Times New Roman" w:hAnsi="Book Antiqua" w:cs="Times New Roman"/>
          <w:bCs/>
          <w:color w:val="000000" w:themeColor="text1"/>
          <w:sz w:val="24"/>
          <w:szCs w:val="24"/>
        </w:rPr>
        <w:t xml:space="preserve"> post procedure. </w:t>
      </w:r>
      <w:r w:rsidRPr="006B24DA">
        <w:rPr>
          <w:rFonts w:ascii="Book Antiqua" w:eastAsia="Times New Roman" w:hAnsi="Book Antiqua" w:cs="Times New Roman"/>
          <w:bCs/>
          <w:color w:val="000000" w:themeColor="text1"/>
          <w:sz w:val="24"/>
          <w:szCs w:val="24"/>
        </w:rPr>
        <w:t xml:space="preserve">We are currently examining whether the timed barium swallow and/or </w:t>
      </w:r>
      <w:r w:rsidRPr="006B24DA">
        <w:rPr>
          <w:rFonts w:ascii="Book Antiqua" w:eastAsia="Times New Roman" w:hAnsi="Book Antiqua" w:cs="Times New Roman"/>
          <w:bCs/>
          <w:color w:val="000000" w:themeColor="text1"/>
          <w:sz w:val="24"/>
          <w:szCs w:val="24"/>
        </w:rPr>
        <w:lastRenderedPageBreak/>
        <w:t>the EGJ physiologic measurements will predict both response to treatment of dysphagia (</w:t>
      </w:r>
      <w:proofErr w:type="spellStart"/>
      <w:r w:rsidRPr="006B24DA">
        <w:rPr>
          <w:rFonts w:ascii="Book Antiqua" w:eastAsia="Times New Roman" w:hAnsi="Book Antiqua" w:cs="Times New Roman"/>
          <w:bCs/>
          <w:color w:val="000000" w:themeColor="text1"/>
          <w:sz w:val="24"/>
          <w:szCs w:val="24"/>
        </w:rPr>
        <w:t>Eckart</w:t>
      </w:r>
      <w:proofErr w:type="spellEnd"/>
      <w:r w:rsidRPr="006B24DA">
        <w:rPr>
          <w:rFonts w:ascii="Book Antiqua" w:eastAsia="Times New Roman" w:hAnsi="Book Antiqua" w:cs="Times New Roman"/>
          <w:bCs/>
          <w:color w:val="000000" w:themeColor="text1"/>
          <w:sz w:val="24"/>
          <w:szCs w:val="24"/>
        </w:rPr>
        <w:t xml:space="preserve"> Score), as well </w:t>
      </w:r>
      <w:r w:rsidR="00D33133" w:rsidRPr="006B24DA">
        <w:rPr>
          <w:rFonts w:ascii="Book Antiqua" w:eastAsia="Times New Roman" w:hAnsi="Book Antiqua" w:cs="Times New Roman"/>
          <w:bCs/>
          <w:color w:val="000000" w:themeColor="text1"/>
          <w:sz w:val="24"/>
          <w:szCs w:val="24"/>
        </w:rPr>
        <w:t xml:space="preserve">as the risk of post-POEM GERD. </w:t>
      </w:r>
      <w:r w:rsidRPr="006B24DA">
        <w:rPr>
          <w:rFonts w:ascii="Book Antiqua" w:eastAsia="Times New Roman" w:hAnsi="Book Antiqua" w:cs="Times New Roman"/>
          <w:bCs/>
          <w:color w:val="000000" w:themeColor="text1"/>
          <w:sz w:val="24"/>
          <w:szCs w:val="24"/>
        </w:rPr>
        <w:t>Based on current literature and personal experience, our current protocol for type 1 achalasia (</w:t>
      </w:r>
      <w:proofErr w:type="spellStart"/>
      <w:r w:rsidRPr="006B24DA">
        <w:rPr>
          <w:rFonts w:ascii="Book Antiqua" w:eastAsia="Times New Roman" w:hAnsi="Book Antiqua" w:cs="Times New Roman"/>
          <w:bCs/>
          <w:color w:val="000000" w:themeColor="text1"/>
          <w:sz w:val="24"/>
          <w:szCs w:val="24"/>
        </w:rPr>
        <w:t>aperistalsis</w:t>
      </w:r>
      <w:proofErr w:type="spellEnd"/>
      <w:r w:rsidRPr="006B24DA">
        <w:rPr>
          <w:rFonts w:ascii="Book Antiqua" w:eastAsia="Times New Roman" w:hAnsi="Book Antiqua" w:cs="Times New Roman"/>
          <w:bCs/>
          <w:color w:val="000000" w:themeColor="text1"/>
          <w:sz w:val="24"/>
          <w:szCs w:val="24"/>
        </w:rPr>
        <w:t xml:space="preserve"> and failure of LES relaxation) and </w:t>
      </w:r>
      <w:r w:rsidR="000C6E86" w:rsidRPr="006B24DA">
        <w:rPr>
          <w:rFonts w:ascii="Book Antiqua" w:eastAsia="Times New Roman" w:hAnsi="Book Antiqua" w:cs="Times New Roman"/>
          <w:bCs/>
          <w:color w:val="000000" w:themeColor="text1"/>
          <w:sz w:val="24"/>
          <w:szCs w:val="24"/>
        </w:rPr>
        <w:t xml:space="preserve">type </w:t>
      </w:r>
      <w:r w:rsidRPr="006B24DA">
        <w:rPr>
          <w:rFonts w:ascii="Book Antiqua" w:eastAsia="Times New Roman" w:hAnsi="Book Antiqua" w:cs="Times New Roman"/>
          <w:bCs/>
          <w:color w:val="000000" w:themeColor="text1"/>
          <w:sz w:val="24"/>
          <w:szCs w:val="24"/>
        </w:rPr>
        <w:t xml:space="preserve">2 achalasia </w:t>
      </w:r>
      <w:bookmarkStart w:id="54" w:name="_Hlk522443739"/>
      <w:r w:rsidRPr="006B24DA">
        <w:rPr>
          <w:rFonts w:ascii="Book Antiqua" w:eastAsia="Times New Roman" w:hAnsi="Book Antiqua" w:cs="Times New Roman"/>
          <w:bCs/>
          <w:color w:val="000000" w:themeColor="text1"/>
          <w:sz w:val="24"/>
          <w:szCs w:val="24"/>
        </w:rPr>
        <w:t>(</w:t>
      </w:r>
      <w:proofErr w:type="spellStart"/>
      <w:r w:rsidRPr="006B24DA">
        <w:rPr>
          <w:rFonts w:ascii="Book Antiqua" w:eastAsia="Times New Roman" w:hAnsi="Book Antiqua" w:cs="Times New Roman"/>
          <w:bCs/>
          <w:color w:val="000000" w:themeColor="text1"/>
          <w:sz w:val="24"/>
          <w:szCs w:val="24"/>
        </w:rPr>
        <w:t>aperistalsis</w:t>
      </w:r>
      <w:proofErr w:type="spellEnd"/>
      <w:r w:rsidRPr="006B24DA">
        <w:rPr>
          <w:rFonts w:ascii="Book Antiqua" w:eastAsia="Times New Roman" w:hAnsi="Book Antiqua" w:cs="Times New Roman"/>
          <w:bCs/>
          <w:color w:val="000000" w:themeColor="text1"/>
          <w:sz w:val="24"/>
          <w:szCs w:val="24"/>
        </w:rPr>
        <w:t xml:space="preserve">, pan-esophageal pressurization and failure of LES relaxation) </w:t>
      </w:r>
      <w:bookmarkEnd w:id="54"/>
      <w:r w:rsidRPr="006B24DA">
        <w:rPr>
          <w:rFonts w:ascii="Book Antiqua" w:eastAsia="Times New Roman" w:hAnsi="Book Antiqua" w:cs="Times New Roman"/>
          <w:bCs/>
          <w:color w:val="000000" w:themeColor="text1"/>
          <w:sz w:val="24"/>
          <w:szCs w:val="24"/>
        </w:rPr>
        <w:t xml:space="preserve">is to perform an 8 cm </w:t>
      </w:r>
      <w:proofErr w:type="spellStart"/>
      <w:r w:rsidRPr="006B24DA">
        <w:rPr>
          <w:rFonts w:ascii="Book Antiqua" w:eastAsia="Times New Roman" w:hAnsi="Book Antiqua" w:cs="Times New Roman"/>
          <w:bCs/>
          <w:color w:val="000000" w:themeColor="text1"/>
          <w:sz w:val="24"/>
          <w:szCs w:val="24"/>
        </w:rPr>
        <w:t>myotomy</w:t>
      </w:r>
      <w:proofErr w:type="spellEnd"/>
      <w:r w:rsidRPr="006B24DA">
        <w:rPr>
          <w:rFonts w:ascii="Book Antiqua" w:eastAsia="Times New Roman" w:hAnsi="Book Antiqua" w:cs="Times New Roman"/>
          <w:bCs/>
          <w:color w:val="000000" w:themeColor="text1"/>
          <w:sz w:val="24"/>
          <w:szCs w:val="24"/>
        </w:rPr>
        <w:t xml:space="preserve"> in the esophagus (5 cm circular only, </w:t>
      </w:r>
      <w:r w:rsidR="00A14C21" w:rsidRPr="006B24DA">
        <w:rPr>
          <w:rFonts w:ascii="Book Antiqua" w:eastAsia="Times New Roman" w:hAnsi="Book Antiqua" w:cs="Times New Roman"/>
          <w:bCs/>
          <w:color w:val="000000" w:themeColor="text1"/>
          <w:sz w:val="24"/>
          <w:szCs w:val="24"/>
        </w:rPr>
        <w:t xml:space="preserve">then </w:t>
      </w:r>
      <w:r w:rsidRPr="006B24DA">
        <w:rPr>
          <w:rFonts w:ascii="Book Antiqua" w:eastAsia="Times New Roman" w:hAnsi="Book Antiqua" w:cs="Times New Roman"/>
          <w:bCs/>
          <w:color w:val="000000" w:themeColor="text1"/>
          <w:sz w:val="24"/>
          <w:szCs w:val="24"/>
        </w:rPr>
        <w:t>3 cm full thickness) and only 1</w:t>
      </w:r>
      <w:r w:rsidR="00A14C21" w:rsidRPr="006B24DA">
        <w:rPr>
          <w:rFonts w:ascii="Book Antiqua" w:eastAsia="Times New Roman" w:hAnsi="Book Antiqua" w:cs="Times New Roman"/>
          <w:bCs/>
          <w:color w:val="000000" w:themeColor="text1"/>
          <w:sz w:val="24"/>
          <w:szCs w:val="24"/>
        </w:rPr>
        <w:t>.5</w:t>
      </w:r>
      <w:r w:rsidRPr="006B24DA">
        <w:rPr>
          <w:rFonts w:ascii="Book Antiqua" w:eastAsia="Times New Roman" w:hAnsi="Book Antiqua" w:cs="Times New Roman"/>
          <w:bCs/>
          <w:color w:val="000000" w:themeColor="text1"/>
          <w:sz w:val="24"/>
          <w:szCs w:val="24"/>
        </w:rPr>
        <w:t xml:space="preserve">-2 cm in the stomach (full thickness) </w:t>
      </w:r>
      <w:r w:rsidR="00B42F2F" w:rsidRPr="006B24DA">
        <w:rPr>
          <w:rFonts w:ascii="Book Antiqua" w:eastAsia="Times New Roman" w:hAnsi="Book Antiqua" w:cs="Times New Roman"/>
          <w:color w:val="000000" w:themeColor="text1"/>
          <w:sz w:val="24"/>
          <w:szCs w:val="24"/>
        </w:rPr>
        <w:t>(Figure 10</w:t>
      </w:r>
      <w:r w:rsidRPr="006B24DA">
        <w:rPr>
          <w:rFonts w:ascii="Book Antiqua" w:eastAsia="Times New Roman" w:hAnsi="Book Antiqua" w:cs="Times New Roman"/>
          <w:color w:val="000000" w:themeColor="text1"/>
          <w:sz w:val="24"/>
          <w:szCs w:val="24"/>
        </w:rPr>
        <w:t>)</w:t>
      </w:r>
      <w:r w:rsidRPr="006B24DA">
        <w:rPr>
          <w:rFonts w:ascii="Book Antiqua" w:eastAsia="Times New Roman" w:hAnsi="Book Antiqua" w:cs="Times New Roman"/>
          <w:bCs/>
          <w:color w:val="000000" w:themeColor="text1"/>
          <w:sz w:val="24"/>
          <w:szCs w:val="24"/>
        </w:rPr>
        <w:t xml:space="preserve">. This protocol seems to strike a good balance between maximal </w:t>
      </w:r>
      <w:proofErr w:type="gramStart"/>
      <w:r w:rsidRPr="006B24DA">
        <w:rPr>
          <w:rFonts w:ascii="Book Antiqua" w:eastAsia="Times New Roman" w:hAnsi="Book Antiqua" w:cs="Times New Roman"/>
          <w:bCs/>
          <w:color w:val="000000" w:themeColor="text1"/>
          <w:sz w:val="24"/>
          <w:szCs w:val="24"/>
        </w:rPr>
        <w:t>relief</w:t>
      </w:r>
      <w:proofErr w:type="gramEnd"/>
      <w:r w:rsidRPr="006B24DA">
        <w:rPr>
          <w:rFonts w:ascii="Book Antiqua" w:eastAsia="Times New Roman" w:hAnsi="Book Antiqua" w:cs="Times New Roman"/>
          <w:bCs/>
          <w:color w:val="000000" w:themeColor="text1"/>
          <w:sz w:val="24"/>
          <w:szCs w:val="24"/>
        </w:rPr>
        <w:t xml:space="preserve"> of dysphagia while minimizing GERD.</w:t>
      </w:r>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For type </w:t>
      </w:r>
      <w:proofErr w:type="gramStart"/>
      <w:r w:rsidRPr="006B24DA">
        <w:rPr>
          <w:rFonts w:ascii="Book Antiqua" w:eastAsia="Times New Roman" w:hAnsi="Book Antiqua" w:cs="Times New Roman"/>
          <w:bCs/>
          <w:color w:val="000000" w:themeColor="text1"/>
          <w:sz w:val="24"/>
          <w:szCs w:val="24"/>
        </w:rPr>
        <w:t>3 achalasia (</w:t>
      </w:r>
      <w:proofErr w:type="spellStart"/>
      <w:r w:rsidRPr="006B24DA">
        <w:rPr>
          <w:rFonts w:ascii="Book Antiqua" w:eastAsia="Times New Roman" w:hAnsi="Book Antiqua" w:cs="Times New Roman"/>
          <w:bCs/>
          <w:color w:val="000000" w:themeColor="text1"/>
          <w:sz w:val="24"/>
          <w:szCs w:val="24"/>
        </w:rPr>
        <w:t>aperistalsis</w:t>
      </w:r>
      <w:proofErr w:type="spellEnd"/>
      <w:r w:rsidRPr="006B24DA">
        <w:rPr>
          <w:rFonts w:ascii="Book Antiqua" w:eastAsia="Times New Roman" w:hAnsi="Book Antiqua" w:cs="Times New Roman"/>
          <w:bCs/>
          <w:color w:val="000000" w:themeColor="text1"/>
          <w:sz w:val="24"/>
          <w:szCs w:val="24"/>
        </w:rPr>
        <w:t>, failure of LES relaxation, and simultaneous contractions in the esophageal body)</w:t>
      </w:r>
      <w:proofErr w:type="gramEnd"/>
      <w:r w:rsidRPr="006B24DA">
        <w:rPr>
          <w:rFonts w:ascii="Book Antiqua" w:eastAsia="Times New Roman" w:hAnsi="Book Antiqua" w:cs="Times New Roman"/>
          <w:bCs/>
          <w:color w:val="000000" w:themeColor="text1"/>
          <w:sz w:val="24"/>
          <w:szCs w:val="24"/>
        </w:rPr>
        <w:t xml:space="preserve">, a much longer </w:t>
      </w:r>
      <w:proofErr w:type="spellStart"/>
      <w:r w:rsidRPr="006B24DA">
        <w:rPr>
          <w:rFonts w:ascii="Book Antiqua" w:eastAsia="Times New Roman" w:hAnsi="Book Antiqua" w:cs="Times New Roman"/>
          <w:bCs/>
          <w:color w:val="000000" w:themeColor="text1"/>
          <w:sz w:val="24"/>
          <w:szCs w:val="24"/>
        </w:rPr>
        <w:t>myotomy</w:t>
      </w:r>
      <w:proofErr w:type="spellEnd"/>
      <w:r w:rsidRPr="006B24DA">
        <w:rPr>
          <w:rFonts w:ascii="Book Antiqua" w:eastAsia="Times New Roman" w:hAnsi="Book Antiqua" w:cs="Times New Roman"/>
          <w:bCs/>
          <w:color w:val="000000" w:themeColor="text1"/>
          <w:sz w:val="24"/>
          <w:szCs w:val="24"/>
        </w:rPr>
        <w:t xml:space="preserve"> is usually required, based on high resolution esophageal manometry (MREM), barium </w:t>
      </w:r>
      <w:proofErr w:type="spellStart"/>
      <w:r w:rsidRPr="006B24DA">
        <w:rPr>
          <w:rFonts w:ascii="Book Antiqua" w:eastAsia="Times New Roman" w:hAnsi="Book Antiqua" w:cs="Times New Roman"/>
          <w:bCs/>
          <w:color w:val="000000" w:themeColor="text1"/>
          <w:sz w:val="24"/>
          <w:szCs w:val="24"/>
        </w:rPr>
        <w:t>esophagram</w:t>
      </w:r>
      <w:proofErr w:type="spellEnd"/>
      <w:r w:rsidRPr="006B24DA">
        <w:rPr>
          <w:rFonts w:ascii="Book Antiqua" w:eastAsia="Times New Roman" w:hAnsi="Book Antiqua" w:cs="Times New Roman"/>
          <w:bCs/>
          <w:color w:val="000000" w:themeColor="text1"/>
          <w:sz w:val="24"/>
          <w:szCs w:val="24"/>
        </w:rPr>
        <w:t>, and endoscopic observance of spasm.</w:t>
      </w:r>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We routinely use the </w:t>
      </w:r>
      <w:proofErr w:type="spellStart"/>
      <w:r w:rsidRPr="006B24DA">
        <w:rPr>
          <w:rFonts w:ascii="Book Antiqua" w:eastAsia="Times New Roman" w:hAnsi="Book Antiqua" w:cs="Times New Roman"/>
          <w:bCs/>
          <w:color w:val="000000" w:themeColor="text1"/>
          <w:sz w:val="24"/>
          <w:szCs w:val="24"/>
        </w:rPr>
        <w:t>Erbe</w:t>
      </w:r>
      <w:proofErr w:type="spellEnd"/>
      <w:r w:rsidRPr="006B24DA">
        <w:rPr>
          <w:rFonts w:ascii="Book Antiqua" w:eastAsia="Times New Roman" w:hAnsi="Book Antiqua" w:cs="Times New Roman"/>
          <w:bCs/>
          <w:color w:val="000000" w:themeColor="text1"/>
          <w:sz w:val="24"/>
          <w:szCs w:val="24"/>
        </w:rPr>
        <w:t xml:space="preserve"> </w:t>
      </w:r>
      <w:proofErr w:type="spellStart"/>
      <w:r w:rsidRPr="006B24DA">
        <w:rPr>
          <w:rFonts w:ascii="Book Antiqua" w:eastAsia="Times New Roman" w:hAnsi="Book Antiqua" w:cs="Times New Roman"/>
          <w:bCs/>
          <w:color w:val="000000" w:themeColor="text1"/>
          <w:sz w:val="24"/>
          <w:szCs w:val="24"/>
        </w:rPr>
        <w:t>i</w:t>
      </w:r>
      <w:proofErr w:type="spellEnd"/>
      <w:r w:rsidRPr="006B24DA">
        <w:rPr>
          <w:rFonts w:ascii="Book Antiqua" w:eastAsia="Times New Roman" w:hAnsi="Book Antiqua" w:cs="Times New Roman"/>
          <w:bCs/>
          <w:color w:val="000000" w:themeColor="text1"/>
          <w:sz w:val="24"/>
          <w:szCs w:val="24"/>
        </w:rPr>
        <w:t xml:space="preserve">-knife for mucosal incision, tunneling, and circular </w:t>
      </w:r>
      <w:proofErr w:type="spellStart"/>
      <w:r w:rsidRPr="006B24DA">
        <w:rPr>
          <w:rFonts w:ascii="Book Antiqua" w:eastAsia="Times New Roman" w:hAnsi="Book Antiqua" w:cs="Times New Roman"/>
          <w:bCs/>
          <w:color w:val="000000" w:themeColor="text1"/>
          <w:sz w:val="24"/>
          <w:szCs w:val="24"/>
        </w:rPr>
        <w:t>myotomy</w:t>
      </w:r>
      <w:proofErr w:type="spellEnd"/>
      <w:r w:rsidRPr="006B24DA">
        <w:rPr>
          <w:rFonts w:ascii="Book Antiqua" w:eastAsia="Times New Roman" w:hAnsi="Book Antiqua" w:cs="Times New Roman"/>
          <w:bCs/>
          <w:color w:val="000000" w:themeColor="text1"/>
          <w:sz w:val="24"/>
          <w:szCs w:val="24"/>
        </w:rPr>
        <w:t xml:space="preserve"> </w:t>
      </w:r>
      <w:r w:rsidR="00B42F2F" w:rsidRPr="006B24DA">
        <w:rPr>
          <w:rFonts w:ascii="Book Antiqua" w:eastAsia="Times New Roman" w:hAnsi="Book Antiqua" w:cs="Times New Roman"/>
          <w:color w:val="000000" w:themeColor="text1"/>
          <w:sz w:val="24"/>
          <w:szCs w:val="24"/>
        </w:rPr>
        <w:t>(Figure 10</w:t>
      </w:r>
      <w:r w:rsidRPr="006B24DA">
        <w:rPr>
          <w:rFonts w:ascii="Book Antiqua" w:eastAsia="Times New Roman" w:hAnsi="Book Antiqua" w:cs="Times New Roman"/>
          <w:color w:val="000000" w:themeColor="text1"/>
          <w:sz w:val="24"/>
          <w:szCs w:val="24"/>
        </w:rPr>
        <w:t>A-E)</w:t>
      </w:r>
      <w:r w:rsidRPr="006B24DA">
        <w:rPr>
          <w:rFonts w:ascii="Book Antiqua" w:eastAsia="Times New Roman" w:hAnsi="Book Antiqua" w:cs="Times New Roman"/>
          <w:bCs/>
          <w:color w:val="000000" w:themeColor="text1"/>
          <w:sz w:val="24"/>
          <w:szCs w:val="24"/>
        </w:rPr>
        <w:t>.</w:t>
      </w:r>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However, for full thickness </w:t>
      </w:r>
      <w:proofErr w:type="spellStart"/>
      <w:r w:rsidRPr="006B24DA">
        <w:rPr>
          <w:rFonts w:ascii="Book Antiqua" w:eastAsia="Times New Roman" w:hAnsi="Book Antiqua" w:cs="Times New Roman"/>
          <w:bCs/>
          <w:color w:val="000000" w:themeColor="text1"/>
          <w:sz w:val="24"/>
          <w:szCs w:val="24"/>
        </w:rPr>
        <w:t>myotomy</w:t>
      </w:r>
      <w:proofErr w:type="spellEnd"/>
      <w:r w:rsidRPr="006B24DA">
        <w:rPr>
          <w:rFonts w:ascii="Book Antiqua" w:eastAsia="Times New Roman" w:hAnsi="Book Antiqua" w:cs="Times New Roman"/>
          <w:bCs/>
          <w:color w:val="000000" w:themeColor="text1"/>
          <w:sz w:val="24"/>
          <w:szCs w:val="24"/>
        </w:rPr>
        <w:t xml:space="preserve"> at the EGJ, we prefer using the Olympus </w:t>
      </w:r>
      <w:r w:rsidR="00E5439D" w:rsidRPr="006B24DA">
        <w:rPr>
          <w:rFonts w:ascii="Book Antiqua" w:eastAsia="Times New Roman" w:hAnsi="Book Antiqua" w:cs="Times New Roman"/>
          <w:bCs/>
          <w:color w:val="000000" w:themeColor="text1"/>
          <w:sz w:val="24"/>
          <w:szCs w:val="24"/>
        </w:rPr>
        <w:t>stag beetle (</w:t>
      </w:r>
      <w:r w:rsidRPr="006B24DA">
        <w:rPr>
          <w:rFonts w:ascii="Book Antiqua" w:eastAsia="Times New Roman" w:hAnsi="Book Antiqua" w:cs="Times New Roman"/>
          <w:bCs/>
          <w:color w:val="000000" w:themeColor="text1"/>
          <w:sz w:val="24"/>
          <w:szCs w:val="24"/>
        </w:rPr>
        <w:t>SB</w:t>
      </w:r>
      <w:r w:rsidR="00E5439D" w:rsidRPr="006B24DA">
        <w:rPr>
          <w:rFonts w:ascii="Book Antiqua" w:eastAsia="Times New Roman" w:hAnsi="Book Antiqua" w:cs="Times New Roman"/>
          <w:bCs/>
          <w:color w:val="000000" w:themeColor="text1"/>
          <w:sz w:val="24"/>
          <w:szCs w:val="24"/>
        </w:rPr>
        <w:t>)</w:t>
      </w:r>
      <w:r w:rsidRPr="006B24DA">
        <w:rPr>
          <w:rFonts w:ascii="Book Antiqua" w:eastAsia="Times New Roman" w:hAnsi="Book Antiqua" w:cs="Times New Roman"/>
          <w:bCs/>
          <w:color w:val="000000" w:themeColor="text1"/>
          <w:sz w:val="24"/>
          <w:szCs w:val="24"/>
        </w:rPr>
        <w:t xml:space="preserve"> knife </w:t>
      </w:r>
      <w:r w:rsidR="00B42F2F" w:rsidRPr="006B24DA">
        <w:rPr>
          <w:rFonts w:ascii="Book Antiqua" w:eastAsia="Times New Roman" w:hAnsi="Book Antiqua" w:cs="Times New Roman"/>
          <w:color w:val="000000" w:themeColor="text1"/>
          <w:sz w:val="24"/>
          <w:szCs w:val="24"/>
        </w:rPr>
        <w:t>(Figure 10</w:t>
      </w:r>
      <w:r w:rsidR="00A66203" w:rsidRPr="006B24DA">
        <w:rPr>
          <w:rFonts w:ascii="Book Antiqua" w:eastAsia="Times New Roman" w:hAnsi="Book Antiqua" w:cs="Times New Roman"/>
          <w:color w:val="000000" w:themeColor="text1"/>
          <w:sz w:val="24"/>
          <w:szCs w:val="24"/>
        </w:rPr>
        <w:t xml:space="preserve">F and </w:t>
      </w:r>
      <w:r w:rsidRPr="006B24DA">
        <w:rPr>
          <w:rFonts w:ascii="Book Antiqua" w:eastAsia="Times New Roman" w:hAnsi="Book Antiqua" w:cs="Times New Roman"/>
          <w:color w:val="000000" w:themeColor="text1"/>
          <w:sz w:val="24"/>
          <w:szCs w:val="24"/>
        </w:rPr>
        <w:t>G</w:t>
      </w:r>
      <w:proofErr w:type="gramStart"/>
      <w:r w:rsidRPr="006B24DA">
        <w:rPr>
          <w:rFonts w:ascii="Book Antiqua" w:eastAsia="Times New Roman" w:hAnsi="Book Antiqua" w:cs="Times New Roman"/>
          <w:color w:val="000000" w:themeColor="text1"/>
          <w:sz w:val="24"/>
          <w:szCs w:val="24"/>
        </w:rPr>
        <w:t>)</w:t>
      </w:r>
      <w:r w:rsidRPr="006B24DA">
        <w:rPr>
          <w:rFonts w:ascii="Book Antiqua" w:eastAsia="Times New Roman" w:hAnsi="Book Antiqua" w:cs="Times New Roman"/>
          <w:bCs/>
          <w:noProof/>
          <w:color w:val="000000" w:themeColor="text1"/>
          <w:sz w:val="24"/>
          <w:szCs w:val="24"/>
          <w:vertAlign w:val="superscript"/>
        </w:rPr>
        <w:t>[</w:t>
      </w:r>
      <w:proofErr w:type="gramEnd"/>
      <w:r w:rsidRPr="006B24DA">
        <w:rPr>
          <w:rFonts w:ascii="Book Antiqua" w:eastAsia="Times New Roman" w:hAnsi="Book Antiqua" w:cs="Times New Roman"/>
          <w:bCs/>
          <w:noProof/>
          <w:color w:val="000000" w:themeColor="text1"/>
          <w:sz w:val="24"/>
          <w:szCs w:val="24"/>
          <w:vertAlign w:val="superscript"/>
        </w:rPr>
        <w:t>52]</w:t>
      </w:r>
      <w:r w:rsidRPr="006B24DA">
        <w:rPr>
          <w:rFonts w:ascii="Book Antiqua" w:eastAsia="Times New Roman" w:hAnsi="Book Antiqua" w:cs="Times New Roman"/>
          <w:bCs/>
          <w:color w:val="000000" w:themeColor="text1"/>
          <w:sz w:val="24"/>
          <w:szCs w:val="24"/>
        </w:rPr>
        <w:t xml:space="preserve"> as in my experience it decreases the rate of spontaneous bleeding (from vessels arising from the </w:t>
      </w:r>
      <w:r w:rsidR="00D4044E" w:rsidRPr="006B24DA">
        <w:rPr>
          <w:rFonts w:ascii="Book Antiqua" w:eastAsia="Times New Roman" w:hAnsi="Book Antiqua" w:cs="Times New Roman"/>
          <w:bCs/>
          <w:color w:val="000000" w:themeColor="text1"/>
          <w:sz w:val="24"/>
          <w:szCs w:val="24"/>
        </w:rPr>
        <w:t>MP</w:t>
      </w:r>
      <w:r w:rsidRPr="006B24DA">
        <w:rPr>
          <w:rFonts w:ascii="Book Antiqua" w:eastAsia="Times New Roman" w:hAnsi="Book Antiqua" w:cs="Times New Roman"/>
          <w:bCs/>
          <w:color w:val="000000" w:themeColor="text1"/>
          <w:sz w:val="24"/>
          <w:szCs w:val="24"/>
        </w:rPr>
        <w:t xml:space="preserve">) and therefore </w:t>
      </w:r>
      <w:r w:rsidR="000C6E86" w:rsidRPr="006B24DA">
        <w:rPr>
          <w:rFonts w:ascii="Book Antiqua" w:eastAsia="Times New Roman" w:hAnsi="Book Antiqua" w:cs="Times New Roman"/>
          <w:bCs/>
          <w:color w:val="000000" w:themeColor="text1"/>
          <w:sz w:val="24"/>
          <w:szCs w:val="24"/>
        </w:rPr>
        <w:t xml:space="preserve">is </w:t>
      </w:r>
      <w:r w:rsidRPr="006B24DA">
        <w:rPr>
          <w:rFonts w:ascii="Book Antiqua" w:eastAsia="Times New Roman" w:hAnsi="Book Antiqua" w:cs="Times New Roman"/>
          <w:bCs/>
          <w:color w:val="000000" w:themeColor="text1"/>
          <w:sz w:val="24"/>
          <w:szCs w:val="24"/>
        </w:rPr>
        <w:t xml:space="preserve">more expedient. I also use the SB knife for submucosal tunneling if I encounter large or abundant blood vessels in the submucosa </w:t>
      </w:r>
      <w:r w:rsidR="00B42F2F" w:rsidRPr="006B24DA">
        <w:rPr>
          <w:rFonts w:ascii="Book Antiqua" w:eastAsia="Times New Roman" w:hAnsi="Book Antiqua" w:cs="Times New Roman"/>
          <w:color w:val="000000" w:themeColor="text1"/>
          <w:sz w:val="24"/>
          <w:szCs w:val="24"/>
        </w:rPr>
        <w:t>(Figure 10</w:t>
      </w:r>
      <w:r w:rsidR="00A66203" w:rsidRPr="006B24DA">
        <w:rPr>
          <w:rFonts w:ascii="Book Antiqua" w:eastAsia="Times New Roman" w:hAnsi="Book Antiqua" w:cs="Times New Roman"/>
          <w:color w:val="000000" w:themeColor="text1"/>
          <w:sz w:val="24"/>
          <w:szCs w:val="24"/>
        </w:rPr>
        <w:t xml:space="preserve">H and </w:t>
      </w:r>
      <w:r w:rsidRPr="006B24DA">
        <w:rPr>
          <w:rFonts w:ascii="Book Antiqua" w:eastAsia="Times New Roman" w:hAnsi="Book Antiqua" w:cs="Times New Roman"/>
          <w:color w:val="000000" w:themeColor="text1"/>
          <w:sz w:val="24"/>
          <w:szCs w:val="24"/>
        </w:rPr>
        <w:t>I)</w:t>
      </w:r>
      <w:r w:rsidRPr="006B24DA">
        <w:rPr>
          <w:rFonts w:ascii="Book Antiqua" w:eastAsia="Times New Roman" w:hAnsi="Book Antiqua" w:cs="Times New Roman"/>
          <w:bCs/>
          <w:color w:val="000000" w:themeColor="text1"/>
          <w:sz w:val="24"/>
          <w:szCs w:val="24"/>
        </w:rPr>
        <w:t>.</w:t>
      </w:r>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We have published our initial experience using the SB knife for a small series of POEM </w:t>
      </w:r>
      <w:proofErr w:type="gramStart"/>
      <w:r w:rsidRPr="006B24DA">
        <w:rPr>
          <w:rFonts w:ascii="Book Antiqua" w:eastAsia="Times New Roman" w:hAnsi="Book Antiqua" w:cs="Times New Roman"/>
          <w:bCs/>
          <w:color w:val="000000" w:themeColor="text1"/>
          <w:sz w:val="24"/>
          <w:szCs w:val="24"/>
        </w:rPr>
        <w:t>cases</w:t>
      </w:r>
      <w:r w:rsidRPr="006B24DA">
        <w:rPr>
          <w:rFonts w:ascii="Book Antiqua" w:eastAsia="Times New Roman" w:hAnsi="Book Antiqua" w:cs="Times New Roman"/>
          <w:bCs/>
          <w:noProof/>
          <w:color w:val="000000" w:themeColor="text1"/>
          <w:sz w:val="24"/>
          <w:szCs w:val="24"/>
          <w:vertAlign w:val="superscript"/>
        </w:rPr>
        <w:t>[</w:t>
      </w:r>
      <w:proofErr w:type="gramEnd"/>
      <w:r w:rsidRPr="006B24DA">
        <w:rPr>
          <w:rFonts w:ascii="Book Antiqua" w:eastAsia="Times New Roman" w:hAnsi="Book Antiqua" w:cs="Times New Roman"/>
          <w:bCs/>
          <w:noProof/>
          <w:color w:val="000000" w:themeColor="text1"/>
          <w:sz w:val="24"/>
          <w:szCs w:val="24"/>
          <w:vertAlign w:val="superscript"/>
        </w:rPr>
        <w:t>52]</w:t>
      </w:r>
      <w:r w:rsidRPr="006B24DA">
        <w:rPr>
          <w:rFonts w:ascii="Book Antiqua" w:eastAsia="Times New Roman" w:hAnsi="Book Antiqua" w:cs="Times New Roman"/>
          <w:bCs/>
          <w:color w:val="000000" w:themeColor="text1"/>
          <w:sz w:val="24"/>
          <w:szCs w:val="24"/>
        </w:rPr>
        <w:t>.</w:t>
      </w:r>
    </w:p>
    <w:p w14:paraId="6C73E900" w14:textId="717F0956" w:rsidR="00E20495" w:rsidRPr="006B24DA" w:rsidRDefault="00A66203" w:rsidP="007761C0">
      <w:pPr>
        <w:autoSpaceDE w:val="0"/>
        <w:autoSpaceDN w:val="0"/>
        <w:adjustRightInd w:val="0"/>
        <w:snapToGrid w:val="0"/>
        <w:spacing w:after="0" w:line="360" w:lineRule="auto"/>
        <w:jc w:val="both"/>
        <w:rPr>
          <w:rFonts w:ascii="Book Antiqua" w:eastAsia="Times New Roman" w:hAnsi="Book Antiqua" w:cs="Times New Roman"/>
          <w:bCs/>
          <w:color w:val="000000" w:themeColor="text1"/>
          <w:sz w:val="24"/>
          <w:szCs w:val="24"/>
        </w:rPr>
      </w:pPr>
      <w:r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As for closure of the submucosal tunnel, we have performed almost equal numbers of clip closure </w:t>
      </w:r>
      <w:bookmarkStart w:id="55" w:name="_Hlk529980101"/>
      <w:r w:rsidR="00B42F2F" w:rsidRPr="006B24DA">
        <w:rPr>
          <w:rFonts w:ascii="Book Antiqua" w:eastAsia="Times New Roman" w:hAnsi="Book Antiqua" w:cs="Times New Roman"/>
          <w:color w:val="000000" w:themeColor="text1"/>
          <w:sz w:val="24"/>
          <w:szCs w:val="24"/>
        </w:rPr>
        <w:t>(Figure 10</w:t>
      </w:r>
      <w:r w:rsidRPr="006B24DA">
        <w:rPr>
          <w:rFonts w:ascii="Book Antiqua" w:eastAsia="Times New Roman" w:hAnsi="Book Antiqua" w:cs="Times New Roman"/>
          <w:color w:val="000000" w:themeColor="text1"/>
          <w:sz w:val="24"/>
          <w:szCs w:val="24"/>
        </w:rPr>
        <w:t xml:space="preserve">H and </w:t>
      </w:r>
      <w:r w:rsidR="00E20495" w:rsidRPr="006B24DA">
        <w:rPr>
          <w:rFonts w:ascii="Book Antiqua" w:eastAsia="Times New Roman" w:hAnsi="Book Antiqua" w:cs="Times New Roman"/>
          <w:color w:val="000000" w:themeColor="text1"/>
          <w:sz w:val="24"/>
          <w:szCs w:val="24"/>
        </w:rPr>
        <w:t>I)</w:t>
      </w:r>
      <w:bookmarkEnd w:id="55"/>
      <w:r w:rsidR="00E20495" w:rsidRPr="006B24DA">
        <w:rPr>
          <w:rFonts w:ascii="Book Antiqua" w:eastAsia="Times New Roman" w:hAnsi="Book Antiqua" w:cs="Times New Roman"/>
          <w:i/>
          <w:color w:val="000000" w:themeColor="text1"/>
          <w:sz w:val="24"/>
          <w:szCs w:val="24"/>
        </w:rPr>
        <w:t xml:space="preserve"> </w:t>
      </w:r>
      <w:r w:rsidRPr="006B24DA">
        <w:rPr>
          <w:rFonts w:ascii="Book Antiqua" w:eastAsia="Times New Roman" w:hAnsi="Book Antiqua" w:cs="Times New Roman"/>
          <w:bCs/>
          <w:i/>
          <w:color w:val="000000" w:themeColor="text1"/>
          <w:sz w:val="24"/>
          <w:szCs w:val="24"/>
        </w:rPr>
        <w:t xml:space="preserve">vs </w:t>
      </w:r>
      <w:r w:rsidR="00E20495" w:rsidRPr="006B24DA">
        <w:rPr>
          <w:rFonts w:ascii="Book Antiqua" w:eastAsia="Times New Roman" w:hAnsi="Book Antiqua" w:cs="Times New Roman"/>
          <w:bCs/>
          <w:color w:val="000000" w:themeColor="text1"/>
          <w:sz w:val="24"/>
          <w:szCs w:val="24"/>
        </w:rPr>
        <w:t xml:space="preserve">suturing </w:t>
      </w:r>
      <w:r w:rsidR="00B42F2F" w:rsidRPr="006B24DA">
        <w:rPr>
          <w:rFonts w:ascii="Book Antiqua" w:eastAsia="Times New Roman" w:hAnsi="Book Antiqua" w:cs="Times New Roman"/>
          <w:color w:val="000000" w:themeColor="text1"/>
          <w:sz w:val="24"/>
          <w:szCs w:val="24"/>
        </w:rPr>
        <w:t>(Figure 11</w:t>
      </w:r>
      <w:r w:rsidRPr="006B24DA">
        <w:rPr>
          <w:rFonts w:ascii="Book Antiqua" w:eastAsia="Times New Roman" w:hAnsi="Book Antiqua" w:cs="Times New Roman"/>
          <w:color w:val="000000" w:themeColor="text1"/>
          <w:sz w:val="24"/>
          <w:szCs w:val="24"/>
        </w:rPr>
        <w:t xml:space="preserve">C and </w:t>
      </w:r>
      <w:r w:rsidR="00E20495" w:rsidRPr="006B24DA">
        <w:rPr>
          <w:rFonts w:ascii="Book Antiqua" w:eastAsia="Times New Roman" w:hAnsi="Book Antiqua" w:cs="Times New Roman"/>
          <w:color w:val="000000" w:themeColor="text1"/>
          <w:sz w:val="24"/>
          <w:szCs w:val="24"/>
        </w:rPr>
        <w:t>D)</w:t>
      </w:r>
      <w:r w:rsidR="00E20495" w:rsidRPr="006B24DA">
        <w:rPr>
          <w:rFonts w:ascii="Book Antiqua" w:eastAsia="Times New Roman" w:hAnsi="Book Antiqua" w:cs="Times New Roman"/>
          <w:bCs/>
          <w:color w:val="000000" w:themeColor="text1"/>
          <w:sz w:val="24"/>
          <w:szCs w:val="24"/>
        </w:rPr>
        <w:t>.</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The cost differential depends somewhat on the number of clips vs the number of sutures used, with a trend towards lower cost for using </w:t>
      </w:r>
      <w:proofErr w:type="gramStart"/>
      <w:r w:rsidR="00E20495" w:rsidRPr="006B24DA">
        <w:rPr>
          <w:rFonts w:ascii="Book Antiqua" w:eastAsia="Times New Roman" w:hAnsi="Book Antiqua" w:cs="Times New Roman"/>
          <w:bCs/>
          <w:color w:val="000000" w:themeColor="text1"/>
          <w:sz w:val="24"/>
          <w:szCs w:val="24"/>
        </w:rPr>
        <w:t>clips</w:t>
      </w:r>
      <w:r w:rsidR="00E20495" w:rsidRPr="006B24DA">
        <w:rPr>
          <w:rFonts w:ascii="Book Antiqua" w:eastAsia="Times New Roman" w:hAnsi="Book Antiqua" w:cs="Times New Roman"/>
          <w:bCs/>
          <w:noProof/>
          <w:color w:val="000000" w:themeColor="text1"/>
          <w:sz w:val="24"/>
          <w:szCs w:val="24"/>
          <w:vertAlign w:val="superscript"/>
        </w:rPr>
        <w:t>[</w:t>
      </w:r>
      <w:proofErr w:type="gramEnd"/>
      <w:r w:rsidR="00E20495" w:rsidRPr="006B24DA">
        <w:rPr>
          <w:rFonts w:ascii="Book Antiqua" w:eastAsia="Times New Roman" w:hAnsi="Book Antiqua" w:cs="Times New Roman"/>
          <w:bCs/>
          <w:noProof/>
          <w:color w:val="000000" w:themeColor="text1"/>
          <w:sz w:val="24"/>
          <w:szCs w:val="24"/>
          <w:vertAlign w:val="superscript"/>
        </w:rPr>
        <w:t>53]</w:t>
      </w:r>
      <w:r w:rsidR="00E20495" w:rsidRPr="006B24DA">
        <w:rPr>
          <w:rFonts w:ascii="Book Antiqua" w:eastAsia="Times New Roman" w:hAnsi="Book Antiqua" w:cs="Times New Roman"/>
          <w:bCs/>
          <w:color w:val="000000" w:themeColor="text1"/>
          <w:sz w:val="24"/>
          <w:szCs w:val="24"/>
        </w:rPr>
        <w:t>.</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The best configuration for suturing is to perform the initial mucosal incision in a horizontal direction </w:t>
      </w:r>
      <w:r w:rsidR="00B42F2F" w:rsidRPr="006B24DA">
        <w:rPr>
          <w:rFonts w:ascii="Book Antiqua" w:eastAsia="Times New Roman" w:hAnsi="Book Antiqua" w:cs="Times New Roman"/>
          <w:color w:val="000000" w:themeColor="text1"/>
          <w:sz w:val="24"/>
          <w:szCs w:val="24"/>
        </w:rPr>
        <w:t>(Figure 11</w:t>
      </w:r>
      <w:r w:rsidR="00E20495" w:rsidRPr="006B24DA">
        <w:rPr>
          <w:rFonts w:ascii="Book Antiqua" w:eastAsia="Times New Roman" w:hAnsi="Book Antiqua" w:cs="Times New Roman"/>
          <w:color w:val="000000" w:themeColor="text1"/>
          <w:sz w:val="24"/>
          <w:szCs w:val="24"/>
        </w:rPr>
        <w:t>B-D)</w:t>
      </w:r>
      <w:r w:rsidR="00E20495" w:rsidRPr="006B24DA">
        <w:rPr>
          <w:rFonts w:ascii="Book Antiqua" w:eastAsia="Times New Roman" w:hAnsi="Book Antiqua" w:cs="Times New Roman"/>
          <w:bCs/>
          <w:color w:val="000000" w:themeColor="text1"/>
          <w:sz w:val="24"/>
          <w:szCs w:val="24"/>
        </w:rPr>
        <w:t>. However, the best configuration for clipping is a vertical incision.</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The issue with a vertical incision is that traction of the scope pushing inside the tunnel can actual cause unintended elongation of the </w:t>
      </w:r>
      <w:proofErr w:type="spellStart"/>
      <w:r w:rsidR="00E20495" w:rsidRPr="006B24DA">
        <w:rPr>
          <w:rFonts w:ascii="Book Antiqua" w:eastAsia="Times New Roman" w:hAnsi="Book Antiqua" w:cs="Times New Roman"/>
          <w:bCs/>
          <w:color w:val="000000" w:themeColor="text1"/>
          <w:sz w:val="24"/>
          <w:szCs w:val="24"/>
        </w:rPr>
        <w:t>mucosotomy</w:t>
      </w:r>
      <w:proofErr w:type="spellEnd"/>
      <w:r w:rsidR="00E20495" w:rsidRPr="006B24DA">
        <w:rPr>
          <w:rFonts w:ascii="Book Antiqua" w:eastAsia="Times New Roman" w:hAnsi="Book Antiqua" w:cs="Times New Roman"/>
          <w:bCs/>
          <w:color w:val="000000" w:themeColor="text1"/>
          <w:sz w:val="24"/>
          <w:szCs w:val="24"/>
        </w:rPr>
        <w:t>.</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This may result is difficulty maintaining CO</w:t>
      </w:r>
      <w:r w:rsidR="00E20495" w:rsidRPr="006B24DA">
        <w:rPr>
          <w:rFonts w:ascii="Book Antiqua" w:eastAsia="Times New Roman" w:hAnsi="Book Antiqua" w:cs="Times New Roman"/>
          <w:bCs/>
          <w:color w:val="000000" w:themeColor="text1"/>
          <w:sz w:val="24"/>
          <w:szCs w:val="24"/>
          <w:vertAlign w:val="subscript"/>
        </w:rPr>
        <w:t>2</w:t>
      </w:r>
      <w:r w:rsidR="00E20495" w:rsidRPr="006B24DA">
        <w:rPr>
          <w:rFonts w:ascii="Book Antiqua" w:eastAsia="Times New Roman" w:hAnsi="Book Antiqua" w:cs="Times New Roman"/>
          <w:bCs/>
          <w:color w:val="000000" w:themeColor="text1"/>
          <w:sz w:val="24"/>
          <w:szCs w:val="24"/>
        </w:rPr>
        <w:t xml:space="preserve"> within the tunnel for optimal visualization as well a longer closure process.</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We have found that a horizontal incision actually is optimal for either closure method, while decreasing the risk of elongating the </w:t>
      </w:r>
      <w:proofErr w:type="spellStart"/>
      <w:r w:rsidR="00E20495" w:rsidRPr="006B24DA">
        <w:rPr>
          <w:rFonts w:ascii="Book Antiqua" w:eastAsia="Times New Roman" w:hAnsi="Book Antiqua" w:cs="Times New Roman"/>
          <w:bCs/>
          <w:color w:val="000000" w:themeColor="text1"/>
          <w:sz w:val="24"/>
          <w:szCs w:val="24"/>
        </w:rPr>
        <w:t>mucosotomy</w:t>
      </w:r>
      <w:proofErr w:type="spellEnd"/>
      <w:r w:rsidR="00E20495" w:rsidRPr="006B24DA">
        <w:rPr>
          <w:rFonts w:ascii="Book Antiqua" w:eastAsia="Times New Roman" w:hAnsi="Book Antiqua" w:cs="Times New Roman"/>
          <w:bCs/>
          <w:color w:val="000000" w:themeColor="text1"/>
          <w:sz w:val="24"/>
          <w:szCs w:val="24"/>
        </w:rPr>
        <w:t>.</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The best technique for clipping in th</w:t>
      </w:r>
      <w:r w:rsidR="00A14C21" w:rsidRPr="006B24DA">
        <w:rPr>
          <w:rFonts w:ascii="Book Antiqua" w:eastAsia="Times New Roman" w:hAnsi="Book Antiqua" w:cs="Times New Roman"/>
          <w:bCs/>
          <w:color w:val="000000" w:themeColor="text1"/>
          <w:sz w:val="24"/>
          <w:szCs w:val="24"/>
        </w:rPr>
        <w:t>is</w:t>
      </w:r>
      <w:r w:rsidR="00E20495" w:rsidRPr="006B24DA">
        <w:rPr>
          <w:rFonts w:ascii="Book Antiqua" w:eastAsia="Times New Roman" w:hAnsi="Book Antiqua" w:cs="Times New Roman"/>
          <w:bCs/>
          <w:color w:val="000000" w:themeColor="text1"/>
          <w:sz w:val="24"/>
          <w:szCs w:val="24"/>
        </w:rPr>
        <w:t xml:space="preserve"> scenario is to </w:t>
      </w:r>
      <w:r w:rsidR="00E20495" w:rsidRPr="006B24DA">
        <w:rPr>
          <w:rFonts w:ascii="Book Antiqua" w:eastAsia="Times New Roman" w:hAnsi="Book Antiqua" w:cs="Times New Roman"/>
          <w:bCs/>
          <w:color w:val="000000" w:themeColor="text1"/>
          <w:sz w:val="24"/>
          <w:szCs w:val="24"/>
        </w:rPr>
        <w:lastRenderedPageBreak/>
        <w:t xml:space="preserve">identify the most distal midpoint of the incision </w:t>
      </w:r>
      <w:r w:rsidR="00B42F2F" w:rsidRPr="006B24DA">
        <w:rPr>
          <w:rFonts w:ascii="Book Antiqua" w:eastAsia="Times New Roman" w:hAnsi="Book Antiqua" w:cs="Times New Roman"/>
          <w:color w:val="000000" w:themeColor="text1"/>
          <w:sz w:val="24"/>
          <w:szCs w:val="24"/>
        </w:rPr>
        <w:t>(Figure 10</w:t>
      </w:r>
      <w:r w:rsidR="00E20495" w:rsidRPr="006B24DA">
        <w:rPr>
          <w:rFonts w:ascii="Book Antiqua" w:eastAsia="Times New Roman" w:hAnsi="Book Antiqua" w:cs="Times New Roman"/>
          <w:color w:val="000000" w:themeColor="text1"/>
          <w:sz w:val="24"/>
          <w:szCs w:val="24"/>
        </w:rPr>
        <w:t>H)</w:t>
      </w:r>
      <w:r w:rsidR="00E20495" w:rsidRPr="006B24DA">
        <w:rPr>
          <w:rFonts w:ascii="Book Antiqua" w:eastAsia="Times New Roman" w:hAnsi="Book Antiqua" w:cs="Times New Roman"/>
          <w:bCs/>
          <w:color w:val="000000" w:themeColor="text1"/>
          <w:sz w:val="24"/>
          <w:szCs w:val="24"/>
        </w:rPr>
        <w:t xml:space="preserve"> and place the first clip 1mm distal to that point.</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This creates an elevated crease and all subsequent clips can be placed adjacently </w:t>
      </w:r>
      <w:r w:rsidR="00B42F2F" w:rsidRPr="006B24DA">
        <w:rPr>
          <w:rFonts w:ascii="Book Antiqua" w:eastAsia="Times New Roman" w:hAnsi="Book Antiqua" w:cs="Times New Roman"/>
          <w:color w:val="000000" w:themeColor="text1"/>
          <w:sz w:val="24"/>
          <w:szCs w:val="24"/>
        </w:rPr>
        <w:t>(Figure 10</w:t>
      </w:r>
      <w:r w:rsidR="00E20495" w:rsidRPr="006B24DA">
        <w:rPr>
          <w:rFonts w:ascii="Book Antiqua" w:eastAsia="Times New Roman" w:hAnsi="Book Antiqua" w:cs="Times New Roman"/>
          <w:color w:val="000000" w:themeColor="text1"/>
          <w:sz w:val="24"/>
          <w:szCs w:val="24"/>
        </w:rPr>
        <w:t>I)</w:t>
      </w:r>
      <w:r w:rsidR="00E20495" w:rsidRPr="006B24DA">
        <w:rPr>
          <w:rFonts w:ascii="Book Antiqua" w:eastAsia="Times New Roman" w:hAnsi="Book Antiqua" w:cs="Times New Roman"/>
          <w:bCs/>
          <w:color w:val="000000" w:themeColor="text1"/>
          <w:sz w:val="24"/>
          <w:szCs w:val="24"/>
        </w:rPr>
        <w:t>.</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Confirmation of adequate extension into the stomach can sometimes be challenging, and mere fluid injection into the tunnel with subsequent endoscopic evaluation in retroflexed position in the stomach may not be adequate.</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In our center, we are routinely placing a slim scope (4.9</w:t>
      </w:r>
      <w:r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mm) alongside the </w:t>
      </w:r>
      <w:proofErr w:type="spellStart"/>
      <w:r w:rsidR="00E20495" w:rsidRPr="006B24DA">
        <w:rPr>
          <w:rFonts w:ascii="Book Antiqua" w:eastAsia="Times New Roman" w:hAnsi="Book Antiqua" w:cs="Times New Roman"/>
          <w:bCs/>
          <w:color w:val="000000" w:themeColor="text1"/>
          <w:sz w:val="24"/>
          <w:szCs w:val="24"/>
        </w:rPr>
        <w:t>gastroscope</w:t>
      </w:r>
      <w:proofErr w:type="spellEnd"/>
      <w:r w:rsidR="00E20495" w:rsidRPr="006B24DA">
        <w:rPr>
          <w:rFonts w:ascii="Book Antiqua" w:eastAsia="Times New Roman" w:hAnsi="Book Antiqua" w:cs="Times New Roman"/>
          <w:bCs/>
          <w:color w:val="000000" w:themeColor="text1"/>
          <w:sz w:val="24"/>
          <w:szCs w:val="24"/>
        </w:rPr>
        <w:t xml:space="preserve"> and advancing into the stomach in retroflexed position.</w:t>
      </w:r>
      <w:r w:rsidR="00D33133" w:rsidRPr="006B24DA">
        <w:rPr>
          <w:rFonts w:ascii="Book Antiqua" w:eastAsia="Times New Roman" w:hAnsi="Book Antiqua" w:cs="Times New Roman"/>
          <w:bCs/>
          <w:color w:val="000000" w:themeColor="text1"/>
          <w:sz w:val="24"/>
          <w:szCs w:val="24"/>
        </w:rPr>
        <w:t xml:space="preserve"> </w:t>
      </w:r>
      <w:proofErr w:type="gramStart"/>
      <w:r w:rsidR="00E20495" w:rsidRPr="006B24DA">
        <w:rPr>
          <w:rFonts w:ascii="Book Antiqua" w:eastAsia="Times New Roman" w:hAnsi="Book Antiqua" w:cs="Times New Roman"/>
          <w:bCs/>
          <w:color w:val="000000" w:themeColor="text1"/>
          <w:sz w:val="24"/>
          <w:szCs w:val="24"/>
        </w:rPr>
        <w:t xml:space="preserve">Once in the stomach, the light can be turned off on the slim scope and the light from the standard </w:t>
      </w:r>
      <w:proofErr w:type="spellStart"/>
      <w:r w:rsidR="00E20495" w:rsidRPr="006B24DA">
        <w:rPr>
          <w:rFonts w:ascii="Book Antiqua" w:eastAsia="Times New Roman" w:hAnsi="Book Antiqua" w:cs="Times New Roman"/>
          <w:bCs/>
          <w:color w:val="000000" w:themeColor="text1"/>
          <w:sz w:val="24"/>
          <w:szCs w:val="24"/>
        </w:rPr>
        <w:t>gastroscope</w:t>
      </w:r>
      <w:proofErr w:type="spellEnd"/>
      <w:r w:rsidR="00E20495" w:rsidRPr="006B24DA">
        <w:rPr>
          <w:rFonts w:ascii="Book Antiqua" w:eastAsia="Times New Roman" w:hAnsi="Book Antiqua" w:cs="Times New Roman"/>
          <w:bCs/>
          <w:color w:val="000000" w:themeColor="text1"/>
          <w:sz w:val="24"/>
          <w:szCs w:val="24"/>
        </w:rPr>
        <w:t xml:space="preserve"> within the submucosal tunnel can be confirmed easily </w:t>
      </w:r>
      <w:r w:rsidR="00B42F2F" w:rsidRPr="006B24DA">
        <w:rPr>
          <w:rFonts w:ascii="Book Antiqua" w:eastAsia="Times New Roman" w:hAnsi="Book Antiqua" w:cs="Times New Roman"/>
          <w:color w:val="000000" w:themeColor="text1"/>
          <w:sz w:val="24"/>
          <w:szCs w:val="24"/>
        </w:rPr>
        <w:t>(Figure 10</w:t>
      </w:r>
      <w:r w:rsidR="00E20495" w:rsidRPr="006B24DA">
        <w:rPr>
          <w:rFonts w:ascii="Book Antiqua" w:eastAsia="Times New Roman" w:hAnsi="Book Antiqua" w:cs="Times New Roman"/>
          <w:color w:val="000000" w:themeColor="text1"/>
          <w:sz w:val="24"/>
          <w:szCs w:val="24"/>
        </w:rPr>
        <w:t>I)</w:t>
      </w:r>
      <w:r w:rsidR="00E20495" w:rsidRPr="006B24DA">
        <w:rPr>
          <w:rFonts w:ascii="Book Antiqua" w:eastAsia="Times New Roman" w:hAnsi="Book Antiqua" w:cs="Times New Roman"/>
          <w:bCs/>
          <w:color w:val="000000" w:themeColor="text1"/>
          <w:sz w:val="24"/>
          <w:szCs w:val="24"/>
        </w:rPr>
        <w:t>.</w:t>
      </w:r>
      <w:proofErr w:type="gramEnd"/>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 </w:t>
      </w:r>
    </w:p>
    <w:p w14:paraId="18CFE361" w14:textId="77777777" w:rsidR="00A66203" w:rsidRPr="006B24DA" w:rsidRDefault="00A66203" w:rsidP="007761C0">
      <w:pPr>
        <w:autoSpaceDE w:val="0"/>
        <w:autoSpaceDN w:val="0"/>
        <w:adjustRightInd w:val="0"/>
        <w:snapToGrid w:val="0"/>
        <w:spacing w:after="0" w:line="360" w:lineRule="auto"/>
        <w:jc w:val="both"/>
        <w:rPr>
          <w:rFonts w:ascii="Book Antiqua" w:eastAsia="Times New Roman" w:hAnsi="Book Antiqua" w:cs="Times New Roman"/>
          <w:bCs/>
          <w:i/>
          <w:color w:val="000000" w:themeColor="text1"/>
          <w:sz w:val="24"/>
          <w:szCs w:val="24"/>
        </w:rPr>
      </w:pPr>
    </w:p>
    <w:p w14:paraId="52A57B10" w14:textId="03E54CAD" w:rsidR="00A66203" w:rsidRPr="006B24DA" w:rsidRDefault="00A66203" w:rsidP="007761C0">
      <w:pPr>
        <w:autoSpaceDE w:val="0"/>
        <w:autoSpaceDN w:val="0"/>
        <w:adjustRightInd w:val="0"/>
        <w:snapToGrid w:val="0"/>
        <w:spacing w:after="0" w:line="360" w:lineRule="auto"/>
        <w:jc w:val="both"/>
        <w:rPr>
          <w:rFonts w:ascii="Book Antiqua" w:eastAsia="Times New Roman" w:hAnsi="Book Antiqua" w:cs="Times New Roman"/>
          <w:b/>
          <w:bCs/>
          <w:color w:val="000000" w:themeColor="text1"/>
          <w:sz w:val="24"/>
          <w:szCs w:val="24"/>
        </w:rPr>
      </w:pPr>
      <w:r w:rsidRPr="006B24DA">
        <w:rPr>
          <w:rFonts w:ascii="Book Antiqua" w:eastAsia="Times New Roman" w:hAnsi="Book Antiqua" w:cs="Times New Roman"/>
          <w:b/>
          <w:bCs/>
          <w:i/>
          <w:color w:val="000000" w:themeColor="text1"/>
          <w:sz w:val="24"/>
          <w:szCs w:val="24"/>
        </w:rPr>
        <w:t>Future opportunities</w:t>
      </w:r>
    </w:p>
    <w:p w14:paraId="35BE9F82" w14:textId="66A1C837" w:rsidR="00E20495" w:rsidRPr="006B24DA" w:rsidRDefault="00E20495" w:rsidP="003B13C7">
      <w:pPr>
        <w:autoSpaceDE w:val="0"/>
        <w:autoSpaceDN w:val="0"/>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t>Technical and device refinements</w:t>
      </w:r>
      <w:r w:rsidR="00A66203" w:rsidRPr="006B24DA">
        <w:rPr>
          <w:rFonts w:ascii="Book Antiqua" w:eastAsia="Times New Roman" w:hAnsi="Book Antiqua" w:cs="Times New Roman"/>
          <w:color w:val="000000" w:themeColor="text1"/>
          <w:sz w:val="24"/>
          <w:szCs w:val="24"/>
        </w:rPr>
        <w:t xml:space="preserve"> are still evolving with POEM. </w:t>
      </w:r>
      <w:r w:rsidRPr="006B24DA">
        <w:rPr>
          <w:rFonts w:ascii="Book Antiqua" w:eastAsia="Times New Roman" w:hAnsi="Book Antiqua" w:cs="Times New Roman"/>
          <w:color w:val="000000" w:themeColor="text1"/>
          <w:sz w:val="24"/>
          <w:szCs w:val="24"/>
        </w:rPr>
        <w:t xml:space="preserve">A single center, prospective randomized trial in 63 patients suggested no difference between an anterior versus a posterior </w:t>
      </w:r>
      <w:proofErr w:type="spellStart"/>
      <w:proofErr w:type="gramStart"/>
      <w:r w:rsidRPr="006B24DA">
        <w:rPr>
          <w:rFonts w:ascii="Book Antiqua" w:eastAsia="Times New Roman" w:hAnsi="Book Antiqua" w:cs="Times New Roman"/>
          <w:color w:val="000000" w:themeColor="text1"/>
          <w:sz w:val="24"/>
          <w:szCs w:val="24"/>
        </w:rPr>
        <w:t>myotomy</w:t>
      </w:r>
      <w:proofErr w:type="spellEnd"/>
      <w:r w:rsidRPr="006B24DA">
        <w:rPr>
          <w:rFonts w:ascii="Book Antiqua" w:eastAsia="Times New Roman" w:hAnsi="Book Antiqua" w:cs="Times New Roman"/>
          <w:noProof/>
          <w:color w:val="000000" w:themeColor="text1"/>
          <w:sz w:val="24"/>
          <w:szCs w:val="24"/>
          <w:vertAlign w:val="superscript"/>
        </w:rPr>
        <w:t>[</w:t>
      </w:r>
      <w:proofErr w:type="gramEnd"/>
      <w:r w:rsidRPr="006B24DA">
        <w:rPr>
          <w:rFonts w:ascii="Book Antiqua" w:eastAsia="Times New Roman" w:hAnsi="Book Antiqua" w:cs="Times New Roman"/>
          <w:noProof/>
          <w:color w:val="000000" w:themeColor="text1"/>
          <w:sz w:val="24"/>
          <w:szCs w:val="24"/>
          <w:vertAlign w:val="superscript"/>
        </w:rPr>
        <w:t>54]</w:t>
      </w:r>
      <w:r w:rsidRPr="006B24DA">
        <w:rPr>
          <w:rFonts w:ascii="Book Antiqua" w:eastAsia="Times New Roman" w:hAnsi="Book Antiqua" w:cs="Times New Roman"/>
          <w:color w:val="000000" w:themeColor="text1"/>
          <w:sz w:val="24"/>
          <w:szCs w:val="24"/>
        </w:rPr>
        <w:t>, although larger studies with longer follow-up are needed to validate this.</w:t>
      </w:r>
      <w:r w:rsidR="00D33133"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 xml:space="preserve">Similarly, partial full-thickness </w:t>
      </w:r>
      <w:proofErr w:type="spellStart"/>
      <w:r w:rsidRPr="006B24DA">
        <w:rPr>
          <w:rFonts w:ascii="Book Antiqua" w:eastAsia="Times New Roman" w:hAnsi="Book Antiqua" w:cs="Times New Roman"/>
          <w:color w:val="000000" w:themeColor="text1"/>
          <w:sz w:val="24"/>
          <w:szCs w:val="24"/>
        </w:rPr>
        <w:t>myotomy</w:t>
      </w:r>
      <w:proofErr w:type="spellEnd"/>
      <w:r w:rsidRPr="006B24DA">
        <w:rPr>
          <w:rFonts w:ascii="Book Antiqua" w:eastAsia="Times New Roman" w:hAnsi="Book Antiqua" w:cs="Times New Roman"/>
          <w:color w:val="000000" w:themeColor="text1"/>
          <w:sz w:val="24"/>
          <w:szCs w:val="24"/>
        </w:rPr>
        <w:t xml:space="preserve"> versus circular </w:t>
      </w:r>
      <w:proofErr w:type="spellStart"/>
      <w:r w:rsidRPr="006B24DA">
        <w:rPr>
          <w:rFonts w:ascii="Book Antiqua" w:eastAsia="Times New Roman" w:hAnsi="Book Antiqua" w:cs="Times New Roman"/>
          <w:color w:val="000000" w:themeColor="text1"/>
          <w:sz w:val="24"/>
          <w:szCs w:val="24"/>
        </w:rPr>
        <w:t>myotomy</w:t>
      </w:r>
      <w:proofErr w:type="spellEnd"/>
      <w:r w:rsidRPr="006B24DA">
        <w:rPr>
          <w:rFonts w:ascii="Book Antiqua" w:eastAsia="Times New Roman" w:hAnsi="Book Antiqua" w:cs="Times New Roman"/>
          <w:color w:val="000000" w:themeColor="text1"/>
          <w:sz w:val="24"/>
          <w:szCs w:val="24"/>
        </w:rPr>
        <w:t xml:space="preserve"> only has been compared in a small single center study and appears not to affect clinical outcomes, although the a partial full-thickness </w:t>
      </w:r>
      <w:proofErr w:type="spellStart"/>
      <w:r w:rsidRPr="006B24DA">
        <w:rPr>
          <w:rFonts w:ascii="Book Antiqua" w:eastAsia="Times New Roman" w:hAnsi="Book Antiqua" w:cs="Times New Roman"/>
          <w:color w:val="000000" w:themeColor="text1"/>
          <w:sz w:val="24"/>
          <w:szCs w:val="24"/>
        </w:rPr>
        <w:t>myotomy</w:t>
      </w:r>
      <w:proofErr w:type="spellEnd"/>
      <w:r w:rsidRPr="006B24DA">
        <w:rPr>
          <w:rFonts w:ascii="Book Antiqua" w:eastAsia="Times New Roman" w:hAnsi="Book Antiqua" w:cs="Times New Roman"/>
          <w:color w:val="000000" w:themeColor="text1"/>
          <w:sz w:val="24"/>
          <w:szCs w:val="24"/>
        </w:rPr>
        <w:t xml:space="preserve"> took less </w:t>
      </w:r>
      <w:proofErr w:type="gramStart"/>
      <w:r w:rsidRPr="006B24DA">
        <w:rPr>
          <w:rFonts w:ascii="Book Antiqua" w:eastAsia="Times New Roman" w:hAnsi="Book Antiqua" w:cs="Times New Roman"/>
          <w:color w:val="000000" w:themeColor="text1"/>
          <w:sz w:val="24"/>
          <w:szCs w:val="24"/>
        </w:rPr>
        <w:t>time</w:t>
      </w:r>
      <w:r w:rsidRPr="006B24DA">
        <w:rPr>
          <w:rFonts w:ascii="Book Antiqua" w:eastAsia="Times New Roman" w:hAnsi="Book Antiqua" w:cs="Times New Roman"/>
          <w:noProof/>
          <w:color w:val="000000" w:themeColor="text1"/>
          <w:sz w:val="24"/>
          <w:szCs w:val="24"/>
          <w:vertAlign w:val="superscript"/>
        </w:rPr>
        <w:t>[</w:t>
      </w:r>
      <w:proofErr w:type="gramEnd"/>
      <w:r w:rsidRPr="006B24DA">
        <w:rPr>
          <w:rFonts w:ascii="Book Antiqua" w:eastAsia="Times New Roman" w:hAnsi="Book Antiqua" w:cs="Times New Roman"/>
          <w:noProof/>
          <w:color w:val="000000" w:themeColor="text1"/>
          <w:sz w:val="24"/>
          <w:szCs w:val="24"/>
          <w:vertAlign w:val="superscript"/>
        </w:rPr>
        <w:t>55]</w:t>
      </w:r>
      <w:r w:rsidRPr="006B24DA">
        <w:rPr>
          <w:rFonts w:ascii="Book Antiqua" w:eastAsia="Times New Roman" w:hAnsi="Book Antiqua" w:cs="Times New Roman"/>
          <w:color w:val="000000" w:themeColor="text1"/>
          <w:sz w:val="24"/>
          <w:szCs w:val="24"/>
        </w:rPr>
        <w:t>.</w:t>
      </w:r>
      <w:r w:rsidR="00D33133"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 xml:space="preserve">The extent of </w:t>
      </w:r>
      <w:proofErr w:type="spellStart"/>
      <w:r w:rsidRPr="006B24DA">
        <w:rPr>
          <w:rFonts w:ascii="Book Antiqua" w:eastAsia="Times New Roman" w:hAnsi="Book Antiqua" w:cs="Times New Roman"/>
          <w:color w:val="000000" w:themeColor="text1"/>
          <w:sz w:val="24"/>
          <w:szCs w:val="24"/>
        </w:rPr>
        <w:t>myotomy</w:t>
      </w:r>
      <w:proofErr w:type="spellEnd"/>
      <w:r w:rsidRPr="006B24DA">
        <w:rPr>
          <w:rFonts w:ascii="Book Antiqua" w:eastAsia="Times New Roman" w:hAnsi="Book Antiqua" w:cs="Times New Roman"/>
          <w:color w:val="000000" w:themeColor="text1"/>
          <w:sz w:val="24"/>
          <w:szCs w:val="24"/>
        </w:rPr>
        <w:t xml:space="preserve"> in the proximal stomach is also being evaluated, with a tendency towards 1</w:t>
      </w:r>
      <w:r w:rsidR="00251E34" w:rsidRPr="006B24DA">
        <w:rPr>
          <w:rFonts w:ascii="Book Antiqua" w:eastAsia="Times New Roman" w:hAnsi="Book Antiqua" w:cs="Times New Roman"/>
          <w:color w:val="000000" w:themeColor="text1"/>
          <w:sz w:val="24"/>
          <w:szCs w:val="24"/>
        </w:rPr>
        <w:t>.5</w:t>
      </w:r>
      <w:r w:rsidRPr="006B24DA">
        <w:rPr>
          <w:rFonts w:ascii="Book Antiqua" w:eastAsia="Times New Roman" w:hAnsi="Book Antiqua" w:cs="Times New Roman"/>
          <w:color w:val="000000" w:themeColor="text1"/>
          <w:sz w:val="24"/>
          <w:szCs w:val="24"/>
        </w:rPr>
        <w:t xml:space="preserve">-2 cm as compared to the initial 3 cm. The issue of post-POEM GERD has already been addressed, and this will continue to fuel both technique refinements to minimize GERD as well as endoscopic solutions, such as TIF, in cases that require further anti-reflux intervention. </w:t>
      </w:r>
    </w:p>
    <w:p w14:paraId="6CFA1777" w14:textId="77777777" w:rsidR="00E20495" w:rsidRPr="006B24DA" w:rsidRDefault="00E20495" w:rsidP="007761C0">
      <w:pPr>
        <w:autoSpaceDE w:val="0"/>
        <w:autoSpaceDN w:val="0"/>
        <w:adjustRightInd w:val="0"/>
        <w:snapToGrid w:val="0"/>
        <w:spacing w:after="0" w:line="360" w:lineRule="auto"/>
        <w:jc w:val="both"/>
        <w:rPr>
          <w:rFonts w:ascii="Book Antiqua" w:eastAsia="Times New Roman" w:hAnsi="Book Antiqua" w:cs="Times New Roman"/>
          <w:bCs/>
          <w:color w:val="000000" w:themeColor="text1"/>
          <w:sz w:val="24"/>
          <w:szCs w:val="24"/>
        </w:rPr>
      </w:pPr>
    </w:p>
    <w:p w14:paraId="516316E2" w14:textId="6BAE7E83" w:rsidR="00E20495" w:rsidRPr="006B24DA" w:rsidRDefault="00A66203" w:rsidP="00F67887">
      <w:pPr>
        <w:autoSpaceDE w:val="0"/>
        <w:autoSpaceDN w:val="0"/>
        <w:adjustRightInd w:val="0"/>
        <w:snapToGrid w:val="0"/>
        <w:spacing w:after="0" w:line="360" w:lineRule="auto"/>
        <w:jc w:val="both"/>
        <w:outlineLvl w:val="0"/>
        <w:rPr>
          <w:rFonts w:ascii="Book Antiqua" w:eastAsia="Times New Roman" w:hAnsi="Book Antiqua" w:cs="Times New Roman"/>
          <w:b/>
          <w:bCs/>
          <w:color w:val="000000" w:themeColor="text1"/>
          <w:sz w:val="24"/>
          <w:szCs w:val="24"/>
        </w:rPr>
      </w:pPr>
      <w:r w:rsidRPr="006B24DA">
        <w:rPr>
          <w:rFonts w:ascii="Book Antiqua" w:eastAsia="Times New Roman" w:hAnsi="Book Antiqua" w:cs="Times New Roman"/>
          <w:b/>
          <w:bCs/>
          <w:color w:val="000000" w:themeColor="text1"/>
          <w:sz w:val="24"/>
          <w:szCs w:val="24"/>
        </w:rPr>
        <w:t>ZENKER’S DIVERTICULUM - Z-POEM</w:t>
      </w:r>
    </w:p>
    <w:p w14:paraId="7ADA60E2" w14:textId="04A55C0E" w:rsidR="00A66203" w:rsidRPr="006B24DA" w:rsidRDefault="00A66203" w:rsidP="007761C0">
      <w:pPr>
        <w:autoSpaceDE w:val="0"/>
        <w:autoSpaceDN w:val="0"/>
        <w:adjustRightInd w:val="0"/>
        <w:snapToGrid w:val="0"/>
        <w:spacing w:after="0" w:line="360" w:lineRule="auto"/>
        <w:jc w:val="both"/>
        <w:rPr>
          <w:rFonts w:ascii="Book Antiqua" w:eastAsia="Times New Roman" w:hAnsi="Book Antiqua" w:cs="Times New Roman"/>
          <w:b/>
          <w:bCs/>
          <w:color w:val="000000" w:themeColor="text1"/>
          <w:sz w:val="24"/>
          <w:szCs w:val="24"/>
        </w:rPr>
      </w:pPr>
      <w:bookmarkStart w:id="56" w:name="OLE_LINK67"/>
      <w:bookmarkStart w:id="57" w:name="OLE_LINK68"/>
      <w:r w:rsidRPr="006B24DA">
        <w:rPr>
          <w:rFonts w:ascii="Book Antiqua" w:eastAsia="Times New Roman" w:hAnsi="Book Antiqua" w:cs="Times New Roman"/>
          <w:b/>
          <w:bCs/>
          <w:i/>
          <w:color w:val="000000" w:themeColor="text1"/>
          <w:sz w:val="24"/>
          <w:szCs w:val="24"/>
        </w:rPr>
        <w:t>Lessons learned</w:t>
      </w:r>
    </w:p>
    <w:bookmarkEnd w:id="56"/>
    <w:bookmarkEnd w:id="57"/>
    <w:p w14:paraId="61833A0D" w14:textId="31962B4B" w:rsidR="00E20495" w:rsidRPr="006B24DA" w:rsidRDefault="005A1361" w:rsidP="007761C0">
      <w:pPr>
        <w:autoSpaceDE w:val="0"/>
        <w:autoSpaceDN w:val="0"/>
        <w:adjustRightInd w:val="0"/>
        <w:snapToGrid w:val="0"/>
        <w:spacing w:after="0" w:line="360" w:lineRule="auto"/>
        <w:jc w:val="both"/>
        <w:rPr>
          <w:rFonts w:ascii="Book Antiqua" w:eastAsia="Times New Roman" w:hAnsi="Book Antiqua" w:cs="Times New Roman"/>
          <w:bCs/>
          <w:color w:val="000000" w:themeColor="text1"/>
          <w:sz w:val="24"/>
          <w:szCs w:val="24"/>
        </w:rPr>
      </w:pPr>
      <w:proofErr w:type="spellStart"/>
      <w:r w:rsidRPr="006B24DA">
        <w:rPr>
          <w:rFonts w:ascii="Book Antiqua" w:eastAsia="Times New Roman" w:hAnsi="Book Antiqua" w:cs="Times New Roman"/>
          <w:bCs/>
          <w:color w:val="000000" w:themeColor="text1"/>
          <w:sz w:val="24"/>
          <w:szCs w:val="24"/>
        </w:rPr>
        <w:t>Zenker’s</w:t>
      </w:r>
      <w:proofErr w:type="spellEnd"/>
      <w:r w:rsidRPr="006B24DA">
        <w:rPr>
          <w:rFonts w:ascii="Book Antiqua" w:eastAsia="Times New Roman" w:hAnsi="Book Antiqua" w:cs="Times New Roman"/>
          <w:bCs/>
          <w:color w:val="000000" w:themeColor="text1"/>
          <w:sz w:val="24"/>
          <w:szCs w:val="24"/>
        </w:rPr>
        <w:t xml:space="preserve"> d</w:t>
      </w:r>
      <w:r w:rsidR="00E20495" w:rsidRPr="006B24DA">
        <w:rPr>
          <w:rFonts w:ascii="Book Antiqua" w:eastAsia="Times New Roman" w:hAnsi="Book Antiqua" w:cs="Times New Roman"/>
          <w:bCs/>
          <w:color w:val="000000" w:themeColor="text1"/>
          <w:sz w:val="24"/>
          <w:szCs w:val="24"/>
        </w:rPr>
        <w:t>iverticulum has historically been treated by head and neck surgeons using either an open or rigid endoscopic approach with a stapler.</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A recent meta-analysis compared open to rigid endoscopic stapling approaches and found that failure of open and endosco</w:t>
      </w:r>
      <w:r w:rsidR="00A66203" w:rsidRPr="006B24DA">
        <w:rPr>
          <w:rFonts w:ascii="Book Antiqua" w:eastAsia="Times New Roman" w:hAnsi="Book Antiqua" w:cs="Times New Roman"/>
          <w:bCs/>
          <w:color w:val="000000" w:themeColor="text1"/>
          <w:sz w:val="24"/>
          <w:szCs w:val="24"/>
        </w:rPr>
        <w:t>pic approaches was 4.2% and 18.4</w:t>
      </w:r>
      <w:r w:rsidR="00E20495" w:rsidRPr="006B24DA">
        <w:rPr>
          <w:rFonts w:ascii="Book Antiqua" w:eastAsia="Times New Roman" w:hAnsi="Book Antiqua" w:cs="Times New Roman"/>
          <w:bCs/>
          <w:color w:val="000000" w:themeColor="text1"/>
          <w:sz w:val="24"/>
          <w:szCs w:val="24"/>
        </w:rPr>
        <w:t xml:space="preserve">%, respectively, and corresponding </w:t>
      </w:r>
      <w:r w:rsidR="00E20495" w:rsidRPr="006B24DA">
        <w:rPr>
          <w:rFonts w:ascii="Book Antiqua" w:eastAsia="Times New Roman" w:hAnsi="Book Antiqua" w:cs="Times New Roman"/>
          <w:bCs/>
          <w:color w:val="000000" w:themeColor="text1"/>
          <w:sz w:val="24"/>
          <w:szCs w:val="24"/>
        </w:rPr>
        <w:lastRenderedPageBreak/>
        <w:t>complication rates were 11</w:t>
      </w:r>
      <w:r w:rsidR="00A66203" w:rsidRPr="006B24DA">
        <w:rPr>
          <w:rFonts w:ascii="Book Antiqua" w:eastAsia="Times New Roman" w:hAnsi="Book Antiqua" w:cs="Times New Roman"/>
          <w:bCs/>
          <w:color w:val="000000" w:themeColor="text1"/>
          <w:sz w:val="24"/>
          <w:szCs w:val="24"/>
        </w:rPr>
        <w:t>%</w:t>
      </w:r>
      <w:r w:rsidR="00E20495" w:rsidRPr="006B24DA">
        <w:rPr>
          <w:rFonts w:ascii="Book Antiqua" w:eastAsia="Times New Roman" w:hAnsi="Book Antiqua" w:cs="Times New Roman"/>
          <w:bCs/>
          <w:color w:val="000000" w:themeColor="text1"/>
          <w:sz w:val="24"/>
          <w:szCs w:val="24"/>
        </w:rPr>
        <w:t xml:space="preserve"> and 7</w:t>
      </w:r>
      <w:proofErr w:type="gramStart"/>
      <w:r w:rsidR="00E20495" w:rsidRPr="006B24DA">
        <w:rPr>
          <w:rFonts w:ascii="Book Antiqua" w:eastAsia="Times New Roman" w:hAnsi="Book Antiqua" w:cs="Times New Roman"/>
          <w:bCs/>
          <w:color w:val="000000" w:themeColor="text1"/>
          <w:sz w:val="24"/>
          <w:szCs w:val="24"/>
        </w:rPr>
        <w:t>%</w:t>
      </w:r>
      <w:r w:rsidR="00E20495" w:rsidRPr="006B24DA">
        <w:rPr>
          <w:rFonts w:ascii="Book Antiqua" w:eastAsia="Times New Roman" w:hAnsi="Book Antiqua" w:cs="Times New Roman"/>
          <w:bCs/>
          <w:noProof/>
          <w:color w:val="000000" w:themeColor="text1"/>
          <w:sz w:val="24"/>
          <w:szCs w:val="24"/>
          <w:vertAlign w:val="superscript"/>
        </w:rPr>
        <w:t>[</w:t>
      </w:r>
      <w:proofErr w:type="gramEnd"/>
      <w:r w:rsidR="00E20495" w:rsidRPr="006B24DA">
        <w:rPr>
          <w:rFonts w:ascii="Book Antiqua" w:eastAsia="Times New Roman" w:hAnsi="Book Antiqua" w:cs="Times New Roman"/>
          <w:bCs/>
          <w:noProof/>
          <w:color w:val="000000" w:themeColor="text1"/>
          <w:sz w:val="24"/>
          <w:szCs w:val="24"/>
          <w:vertAlign w:val="superscript"/>
        </w:rPr>
        <w:t>56]</w:t>
      </w:r>
      <w:r w:rsidR="00E20495" w:rsidRPr="006B24DA">
        <w:rPr>
          <w:rFonts w:ascii="Book Antiqua" w:eastAsia="Times New Roman" w:hAnsi="Book Antiqua" w:cs="Times New Roman"/>
          <w:bCs/>
          <w:color w:val="000000" w:themeColor="text1"/>
          <w:sz w:val="24"/>
          <w:szCs w:val="24"/>
        </w:rPr>
        <w:t>. Similarly, another meta-analysis concluded that compared with the open surgical approach, the rigid endoscopic treatment appeared to result in a shorter length of procedure and hospitalization, earlier diet introduction, and lower rates of complications, but in higher rates of symptom recurrence</w:t>
      </w:r>
      <w:r w:rsidR="00E20495" w:rsidRPr="006B24DA">
        <w:rPr>
          <w:rFonts w:ascii="Book Antiqua" w:eastAsia="Times New Roman" w:hAnsi="Book Antiqua" w:cs="Times New Roman"/>
          <w:bCs/>
          <w:noProof/>
          <w:color w:val="000000" w:themeColor="text1"/>
          <w:sz w:val="24"/>
          <w:szCs w:val="24"/>
          <w:vertAlign w:val="superscript"/>
        </w:rPr>
        <w:t>[57]</w:t>
      </w:r>
      <w:r w:rsidR="00E20495" w:rsidRPr="006B24DA">
        <w:rPr>
          <w:rFonts w:ascii="Book Antiqua" w:eastAsia="Times New Roman" w:hAnsi="Book Antiqua" w:cs="Times New Roman"/>
          <w:bCs/>
          <w:color w:val="000000" w:themeColor="text1"/>
          <w:sz w:val="24"/>
          <w:szCs w:val="24"/>
        </w:rPr>
        <w:t>. Flexible endoscopy, largely in the hands of interventional gastroenterologists has emerged as a viable alternative for open or rigid endoscopic approaches.</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A recent meta-analysis which included twenty studies with a total of 813 patients showed that the pooled success, adverse events, and recurrence</w:t>
      </w:r>
      <w:r w:rsidR="00A6620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rates were 91%, 11.3%, and 11%, </w:t>
      </w:r>
      <w:proofErr w:type="gramStart"/>
      <w:r w:rsidR="00E20495" w:rsidRPr="006B24DA">
        <w:rPr>
          <w:rFonts w:ascii="Book Antiqua" w:eastAsia="Times New Roman" w:hAnsi="Book Antiqua" w:cs="Times New Roman"/>
          <w:bCs/>
          <w:color w:val="000000" w:themeColor="text1"/>
          <w:sz w:val="24"/>
          <w:szCs w:val="24"/>
        </w:rPr>
        <w:t>respectively</w:t>
      </w:r>
      <w:r w:rsidR="00E20495" w:rsidRPr="006B24DA">
        <w:rPr>
          <w:rFonts w:ascii="Book Antiqua" w:eastAsia="Times New Roman" w:hAnsi="Book Antiqua" w:cs="Times New Roman"/>
          <w:bCs/>
          <w:noProof/>
          <w:color w:val="000000" w:themeColor="text1"/>
          <w:sz w:val="24"/>
          <w:szCs w:val="24"/>
          <w:vertAlign w:val="superscript"/>
        </w:rPr>
        <w:t>[</w:t>
      </w:r>
      <w:proofErr w:type="gramEnd"/>
      <w:r w:rsidR="00E20495" w:rsidRPr="006B24DA">
        <w:rPr>
          <w:rFonts w:ascii="Book Antiqua" w:eastAsia="Times New Roman" w:hAnsi="Book Antiqua" w:cs="Times New Roman"/>
          <w:bCs/>
          <w:noProof/>
          <w:color w:val="000000" w:themeColor="text1"/>
          <w:sz w:val="24"/>
          <w:szCs w:val="24"/>
          <w:vertAlign w:val="superscript"/>
        </w:rPr>
        <w:t>58]</w:t>
      </w:r>
      <w:r w:rsidR="00E20495" w:rsidRPr="006B24DA">
        <w:rPr>
          <w:rFonts w:ascii="Book Antiqua" w:eastAsia="Times New Roman" w:hAnsi="Book Antiqua" w:cs="Times New Roman"/>
          <w:bCs/>
          <w:color w:val="000000" w:themeColor="text1"/>
          <w:sz w:val="24"/>
          <w:szCs w:val="24"/>
        </w:rPr>
        <w:t>. A more recent meta-analysis examining thirteen studies including 589 patients showed a response rate, overall complication, bleeding and perforation of 88</w:t>
      </w:r>
      <w:r w:rsidR="00A66203" w:rsidRPr="006B24DA">
        <w:rPr>
          <w:rFonts w:ascii="Book Antiqua" w:eastAsia="Times New Roman" w:hAnsi="Book Antiqua" w:cs="Times New Roman"/>
          <w:bCs/>
          <w:color w:val="000000" w:themeColor="text1"/>
          <w:sz w:val="24"/>
          <w:szCs w:val="24"/>
        </w:rPr>
        <w:t>%</w:t>
      </w:r>
      <w:r w:rsidR="00E20495" w:rsidRPr="006B24DA">
        <w:rPr>
          <w:rFonts w:ascii="Book Antiqua" w:eastAsia="Times New Roman" w:hAnsi="Book Antiqua" w:cs="Times New Roman"/>
          <w:bCs/>
          <w:color w:val="000000" w:themeColor="text1"/>
          <w:sz w:val="24"/>
          <w:szCs w:val="24"/>
        </w:rPr>
        <w:t xml:space="preserve">, 13%, 5% and 7%, </w:t>
      </w:r>
      <w:proofErr w:type="gramStart"/>
      <w:r w:rsidR="00E20495" w:rsidRPr="006B24DA">
        <w:rPr>
          <w:rFonts w:ascii="Book Antiqua" w:eastAsia="Times New Roman" w:hAnsi="Book Antiqua" w:cs="Times New Roman"/>
          <w:bCs/>
          <w:color w:val="000000" w:themeColor="text1"/>
          <w:sz w:val="24"/>
          <w:szCs w:val="24"/>
        </w:rPr>
        <w:t>respectively</w:t>
      </w:r>
      <w:r w:rsidR="00E20495" w:rsidRPr="006B24DA">
        <w:rPr>
          <w:rFonts w:ascii="Book Antiqua" w:eastAsia="Times New Roman" w:hAnsi="Book Antiqua" w:cs="Times New Roman"/>
          <w:bCs/>
          <w:noProof/>
          <w:color w:val="000000" w:themeColor="text1"/>
          <w:sz w:val="24"/>
          <w:szCs w:val="24"/>
          <w:vertAlign w:val="superscript"/>
        </w:rPr>
        <w:t>[</w:t>
      </w:r>
      <w:proofErr w:type="gramEnd"/>
      <w:r w:rsidR="00E20495" w:rsidRPr="006B24DA">
        <w:rPr>
          <w:rFonts w:ascii="Book Antiqua" w:eastAsia="Times New Roman" w:hAnsi="Book Antiqua" w:cs="Times New Roman"/>
          <w:bCs/>
          <w:noProof/>
          <w:color w:val="000000" w:themeColor="text1"/>
          <w:sz w:val="24"/>
          <w:szCs w:val="24"/>
          <w:vertAlign w:val="superscript"/>
        </w:rPr>
        <w:t>59]</w:t>
      </w:r>
      <w:r w:rsidR="00E20495" w:rsidRPr="006B24DA">
        <w:rPr>
          <w:rFonts w:ascii="Book Antiqua" w:eastAsia="Times New Roman" w:hAnsi="Book Antiqua" w:cs="Times New Roman"/>
          <w:bCs/>
          <w:color w:val="000000" w:themeColor="text1"/>
          <w:sz w:val="24"/>
          <w:szCs w:val="24"/>
        </w:rPr>
        <w:t>. However, the pooled data still demonstrated an over</w:t>
      </w:r>
      <w:r w:rsidR="00A66203" w:rsidRPr="006B24DA">
        <w:rPr>
          <w:rFonts w:ascii="Book Antiqua" w:eastAsia="Times New Roman" w:hAnsi="Book Antiqua" w:cs="Times New Roman"/>
          <w:bCs/>
          <w:color w:val="000000" w:themeColor="text1"/>
          <w:sz w:val="24"/>
          <w:szCs w:val="24"/>
        </w:rPr>
        <w:t>all recurrence rate of 14% (95%</w:t>
      </w:r>
      <w:r w:rsidR="00E20495" w:rsidRPr="006B24DA">
        <w:rPr>
          <w:rFonts w:ascii="Book Antiqua" w:eastAsia="Times New Roman" w:hAnsi="Book Antiqua" w:cs="Times New Roman"/>
          <w:bCs/>
          <w:color w:val="000000" w:themeColor="text1"/>
          <w:sz w:val="24"/>
          <w:szCs w:val="24"/>
        </w:rPr>
        <w:t>CI</w:t>
      </w:r>
      <w:r w:rsidR="00A66203" w:rsidRPr="006B24DA">
        <w:rPr>
          <w:rFonts w:ascii="Book Antiqua" w:eastAsia="Times New Roman" w:hAnsi="Book Antiqua" w:cs="Times New Roman"/>
          <w:bCs/>
          <w:color w:val="000000" w:themeColor="text1"/>
          <w:sz w:val="24"/>
          <w:szCs w:val="24"/>
        </w:rPr>
        <w:t>:</w:t>
      </w:r>
      <w:r w:rsidR="00E20495" w:rsidRPr="006B24DA">
        <w:rPr>
          <w:rFonts w:ascii="Book Antiqua" w:eastAsia="Times New Roman" w:hAnsi="Book Antiqua" w:cs="Times New Roman"/>
          <w:bCs/>
          <w:color w:val="000000" w:themeColor="text1"/>
          <w:sz w:val="24"/>
          <w:szCs w:val="24"/>
        </w:rPr>
        <w:t xml:space="preserve"> 9</w:t>
      </w:r>
      <w:r w:rsidR="00A66203" w:rsidRPr="006B24DA">
        <w:rPr>
          <w:rFonts w:ascii="Book Antiqua" w:eastAsia="Times New Roman" w:hAnsi="Book Antiqua" w:cs="Times New Roman"/>
          <w:bCs/>
          <w:color w:val="000000" w:themeColor="text1"/>
          <w:sz w:val="24"/>
          <w:szCs w:val="24"/>
        </w:rPr>
        <w:t>%</w:t>
      </w:r>
      <w:r w:rsidR="00E20495" w:rsidRPr="006B24DA">
        <w:rPr>
          <w:rFonts w:ascii="Book Antiqua" w:eastAsia="Times New Roman" w:hAnsi="Book Antiqua" w:cs="Times New Roman"/>
          <w:bCs/>
          <w:color w:val="000000" w:themeColor="text1"/>
          <w:sz w:val="24"/>
          <w:szCs w:val="24"/>
        </w:rPr>
        <w:t xml:space="preserve">-21%). Diverticulum size of </w:t>
      </w:r>
      <w:r w:rsidR="00A6620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4 cm and</w:t>
      </w:r>
      <w:r w:rsidR="00D33133" w:rsidRPr="006B24DA">
        <w:rPr>
          <w:rFonts w:ascii="Book Antiqua" w:eastAsia="Times New Roman" w:hAnsi="Book Antiqua" w:cs="Times New Roman"/>
          <w:bCs/>
          <w:color w:val="000000" w:themeColor="text1"/>
          <w:sz w:val="24"/>
          <w:szCs w:val="24"/>
        </w:rPr>
        <w:t xml:space="preserve"> </w:t>
      </w:r>
      <w:r w:rsidR="00A66203" w:rsidRPr="006B24DA">
        <w:rPr>
          <w:rFonts w:ascii="Book Antiqua" w:eastAsia="Times New Roman" w:hAnsi="Book Antiqua" w:cs="Times New Roman"/>
          <w:bCs/>
          <w:color w:val="000000" w:themeColor="text1"/>
          <w:sz w:val="24"/>
          <w:szCs w:val="24"/>
        </w:rPr>
        <w:t xml:space="preserve">&lt; </w:t>
      </w:r>
      <w:r w:rsidR="00E20495" w:rsidRPr="006B24DA">
        <w:rPr>
          <w:rFonts w:ascii="Book Antiqua" w:eastAsia="Times New Roman" w:hAnsi="Book Antiqua" w:cs="Times New Roman"/>
          <w:bCs/>
          <w:color w:val="000000" w:themeColor="text1"/>
          <w:sz w:val="24"/>
          <w:szCs w:val="24"/>
        </w:rPr>
        <w:t>4 cm demonstrated pooled adverse event rates of 17% and 7%, respectively. Starting with a basic needle knife, and progressing to more specialized knives (such as the hook knife</w:t>
      </w:r>
      <w:proofErr w:type="gramStart"/>
      <w:r w:rsidR="00E20495" w:rsidRPr="006B24DA">
        <w:rPr>
          <w:rFonts w:ascii="Book Antiqua" w:eastAsia="Times New Roman" w:hAnsi="Book Antiqua" w:cs="Times New Roman"/>
          <w:bCs/>
          <w:color w:val="000000" w:themeColor="text1"/>
          <w:sz w:val="24"/>
          <w:szCs w:val="24"/>
        </w:rPr>
        <w:t>)</w:t>
      </w:r>
      <w:r w:rsidR="00A66203" w:rsidRPr="006B24DA">
        <w:rPr>
          <w:rFonts w:ascii="Book Antiqua" w:eastAsia="Times New Roman" w:hAnsi="Book Antiqua" w:cs="Times New Roman"/>
          <w:bCs/>
          <w:noProof/>
          <w:color w:val="000000" w:themeColor="text1"/>
          <w:sz w:val="24"/>
          <w:szCs w:val="24"/>
          <w:vertAlign w:val="superscript"/>
        </w:rPr>
        <w:t>[</w:t>
      </w:r>
      <w:proofErr w:type="gramEnd"/>
      <w:r w:rsidR="00A66203" w:rsidRPr="006B24DA">
        <w:rPr>
          <w:rFonts w:ascii="Book Antiqua" w:eastAsia="Times New Roman" w:hAnsi="Book Antiqua" w:cs="Times New Roman"/>
          <w:bCs/>
          <w:noProof/>
          <w:color w:val="000000" w:themeColor="text1"/>
          <w:sz w:val="24"/>
          <w:szCs w:val="24"/>
          <w:vertAlign w:val="superscript"/>
        </w:rPr>
        <w:t>60,</w:t>
      </w:r>
      <w:r w:rsidR="00E20495" w:rsidRPr="006B24DA">
        <w:rPr>
          <w:rFonts w:ascii="Book Antiqua" w:eastAsia="Times New Roman" w:hAnsi="Book Antiqua" w:cs="Times New Roman"/>
          <w:bCs/>
          <w:noProof/>
          <w:color w:val="000000" w:themeColor="text1"/>
          <w:sz w:val="24"/>
          <w:szCs w:val="24"/>
          <w:vertAlign w:val="superscript"/>
        </w:rPr>
        <w:t>61]</w:t>
      </w:r>
      <w:r w:rsidR="00E20495" w:rsidRPr="006B24DA">
        <w:rPr>
          <w:rFonts w:ascii="Book Antiqua" w:eastAsia="Times New Roman" w:hAnsi="Book Antiqua" w:cs="Times New Roman"/>
          <w:bCs/>
          <w:color w:val="000000" w:themeColor="text1"/>
          <w:sz w:val="24"/>
          <w:szCs w:val="24"/>
        </w:rPr>
        <w:t xml:space="preserve"> and endoscopic scissors</w:t>
      </w:r>
      <w:r w:rsidR="00E20495" w:rsidRPr="006B24DA">
        <w:rPr>
          <w:rFonts w:ascii="Book Antiqua" w:eastAsia="Times New Roman" w:hAnsi="Book Antiqua" w:cs="Times New Roman"/>
          <w:bCs/>
          <w:noProof/>
          <w:color w:val="000000" w:themeColor="text1"/>
          <w:sz w:val="24"/>
          <w:szCs w:val="24"/>
          <w:vertAlign w:val="superscript"/>
        </w:rPr>
        <w:t>[62-66]</w:t>
      </w:r>
      <w:r w:rsidR="00E20495" w:rsidRPr="006B24DA">
        <w:rPr>
          <w:rFonts w:ascii="Book Antiqua" w:eastAsia="Times New Roman" w:hAnsi="Book Antiqua" w:cs="Times New Roman"/>
          <w:bCs/>
          <w:color w:val="000000" w:themeColor="text1"/>
          <w:sz w:val="24"/>
          <w:szCs w:val="24"/>
        </w:rPr>
        <w:t>, have led to some improvement in clinical outcomes.</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The challenge is to perform a complete </w:t>
      </w:r>
      <w:proofErr w:type="spellStart"/>
      <w:r w:rsidR="00E20495" w:rsidRPr="006B24DA">
        <w:rPr>
          <w:rFonts w:ascii="Book Antiqua" w:eastAsia="Times New Roman" w:hAnsi="Book Antiqua" w:cs="Times New Roman"/>
          <w:bCs/>
          <w:color w:val="000000" w:themeColor="text1"/>
          <w:sz w:val="24"/>
          <w:szCs w:val="24"/>
        </w:rPr>
        <w:t>myotomy</w:t>
      </w:r>
      <w:proofErr w:type="spellEnd"/>
      <w:r w:rsidR="00E20495" w:rsidRPr="006B24DA">
        <w:rPr>
          <w:rFonts w:ascii="Book Antiqua" w:eastAsia="Times New Roman" w:hAnsi="Book Antiqua" w:cs="Times New Roman"/>
          <w:bCs/>
          <w:color w:val="000000" w:themeColor="text1"/>
          <w:sz w:val="24"/>
          <w:szCs w:val="24"/>
        </w:rPr>
        <w:t xml:space="preserve"> of the </w:t>
      </w:r>
      <w:proofErr w:type="spellStart"/>
      <w:r w:rsidR="00E20495" w:rsidRPr="006B24DA">
        <w:rPr>
          <w:rFonts w:ascii="Book Antiqua" w:eastAsia="Times New Roman" w:hAnsi="Book Antiqua" w:cs="Times New Roman"/>
          <w:bCs/>
          <w:color w:val="000000" w:themeColor="text1"/>
          <w:sz w:val="24"/>
          <w:szCs w:val="24"/>
        </w:rPr>
        <w:t>cricopharyngeus</w:t>
      </w:r>
      <w:proofErr w:type="spellEnd"/>
      <w:r w:rsidR="00E20495" w:rsidRPr="006B24DA">
        <w:rPr>
          <w:rFonts w:ascii="Book Antiqua" w:eastAsia="Times New Roman" w:hAnsi="Book Antiqua" w:cs="Times New Roman"/>
          <w:bCs/>
          <w:color w:val="000000" w:themeColor="text1"/>
          <w:sz w:val="24"/>
          <w:szCs w:val="24"/>
        </w:rPr>
        <w:t xml:space="preserve"> muscle, without increasing the risk of </w:t>
      </w:r>
      <w:proofErr w:type="spellStart"/>
      <w:r w:rsidR="00E20495" w:rsidRPr="006B24DA">
        <w:rPr>
          <w:rFonts w:ascii="Book Antiqua" w:eastAsia="Times New Roman" w:hAnsi="Book Antiqua" w:cs="Times New Roman"/>
          <w:bCs/>
          <w:color w:val="000000" w:themeColor="text1"/>
          <w:sz w:val="24"/>
          <w:szCs w:val="24"/>
        </w:rPr>
        <w:t>mediastinitis</w:t>
      </w:r>
      <w:proofErr w:type="spellEnd"/>
      <w:r w:rsidR="00E20495" w:rsidRPr="006B24DA">
        <w:rPr>
          <w:rFonts w:ascii="Book Antiqua" w:eastAsia="Times New Roman" w:hAnsi="Book Antiqua" w:cs="Times New Roman"/>
          <w:bCs/>
          <w:color w:val="000000" w:themeColor="text1"/>
          <w:sz w:val="24"/>
          <w:szCs w:val="24"/>
        </w:rPr>
        <w:t xml:space="preserve"> or perforation.</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The issue surrounds the fact that most of these techniques involve cutting the entire septum (mucosa and muscle) from proximal to distal with no precise visual </w:t>
      </w:r>
      <w:proofErr w:type="spellStart"/>
      <w:r w:rsidR="00E20495" w:rsidRPr="006B24DA">
        <w:rPr>
          <w:rFonts w:ascii="Book Antiqua" w:eastAsia="Times New Roman" w:hAnsi="Book Antiqua" w:cs="Times New Roman"/>
          <w:bCs/>
          <w:color w:val="000000" w:themeColor="text1"/>
          <w:sz w:val="24"/>
          <w:szCs w:val="24"/>
        </w:rPr>
        <w:t>cue</w:t>
      </w:r>
      <w:proofErr w:type="spellEnd"/>
      <w:r w:rsidR="00E20495" w:rsidRPr="006B24DA">
        <w:rPr>
          <w:rFonts w:ascii="Book Antiqua" w:eastAsia="Times New Roman" w:hAnsi="Book Antiqua" w:cs="Times New Roman"/>
          <w:bCs/>
          <w:color w:val="000000" w:themeColor="text1"/>
          <w:sz w:val="24"/>
          <w:szCs w:val="24"/>
        </w:rPr>
        <w:t xml:space="preserve"> as to when the </w:t>
      </w:r>
      <w:proofErr w:type="spellStart"/>
      <w:r w:rsidR="00E20495" w:rsidRPr="006B24DA">
        <w:rPr>
          <w:rFonts w:ascii="Book Antiqua" w:eastAsia="Times New Roman" w:hAnsi="Book Antiqua" w:cs="Times New Roman"/>
          <w:bCs/>
          <w:color w:val="000000" w:themeColor="text1"/>
          <w:sz w:val="24"/>
          <w:szCs w:val="24"/>
        </w:rPr>
        <w:t>myotomy</w:t>
      </w:r>
      <w:proofErr w:type="spellEnd"/>
      <w:r w:rsidR="00E20495" w:rsidRPr="006B24DA">
        <w:rPr>
          <w:rFonts w:ascii="Book Antiqua" w:eastAsia="Times New Roman" w:hAnsi="Book Antiqua" w:cs="Times New Roman"/>
          <w:bCs/>
          <w:color w:val="000000" w:themeColor="text1"/>
          <w:sz w:val="24"/>
          <w:szCs w:val="24"/>
        </w:rPr>
        <w:t xml:space="preserve"> is complete.</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The most recent advances include various tunneling methods, similar to POEM, where the mucosal incision is either proximal or superficial to the </w:t>
      </w:r>
      <w:proofErr w:type="spellStart"/>
      <w:proofErr w:type="gramStart"/>
      <w:r w:rsidR="00E20495" w:rsidRPr="006B24DA">
        <w:rPr>
          <w:rFonts w:ascii="Book Antiqua" w:eastAsia="Times New Roman" w:hAnsi="Book Antiqua" w:cs="Times New Roman"/>
          <w:bCs/>
          <w:color w:val="000000" w:themeColor="text1"/>
          <w:sz w:val="24"/>
          <w:szCs w:val="24"/>
        </w:rPr>
        <w:t>myotomy</w:t>
      </w:r>
      <w:proofErr w:type="spellEnd"/>
      <w:r w:rsidR="00E20495" w:rsidRPr="006B24DA">
        <w:rPr>
          <w:rFonts w:ascii="Book Antiqua" w:eastAsia="Times New Roman" w:hAnsi="Book Antiqua" w:cs="Times New Roman"/>
          <w:bCs/>
          <w:noProof/>
          <w:color w:val="000000" w:themeColor="text1"/>
          <w:sz w:val="24"/>
          <w:szCs w:val="24"/>
          <w:vertAlign w:val="superscript"/>
        </w:rPr>
        <w:t>[</w:t>
      </w:r>
      <w:proofErr w:type="gramEnd"/>
      <w:r w:rsidR="00E20495" w:rsidRPr="006B24DA">
        <w:rPr>
          <w:rFonts w:ascii="Book Antiqua" w:eastAsia="Times New Roman" w:hAnsi="Book Antiqua" w:cs="Times New Roman"/>
          <w:bCs/>
          <w:noProof/>
          <w:color w:val="000000" w:themeColor="text1"/>
          <w:sz w:val="24"/>
          <w:szCs w:val="24"/>
          <w:vertAlign w:val="superscript"/>
        </w:rPr>
        <w:t>67-70]</w:t>
      </w:r>
      <w:r w:rsidR="00E20495" w:rsidRPr="006B24DA">
        <w:rPr>
          <w:rFonts w:ascii="Book Antiqua" w:eastAsia="Times New Roman" w:hAnsi="Book Antiqua" w:cs="Times New Roman"/>
          <w:bCs/>
          <w:color w:val="000000" w:themeColor="text1"/>
          <w:sz w:val="24"/>
          <w:szCs w:val="24"/>
        </w:rPr>
        <w:t>.</w:t>
      </w:r>
      <w:r w:rsidR="00D33133" w:rsidRPr="006B24DA">
        <w:rPr>
          <w:rFonts w:ascii="Book Antiqua" w:eastAsia="Times New Roman" w:hAnsi="Book Antiqua" w:cs="Times New Roman"/>
          <w:bCs/>
          <w:color w:val="000000" w:themeColor="text1"/>
          <w:sz w:val="24"/>
          <w:szCs w:val="24"/>
        </w:rPr>
        <w:t xml:space="preserve"> </w:t>
      </w:r>
    </w:p>
    <w:p w14:paraId="1DAB969C" w14:textId="77777777" w:rsidR="00A66203" w:rsidRPr="006B24DA" w:rsidRDefault="00A66203" w:rsidP="007761C0">
      <w:pPr>
        <w:autoSpaceDE w:val="0"/>
        <w:autoSpaceDN w:val="0"/>
        <w:adjustRightInd w:val="0"/>
        <w:snapToGrid w:val="0"/>
        <w:spacing w:after="0" w:line="360" w:lineRule="auto"/>
        <w:jc w:val="both"/>
        <w:rPr>
          <w:rFonts w:ascii="Book Antiqua" w:eastAsia="Times New Roman" w:hAnsi="Book Antiqua" w:cs="Times New Roman"/>
          <w:bCs/>
          <w:i/>
          <w:color w:val="000000" w:themeColor="text1"/>
          <w:sz w:val="24"/>
          <w:szCs w:val="24"/>
        </w:rPr>
      </w:pPr>
    </w:p>
    <w:p w14:paraId="39C41DA0" w14:textId="59BA82D8" w:rsidR="00A66203" w:rsidRPr="006B24DA" w:rsidRDefault="00A66203" w:rsidP="007761C0">
      <w:pPr>
        <w:autoSpaceDE w:val="0"/>
        <w:autoSpaceDN w:val="0"/>
        <w:adjustRightInd w:val="0"/>
        <w:snapToGrid w:val="0"/>
        <w:spacing w:after="0" w:line="360" w:lineRule="auto"/>
        <w:jc w:val="both"/>
        <w:rPr>
          <w:rFonts w:ascii="Book Antiqua" w:eastAsia="Times New Roman" w:hAnsi="Book Antiqua" w:cs="Times New Roman"/>
          <w:b/>
          <w:bCs/>
          <w:color w:val="000000" w:themeColor="text1"/>
          <w:sz w:val="24"/>
          <w:szCs w:val="24"/>
        </w:rPr>
      </w:pPr>
      <w:r w:rsidRPr="006B24DA">
        <w:rPr>
          <w:rFonts w:ascii="Book Antiqua" w:eastAsia="Times New Roman" w:hAnsi="Book Antiqua" w:cs="Times New Roman"/>
          <w:b/>
          <w:bCs/>
          <w:i/>
          <w:color w:val="000000" w:themeColor="text1"/>
          <w:sz w:val="24"/>
          <w:szCs w:val="24"/>
        </w:rPr>
        <w:t>Technical considerations</w:t>
      </w:r>
    </w:p>
    <w:p w14:paraId="0256E469" w14:textId="31A39D2F" w:rsidR="00E20495" w:rsidRPr="006B24DA" w:rsidRDefault="00E20495" w:rsidP="007761C0">
      <w:pPr>
        <w:autoSpaceDE w:val="0"/>
        <w:autoSpaceDN w:val="0"/>
        <w:adjustRightInd w:val="0"/>
        <w:snapToGrid w:val="0"/>
        <w:spacing w:after="0" w:line="360" w:lineRule="auto"/>
        <w:jc w:val="both"/>
        <w:rPr>
          <w:rFonts w:ascii="Book Antiqua" w:eastAsia="Times New Roman" w:hAnsi="Book Antiqua" w:cs="Times New Roman"/>
          <w:bCs/>
          <w:color w:val="000000" w:themeColor="text1"/>
          <w:sz w:val="24"/>
          <w:szCs w:val="24"/>
        </w:rPr>
      </w:pPr>
      <w:r w:rsidRPr="006B24DA">
        <w:rPr>
          <w:rFonts w:ascii="Book Antiqua" w:eastAsia="Times New Roman" w:hAnsi="Book Antiqua" w:cs="Times New Roman"/>
          <w:bCs/>
          <w:color w:val="000000" w:themeColor="text1"/>
          <w:sz w:val="24"/>
          <w:szCs w:val="24"/>
        </w:rPr>
        <w:t xml:space="preserve">This Z-POEM technique allows for complete excision of the muscle, while minimizing the risk of </w:t>
      </w:r>
      <w:proofErr w:type="spellStart"/>
      <w:r w:rsidRPr="006B24DA">
        <w:rPr>
          <w:rFonts w:ascii="Book Antiqua" w:eastAsia="Times New Roman" w:hAnsi="Book Antiqua" w:cs="Times New Roman"/>
          <w:bCs/>
          <w:color w:val="000000" w:themeColor="text1"/>
          <w:sz w:val="24"/>
          <w:szCs w:val="24"/>
        </w:rPr>
        <w:t>mediastinitis</w:t>
      </w:r>
      <w:proofErr w:type="spellEnd"/>
      <w:r w:rsidRPr="006B24DA">
        <w:rPr>
          <w:rFonts w:ascii="Book Antiqua" w:eastAsia="Times New Roman" w:hAnsi="Book Antiqua" w:cs="Times New Roman"/>
          <w:bCs/>
          <w:color w:val="000000" w:themeColor="text1"/>
          <w:sz w:val="24"/>
          <w:szCs w:val="24"/>
        </w:rPr>
        <w:t xml:space="preserve"> or perforation due to the tunneling mechanism. We currently employ a modified tunneling approach, with mucosal incision at the apex of the septum </w:t>
      </w:r>
      <w:r w:rsidR="00B42F2F" w:rsidRPr="006B24DA">
        <w:rPr>
          <w:rFonts w:ascii="Book Antiqua" w:eastAsia="Times New Roman" w:hAnsi="Book Antiqua" w:cs="Times New Roman"/>
          <w:color w:val="000000" w:themeColor="text1"/>
          <w:sz w:val="24"/>
          <w:szCs w:val="24"/>
        </w:rPr>
        <w:t>(Figure 12</w:t>
      </w:r>
      <w:r w:rsidRPr="006B24DA">
        <w:rPr>
          <w:rFonts w:ascii="Book Antiqua" w:eastAsia="Times New Roman" w:hAnsi="Book Antiqua" w:cs="Times New Roman"/>
          <w:color w:val="000000" w:themeColor="text1"/>
          <w:sz w:val="24"/>
          <w:szCs w:val="24"/>
        </w:rPr>
        <w:t>B-D)</w:t>
      </w:r>
      <w:r w:rsidRPr="006B24DA">
        <w:rPr>
          <w:rFonts w:ascii="Book Antiqua" w:eastAsia="Times New Roman" w:hAnsi="Book Antiqua" w:cs="Times New Roman"/>
          <w:bCs/>
          <w:color w:val="000000" w:themeColor="text1"/>
          <w:sz w:val="24"/>
          <w:szCs w:val="24"/>
        </w:rPr>
        <w:t xml:space="preserve">, followed by submucosal tunneling on both the esophageal and diverticular sides of the muscle </w:t>
      </w:r>
      <w:r w:rsidR="00B42F2F" w:rsidRPr="006B24DA">
        <w:rPr>
          <w:rFonts w:ascii="Book Antiqua" w:eastAsia="Times New Roman" w:hAnsi="Book Antiqua" w:cs="Times New Roman"/>
          <w:color w:val="000000" w:themeColor="text1"/>
          <w:sz w:val="24"/>
          <w:szCs w:val="24"/>
        </w:rPr>
        <w:t>(Figure 12</w:t>
      </w:r>
      <w:r w:rsidRPr="006B24DA">
        <w:rPr>
          <w:rFonts w:ascii="Book Antiqua" w:eastAsia="Times New Roman" w:hAnsi="Book Antiqua" w:cs="Times New Roman"/>
          <w:color w:val="000000" w:themeColor="text1"/>
          <w:sz w:val="24"/>
          <w:szCs w:val="24"/>
        </w:rPr>
        <w:t>E)</w:t>
      </w:r>
      <w:r w:rsidRPr="006B24DA">
        <w:rPr>
          <w:rFonts w:ascii="Book Antiqua" w:eastAsia="Times New Roman" w:hAnsi="Book Antiqua" w:cs="Times New Roman"/>
          <w:bCs/>
          <w:color w:val="000000" w:themeColor="text1"/>
          <w:sz w:val="24"/>
          <w:szCs w:val="24"/>
        </w:rPr>
        <w:t>.</w:t>
      </w:r>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This allows for optimal visualization, </w:t>
      </w:r>
      <w:r w:rsidRPr="006B24DA">
        <w:rPr>
          <w:rFonts w:ascii="Book Antiqua" w:eastAsia="Times New Roman" w:hAnsi="Book Antiqua" w:cs="Times New Roman"/>
          <w:bCs/>
          <w:color w:val="000000" w:themeColor="text1"/>
          <w:sz w:val="24"/>
          <w:szCs w:val="24"/>
        </w:rPr>
        <w:lastRenderedPageBreak/>
        <w:t xml:space="preserve">precise control of complete </w:t>
      </w:r>
      <w:proofErr w:type="spellStart"/>
      <w:r w:rsidRPr="006B24DA">
        <w:rPr>
          <w:rFonts w:ascii="Book Antiqua" w:eastAsia="Times New Roman" w:hAnsi="Book Antiqua" w:cs="Times New Roman"/>
          <w:bCs/>
          <w:color w:val="000000" w:themeColor="text1"/>
          <w:sz w:val="24"/>
          <w:szCs w:val="24"/>
        </w:rPr>
        <w:t>myotomy</w:t>
      </w:r>
      <w:proofErr w:type="spellEnd"/>
      <w:r w:rsidRPr="006B24DA">
        <w:rPr>
          <w:rFonts w:ascii="Book Antiqua" w:eastAsia="Times New Roman" w:hAnsi="Book Antiqua" w:cs="Times New Roman"/>
          <w:bCs/>
          <w:color w:val="000000" w:themeColor="text1"/>
          <w:sz w:val="24"/>
          <w:szCs w:val="24"/>
        </w:rPr>
        <w:t xml:space="preserve"> </w:t>
      </w:r>
      <w:r w:rsidR="00B42F2F" w:rsidRPr="006B24DA">
        <w:rPr>
          <w:rFonts w:ascii="Book Antiqua" w:eastAsia="Times New Roman" w:hAnsi="Book Antiqua" w:cs="Times New Roman"/>
          <w:color w:val="000000" w:themeColor="text1"/>
          <w:sz w:val="24"/>
          <w:szCs w:val="24"/>
        </w:rPr>
        <w:t>(Figure 12</w:t>
      </w:r>
      <w:r w:rsidRPr="006B24DA">
        <w:rPr>
          <w:rFonts w:ascii="Book Antiqua" w:eastAsia="Times New Roman" w:hAnsi="Book Antiqua" w:cs="Times New Roman"/>
          <w:color w:val="000000" w:themeColor="text1"/>
          <w:sz w:val="24"/>
          <w:szCs w:val="24"/>
        </w:rPr>
        <w:t>F)</w:t>
      </w:r>
      <w:r w:rsidRPr="006B24DA">
        <w:rPr>
          <w:rFonts w:ascii="Book Antiqua" w:eastAsia="Times New Roman" w:hAnsi="Book Antiqua" w:cs="Times New Roman"/>
          <w:bCs/>
          <w:color w:val="000000" w:themeColor="text1"/>
          <w:sz w:val="24"/>
          <w:szCs w:val="24"/>
        </w:rPr>
        <w:t>, and closure of the short tunnel with mucosal clips</w:t>
      </w:r>
      <w:r w:rsidR="00B42F2F" w:rsidRPr="006B24DA">
        <w:rPr>
          <w:rFonts w:ascii="Book Antiqua" w:eastAsia="Times New Roman" w:hAnsi="Book Antiqua" w:cs="Times New Roman"/>
          <w:color w:val="000000" w:themeColor="text1"/>
          <w:sz w:val="24"/>
          <w:szCs w:val="24"/>
        </w:rPr>
        <w:t xml:space="preserve"> (Figure 12</w:t>
      </w:r>
      <w:r w:rsidRPr="006B24DA">
        <w:rPr>
          <w:rFonts w:ascii="Book Antiqua" w:eastAsia="Times New Roman" w:hAnsi="Book Antiqua" w:cs="Times New Roman"/>
          <w:color w:val="000000" w:themeColor="text1"/>
          <w:sz w:val="24"/>
          <w:szCs w:val="24"/>
        </w:rPr>
        <w:t>G)</w:t>
      </w:r>
      <w:r w:rsidR="00A66203" w:rsidRPr="006B24DA">
        <w:rPr>
          <w:rFonts w:ascii="Book Antiqua" w:eastAsia="Times New Roman" w:hAnsi="Book Antiqua" w:cs="Times New Roman"/>
          <w:bCs/>
          <w:color w:val="000000" w:themeColor="text1"/>
          <w:sz w:val="24"/>
          <w:szCs w:val="24"/>
        </w:rPr>
        <w:t>.</w:t>
      </w:r>
    </w:p>
    <w:p w14:paraId="3085B3F5" w14:textId="77777777" w:rsidR="00A66203" w:rsidRPr="006B24DA" w:rsidRDefault="00A66203" w:rsidP="007761C0">
      <w:pPr>
        <w:autoSpaceDE w:val="0"/>
        <w:autoSpaceDN w:val="0"/>
        <w:adjustRightInd w:val="0"/>
        <w:snapToGrid w:val="0"/>
        <w:spacing w:after="0" w:line="360" w:lineRule="auto"/>
        <w:jc w:val="both"/>
        <w:rPr>
          <w:rFonts w:ascii="Book Antiqua" w:eastAsia="Times New Roman" w:hAnsi="Book Antiqua" w:cs="Times New Roman"/>
          <w:bCs/>
          <w:color w:val="000000" w:themeColor="text1"/>
          <w:sz w:val="24"/>
          <w:szCs w:val="24"/>
        </w:rPr>
      </w:pPr>
    </w:p>
    <w:p w14:paraId="318B1A90" w14:textId="77577468" w:rsidR="00A66203" w:rsidRPr="006B24DA" w:rsidRDefault="00A66203" w:rsidP="007761C0">
      <w:pPr>
        <w:autoSpaceDE w:val="0"/>
        <w:autoSpaceDN w:val="0"/>
        <w:adjustRightInd w:val="0"/>
        <w:snapToGrid w:val="0"/>
        <w:spacing w:after="0" w:line="360" w:lineRule="auto"/>
        <w:jc w:val="both"/>
        <w:rPr>
          <w:rFonts w:ascii="Book Antiqua" w:eastAsia="Times New Roman" w:hAnsi="Book Antiqua" w:cs="Times New Roman"/>
          <w:b/>
          <w:bCs/>
          <w:color w:val="000000" w:themeColor="text1"/>
          <w:sz w:val="24"/>
          <w:szCs w:val="24"/>
        </w:rPr>
      </w:pPr>
      <w:r w:rsidRPr="006B24DA">
        <w:rPr>
          <w:rFonts w:ascii="Book Antiqua" w:eastAsia="Times New Roman" w:hAnsi="Book Antiqua" w:cs="Times New Roman"/>
          <w:b/>
          <w:bCs/>
          <w:i/>
          <w:color w:val="000000" w:themeColor="text1"/>
          <w:sz w:val="24"/>
          <w:szCs w:val="24"/>
        </w:rPr>
        <w:t>Future opportunities</w:t>
      </w:r>
    </w:p>
    <w:p w14:paraId="5A8541E5" w14:textId="4086D0CB" w:rsidR="00E20495" w:rsidRPr="006B24DA" w:rsidRDefault="00E20495" w:rsidP="007761C0">
      <w:pPr>
        <w:autoSpaceDE w:val="0"/>
        <w:autoSpaceDN w:val="0"/>
        <w:adjustRightInd w:val="0"/>
        <w:snapToGrid w:val="0"/>
        <w:spacing w:after="0" w:line="360" w:lineRule="auto"/>
        <w:jc w:val="both"/>
        <w:rPr>
          <w:rFonts w:ascii="Book Antiqua" w:eastAsia="Times New Roman" w:hAnsi="Book Antiqua" w:cs="Times New Roman"/>
          <w:bCs/>
          <w:color w:val="000000" w:themeColor="text1"/>
          <w:sz w:val="24"/>
          <w:szCs w:val="24"/>
        </w:rPr>
      </w:pPr>
      <w:r w:rsidRPr="006B24DA">
        <w:rPr>
          <w:rFonts w:ascii="Book Antiqua" w:eastAsia="Times New Roman" w:hAnsi="Book Antiqua" w:cs="Times New Roman"/>
          <w:bCs/>
          <w:color w:val="000000" w:themeColor="text1"/>
          <w:sz w:val="24"/>
          <w:szCs w:val="24"/>
        </w:rPr>
        <w:t xml:space="preserve">With these technical and device improvements, flexible endoscopy may become the treatment of choice for most patients with </w:t>
      </w:r>
      <w:proofErr w:type="spellStart"/>
      <w:r w:rsidRPr="006B24DA">
        <w:rPr>
          <w:rFonts w:ascii="Book Antiqua" w:eastAsia="Times New Roman" w:hAnsi="Book Antiqua" w:cs="Times New Roman"/>
          <w:bCs/>
          <w:color w:val="000000" w:themeColor="text1"/>
          <w:sz w:val="24"/>
          <w:szCs w:val="24"/>
        </w:rPr>
        <w:t>Zenker’s</w:t>
      </w:r>
      <w:proofErr w:type="spellEnd"/>
      <w:r w:rsidRPr="006B24DA">
        <w:rPr>
          <w:rFonts w:ascii="Book Antiqua" w:eastAsia="Times New Roman" w:hAnsi="Book Antiqua" w:cs="Times New Roman"/>
          <w:bCs/>
          <w:color w:val="000000" w:themeColor="text1"/>
          <w:sz w:val="24"/>
          <w:szCs w:val="24"/>
        </w:rPr>
        <w:t xml:space="preserve"> diverticulum. Further prospective trials are necessary to compare this most recent technique compared with standard flexible and rigid instrument techniques. </w:t>
      </w:r>
    </w:p>
    <w:p w14:paraId="453DDF69" w14:textId="77777777" w:rsidR="00E20495" w:rsidRPr="006B24DA" w:rsidRDefault="00E20495" w:rsidP="007761C0">
      <w:pPr>
        <w:autoSpaceDE w:val="0"/>
        <w:autoSpaceDN w:val="0"/>
        <w:adjustRightInd w:val="0"/>
        <w:snapToGrid w:val="0"/>
        <w:spacing w:after="0" w:line="360" w:lineRule="auto"/>
        <w:jc w:val="both"/>
        <w:rPr>
          <w:rFonts w:ascii="Book Antiqua" w:eastAsia="Times New Roman" w:hAnsi="Book Antiqua" w:cs="Times New Roman"/>
          <w:bCs/>
          <w:color w:val="000000" w:themeColor="text1"/>
          <w:sz w:val="24"/>
          <w:szCs w:val="24"/>
        </w:rPr>
      </w:pPr>
    </w:p>
    <w:p w14:paraId="38225DFD" w14:textId="0928A671" w:rsidR="00A66203" w:rsidRPr="006B24DA" w:rsidRDefault="00A00023" w:rsidP="00F67887">
      <w:pPr>
        <w:autoSpaceDE w:val="0"/>
        <w:autoSpaceDN w:val="0"/>
        <w:adjustRightInd w:val="0"/>
        <w:snapToGrid w:val="0"/>
        <w:spacing w:after="0" w:line="360" w:lineRule="auto"/>
        <w:jc w:val="both"/>
        <w:outlineLvl w:val="0"/>
        <w:rPr>
          <w:rFonts w:ascii="Book Antiqua" w:eastAsia="Times New Roman" w:hAnsi="Book Antiqua" w:cs="Times New Roman"/>
          <w:b/>
          <w:bCs/>
          <w:color w:val="000000" w:themeColor="text1"/>
          <w:sz w:val="24"/>
          <w:szCs w:val="24"/>
        </w:rPr>
      </w:pPr>
      <w:r>
        <w:rPr>
          <w:rFonts w:ascii="Book Antiqua" w:eastAsia="Times New Roman" w:hAnsi="Book Antiqua" w:cs="Times New Roman"/>
          <w:b/>
          <w:bCs/>
          <w:color w:val="000000" w:themeColor="text1"/>
          <w:sz w:val="24"/>
          <w:szCs w:val="24"/>
        </w:rPr>
        <w:t>BE</w:t>
      </w:r>
      <w:r w:rsidR="00E559C5" w:rsidRPr="006B24DA">
        <w:rPr>
          <w:rFonts w:ascii="Book Antiqua" w:eastAsia="Times New Roman" w:hAnsi="Book Antiqua" w:cs="Times New Roman"/>
          <w:b/>
          <w:bCs/>
          <w:color w:val="000000" w:themeColor="text1"/>
          <w:sz w:val="24"/>
          <w:szCs w:val="24"/>
        </w:rPr>
        <w:t xml:space="preserve"> </w:t>
      </w:r>
      <w:r w:rsidR="00A66203" w:rsidRPr="006B24DA">
        <w:rPr>
          <w:rFonts w:ascii="Book Antiqua" w:eastAsia="Times New Roman" w:hAnsi="Book Antiqua" w:cs="Times New Roman"/>
          <w:b/>
          <w:bCs/>
          <w:color w:val="000000" w:themeColor="text1"/>
          <w:sz w:val="24"/>
          <w:szCs w:val="24"/>
        </w:rPr>
        <w:t>AND EARLY ESOPHAGEAL CANCER</w:t>
      </w:r>
    </w:p>
    <w:p w14:paraId="588B1E35" w14:textId="6618971F" w:rsidR="00A66203" w:rsidRPr="006B24DA" w:rsidRDefault="00A66203" w:rsidP="007761C0">
      <w:pPr>
        <w:autoSpaceDE w:val="0"/>
        <w:autoSpaceDN w:val="0"/>
        <w:adjustRightInd w:val="0"/>
        <w:snapToGrid w:val="0"/>
        <w:spacing w:after="0" w:line="360" w:lineRule="auto"/>
        <w:jc w:val="both"/>
        <w:rPr>
          <w:rFonts w:ascii="Book Antiqua" w:eastAsia="Times New Roman" w:hAnsi="Book Antiqua" w:cs="Times New Roman"/>
          <w:b/>
          <w:bCs/>
          <w:color w:val="000000" w:themeColor="text1"/>
          <w:sz w:val="24"/>
          <w:szCs w:val="24"/>
        </w:rPr>
      </w:pPr>
      <w:r w:rsidRPr="006B24DA">
        <w:rPr>
          <w:rFonts w:ascii="Book Antiqua" w:eastAsia="Times New Roman" w:hAnsi="Book Antiqua" w:cs="Times New Roman"/>
          <w:b/>
          <w:bCs/>
          <w:i/>
          <w:color w:val="000000" w:themeColor="text1"/>
          <w:sz w:val="24"/>
          <w:szCs w:val="24"/>
        </w:rPr>
        <w:t>Lessons learned</w:t>
      </w:r>
    </w:p>
    <w:p w14:paraId="1F400957" w14:textId="661B1018" w:rsidR="00E20495" w:rsidRPr="006B24DA" w:rsidRDefault="00E20495" w:rsidP="007761C0">
      <w:pPr>
        <w:autoSpaceDE w:val="0"/>
        <w:autoSpaceDN w:val="0"/>
        <w:adjustRightInd w:val="0"/>
        <w:snapToGrid w:val="0"/>
        <w:spacing w:after="0" w:line="360" w:lineRule="auto"/>
        <w:jc w:val="both"/>
        <w:rPr>
          <w:rFonts w:ascii="Book Antiqua" w:eastAsia="Times New Roman" w:hAnsi="Book Antiqua" w:cs="Times New Roman"/>
          <w:bCs/>
          <w:color w:val="000000" w:themeColor="text1"/>
          <w:sz w:val="24"/>
          <w:szCs w:val="24"/>
        </w:rPr>
      </w:pPr>
      <w:r w:rsidRPr="006B24DA">
        <w:rPr>
          <w:rFonts w:ascii="Book Antiqua" w:eastAsia="Times New Roman" w:hAnsi="Book Antiqua" w:cs="Times New Roman"/>
          <w:bCs/>
          <w:color w:val="000000" w:themeColor="text1"/>
          <w:sz w:val="24"/>
          <w:szCs w:val="24"/>
        </w:rPr>
        <w:t xml:space="preserve">It was not that long ago that the standard of care for treating </w:t>
      </w:r>
      <w:r w:rsidR="00D4044E" w:rsidRPr="006B24DA">
        <w:rPr>
          <w:rFonts w:ascii="Book Antiqua" w:eastAsia="Times New Roman" w:hAnsi="Book Antiqua" w:cs="Times New Roman"/>
          <w:bCs/>
          <w:color w:val="000000" w:themeColor="text1"/>
          <w:sz w:val="24"/>
          <w:szCs w:val="24"/>
        </w:rPr>
        <w:t>BE</w:t>
      </w:r>
      <w:r w:rsidRPr="006B24DA">
        <w:rPr>
          <w:rFonts w:ascii="Book Antiqua" w:eastAsia="Times New Roman" w:hAnsi="Book Antiqua" w:cs="Times New Roman"/>
          <w:bCs/>
          <w:color w:val="000000" w:themeColor="text1"/>
          <w:sz w:val="24"/>
          <w:szCs w:val="24"/>
        </w:rPr>
        <w:t xml:space="preserve"> with high grade dysplasia</w:t>
      </w:r>
      <w:r w:rsidR="00D25085" w:rsidRPr="006B24DA">
        <w:rPr>
          <w:rFonts w:ascii="Book Antiqua" w:eastAsia="Times New Roman" w:hAnsi="Book Antiqua" w:cs="Times New Roman"/>
          <w:bCs/>
          <w:color w:val="000000" w:themeColor="text1"/>
          <w:sz w:val="24"/>
          <w:szCs w:val="24"/>
        </w:rPr>
        <w:t xml:space="preserve"> (HGD)</w:t>
      </w:r>
      <w:r w:rsidRPr="006B24DA">
        <w:rPr>
          <w:rFonts w:ascii="Book Antiqua" w:eastAsia="Times New Roman" w:hAnsi="Book Antiqua" w:cs="Times New Roman"/>
          <w:bCs/>
          <w:color w:val="000000" w:themeColor="text1"/>
          <w:sz w:val="24"/>
          <w:szCs w:val="24"/>
        </w:rPr>
        <w:t xml:space="preserve"> was </w:t>
      </w:r>
      <w:proofErr w:type="spellStart"/>
      <w:proofErr w:type="gramStart"/>
      <w:r w:rsidRPr="006B24DA">
        <w:rPr>
          <w:rFonts w:ascii="Book Antiqua" w:eastAsia="Times New Roman" w:hAnsi="Book Antiqua" w:cs="Times New Roman"/>
          <w:bCs/>
          <w:color w:val="000000" w:themeColor="text1"/>
          <w:sz w:val="24"/>
          <w:szCs w:val="24"/>
        </w:rPr>
        <w:t>esophagectomy</w:t>
      </w:r>
      <w:proofErr w:type="spellEnd"/>
      <w:r w:rsidRPr="006B24DA">
        <w:rPr>
          <w:rFonts w:ascii="Book Antiqua" w:eastAsia="Times New Roman" w:hAnsi="Book Antiqua" w:cs="Times New Roman"/>
          <w:bCs/>
          <w:noProof/>
          <w:color w:val="000000" w:themeColor="text1"/>
          <w:sz w:val="24"/>
          <w:szCs w:val="24"/>
          <w:vertAlign w:val="superscript"/>
        </w:rPr>
        <w:t>[</w:t>
      </w:r>
      <w:proofErr w:type="gramEnd"/>
      <w:r w:rsidRPr="006B24DA">
        <w:rPr>
          <w:rFonts w:ascii="Book Antiqua" w:eastAsia="Times New Roman" w:hAnsi="Book Antiqua" w:cs="Times New Roman"/>
          <w:bCs/>
          <w:noProof/>
          <w:color w:val="000000" w:themeColor="text1"/>
          <w:sz w:val="24"/>
          <w:szCs w:val="24"/>
          <w:vertAlign w:val="superscript"/>
        </w:rPr>
        <w:t>71-74]</w:t>
      </w:r>
      <w:r w:rsidRPr="006B24DA">
        <w:rPr>
          <w:rFonts w:ascii="Book Antiqua" w:eastAsia="Times New Roman" w:hAnsi="Book Antiqua" w:cs="Times New Roman"/>
          <w:bCs/>
          <w:color w:val="000000" w:themeColor="text1"/>
          <w:sz w:val="24"/>
          <w:szCs w:val="24"/>
        </w:rPr>
        <w:t xml:space="preserve">. </w:t>
      </w:r>
      <w:proofErr w:type="gramStart"/>
      <w:r w:rsidRPr="006B24DA">
        <w:rPr>
          <w:rFonts w:ascii="Book Antiqua" w:eastAsia="Times New Roman" w:hAnsi="Book Antiqua" w:cs="Times New Roman"/>
          <w:bCs/>
          <w:color w:val="000000" w:themeColor="text1"/>
          <w:sz w:val="24"/>
          <w:szCs w:val="24"/>
        </w:rPr>
        <w:t>Initial endoscopic approaches to treat Barrett’s included photodynamic therapy (PDT), multipolar electrocoagulation (MPEC) and argon-plasma coagulation (APC).</w:t>
      </w:r>
      <w:proofErr w:type="gramEnd"/>
      <w:r w:rsidRPr="006B24DA">
        <w:rPr>
          <w:rFonts w:ascii="Book Antiqua" w:eastAsia="Times New Roman" w:hAnsi="Book Antiqua" w:cs="Times New Roman"/>
          <w:bCs/>
          <w:color w:val="000000" w:themeColor="text1"/>
          <w:sz w:val="24"/>
          <w:szCs w:val="24"/>
        </w:rPr>
        <w:t xml:space="preserve"> While these sparked initial enthusiasm, they were not able to achieve high rates of complete eradication while minimizing </w:t>
      </w:r>
      <w:proofErr w:type="gramStart"/>
      <w:r w:rsidRPr="006B24DA">
        <w:rPr>
          <w:rFonts w:ascii="Book Antiqua" w:eastAsia="Times New Roman" w:hAnsi="Book Antiqua" w:cs="Times New Roman"/>
          <w:bCs/>
          <w:color w:val="000000" w:themeColor="text1"/>
          <w:sz w:val="24"/>
          <w:szCs w:val="24"/>
        </w:rPr>
        <w:t>complications</w:t>
      </w:r>
      <w:r w:rsidRPr="006B24DA">
        <w:rPr>
          <w:rFonts w:ascii="Book Antiqua" w:eastAsia="Times New Roman" w:hAnsi="Book Antiqua" w:cs="Times New Roman"/>
          <w:bCs/>
          <w:noProof/>
          <w:color w:val="000000" w:themeColor="text1"/>
          <w:sz w:val="24"/>
          <w:szCs w:val="24"/>
          <w:vertAlign w:val="superscript"/>
        </w:rPr>
        <w:t>[</w:t>
      </w:r>
      <w:proofErr w:type="gramEnd"/>
      <w:r w:rsidRPr="006B24DA">
        <w:rPr>
          <w:rFonts w:ascii="Book Antiqua" w:eastAsia="Times New Roman" w:hAnsi="Book Antiqua" w:cs="Times New Roman"/>
          <w:bCs/>
          <w:noProof/>
          <w:color w:val="000000" w:themeColor="text1"/>
          <w:sz w:val="24"/>
          <w:szCs w:val="24"/>
          <w:vertAlign w:val="superscript"/>
        </w:rPr>
        <w:t>75]</w:t>
      </w:r>
      <w:r w:rsidRPr="006B24DA">
        <w:rPr>
          <w:rFonts w:ascii="Book Antiqua" w:eastAsia="Times New Roman" w:hAnsi="Book Antiqua" w:cs="Times New Roman"/>
          <w:bCs/>
          <w:color w:val="000000" w:themeColor="text1"/>
          <w:sz w:val="24"/>
          <w:szCs w:val="24"/>
        </w:rPr>
        <w:t xml:space="preserve">. The emergence of </w:t>
      </w:r>
      <w:bookmarkStart w:id="58" w:name="OLE_LINK69"/>
      <w:bookmarkStart w:id="59" w:name="OLE_LINK70"/>
      <w:r w:rsidR="00B27D0F" w:rsidRPr="006B24DA">
        <w:rPr>
          <w:rFonts w:ascii="Book Antiqua" w:eastAsia="Times New Roman" w:hAnsi="Book Antiqua" w:cs="Times New Roman"/>
          <w:bCs/>
          <w:color w:val="000000" w:themeColor="text1"/>
          <w:sz w:val="24"/>
          <w:szCs w:val="24"/>
        </w:rPr>
        <w:t>RF</w:t>
      </w:r>
      <w:r w:rsidRPr="006B24DA">
        <w:rPr>
          <w:rFonts w:ascii="Book Antiqua" w:eastAsia="Times New Roman" w:hAnsi="Book Antiqua" w:cs="Times New Roman"/>
          <w:bCs/>
          <w:color w:val="000000" w:themeColor="text1"/>
          <w:sz w:val="24"/>
          <w:szCs w:val="24"/>
        </w:rPr>
        <w:t xml:space="preserve"> ablation</w:t>
      </w:r>
      <w:bookmarkEnd w:id="58"/>
      <w:bookmarkEnd w:id="59"/>
      <w:r w:rsidRPr="006B24DA">
        <w:rPr>
          <w:rFonts w:ascii="Book Antiqua" w:eastAsia="Times New Roman" w:hAnsi="Book Antiqua" w:cs="Times New Roman"/>
          <w:bCs/>
          <w:color w:val="000000" w:themeColor="text1"/>
          <w:sz w:val="24"/>
          <w:szCs w:val="24"/>
        </w:rPr>
        <w:t xml:space="preserve"> (RFA) completely changed the landscape and transformed our approach to Barrett’s, with the expectation that Barrett’s can be completely eliminated by endoscopic treatment in the vast majority of cases.</w:t>
      </w:r>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I have been using RFA technology since 2004.</w:t>
      </w:r>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At that time, t</w:t>
      </w:r>
      <w:r w:rsidR="00A66203" w:rsidRPr="006B24DA">
        <w:rPr>
          <w:rFonts w:ascii="Book Antiqua" w:eastAsia="Times New Roman" w:hAnsi="Book Antiqua" w:cs="Times New Roman"/>
          <w:bCs/>
          <w:color w:val="000000" w:themeColor="text1"/>
          <w:sz w:val="24"/>
          <w:szCs w:val="24"/>
        </w:rPr>
        <w:t>here was only a 360-</w:t>
      </w:r>
      <w:r w:rsidRPr="006B24DA">
        <w:rPr>
          <w:rFonts w:ascii="Book Antiqua" w:eastAsia="Times New Roman" w:hAnsi="Book Antiqua" w:cs="Times New Roman"/>
          <w:bCs/>
          <w:color w:val="000000" w:themeColor="text1"/>
          <w:sz w:val="24"/>
          <w:szCs w:val="24"/>
        </w:rPr>
        <w:t>degree balloon device available for treatment.</w:t>
      </w:r>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Given my experience with </w:t>
      </w:r>
      <w:r w:rsidR="00A66203" w:rsidRPr="006B24DA">
        <w:rPr>
          <w:rFonts w:ascii="Book Antiqua" w:eastAsia="Times New Roman" w:hAnsi="Book Antiqua" w:cs="Times New Roman"/>
          <w:bCs/>
          <w:color w:val="000000" w:themeColor="text1"/>
          <w:sz w:val="24"/>
          <w:szCs w:val="24"/>
        </w:rPr>
        <w:t>PDT</w:t>
      </w:r>
      <w:r w:rsidRPr="006B24DA">
        <w:rPr>
          <w:rFonts w:ascii="Book Antiqua" w:eastAsia="Times New Roman" w:hAnsi="Book Antiqua" w:cs="Times New Roman"/>
          <w:bCs/>
          <w:color w:val="000000" w:themeColor="text1"/>
          <w:sz w:val="24"/>
          <w:szCs w:val="24"/>
        </w:rPr>
        <w:t xml:space="preserve"> </w:t>
      </w:r>
      <w:r w:rsidR="00B42F2F" w:rsidRPr="006B24DA">
        <w:rPr>
          <w:rFonts w:ascii="Book Antiqua" w:eastAsia="Times New Roman" w:hAnsi="Book Antiqua" w:cs="Times New Roman"/>
          <w:color w:val="000000" w:themeColor="text1"/>
          <w:sz w:val="24"/>
          <w:szCs w:val="24"/>
        </w:rPr>
        <w:t>(Figure 13</w:t>
      </w:r>
      <w:r w:rsidRPr="006B24DA">
        <w:rPr>
          <w:rFonts w:ascii="Book Antiqua" w:eastAsia="Times New Roman" w:hAnsi="Book Antiqua" w:cs="Times New Roman"/>
          <w:color w:val="000000" w:themeColor="text1"/>
          <w:sz w:val="24"/>
          <w:szCs w:val="24"/>
        </w:rPr>
        <w:t>)</w:t>
      </w:r>
      <w:r w:rsidRPr="006B24DA">
        <w:rPr>
          <w:rFonts w:ascii="Book Antiqua" w:eastAsia="Times New Roman" w:hAnsi="Book Antiqua" w:cs="Times New Roman"/>
          <w:bCs/>
          <w:color w:val="000000" w:themeColor="text1"/>
          <w:sz w:val="24"/>
          <w:szCs w:val="24"/>
        </w:rPr>
        <w:t xml:space="preserve"> and using ND</w:t>
      </w:r>
      <w:proofErr w:type="gramStart"/>
      <w:r w:rsidRPr="006B24DA">
        <w:rPr>
          <w:rFonts w:ascii="Book Antiqua" w:eastAsia="Times New Roman" w:hAnsi="Book Antiqua" w:cs="Times New Roman"/>
          <w:bCs/>
          <w:color w:val="000000" w:themeColor="text1"/>
          <w:sz w:val="24"/>
          <w:szCs w:val="24"/>
        </w:rPr>
        <w:t>:YAG</w:t>
      </w:r>
      <w:proofErr w:type="gramEnd"/>
      <w:r w:rsidRPr="006B24DA">
        <w:rPr>
          <w:rFonts w:ascii="Book Antiqua" w:eastAsia="Times New Roman" w:hAnsi="Book Antiqua" w:cs="Times New Roman"/>
          <w:bCs/>
          <w:color w:val="000000" w:themeColor="text1"/>
          <w:sz w:val="24"/>
          <w:szCs w:val="24"/>
        </w:rPr>
        <w:t xml:space="preserve"> laser delivered through a sapphire contact probe </w:t>
      </w:r>
      <w:r w:rsidR="00B42F2F" w:rsidRPr="006B24DA">
        <w:rPr>
          <w:rFonts w:ascii="Book Antiqua" w:eastAsia="Times New Roman" w:hAnsi="Book Antiqua" w:cs="Times New Roman"/>
          <w:color w:val="000000" w:themeColor="text1"/>
          <w:sz w:val="24"/>
          <w:szCs w:val="24"/>
        </w:rPr>
        <w:t>(Figure 14</w:t>
      </w:r>
      <w:r w:rsidR="00A66203" w:rsidRPr="006B24DA">
        <w:rPr>
          <w:rFonts w:ascii="Book Antiqua" w:eastAsia="Times New Roman" w:hAnsi="Book Antiqua" w:cs="Times New Roman"/>
          <w:color w:val="000000" w:themeColor="text1"/>
          <w:sz w:val="24"/>
          <w:szCs w:val="24"/>
        </w:rPr>
        <w:t xml:space="preserve">A and </w:t>
      </w:r>
      <w:r w:rsidRPr="006B24DA">
        <w:rPr>
          <w:rFonts w:ascii="Book Antiqua" w:eastAsia="Times New Roman" w:hAnsi="Book Antiqua" w:cs="Times New Roman"/>
          <w:color w:val="000000" w:themeColor="text1"/>
          <w:sz w:val="24"/>
          <w:szCs w:val="24"/>
        </w:rPr>
        <w:t>B)</w:t>
      </w:r>
      <w:r w:rsidRPr="006B24DA">
        <w:rPr>
          <w:rFonts w:ascii="Book Antiqua" w:eastAsia="Times New Roman" w:hAnsi="Book Antiqua" w:cs="Times New Roman"/>
          <w:bCs/>
          <w:color w:val="000000" w:themeColor="text1"/>
          <w:sz w:val="24"/>
          <w:szCs w:val="24"/>
        </w:rPr>
        <w:t>, I was able to “touch-up” any small areas of residual Barrett’s post PDT.</w:t>
      </w:r>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With this conceptual construct of devices for wide field treatment </w:t>
      </w:r>
      <w:r w:rsidR="00E559C5" w:rsidRPr="006B24DA">
        <w:rPr>
          <w:rFonts w:ascii="Book Antiqua" w:eastAsia="Times New Roman" w:hAnsi="Book Antiqua" w:cs="Times New Roman"/>
          <w:bCs/>
          <w:color w:val="000000" w:themeColor="text1"/>
          <w:sz w:val="24"/>
          <w:szCs w:val="24"/>
        </w:rPr>
        <w:t xml:space="preserve">as well as </w:t>
      </w:r>
      <w:r w:rsidRPr="006B24DA">
        <w:rPr>
          <w:rFonts w:ascii="Book Antiqua" w:eastAsia="Times New Roman" w:hAnsi="Book Antiqua" w:cs="Times New Roman"/>
          <w:bCs/>
          <w:color w:val="000000" w:themeColor="text1"/>
          <w:sz w:val="24"/>
          <w:szCs w:val="24"/>
        </w:rPr>
        <w:t xml:space="preserve">devices for focal treatment, the </w:t>
      </w:r>
      <w:proofErr w:type="spellStart"/>
      <w:r w:rsidRPr="006B24DA">
        <w:rPr>
          <w:rFonts w:ascii="Book Antiqua" w:eastAsia="Times New Roman" w:hAnsi="Book Antiqua" w:cs="Times New Roman"/>
          <w:bCs/>
          <w:color w:val="000000" w:themeColor="text1"/>
          <w:sz w:val="24"/>
          <w:szCs w:val="24"/>
        </w:rPr>
        <w:t>Barrx</w:t>
      </w:r>
      <w:proofErr w:type="spellEnd"/>
      <w:r w:rsidRPr="006B24DA">
        <w:rPr>
          <w:rFonts w:ascii="Book Antiqua" w:eastAsia="Times New Roman" w:hAnsi="Book Antiqua" w:cs="Times New Roman"/>
          <w:bCs/>
          <w:color w:val="000000" w:themeColor="text1"/>
          <w:sz w:val="24"/>
          <w:szCs w:val="24"/>
        </w:rPr>
        <w:t xml:space="preserve"> Halo 90 device was conceived.</w:t>
      </w:r>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My contributions were acknowledged by having the product “nick named” the Chang Cap </w:t>
      </w:r>
      <w:r w:rsidR="005D4219" w:rsidRPr="006B24DA">
        <w:rPr>
          <w:rFonts w:ascii="Book Antiqua" w:eastAsia="Times New Roman" w:hAnsi="Book Antiqua" w:cs="Times New Roman"/>
          <w:color w:val="000000" w:themeColor="text1"/>
          <w:sz w:val="24"/>
          <w:szCs w:val="24"/>
        </w:rPr>
        <w:t>(Figure 15</w:t>
      </w:r>
      <w:r w:rsidRPr="006B24DA">
        <w:rPr>
          <w:rFonts w:ascii="Book Antiqua" w:eastAsia="Times New Roman" w:hAnsi="Book Antiqua" w:cs="Times New Roman"/>
          <w:color w:val="000000" w:themeColor="text1"/>
          <w:sz w:val="24"/>
          <w:szCs w:val="24"/>
        </w:rPr>
        <w:t>)</w:t>
      </w:r>
      <w:r w:rsidRPr="006B24DA">
        <w:rPr>
          <w:rFonts w:ascii="Book Antiqua" w:eastAsia="Times New Roman" w:hAnsi="Book Antiqua" w:cs="Times New Roman"/>
          <w:bCs/>
          <w:color w:val="000000" w:themeColor="text1"/>
          <w:sz w:val="24"/>
          <w:szCs w:val="24"/>
        </w:rPr>
        <w:t xml:space="preserve">. With the combination of the 360 device and the focal device </w:t>
      </w:r>
      <w:r w:rsidR="005D4219" w:rsidRPr="006B24DA">
        <w:rPr>
          <w:rFonts w:ascii="Book Antiqua" w:eastAsia="Times New Roman" w:hAnsi="Book Antiqua" w:cs="Times New Roman"/>
          <w:color w:val="000000" w:themeColor="text1"/>
          <w:sz w:val="24"/>
          <w:szCs w:val="24"/>
        </w:rPr>
        <w:t>(Figure 16</w:t>
      </w:r>
      <w:r w:rsidRPr="006B24DA">
        <w:rPr>
          <w:rFonts w:ascii="Book Antiqua" w:eastAsia="Times New Roman" w:hAnsi="Book Antiqua" w:cs="Times New Roman"/>
          <w:color w:val="000000" w:themeColor="text1"/>
          <w:sz w:val="24"/>
          <w:szCs w:val="24"/>
        </w:rPr>
        <w:t>)</w:t>
      </w:r>
      <w:r w:rsidRPr="006B24DA">
        <w:rPr>
          <w:rFonts w:ascii="Book Antiqua" w:eastAsia="Times New Roman" w:hAnsi="Book Antiqua" w:cs="Times New Roman"/>
          <w:bCs/>
          <w:color w:val="000000" w:themeColor="text1"/>
          <w:sz w:val="24"/>
          <w:szCs w:val="24"/>
        </w:rPr>
        <w:t xml:space="preserve">, published clinical trials mounted to over 100 articles establishing the efficacy and safety of this technology with the over-all rate of </w:t>
      </w:r>
      <w:r w:rsidR="00966E42" w:rsidRPr="006B24DA">
        <w:rPr>
          <w:rFonts w:ascii="Book Antiqua" w:eastAsia="Times New Roman" w:hAnsi="Book Antiqua" w:cs="Times New Roman"/>
          <w:bCs/>
          <w:color w:val="000000" w:themeColor="text1"/>
          <w:sz w:val="24"/>
          <w:szCs w:val="24"/>
        </w:rPr>
        <w:t>CRIM</w:t>
      </w:r>
      <w:r w:rsidRPr="006B24DA">
        <w:rPr>
          <w:rFonts w:ascii="Book Antiqua" w:eastAsia="Times New Roman" w:hAnsi="Book Antiqua" w:cs="Times New Roman"/>
          <w:bCs/>
          <w:color w:val="000000" w:themeColor="text1"/>
          <w:sz w:val="24"/>
          <w:szCs w:val="24"/>
        </w:rPr>
        <w:t xml:space="preserve"> of 77%, complete response of low grade dysplasia of 90%, </w:t>
      </w:r>
      <w:r w:rsidRPr="006B24DA">
        <w:rPr>
          <w:rFonts w:ascii="Book Antiqua" w:eastAsia="Times New Roman" w:hAnsi="Book Antiqua" w:cs="Times New Roman"/>
          <w:bCs/>
          <w:color w:val="000000" w:themeColor="text1"/>
          <w:sz w:val="24"/>
          <w:szCs w:val="24"/>
        </w:rPr>
        <w:lastRenderedPageBreak/>
        <w:t xml:space="preserve">and complete response of </w:t>
      </w:r>
      <w:r w:rsidR="00D25085" w:rsidRPr="006B24DA">
        <w:rPr>
          <w:rFonts w:ascii="Book Antiqua" w:eastAsia="Times New Roman" w:hAnsi="Book Antiqua" w:cs="Times New Roman"/>
          <w:bCs/>
          <w:color w:val="000000" w:themeColor="text1"/>
          <w:sz w:val="24"/>
          <w:szCs w:val="24"/>
        </w:rPr>
        <w:t>HGD</w:t>
      </w:r>
      <w:r w:rsidRPr="006B24DA">
        <w:rPr>
          <w:rFonts w:ascii="Book Antiqua" w:eastAsia="Times New Roman" w:hAnsi="Book Antiqua" w:cs="Times New Roman"/>
          <w:bCs/>
          <w:color w:val="000000" w:themeColor="text1"/>
          <w:sz w:val="24"/>
          <w:szCs w:val="24"/>
        </w:rPr>
        <w:t xml:space="preserve"> of 81%</w:t>
      </w:r>
      <w:r w:rsidRPr="006B24DA">
        <w:rPr>
          <w:rFonts w:ascii="Book Antiqua" w:eastAsia="Times New Roman" w:hAnsi="Book Antiqua" w:cs="Times New Roman"/>
          <w:bCs/>
          <w:noProof/>
          <w:color w:val="000000" w:themeColor="text1"/>
          <w:sz w:val="24"/>
          <w:szCs w:val="24"/>
          <w:vertAlign w:val="superscript"/>
        </w:rPr>
        <w:t>[76]</w:t>
      </w:r>
      <w:r w:rsidRPr="006B24DA">
        <w:rPr>
          <w:rFonts w:ascii="Book Antiqua" w:eastAsia="Times New Roman" w:hAnsi="Book Antiqua" w:cs="Times New Roman"/>
          <w:bCs/>
          <w:color w:val="000000" w:themeColor="text1"/>
          <w:sz w:val="24"/>
          <w:szCs w:val="24"/>
        </w:rPr>
        <w:t>. In this seminal NEJM study, patients who received RFA had le</w:t>
      </w:r>
      <w:r w:rsidR="00A66203" w:rsidRPr="006B24DA">
        <w:rPr>
          <w:rFonts w:ascii="Book Antiqua" w:eastAsia="Times New Roman" w:hAnsi="Book Antiqua" w:cs="Times New Roman"/>
          <w:bCs/>
          <w:color w:val="000000" w:themeColor="text1"/>
          <w:sz w:val="24"/>
          <w:szCs w:val="24"/>
        </w:rPr>
        <w:t>ss disease progression (3.6%</w:t>
      </w:r>
      <w:r w:rsidR="00A66203" w:rsidRPr="006B24DA">
        <w:rPr>
          <w:rFonts w:ascii="Book Antiqua" w:eastAsia="Times New Roman" w:hAnsi="Book Antiqua" w:cs="Times New Roman"/>
          <w:bCs/>
          <w:i/>
          <w:color w:val="000000" w:themeColor="text1"/>
          <w:sz w:val="24"/>
          <w:szCs w:val="24"/>
        </w:rPr>
        <w:t xml:space="preserve"> vs</w:t>
      </w:r>
      <w:r w:rsidRPr="006B24DA">
        <w:rPr>
          <w:rFonts w:ascii="Book Antiqua" w:eastAsia="Times New Roman" w:hAnsi="Book Antiqua" w:cs="Times New Roman"/>
          <w:bCs/>
          <w:color w:val="000000" w:themeColor="text1"/>
          <w:sz w:val="24"/>
          <w:szCs w:val="24"/>
        </w:rPr>
        <w:t xml:space="preserve"> 16.3%, </w:t>
      </w:r>
      <w:r w:rsidRPr="006B24DA">
        <w:rPr>
          <w:rFonts w:ascii="Book Antiqua" w:eastAsia="Times New Roman" w:hAnsi="Book Antiqua" w:cs="Times New Roman"/>
          <w:bCs/>
          <w:i/>
          <w:color w:val="000000" w:themeColor="text1"/>
          <w:sz w:val="24"/>
          <w:szCs w:val="24"/>
        </w:rPr>
        <w:t>P</w:t>
      </w:r>
      <w:r w:rsidRPr="006B24DA">
        <w:rPr>
          <w:rFonts w:ascii="Book Antiqua" w:eastAsia="Times New Roman" w:hAnsi="Book Antiqua" w:cs="Times New Roman"/>
          <w:bCs/>
          <w:color w:val="000000" w:themeColor="text1"/>
          <w:sz w:val="24"/>
          <w:szCs w:val="24"/>
        </w:rPr>
        <w:t xml:space="preserve"> = 0.03) and fewer ca</w:t>
      </w:r>
      <w:r w:rsidR="003E0C40" w:rsidRPr="006B24DA">
        <w:rPr>
          <w:rFonts w:ascii="Book Antiqua" w:eastAsia="Times New Roman" w:hAnsi="Book Antiqua" w:cs="Times New Roman"/>
          <w:bCs/>
          <w:color w:val="000000" w:themeColor="text1"/>
          <w:sz w:val="24"/>
          <w:szCs w:val="24"/>
        </w:rPr>
        <w:t xml:space="preserve">ncers (1.2% </w:t>
      </w:r>
      <w:r w:rsidR="003E0C40" w:rsidRPr="006B24DA">
        <w:rPr>
          <w:rFonts w:ascii="Book Antiqua" w:eastAsia="Times New Roman" w:hAnsi="Book Antiqua" w:cs="Times New Roman"/>
          <w:bCs/>
          <w:i/>
          <w:color w:val="000000" w:themeColor="text1"/>
          <w:sz w:val="24"/>
          <w:szCs w:val="24"/>
        </w:rPr>
        <w:t>vs</w:t>
      </w:r>
      <w:r w:rsidRPr="006B24DA">
        <w:rPr>
          <w:rFonts w:ascii="Book Antiqua" w:eastAsia="Times New Roman" w:hAnsi="Book Antiqua" w:cs="Times New Roman"/>
          <w:bCs/>
          <w:color w:val="000000" w:themeColor="text1"/>
          <w:sz w:val="24"/>
          <w:szCs w:val="24"/>
        </w:rPr>
        <w:t xml:space="preserve"> 9.3%, </w:t>
      </w:r>
      <w:r w:rsidRPr="006B24DA">
        <w:rPr>
          <w:rFonts w:ascii="Book Antiqua" w:eastAsia="Times New Roman" w:hAnsi="Book Antiqua" w:cs="Times New Roman"/>
          <w:bCs/>
          <w:i/>
          <w:color w:val="000000" w:themeColor="text1"/>
          <w:sz w:val="24"/>
          <w:szCs w:val="24"/>
        </w:rPr>
        <w:t xml:space="preserve">P </w:t>
      </w:r>
      <w:r w:rsidRPr="006B24DA">
        <w:rPr>
          <w:rFonts w:ascii="Book Antiqua" w:eastAsia="Times New Roman" w:hAnsi="Book Antiqua" w:cs="Times New Roman"/>
          <w:bCs/>
          <w:color w:val="000000" w:themeColor="text1"/>
          <w:sz w:val="24"/>
          <w:szCs w:val="24"/>
        </w:rPr>
        <w:t xml:space="preserve">= 0.045). There are now multiple different RFA probes available for circumferential, focal, long and short segment, as well as through the scope applications </w:t>
      </w:r>
      <w:r w:rsidR="005D4219" w:rsidRPr="006B24DA">
        <w:rPr>
          <w:rFonts w:ascii="Book Antiqua" w:eastAsia="Times New Roman" w:hAnsi="Book Antiqua" w:cs="Times New Roman"/>
          <w:color w:val="000000" w:themeColor="text1"/>
          <w:sz w:val="24"/>
          <w:szCs w:val="24"/>
        </w:rPr>
        <w:t>(Figure 17</w:t>
      </w:r>
      <w:r w:rsidRPr="006B24DA">
        <w:rPr>
          <w:rFonts w:ascii="Book Antiqua" w:eastAsia="Times New Roman" w:hAnsi="Book Antiqua" w:cs="Times New Roman"/>
          <w:color w:val="000000" w:themeColor="text1"/>
          <w:sz w:val="24"/>
          <w:szCs w:val="24"/>
        </w:rPr>
        <w:t>)</w:t>
      </w:r>
      <w:r w:rsidRPr="006B24DA">
        <w:rPr>
          <w:rFonts w:ascii="Book Antiqua" w:eastAsia="Times New Roman" w:hAnsi="Book Antiqua" w:cs="Times New Roman"/>
          <w:bCs/>
          <w:color w:val="000000" w:themeColor="text1"/>
          <w:sz w:val="24"/>
          <w:szCs w:val="24"/>
        </w:rPr>
        <w:t xml:space="preserve">. </w:t>
      </w:r>
    </w:p>
    <w:p w14:paraId="76B31F73" w14:textId="40BDF1E6" w:rsidR="00E20495" w:rsidRPr="006B24DA" w:rsidRDefault="003E0C40" w:rsidP="007761C0">
      <w:pPr>
        <w:autoSpaceDE w:val="0"/>
        <w:autoSpaceDN w:val="0"/>
        <w:adjustRightInd w:val="0"/>
        <w:snapToGrid w:val="0"/>
        <w:spacing w:after="0" w:line="360" w:lineRule="auto"/>
        <w:jc w:val="both"/>
        <w:rPr>
          <w:rFonts w:ascii="Book Antiqua"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t xml:space="preserve">  </w:t>
      </w:r>
      <w:r w:rsidR="00E20495" w:rsidRPr="006B24DA">
        <w:rPr>
          <w:rFonts w:ascii="Book Antiqua" w:eastAsia="Times New Roman" w:hAnsi="Book Antiqua" w:cs="Times New Roman"/>
          <w:color w:val="000000" w:themeColor="text1"/>
          <w:sz w:val="24"/>
          <w:szCs w:val="24"/>
        </w:rPr>
        <w:t>M</w:t>
      </w:r>
      <w:r w:rsidR="00E20495" w:rsidRPr="006B24DA">
        <w:rPr>
          <w:rFonts w:ascii="Book Antiqua" w:hAnsi="Book Antiqua" w:cs="Times New Roman"/>
          <w:color w:val="000000" w:themeColor="text1"/>
          <w:sz w:val="24"/>
          <w:szCs w:val="24"/>
        </w:rPr>
        <w:t xml:space="preserve">ore recently, cryotherapy has emerged as an alternative means of treating Barrett’s. There are now two delivery systems available: a spray </w:t>
      </w:r>
      <w:proofErr w:type="gramStart"/>
      <w:r w:rsidR="00E20495" w:rsidRPr="006B24DA">
        <w:rPr>
          <w:rFonts w:ascii="Book Antiqua" w:hAnsi="Book Antiqua" w:cs="Times New Roman"/>
          <w:color w:val="000000" w:themeColor="text1"/>
          <w:sz w:val="24"/>
          <w:szCs w:val="24"/>
        </w:rPr>
        <w:t>catheter</w:t>
      </w:r>
      <w:r w:rsidR="00E20495" w:rsidRPr="006B24DA">
        <w:rPr>
          <w:rFonts w:ascii="Book Antiqua" w:hAnsi="Book Antiqua" w:cs="Times New Roman"/>
          <w:noProof/>
          <w:color w:val="000000" w:themeColor="text1"/>
          <w:sz w:val="24"/>
          <w:szCs w:val="24"/>
          <w:vertAlign w:val="superscript"/>
        </w:rPr>
        <w:t>[</w:t>
      </w:r>
      <w:proofErr w:type="gramEnd"/>
      <w:r w:rsidR="00E20495" w:rsidRPr="006B24DA">
        <w:rPr>
          <w:rFonts w:ascii="Book Antiqua" w:hAnsi="Book Antiqua" w:cs="Times New Roman"/>
          <w:noProof/>
          <w:color w:val="000000" w:themeColor="text1"/>
          <w:sz w:val="24"/>
          <w:szCs w:val="24"/>
          <w:vertAlign w:val="superscript"/>
        </w:rPr>
        <w:t>77-86]</w:t>
      </w:r>
      <w:r w:rsidR="00E20495" w:rsidRPr="006B24DA">
        <w:rPr>
          <w:rFonts w:ascii="Book Antiqua" w:hAnsi="Book Antiqua" w:cs="Times New Roman"/>
          <w:color w:val="000000" w:themeColor="text1"/>
          <w:sz w:val="24"/>
          <w:szCs w:val="24"/>
        </w:rPr>
        <w:t xml:space="preserve"> and a balloon based device</w:t>
      </w:r>
      <w:r w:rsidR="00E20495" w:rsidRPr="006B24DA">
        <w:rPr>
          <w:rFonts w:ascii="Book Antiqua" w:hAnsi="Book Antiqua" w:cs="Times New Roman"/>
          <w:noProof/>
          <w:color w:val="000000" w:themeColor="text1"/>
          <w:sz w:val="24"/>
          <w:szCs w:val="24"/>
          <w:vertAlign w:val="superscript"/>
        </w:rPr>
        <w:t>[87-89]</w:t>
      </w:r>
      <w:r w:rsidR="00E20495" w:rsidRPr="006B24DA">
        <w:rPr>
          <w:rFonts w:ascii="Book Antiqua" w:hAnsi="Book Antiqua" w:cs="Times New Roman"/>
          <w:color w:val="000000" w:themeColor="text1"/>
          <w:sz w:val="24"/>
          <w:szCs w:val="24"/>
        </w:rPr>
        <w:t xml:space="preserve">. While the number of published trials using cryotherapy currently pales in comparison to RFA, the potential </w:t>
      </w:r>
      <w:r w:rsidR="00645B74" w:rsidRPr="006B24DA">
        <w:rPr>
          <w:rFonts w:ascii="Book Antiqua" w:hAnsi="Book Antiqua" w:cs="Times New Roman"/>
          <w:color w:val="000000" w:themeColor="text1"/>
          <w:sz w:val="24"/>
          <w:szCs w:val="24"/>
        </w:rPr>
        <w:t xml:space="preserve">theoretical </w:t>
      </w:r>
      <w:r w:rsidR="00E20495" w:rsidRPr="006B24DA">
        <w:rPr>
          <w:rFonts w:ascii="Book Antiqua" w:hAnsi="Book Antiqua" w:cs="Times New Roman"/>
          <w:color w:val="000000" w:themeColor="text1"/>
          <w:sz w:val="24"/>
          <w:szCs w:val="24"/>
        </w:rPr>
        <w:t xml:space="preserve">advantages of cryotherapy may be better patient </w:t>
      </w:r>
      <w:proofErr w:type="gramStart"/>
      <w:r w:rsidR="00E20495" w:rsidRPr="006B24DA">
        <w:rPr>
          <w:rFonts w:ascii="Book Antiqua" w:hAnsi="Book Antiqua" w:cs="Times New Roman"/>
          <w:color w:val="000000" w:themeColor="text1"/>
          <w:sz w:val="24"/>
          <w:szCs w:val="24"/>
        </w:rPr>
        <w:t>tolerance</w:t>
      </w:r>
      <w:r w:rsidR="00E20495" w:rsidRPr="006B24DA">
        <w:rPr>
          <w:rFonts w:ascii="Book Antiqua" w:hAnsi="Book Antiqua" w:cs="Times New Roman"/>
          <w:noProof/>
          <w:color w:val="000000" w:themeColor="text1"/>
          <w:sz w:val="24"/>
          <w:szCs w:val="24"/>
          <w:vertAlign w:val="superscript"/>
        </w:rPr>
        <w:t>[</w:t>
      </w:r>
      <w:proofErr w:type="gramEnd"/>
      <w:r w:rsidR="00E20495" w:rsidRPr="006B24DA">
        <w:rPr>
          <w:rFonts w:ascii="Book Antiqua" w:hAnsi="Book Antiqua" w:cs="Times New Roman"/>
          <w:noProof/>
          <w:color w:val="000000" w:themeColor="text1"/>
          <w:sz w:val="24"/>
          <w:szCs w:val="24"/>
          <w:vertAlign w:val="superscript"/>
        </w:rPr>
        <w:t>80]</w:t>
      </w:r>
      <w:r w:rsidR="00E20495" w:rsidRPr="006B24DA">
        <w:rPr>
          <w:rFonts w:ascii="Book Antiqua" w:hAnsi="Book Antiqua" w:cs="Times New Roman"/>
          <w:color w:val="000000" w:themeColor="text1"/>
          <w:sz w:val="24"/>
          <w:szCs w:val="24"/>
        </w:rPr>
        <w:t>, slightly less stricture rate</w:t>
      </w:r>
      <w:r w:rsidR="00E20495" w:rsidRPr="006B24DA">
        <w:rPr>
          <w:rFonts w:ascii="Book Antiqua" w:hAnsi="Book Antiqua" w:cs="Times New Roman"/>
          <w:noProof/>
          <w:color w:val="000000" w:themeColor="text1"/>
          <w:sz w:val="24"/>
          <w:szCs w:val="24"/>
          <w:vertAlign w:val="superscript"/>
        </w:rPr>
        <w:t>[90]</w:t>
      </w:r>
      <w:r w:rsidR="00E20495" w:rsidRPr="006B24DA">
        <w:rPr>
          <w:rFonts w:ascii="Book Antiqua" w:hAnsi="Book Antiqua" w:cs="Times New Roman"/>
          <w:color w:val="000000" w:themeColor="text1"/>
          <w:sz w:val="24"/>
          <w:szCs w:val="24"/>
        </w:rPr>
        <w:t xml:space="preserve"> and deeper penetration of cold energy</w:t>
      </w:r>
      <w:r w:rsidR="00E20495" w:rsidRPr="006B24DA">
        <w:rPr>
          <w:rFonts w:ascii="Book Antiqua" w:hAnsi="Book Antiqua" w:cs="Times New Roman"/>
          <w:noProof/>
          <w:color w:val="000000" w:themeColor="text1"/>
          <w:sz w:val="24"/>
          <w:szCs w:val="24"/>
          <w:vertAlign w:val="superscript"/>
        </w:rPr>
        <w:t>[91]</w:t>
      </w:r>
      <w:r w:rsidR="00E20495" w:rsidRPr="006B24DA">
        <w:rPr>
          <w:rFonts w:ascii="Book Antiqua" w:hAnsi="Book Antiqua" w:cs="Times New Roman"/>
          <w:color w:val="000000" w:themeColor="text1"/>
          <w:sz w:val="24"/>
          <w:szCs w:val="24"/>
        </w:rPr>
        <w:t xml:space="preserve"> .</w:t>
      </w:r>
      <w:r w:rsidR="00D33133" w:rsidRPr="006B24DA">
        <w:rPr>
          <w:rFonts w:ascii="Book Antiqua" w:hAnsi="Book Antiqua" w:cs="Times New Roman"/>
          <w:color w:val="000000" w:themeColor="text1"/>
          <w:sz w:val="24"/>
          <w:szCs w:val="24"/>
        </w:rPr>
        <w:t xml:space="preserve"> </w:t>
      </w:r>
      <w:r w:rsidR="00E20495" w:rsidRPr="006B24DA">
        <w:rPr>
          <w:rFonts w:ascii="Book Antiqua" w:hAnsi="Book Antiqua" w:cs="Times New Roman"/>
          <w:color w:val="000000" w:themeColor="text1"/>
          <w:sz w:val="24"/>
          <w:szCs w:val="24"/>
        </w:rPr>
        <w:t xml:space="preserve">Spray cryotherapy appears to be able to salvage approximately 50% of </w:t>
      </w:r>
      <w:r w:rsidR="00645B74" w:rsidRPr="006B24DA">
        <w:rPr>
          <w:rFonts w:ascii="Book Antiqua" w:hAnsi="Book Antiqua" w:cs="Times New Roman"/>
          <w:color w:val="000000" w:themeColor="text1"/>
          <w:sz w:val="24"/>
          <w:szCs w:val="24"/>
        </w:rPr>
        <w:t xml:space="preserve">dysplastic Barrett’s </w:t>
      </w:r>
      <w:r w:rsidR="00E20495" w:rsidRPr="006B24DA">
        <w:rPr>
          <w:rFonts w:ascii="Book Antiqua" w:hAnsi="Book Antiqua" w:cs="Times New Roman"/>
          <w:color w:val="000000" w:themeColor="text1"/>
          <w:sz w:val="24"/>
          <w:szCs w:val="24"/>
        </w:rPr>
        <w:t xml:space="preserve">cases refractory to </w:t>
      </w:r>
      <w:proofErr w:type="gramStart"/>
      <w:r w:rsidR="00E20495" w:rsidRPr="006B24DA">
        <w:rPr>
          <w:rFonts w:ascii="Book Antiqua" w:hAnsi="Book Antiqua" w:cs="Times New Roman"/>
          <w:color w:val="000000" w:themeColor="text1"/>
          <w:sz w:val="24"/>
          <w:szCs w:val="24"/>
        </w:rPr>
        <w:t>RFA</w:t>
      </w:r>
      <w:r w:rsidR="00E20495" w:rsidRPr="006B24DA">
        <w:rPr>
          <w:rFonts w:ascii="Book Antiqua" w:hAnsi="Book Antiqua" w:cs="Times New Roman"/>
          <w:noProof/>
          <w:color w:val="000000" w:themeColor="text1"/>
          <w:sz w:val="24"/>
          <w:szCs w:val="24"/>
          <w:vertAlign w:val="superscript"/>
        </w:rPr>
        <w:t>[</w:t>
      </w:r>
      <w:proofErr w:type="gramEnd"/>
      <w:r w:rsidR="00E20495" w:rsidRPr="006B24DA">
        <w:rPr>
          <w:rFonts w:ascii="Book Antiqua" w:hAnsi="Book Antiqua" w:cs="Times New Roman"/>
          <w:noProof/>
          <w:color w:val="000000" w:themeColor="text1"/>
          <w:sz w:val="24"/>
          <w:szCs w:val="24"/>
          <w:vertAlign w:val="superscript"/>
        </w:rPr>
        <w:t>92]</w:t>
      </w:r>
      <w:r w:rsidR="00E20495" w:rsidRPr="006B24DA">
        <w:rPr>
          <w:rFonts w:ascii="Book Antiqua" w:hAnsi="Book Antiqua" w:cs="Times New Roman"/>
          <w:color w:val="000000" w:themeColor="text1"/>
          <w:sz w:val="24"/>
          <w:szCs w:val="24"/>
        </w:rPr>
        <w:t xml:space="preserve"> and provide a reasonable complete remission of dysplasia (CR-D) in 76% of naïve patients</w:t>
      </w:r>
      <w:r w:rsidR="00E20495" w:rsidRPr="006B24DA">
        <w:rPr>
          <w:rFonts w:ascii="Book Antiqua" w:hAnsi="Book Antiqua" w:cs="Times New Roman"/>
          <w:noProof/>
          <w:color w:val="000000" w:themeColor="text1"/>
          <w:sz w:val="24"/>
          <w:szCs w:val="24"/>
          <w:vertAlign w:val="superscript"/>
        </w:rPr>
        <w:t>[77]</w:t>
      </w:r>
      <w:r w:rsidR="00E20495" w:rsidRPr="006B24DA">
        <w:rPr>
          <w:rFonts w:ascii="Book Antiqua" w:hAnsi="Book Antiqua" w:cs="Times New Roman"/>
          <w:color w:val="000000" w:themeColor="text1"/>
          <w:sz w:val="24"/>
          <w:szCs w:val="24"/>
        </w:rPr>
        <w:t xml:space="preserve">. However, the </w:t>
      </w:r>
      <w:bookmarkStart w:id="60" w:name="OLE_LINK72"/>
      <w:r w:rsidR="00E20495" w:rsidRPr="006B24DA">
        <w:rPr>
          <w:rFonts w:ascii="Book Antiqua" w:hAnsi="Book Antiqua" w:cs="Times New Roman"/>
          <w:color w:val="000000" w:themeColor="text1"/>
          <w:sz w:val="24"/>
          <w:szCs w:val="24"/>
        </w:rPr>
        <w:t>CRIM</w:t>
      </w:r>
      <w:bookmarkEnd w:id="60"/>
      <w:r w:rsidR="00E20495" w:rsidRPr="006B24DA">
        <w:rPr>
          <w:rFonts w:ascii="Book Antiqua" w:hAnsi="Book Antiqua" w:cs="Times New Roman"/>
          <w:color w:val="000000" w:themeColor="text1"/>
          <w:sz w:val="24"/>
          <w:szCs w:val="24"/>
        </w:rPr>
        <w:t xml:space="preserve"> of 46% </w:t>
      </w:r>
      <w:r w:rsidR="00645B74" w:rsidRPr="006B24DA">
        <w:rPr>
          <w:rFonts w:ascii="Book Antiqua" w:hAnsi="Book Antiqua" w:cs="Times New Roman"/>
          <w:color w:val="000000" w:themeColor="text1"/>
          <w:sz w:val="24"/>
          <w:szCs w:val="24"/>
        </w:rPr>
        <w:t xml:space="preserve">in non-dysplastic BE </w:t>
      </w:r>
      <w:r w:rsidR="00E20495" w:rsidRPr="006B24DA">
        <w:rPr>
          <w:rFonts w:ascii="Book Antiqua" w:hAnsi="Book Antiqua" w:cs="Times New Roman"/>
          <w:color w:val="000000" w:themeColor="text1"/>
          <w:sz w:val="24"/>
          <w:szCs w:val="24"/>
        </w:rPr>
        <w:t>is considerably lower than the established rate with RFA.</w:t>
      </w:r>
      <w:r w:rsidR="00D33133" w:rsidRPr="006B24DA">
        <w:rPr>
          <w:rFonts w:ascii="Book Antiqua" w:hAnsi="Book Antiqua" w:cs="Times New Roman"/>
          <w:color w:val="000000" w:themeColor="text1"/>
          <w:sz w:val="24"/>
          <w:szCs w:val="24"/>
        </w:rPr>
        <w:t xml:space="preserve"> </w:t>
      </w:r>
      <w:r w:rsidR="00E20495" w:rsidRPr="006B24DA">
        <w:rPr>
          <w:rFonts w:ascii="Book Antiqua" w:hAnsi="Book Antiqua" w:cs="Times New Roman"/>
          <w:color w:val="000000" w:themeColor="text1"/>
          <w:sz w:val="24"/>
          <w:szCs w:val="24"/>
        </w:rPr>
        <w:t>Therefore, RFA still remains the standard of care for treatment of flat dysplastic Barrett’s.</w:t>
      </w:r>
      <w:r w:rsidR="00D33133" w:rsidRPr="006B24DA">
        <w:rPr>
          <w:rFonts w:ascii="Book Antiqua" w:hAnsi="Book Antiqua" w:cs="Times New Roman"/>
          <w:color w:val="000000" w:themeColor="text1"/>
          <w:sz w:val="24"/>
          <w:szCs w:val="24"/>
        </w:rPr>
        <w:t xml:space="preserve"> </w:t>
      </w:r>
      <w:r w:rsidR="00E20495" w:rsidRPr="006B24DA">
        <w:rPr>
          <w:rFonts w:ascii="Book Antiqua" w:hAnsi="Book Antiqua" w:cs="Times New Roman"/>
          <w:color w:val="000000" w:themeColor="text1"/>
          <w:sz w:val="24"/>
          <w:szCs w:val="24"/>
        </w:rPr>
        <w:t xml:space="preserve">The more recent development of a balloon-based cryotherapy, using nitrous oxide to cool the temperature within the balloon </w:t>
      </w:r>
      <w:r w:rsidR="005D4219" w:rsidRPr="006B24DA">
        <w:rPr>
          <w:rFonts w:ascii="Book Antiqua" w:hAnsi="Book Antiqua" w:cs="Times New Roman"/>
          <w:color w:val="000000" w:themeColor="text1"/>
          <w:sz w:val="24"/>
          <w:szCs w:val="24"/>
        </w:rPr>
        <w:t>(Figure 18</w:t>
      </w:r>
      <w:r w:rsidR="00E20495" w:rsidRPr="006B24DA">
        <w:rPr>
          <w:rFonts w:ascii="Book Antiqua" w:hAnsi="Book Antiqua" w:cs="Times New Roman"/>
          <w:color w:val="000000" w:themeColor="text1"/>
          <w:sz w:val="24"/>
          <w:szCs w:val="24"/>
        </w:rPr>
        <w:t>), is quite intriguing with preliminary data suggesting very respectable treatment and safety outcomes (CR-D of 95% and CRIM of 88%)</w:t>
      </w:r>
      <w:r w:rsidR="00E20495" w:rsidRPr="006B24DA">
        <w:rPr>
          <w:rFonts w:ascii="Book Antiqua" w:hAnsi="Book Antiqua" w:cs="Times New Roman"/>
          <w:noProof/>
          <w:color w:val="000000" w:themeColor="text1"/>
          <w:sz w:val="24"/>
          <w:szCs w:val="24"/>
          <w:vertAlign w:val="superscript"/>
        </w:rPr>
        <w:t>[87]</w:t>
      </w:r>
      <w:r w:rsidR="00E20495" w:rsidRPr="006B24DA">
        <w:rPr>
          <w:rFonts w:ascii="Book Antiqua" w:hAnsi="Book Antiqua" w:cs="Times New Roman"/>
          <w:color w:val="000000" w:themeColor="text1"/>
          <w:sz w:val="24"/>
          <w:szCs w:val="24"/>
        </w:rPr>
        <w:t xml:space="preserve">. </w:t>
      </w:r>
    </w:p>
    <w:p w14:paraId="50CA7E9B" w14:textId="42AD677C" w:rsidR="00E20495" w:rsidRPr="006B24DA" w:rsidRDefault="003E0C40" w:rsidP="003B13C7">
      <w:pPr>
        <w:autoSpaceDE w:val="0"/>
        <w:autoSpaceDN w:val="0"/>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hAnsi="Book Antiqua" w:cs="Times New Roman"/>
          <w:color w:val="000000" w:themeColor="text1"/>
          <w:sz w:val="24"/>
          <w:szCs w:val="24"/>
        </w:rPr>
        <w:t xml:space="preserve">  </w:t>
      </w:r>
      <w:r w:rsidR="00E20495" w:rsidRPr="006B24DA">
        <w:rPr>
          <w:rFonts w:ascii="Book Antiqua" w:hAnsi="Book Antiqua" w:cs="Times New Roman"/>
          <w:color w:val="000000" w:themeColor="text1"/>
          <w:sz w:val="24"/>
          <w:szCs w:val="24"/>
        </w:rPr>
        <w:t xml:space="preserve">The newest emerging ablation technology is </w:t>
      </w:r>
      <w:r w:rsidR="0042443F" w:rsidRPr="006B24DA">
        <w:rPr>
          <w:rFonts w:ascii="Book Antiqua" w:hAnsi="Book Antiqua" w:cs="Times New Roman"/>
          <w:color w:val="000000" w:themeColor="text1"/>
          <w:sz w:val="24"/>
          <w:szCs w:val="24"/>
        </w:rPr>
        <w:t>argon plasma coagulation (</w:t>
      </w:r>
      <w:r w:rsidRPr="006B24DA">
        <w:rPr>
          <w:rFonts w:ascii="Book Antiqua" w:hAnsi="Book Antiqua" w:cs="Times New Roman"/>
          <w:color w:val="000000" w:themeColor="text1"/>
          <w:sz w:val="24"/>
          <w:szCs w:val="24"/>
        </w:rPr>
        <w:t>APC</w:t>
      </w:r>
      <w:r w:rsidR="0042443F" w:rsidRPr="006B24DA">
        <w:rPr>
          <w:rFonts w:ascii="Book Antiqua" w:hAnsi="Book Antiqua" w:cs="Times New Roman"/>
          <w:color w:val="000000" w:themeColor="text1"/>
          <w:sz w:val="24"/>
          <w:szCs w:val="24"/>
        </w:rPr>
        <w:t>)</w:t>
      </w:r>
      <w:r w:rsidR="00E20495" w:rsidRPr="006B24DA">
        <w:rPr>
          <w:rFonts w:ascii="Book Antiqua" w:hAnsi="Book Antiqua" w:cs="Times New Roman"/>
          <w:color w:val="000000" w:themeColor="text1"/>
          <w:sz w:val="24"/>
          <w:szCs w:val="24"/>
        </w:rPr>
        <w:t xml:space="preserve"> </w:t>
      </w:r>
      <w:proofErr w:type="gramStart"/>
      <w:r w:rsidR="00E20495" w:rsidRPr="006B24DA">
        <w:rPr>
          <w:rFonts w:ascii="Book Antiqua" w:hAnsi="Book Antiqua" w:cs="Times New Roman"/>
          <w:color w:val="000000" w:themeColor="text1"/>
          <w:sz w:val="24"/>
          <w:szCs w:val="24"/>
        </w:rPr>
        <w:t>preceded</w:t>
      </w:r>
      <w:proofErr w:type="gramEnd"/>
      <w:r w:rsidR="00E20495" w:rsidRPr="006B24DA">
        <w:rPr>
          <w:rFonts w:ascii="Book Antiqua" w:hAnsi="Book Antiqua" w:cs="Times New Roman"/>
          <w:color w:val="000000" w:themeColor="text1"/>
          <w:sz w:val="24"/>
          <w:szCs w:val="24"/>
        </w:rPr>
        <w:t xml:space="preserve"> by high pressure needleless submucosal injection of saline </w:t>
      </w:r>
      <w:r w:rsidR="00E20495" w:rsidRPr="006B24DA">
        <w:rPr>
          <w:rFonts w:ascii="Book Antiqua" w:hAnsi="Book Antiqua" w:cs="Times New Roman"/>
          <w:i/>
          <w:iCs/>
          <w:color w:val="000000" w:themeColor="text1"/>
          <w:sz w:val="24"/>
          <w:szCs w:val="24"/>
        </w:rPr>
        <w:t xml:space="preserve">via </w:t>
      </w:r>
      <w:r w:rsidR="00E20495" w:rsidRPr="006B24DA">
        <w:rPr>
          <w:rFonts w:ascii="Book Antiqua" w:hAnsi="Book Antiqua" w:cs="Times New Roman"/>
          <w:color w:val="000000" w:themeColor="text1"/>
          <w:sz w:val="24"/>
          <w:szCs w:val="24"/>
        </w:rPr>
        <w:t>a built-in water jet within the same catheter</w:t>
      </w:r>
      <w:r w:rsidR="0042443F" w:rsidRPr="006B24DA">
        <w:rPr>
          <w:rFonts w:ascii="Book Antiqua" w:hAnsi="Book Antiqua" w:cs="Times New Roman"/>
          <w:color w:val="000000" w:themeColor="text1"/>
          <w:sz w:val="24"/>
          <w:szCs w:val="24"/>
        </w:rPr>
        <w:t xml:space="preserve"> (called Hybrid APC)</w:t>
      </w:r>
      <w:r w:rsidR="00E20495" w:rsidRPr="006B24DA">
        <w:rPr>
          <w:rFonts w:ascii="Book Antiqua" w:hAnsi="Book Antiqua" w:cs="Times New Roman"/>
          <w:color w:val="000000" w:themeColor="text1"/>
          <w:sz w:val="24"/>
          <w:szCs w:val="24"/>
        </w:rPr>
        <w:t>.</w:t>
      </w:r>
      <w:r w:rsidR="00D33133" w:rsidRPr="006B24DA">
        <w:rPr>
          <w:rFonts w:ascii="Book Antiqua" w:hAnsi="Book Antiqua" w:cs="Times New Roman"/>
          <w:color w:val="000000" w:themeColor="text1"/>
          <w:sz w:val="24"/>
          <w:szCs w:val="24"/>
        </w:rPr>
        <w:t xml:space="preserve"> </w:t>
      </w:r>
      <w:r w:rsidR="00E20495" w:rsidRPr="006B24DA">
        <w:rPr>
          <w:rFonts w:ascii="Book Antiqua" w:hAnsi="Book Antiqua" w:cs="Times New Roman"/>
          <w:color w:val="000000" w:themeColor="text1"/>
          <w:sz w:val="24"/>
          <w:szCs w:val="24"/>
        </w:rPr>
        <w:t xml:space="preserve">An initial </w:t>
      </w:r>
      <w:r w:rsidR="00E20495" w:rsidRPr="006B24DA">
        <w:rPr>
          <w:rFonts w:ascii="Book Antiqua" w:hAnsi="Book Antiqua" w:cs="Times New Roman"/>
          <w:i/>
          <w:iCs/>
          <w:color w:val="000000" w:themeColor="text1"/>
          <w:sz w:val="24"/>
          <w:szCs w:val="24"/>
        </w:rPr>
        <w:t xml:space="preserve">ex-vivo </w:t>
      </w:r>
      <w:r w:rsidR="00E20495" w:rsidRPr="006B24DA">
        <w:rPr>
          <w:rFonts w:ascii="Book Antiqua" w:hAnsi="Book Antiqua" w:cs="Times New Roman"/>
          <w:color w:val="000000" w:themeColor="text1"/>
          <w:sz w:val="24"/>
          <w:szCs w:val="24"/>
        </w:rPr>
        <w:t xml:space="preserve">study showed that submucosal saline injection decreased depth of coagulation by </w:t>
      </w:r>
      <w:proofErr w:type="gramStart"/>
      <w:r w:rsidR="00E20495" w:rsidRPr="006B24DA">
        <w:rPr>
          <w:rFonts w:ascii="Book Antiqua" w:hAnsi="Book Antiqua" w:cs="Times New Roman"/>
          <w:color w:val="000000" w:themeColor="text1"/>
          <w:sz w:val="24"/>
          <w:szCs w:val="24"/>
        </w:rPr>
        <w:t>half</w:t>
      </w:r>
      <w:r w:rsidR="00E20495" w:rsidRPr="006B24DA">
        <w:rPr>
          <w:rFonts w:ascii="Book Antiqua" w:hAnsi="Book Antiqua" w:cs="Times New Roman"/>
          <w:noProof/>
          <w:color w:val="000000" w:themeColor="text1"/>
          <w:sz w:val="24"/>
          <w:szCs w:val="24"/>
          <w:vertAlign w:val="superscript"/>
        </w:rPr>
        <w:t>[</w:t>
      </w:r>
      <w:proofErr w:type="gramEnd"/>
      <w:r w:rsidR="00E20495" w:rsidRPr="006B24DA">
        <w:rPr>
          <w:rFonts w:ascii="Book Antiqua" w:hAnsi="Book Antiqua" w:cs="Times New Roman"/>
          <w:noProof/>
          <w:color w:val="000000" w:themeColor="text1"/>
          <w:sz w:val="24"/>
          <w:szCs w:val="24"/>
          <w:vertAlign w:val="superscript"/>
        </w:rPr>
        <w:t>93]</w:t>
      </w:r>
      <w:r w:rsidR="00E20495" w:rsidRPr="006B24DA">
        <w:rPr>
          <w:rFonts w:ascii="Book Antiqua" w:hAnsi="Book Antiqua" w:cs="Times New Roman"/>
          <w:color w:val="000000" w:themeColor="text1"/>
          <w:sz w:val="24"/>
          <w:szCs w:val="24"/>
        </w:rPr>
        <w:t>.</w:t>
      </w:r>
      <w:r w:rsidR="00D33133" w:rsidRPr="006B24DA">
        <w:rPr>
          <w:rFonts w:ascii="Book Antiqua" w:hAnsi="Book Antiqua" w:cs="Times New Roman"/>
          <w:color w:val="000000" w:themeColor="text1"/>
          <w:sz w:val="24"/>
          <w:szCs w:val="24"/>
        </w:rPr>
        <w:t xml:space="preserve"> </w:t>
      </w:r>
      <w:r w:rsidR="00E20495" w:rsidRPr="006B24DA">
        <w:rPr>
          <w:rFonts w:ascii="Book Antiqua" w:hAnsi="Book Antiqua" w:cs="Times New Roman"/>
          <w:color w:val="000000" w:themeColor="text1"/>
          <w:sz w:val="24"/>
          <w:szCs w:val="24"/>
        </w:rPr>
        <w:t>This was followed by an initial series of 50 Barrett’s patients in whom 78% achieved complete remission after a median of 3.5 APC sessions with a stricture rate of 2</w:t>
      </w:r>
      <w:proofErr w:type="gramStart"/>
      <w:r w:rsidR="00E20495" w:rsidRPr="006B24DA">
        <w:rPr>
          <w:rFonts w:ascii="Book Antiqua" w:hAnsi="Book Antiqua" w:cs="Times New Roman"/>
          <w:color w:val="000000" w:themeColor="text1"/>
          <w:sz w:val="24"/>
          <w:szCs w:val="24"/>
        </w:rPr>
        <w:t>%</w:t>
      </w:r>
      <w:r w:rsidR="00E20495" w:rsidRPr="006B24DA">
        <w:rPr>
          <w:rFonts w:ascii="Book Antiqua" w:hAnsi="Book Antiqua" w:cs="Times New Roman"/>
          <w:noProof/>
          <w:color w:val="000000" w:themeColor="text1"/>
          <w:sz w:val="24"/>
          <w:szCs w:val="24"/>
          <w:vertAlign w:val="superscript"/>
        </w:rPr>
        <w:t>[</w:t>
      </w:r>
      <w:proofErr w:type="gramEnd"/>
      <w:r w:rsidR="00E20495" w:rsidRPr="006B24DA">
        <w:rPr>
          <w:rFonts w:ascii="Book Antiqua" w:hAnsi="Book Antiqua" w:cs="Times New Roman"/>
          <w:noProof/>
          <w:color w:val="000000" w:themeColor="text1"/>
          <w:sz w:val="24"/>
          <w:szCs w:val="24"/>
          <w:vertAlign w:val="superscript"/>
        </w:rPr>
        <w:t>94]</w:t>
      </w:r>
      <w:r w:rsidR="00E20495" w:rsidRPr="006B24DA">
        <w:rPr>
          <w:rFonts w:ascii="Book Antiqua" w:hAnsi="Book Antiqua" w:cs="Times New Roman"/>
          <w:color w:val="000000" w:themeColor="text1"/>
          <w:sz w:val="24"/>
          <w:szCs w:val="24"/>
        </w:rPr>
        <w:t xml:space="preserve">. We recently presented our initial </w:t>
      </w:r>
      <w:r w:rsidR="0042443F" w:rsidRPr="006B24DA">
        <w:rPr>
          <w:rFonts w:ascii="Book Antiqua" w:hAnsi="Book Antiqua" w:cs="Times New Roman"/>
          <w:color w:val="000000" w:themeColor="text1"/>
          <w:sz w:val="24"/>
          <w:szCs w:val="24"/>
        </w:rPr>
        <w:t xml:space="preserve">Hybrid APC </w:t>
      </w:r>
      <w:r w:rsidR="00E20495" w:rsidRPr="006B24DA">
        <w:rPr>
          <w:rFonts w:ascii="Book Antiqua" w:hAnsi="Book Antiqua" w:cs="Times New Roman"/>
          <w:color w:val="000000" w:themeColor="text1"/>
          <w:sz w:val="24"/>
          <w:szCs w:val="24"/>
        </w:rPr>
        <w:t>series of 17 patients with biopsy proven non-dysplas</w:t>
      </w:r>
      <w:r w:rsidRPr="006B24DA">
        <w:rPr>
          <w:rFonts w:ascii="Book Antiqua" w:hAnsi="Book Antiqua" w:cs="Times New Roman"/>
          <w:color w:val="000000" w:themeColor="text1"/>
          <w:sz w:val="24"/>
          <w:szCs w:val="24"/>
        </w:rPr>
        <w:t xml:space="preserve">tic </w:t>
      </w:r>
      <w:r w:rsidR="00D4044E" w:rsidRPr="006B24DA">
        <w:rPr>
          <w:rFonts w:ascii="Book Antiqua" w:hAnsi="Book Antiqua" w:cs="Times New Roman"/>
          <w:color w:val="000000" w:themeColor="text1"/>
          <w:sz w:val="24"/>
          <w:szCs w:val="24"/>
        </w:rPr>
        <w:t>BE</w:t>
      </w:r>
      <w:r w:rsidRPr="006B24DA">
        <w:rPr>
          <w:rFonts w:ascii="Book Antiqua" w:hAnsi="Book Antiqua" w:cs="Times New Roman"/>
          <w:color w:val="000000" w:themeColor="text1"/>
          <w:sz w:val="24"/>
          <w:szCs w:val="24"/>
        </w:rPr>
        <w:t xml:space="preserve"> (NDBE) </w:t>
      </w:r>
      <w:r w:rsidR="00E20495" w:rsidRPr="006B24DA">
        <w:rPr>
          <w:rFonts w:ascii="Book Antiqua" w:hAnsi="Book Antiqua" w:cs="Times New Roman"/>
          <w:color w:val="000000" w:themeColor="text1"/>
          <w:sz w:val="24"/>
          <w:szCs w:val="24"/>
        </w:rPr>
        <w:t>59%,</w:t>
      </w:r>
      <w:r w:rsidR="00D33133" w:rsidRPr="006B24DA">
        <w:rPr>
          <w:rFonts w:ascii="Book Antiqua" w:hAnsi="Book Antiqua" w:cs="Times New Roman"/>
          <w:color w:val="000000" w:themeColor="text1"/>
          <w:sz w:val="24"/>
          <w:szCs w:val="24"/>
        </w:rPr>
        <w:t xml:space="preserve"> </w:t>
      </w:r>
      <w:bookmarkStart w:id="61" w:name="_Hlk530757065"/>
      <w:r w:rsidR="00E20495" w:rsidRPr="006B24DA">
        <w:rPr>
          <w:rFonts w:ascii="Book Antiqua" w:hAnsi="Book Antiqua" w:cs="Times New Roman"/>
          <w:color w:val="000000" w:themeColor="text1"/>
          <w:sz w:val="24"/>
          <w:szCs w:val="24"/>
        </w:rPr>
        <w:t xml:space="preserve">low grade dysplasia </w:t>
      </w:r>
      <w:bookmarkEnd w:id="61"/>
      <w:r w:rsidR="00E20495" w:rsidRPr="006B24DA">
        <w:rPr>
          <w:rFonts w:ascii="Book Antiqua" w:hAnsi="Book Antiqua" w:cs="Times New Roman"/>
          <w:color w:val="000000" w:themeColor="text1"/>
          <w:sz w:val="24"/>
          <w:szCs w:val="24"/>
        </w:rPr>
        <w:t>18% and</w:t>
      </w:r>
      <w:r w:rsidR="00D33133" w:rsidRPr="006B24DA">
        <w:rPr>
          <w:rFonts w:ascii="Book Antiqua" w:hAnsi="Book Antiqua" w:cs="Times New Roman"/>
          <w:color w:val="000000" w:themeColor="text1"/>
          <w:sz w:val="24"/>
          <w:szCs w:val="24"/>
        </w:rPr>
        <w:t xml:space="preserve"> </w:t>
      </w:r>
      <w:bookmarkStart w:id="62" w:name="_Hlk530757412"/>
      <w:r w:rsidR="00D25085" w:rsidRPr="006B24DA">
        <w:rPr>
          <w:rFonts w:ascii="Book Antiqua" w:hAnsi="Book Antiqua" w:cs="Times New Roman"/>
          <w:color w:val="000000" w:themeColor="text1"/>
          <w:sz w:val="24"/>
          <w:szCs w:val="24"/>
        </w:rPr>
        <w:t>HGD</w:t>
      </w:r>
      <w:r w:rsidR="00E20495" w:rsidRPr="006B24DA">
        <w:rPr>
          <w:rFonts w:ascii="Book Antiqua" w:hAnsi="Book Antiqua" w:cs="Times New Roman"/>
          <w:color w:val="000000" w:themeColor="text1"/>
          <w:sz w:val="24"/>
          <w:szCs w:val="24"/>
        </w:rPr>
        <w:t xml:space="preserve"> </w:t>
      </w:r>
      <w:bookmarkEnd w:id="62"/>
      <w:r w:rsidR="00E20495" w:rsidRPr="006B24DA">
        <w:rPr>
          <w:rFonts w:ascii="Book Antiqua" w:hAnsi="Book Antiqua" w:cs="Times New Roman"/>
          <w:color w:val="000000" w:themeColor="text1"/>
          <w:sz w:val="24"/>
          <w:szCs w:val="24"/>
        </w:rPr>
        <w:t>24</w:t>
      </w:r>
      <w:proofErr w:type="gramStart"/>
      <w:r w:rsidR="00E20495" w:rsidRPr="006B24DA">
        <w:rPr>
          <w:rFonts w:ascii="Book Antiqua" w:hAnsi="Book Antiqua" w:cs="Times New Roman"/>
          <w:color w:val="000000" w:themeColor="text1"/>
          <w:sz w:val="24"/>
          <w:szCs w:val="24"/>
        </w:rPr>
        <w:t>%</w:t>
      </w:r>
      <w:r w:rsidR="00E20495" w:rsidRPr="006B24DA">
        <w:rPr>
          <w:rFonts w:ascii="Book Antiqua" w:hAnsi="Book Antiqua" w:cs="Times New Roman"/>
          <w:noProof/>
          <w:color w:val="000000" w:themeColor="text1"/>
          <w:sz w:val="24"/>
          <w:szCs w:val="24"/>
          <w:vertAlign w:val="superscript"/>
        </w:rPr>
        <w:t>[</w:t>
      </w:r>
      <w:proofErr w:type="gramEnd"/>
      <w:r w:rsidR="00E20495" w:rsidRPr="006B24DA">
        <w:rPr>
          <w:rFonts w:ascii="Book Antiqua" w:hAnsi="Book Antiqua" w:cs="Times New Roman"/>
          <w:noProof/>
          <w:color w:val="000000" w:themeColor="text1"/>
          <w:sz w:val="24"/>
          <w:szCs w:val="24"/>
          <w:vertAlign w:val="superscript"/>
        </w:rPr>
        <w:t>95]</w:t>
      </w:r>
      <w:r w:rsidR="00E20495" w:rsidRPr="006B24DA">
        <w:rPr>
          <w:rFonts w:ascii="Book Antiqua" w:hAnsi="Book Antiqua" w:cs="Times New Roman"/>
          <w:color w:val="000000" w:themeColor="text1"/>
          <w:sz w:val="24"/>
          <w:szCs w:val="24"/>
        </w:rPr>
        <w:t>.</w:t>
      </w:r>
      <w:r w:rsidR="00D33133" w:rsidRPr="006B24DA">
        <w:rPr>
          <w:rFonts w:ascii="Book Antiqua" w:hAnsi="Book Antiqua" w:cs="Times New Roman"/>
          <w:color w:val="000000" w:themeColor="text1"/>
          <w:sz w:val="24"/>
          <w:szCs w:val="24"/>
        </w:rPr>
        <w:t xml:space="preserve"> </w:t>
      </w:r>
      <w:r w:rsidR="00E20495" w:rsidRPr="006B24DA">
        <w:rPr>
          <w:rFonts w:ascii="Book Antiqua" w:hAnsi="Book Antiqua" w:cs="Times New Roman"/>
          <w:color w:val="000000" w:themeColor="text1"/>
          <w:sz w:val="24"/>
          <w:szCs w:val="24"/>
        </w:rPr>
        <w:t xml:space="preserve">Of these patients, 59% had undergone prior RFA, 18% prior EMR, 12% prior cryotherapy and 35% were naive. The average procedure time was 21 </w:t>
      </w:r>
      <w:r w:rsidR="00A00023">
        <w:rPr>
          <w:rFonts w:ascii="Book Antiqua" w:hAnsi="Book Antiqua" w:cs="Times New Roman"/>
          <w:color w:val="000000" w:themeColor="text1"/>
          <w:sz w:val="24"/>
          <w:szCs w:val="24"/>
        </w:rPr>
        <w:t>min</w:t>
      </w:r>
      <w:r w:rsidR="00E20495" w:rsidRPr="006B24DA">
        <w:rPr>
          <w:rFonts w:ascii="Book Antiqua" w:hAnsi="Book Antiqua" w:cs="Times New Roman"/>
          <w:color w:val="000000" w:themeColor="text1"/>
          <w:sz w:val="24"/>
          <w:szCs w:val="24"/>
        </w:rPr>
        <w:t>.</w:t>
      </w:r>
      <w:r w:rsidR="00D33133" w:rsidRPr="006B24DA">
        <w:rPr>
          <w:rFonts w:ascii="Book Antiqua" w:hAnsi="Book Antiqua" w:cs="Times New Roman"/>
          <w:color w:val="000000" w:themeColor="text1"/>
          <w:sz w:val="24"/>
          <w:szCs w:val="24"/>
        </w:rPr>
        <w:t xml:space="preserve"> </w:t>
      </w:r>
      <w:r w:rsidR="00E20495" w:rsidRPr="006B24DA">
        <w:rPr>
          <w:rFonts w:ascii="Book Antiqua" w:hAnsi="Book Antiqua" w:cs="Times New Roman"/>
          <w:color w:val="000000" w:themeColor="text1"/>
          <w:sz w:val="24"/>
          <w:szCs w:val="24"/>
        </w:rPr>
        <w:t xml:space="preserve">The pain scores were low (2.39 at day 1, </w:t>
      </w:r>
      <w:r w:rsidR="00E20495" w:rsidRPr="006B24DA">
        <w:rPr>
          <w:rFonts w:ascii="Book Antiqua" w:hAnsi="Book Antiqua" w:cs="Times New Roman"/>
          <w:color w:val="000000" w:themeColor="text1"/>
          <w:sz w:val="24"/>
          <w:szCs w:val="24"/>
        </w:rPr>
        <w:lastRenderedPageBreak/>
        <w:t>and 0.42 on day 7) with only one treatment-related stricture (4.2%).</w:t>
      </w:r>
      <w:r w:rsidR="00D33133" w:rsidRPr="006B24DA">
        <w:rPr>
          <w:rFonts w:ascii="Book Antiqua" w:hAnsi="Book Antiqua" w:cs="Times New Roman"/>
          <w:color w:val="000000" w:themeColor="text1"/>
          <w:sz w:val="24"/>
          <w:szCs w:val="24"/>
        </w:rPr>
        <w:t xml:space="preserve"> </w:t>
      </w:r>
      <w:r w:rsidR="00E20495" w:rsidRPr="006B24DA">
        <w:rPr>
          <w:rFonts w:ascii="Book Antiqua" w:hAnsi="Book Antiqua" w:cs="Times New Roman"/>
          <w:color w:val="000000" w:themeColor="text1"/>
          <w:sz w:val="24"/>
          <w:szCs w:val="24"/>
        </w:rPr>
        <w:t xml:space="preserve">Our protocol has been modified from the European reports, in that we utilize an EMR cap in order to provide stable visibility and precise focal distance for application of APC </w:t>
      </w:r>
      <w:r w:rsidR="005D4219" w:rsidRPr="006B24DA">
        <w:rPr>
          <w:rFonts w:ascii="Book Antiqua" w:hAnsi="Book Antiqua" w:cs="Times New Roman"/>
          <w:color w:val="000000" w:themeColor="text1"/>
          <w:sz w:val="24"/>
          <w:szCs w:val="24"/>
        </w:rPr>
        <w:t>(Figure 19</w:t>
      </w:r>
      <w:r w:rsidR="00E20495" w:rsidRPr="006B24DA">
        <w:rPr>
          <w:rFonts w:ascii="Book Antiqua" w:hAnsi="Book Antiqua" w:cs="Times New Roman"/>
          <w:color w:val="000000" w:themeColor="text1"/>
          <w:sz w:val="24"/>
          <w:szCs w:val="24"/>
        </w:rPr>
        <w:t xml:space="preserve">). After submucosal injection of saline </w:t>
      </w:r>
      <w:r w:rsidR="005D4219" w:rsidRPr="006B24DA">
        <w:rPr>
          <w:rFonts w:ascii="Book Antiqua" w:hAnsi="Book Antiqua" w:cs="Times New Roman"/>
          <w:color w:val="000000" w:themeColor="text1"/>
          <w:sz w:val="24"/>
          <w:szCs w:val="24"/>
        </w:rPr>
        <w:t>(Figure 19</w:t>
      </w:r>
      <w:r w:rsidR="00E20495" w:rsidRPr="006B24DA">
        <w:rPr>
          <w:rFonts w:ascii="Book Antiqua" w:hAnsi="Book Antiqua" w:cs="Times New Roman"/>
          <w:color w:val="000000" w:themeColor="text1"/>
          <w:sz w:val="24"/>
          <w:szCs w:val="24"/>
        </w:rPr>
        <w:t xml:space="preserve">B), APC is applied evenly to all visible Barrett’s areas </w:t>
      </w:r>
      <w:r w:rsidR="005D4219" w:rsidRPr="006B24DA">
        <w:rPr>
          <w:rFonts w:ascii="Book Antiqua" w:hAnsi="Book Antiqua" w:cs="Times New Roman"/>
          <w:color w:val="000000" w:themeColor="text1"/>
          <w:sz w:val="24"/>
          <w:szCs w:val="24"/>
        </w:rPr>
        <w:t>(Figure 19</w:t>
      </w:r>
      <w:r w:rsidRPr="006B24DA">
        <w:rPr>
          <w:rFonts w:ascii="Book Antiqua" w:hAnsi="Book Antiqua" w:cs="Times New Roman"/>
          <w:color w:val="000000" w:themeColor="text1"/>
          <w:sz w:val="24"/>
          <w:szCs w:val="24"/>
        </w:rPr>
        <w:t xml:space="preserve">C and </w:t>
      </w:r>
      <w:r w:rsidR="00E20495" w:rsidRPr="006B24DA">
        <w:rPr>
          <w:rFonts w:ascii="Book Antiqua" w:hAnsi="Book Antiqua" w:cs="Times New Roman"/>
          <w:color w:val="000000" w:themeColor="text1"/>
          <w:sz w:val="24"/>
          <w:szCs w:val="24"/>
        </w:rPr>
        <w:t>D).</w:t>
      </w:r>
      <w:r w:rsidR="00D33133" w:rsidRPr="006B24DA">
        <w:rPr>
          <w:rFonts w:ascii="Book Antiqua" w:hAnsi="Book Antiqua" w:cs="Times New Roman"/>
          <w:color w:val="000000" w:themeColor="text1"/>
          <w:sz w:val="24"/>
          <w:szCs w:val="24"/>
        </w:rPr>
        <w:t xml:space="preserve"> </w:t>
      </w:r>
      <w:r w:rsidR="00E20495" w:rsidRPr="006B24DA">
        <w:rPr>
          <w:rFonts w:ascii="Book Antiqua" w:hAnsi="Book Antiqua" w:cs="Times New Roman"/>
          <w:color w:val="000000" w:themeColor="text1"/>
          <w:sz w:val="24"/>
          <w:szCs w:val="24"/>
        </w:rPr>
        <w:t xml:space="preserve">Then after removing the coagulated tissue using the ESD cap and washing (with scope water jet), this is followed by a second application of APC at a lower energy setting </w:t>
      </w:r>
      <w:r w:rsidR="005D4219" w:rsidRPr="006B24DA">
        <w:rPr>
          <w:rFonts w:ascii="Book Antiqua" w:hAnsi="Book Antiqua" w:cs="Times New Roman"/>
          <w:color w:val="000000" w:themeColor="text1"/>
          <w:sz w:val="24"/>
          <w:szCs w:val="24"/>
        </w:rPr>
        <w:t>(Figure 19</w:t>
      </w:r>
      <w:r w:rsidRPr="006B24DA">
        <w:rPr>
          <w:rFonts w:ascii="Book Antiqua" w:hAnsi="Book Antiqua" w:cs="Times New Roman"/>
          <w:color w:val="000000" w:themeColor="text1"/>
          <w:sz w:val="24"/>
          <w:szCs w:val="24"/>
        </w:rPr>
        <w:t>F and</w:t>
      </w:r>
      <w:r w:rsidR="00E20495" w:rsidRPr="006B24DA">
        <w:rPr>
          <w:rFonts w:ascii="Book Antiqua" w:hAnsi="Book Antiqua" w:cs="Times New Roman"/>
          <w:color w:val="000000" w:themeColor="text1"/>
          <w:sz w:val="24"/>
          <w:szCs w:val="24"/>
        </w:rPr>
        <w:t xml:space="preserve"> G).</w:t>
      </w:r>
      <w:r w:rsidR="00D33133" w:rsidRPr="006B24DA">
        <w:rPr>
          <w:rFonts w:ascii="Book Antiqua" w:hAnsi="Book Antiqua" w:cs="Times New Roman"/>
          <w:color w:val="000000" w:themeColor="text1"/>
          <w:sz w:val="24"/>
          <w:szCs w:val="24"/>
        </w:rPr>
        <w:t xml:space="preserve"> </w:t>
      </w:r>
      <w:r w:rsidR="00E20495" w:rsidRPr="006B24DA">
        <w:rPr>
          <w:rFonts w:ascii="Book Antiqua" w:hAnsi="Book Antiqua" w:cs="Times New Roman"/>
          <w:color w:val="000000" w:themeColor="text1"/>
          <w:sz w:val="24"/>
          <w:szCs w:val="24"/>
        </w:rPr>
        <w:t>The final visual result should be a tan colored, dry appearance similar to that achieved after RFA.</w:t>
      </w:r>
      <w:r w:rsidR="00D33133" w:rsidRPr="006B24DA">
        <w:rPr>
          <w:rFonts w:ascii="Book Antiqua" w:hAnsi="Book Antiqua" w:cs="Times New Roman"/>
          <w:color w:val="000000" w:themeColor="text1"/>
          <w:sz w:val="24"/>
          <w:szCs w:val="24"/>
        </w:rPr>
        <w:t xml:space="preserve"> </w:t>
      </w:r>
      <w:r w:rsidR="00E20495" w:rsidRPr="006B24DA">
        <w:rPr>
          <w:rFonts w:ascii="Book Antiqua" w:hAnsi="Book Antiqua" w:cs="Times New Roman"/>
          <w:color w:val="000000" w:themeColor="text1"/>
          <w:sz w:val="24"/>
          <w:szCs w:val="24"/>
        </w:rPr>
        <w:t xml:space="preserve">Long-term outcomes and larger studies are underway. Therefore, while </w:t>
      </w:r>
      <w:r w:rsidR="00E20495" w:rsidRPr="006B24DA">
        <w:rPr>
          <w:rFonts w:ascii="Book Antiqua" w:eastAsia="Times New Roman" w:hAnsi="Book Antiqua" w:cs="Times New Roman"/>
          <w:color w:val="000000" w:themeColor="text1"/>
          <w:sz w:val="24"/>
          <w:szCs w:val="24"/>
        </w:rPr>
        <w:t>RFA remains “king of the hill” as standard of care for flat dysplastic Barrett’s, cryotherapy and Hybrid APC may eventually contend for a subset of Barrett’s patients.</w:t>
      </w:r>
      <w:r w:rsidR="00D33133" w:rsidRPr="006B24DA">
        <w:rPr>
          <w:rFonts w:ascii="Book Antiqua" w:eastAsia="Times New Roman" w:hAnsi="Book Antiqua" w:cs="Times New Roman"/>
          <w:color w:val="000000" w:themeColor="text1"/>
          <w:sz w:val="24"/>
          <w:szCs w:val="24"/>
        </w:rPr>
        <w:t xml:space="preserve"> </w:t>
      </w:r>
      <w:r w:rsidR="00E20495" w:rsidRPr="006B24DA">
        <w:rPr>
          <w:rFonts w:ascii="Book Antiqua" w:eastAsia="Times New Roman" w:hAnsi="Book Antiqua" w:cs="Times New Roman"/>
          <w:color w:val="000000" w:themeColor="text1"/>
          <w:sz w:val="24"/>
          <w:szCs w:val="24"/>
        </w:rPr>
        <w:t xml:space="preserve">I predict that spray cryotherapy may be useful in patients with nodular dysplasia or early cancer that are not suitable candidates for resection techniques (severe scarring, </w:t>
      </w:r>
      <w:r w:rsidR="00E20495" w:rsidRPr="006B24DA">
        <w:rPr>
          <w:rFonts w:ascii="Book Antiqua" w:eastAsia="Times New Roman" w:hAnsi="Book Antiqua" w:cs="Times New Roman"/>
          <w:i/>
          <w:iCs/>
          <w:color w:val="000000" w:themeColor="text1"/>
          <w:sz w:val="24"/>
          <w:szCs w:val="24"/>
        </w:rPr>
        <w:t>etc.</w:t>
      </w:r>
      <w:r w:rsidR="00E20495" w:rsidRPr="006B24DA">
        <w:rPr>
          <w:rFonts w:ascii="Book Antiqua" w:eastAsia="Times New Roman" w:hAnsi="Book Antiqua" w:cs="Times New Roman"/>
          <w:color w:val="000000" w:themeColor="text1"/>
          <w:sz w:val="24"/>
          <w:szCs w:val="24"/>
        </w:rPr>
        <w:t>), while balloon cryotherapy and Hybrid APC may be viable options for patients with short segment Barrett’s and for focal “touch-up” treatments. Capital equipment and disposable accessory costs may become a deciding factor if outcomes are equi</w:t>
      </w:r>
      <w:r w:rsidR="00D25085" w:rsidRPr="006B24DA">
        <w:rPr>
          <w:rFonts w:ascii="Book Antiqua" w:eastAsia="Times New Roman" w:hAnsi="Book Antiqua" w:cs="Times New Roman"/>
          <w:color w:val="000000" w:themeColor="text1"/>
          <w:sz w:val="24"/>
          <w:szCs w:val="24"/>
        </w:rPr>
        <w:t>valent.</w:t>
      </w:r>
    </w:p>
    <w:p w14:paraId="0367D5A8" w14:textId="237C059D" w:rsidR="00E20495" w:rsidRPr="006B24DA" w:rsidRDefault="00D25085" w:rsidP="007761C0">
      <w:pPr>
        <w:autoSpaceDE w:val="0"/>
        <w:autoSpaceDN w:val="0"/>
        <w:adjustRightInd w:val="0"/>
        <w:snapToGrid w:val="0"/>
        <w:spacing w:after="0" w:line="360" w:lineRule="auto"/>
        <w:jc w:val="both"/>
        <w:rPr>
          <w:rFonts w:ascii="Book Antiqua" w:eastAsia="Times New Roman" w:hAnsi="Book Antiqua" w:cs="Times New Roman"/>
          <w:bCs/>
          <w:color w:val="000000" w:themeColor="text1"/>
          <w:sz w:val="24"/>
          <w:szCs w:val="24"/>
        </w:rPr>
      </w:pPr>
      <w:r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Any nodular lesion should be treated, if possible, by endoscopic resection.</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This is mostly accomplished with </w:t>
      </w:r>
      <w:r w:rsidR="00966E42" w:rsidRPr="006B24DA">
        <w:rPr>
          <w:rFonts w:ascii="Book Antiqua" w:eastAsia="Times New Roman" w:hAnsi="Book Antiqua" w:cs="Times New Roman"/>
          <w:bCs/>
          <w:color w:val="000000" w:themeColor="text1"/>
          <w:sz w:val="24"/>
          <w:szCs w:val="24"/>
        </w:rPr>
        <w:t>EMR</w:t>
      </w:r>
      <w:r w:rsidR="00E20495" w:rsidRPr="006B24DA">
        <w:rPr>
          <w:rFonts w:ascii="Book Antiqua" w:eastAsia="Times New Roman" w:hAnsi="Book Antiqua" w:cs="Times New Roman"/>
          <w:bCs/>
          <w:color w:val="000000" w:themeColor="text1"/>
          <w:sz w:val="24"/>
          <w:szCs w:val="24"/>
        </w:rPr>
        <w:t>, often requiring multiple piecemeal resections.</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Some drawbacks of piecemeal EMR include depth of resection and inability to adequately determine resection margins.</w:t>
      </w:r>
      <w:r w:rsidR="00D33133" w:rsidRPr="006B24DA">
        <w:rPr>
          <w:rFonts w:ascii="Book Antiqua" w:eastAsia="Times New Roman" w:hAnsi="Book Antiqua" w:cs="Times New Roman"/>
          <w:bCs/>
          <w:color w:val="000000" w:themeColor="text1"/>
          <w:sz w:val="24"/>
          <w:szCs w:val="24"/>
        </w:rPr>
        <w:t xml:space="preserve"> </w:t>
      </w:r>
      <w:r w:rsidR="003008EF" w:rsidRPr="006B24DA">
        <w:rPr>
          <w:rFonts w:ascii="Book Antiqua" w:eastAsia="Times New Roman" w:hAnsi="Book Antiqua" w:cs="Times New Roman"/>
          <w:bCs/>
          <w:color w:val="000000" w:themeColor="text1"/>
          <w:sz w:val="24"/>
          <w:szCs w:val="24"/>
        </w:rPr>
        <w:t>Endoscopic Submucosal Dissection (</w:t>
      </w:r>
      <w:r w:rsidR="00F67887" w:rsidRPr="006B24DA">
        <w:rPr>
          <w:rFonts w:ascii="Book Antiqua" w:eastAsia="Times New Roman" w:hAnsi="Book Antiqua" w:cs="Times New Roman"/>
          <w:bCs/>
          <w:color w:val="000000" w:themeColor="text1"/>
          <w:sz w:val="24"/>
          <w:szCs w:val="24"/>
        </w:rPr>
        <w:t>ESD</w:t>
      </w:r>
      <w:r w:rsidR="003008EF" w:rsidRPr="006B24DA">
        <w:rPr>
          <w:rFonts w:ascii="Book Antiqua" w:eastAsia="Times New Roman" w:hAnsi="Book Antiqua" w:cs="Times New Roman"/>
          <w:bCs/>
          <w:color w:val="000000" w:themeColor="text1"/>
          <w:sz w:val="24"/>
          <w:szCs w:val="24"/>
        </w:rPr>
        <w:t>)</w:t>
      </w:r>
      <w:r w:rsidR="00E20495" w:rsidRPr="006B24DA">
        <w:rPr>
          <w:rFonts w:ascii="Book Antiqua" w:eastAsia="Times New Roman" w:hAnsi="Book Antiqua" w:cs="Times New Roman"/>
          <w:bCs/>
          <w:color w:val="000000" w:themeColor="text1"/>
          <w:sz w:val="24"/>
          <w:szCs w:val="24"/>
        </w:rPr>
        <w:t xml:space="preserve"> while initially developed for gastric and then colonic lesions, is now being used more frequently for early esophageal cancer.</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The indications for ESD in esophageal squamous cancer include:</w:t>
      </w:r>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HGD</w:t>
      </w:r>
      <w:r w:rsidR="00E20495" w:rsidRPr="006B24DA">
        <w:rPr>
          <w:rFonts w:ascii="Book Antiqua" w:eastAsia="Times New Roman" w:hAnsi="Book Antiqua" w:cs="Times New Roman"/>
          <w:bCs/>
          <w:color w:val="000000" w:themeColor="text1"/>
          <w:sz w:val="24"/>
          <w:szCs w:val="24"/>
        </w:rPr>
        <w:t xml:space="preserve"> to well (G1) to moderately (G2) differentiated, Paris 0</w:t>
      </w:r>
      <w:r w:rsidR="00966E42" w:rsidRPr="006B24DA">
        <w:rPr>
          <w:rFonts w:ascii="Book Antiqua" w:eastAsia="Times New Roman" w:hAnsi="Book Antiqua" w:cs="Times New Roman"/>
          <w:bCs/>
          <w:color w:val="000000" w:themeColor="text1"/>
          <w:sz w:val="24"/>
          <w:szCs w:val="24"/>
        </w:rPr>
        <w:t>-</w:t>
      </w:r>
      <w:r w:rsidR="00E20495" w:rsidRPr="006B24DA">
        <w:rPr>
          <w:rFonts w:ascii="Book Antiqua" w:eastAsia="Times New Roman" w:hAnsi="Book Antiqua" w:cs="Times New Roman"/>
          <w:bCs/>
          <w:color w:val="000000" w:themeColor="text1"/>
          <w:sz w:val="24"/>
          <w:szCs w:val="24"/>
        </w:rPr>
        <w:t>II lesions, with suspected superficial invasion (m1</w:t>
      </w:r>
      <w:r w:rsidR="00966E42" w:rsidRPr="006B24DA">
        <w:rPr>
          <w:rFonts w:ascii="Book Antiqua" w:eastAsia="Times New Roman" w:hAnsi="Book Antiqua" w:cs="Times New Roman"/>
          <w:bCs/>
          <w:color w:val="000000" w:themeColor="text1"/>
          <w:sz w:val="24"/>
          <w:szCs w:val="24"/>
        </w:rPr>
        <w:t>-</w:t>
      </w:r>
      <w:r w:rsidR="00E20495" w:rsidRPr="006B24DA">
        <w:rPr>
          <w:rFonts w:ascii="Book Antiqua" w:eastAsia="Times New Roman" w:hAnsi="Book Antiqua" w:cs="Times New Roman"/>
          <w:bCs/>
          <w:color w:val="000000" w:themeColor="text1"/>
          <w:sz w:val="24"/>
          <w:szCs w:val="24"/>
        </w:rPr>
        <w:t xml:space="preserve">m2) with two thirds or less of the esophageal circumference </w:t>
      </w:r>
      <w:proofErr w:type="gramStart"/>
      <w:r w:rsidR="00E20495" w:rsidRPr="006B24DA">
        <w:rPr>
          <w:rFonts w:ascii="Book Antiqua" w:eastAsia="Times New Roman" w:hAnsi="Book Antiqua" w:cs="Times New Roman"/>
          <w:bCs/>
          <w:color w:val="000000" w:themeColor="text1"/>
          <w:sz w:val="24"/>
          <w:szCs w:val="24"/>
        </w:rPr>
        <w:t>involved</w:t>
      </w:r>
      <w:r w:rsidR="00E20495" w:rsidRPr="006B24DA">
        <w:rPr>
          <w:rFonts w:ascii="Book Antiqua" w:eastAsia="Times New Roman" w:hAnsi="Book Antiqua" w:cs="Times New Roman"/>
          <w:bCs/>
          <w:noProof/>
          <w:color w:val="000000" w:themeColor="text1"/>
          <w:sz w:val="24"/>
          <w:szCs w:val="24"/>
          <w:vertAlign w:val="superscript"/>
        </w:rPr>
        <w:t>[</w:t>
      </w:r>
      <w:proofErr w:type="gramEnd"/>
      <w:r w:rsidR="00E20495" w:rsidRPr="006B24DA">
        <w:rPr>
          <w:rFonts w:ascii="Book Antiqua" w:eastAsia="Times New Roman" w:hAnsi="Book Antiqua" w:cs="Times New Roman"/>
          <w:bCs/>
          <w:noProof/>
          <w:color w:val="000000" w:themeColor="text1"/>
          <w:sz w:val="24"/>
          <w:szCs w:val="24"/>
          <w:vertAlign w:val="superscript"/>
        </w:rPr>
        <w:t>96]</w:t>
      </w:r>
      <w:r w:rsidR="00E20495" w:rsidRPr="006B24DA">
        <w:rPr>
          <w:rFonts w:ascii="Book Antiqua" w:eastAsia="Times New Roman" w:hAnsi="Book Antiqua" w:cs="Times New Roman"/>
          <w:bCs/>
          <w:color w:val="000000" w:themeColor="text1"/>
          <w:sz w:val="24"/>
          <w:szCs w:val="24"/>
        </w:rPr>
        <w:t>.</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The expanded indications include m3 or </w:t>
      </w:r>
      <w:proofErr w:type="spellStart"/>
      <w:r w:rsidR="00E20495" w:rsidRPr="006B24DA">
        <w:rPr>
          <w:rFonts w:ascii="Book Antiqua" w:eastAsia="Times New Roman" w:hAnsi="Book Antiqua" w:cs="Times New Roman"/>
          <w:bCs/>
          <w:color w:val="000000" w:themeColor="text1"/>
          <w:sz w:val="24"/>
          <w:szCs w:val="24"/>
        </w:rPr>
        <w:t>sm</w:t>
      </w:r>
      <w:proofErr w:type="spellEnd"/>
      <w:r w:rsidR="00E20495" w:rsidRPr="006B24DA">
        <w:rPr>
          <w:rFonts w:ascii="Book Antiqua" w:eastAsia="Times New Roman" w:hAnsi="Book Antiqua" w:cs="Times New Roman"/>
          <w:bCs/>
          <w:color w:val="000000" w:themeColor="text1"/>
          <w:sz w:val="24"/>
          <w:szCs w:val="24"/>
        </w:rPr>
        <w:t xml:space="preserve"> &lt;</w:t>
      </w:r>
      <w:r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200 micron involvement, any size, with clinically N0</w:t>
      </w:r>
      <w:r w:rsidR="00E20495" w:rsidRPr="006B24DA" w:rsidDel="00E26038">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staging.</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While the role for ESD in early </w:t>
      </w:r>
      <w:bookmarkStart w:id="63" w:name="OLE_LINK73"/>
      <w:r w:rsidR="00E20495" w:rsidRPr="006B24DA">
        <w:rPr>
          <w:rFonts w:ascii="Book Antiqua" w:eastAsia="Times New Roman" w:hAnsi="Book Antiqua" w:cs="Times New Roman"/>
          <w:bCs/>
          <w:color w:val="000000" w:themeColor="text1"/>
          <w:sz w:val="24"/>
          <w:szCs w:val="24"/>
        </w:rPr>
        <w:t>esophageal squamous cell carcinoma</w:t>
      </w:r>
      <w:bookmarkEnd w:id="63"/>
      <w:r w:rsidR="00E20495" w:rsidRPr="006B24DA">
        <w:rPr>
          <w:rFonts w:ascii="Book Antiqua" w:eastAsia="Times New Roman" w:hAnsi="Book Antiqua" w:cs="Times New Roman"/>
          <w:bCs/>
          <w:color w:val="000000" w:themeColor="text1"/>
          <w:sz w:val="24"/>
          <w:szCs w:val="24"/>
        </w:rPr>
        <w:t xml:space="preserve"> (ESCC) is well established, the role of ESD for esophageal adenocarcinoma (EAC) arising from </w:t>
      </w:r>
      <w:r w:rsidR="00D4044E" w:rsidRPr="006B24DA">
        <w:rPr>
          <w:rFonts w:ascii="Book Antiqua" w:eastAsia="Times New Roman" w:hAnsi="Book Antiqua" w:cs="Times New Roman"/>
          <w:bCs/>
          <w:color w:val="000000" w:themeColor="text1"/>
          <w:sz w:val="24"/>
          <w:szCs w:val="24"/>
        </w:rPr>
        <w:t>BE</w:t>
      </w:r>
      <w:r w:rsidR="00E20495" w:rsidRPr="006B24DA">
        <w:rPr>
          <w:rFonts w:ascii="Book Antiqua" w:eastAsia="Times New Roman" w:hAnsi="Book Antiqua" w:cs="Times New Roman"/>
          <w:bCs/>
          <w:color w:val="000000" w:themeColor="text1"/>
          <w:sz w:val="24"/>
          <w:szCs w:val="24"/>
        </w:rPr>
        <w:t xml:space="preserve"> has been less studied until recently.</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This can be attributed to the low incidence of Barrett’s associated cancer in Asia and the </w:t>
      </w:r>
      <w:r w:rsidR="00E20495" w:rsidRPr="006B24DA">
        <w:rPr>
          <w:rFonts w:ascii="Book Antiqua" w:eastAsia="Times New Roman" w:hAnsi="Book Antiqua" w:cs="Times New Roman"/>
          <w:bCs/>
          <w:color w:val="000000" w:themeColor="text1"/>
          <w:sz w:val="24"/>
          <w:szCs w:val="24"/>
        </w:rPr>
        <w:lastRenderedPageBreak/>
        <w:t xml:space="preserve">relatively recent adoption of ESD by </w:t>
      </w:r>
      <w:proofErr w:type="spellStart"/>
      <w:r w:rsidR="00E20495" w:rsidRPr="006B24DA">
        <w:rPr>
          <w:rFonts w:ascii="Book Antiqua" w:eastAsia="Times New Roman" w:hAnsi="Book Antiqua" w:cs="Times New Roman"/>
          <w:bCs/>
          <w:color w:val="000000" w:themeColor="text1"/>
          <w:sz w:val="24"/>
          <w:szCs w:val="24"/>
        </w:rPr>
        <w:t>endoscopists</w:t>
      </w:r>
      <w:proofErr w:type="spellEnd"/>
      <w:r w:rsidR="00E20495" w:rsidRPr="006B24DA">
        <w:rPr>
          <w:rFonts w:ascii="Book Antiqua" w:eastAsia="Times New Roman" w:hAnsi="Book Antiqua" w:cs="Times New Roman"/>
          <w:bCs/>
          <w:color w:val="000000" w:themeColor="text1"/>
          <w:sz w:val="24"/>
          <w:szCs w:val="24"/>
        </w:rPr>
        <w:t xml:space="preserve"> in western countries.</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In a recent German study ESD was performed on 111 early esophageal cancers (87 EACs and 24 ESCCs</w:t>
      </w:r>
      <w:proofErr w:type="gramStart"/>
      <w:r w:rsidR="00E20495" w:rsidRPr="006B24DA">
        <w:rPr>
          <w:rFonts w:ascii="Book Antiqua" w:eastAsia="Times New Roman" w:hAnsi="Book Antiqua" w:cs="Times New Roman"/>
          <w:bCs/>
          <w:color w:val="000000" w:themeColor="text1"/>
          <w:sz w:val="24"/>
          <w:szCs w:val="24"/>
        </w:rPr>
        <w:t>)</w:t>
      </w:r>
      <w:r w:rsidR="00E20495" w:rsidRPr="006B24DA">
        <w:rPr>
          <w:rFonts w:ascii="Book Antiqua" w:eastAsia="Times New Roman" w:hAnsi="Book Antiqua" w:cs="Times New Roman"/>
          <w:bCs/>
          <w:noProof/>
          <w:color w:val="000000" w:themeColor="text1"/>
          <w:sz w:val="24"/>
          <w:szCs w:val="24"/>
          <w:vertAlign w:val="superscript"/>
        </w:rPr>
        <w:t>[</w:t>
      </w:r>
      <w:proofErr w:type="gramEnd"/>
      <w:r w:rsidR="00E20495" w:rsidRPr="006B24DA">
        <w:rPr>
          <w:rFonts w:ascii="Book Antiqua" w:eastAsia="Times New Roman" w:hAnsi="Book Antiqua" w:cs="Times New Roman"/>
          <w:bCs/>
          <w:noProof/>
          <w:color w:val="000000" w:themeColor="text1"/>
          <w:sz w:val="24"/>
          <w:szCs w:val="24"/>
          <w:vertAlign w:val="superscript"/>
        </w:rPr>
        <w:t>97]</w:t>
      </w:r>
      <w:r w:rsidR="00E20495" w:rsidRPr="006B24DA">
        <w:rPr>
          <w:rFonts w:ascii="Book Antiqua" w:eastAsia="Times New Roman" w:hAnsi="Book Antiqua" w:cs="Times New Roman"/>
          <w:bCs/>
          <w:color w:val="000000" w:themeColor="text1"/>
          <w:sz w:val="24"/>
          <w:szCs w:val="24"/>
        </w:rPr>
        <w:t xml:space="preserve">. </w:t>
      </w:r>
      <w:proofErr w:type="spellStart"/>
      <w:r w:rsidR="00E20495" w:rsidRPr="006B24DA">
        <w:rPr>
          <w:rFonts w:ascii="Book Antiqua" w:eastAsia="Times New Roman" w:hAnsi="Book Antiqua" w:cs="Times New Roman"/>
          <w:bCs/>
          <w:i/>
          <w:color w:val="000000" w:themeColor="text1"/>
          <w:sz w:val="24"/>
          <w:szCs w:val="24"/>
        </w:rPr>
        <w:t>En</w:t>
      </w:r>
      <w:proofErr w:type="spellEnd"/>
      <w:r w:rsidR="00E20495" w:rsidRPr="006B24DA">
        <w:rPr>
          <w:rFonts w:ascii="Book Antiqua" w:eastAsia="Times New Roman" w:hAnsi="Book Antiqua" w:cs="Times New Roman"/>
          <w:bCs/>
          <w:i/>
          <w:color w:val="000000" w:themeColor="text1"/>
          <w:sz w:val="24"/>
          <w:szCs w:val="24"/>
        </w:rPr>
        <w:t xml:space="preserve"> bloc </w:t>
      </w:r>
      <w:r w:rsidR="00E20495" w:rsidRPr="006B24DA">
        <w:rPr>
          <w:rFonts w:ascii="Book Antiqua" w:eastAsia="Times New Roman" w:hAnsi="Book Antiqua" w:cs="Times New Roman"/>
          <w:bCs/>
          <w:color w:val="000000" w:themeColor="text1"/>
          <w:sz w:val="24"/>
          <w:szCs w:val="24"/>
        </w:rPr>
        <w:t>resection rates were 95.4% for EAC and 100% for ESCC (</w:t>
      </w:r>
      <w:r w:rsidR="00E20495" w:rsidRPr="006B24DA">
        <w:rPr>
          <w:rFonts w:ascii="Book Antiqua" w:eastAsia="Times New Roman" w:hAnsi="Book Antiqua" w:cs="Times New Roman"/>
          <w:bCs/>
          <w:i/>
          <w:color w:val="000000" w:themeColor="text1"/>
          <w:sz w:val="24"/>
          <w:szCs w:val="24"/>
        </w:rPr>
        <w:t>P</w:t>
      </w:r>
      <w:r w:rsidRPr="006B24DA">
        <w:rPr>
          <w:rFonts w:ascii="Book Antiqua" w:eastAsia="Times New Roman" w:hAnsi="Book Antiqua" w:cs="Times New Roman"/>
          <w:bCs/>
          <w:i/>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w:t>
      </w:r>
      <w:r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0.575), and R0 resection rates were 83.9% and 91.7 %, respectively (</w:t>
      </w:r>
      <w:r w:rsidR="00E20495" w:rsidRPr="006B24DA">
        <w:rPr>
          <w:rFonts w:ascii="Book Antiqua" w:eastAsia="Times New Roman" w:hAnsi="Book Antiqua" w:cs="Times New Roman"/>
          <w:bCs/>
          <w:i/>
          <w:color w:val="000000" w:themeColor="text1"/>
          <w:sz w:val="24"/>
          <w:szCs w:val="24"/>
        </w:rPr>
        <w:t>P</w:t>
      </w:r>
      <w:r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w:t>
      </w:r>
      <w:r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0.515). The R0 resectio</w:t>
      </w:r>
      <w:r w:rsidRPr="006B24DA">
        <w:rPr>
          <w:rFonts w:ascii="Book Antiqua" w:eastAsia="Times New Roman" w:hAnsi="Book Antiqua" w:cs="Times New Roman"/>
          <w:bCs/>
          <w:color w:val="000000" w:themeColor="text1"/>
          <w:sz w:val="24"/>
          <w:szCs w:val="24"/>
        </w:rPr>
        <w:t xml:space="preserve">n rate was higher in Barrett’s ≤ M3 </w:t>
      </w:r>
      <w:r w:rsidRPr="006B24DA">
        <w:rPr>
          <w:rFonts w:ascii="Book Antiqua" w:eastAsia="Times New Roman" w:hAnsi="Book Antiqua" w:cs="Times New Roman"/>
          <w:bCs/>
          <w:i/>
          <w:color w:val="000000" w:themeColor="text1"/>
          <w:sz w:val="24"/>
          <w:szCs w:val="24"/>
        </w:rPr>
        <w:t>vs</w:t>
      </w:r>
      <w:r w:rsidR="00E20495" w:rsidRPr="006B24DA">
        <w:rPr>
          <w:rFonts w:ascii="Book Antiqua" w:eastAsia="Times New Roman" w:hAnsi="Book Antiqua" w:cs="Times New Roman"/>
          <w:bCs/>
          <w:i/>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&gt;</w:t>
      </w:r>
      <w:r w:rsidRPr="006B24DA">
        <w:rPr>
          <w:rFonts w:ascii="Book Antiqua" w:eastAsia="Times New Roman" w:hAnsi="Book Antiqua" w:cs="Times New Roman"/>
          <w:bCs/>
          <w:color w:val="000000" w:themeColor="text1"/>
          <w:sz w:val="24"/>
          <w:szCs w:val="24"/>
        </w:rPr>
        <w:t xml:space="preserve"> M3 (90% </w:t>
      </w:r>
      <w:r w:rsidRPr="006B24DA">
        <w:rPr>
          <w:rFonts w:ascii="Book Antiqua" w:eastAsia="Times New Roman" w:hAnsi="Book Antiqua" w:cs="Times New Roman"/>
          <w:bCs/>
          <w:i/>
          <w:color w:val="000000" w:themeColor="text1"/>
          <w:sz w:val="24"/>
          <w:szCs w:val="24"/>
        </w:rPr>
        <w:t>vs</w:t>
      </w:r>
      <w:r w:rsidRPr="006B24DA">
        <w:rPr>
          <w:rFonts w:ascii="Book Antiqua" w:eastAsia="Times New Roman" w:hAnsi="Book Antiqua" w:cs="Times New Roman"/>
          <w:bCs/>
          <w:color w:val="000000" w:themeColor="text1"/>
          <w:sz w:val="24"/>
          <w:szCs w:val="24"/>
        </w:rPr>
        <w:t xml:space="preserve"> 70.4</w:t>
      </w:r>
      <w:r w:rsidR="00E20495"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i/>
          <w:color w:val="000000" w:themeColor="text1"/>
          <w:sz w:val="24"/>
          <w:szCs w:val="24"/>
        </w:rPr>
        <w:t>P</w:t>
      </w:r>
      <w:r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w:t>
      </w:r>
      <w:r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0.029). The curative resection rate was 72.4% for E</w:t>
      </w:r>
      <w:r w:rsidRPr="006B24DA">
        <w:rPr>
          <w:rFonts w:ascii="Book Antiqua" w:eastAsia="Times New Roman" w:hAnsi="Book Antiqua" w:cs="Times New Roman"/>
          <w:bCs/>
          <w:color w:val="000000" w:themeColor="text1"/>
          <w:sz w:val="24"/>
          <w:szCs w:val="24"/>
        </w:rPr>
        <w:t>AC</w:t>
      </w:r>
      <w:r w:rsidRPr="006B24DA">
        <w:rPr>
          <w:rFonts w:ascii="Book Antiqua" w:eastAsia="Times New Roman" w:hAnsi="Book Antiqua" w:cs="Times New Roman"/>
          <w:bCs/>
          <w:i/>
          <w:color w:val="000000" w:themeColor="text1"/>
          <w:sz w:val="24"/>
          <w:szCs w:val="24"/>
        </w:rPr>
        <w:t xml:space="preserve"> vs</w:t>
      </w:r>
      <w:r w:rsidR="00E20495" w:rsidRPr="006B24DA">
        <w:rPr>
          <w:rFonts w:ascii="Book Antiqua" w:eastAsia="Times New Roman" w:hAnsi="Book Antiqua" w:cs="Times New Roman"/>
          <w:bCs/>
          <w:i/>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45.8% for ESCC (</w:t>
      </w:r>
      <w:r w:rsidR="00E20495" w:rsidRPr="006B24DA">
        <w:rPr>
          <w:rFonts w:ascii="Book Antiqua" w:eastAsia="Times New Roman" w:hAnsi="Book Antiqua" w:cs="Times New Roman"/>
          <w:bCs/>
          <w:i/>
          <w:color w:val="000000" w:themeColor="text1"/>
          <w:sz w:val="24"/>
          <w:szCs w:val="24"/>
        </w:rPr>
        <w:t>P</w:t>
      </w:r>
      <w:r w:rsidRPr="006B24DA">
        <w:rPr>
          <w:rFonts w:ascii="Book Antiqua" w:eastAsia="Times New Roman" w:hAnsi="Book Antiqua" w:cs="Times New Roman"/>
          <w:bCs/>
          <w:i/>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w:t>
      </w:r>
      <w:r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0.026). </w:t>
      </w:r>
      <w:proofErr w:type="spellStart"/>
      <w:r w:rsidR="00E20495" w:rsidRPr="006B24DA">
        <w:rPr>
          <w:rFonts w:ascii="Book Antiqua" w:eastAsia="Times New Roman" w:hAnsi="Book Antiqua" w:cs="Times New Roman"/>
          <w:bCs/>
          <w:color w:val="000000" w:themeColor="text1"/>
          <w:sz w:val="24"/>
          <w:szCs w:val="24"/>
        </w:rPr>
        <w:t>Endoluminal</w:t>
      </w:r>
      <w:proofErr w:type="spellEnd"/>
      <w:r w:rsidR="00E20495" w:rsidRPr="006B24DA">
        <w:rPr>
          <w:rFonts w:ascii="Book Antiqua" w:eastAsia="Times New Roman" w:hAnsi="Book Antiqua" w:cs="Times New Roman"/>
          <w:bCs/>
          <w:color w:val="000000" w:themeColor="text1"/>
          <w:sz w:val="24"/>
          <w:szCs w:val="24"/>
        </w:rPr>
        <w:t xml:space="preserve"> recurrence was observed in 2.4% of EACs (8% in Barrett’s &gt;</w:t>
      </w:r>
      <w:r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M3, 0%in Barrett’s ≤</w:t>
      </w:r>
      <w:r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M3), and 0% of ESCCs. Complica</w:t>
      </w:r>
      <w:r w:rsidRPr="006B24DA">
        <w:rPr>
          <w:rFonts w:ascii="Book Antiqua" w:eastAsia="Times New Roman" w:hAnsi="Book Antiqua" w:cs="Times New Roman"/>
          <w:bCs/>
          <w:color w:val="000000" w:themeColor="text1"/>
          <w:sz w:val="24"/>
          <w:szCs w:val="24"/>
        </w:rPr>
        <w:t>tions included strictures (11.7%) and bleedings (0.9</w:t>
      </w:r>
      <w:r w:rsidR="00E20495" w:rsidRPr="006B24DA">
        <w:rPr>
          <w:rFonts w:ascii="Book Antiqua" w:eastAsia="Times New Roman" w:hAnsi="Book Antiqua" w:cs="Times New Roman"/>
          <w:bCs/>
          <w:color w:val="000000" w:themeColor="text1"/>
          <w:sz w:val="24"/>
          <w:szCs w:val="24"/>
        </w:rPr>
        <w:t>%), but no perforation. Disease-specific survival was 97.7% (EAC) and 95.8% (ESCC), and overall survival was 96.6% (EA</w:t>
      </w:r>
      <w:r w:rsidRPr="006B24DA">
        <w:rPr>
          <w:rFonts w:ascii="Book Antiqua" w:eastAsia="Times New Roman" w:hAnsi="Book Antiqua" w:cs="Times New Roman"/>
          <w:bCs/>
          <w:color w:val="000000" w:themeColor="text1"/>
          <w:sz w:val="24"/>
          <w:szCs w:val="24"/>
        </w:rPr>
        <w:t>C) and 66.7% (ESCC) with over 2-</w:t>
      </w:r>
      <w:r w:rsidR="00E20495" w:rsidRPr="006B24DA">
        <w:rPr>
          <w:rFonts w:ascii="Book Antiqua" w:eastAsia="Times New Roman" w:hAnsi="Book Antiqua" w:cs="Times New Roman"/>
          <w:bCs/>
          <w:color w:val="000000" w:themeColor="text1"/>
          <w:sz w:val="24"/>
          <w:szCs w:val="24"/>
        </w:rPr>
        <w:t xml:space="preserve">year follow-up. These results are similar to an Asian single center experience with 91 patients with Barrett’s associated </w:t>
      </w:r>
      <w:proofErr w:type="gramStart"/>
      <w:r w:rsidR="00E20495" w:rsidRPr="006B24DA">
        <w:rPr>
          <w:rFonts w:ascii="Book Antiqua" w:eastAsia="Times New Roman" w:hAnsi="Book Antiqua" w:cs="Times New Roman"/>
          <w:bCs/>
          <w:color w:val="000000" w:themeColor="text1"/>
          <w:sz w:val="24"/>
          <w:szCs w:val="24"/>
        </w:rPr>
        <w:t>EAC</w:t>
      </w:r>
      <w:r w:rsidR="00E20495" w:rsidRPr="006B24DA">
        <w:rPr>
          <w:rFonts w:ascii="Book Antiqua" w:eastAsia="Times New Roman" w:hAnsi="Book Antiqua" w:cs="Times New Roman"/>
          <w:bCs/>
          <w:noProof/>
          <w:color w:val="000000" w:themeColor="text1"/>
          <w:sz w:val="24"/>
          <w:szCs w:val="24"/>
          <w:vertAlign w:val="superscript"/>
        </w:rPr>
        <w:t>[</w:t>
      </w:r>
      <w:proofErr w:type="gramEnd"/>
      <w:r w:rsidR="00E20495" w:rsidRPr="006B24DA">
        <w:rPr>
          <w:rFonts w:ascii="Book Antiqua" w:eastAsia="Times New Roman" w:hAnsi="Book Antiqua" w:cs="Times New Roman"/>
          <w:bCs/>
          <w:noProof/>
          <w:color w:val="000000" w:themeColor="text1"/>
          <w:sz w:val="24"/>
          <w:szCs w:val="24"/>
          <w:vertAlign w:val="superscript"/>
        </w:rPr>
        <w:t>98]</w:t>
      </w:r>
      <w:r w:rsidR="00E20495" w:rsidRPr="006B24DA">
        <w:rPr>
          <w:rFonts w:ascii="Book Antiqua" w:eastAsia="Times New Roman" w:hAnsi="Book Antiqua" w:cs="Times New Roman"/>
          <w:bCs/>
          <w:color w:val="000000" w:themeColor="text1"/>
          <w:sz w:val="24"/>
          <w:szCs w:val="24"/>
        </w:rPr>
        <w:t xml:space="preserve">. </w:t>
      </w:r>
    </w:p>
    <w:p w14:paraId="56461145" w14:textId="3B5822BD" w:rsidR="00E20495" w:rsidRPr="006B24DA" w:rsidRDefault="00D25085" w:rsidP="007761C0">
      <w:pPr>
        <w:autoSpaceDE w:val="0"/>
        <w:autoSpaceDN w:val="0"/>
        <w:adjustRightInd w:val="0"/>
        <w:snapToGrid w:val="0"/>
        <w:spacing w:after="0" w:line="360" w:lineRule="auto"/>
        <w:jc w:val="both"/>
        <w:rPr>
          <w:rFonts w:ascii="Book Antiqua" w:eastAsia="Times New Roman" w:hAnsi="Book Antiqua" w:cs="Times New Roman"/>
          <w:bCs/>
          <w:color w:val="000000" w:themeColor="text1"/>
          <w:sz w:val="24"/>
          <w:szCs w:val="24"/>
        </w:rPr>
      </w:pPr>
      <w:r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Therefore, within the confines of these guiding principles, endoscopic treatment is now the preferred approach for both </w:t>
      </w:r>
      <w:r w:rsidR="00D4044E" w:rsidRPr="006B24DA">
        <w:rPr>
          <w:rFonts w:ascii="Book Antiqua" w:eastAsia="Times New Roman" w:hAnsi="Book Antiqua" w:cs="Times New Roman"/>
          <w:bCs/>
          <w:color w:val="000000" w:themeColor="text1"/>
          <w:sz w:val="24"/>
          <w:szCs w:val="24"/>
        </w:rPr>
        <w:t>BE</w:t>
      </w:r>
      <w:r w:rsidR="00E20495" w:rsidRPr="006B24DA">
        <w:rPr>
          <w:rFonts w:ascii="Book Antiqua" w:eastAsia="Times New Roman" w:hAnsi="Book Antiqua" w:cs="Times New Roman"/>
          <w:bCs/>
          <w:color w:val="000000" w:themeColor="text1"/>
          <w:sz w:val="24"/>
          <w:szCs w:val="24"/>
        </w:rPr>
        <w:t xml:space="preserve"> and early esophageal cancer.</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In our center, we have been gravitating more towards endoscopic resection </w:t>
      </w:r>
      <w:r w:rsidR="00966E42" w:rsidRPr="006B24DA">
        <w:rPr>
          <w:rFonts w:ascii="Book Antiqua" w:eastAsia="Times New Roman" w:hAnsi="Book Antiqua" w:cs="Times New Roman"/>
          <w:bCs/>
          <w:color w:val="000000" w:themeColor="text1"/>
          <w:sz w:val="24"/>
          <w:szCs w:val="24"/>
        </w:rPr>
        <w:t>-</w:t>
      </w:r>
      <w:r w:rsidR="00E20495" w:rsidRPr="006B24DA">
        <w:rPr>
          <w:rFonts w:ascii="Book Antiqua" w:eastAsia="Times New Roman" w:hAnsi="Book Antiqua" w:cs="Times New Roman"/>
          <w:bCs/>
          <w:color w:val="000000" w:themeColor="text1"/>
          <w:sz w:val="24"/>
          <w:szCs w:val="24"/>
        </w:rPr>
        <w:t xml:space="preserve"> certainly for nodular Barrett’s, but also for flat Barrett’s where based on </w:t>
      </w:r>
      <w:bookmarkStart w:id="64" w:name="OLE_LINK74"/>
      <w:bookmarkStart w:id="65" w:name="OLE_LINK75"/>
      <w:r w:rsidR="00E20495" w:rsidRPr="006B24DA">
        <w:rPr>
          <w:rFonts w:ascii="Book Antiqua" w:eastAsia="Times New Roman" w:hAnsi="Book Antiqua" w:cs="Times New Roman"/>
          <w:bCs/>
          <w:color w:val="000000" w:themeColor="text1"/>
          <w:sz w:val="24"/>
          <w:szCs w:val="24"/>
        </w:rPr>
        <w:t>narrow-band imaging</w:t>
      </w:r>
      <w:bookmarkEnd w:id="64"/>
      <w:bookmarkEnd w:id="65"/>
      <w:r w:rsidR="00E20495" w:rsidRPr="006B24DA">
        <w:rPr>
          <w:rFonts w:ascii="Book Antiqua" w:eastAsia="Times New Roman" w:hAnsi="Book Antiqua" w:cs="Times New Roman"/>
          <w:bCs/>
          <w:color w:val="000000" w:themeColor="text1"/>
          <w:sz w:val="24"/>
          <w:szCs w:val="24"/>
        </w:rPr>
        <w:t xml:space="preserve"> (NBI) mucosal pattern or advanced imaging (</w:t>
      </w:r>
      <w:proofErr w:type="spellStart"/>
      <w:r w:rsidR="00E20495" w:rsidRPr="006B24DA">
        <w:rPr>
          <w:rFonts w:ascii="Book Antiqua" w:eastAsia="Times New Roman" w:hAnsi="Book Antiqua" w:cs="Times New Roman"/>
          <w:bCs/>
          <w:color w:val="000000" w:themeColor="text1"/>
          <w:sz w:val="24"/>
          <w:szCs w:val="24"/>
        </w:rPr>
        <w:t>endomicroscopy</w:t>
      </w:r>
      <w:proofErr w:type="spellEnd"/>
      <w:r w:rsidR="00E20495" w:rsidRPr="006B24DA">
        <w:rPr>
          <w:rFonts w:ascii="Book Antiqua" w:eastAsia="Times New Roman" w:hAnsi="Book Antiqua" w:cs="Times New Roman"/>
          <w:bCs/>
          <w:color w:val="000000" w:themeColor="text1"/>
          <w:sz w:val="24"/>
          <w:szCs w:val="24"/>
        </w:rPr>
        <w:t xml:space="preserve"> or optical coherence tomography), there is suspicion for </w:t>
      </w:r>
      <w:r w:rsidRPr="006B24DA">
        <w:rPr>
          <w:rFonts w:ascii="Book Antiqua" w:eastAsia="Times New Roman" w:hAnsi="Book Antiqua" w:cs="Times New Roman"/>
          <w:bCs/>
          <w:color w:val="000000" w:themeColor="text1"/>
          <w:sz w:val="24"/>
          <w:szCs w:val="24"/>
        </w:rPr>
        <w:t>HGD</w:t>
      </w:r>
      <w:r w:rsidR="00E20495" w:rsidRPr="006B24DA">
        <w:rPr>
          <w:rFonts w:ascii="Book Antiqua" w:eastAsia="Times New Roman" w:hAnsi="Book Antiqua" w:cs="Times New Roman"/>
          <w:bCs/>
          <w:color w:val="000000" w:themeColor="text1"/>
          <w:sz w:val="24"/>
          <w:szCs w:val="24"/>
        </w:rPr>
        <w:t xml:space="preserve"> or </w:t>
      </w:r>
      <w:proofErr w:type="spellStart"/>
      <w:r w:rsidR="00E20495" w:rsidRPr="006B24DA">
        <w:rPr>
          <w:rFonts w:ascii="Book Antiqua" w:eastAsia="Times New Roman" w:hAnsi="Book Antiqua" w:cs="Times New Roman"/>
          <w:bCs/>
          <w:color w:val="000000" w:themeColor="text1"/>
          <w:sz w:val="24"/>
          <w:szCs w:val="24"/>
        </w:rPr>
        <w:t>intramucosal</w:t>
      </w:r>
      <w:proofErr w:type="spellEnd"/>
      <w:r w:rsidR="00E20495" w:rsidRPr="006B24DA">
        <w:rPr>
          <w:rFonts w:ascii="Book Antiqua" w:eastAsia="Times New Roman" w:hAnsi="Book Antiqua" w:cs="Times New Roman"/>
          <w:bCs/>
          <w:color w:val="000000" w:themeColor="text1"/>
          <w:sz w:val="24"/>
          <w:szCs w:val="24"/>
        </w:rPr>
        <w:t xml:space="preserve"> carcinoma.</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For nodular lesions larger than 1.5 cm, we are routinely performing ESD </w:t>
      </w:r>
      <w:r w:rsidR="005D4219" w:rsidRPr="006B24DA">
        <w:rPr>
          <w:rFonts w:ascii="Book Antiqua" w:eastAsia="Times New Roman" w:hAnsi="Book Antiqua" w:cs="Times New Roman"/>
          <w:color w:val="000000" w:themeColor="text1"/>
          <w:sz w:val="24"/>
          <w:szCs w:val="24"/>
        </w:rPr>
        <w:t>(Figure 20</w:t>
      </w:r>
      <w:r w:rsidR="00E20495" w:rsidRPr="006B24DA">
        <w:rPr>
          <w:rFonts w:ascii="Book Antiqua" w:eastAsia="Times New Roman" w:hAnsi="Book Antiqua" w:cs="Times New Roman"/>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instead of EMR, with the caveat of avoiding circumferential resection.</w:t>
      </w:r>
      <w:r w:rsidR="00D33133" w:rsidRPr="006B24DA">
        <w:rPr>
          <w:rFonts w:ascii="Book Antiqua" w:eastAsia="Times New Roman" w:hAnsi="Book Antiqua" w:cs="Times New Roman"/>
          <w:bCs/>
          <w:color w:val="000000" w:themeColor="text1"/>
          <w:sz w:val="24"/>
          <w:szCs w:val="24"/>
        </w:rPr>
        <w:t xml:space="preserve"> </w:t>
      </w:r>
    </w:p>
    <w:p w14:paraId="5911622D" w14:textId="77777777" w:rsidR="00E20495" w:rsidRPr="006B24DA" w:rsidRDefault="00E20495" w:rsidP="007761C0">
      <w:pPr>
        <w:autoSpaceDE w:val="0"/>
        <w:autoSpaceDN w:val="0"/>
        <w:adjustRightInd w:val="0"/>
        <w:snapToGrid w:val="0"/>
        <w:spacing w:after="0" w:line="360" w:lineRule="auto"/>
        <w:jc w:val="both"/>
        <w:rPr>
          <w:rFonts w:ascii="Book Antiqua" w:eastAsia="Times New Roman" w:hAnsi="Book Antiqua" w:cs="Times New Roman"/>
          <w:bCs/>
          <w:color w:val="000000" w:themeColor="text1"/>
          <w:sz w:val="24"/>
          <w:szCs w:val="24"/>
        </w:rPr>
      </w:pPr>
    </w:p>
    <w:p w14:paraId="0AF03796" w14:textId="545C3C11" w:rsidR="00E20495" w:rsidRPr="006B24DA" w:rsidRDefault="00D25085" w:rsidP="007761C0">
      <w:pPr>
        <w:autoSpaceDE w:val="0"/>
        <w:autoSpaceDN w:val="0"/>
        <w:adjustRightInd w:val="0"/>
        <w:snapToGrid w:val="0"/>
        <w:spacing w:after="0" w:line="360" w:lineRule="auto"/>
        <w:jc w:val="both"/>
        <w:rPr>
          <w:rFonts w:ascii="Book Antiqua" w:eastAsia="Times New Roman" w:hAnsi="Book Antiqua" w:cs="Times New Roman"/>
          <w:b/>
          <w:bCs/>
          <w:i/>
          <w:color w:val="000000" w:themeColor="text1"/>
          <w:sz w:val="24"/>
          <w:szCs w:val="24"/>
        </w:rPr>
      </w:pPr>
      <w:r w:rsidRPr="006B24DA">
        <w:rPr>
          <w:rFonts w:ascii="Book Antiqua" w:eastAsia="Times New Roman" w:hAnsi="Book Antiqua" w:cs="Times New Roman"/>
          <w:b/>
          <w:bCs/>
          <w:i/>
          <w:color w:val="000000" w:themeColor="text1"/>
          <w:sz w:val="24"/>
          <w:szCs w:val="24"/>
        </w:rPr>
        <w:t>Technical considerations</w:t>
      </w:r>
    </w:p>
    <w:p w14:paraId="3C9123CC" w14:textId="449C083E" w:rsidR="00E20495" w:rsidRPr="006B24DA" w:rsidRDefault="00D25085" w:rsidP="007761C0">
      <w:pPr>
        <w:autoSpaceDE w:val="0"/>
        <w:autoSpaceDN w:val="0"/>
        <w:adjustRightInd w:val="0"/>
        <w:snapToGrid w:val="0"/>
        <w:spacing w:after="0" w:line="360" w:lineRule="auto"/>
        <w:jc w:val="both"/>
        <w:rPr>
          <w:rFonts w:ascii="Book Antiqua" w:eastAsia="Times New Roman" w:hAnsi="Book Antiqua" w:cs="Times New Roman"/>
          <w:bCs/>
          <w:color w:val="000000" w:themeColor="text1"/>
          <w:sz w:val="24"/>
          <w:szCs w:val="24"/>
        </w:rPr>
      </w:pPr>
      <w:r w:rsidRPr="006B24DA">
        <w:rPr>
          <w:rFonts w:ascii="Book Antiqua" w:eastAsia="Times New Roman" w:hAnsi="Book Antiqua" w:cs="Times New Roman"/>
          <w:bCs/>
          <w:color w:val="000000" w:themeColor="text1"/>
          <w:sz w:val="24"/>
          <w:szCs w:val="24"/>
        </w:rPr>
        <w:t>Considerations for a</w:t>
      </w:r>
      <w:r w:rsidR="00E20495" w:rsidRPr="006B24DA">
        <w:rPr>
          <w:rFonts w:ascii="Book Antiqua" w:eastAsia="Times New Roman" w:hAnsi="Book Antiqua" w:cs="Times New Roman"/>
          <w:bCs/>
          <w:color w:val="000000" w:themeColor="text1"/>
          <w:sz w:val="24"/>
          <w:szCs w:val="24"/>
        </w:rPr>
        <w:t xml:space="preserve">blation: The goal for ablation, irrespective of modality, is to eliminate all </w:t>
      </w:r>
      <w:bookmarkStart w:id="66" w:name="OLE_LINK76"/>
      <w:r w:rsidR="00E20495" w:rsidRPr="006B24DA">
        <w:rPr>
          <w:rFonts w:ascii="Book Antiqua" w:eastAsia="Times New Roman" w:hAnsi="Book Antiqua" w:cs="Times New Roman"/>
          <w:bCs/>
          <w:color w:val="000000" w:themeColor="text1"/>
          <w:sz w:val="24"/>
          <w:szCs w:val="24"/>
        </w:rPr>
        <w:t>Barrett’s epithelium</w:t>
      </w:r>
      <w:bookmarkEnd w:id="66"/>
      <w:r w:rsidR="00E20495" w:rsidRPr="006B24DA">
        <w:rPr>
          <w:rFonts w:ascii="Book Antiqua" w:eastAsia="Times New Roman" w:hAnsi="Book Antiqua" w:cs="Times New Roman"/>
          <w:bCs/>
          <w:color w:val="000000" w:themeColor="text1"/>
          <w:sz w:val="24"/>
          <w:szCs w:val="24"/>
        </w:rPr>
        <w:t xml:space="preserve">, including buried Barrett’s, while minimizing </w:t>
      </w:r>
      <w:r w:rsidR="00807164" w:rsidRPr="006B24DA">
        <w:rPr>
          <w:rFonts w:ascii="Book Antiqua" w:eastAsia="Times New Roman" w:hAnsi="Book Antiqua" w:cs="Times New Roman"/>
          <w:bCs/>
          <w:color w:val="000000" w:themeColor="text1"/>
          <w:sz w:val="24"/>
          <w:szCs w:val="24"/>
        </w:rPr>
        <w:t xml:space="preserve">the </w:t>
      </w:r>
      <w:r w:rsidR="00E20495" w:rsidRPr="006B24DA">
        <w:rPr>
          <w:rFonts w:ascii="Book Antiqua" w:eastAsia="Times New Roman" w:hAnsi="Book Antiqua" w:cs="Times New Roman"/>
          <w:bCs/>
          <w:color w:val="000000" w:themeColor="text1"/>
          <w:sz w:val="24"/>
          <w:szCs w:val="24"/>
        </w:rPr>
        <w:t>risk of stricture and patient discomfort.</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Ablation in the proximal esophagus and length of treatment area seem to correlate with more patient discomfort during the healing phase.</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In my experience, the addition of post-procedure sucralfate (as an oral suspension taken 4 times a day for 4 </w:t>
      </w:r>
      <w:proofErr w:type="spellStart"/>
      <w:r w:rsidR="00E20495" w:rsidRPr="006B24DA">
        <w:rPr>
          <w:rFonts w:ascii="Book Antiqua" w:eastAsia="Times New Roman" w:hAnsi="Book Antiqua" w:cs="Times New Roman"/>
          <w:bCs/>
          <w:color w:val="000000" w:themeColor="text1"/>
          <w:sz w:val="24"/>
          <w:szCs w:val="24"/>
        </w:rPr>
        <w:t>w</w:t>
      </w:r>
      <w:r w:rsidRPr="006B24DA">
        <w:rPr>
          <w:rFonts w:ascii="Book Antiqua" w:eastAsia="Times New Roman" w:hAnsi="Book Antiqua" w:cs="Times New Roman"/>
          <w:bCs/>
          <w:color w:val="000000" w:themeColor="text1"/>
          <w:sz w:val="24"/>
          <w:szCs w:val="24"/>
        </w:rPr>
        <w:t>k</w:t>
      </w:r>
      <w:proofErr w:type="spellEnd"/>
      <w:r w:rsidR="00E20495" w:rsidRPr="006B24DA">
        <w:rPr>
          <w:rFonts w:ascii="Book Antiqua" w:eastAsia="Times New Roman" w:hAnsi="Book Antiqua" w:cs="Times New Roman"/>
          <w:bCs/>
          <w:color w:val="000000" w:themeColor="text1"/>
          <w:sz w:val="24"/>
          <w:szCs w:val="24"/>
        </w:rPr>
        <w:t>) seems to reduce pain and promote quality healing.</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In patients with long segment BE, one could consider treating the proximal 50% of the lesion </w:t>
      </w:r>
      <w:r w:rsidR="00E20495" w:rsidRPr="006B24DA">
        <w:rPr>
          <w:rFonts w:ascii="Book Antiqua" w:eastAsia="Times New Roman" w:hAnsi="Book Antiqua" w:cs="Times New Roman"/>
          <w:bCs/>
          <w:color w:val="000000" w:themeColor="text1"/>
          <w:sz w:val="24"/>
          <w:szCs w:val="24"/>
        </w:rPr>
        <w:lastRenderedPageBreak/>
        <w:t xml:space="preserve">during the first session, in order to “test” the patient’s tolerance to treatment and to potentially decrease </w:t>
      </w:r>
      <w:r w:rsidRPr="006B24DA">
        <w:rPr>
          <w:rFonts w:ascii="Book Antiqua" w:eastAsia="Times New Roman" w:hAnsi="Book Antiqua" w:cs="Times New Roman"/>
          <w:bCs/>
          <w:color w:val="000000" w:themeColor="text1"/>
          <w:sz w:val="24"/>
          <w:szCs w:val="24"/>
        </w:rPr>
        <w:t xml:space="preserve">risk of stricture. </w:t>
      </w:r>
      <w:r w:rsidR="00E20495" w:rsidRPr="006B24DA">
        <w:rPr>
          <w:rFonts w:ascii="Book Antiqua" w:eastAsia="Times New Roman" w:hAnsi="Book Antiqua" w:cs="Times New Roman"/>
          <w:bCs/>
          <w:color w:val="000000" w:themeColor="text1"/>
          <w:sz w:val="24"/>
          <w:szCs w:val="24"/>
        </w:rPr>
        <w:t xml:space="preserve">For RFA, excellent contact between the electrode surface and </w:t>
      </w:r>
      <w:r w:rsidR="00D4044E" w:rsidRPr="006B24DA">
        <w:rPr>
          <w:rFonts w:ascii="Book Antiqua" w:eastAsia="Times New Roman" w:hAnsi="Book Antiqua" w:cs="Times New Roman"/>
          <w:bCs/>
          <w:color w:val="000000" w:themeColor="text1"/>
          <w:sz w:val="24"/>
          <w:szCs w:val="24"/>
        </w:rPr>
        <w:t>BE</w:t>
      </w:r>
      <w:r w:rsidR="00E20495" w:rsidRPr="006B24DA">
        <w:rPr>
          <w:rFonts w:ascii="Book Antiqua" w:eastAsia="Times New Roman" w:hAnsi="Book Antiqua" w:cs="Times New Roman"/>
          <w:bCs/>
          <w:color w:val="000000" w:themeColor="text1"/>
          <w:sz w:val="24"/>
          <w:szCs w:val="24"/>
        </w:rPr>
        <w:t xml:space="preserve"> is critical.</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While recent studies have shown that the routine removal of the device to clean the electrode surface is not required, in my experience if the coagulation effect does not appear adequate on endoscopic viewing, I would remove and clear the device surface of undesirable coagulum.</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For both RFA and Hybrid APC, the final endoscopic appearance of a relatively “dry”, tan colored surface, indicates an adequate ablation affect.</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For balloon-base cryotherapy, using the new foot pedal control gives the physician much more control of all aspects of balloon and spray nozzle movement and positioning.</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Since visualization is accomplished through the inflated balloon, good contact between the therapeutic endoscope lens and the balloon surface is important. When the balloon is inflated, sometimes focal areas of Barrett’s can be difficult to visualize.</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Therefore, I routinely mark the focal areas using the tip of a snare to create coagulation spots </w:t>
      </w:r>
      <w:r w:rsidR="00807164" w:rsidRPr="006B24DA">
        <w:rPr>
          <w:rFonts w:ascii="Book Antiqua" w:eastAsia="Times New Roman" w:hAnsi="Book Antiqua" w:cs="Times New Roman"/>
          <w:bCs/>
          <w:color w:val="000000" w:themeColor="text1"/>
          <w:sz w:val="24"/>
          <w:szCs w:val="24"/>
        </w:rPr>
        <w:t xml:space="preserve">on the mucosa </w:t>
      </w:r>
      <w:r w:rsidR="00E20495" w:rsidRPr="006B24DA">
        <w:rPr>
          <w:rFonts w:ascii="Book Antiqua" w:eastAsia="Times New Roman" w:hAnsi="Book Antiqua" w:cs="Times New Roman"/>
          <w:bCs/>
          <w:color w:val="000000" w:themeColor="text1"/>
          <w:sz w:val="24"/>
          <w:szCs w:val="24"/>
        </w:rPr>
        <w:t xml:space="preserve">which facilitates targeting through the balloon </w:t>
      </w:r>
      <w:r w:rsidR="005D4219" w:rsidRPr="006B24DA">
        <w:rPr>
          <w:rFonts w:ascii="Book Antiqua" w:eastAsia="Times New Roman" w:hAnsi="Book Antiqua" w:cs="Times New Roman"/>
          <w:color w:val="000000" w:themeColor="text1"/>
          <w:sz w:val="24"/>
          <w:szCs w:val="24"/>
        </w:rPr>
        <w:t>(Figure 18</w:t>
      </w:r>
      <w:r w:rsidR="00E20495" w:rsidRPr="006B24DA">
        <w:rPr>
          <w:rFonts w:ascii="Book Antiqua" w:eastAsia="Times New Roman" w:hAnsi="Book Antiqua" w:cs="Times New Roman"/>
          <w:color w:val="000000" w:themeColor="text1"/>
          <w:sz w:val="24"/>
          <w:szCs w:val="24"/>
        </w:rPr>
        <w:t>A)</w:t>
      </w:r>
      <w:r w:rsidR="00E20495" w:rsidRPr="006B24DA">
        <w:rPr>
          <w:rFonts w:ascii="Book Antiqua" w:eastAsia="Times New Roman" w:hAnsi="Book Antiqua" w:cs="Times New Roman"/>
          <w:bCs/>
          <w:color w:val="000000" w:themeColor="text1"/>
          <w:sz w:val="24"/>
          <w:szCs w:val="24"/>
        </w:rPr>
        <w:t xml:space="preserve">. </w:t>
      </w:r>
    </w:p>
    <w:p w14:paraId="7C034669" w14:textId="77777777" w:rsidR="00D25085" w:rsidRPr="006B24DA" w:rsidRDefault="00D25085" w:rsidP="007761C0">
      <w:pPr>
        <w:autoSpaceDE w:val="0"/>
        <w:autoSpaceDN w:val="0"/>
        <w:adjustRightInd w:val="0"/>
        <w:snapToGrid w:val="0"/>
        <w:spacing w:after="0" w:line="360" w:lineRule="auto"/>
        <w:jc w:val="both"/>
        <w:rPr>
          <w:rFonts w:ascii="Book Antiqua" w:eastAsia="Times New Roman" w:hAnsi="Book Antiqua" w:cs="Times New Roman"/>
          <w:bCs/>
          <w:color w:val="000000" w:themeColor="text1"/>
          <w:sz w:val="24"/>
          <w:szCs w:val="24"/>
        </w:rPr>
      </w:pPr>
    </w:p>
    <w:p w14:paraId="24B132E4" w14:textId="16222841" w:rsidR="00D25085" w:rsidRPr="006B24DA" w:rsidRDefault="00D25085" w:rsidP="007761C0">
      <w:pPr>
        <w:autoSpaceDE w:val="0"/>
        <w:autoSpaceDN w:val="0"/>
        <w:adjustRightInd w:val="0"/>
        <w:snapToGrid w:val="0"/>
        <w:spacing w:after="0" w:line="360" w:lineRule="auto"/>
        <w:jc w:val="both"/>
        <w:rPr>
          <w:rFonts w:ascii="Book Antiqua" w:eastAsia="Times New Roman" w:hAnsi="Book Antiqua" w:cs="Times New Roman"/>
          <w:b/>
          <w:bCs/>
          <w:i/>
          <w:color w:val="000000" w:themeColor="text1"/>
          <w:sz w:val="24"/>
          <w:szCs w:val="24"/>
        </w:rPr>
      </w:pPr>
      <w:bookmarkStart w:id="67" w:name="OLE_LINK77"/>
      <w:bookmarkStart w:id="68" w:name="OLE_LINK78"/>
      <w:r w:rsidRPr="006B24DA">
        <w:rPr>
          <w:rFonts w:ascii="Book Antiqua" w:eastAsia="Times New Roman" w:hAnsi="Book Antiqua" w:cs="Times New Roman"/>
          <w:b/>
          <w:bCs/>
          <w:i/>
          <w:color w:val="000000" w:themeColor="text1"/>
          <w:sz w:val="24"/>
          <w:szCs w:val="24"/>
        </w:rPr>
        <w:t>Considerations for ESD</w:t>
      </w:r>
    </w:p>
    <w:bookmarkEnd w:id="67"/>
    <w:bookmarkEnd w:id="68"/>
    <w:p w14:paraId="27172CB1" w14:textId="18CDA343" w:rsidR="00E20495" w:rsidRPr="006B24DA" w:rsidRDefault="00E20495" w:rsidP="007761C0">
      <w:pPr>
        <w:autoSpaceDE w:val="0"/>
        <w:autoSpaceDN w:val="0"/>
        <w:adjustRightInd w:val="0"/>
        <w:snapToGrid w:val="0"/>
        <w:spacing w:after="0" w:line="360" w:lineRule="auto"/>
        <w:jc w:val="both"/>
        <w:rPr>
          <w:rFonts w:ascii="Book Antiqua" w:eastAsia="Times New Roman" w:hAnsi="Book Antiqua" w:cs="Times New Roman"/>
          <w:bCs/>
          <w:color w:val="000000" w:themeColor="text1"/>
          <w:sz w:val="24"/>
          <w:szCs w:val="24"/>
        </w:rPr>
      </w:pPr>
      <w:r w:rsidRPr="006B24DA">
        <w:rPr>
          <w:rFonts w:ascii="Book Antiqua" w:eastAsia="Times New Roman" w:hAnsi="Book Antiqua" w:cs="Times New Roman"/>
          <w:bCs/>
          <w:color w:val="000000" w:themeColor="text1"/>
          <w:sz w:val="24"/>
          <w:szCs w:val="24"/>
        </w:rPr>
        <w:t>For ESD in the esophagus, our technique begins with marking the perimeter of the lesion.</w:t>
      </w:r>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A submucosal injection of </w:t>
      </w:r>
      <w:proofErr w:type="spellStart"/>
      <w:r w:rsidRPr="006B24DA">
        <w:rPr>
          <w:rFonts w:ascii="Book Antiqua" w:eastAsia="Times New Roman" w:hAnsi="Book Antiqua" w:cs="Times New Roman"/>
          <w:bCs/>
          <w:color w:val="000000" w:themeColor="text1"/>
          <w:sz w:val="24"/>
          <w:szCs w:val="24"/>
        </w:rPr>
        <w:t>carboxymethylcellulose</w:t>
      </w:r>
      <w:proofErr w:type="spellEnd"/>
      <w:r w:rsidRPr="006B24DA">
        <w:rPr>
          <w:rFonts w:ascii="Book Antiqua" w:eastAsia="Times New Roman" w:hAnsi="Book Antiqua" w:cs="Times New Roman"/>
          <w:bCs/>
          <w:color w:val="000000" w:themeColor="text1"/>
          <w:sz w:val="24"/>
          <w:szCs w:val="24"/>
        </w:rPr>
        <w:t xml:space="preserve"> (artificial tears) is used for the initial lift.</w:t>
      </w:r>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This is followed by mucosal incision using the hybrid </w:t>
      </w:r>
      <w:proofErr w:type="spellStart"/>
      <w:r w:rsidRPr="006B24DA">
        <w:rPr>
          <w:rFonts w:ascii="Book Antiqua" w:eastAsia="Times New Roman" w:hAnsi="Book Antiqua" w:cs="Times New Roman"/>
          <w:bCs/>
          <w:color w:val="000000" w:themeColor="text1"/>
          <w:sz w:val="24"/>
          <w:szCs w:val="24"/>
        </w:rPr>
        <w:t>i</w:t>
      </w:r>
      <w:proofErr w:type="spellEnd"/>
      <w:r w:rsidRPr="006B24DA">
        <w:rPr>
          <w:rFonts w:ascii="Book Antiqua" w:eastAsia="Times New Roman" w:hAnsi="Book Antiqua" w:cs="Times New Roman"/>
          <w:bCs/>
          <w:color w:val="000000" w:themeColor="text1"/>
          <w:sz w:val="24"/>
          <w:szCs w:val="24"/>
        </w:rPr>
        <w:t>-knife (</w:t>
      </w:r>
      <w:proofErr w:type="spellStart"/>
      <w:r w:rsidRPr="006B24DA">
        <w:rPr>
          <w:rFonts w:ascii="Book Antiqua" w:eastAsia="Times New Roman" w:hAnsi="Book Antiqua" w:cs="Times New Roman"/>
          <w:bCs/>
          <w:color w:val="000000" w:themeColor="text1"/>
          <w:sz w:val="24"/>
          <w:szCs w:val="24"/>
        </w:rPr>
        <w:t>Erbe</w:t>
      </w:r>
      <w:proofErr w:type="spellEnd"/>
      <w:r w:rsidRPr="006B24DA">
        <w:rPr>
          <w:rFonts w:ascii="Book Antiqua" w:eastAsia="Times New Roman" w:hAnsi="Book Antiqua" w:cs="Times New Roman"/>
          <w:bCs/>
          <w:color w:val="000000" w:themeColor="text1"/>
          <w:sz w:val="24"/>
          <w:szCs w:val="24"/>
        </w:rPr>
        <w:t>), which has the ability of high pressure saline injection through the center of the needle.</w:t>
      </w:r>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This allows for sequential inject-cut-inject without the need for device exchange.</w:t>
      </w:r>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Other devices for concurrent energy delivery with water injection (mostly through the catheter as opposed to the needle itself) are emerging.</w:t>
      </w:r>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While the mucosal incision is usually straight-forward, the submucosal dissection can be more challenging. Changing the energy settings, creating traction of the lesion, and the tunneling </w:t>
      </w:r>
      <w:proofErr w:type="gramStart"/>
      <w:r w:rsidRPr="006B24DA">
        <w:rPr>
          <w:rFonts w:ascii="Book Antiqua" w:eastAsia="Times New Roman" w:hAnsi="Book Antiqua" w:cs="Times New Roman"/>
          <w:bCs/>
          <w:color w:val="000000" w:themeColor="text1"/>
          <w:sz w:val="24"/>
          <w:szCs w:val="24"/>
        </w:rPr>
        <w:t>method</w:t>
      </w:r>
      <w:r w:rsidRPr="006B24DA">
        <w:rPr>
          <w:rFonts w:ascii="Book Antiqua" w:eastAsia="Times New Roman" w:hAnsi="Book Antiqua" w:cs="Times New Roman"/>
          <w:bCs/>
          <w:noProof/>
          <w:color w:val="000000" w:themeColor="text1"/>
          <w:sz w:val="24"/>
          <w:szCs w:val="24"/>
          <w:vertAlign w:val="superscript"/>
        </w:rPr>
        <w:t>[</w:t>
      </w:r>
      <w:proofErr w:type="gramEnd"/>
      <w:r w:rsidRPr="006B24DA">
        <w:rPr>
          <w:rFonts w:ascii="Book Antiqua" w:eastAsia="Times New Roman" w:hAnsi="Book Antiqua" w:cs="Times New Roman"/>
          <w:bCs/>
          <w:noProof/>
          <w:color w:val="000000" w:themeColor="text1"/>
          <w:sz w:val="24"/>
          <w:szCs w:val="24"/>
          <w:vertAlign w:val="superscript"/>
        </w:rPr>
        <w:t>99]</w:t>
      </w:r>
      <w:r w:rsidRPr="006B24DA">
        <w:rPr>
          <w:rFonts w:ascii="Book Antiqua" w:eastAsia="Times New Roman" w:hAnsi="Book Antiqua" w:cs="Times New Roman"/>
          <w:bCs/>
          <w:color w:val="000000" w:themeColor="text1"/>
          <w:sz w:val="24"/>
          <w:szCs w:val="24"/>
        </w:rPr>
        <w:t xml:space="preserve"> can often make the dissection go more smoothly.</w:t>
      </w:r>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While forced coagulation is the usual setting for dissection, I have found that spray coagulation, similar to my preferred POEM technique, can often speed up the dissection.</w:t>
      </w:r>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Counter-traction can be achieved </w:t>
      </w:r>
      <w:r w:rsidRPr="006B24DA">
        <w:rPr>
          <w:rFonts w:ascii="Book Antiqua" w:eastAsia="Times New Roman" w:hAnsi="Book Antiqua" w:cs="Times New Roman"/>
          <w:bCs/>
          <w:color w:val="000000" w:themeColor="text1"/>
          <w:sz w:val="24"/>
          <w:szCs w:val="24"/>
        </w:rPr>
        <w:lastRenderedPageBreak/>
        <w:t xml:space="preserve">with a variety of methods involving clips and </w:t>
      </w:r>
      <w:proofErr w:type="gramStart"/>
      <w:r w:rsidRPr="006B24DA">
        <w:rPr>
          <w:rFonts w:ascii="Book Antiqua" w:eastAsia="Times New Roman" w:hAnsi="Book Antiqua" w:cs="Times New Roman"/>
          <w:bCs/>
          <w:color w:val="000000" w:themeColor="text1"/>
          <w:sz w:val="24"/>
          <w:szCs w:val="24"/>
        </w:rPr>
        <w:t>sutures</w:t>
      </w:r>
      <w:r w:rsidR="00D25085" w:rsidRPr="006B24DA">
        <w:rPr>
          <w:rFonts w:ascii="Book Antiqua" w:eastAsia="Times New Roman" w:hAnsi="Book Antiqua" w:cs="Times New Roman"/>
          <w:bCs/>
          <w:noProof/>
          <w:color w:val="000000" w:themeColor="text1"/>
          <w:sz w:val="24"/>
          <w:szCs w:val="24"/>
          <w:vertAlign w:val="superscript"/>
        </w:rPr>
        <w:t>[</w:t>
      </w:r>
      <w:proofErr w:type="gramEnd"/>
      <w:r w:rsidR="00D25085" w:rsidRPr="006B24DA">
        <w:rPr>
          <w:rFonts w:ascii="Book Antiqua" w:eastAsia="Times New Roman" w:hAnsi="Book Antiqua" w:cs="Times New Roman"/>
          <w:bCs/>
          <w:noProof/>
          <w:color w:val="000000" w:themeColor="text1"/>
          <w:sz w:val="24"/>
          <w:szCs w:val="24"/>
          <w:vertAlign w:val="superscript"/>
        </w:rPr>
        <w:t>100,</w:t>
      </w:r>
      <w:r w:rsidRPr="006B24DA">
        <w:rPr>
          <w:rFonts w:ascii="Book Antiqua" w:eastAsia="Times New Roman" w:hAnsi="Book Antiqua" w:cs="Times New Roman"/>
          <w:bCs/>
          <w:noProof/>
          <w:color w:val="000000" w:themeColor="text1"/>
          <w:sz w:val="24"/>
          <w:szCs w:val="24"/>
          <w:vertAlign w:val="superscript"/>
        </w:rPr>
        <w:t>101]</w:t>
      </w:r>
      <w:r w:rsidRPr="006B24DA">
        <w:rPr>
          <w:rFonts w:ascii="Book Antiqua" w:eastAsia="Times New Roman" w:hAnsi="Book Antiqua" w:cs="Times New Roman"/>
          <w:bCs/>
          <w:color w:val="000000" w:themeColor="text1"/>
          <w:sz w:val="24"/>
          <w:szCs w:val="24"/>
        </w:rPr>
        <w:t xml:space="preserve"> .</w:t>
      </w:r>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In the esophagus I prefer the “yo-yo” technique</w:t>
      </w:r>
      <w:r w:rsidR="00D25085" w:rsidRPr="006B24DA">
        <w:rPr>
          <w:rFonts w:ascii="Book Antiqua" w:eastAsia="Times New Roman" w:hAnsi="Book Antiqua" w:cs="Times New Roman"/>
          <w:bCs/>
          <w:noProof/>
          <w:color w:val="000000" w:themeColor="text1"/>
          <w:sz w:val="24"/>
          <w:szCs w:val="24"/>
          <w:vertAlign w:val="superscript"/>
        </w:rPr>
        <w:t>[102,</w:t>
      </w:r>
      <w:r w:rsidRPr="006B24DA">
        <w:rPr>
          <w:rFonts w:ascii="Book Antiqua" w:eastAsia="Times New Roman" w:hAnsi="Book Antiqua" w:cs="Times New Roman"/>
          <w:bCs/>
          <w:noProof/>
          <w:color w:val="000000" w:themeColor="text1"/>
          <w:sz w:val="24"/>
          <w:szCs w:val="24"/>
          <w:vertAlign w:val="superscript"/>
        </w:rPr>
        <w:t>103]</w:t>
      </w:r>
      <w:r w:rsidRPr="006B24DA">
        <w:rPr>
          <w:rFonts w:ascii="Book Antiqua" w:eastAsia="Times New Roman" w:hAnsi="Book Antiqua" w:cs="Times New Roman"/>
          <w:bCs/>
          <w:color w:val="000000" w:themeColor="text1"/>
          <w:sz w:val="24"/>
          <w:szCs w:val="24"/>
        </w:rPr>
        <w:t>: place an endoscopic clip at the edge of the specimen, capturing the excised mucosa/submucosa, the remove scope; place a soft rubber nasal airway trumpet (</w:t>
      </w:r>
      <w:proofErr w:type="spellStart"/>
      <w:r w:rsidRPr="006B24DA">
        <w:rPr>
          <w:rFonts w:ascii="Book Antiqua" w:eastAsia="Times New Roman" w:hAnsi="Book Antiqua" w:cs="Times New Roman"/>
          <w:bCs/>
          <w:color w:val="000000" w:themeColor="text1"/>
          <w:sz w:val="24"/>
          <w:szCs w:val="24"/>
        </w:rPr>
        <w:t>Robertazzi</w:t>
      </w:r>
      <w:proofErr w:type="spellEnd"/>
      <w:r w:rsidRPr="006B24DA">
        <w:rPr>
          <w:rFonts w:ascii="Book Antiqua" w:eastAsia="Times New Roman" w:hAnsi="Book Antiqua" w:cs="Times New Roman"/>
          <w:bCs/>
          <w:color w:val="000000" w:themeColor="text1"/>
          <w:sz w:val="24"/>
          <w:szCs w:val="24"/>
        </w:rPr>
        <w:t xml:space="preserve"> Style) into the nasal cavity, guide a standard snare catheter with a plastic tape at the distal tip to create a “fin” for grasping </w:t>
      </w:r>
      <w:r w:rsidR="00966E42" w:rsidRPr="006B24DA">
        <w:rPr>
          <w:rFonts w:ascii="Book Antiqua" w:eastAsia="Times New Roman" w:hAnsi="Book Antiqua" w:cs="Times New Roman"/>
          <w:bCs/>
          <w:color w:val="000000" w:themeColor="text1"/>
          <w:sz w:val="24"/>
          <w:szCs w:val="24"/>
        </w:rPr>
        <w:t>-</w:t>
      </w:r>
      <w:r w:rsidRPr="006B24DA">
        <w:rPr>
          <w:rFonts w:ascii="Book Antiqua" w:eastAsia="Times New Roman" w:hAnsi="Book Antiqua" w:cs="Times New Roman"/>
          <w:bCs/>
          <w:color w:val="000000" w:themeColor="text1"/>
          <w:sz w:val="24"/>
          <w:szCs w:val="24"/>
        </w:rPr>
        <w:t xml:space="preserve"> advanced through the nasal trumpet into the proximal esophagus, advance endoscope along the snare catheter, grab the fin with a grasping forceps and guide</w:t>
      </w:r>
      <w:r w:rsidR="00D25085" w:rsidRPr="006B24DA">
        <w:rPr>
          <w:rFonts w:ascii="Book Antiqua" w:eastAsia="Times New Roman" w:hAnsi="Book Antiqua" w:cs="Times New Roman"/>
          <w:bCs/>
          <w:color w:val="000000" w:themeColor="text1"/>
          <w:sz w:val="24"/>
          <w:szCs w:val="24"/>
        </w:rPr>
        <w:t xml:space="preserve"> to proximal edge of specimen</w:t>
      </w:r>
      <w:r w:rsidR="00881408" w:rsidRPr="006B24DA">
        <w:rPr>
          <w:rFonts w:ascii="Book Antiqua" w:eastAsia="Times New Roman" w:hAnsi="Book Antiqua" w:cs="Times New Roman"/>
          <w:bCs/>
          <w:color w:val="000000" w:themeColor="text1"/>
          <w:sz w:val="24"/>
          <w:szCs w:val="24"/>
        </w:rPr>
        <w:t>, where snare can capture the clip</w:t>
      </w:r>
      <w:r w:rsidR="00D25085"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This allows for traction in either forward or backward directions.</w:t>
      </w:r>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Finally, if the lesion is long and wide, consider using the tunnel </w:t>
      </w:r>
      <w:proofErr w:type="gramStart"/>
      <w:r w:rsidRPr="006B24DA">
        <w:rPr>
          <w:rFonts w:ascii="Book Antiqua" w:eastAsia="Times New Roman" w:hAnsi="Book Antiqua" w:cs="Times New Roman"/>
          <w:bCs/>
          <w:color w:val="000000" w:themeColor="text1"/>
          <w:sz w:val="24"/>
          <w:szCs w:val="24"/>
        </w:rPr>
        <w:t>technique</w:t>
      </w:r>
      <w:r w:rsidRPr="006B24DA">
        <w:rPr>
          <w:rFonts w:ascii="Book Antiqua" w:eastAsia="Times New Roman" w:hAnsi="Book Antiqua" w:cs="Times New Roman"/>
          <w:bCs/>
          <w:noProof/>
          <w:color w:val="000000" w:themeColor="text1"/>
          <w:sz w:val="24"/>
          <w:szCs w:val="24"/>
          <w:vertAlign w:val="superscript"/>
        </w:rPr>
        <w:t>[</w:t>
      </w:r>
      <w:proofErr w:type="gramEnd"/>
      <w:r w:rsidRPr="006B24DA">
        <w:rPr>
          <w:rFonts w:ascii="Book Antiqua" w:eastAsia="Times New Roman" w:hAnsi="Book Antiqua" w:cs="Times New Roman"/>
          <w:bCs/>
          <w:noProof/>
          <w:color w:val="000000" w:themeColor="text1"/>
          <w:sz w:val="24"/>
          <w:szCs w:val="24"/>
          <w:vertAlign w:val="superscript"/>
        </w:rPr>
        <w:t>99]</w:t>
      </w:r>
      <w:r w:rsidRPr="006B24DA">
        <w:rPr>
          <w:rFonts w:ascii="Book Antiqua" w:eastAsia="Times New Roman" w:hAnsi="Book Antiqua" w:cs="Times New Roman"/>
          <w:bCs/>
          <w:color w:val="000000" w:themeColor="text1"/>
          <w:sz w:val="24"/>
          <w:szCs w:val="24"/>
        </w:rPr>
        <w:t>, similar to the POEM procedure, to start the submucosal dissection.</w:t>
      </w:r>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Since tunneling does not require any traction for visibility, this</w:t>
      </w:r>
      <w:r w:rsidR="00D25085" w:rsidRPr="006B24DA">
        <w:rPr>
          <w:rFonts w:ascii="Book Antiqua" w:eastAsia="Times New Roman" w:hAnsi="Book Antiqua" w:cs="Times New Roman"/>
          <w:bCs/>
          <w:color w:val="000000" w:themeColor="text1"/>
          <w:sz w:val="24"/>
          <w:szCs w:val="24"/>
        </w:rPr>
        <w:t xml:space="preserve"> can save quite a bit of time.</w:t>
      </w:r>
    </w:p>
    <w:p w14:paraId="5602018C" w14:textId="77777777" w:rsidR="00D25085" w:rsidRPr="006B24DA" w:rsidRDefault="00D25085" w:rsidP="007761C0">
      <w:pPr>
        <w:autoSpaceDE w:val="0"/>
        <w:autoSpaceDN w:val="0"/>
        <w:adjustRightInd w:val="0"/>
        <w:snapToGrid w:val="0"/>
        <w:spacing w:after="0" w:line="360" w:lineRule="auto"/>
        <w:jc w:val="both"/>
        <w:rPr>
          <w:rFonts w:ascii="Book Antiqua" w:eastAsia="Times New Roman" w:hAnsi="Book Antiqua" w:cs="Times New Roman"/>
          <w:bCs/>
          <w:color w:val="000000" w:themeColor="text1"/>
          <w:sz w:val="24"/>
          <w:szCs w:val="24"/>
        </w:rPr>
      </w:pPr>
    </w:p>
    <w:p w14:paraId="61D2526D" w14:textId="77777777" w:rsidR="00D25085" w:rsidRPr="006B24DA" w:rsidRDefault="00D25085" w:rsidP="007761C0">
      <w:pPr>
        <w:autoSpaceDE w:val="0"/>
        <w:autoSpaceDN w:val="0"/>
        <w:adjustRightInd w:val="0"/>
        <w:snapToGrid w:val="0"/>
        <w:spacing w:after="0" w:line="360" w:lineRule="auto"/>
        <w:jc w:val="both"/>
        <w:rPr>
          <w:rFonts w:ascii="Book Antiqua" w:eastAsia="Times New Roman" w:hAnsi="Book Antiqua" w:cs="Times New Roman"/>
          <w:b/>
          <w:bCs/>
          <w:i/>
          <w:color w:val="000000" w:themeColor="text1"/>
          <w:sz w:val="24"/>
          <w:szCs w:val="24"/>
        </w:rPr>
      </w:pPr>
      <w:r w:rsidRPr="006B24DA">
        <w:rPr>
          <w:rFonts w:ascii="Book Antiqua" w:eastAsia="Times New Roman" w:hAnsi="Book Antiqua" w:cs="Times New Roman"/>
          <w:b/>
          <w:bCs/>
          <w:i/>
          <w:color w:val="000000" w:themeColor="text1"/>
          <w:sz w:val="24"/>
          <w:szCs w:val="24"/>
        </w:rPr>
        <w:t>Future opportunities</w:t>
      </w:r>
    </w:p>
    <w:p w14:paraId="3F1A4523" w14:textId="7F011878" w:rsidR="00E20495" w:rsidRPr="006B24DA" w:rsidRDefault="00E20495" w:rsidP="007761C0">
      <w:pPr>
        <w:autoSpaceDE w:val="0"/>
        <w:autoSpaceDN w:val="0"/>
        <w:adjustRightInd w:val="0"/>
        <w:snapToGrid w:val="0"/>
        <w:spacing w:after="0" w:line="360" w:lineRule="auto"/>
        <w:jc w:val="both"/>
        <w:rPr>
          <w:rFonts w:ascii="Book Antiqua" w:eastAsia="Times New Roman" w:hAnsi="Book Antiqua" w:cs="Times New Roman"/>
          <w:bCs/>
          <w:i/>
          <w:color w:val="000000" w:themeColor="text1"/>
          <w:sz w:val="24"/>
          <w:szCs w:val="24"/>
          <w:u w:val="single"/>
        </w:rPr>
      </w:pPr>
      <w:r w:rsidRPr="006B24DA">
        <w:rPr>
          <w:rFonts w:ascii="Book Antiqua" w:eastAsia="Times New Roman" w:hAnsi="Book Antiqua" w:cs="Times New Roman"/>
          <w:bCs/>
          <w:color w:val="000000" w:themeColor="text1"/>
          <w:sz w:val="24"/>
          <w:szCs w:val="24"/>
        </w:rPr>
        <w:t xml:space="preserve">Treatment of Barrett’s and early esophageal cancer </w:t>
      </w:r>
      <w:r w:rsidR="00966E42" w:rsidRPr="006B24DA">
        <w:rPr>
          <w:rFonts w:ascii="Book Antiqua" w:eastAsia="Times New Roman" w:hAnsi="Book Antiqua" w:cs="Times New Roman"/>
          <w:bCs/>
          <w:color w:val="000000" w:themeColor="text1"/>
          <w:sz w:val="24"/>
          <w:szCs w:val="24"/>
        </w:rPr>
        <w:t>-</w:t>
      </w:r>
      <w:r w:rsidRPr="006B24DA">
        <w:rPr>
          <w:rFonts w:ascii="Book Antiqua" w:eastAsia="Times New Roman" w:hAnsi="Book Antiqua" w:cs="Times New Roman"/>
          <w:bCs/>
          <w:color w:val="000000" w:themeColor="text1"/>
          <w:sz w:val="24"/>
          <w:szCs w:val="24"/>
        </w:rPr>
        <w:t xml:space="preserve"> this area has seen tremendous progress in the past decade, and future areas of refinement will include indications for treatment, the optimal modality for specific and individual situations, and pushing the envelope with endoscopic resection.</w:t>
      </w:r>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These resection and tunneling techniques may also be employed to remove submucosal tumors</w:t>
      </w:r>
      <w:r w:rsidR="00D4044E" w:rsidRPr="006B24DA">
        <w:rPr>
          <w:rFonts w:ascii="Book Antiqua" w:eastAsia="Times New Roman" w:hAnsi="Book Antiqua" w:cs="Times New Roman"/>
          <w:bCs/>
          <w:color w:val="000000" w:themeColor="text1"/>
          <w:sz w:val="24"/>
          <w:szCs w:val="24"/>
        </w:rPr>
        <w:t xml:space="preserve"> (SMTs)</w:t>
      </w:r>
      <w:r w:rsidRPr="006B24DA">
        <w:rPr>
          <w:rFonts w:ascii="Book Antiqua" w:eastAsia="Times New Roman" w:hAnsi="Book Antiqua" w:cs="Times New Roman"/>
          <w:bCs/>
          <w:color w:val="000000" w:themeColor="text1"/>
          <w:sz w:val="24"/>
          <w:szCs w:val="24"/>
        </w:rPr>
        <w:t xml:space="preserve">, such as leiomyoma, by </w:t>
      </w:r>
      <w:bookmarkStart w:id="69" w:name="OLE_LINK79"/>
      <w:bookmarkStart w:id="70" w:name="OLE_LINK80"/>
      <w:r w:rsidRPr="006B24DA">
        <w:rPr>
          <w:rFonts w:ascii="Book Antiqua" w:eastAsia="Times New Roman" w:hAnsi="Book Antiqua" w:cs="Times New Roman"/>
          <w:bCs/>
          <w:color w:val="000000" w:themeColor="text1"/>
          <w:sz w:val="24"/>
          <w:szCs w:val="24"/>
        </w:rPr>
        <w:t>submucosal tunneling endoscopic resection</w:t>
      </w:r>
      <w:bookmarkEnd w:id="69"/>
      <w:bookmarkEnd w:id="70"/>
      <w:r w:rsidRPr="006B24DA">
        <w:rPr>
          <w:rFonts w:ascii="Book Antiqua" w:eastAsia="Times New Roman" w:hAnsi="Book Antiqua" w:cs="Times New Roman"/>
          <w:bCs/>
          <w:color w:val="000000" w:themeColor="text1"/>
          <w:sz w:val="24"/>
          <w:szCs w:val="24"/>
        </w:rPr>
        <w:t xml:space="preserve"> (STER) </w:t>
      </w:r>
      <w:proofErr w:type="gramStart"/>
      <w:r w:rsidRPr="006B24DA">
        <w:rPr>
          <w:rFonts w:ascii="Book Antiqua" w:eastAsia="Times New Roman" w:hAnsi="Book Antiqua" w:cs="Times New Roman"/>
          <w:bCs/>
          <w:color w:val="000000" w:themeColor="text1"/>
          <w:sz w:val="24"/>
          <w:szCs w:val="24"/>
        </w:rPr>
        <w:t>technique</w:t>
      </w:r>
      <w:r w:rsidRPr="006B24DA">
        <w:rPr>
          <w:rFonts w:ascii="Book Antiqua" w:eastAsia="Times New Roman" w:hAnsi="Book Antiqua" w:cs="Times New Roman"/>
          <w:bCs/>
          <w:noProof/>
          <w:color w:val="000000" w:themeColor="text1"/>
          <w:sz w:val="24"/>
          <w:szCs w:val="24"/>
          <w:vertAlign w:val="superscript"/>
        </w:rPr>
        <w:t>[</w:t>
      </w:r>
      <w:proofErr w:type="gramEnd"/>
      <w:r w:rsidRPr="006B24DA">
        <w:rPr>
          <w:rFonts w:ascii="Book Antiqua" w:eastAsia="Times New Roman" w:hAnsi="Book Antiqua" w:cs="Times New Roman"/>
          <w:bCs/>
          <w:noProof/>
          <w:color w:val="000000" w:themeColor="text1"/>
          <w:sz w:val="24"/>
          <w:szCs w:val="24"/>
          <w:vertAlign w:val="superscript"/>
        </w:rPr>
        <w:t>104-107]</w:t>
      </w:r>
      <w:r w:rsidRPr="006B24DA">
        <w:rPr>
          <w:rFonts w:ascii="Book Antiqua" w:eastAsia="Times New Roman" w:hAnsi="Book Antiqua" w:cs="Times New Roman"/>
          <w:bCs/>
          <w:color w:val="000000" w:themeColor="text1"/>
          <w:sz w:val="24"/>
          <w:szCs w:val="24"/>
        </w:rPr>
        <w:t>.</w:t>
      </w:r>
    </w:p>
    <w:p w14:paraId="6DDB2A73" w14:textId="12E34B10" w:rsidR="00E20495" w:rsidRPr="006B24DA" w:rsidRDefault="00D25085" w:rsidP="007761C0">
      <w:pPr>
        <w:autoSpaceDE w:val="0"/>
        <w:autoSpaceDN w:val="0"/>
        <w:adjustRightInd w:val="0"/>
        <w:snapToGrid w:val="0"/>
        <w:spacing w:after="0" w:line="360" w:lineRule="auto"/>
        <w:jc w:val="both"/>
        <w:rPr>
          <w:rFonts w:ascii="Book Antiqua" w:eastAsia="Times New Roman" w:hAnsi="Book Antiqua" w:cs="Times New Roman"/>
          <w:bCs/>
          <w:color w:val="000000" w:themeColor="text1"/>
          <w:sz w:val="24"/>
          <w:szCs w:val="24"/>
        </w:rPr>
      </w:pPr>
      <w:r w:rsidRPr="006B24DA">
        <w:rPr>
          <w:rFonts w:ascii="Book Antiqua" w:eastAsia="Times New Roman" w:hAnsi="Book Antiqua" w:cs="Times New Roman"/>
          <w:bCs/>
          <w:color w:val="000000" w:themeColor="text1"/>
          <w:sz w:val="24"/>
          <w:szCs w:val="24"/>
        </w:rPr>
        <w:t xml:space="preserve">  Detection and s</w:t>
      </w:r>
      <w:r w:rsidR="00E20495" w:rsidRPr="006B24DA">
        <w:rPr>
          <w:rFonts w:ascii="Book Antiqua" w:eastAsia="Times New Roman" w:hAnsi="Book Antiqua" w:cs="Times New Roman"/>
          <w:bCs/>
          <w:color w:val="000000" w:themeColor="text1"/>
          <w:sz w:val="24"/>
          <w:szCs w:val="24"/>
        </w:rPr>
        <w:t>taging Barrett’s - while endoscopic treatment of Barrett’s and early esophageal cancer has progressed rapidly, the endoscopic detection and staging of Barrett’s has not progressed to the same extent.</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We still live in the world of uncertainty regarding who and how to screen for Barrett’s.</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There are 4 “buckets” of unmet needs: </w:t>
      </w:r>
      <w:r w:rsidRPr="006B24DA">
        <w:rPr>
          <w:rFonts w:ascii="Book Antiqua" w:eastAsia="Times New Roman" w:hAnsi="Book Antiqua" w:cs="Times New Roman"/>
          <w:bCs/>
          <w:color w:val="000000" w:themeColor="text1"/>
          <w:sz w:val="24"/>
          <w:szCs w:val="24"/>
        </w:rPr>
        <w:t>(</w:t>
      </w:r>
      <w:r w:rsidR="00E20495" w:rsidRPr="006B24DA">
        <w:rPr>
          <w:rFonts w:ascii="Book Antiqua" w:eastAsia="Times New Roman" w:hAnsi="Book Antiqua" w:cs="Times New Roman"/>
          <w:bCs/>
          <w:color w:val="000000" w:themeColor="text1"/>
          <w:sz w:val="24"/>
          <w:szCs w:val="24"/>
        </w:rPr>
        <w:t>1) in patients with possible ultra-short segment Barrett’s, we need to be confident in either ru</w:t>
      </w:r>
      <w:r w:rsidRPr="006B24DA">
        <w:rPr>
          <w:rFonts w:ascii="Book Antiqua" w:eastAsia="Times New Roman" w:hAnsi="Book Antiqua" w:cs="Times New Roman"/>
          <w:bCs/>
          <w:color w:val="000000" w:themeColor="text1"/>
          <w:sz w:val="24"/>
          <w:szCs w:val="24"/>
        </w:rPr>
        <w:t>ling in or ruling out Barrett’s;</w:t>
      </w:r>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w:t>
      </w:r>
      <w:r w:rsidR="00E20495" w:rsidRPr="006B24DA">
        <w:rPr>
          <w:rFonts w:ascii="Book Antiqua" w:eastAsia="Times New Roman" w:hAnsi="Book Antiqua" w:cs="Times New Roman"/>
          <w:bCs/>
          <w:color w:val="000000" w:themeColor="text1"/>
          <w:sz w:val="24"/>
          <w:szCs w:val="24"/>
        </w:rPr>
        <w:t xml:space="preserve">2) in patients with established Barrett’s, we need to be able to detect the presence or absence </w:t>
      </w:r>
      <w:r w:rsidRPr="006B24DA">
        <w:rPr>
          <w:rFonts w:ascii="Book Antiqua" w:eastAsia="Times New Roman" w:hAnsi="Book Antiqua" w:cs="Times New Roman"/>
          <w:bCs/>
          <w:color w:val="000000" w:themeColor="text1"/>
          <w:sz w:val="24"/>
          <w:szCs w:val="24"/>
        </w:rPr>
        <w:t>of dysplasia with high accuracy;</w:t>
      </w:r>
      <w:r w:rsidR="00E20495"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w:t>
      </w:r>
      <w:r w:rsidR="00E20495" w:rsidRPr="006B24DA">
        <w:rPr>
          <w:rFonts w:ascii="Book Antiqua" w:eastAsia="Times New Roman" w:hAnsi="Book Antiqua" w:cs="Times New Roman"/>
          <w:bCs/>
          <w:color w:val="000000" w:themeColor="text1"/>
          <w:sz w:val="24"/>
          <w:szCs w:val="24"/>
        </w:rPr>
        <w:t>3) in patients with known dysplasia, we need to predict which patients will respond to RFA or other ablative modalities and separate out those patient who would require deeper and more aggressive treatment, such as endoscopic resection</w:t>
      </w:r>
      <w:r w:rsidRPr="006B24DA">
        <w:rPr>
          <w:rFonts w:ascii="Book Antiqua" w:eastAsia="Times New Roman" w:hAnsi="Book Antiqua" w:cs="Times New Roman"/>
          <w:bCs/>
          <w:color w:val="000000" w:themeColor="text1"/>
          <w:sz w:val="24"/>
          <w:szCs w:val="24"/>
        </w:rPr>
        <w:t>;</w:t>
      </w:r>
      <w:r w:rsidR="00E20495" w:rsidRPr="006B24DA">
        <w:rPr>
          <w:rFonts w:ascii="Book Antiqua" w:eastAsia="Times New Roman" w:hAnsi="Book Antiqua" w:cs="Times New Roman"/>
          <w:bCs/>
          <w:color w:val="000000" w:themeColor="text1"/>
          <w:sz w:val="24"/>
          <w:szCs w:val="24"/>
        </w:rPr>
        <w:t xml:space="preserve"> and </w:t>
      </w:r>
      <w:r w:rsidRPr="006B24DA">
        <w:rPr>
          <w:rFonts w:ascii="Book Antiqua" w:eastAsia="Times New Roman" w:hAnsi="Book Antiqua" w:cs="Times New Roman"/>
          <w:bCs/>
          <w:color w:val="000000" w:themeColor="text1"/>
          <w:sz w:val="24"/>
          <w:szCs w:val="24"/>
        </w:rPr>
        <w:t>(</w:t>
      </w:r>
      <w:r w:rsidR="00E20495" w:rsidRPr="006B24DA">
        <w:rPr>
          <w:rFonts w:ascii="Book Antiqua" w:eastAsia="Times New Roman" w:hAnsi="Book Antiqua" w:cs="Times New Roman"/>
          <w:bCs/>
          <w:color w:val="000000" w:themeColor="text1"/>
          <w:sz w:val="24"/>
          <w:szCs w:val="24"/>
        </w:rPr>
        <w:t xml:space="preserve">4) among patients undergoing </w:t>
      </w:r>
      <w:r w:rsidR="00E20495" w:rsidRPr="006B24DA">
        <w:rPr>
          <w:rFonts w:ascii="Book Antiqua" w:eastAsia="Times New Roman" w:hAnsi="Book Antiqua" w:cs="Times New Roman"/>
          <w:bCs/>
          <w:color w:val="000000" w:themeColor="text1"/>
          <w:sz w:val="24"/>
          <w:szCs w:val="24"/>
        </w:rPr>
        <w:lastRenderedPageBreak/>
        <w:t>endoscopic treatment for Barrett’s, we need to detect residual Barrett’s that is not obvious by white light or narrow band imaging (</w:t>
      </w:r>
      <w:r w:rsidRPr="006B24DA">
        <w:rPr>
          <w:rFonts w:ascii="Book Antiqua" w:eastAsia="Times New Roman" w:hAnsi="Book Antiqua" w:cs="Times New Roman"/>
          <w:bCs/>
          <w:i/>
          <w:color w:val="000000" w:themeColor="text1"/>
          <w:sz w:val="24"/>
          <w:szCs w:val="24"/>
        </w:rPr>
        <w:t>e.g.</w:t>
      </w:r>
      <w:r w:rsidRPr="006B24DA">
        <w:rPr>
          <w:rFonts w:ascii="Book Antiqua" w:eastAsia="Times New Roman" w:hAnsi="Book Antiqua" w:cs="Times New Roman"/>
          <w:bCs/>
          <w:color w:val="000000" w:themeColor="text1"/>
          <w:sz w:val="24"/>
          <w:szCs w:val="24"/>
        </w:rPr>
        <w:t>,</w:t>
      </w:r>
      <w:r w:rsidR="00E20495" w:rsidRPr="006B24DA">
        <w:rPr>
          <w:rFonts w:ascii="Book Antiqua" w:eastAsia="Times New Roman" w:hAnsi="Book Antiqua" w:cs="Times New Roman"/>
          <w:bCs/>
          <w:color w:val="000000" w:themeColor="text1"/>
          <w:sz w:val="24"/>
          <w:szCs w:val="24"/>
        </w:rPr>
        <w:t xml:space="preserve"> Buried Barrett’s, or residual neoplasm in the gastroesophageal junction) and risk stratify patients who are more likely to have early recurrence of Barrett’s and dysplasia.</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Improved imaging with high resolution white light, narrow band imaging, acetic acid and </w:t>
      </w:r>
      <w:proofErr w:type="spellStart"/>
      <w:r w:rsidR="00E20495" w:rsidRPr="006B24DA">
        <w:rPr>
          <w:rFonts w:ascii="Book Antiqua" w:eastAsia="Times New Roman" w:hAnsi="Book Antiqua" w:cs="Times New Roman"/>
          <w:bCs/>
          <w:color w:val="000000" w:themeColor="text1"/>
          <w:sz w:val="24"/>
          <w:szCs w:val="24"/>
        </w:rPr>
        <w:t>chromoendoscopy</w:t>
      </w:r>
      <w:proofErr w:type="spellEnd"/>
      <w:r w:rsidR="00E20495" w:rsidRPr="006B24DA">
        <w:rPr>
          <w:rFonts w:ascii="Book Antiqua" w:eastAsia="Times New Roman" w:hAnsi="Book Antiqua" w:cs="Times New Roman"/>
          <w:bCs/>
          <w:color w:val="000000" w:themeColor="text1"/>
          <w:sz w:val="24"/>
          <w:szCs w:val="24"/>
        </w:rPr>
        <w:t>, in addition to new technologies such</w:t>
      </w:r>
      <w:r w:rsidRPr="006B24DA">
        <w:rPr>
          <w:rFonts w:ascii="Book Antiqua" w:eastAsia="Times New Roman" w:hAnsi="Book Antiqua" w:cs="Times New Roman"/>
          <w:bCs/>
          <w:color w:val="000000" w:themeColor="text1"/>
          <w:sz w:val="24"/>
          <w:szCs w:val="24"/>
        </w:rPr>
        <w:t xml:space="preserve"> as </w:t>
      </w:r>
      <w:proofErr w:type="spellStart"/>
      <w:r w:rsidRPr="006B24DA">
        <w:rPr>
          <w:rFonts w:ascii="Book Antiqua" w:eastAsia="Times New Roman" w:hAnsi="Book Antiqua" w:cs="Times New Roman"/>
          <w:bCs/>
          <w:color w:val="000000" w:themeColor="text1"/>
          <w:sz w:val="24"/>
          <w:szCs w:val="24"/>
        </w:rPr>
        <w:t>endomicroscopy</w:t>
      </w:r>
      <w:proofErr w:type="spellEnd"/>
      <w:r w:rsidRPr="006B24DA">
        <w:rPr>
          <w:rFonts w:ascii="Book Antiqua" w:eastAsia="Times New Roman" w:hAnsi="Book Antiqua" w:cs="Times New Roman"/>
          <w:bCs/>
          <w:color w:val="000000" w:themeColor="text1"/>
          <w:sz w:val="24"/>
          <w:szCs w:val="24"/>
        </w:rPr>
        <w:t xml:space="preserve"> (</w:t>
      </w:r>
      <w:proofErr w:type="spellStart"/>
      <w:r w:rsidRPr="006B24DA">
        <w:rPr>
          <w:rFonts w:ascii="Book Antiqua" w:eastAsia="Times New Roman" w:hAnsi="Book Antiqua" w:cs="Times New Roman"/>
          <w:bCs/>
          <w:color w:val="000000" w:themeColor="text1"/>
          <w:sz w:val="24"/>
          <w:szCs w:val="24"/>
        </w:rPr>
        <w:t>CellVizio</w:t>
      </w:r>
      <w:proofErr w:type="spellEnd"/>
      <w:r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and optical coherence tomography/</w:t>
      </w:r>
      <w:bookmarkStart w:id="71" w:name="OLE_LINK81"/>
      <w:bookmarkStart w:id="72" w:name="OLE_LINK82"/>
      <w:r w:rsidR="00E20495" w:rsidRPr="006B24DA">
        <w:rPr>
          <w:rFonts w:ascii="Book Antiqua" w:eastAsia="Times New Roman" w:hAnsi="Book Antiqua" w:cs="Times New Roman"/>
          <w:bCs/>
          <w:color w:val="000000" w:themeColor="text1"/>
          <w:sz w:val="24"/>
          <w:szCs w:val="24"/>
        </w:rPr>
        <w:t xml:space="preserve">volumetric laser </w:t>
      </w:r>
      <w:proofErr w:type="spellStart"/>
      <w:r w:rsidR="00E20495" w:rsidRPr="006B24DA">
        <w:rPr>
          <w:rFonts w:ascii="Book Antiqua" w:eastAsia="Times New Roman" w:hAnsi="Book Antiqua" w:cs="Times New Roman"/>
          <w:bCs/>
          <w:color w:val="000000" w:themeColor="text1"/>
          <w:sz w:val="24"/>
          <w:szCs w:val="24"/>
        </w:rPr>
        <w:t>endomicroscopy</w:t>
      </w:r>
      <w:bookmarkEnd w:id="71"/>
      <w:bookmarkEnd w:id="72"/>
      <w:proofErr w:type="spellEnd"/>
      <w:r w:rsidR="00E20495" w:rsidRPr="006B24DA">
        <w:rPr>
          <w:rFonts w:ascii="Book Antiqua" w:eastAsia="Times New Roman" w:hAnsi="Book Antiqua" w:cs="Times New Roman"/>
          <w:bCs/>
          <w:color w:val="000000" w:themeColor="text1"/>
          <w:sz w:val="24"/>
          <w:szCs w:val="24"/>
        </w:rPr>
        <w:t xml:space="preserve"> (VLE) show promise in addressing the needs within these 4 buckets </w:t>
      </w:r>
      <w:r w:rsidR="00966E42" w:rsidRPr="006B24DA">
        <w:rPr>
          <w:rFonts w:ascii="Book Antiqua" w:eastAsia="Times New Roman" w:hAnsi="Book Antiqua" w:cs="Times New Roman"/>
          <w:bCs/>
          <w:color w:val="000000" w:themeColor="text1"/>
          <w:sz w:val="24"/>
          <w:szCs w:val="24"/>
        </w:rPr>
        <w:t>-</w:t>
      </w:r>
      <w:r w:rsidR="00E20495" w:rsidRPr="006B24DA">
        <w:rPr>
          <w:rFonts w:ascii="Book Antiqua" w:eastAsia="Times New Roman" w:hAnsi="Book Antiqua" w:cs="Times New Roman"/>
          <w:bCs/>
          <w:color w:val="000000" w:themeColor="text1"/>
          <w:sz w:val="24"/>
          <w:szCs w:val="24"/>
        </w:rPr>
        <w:t xml:space="preserve"> but we still have not fully addressed these important issues. The use of probe based confocal laser </w:t>
      </w:r>
      <w:proofErr w:type="spellStart"/>
      <w:r w:rsidR="00E20495" w:rsidRPr="006B24DA">
        <w:rPr>
          <w:rFonts w:ascii="Book Antiqua" w:eastAsia="Times New Roman" w:hAnsi="Book Antiqua" w:cs="Times New Roman"/>
          <w:bCs/>
          <w:color w:val="000000" w:themeColor="text1"/>
          <w:sz w:val="24"/>
          <w:szCs w:val="24"/>
        </w:rPr>
        <w:t>endomicroscopy</w:t>
      </w:r>
      <w:proofErr w:type="spellEnd"/>
      <w:r w:rsidR="00E20495" w:rsidRPr="006B24DA">
        <w:rPr>
          <w:rFonts w:ascii="Book Antiqua" w:eastAsia="Times New Roman" w:hAnsi="Book Antiqua" w:cs="Times New Roman"/>
          <w:bCs/>
          <w:color w:val="000000" w:themeColor="text1"/>
          <w:sz w:val="24"/>
          <w:szCs w:val="24"/>
        </w:rPr>
        <w:t xml:space="preserve"> (</w:t>
      </w:r>
      <w:proofErr w:type="spellStart"/>
      <w:r w:rsidR="00E20495" w:rsidRPr="006B24DA">
        <w:rPr>
          <w:rFonts w:ascii="Book Antiqua" w:eastAsia="Times New Roman" w:hAnsi="Book Antiqua" w:cs="Times New Roman"/>
          <w:bCs/>
          <w:color w:val="000000" w:themeColor="text1"/>
          <w:sz w:val="24"/>
          <w:szCs w:val="24"/>
        </w:rPr>
        <w:t>pCLE</w:t>
      </w:r>
      <w:proofErr w:type="spellEnd"/>
      <w:r w:rsidR="00E20495"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color w:val="000000" w:themeColor="text1"/>
          <w:sz w:val="24"/>
          <w:szCs w:val="24"/>
        </w:rPr>
        <w:t>(Figure 2</w:t>
      </w:r>
      <w:r w:rsidR="005D4219" w:rsidRPr="006B24DA">
        <w:rPr>
          <w:rFonts w:ascii="Book Antiqua" w:eastAsia="Times New Roman" w:hAnsi="Book Antiqua" w:cs="Times New Roman"/>
          <w:color w:val="000000" w:themeColor="text1"/>
          <w:sz w:val="24"/>
          <w:szCs w:val="24"/>
        </w:rPr>
        <w:t>1</w:t>
      </w:r>
      <w:r w:rsidR="00E20495" w:rsidRPr="006B24DA">
        <w:rPr>
          <w:rFonts w:ascii="Book Antiqua" w:eastAsia="Times New Roman" w:hAnsi="Book Antiqua" w:cs="Times New Roman"/>
          <w:color w:val="000000" w:themeColor="text1"/>
          <w:sz w:val="24"/>
          <w:szCs w:val="24"/>
        </w:rPr>
        <w:t>)</w:t>
      </w:r>
      <w:r w:rsidR="00E20495" w:rsidRPr="006B24DA">
        <w:rPr>
          <w:rFonts w:ascii="Book Antiqua" w:eastAsia="Times New Roman" w:hAnsi="Book Antiqua" w:cs="Times New Roman"/>
          <w:bCs/>
          <w:color w:val="000000" w:themeColor="text1"/>
          <w:sz w:val="24"/>
          <w:szCs w:val="24"/>
        </w:rPr>
        <w:t xml:space="preserve"> in the evaluation of BE has been recognized for a list of clinical situations, including its use in conjunction with narrow band imaging</w:t>
      </w:r>
      <w:r w:rsidRPr="006B24DA">
        <w:rPr>
          <w:rFonts w:ascii="Book Antiqua" w:eastAsia="Times New Roman" w:hAnsi="Book Antiqua" w:cs="Times New Roman"/>
          <w:bCs/>
          <w:noProof/>
          <w:color w:val="000000" w:themeColor="text1"/>
          <w:sz w:val="24"/>
          <w:szCs w:val="24"/>
          <w:vertAlign w:val="superscript"/>
        </w:rPr>
        <w:t>[108,</w:t>
      </w:r>
      <w:r w:rsidR="00E20495" w:rsidRPr="006B24DA">
        <w:rPr>
          <w:rFonts w:ascii="Book Antiqua" w:eastAsia="Times New Roman" w:hAnsi="Book Antiqua" w:cs="Times New Roman"/>
          <w:bCs/>
          <w:noProof/>
          <w:color w:val="000000" w:themeColor="text1"/>
          <w:sz w:val="24"/>
          <w:szCs w:val="24"/>
          <w:vertAlign w:val="superscript"/>
        </w:rPr>
        <w:t>109]</w:t>
      </w:r>
      <w:r w:rsidR="00E20495" w:rsidRPr="006B24DA">
        <w:rPr>
          <w:rFonts w:ascii="Book Antiqua" w:eastAsia="Times New Roman" w:hAnsi="Book Antiqua" w:cs="Times New Roman"/>
          <w:bCs/>
          <w:color w:val="000000" w:themeColor="text1"/>
          <w:sz w:val="24"/>
          <w:szCs w:val="24"/>
        </w:rPr>
        <w:t>, the surveillance of BE dysplasia in patients undergoing follow-up</w:t>
      </w:r>
      <w:r w:rsidR="00E20495" w:rsidRPr="006B24DA">
        <w:rPr>
          <w:rFonts w:ascii="Book Antiqua" w:eastAsia="Times New Roman" w:hAnsi="Book Antiqua" w:cs="Times New Roman"/>
          <w:bCs/>
          <w:noProof/>
          <w:color w:val="000000" w:themeColor="text1"/>
          <w:sz w:val="24"/>
          <w:szCs w:val="24"/>
          <w:vertAlign w:val="superscript"/>
        </w:rPr>
        <w:t>[110-114]</w:t>
      </w:r>
      <w:r w:rsidR="00E20495" w:rsidRPr="006B24DA">
        <w:rPr>
          <w:rFonts w:ascii="Book Antiqua" w:eastAsia="Times New Roman" w:hAnsi="Book Antiqua" w:cs="Times New Roman"/>
          <w:bCs/>
          <w:color w:val="000000" w:themeColor="text1"/>
          <w:sz w:val="24"/>
          <w:szCs w:val="24"/>
        </w:rPr>
        <w:t xml:space="preserve"> and the definition of the lateral extent of neoplasia prior to therapy</w:t>
      </w:r>
      <w:r w:rsidR="00E20495" w:rsidRPr="006B24DA">
        <w:rPr>
          <w:rFonts w:ascii="Book Antiqua" w:eastAsia="Times New Roman" w:hAnsi="Book Antiqua" w:cs="Times New Roman"/>
          <w:bCs/>
          <w:noProof/>
          <w:color w:val="000000" w:themeColor="text1"/>
          <w:sz w:val="24"/>
          <w:szCs w:val="24"/>
          <w:vertAlign w:val="superscript"/>
        </w:rPr>
        <w:t>[</w:t>
      </w:r>
      <w:r w:rsidRPr="006B24DA">
        <w:rPr>
          <w:rFonts w:ascii="Book Antiqua" w:eastAsia="Times New Roman" w:hAnsi="Book Antiqua" w:cs="Times New Roman"/>
          <w:bCs/>
          <w:noProof/>
          <w:color w:val="000000" w:themeColor="text1"/>
          <w:sz w:val="24"/>
          <w:szCs w:val="24"/>
          <w:vertAlign w:val="superscript"/>
        </w:rPr>
        <w:t>108,</w:t>
      </w:r>
      <w:r w:rsidR="00E20495" w:rsidRPr="006B24DA">
        <w:rPr>
          <w:rFonts w:ascii="Book Antiqua" w:eastAsia="Times New Roman" w:hAnsi="Book Antiqua" w:cs="Times New Roman"/>
          <w:bCs/>
          <w:noProof/>
          <w:color w:val="000000" w:themeColor="text1"/>
          <w:sz w:val="24"/>
          <w:szCs w:val="24"/>
          <w:vertAlign w:val="superscript"/>
        </w:rPr>
        <w:t>115]</w:t>
      </w:r>
      <w:r w:rsidR="00E20495" w:rsidRPr="006B24DA">
        <w:rPr>
          <w:rFonts w:ascii="Book Antiqua" w:eastAsia="Times New Roman" w:hAnsi="Book Antiqua" w:cs="Times New Roman"/>
          <w:bCs/>
          <w:color w:val="000000" w:themeColor="text1"/>
          <w:sz w:val="24"/>
          <w:szCs w:val="24"/>
        </w:rPr>
        <w:t xml:space="preserve">. The </w:t>
      </w:r>
      <w:proofErr w:type="spellStart"/>
      <w:r w:rsidR="00E20495" w:rsidRPr="006B24DA">
        <w:rPr>
          <w:rFonts w:ascii="Book Antiqua" w:eastAsia="Times New Roman" w:hAnsi="Book Antiqua" w:cs="Times New Roman"/>
          <w:bCs/>
          <w:color w:val="000000" w:themeColor="text1"/>
          <w:sz w:val="24"/>
          <w:szCs w:val="24"/>
        </w:rPr>
        <w:t>pCLE</w:t>
      </w:r>
      <w:proofErr w:type="spellEnd"/>
      <w:r w:rsidR="00E20495" w:rsidRPr="006B24DA">
        <w:rPr>
          <w:rFonts w:ascii="Book Antiqua" w:eastAsia="Times New Roman" w:hAnsi="Book Antiqua" w:cs="Times New Roman"/>
          <w:bCs/>
          <w:color w:val="000000" w:themeColor="text1"/>
          <w:sz w:val="24"/>
          <w:szCs w:val="24"/>
        </w:rPr>
        <w:t xml:space="preserve">-targeted biopsies appear to reduce the number of physical biopsies and to increase the accuracy of the procedure, in real </w:t>
      </w:r>
      <w:proofErr w:type="gramStart"/>
      <w:r w:rsidR="00E20495" w:rsidRPr="006B24DA">
        <w:rPr>
          <w:rFonts w:ascii="Book Antiqua" w:eastAsia="Times New Roman" w:hAnsi="Book Antiqua" w:cs="Times New Roman"/>
          <w:bCs/>
          <w:color w:val="000000" w:themeColor="text1"/>
          <w:sz w:val="24"/>
          <w:szCs w:val="24"/>
        </w:rPr>
        <w:t>time</w:t>
      </w:r>
      <w:r w:rsidRPr="006B24DA">
        <w:rPr>
          <w:rFonts w:ascii="Book Antiqua" w:eastAsia="Times New Roman" w:hAnsi="Book Antiqua" w:cs="Times New Roman"/>
          <w:bCs/>
          <w:noProof/>
          <w:color w:val="000000" w:themeColor="text1"/>
          <w:sz w:val="24"/>
          <w:szCs w:val="24"/>
          <w:vertAlign w:val="superscript"/>
        </w:rPr>
        <w:t>[</w:t>
      </w:r>
      <w:proofErr w:type="gramEnd"/>
      <w:r w:rsidRPr="006B24DA">
        <w:rPr>
          <w:rFonts w:ascii="Book Antiqua" w:eastAsia="Times New Roman" w:hAnsi="Book Antiqua" w:cs="Times New Roman"/>
          <w:bCs/>
          <w:noProof/>
          <w:color w:val="000000" w:themeColor="text1"/>
          <w:sz w:val="24"/>
          <w:szCs w:val="24"/>
          <w:vertAlign w:val="superscript"/>
        </w:rPr>
        <w:t>108,</w:t>
      </w:r>
      <w:r w:rsidR="00E20495" w:rsidRPr="006B24DA">
        <w:rPr>
          <w:rFonts w:ascii="Book Antiqua" w:eastAsia="Times New Roman" w:hAnsi="Book Antiqua" w:cs="Times New Roman"/>
          <w:bCs/>
          <w:noProof/>
          <w:color w:val="000000" w:themeColor="text1"/>
          <w:sz w:val="24"/>
          <w:szCs w:val="24"/>
          <w:vertAlign w:val="superscript"/>
        </w:rPr>
        <w:t>115-117]</w:t>
      </w:r>
      <w:r w:rsidR="00E20495" w:rsidRPr="006B24DA">
        <w:rPr>
          <w:rFonts w:ascii="Book Antiqua" w:eastAsia="Times New Roman" w:hAnsi="Book Antiqua" w:cs="Times New Roman"/>
          <w:bCs/>
          <w:color w:val="000000" w:themeColor="text1"/>
          <w:sz w:val="24"/>
          <w:szCs w:val="24"/>
        </w:rPr>
        <w:t>. As a result, the yield for neoplasia is higher than that of white light endoscopy and random biopsies.</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However, the additional cost, skill, and time for performing </w:t>
      </w:r>
      <w:proofErr w:type="spellStart"/>
      <w:r w:rsidR="00E20495" w:rsidRPr="006B24DA">
        <w:rPr>
          <w:rFonts w:ascii="Book Antiqua" w:eastAsia="Times New Roman" w:hAnsi="Book Antiqua" w:cs="Times New Roman"/>
          <w:bCs/>
          <w:color w:val="000000" w:themeColor="text1"/>
          <w:sz w:val="24"/>
          <w:szCs w:val="24"/>
        </w:rPr>
        <w:t>pCLE</w:t>
      </w:r>
      <w:proofErr w:type="spellEnd"/>
      <w:r w:rsidR="00E20495" w:rsidRPr="006B24DA">
        <w:rPr>
          <w:rFonts w:ascii="Book Antiqua" w:eastAsia="Times New Roman" w:hAnsi="Book Antiqua" w:cs="Times New Roman"/>
          <w:bCs/>
          <w:color w:val="000000" w:themeColor="text1"/>
          <w:sz w:val="24"/>
          <w:szCs w:val="24"/>
        </w:rPr>
        <w:t xml:space="preserve"> </w:t>
      </w:r>
      <w:proofErr w:type="gramStart"/>
      <w:r w:rsidR="00E20495" w:rsidRPr="006B24DA">
        <w:rPr>
          <w:rFonts w:ascii="Book Antiqua" w:eastAsia="Times New Roman" w:hAnsi="Book Antiqua" w:cs="Times New Roman"/>
          <w:bCs/>
          <w:color w:val="000000" w:themeColor="text1"/>
          <w:sz w:val="24"/>
          <w:szCs w:val="24"/>
        </w:rPr>
        <w:t>has</w:t>
      </w:r>
      <w:proofErr w:type="gramEnd"/>
      <w:r w:rsidR="00E20495" w:rsidRPr="006B24DA">
        <w:rPr>
          <w:rFonts w:ascii="Book Antiqua" w:eastAsia="Times New Roman" w:hAnsi="Book Antiqua" w:cs="Times New Roman"/>
          <w:bCs/>
          <w:color w:val="000000" w:themeColor="text1"/>
          <w:sz w:val="24"/>
          <w:szCs w:val="24"/>
        </w:rPr>
        <w:t xml:space="preserve"> limited its widespread use in clinical practice.</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I have been involved with </w:t>
      </w:r>
      <w:proofErr w:type="spellStart"/>
      <w:r w:rsidR="00E20495" w:rsidRPr="006B24DA">
        <w:rPr>
          <w:rFonts w:ascii="Book Antiqua" w:eastAsia="Times New Roman" w:hAnsi="Book Antiqua" w:cs="Times New Roman"/>
          <w:bCs/>
          <w:color w:val="000000" w:themeColor="text1"/>
          <w:sz w:val="24"/>
          <w:szCs w:val="24"/>
        </w:rPr>
        <w:t>pCLE</w:t>
      </w:r>
      <w:proofErr w:type="spellEnd"/>
      <w:r w:rsidR="00E20495" w:rsidRPr="006B24DA">
        <w:rPr>
          <w:rFonts w:ascii="Book Antiqua" w:eastAsia="Times New Roman" w:hAnsi="Book Antiqua" w:cs="Times New Roman"/>
          <w:bCs/>
          <w:color w:val="000000" w:themeColor="text1"/>
          <w:sz w:val="24"/>
          <w:szCs w:val="24"/>
        </w:rPr>
        <w:t xml:space="preserve"> clinical and translational </w:t>
      </w:r>
      <w:proofErr w:type="gramStart"/>
      <w:r w:rsidR="00E20495" w:rsidRPr="006B24DA">
        <w:rPr>
          <w:rFonts w:ascii="Book Antiqua" w:eastAsia="Times New Roman" w:hAnsi="Book Antiqua" w:cs="Times New Roman"/>
          <w:bCs/>
          <w:color w:val="000000" w:themeColor="text1"/>
          <w:sz w:val="24"/>
          <w:szCs w:val="24"/>
        </w:rPr>
        <w:t>research</w:t>
      </w:r>
      <w:r w:rsidRPr="006B24DA">
        <w:rPr>
          <w:rFonts w:ascii="Book Antiqua" w:eastAsia="Times New Roman" w:hAnsi="Book Antiqua" w:cs="Times New Roman"/>
          <w:bCs/>
          <w:noProof/>
          <w:color w:val="000000" w:themeColor="text1"/>
          <w:sz w:val="24"/>
          <w:szCs w:val="24"/>
          <w:vertAlign w:val="superscript"/>
        </w:rPr>
        <w:t>[</w:t>
      </w:r>
      <w:proofErr w:type="gramEnd"/>
      <w:r w:rsidRPr="006B24DA">
        <w:rPr>
          <w:rFonts w:ascii="Book Antiqua" w:eastAsia="Times New Roman" w:hAnsi="Book Antiqua" w:cs="Times New Roman"/>
          <w:bCs/>
          <w:noProof/>
          <w:color w:val="000000" w:themeColor="text1"/>
          <w:sz w:val="24"/>
          <w:szCs w:val="24"/>
          <w:vertAlign w:val="superscript"/>
        </w:rPr>
        <w:t>108,</w:t>
      </w:r>
      <w:r w:rsidR="00E20495" w:rsidRPr="006B24DA">
        <w:rPr>
          <w:rFonts w:ascii="Book Antiqua" w:eastAsia="Times New Roman" w:hAnsi="Book Antiqua" w:cs="Times New Roman"/>
          <w:bCs/>
          <w:noProof/>
          <w:color w:val="000000" w:themeColor="text1"/>
          <w:sz w:val="24"/>
          <w:szCs w:val="24"/>
          <w:vertAlign w:val="superscript"/>
        </w:rPr>
        <w:t>118-122]</w:t>
      </w:r>
      <w:r w:rsidR="00E20495" w:rsidRPr="006B24DA">
        <w:rPr>
          <w:rFonts w:ascii="Book Antiqua" w:eastAsia="Times New Roman" w:hAnsi="Book Antiqua" w:cs="Times New Roman"/>
          <w:bCs/>
          <w:color w:val="000000" w:themeColor="text1"/>
          <w:sz w:val="24"/>
          <w:szCs w:val="24"/>
        </w:rPr>
        <w:t xml:space="preserve"> and training since 2009 and in our practice, we use </w:t>
      </w:r>
      <w:proofErr w:type="spellStart"/>
      <w:r w:rsidR="00E20495" w:rsidRPr="006B24DA">
        <w:rPr>
          <w:rFonts w:ascii="Book Antiqua" w:eastAsia="Times New Roman" w:hAnsi="Book Antiqua" w:cs="Times New Roman"/>
          <w:bCs/>
          <w:color w:val="000000" w:themeColor="text1"/>
          <w:sz w:val="24"/>
          <w:szCs w:val="24"/>
        </w:rPr>
        <w:t>pCLE</w:t>
      </w:r>
      <w:proofErr w:type="spellEnd"/>
      <w:r w:rsidR="00E20495" w:rsidRPr="006B24DA">
        <w:rPr>
          <w:rFonts w:ascii="Book Antiqua" w:eastAsia="Times New Roman" w:hAnsi="Book Antiqua" w:cs="Times New Roman"/>
          <w:bCs/>
          <w:color w:val="000000" w:themeColor="text1"/>
          <w:sz w:val="24"/>
          <w:szCs w:val="24"/>
        </w:rPr>
        <w:t xml:space="preserve"> routinely for “buckets” 1 and 2.</w:t>
      </w:r>
      <w:r w:rsidR="00D33133" w:rsidRPr="006B24DA">
        <w:rPr>
          <w:rFonts w:ascii="Book Antiqua" w:eastAsia="Times New Roman" w:hAnsi="Book Antiqua" w:cs="Times New Roman"/>
          <w:bCs/>
          <w:color w:val="000000" w:themeColor="text1"/>
          <w:sz w:val="24"/>
          <w:szCs w:val="24"/>
        </w:rPr>
        <w:t xml:space="preserve"> </w:t>
      </w:r>
    </w:p>
    <w:p w14:paraId="0BF87CB6" w14:textId="5F9A42F6" w:rsidR="00E20495" w:rsidRPr="006B24DA" w:rsidRDefault="00D25085" w:rsidP="007761C0">
      <w:pPr>
        <w:autoSpaceDE w:val="0"/>
        <w:autoSpaceDN w:val="0"/>
        <w:adjustRightInd w:val="0"/>
        <w:snapToGrid w:val="0"/>
        <w:spacing w:after="0" w:line="360" w:lineRule="auto"/>
        <w:jc w:val="both"/>
        <w:rPr>
          <w:rFonts w:ascii="Book Antiqua" w:eastAsia="Times New Roman" w:hAnsi="Book Antiqua" w:cs="Times New Roman"/>
          <w:bCs/>
          <w:color w:val="000000" w:themeColor="text1"/>
          <w:sz w:val="24"/>
          <w:szCs w:val="24"/>
        </w:rPr>
      </w:pPr>
      <w:r w:rsidRPr="006B24DA">
        <w:rPr>
          <w:rFonts w:ascii="Book Antiqua" w:eastAsia="Times New Roman" w:hAnsi="Book Antiqua" w:cs="Times New Roman"/>
          <w:bCs/>
          <w:color w:val="000000" w:themeColor="text1"/>
          <w:sz w:val="24"/>
          <w:szCs w:val="24"/>
        </w:rPr>
        <w:t xml:space="preserve">  VLE</w:t>
      </w:r>
      <w:r w:rsidR="00E20495" w:rsidRPr="006B24DA">
        <w:rPr>
          <w:rFonts w:ascii="Book Antiqua" w:eastAsia="Times New Roman" w:hAnsi="Book Antiqua" w:cs="Times New Roman"/>
          <w:bCs/>
          <w:color w:val="000000" w:themeColor="text1"/>
          <w:sz w:val="24"/>
          <w:szCs w:val="24"/>
        </w:rPr>
        <w:t xml:space="preserve"> is a wide-field, second-generation optical coherence tomography endoscopic platform commercially available for advanced imaging in </w:t>
      </w:r>
      <w:r w:rsidR="00D4044E" w:rsidRPr="006B24DA">
        <w:rPr>
          <w:rFonts w:ascii="Book Antiqua" w:eastAsia="Times New Roman" w:hAnsi="Book Antiqua" w:cs="Times New Roman"/>
          <w:bCs/>
          <w:color w:val="000000" w:themeColor="text1"/>
          <w:sz w:val="24"/>
          <w:szCs w:val="24"/>
        </w:rPr>
        <w:t>BE</w:t>
      </w:r>
      <w:r w:rsidR="00E20495" w:rsidRPr="006B24DA">
        <w:rPr>
          <w:rFonts w:ascii="Book Antiqua" w:eastAsia="Times New Roman" w:hAnsi="Book Antiqua" w:cs="Times New Roman"/>
          <w:bCs/>
          <w:color w:val="000000" w:themeColor="text1"/>
          <w:sz w:val="24"/>
          <w:szCs w:val="24"/>
        </w:rPr>
        <w:t xml:space="preserve"> </w:t>
      </w:r>
      <w:r w:rsidR="005D4219" w:rsidRPr="006B24DA">
        <w:rPr>
          <w:rFonts w:ascii="Book Antiqua" w:eastAsia="Times New Roman" w:hAnsi="Book Antiqua" w:cs="Times New Roman"/>
          <w:color w:val="000000" w:themeColor="text1"/>
          <w:sz w:val="24"/>
          <w:szCs w:val="24"/>
        </w:rPr>
        <w:t>(Figure 22</w:t>
      </w:r>
      <w:r w:rsidR="00E20495" w:rsidRPr="006B24DA">
        <w:rPr>
          <w:rFonts w:ascii="Book Antiqua" w:eastAsia="Times New Roman" w:hAnsi="Book Antiqua" w:cs="Times New Roman"/>
          <w:color w:val="000000" w:themeColor="text1"/>
          <w:sz w:val="24"/>
          <w:szCs w:val="24"/>
        </w:rPr>
        <w:t>)</w:t>
      </w:r>
      <w:r w:rsidR="00E20495" w:rsidRPr="006B24DA">
        <w:rPr>
          <w:rFonts w:ascii="Book Antiqua" w:eastAsia="Times New Roman" w:hAnsi="Book Antiqua" w:cs="Times New Roman"/>
          <w:b/>
          <w:color w:val="000000" w:themeColor="text1"/>
          <w:sz w:val="24"/>
          <w:szCs w:val="24"/>
        </w:rPr>
        <w:t>.</w:t>
      </w:r>
      <w:r w:rsidR="00E20495" w:rsidRPr="006B24DA">
        <w:rPr>
          <w:rFonts w:ascii="Book Antiqua" w:eastAsia="Times New Roman" w:hAnsi="Book Antiqua" w:cs="Times New Roman"/>
          <w:bCs/>
          <w:color w:val="000000" w:themeColor="text1"/>
          <w:sz w:val="24"/>
          <w:szCs w:val="24"/>
        </w:rPr>
        <w:t xml:space="preserve"> We recently published a review article summarizing current clinical data and knowledge </w:t>
      </w:r>
      <w:proofErr w:type="gramStart"/>
      <w:r w:rsidR="00E20495" w:rsidRPr="006B24DA">
        <w:rPr>
          <w:rFonts w:ascii="Book Antiqua" w:eastAsia="Times New Roman" w:hAnsi="Book Antiqua" w:cs="Times New Roman"/>
          <w:bCs/>
          <w:color w:val="000000" w:themeColor="text1"/>
          <w:sz w:val="24"/>
          <w:szCs w:val="24"/>
        </w:rPr>
        <w:t>gaps</w:t>
      </w:r>
      <w:r w:rsidR="00E20495" w:rsidRPr="006B24DA">
        <w:rPr>
          <w:rFonts w:ascii="Book Antiqua" w:eastAsia="Times New Roman" w:hAnsi="Book Antiqua" w:cs="Times New Roman"/>
          <w:bCs/>
          <w:noProof/>
          <w:color w:val="000000" w:themeColor="text1"/>
          <w:sz w:val="24"/>
          <w:szCs w:val="24"/>
          <w:vertAlign w:val="superscript"/>
        </w:rPr>
        <w:t>[</w:t>
      </w:r>
      <w:proofErr w:type="gramEnd"/>
      <w:r w:rsidR="00E20495" w:rsidRPr="006B24DA">
        <w:rPr>
          <w:rFonts w:ascii="Book Antiqua" w:eastAsia="Times New Roman" w:hAnsi="Book Antiqua" w:cs="Times New Roman"/>
          <w:bCs/>
          <w:noProof/>
          <w:color w:val="000000" w:themeColor="text1"/>
          <w:sz w:val="24"/>
          <w:szCs w:val="24"/>
          <w:vertAlign w:val="superscript"/>
        </w:rPr>
        <w:t>123]</w:t>
      </w:r>
      <w:r w:rsidR="00E20495" w:rsidRPr="006B24DA">
        <w:rPr>
          <w:rFonts w:ascii="Book Antiqua" w:eastAsia="Times New Roman" w:hAnsi="Book Antiqua" w:cs="Times New Roman"/>
          <w:bCs/>
          <w:color w:val="000000" w:themeColor="text1"/>
          <w:sz w:val="24"/>
          <w:szCs w:val="24"/>
        </w:rPr>
        <w:t xml:space="preserve">. Based on </w:t>
      </w:r>
      <w:r w:rsidR="00E20495" w:rsidRPr="006B24DA">
        <w:rPr>
          <w:rFonts w:ascii="Book Antiqua" w:eastAsia="Times New Roman" w:hAnsi="Book Antiqua" w:cs="Times New Roman"/>
          <w:bCs/>
          <w:i/>
          <w:color w:val="000000" w:themeColor="text1"/>
          <w:sz w:val="24"/>
          <w:szCs w:val="24"/>
        </w:rPr>
        <w:t>ex-vivo</w:t>
      </w:r>
      <w:r w:rsidR="00E20495" w:rsidRPr="006B24DA">
        <w:rPr>
          <w:rFonts w:ascii="Book Antiqua" w:eastAsia="Times New Roman" w:hAnsi="Book Antiqua" w:cs="Times New Roman"/>
          <w:bCs/>
          <w:color w:val="000000" w:themeColor="text1"/>
          <w:sz w:val="24"/>
          <w:szCs w:val="24"/>
        </w:rPr>
        <w:t xml:space="preserve"> studies, criteria have been established for identifying </w:t>
      </w:r>
      <w:r w:rsidR="00D4044E" w:rsidRPr="006B24DA">
        <w:rPr>
          <w:rFonts w:ascii="Book Antiqua" w:eastAsia="Times New Roman" w:hAnsi="Book Antiqua" w:cs="Times New Roman"/>
          <w:bCs/>
          <w:color w:val="000000" w:themeColor="text1"/>
          <w:sz w:val="24"/>
          <w:szCs w:val="24"/>
        </w:rPr>
        <w:t>BE</w:t>
      </w:r>
      <w:r w:rsidR="00E20495" w:rsidRPr="006B24DA">
        <w:rPr>
          <w:rFonts w:ascii="Book Antiqua" w:eastAsia="Times New Roman" w:hAnsi="Book Antiqua" w:cs="Times New Roman"/>
          <w:bCs/>
          <w:color w:val="000000" w:themeColor="text1"/>
          <w:sz w:val="24"/>
          <w:szCs w:val="24"/>
        </w:rPr>
        <w:t xml:space="preserve">-associated neoplasia. In addition, recent studies, case series, and case reports have demonstrated that VLE is well tolerated, efficacious, and can target neoplasia. The current system has the capability of placing laser markings in real-time in order to pin-point and biopsy areas of concern on </w:t>
      </w:r>
      <w:proofErr w:type="gramStart"/>
      <w:r w:rsidR="00E20495" w:rsidRPr="006B24DA">
        <w:rPr>
          <w:rFonts w:ascii="Book Antiqua" w:eastAsia="Times New Roman" w:hAnsi="Book Antiqua" w:cs="Times New Roman"/>
          <w:bCs/>
          <w:color w:val="000000" w:themeColor="text1"/>
          <w:sz w:val="24"/>
          <w:szCs w:val="24"/>
        </w:rPr>
        <w:t>VLE</w:t>
      </w:r>
      <w:r w:rsidR="00E20495" w:rsidRPr="006B24DA">
        <w:rPr>
          <w:rFonts w:ascii="Book Antiqua" w:eastAsia="Times New Roman" w:hAnsi="Book Antiqua" w:cs="Times New Roman"/>
          <w:bCs/>
          <w:noProof/>
          <w:color w:val="000000" w:themeColor="text1"/>
          <w:sz w:val="24"/>
          <w:szCs w:val="24"/>
          <w:vertAlign w:val="superscript"/>
        </w:rPr>
        <w:t>[</w:t>
      </w:r>
      <w:proofErr w:type="gramEnd"/>
      <w:r w:rsidR="00E20495" w:rsidRPr="006B24DA">
        <w:rPr>
          <w:rFonts w:ascii="Book Antiqua" w:eastAsia="Times New Roman" w:hAnsi="Book Antiqua" w:cs="Times New Roman"/>
          <w:bCs/>
          <w:noProof/>
          <w:color w:val="000000" w:themeColor="text1"/>
          <w:sz w:val="24"/>
          <w:szCs w:val="24"/>
          <w:vertAlign w:val="superscript"/>
        </w:rPr>
        <w:t>124]</w:t>
      </w:r>
      <w:r w:rsidR="00E20495" w:rsidRPr="006B24DA">
        <w:rPr>
          <w:rFonts w:ascii="Book Antiqua" w:eastAsia="Times New Roman" w:hAnsi="Book Antiqua" w:cs="Times New Roman"/>
          <w:bCs/>
          <w:color w:val="000000" w:themeColor="text1"/>
          <w:sz w:val="24"/>
          <w:szCs w:val="24"/>
        </w:rPr>
        <w:t xml:space="preserve">. The following are needed to establish VLE's clinical role: studies showing incremental yield of dysplasia detection using VLE are </w:t>
      </w:r>
      <w:proofErr w:type="gramStart"/>
      <w:r w:rsidR="00E20495" w:rsidRPr="006B24DA">
        <w:rPr>
          <w:rFonts w:ascii="Book Antiqua" w:eastAsia="Times New Roman" w:hAnsi="Book Antiqua" w:cs="Times New Roman"/>
          <w:bCs/>
          <w:color w:val="000000" w:themeColor="text1"/>
          <w:sz w:val="24"/>
          <w:szCs w:val="24"/>
        </w:rPr>
        <w:t>emerging</w:t>
      </w:r>
      <w:r w:rsidR="00E20495" w:rsidRPr="006B24DA">
        <w:rPr>
          <w:rFonts w:ascii="Book Antiqua" w:eastAsia="Times New Roman" w:hAnsi="Book Antiqua" w:cs="Times New Roman"/>
          <w:bCs/>
          <w:noProof/>
          <w:color w:val="000000" w:themeColor="text1"/>
          <w:sz w:val="24"/>
          <w:szCs w:val="24"/>
          <w:vertAlign w:val="superscript"/>
        </w:rPr>
        <w:t>[</w:t>
      </w:r>
      <w:proofErr w:type="gramEnd"/>
      <w:r w:rsidR="00E20495" w:rsidRPr="006B24DA">
        <w:rPr>
          <w:rFonts w:ascii="Book Antiqua" w:eastAsia="Times New Roman" w:hAnsi="Book Antiqua" w:cs="Times New Roman"/>
          <w:bCs/>
          <w:noProof/>
          <w:color w:val="000000" w:themeColor="text1"/>
          <w:sz w:val="24"/>
          <w:szCs w:val="24"/>
          <w:vertAlign w:val="superscript"/>
        </w:rPr>
        <w:t>125]</w:t>
      </w:r>
      <w:r w:rsidR="00E20495" w:rsidRPr="006B24DA">
        <w:rPr>
          <w:rFonts w:ascii="Book Antiqua" w:eastAsia="Times New Roman" w:hAnsi="Book Antiqua" w:cs="Times New Roman"/>
          <w:bCs/>
          <w:color w:val="000000" w:themeColor="text1"/>
          <w:sz w:val="24"/>
          <w:szCs w:val="24"/>
        </w:rPr>
        <w:t xml:space="preserve">, studies to determine VLE's in-vivo diagnostic accuracy for identifying and classifying </w:t>
      </w:r>
      <w:r w:rsidR="00D4044E" w:rsidRPr="006B24DA">
        <w:rPr>
          <w:rFonts w:ascii="Book Antiqua" w:eastAsia="Times New Roman" w:hAnsi="Book Antiqua" w:cs="Times New Roman"/>
          <w:bCs/>
          <w:color w:val="000000" w:themeColor="text1"/>
          <w:sz w:val="24"/>
          <w:szCs w:val="24"/>
        </w:rPr>
        <w:lastRenderedPageBreak/>
        <w:t>BE</w:t>
      </w:r>
      <w:r w:rsidR="00E20495" w:rsidRPr="006B24DA">
        <w:rPr>
          <w:rFonts w:ascii="Book Antiqua" w:eastAsia="Times New Roman" w:hAnsi="Book Antiqua" w:cs="Times New Roman"/>
          <w:bCs/>
          <w:color w:val="000000" w:themeColor="text1"/>
          <w:sz w:val="24"/>
          <w:szCs w:val="24"/>
        </w:rPr>
        <w:t xml:space="preserve">-associated neoplasia, and studies on the cost-efficacy of VLE. </w:t>
      </w:r>
      <w:r w:rsidR="00E20495" w:rsidRPr="006B24DA">
        <w:rPr>
          <w:rFonts w:ascii="Book Antiqua" w:eastAsia="Times New Roman" w:hAnsi="Book Antiqua" w:cs="Times New Roman"/>
          <w:bCs/>
          <w:i/>
          <w:color w:val="000000" w:themeColor="text1"/>
          <w:sz w:val="24"/>
          <w:szCs w:val="24"/>
        </w:rPr>
        <w:t>In-vivo</w:t>
      </w:r>
      <w:r w:rsidR="00E20495" w:rsidRPr="006B24DA">
        <w:rPr>
          <w:rFonts w:ascii="Book Antiqua" w:eastAsia="Times New Roman" w:hAnsi="Book Antiqua" w:cs="Times New Roman"/>
          <w:bCs/>
          <w:color w:val="000000" w:themeColor="text1"/>
          <w:sz w:val="24"/>
          <w:szCs w:val="24"/>
        </w:rPr>
        <w:t xml:space="preserve"> diagnostic imaging criteria should be available soon, and may be augmented by the artificial intelligence (AI) </w:t>
      </w:r>
      <w:proofErr w:type="gramStart"/>
      <w:r w:rsidR="00E20495" w:rsidRPr="006B24DA">
        <w:rPr>
          <w:rFonts w:ascii="Book Antiqua" w:eastAsia="Times New Roman" w:hAnsi="Book Antiqua" w:cs="Times New Roman"/>
          <w:bCs/>
          <w:color w:val="000000" w:themeColor="text1"/>
          <w:sz w:val="24"/>
          <w:szCs w:val="24"/>
        </w:rPr>
        <w:t>analysis</w:t>
      </w:r>
      <w:r w:rsidRPr="006B24DA">
        <w:rPr>
          <w:rFonts w:ascii="Book Antiqua" w:eastAsia="Times New Roman" w:hAnsi="Book Antiqua" w:cs="Times New Roman"/>
          <w:bCs/>
          <w:noProof/>
          <w:color w:val="000000" w:themeColor="text1"/>
          <w:sz w:val="24"/>
          <w:szCs w:val="24"/>
          <w:vertAlign w:val="superscript"/>
        </w:rPr>
        <w:t>[</w:t>
      </w:r>
      <w:proofErr w:type="gramEnd"/>
      <w:r w:rsidRPr="006B24DA">
        <w:rPr>
          <w:rFonts w:ascii="Book Antiqua" w:eastAsia="Times New Roman" w:hAnsi="Book Antiqua" w:cs="Times New Roman"/>
          <w:bCs/>
          <w:noProof/>
          <w:color w:val="000000" w:themeColor="text1"/>
          <w:sz w:val="24"/>
          <w:szCs w:val="24"/>
          <w:vertAlign w:val="superscript"/>
        </w:rPr>
        <w:t>126,</w:t>
      </w:r>
      <w:r w:rsidR="00E20495" w:rsidRPr="006B24DA">
        <w:rPr>
          <w:rFonts w:ascii="Book Antiqua" w:eastAsia="Times New Roman" w:hAnsi="Book Antiqua" w:cs="Times New Roman"/>
          <w:bCs/>
          <w:noProof/>
          <w:color w:val="000000" w:themeColor="text1"/>
          <w:sz w:val="24"/>
          <w:szCs w:val="24"/>
          <w:vertAlign w:val="superscript"/>
        </w:rPr>
        <w:t>127]</w:t>
      </w:r>
      <w:r w:rsidR="00E20495" w:rsidRPr="006B24DA">
        <w:rPr>
          <w:rFonts w:ascii="Book Antiqua" w:eastAsia="Times New Roman" w:hAnsi="Book Antiqua" w:cs="Times New Roman"/>
          <w:bCs/>
          <w:color w:val="000000" w:themeColor="text1"/>
          <w:sz w:val="24"/>
          <w:szCs w:val="24"/>
        </w:rPr>
        <w:t>. In my experience, the use of VLE can detect wide-field abnormalities very quickly, both within and below the surface epithelium.</w:t>
      </w:r>
      <w:r w:rsidR="00D33133" w:rsidRPr="006B24DA">
        <w:rPr>
          <w:rFonts w:ascii="Book Antiqua" w:eastAsia="Times New Roman" w:hAnsi="Book Antiqua" w:cs="Times New Roman"/>
          <w:bCs/>
          <w:color w:val="000000" w:themeColor="text1"/>
          <w:sz w:val="24"/>
          <w:szCs w:val="24"/>
        </w:rPr>
        <w:t xml:space="preserve"> </w:t>
      </w:r>
      <w:r w:rsidR="005D4219" w:rsidRPr="006B24DA">
        <w:rPr>
          <w:rFonts w:ascii="Book Antiqua" w:eastAsia="Times New Roman" w:hAnsi="Book Antiqua" w:cs="Times New Roman"/>
          <w:color w:val="000000" w:themeColor="text1"/>
          <w:sz w:val="24"/>
          <w:szCs w:val="24"/>
        </w:rPr>
        <w:t>Figure 22</w:t>
      </w:r>
      <w:r w:rsidR="00E20495" w:rsidRPr="006B24DA">
        <w:rPr>
          <w:rFonts w:ascii="Book Antiqua" w:eastAsia="Times New Roman" w:hAnsi="Book Antiqua" w:cs="Times New Roman"/>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illustrates this nicely </w:t>
      </w:r>
      <w:r w:rsidR="00966E42" w:rsidRPr="006B24DA">
        <w:rPr>
          <w:rFonts w:ascii="Book Antiqua" w:eastAsia="Times New Roman" w:hAnsi="Book Antiqua" w:cs="Times New Roman"/>
          <w:bCs/>
          <w:color w:val="000000" w:themeColor="text1"/>
          <w:sz w:val="24"/>
          <w:szCs w:val="24"/>
        </w:rPr>
        <w:t>-</w:t>
      </w:r>
      <w:r w:rsidR="00E20495" w:rsidRPr="006B24DA">
        <w:rPr>
          <w:rFonts w:ascii="Book Antiqua" w:eastAsia="Times New Roman" w:hAnsi="Book Antiqua" w:cs="Times New Roman"/>
          <w:bCs/>
          <w:color w:val="000000" w:themeColor="text1"/>
          <w:sz w:val="24"/>
          <w:szCs w:val="24"/>
        </w:rPr>
        <w:t xml:space="preserve"> a patient with </w:t>
      </w:r>
      <w:r w:rsidRPr="006B24DA">
        <w:rPr>
          <w:rFonts w:ascii="Book Antiqua" w:eastAsia="Times New Roman" w:hAnsi="Book Antiqua" w:cs="Times New Roman"/>
          <w:bCs/>
          <w:color w:val="000000" w:themeColor="text1"/>
          <w:sz w:val="24"/>
          <w:szCs w:val="24"/>
        </w:rPr>
        <w:t>BE</w:t>
      </w:r>
      <w:r w:rsidR="00E20495" w:rsidRPr="006B24DA">
        <w:rPr>
          <w:rFonts w:ascii="Book Antiqua" w:eastAsia="Times New Roman" w:hAnsi="Book Antiqua" w:cs="Times New Roman"/>
          <w:bCs/>
          <w:color w:val="000000" w:themeColor="text1"/>
          <w:sz w:val="24"/>
          <w:szCs w:val="24"/>
        </w:rPr>
        <w:t xml:space="preserve"> and</w:t>
      </w:r>
      <w:bookmarkStart w:id="73" w:name="OLE_LINK84"/>
      <w:bookmarkStart w:id="74" w:name="OLE_LINK85"/>
      <w:r w:rsidR="00E20495" w:rsidRPr="006B24DA">
        <w:rPr>
          <w:rFonts w:ascii="Book Antiqua" w:eastAsia="Times New Roman" w:hAnsi="Book Antiqua" w:cs="Times New Roman"/>
          <w:bCs/>
          <w:color w:val="000000" w:themeColor="text1"/>
          <w:sz w:val="24"/>
          <w:szCs w:val="24"/>
        </w:rPr>
        <w:t xml:space="preserve"> </w:t>
      </w:r>
      <w:bookmarkEnd w:id="73"/>
      <w:bookmarkEnd w:id="74"/>
      <w:r w:rsidRPr="006B24DA">
        <w:rPr>
          <w:rFonts w:ascii="Book Antiqua" w:eastAsia="Times New Roman" w:hAnsi="Book Antiqua" w:cs="Times New Roman"/>
          <w:bCs/>
          <w:color w:val="000000" w:themeColor="text1"/>
          <w:sz w:val="24"/>
          <w:szCs w:val="24"/>
        </w:rPr>
        <w:t>HGD</w:t>
      </w:r>
      <w:r w:rsidR="00E20495" w:rsidRPr="006B24DA">
        <w:rPr>
          <w:rFonts w:ascii="Book Antiqua" w:eastAsia="Times New Roman" w:hAnsi="Book Antiqua" w:cs="Times New Roman"/>
          <w:bCs/>
          <w:color w:val="000000" w:themeColor="text1"/>
          <w:sz w:val="24"/>
          <w:szCs w:val="24"/>
        </w:rPr>
        <w:t xml:space="preserve"> where VLE showed atypical glands covered by normal squamous epithelium</w:t>
      </w:r>
      <w:r w:rsidR="004D41DE" w:rsidRPr="006B24DA">
        <w:rPr>
          <w:rFonts w:ascii="Book Antiqua" w:eastAsia="Times New Roman" w:hAnsi="Book Antiqua" w:cs="Times New Roman"/>
          <w:bCs/>
          <w:color w:val="000000" w:themeColor="text1"/>
          <w:sz w:val="24"/>
          <w:szCs w:val="24"/>
        </w:rPr>
        <w:t xml:space="preserve">, </w:t>
      </w:r>
      <w:proofErr w:type="spellStart"/>
      <w:r w:rsidR="004D41DE" w:rsidRPr="006B24DA">
        <w:rPr>
          <w:rFonts w:ascii="Book Antiqua" w:eastAsia="Times New Roman" w:hAnsi="Book Antiqua" w:cs="Times New Roman"/>
          <w:bCs/>
          <w:color w:val="000000" w:themeColor="text1"/>
          <w:sz w:val="24"/>
          <w:szCs w:val="24"/>
        </w:rPr>
        <w:t>ie</w:t>
      </w:r>
      <w:proofErr w:type="spellEnd"/>
      <w:r w:rsidR="004D41DE" w:rsidRPr="006B24DA">
        <w:rPr>
          <w:rFonts w:ascii="Book Antiqua" w:eastAsia="Times New Roman" w:hAnsi="Book Antiqua" w:cs="Times New Roman"/>
          <w:bCs/>
          <w:color w:val="000000" w:themeColor="text1"/>
          <w:sz w:val="24"/>
          <w:szCs w:val="24"/>
        </w:rPr>
        <w:t xml:space="preserve"> buried Barrett’s</w:t>
      </w:r>
      <w:r w:rsidR="00E20495" w:rsidRPr="006B24DA">
        <w:rPr>
          <w:rFonts w:ascii="Book Antiqua" w:eastAsia="Times New Roman" w:hAnsi="Book Antiqua" w:cs="Times New Roman"/>
          <w:bCs/>
          <w:color w:val="000000" w:themeColor="text1"/>
          <w:sz w:val="24"/>
          <w:szCs w:val="24"/>
        </w:rPr>
        <w:t xml:space="preserve"> </w:t>
      </w:r>
      <w:r w:rsidR="005D4219" w:rsidRPr="006B24DA">
        <w:rPr>
          <w:rFonts w:ascii="Book Antiqua" w:eastAsia="Times New Roman" w:hAnsi="Book Antiqua" w:cs="Times New Roman"/>
          <w:color w:val="000000" w:themeColor="text1"/>
          <w:sz w:val="24"/>
          <w:szCs w:val="24"/>
        </w:rPr>
        <w:t>(Figure 22</w:t>
      </w:r>
      <w:r w:rsidRPr="006B24DA">
        <w:rPr>
          <w:rFonts w:ascii="Book Antiqua" w:eastAsia="Times New Roman" w:hAnsi="Book Antiqua" w:cs="Times New Roman"/>
          <w:color w:val="000000" w:themeColor="text1"/>
          <w:sz w:val="24"/>
          <w:szCs w:val="24"/>
        </w:rPr>
        <w:t xml:space="preserve">A and </w:t>
      </w:r>
      <w:r w:rsidR="00E20495" w:rsidRPr="006B24DA">
        <w:rPr>
          <w:rFonts w:ascii="Book Antiqua" w:eastAsia="Times New Roman" w:hAnsi="Book Antiqua" w:cs="Times New Roman"/>
          <w:color w:val="000000" w:themeColor="text1"/>
          <w:sz w:val="24"/>
          <w:szCs w:val="24"/>
        </w:rPr>
        <w:t>B)</w:t>
      </w:r>
      <w:r w:rsidR="00E20495" w:rsidRPr="006B24DA">
        <w:rPr>
          <w:rFonts w:ascii="Book Antiqua" w:eastAsia="Times New Roman" w:hAnsi="Book Antiqua" w:cs="Times New Roman"/>
          <w:bCs/>
          <w:color w:val="000000" w:themeColor="text1"/>
          <w:sz w:val="24"/>
          <w:szCs w:val="24"/>
        </w:rPr>
        <w:t>.</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I performed endoscopic resection and the pathology showed moderately differentiated adenocarcinoma in the background of HGD and BE. The malignant glandular structures were buried beneath squamous epithelium.</w:t>
      </w:r>
      <w:r w:rsidR="00D33133" w:rsidRPr="006B24DA">
        <w:rPr>
          <w:rFonts w:ascii="Book Antiqua" w:eastAsia="Times New Roman" w:hAnsi="Book Antiqua" w:cs="Times New Roman"/>
          <w:bCs/>
          <w:color w:val="000000" w:themeColor="text1"/>
          <w:sz w:val="24"/>
          <w:szCs w:val="24"/>
        </w:rPr>
        <w:t xml:space="preserve"> </w:t>
      </w:r>
    </w:p>
    <w:p w14:paraId="56D4FA34" w14:textId="77777777" w:rsidR="00E20495" w:rsidRPr="006B24DA" w:rsidRDefault="00E20495" w:rsidP="007761C0">
      <w:pPr>
        <w:autoSpaceDE w:val="0"/>
        <w:autoSpaceDN w:val="0"/>
        <w:adjustRightInd w:val="0"/>
        <w:snapToGrid w:val="0"/>
        <w:spacing w:after="0" w:line="360" w:lineRule="auto"/>
        <w:jc w:val="both"/>
        <w:rPr>
          <w:rFonts w:ascii="Book Antiqua" w:eastAsia="Times New Roman" w:hAnsi="Book Antiqua" w:cs="Times New Roman"/>
          <w:bCs/>
          <w:color w:val="000000" w:themeColor="text1"/>
          <w:sz w:val="24"/>
          <w:szCs w:val="24"/>
        </w:rPr>
      </w:pPr>
      <w:r w:rsidRPr="006B24DA">
        <w:rPr>
          <w:rFonts w:ascii="Book Antiqua" w:eastAsia="Times New Roman" w:hAnsi="Book Antiqua" w:cs="Times New Roman"/>
          <w:bCs/>
          <w:color w:val="000000" w:themeColor="text1"/>
          <w:sz w:val="24"/>
          <w:szCs w:val="24"/>
        </w:rPr>
        <w:t xml:space="preserve"> </w:t>
      </w:r>
    </w:p>
    <w:p w14:paraId="438F7D8C" w14:textId="3745676C" w:rsidR="00E20495" w:rsidRPr="006B24DA" w:rsidRDefault="00D4044E" w:rsidP="00F67887">
      <w:pPr>
        <w:autoSpaceDE w:val="0"/>
        <w:autoSpaceDN w:val="0"/>
        <w:adjustRightInd w:val="0"/>
        <w:snapToGrid w:val="0"/>
        <w:spacing w:after="0" w:line="360" w:lineRule="auto"/>
        <w:jc w:val="both"/>
        <w:outlineLvl w:val="0"/>
        <w:rPr>
          <w:rFonts w:ascii="Book Antiqua" w:eastAsia="Times New Roman" w:hAnsi="Book Antiqua" w:cs="Times New Roman"/>
          <w:b/>
          <w:bCs/>
          <w:color w:val="000000" w:themeColor="text1"/>
          <w:sz w:val="24"/>
          <w:szCs w:val="24"/>
        </w:rPr>
      </w:pPr>
      <w:r w:rsidRPr="006B24DA">
        <w:rPr>
          <w:rFonts w:ascii="Book Antiqua" w:eastAsia="Times New Roman" w:hAnsi="Book Antiqua" w:cs="Times New Roman"/>
          <w:b/>
          <w:bCs/>
          <w:color w:val="000000" w:themeColor="text1"/>
          <w:sz w:val="24"/>
          <w:szCs w:val="24"/>
        </w:rPr>
        <w:t xml:space="preserve">EARLY GASTRIC CANCER AND </w:t>
      </w:r>
      <w:r w:rsidR="00C733A3" w:rsidRPr="006B24DA">
        <w:rPr>
          <w:rFonts w:ascii="Book Antiqua" w:eastAsia="Times New Roman" w:hAnsi="Book Antiqua" w:cs="Times New Roman"/>
          <w:b/>
          <w:bCs/>
          <w:color w:val="000000" w:themeColor="text1"/>
          <w:sz w:val="24"/>
          <w:szCs w:val="24"/>
        </w:rPr>
        <w:t>SUBMUCOSAL TUMORS (</w:t>
      </w:r>
      <w:r w:rsidRPr="006B24DA">
        <w:rPr>
          <w:rFonts w:ascii="Book Antiqua" w:eastAsia="Times New Roman" w:hAnsi="Book Antiqua" w:cs="Times New Roman"/>
          <w:b/>
          <w:bCs/>
          <w:color w:val="000000" w:themeColor="text1"/>
          <w:sz w:val="24"/>
          <w:szCs w:val="24"/>
        </w:rPr>
        <w:t>SMT</w:t>
      </w:r>
      <w:r w:rsidR="00C733A3" w:rsidRPr="006B24DA">
        <w:rPr>
          <w:rFonts w:ascii="Book Antiqua" w:eastAsia="Times New Roman" w:hAnsi="Book Antiqua" w:cs="Times New Roman"/>
          <w:b/>
          <w:bCs/>
          <w:color w:val="000000" w:themeColor="text1"/>
          <w:sz w:val="24"/>
          <w:szCs w:val="24"/>
        </w:rPr>
        <w:t>s)</w:t>
      </w:r>
      <w:r w:rsidRPr="006B24DA">
        <w:rPr>
          <w:rFonts w:ascii="Book Antiqua" w:eastAsia="Times New Roman" w:hAnsi="Book Antiqua" w:cs="Times New Roman"/>
          <w:b/>
          <w:bCs/>
          <w:color w:val="000000" w:themeColor="text1"/>
          <w:sz w:val="24"/>
          <w:szCs w:val="24"/>
        </w:rPr>
        <w:t xml:space="preserve"> OF THE STOMACH</w:t>
      </w:r>
    </w:p>
    <w:p w14:paraId="79FEF36D" w14:textId="0D67A117" w:rsidR="00D4044E" w:rsidRPr="006B24DA" w:rsidRDefault="00D4044E" w:rsidP="007761C0">
      <w:pPr>
        <w:autoSpaceDE w:val="0"/>
        <w:autoSpaceDN w:val="0"/>
        <w:adjustRightInd w:val="0"/>
        <w:snapToGrid w:val="0"/>
        <w:spacing w:after="0" w:line="360" w:lineRule="auto"/>
        <w:jc w:val="both"/>
        <w:rPr>
          <w:rFonts w:ascii="Book Antiqua" w:eastAsia="Times New Roman" w:hAnsi="Book Antiqua" w:cs="Times New Roman"/>
          <w:b/>
          <w:bCs/>
          <w:color w:val="000000" w:themeColor="text1"/>
          <w:sz w:val="24"/>
          <w:szCs w:val="24"/>
        </w:rPr>
      </w:pPr>
      <w:r w:rsidRPr="006B24DA">
        <w:rPr>
          <w:rFonts w:ascii="Book Antiqua" w:eastAsia="Times New Roman" w:hAnsi="Book Antiqua" w:cs="Times New Roman"/>
          <w:b/>
          <w:bCs/>
          <w:i/>
          <w:color w:val="000000" w:themeColor="text1"/>
          <w:sz w:val="24"/>
          <w:szCs w:val="24"/>
        </w:rPr>
        <w:t>Lessons learned</w:t>
      </w:r>
    </w:p>
    <w:p w14:paraId="72D049D6" w14:textId="7C9D79FD" w:rsidR="00E20495" w:rsidRPr="006B24DA" w:rsidRDefault="00F67887" w:rsidP="007761C0">
      <w:pPr>
        <w:autoSpaceDE w:val="0"/>
        <w:autoSpaceDN w:val="0"/>
        <w:adjustRightInd w:val="0"/>
        <w:snapToGrid w:val="0"/>
        <w:spacing w:after="0" w:line="360" w:lineRule="auto"/>
        <w:jc w:val="both"/>
        <w:rPr>
          <w:rFonts w:ascii="Book Antiqua" w:eastAsia="Times New Roman" w:hAnsi="Book Antiqua" w:cs="Times New Roman"/>
          <w:bCs/>
          <w:color w:val="000000" w:themeColor="text1"/>
          <w:sz w:val="24"/>
          <w:szCs w:val="24"/>
        </w:rPr>
      </w:pPr>
      <w:r w:rsidRPr="006B24DA">
        <w:rPr>
          <w:rFonts w:ascii="Book Antiqua" w:eastAsia="Times New Roman" w:hAnsi="Book Antiqua" w:cs="Times New Roman"/>
          <w:bCs/>
          <w:color w:val="000000" w:themeColor="text1"/>
          <w:sz w:val="24"/>
          <w:szCs w:val="24"/>
        </w:rPr>
        <w:t>ESD</w:t>
      </w:r>
      <w:r w:rsidR="00E20495" w:rsidRPr="006B24DA">
        <w:rPr>
          <w:rFonts w:ascii="Book Antiqua" w:eastAsia="Times New Roman" w:hAnsi="Book Antiqua" w:cs="Times New Roman"/>
          <w:bCs/>
          <w:color w:val="000000" w:themeColor="text1"/>
          <w:sz w:val="24"/>
          <w:szCs w:val="24"/>
        </w:rPr>
        <w:t xml:space="preserve"> has become standard of care in Asia and is the most effective treatment for early gastric cancer when performed within established guidelines, including both absolute and expanded </w:t>
      </w:r>
      <w:proofErr w:type="gramStart"/>
      <w:r w:rsidR="00E20495" w:rsidRPr="006B24DA">
        <w:rPr>
          <w:rFonts w:ascii="Book Antiqua" w:eastAsia="Times New Roman" w:hAnsi="Book Antiqua" w:cs="Times New Roman"/>
          <w:bCs/>
          <w:color w:val="000000" w:themeColor="text1"/>
          <w:sz w:val="24"/>
          <w:szCs w:val="24"/>
        </w:rPr>
        <w:t>indications</w:t>
      </w:r>
      <w:r w:rsidR="00E20495" w:rsidRPr="006B24DA">
        <w:rPr>
          <w:rFonts w:ascii="Book Antiqua" w:eastAsia="Times New Roman" w:hAnsi="Book Antiqua" w:cs="Times New Roman"/>
          <w:bCs/>
          <w:noProof/>
          <w:color w:val="000000" w:themeColor="text1"/>
          <w:sz w:val="24"/>
          <w:szCs w:val="24"/>
          <w:vertAlign w:val="superscript"/>
        </w:rPr>
        <w:t>[</w:t>
      </w:r>
      <w:proofErr w:type="gramEnd"/>
      <w:r w:rsidR="00E20495" w:rsidRPr="006B24DA">
        <w:rPr>
          <w:rFonts w:ascii="Book Antiqua" w:eastAsia="Times New Roman" w:hAnsi="Book Antiqua" w:cs="Times New Roman"/>
          <w:bCs/>
          <w:noProof/>
          <w:color w:val="000000" w:themeColor="text1"/>
          <w:sz w:val="24"/>
          <w:szCs w:val="24"/>
          <w:vertAlign w:val="superscript"/>
        </w:rPr>
        <w:t>128-132]</w:t>
      </w:r>
      <w:r w:rsidR="00E20495" w:rsidRPr="006B24DA">
        <w:rPr>
          <w:rFonts w:ascii="Book Antiqua" w:eastAsia="Times New Roman" w:hAnsi="Book Antiqua" w:cs="Times New Roman"/>
          <w:bCs/>
          <w:color w:val="000000" w:themeColor="text1"/>
          <w:sz w:val="24"/>
          <w:szCs w:val="24"/>
        </w:rPr>
        <w:t xml:space="preserve"> .</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ESD is absolutely indicated in mucosal differentiated carcinomas without ulceration and a diameter of &lt;</w:t>
      </w:r>
      <w:r w:rsidR="00D4044E"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2 cm. Expanded indications include differentiated carcinomas limited to the mucosa without ulcer and &gt;</w:t>
      </w:r>
      <w:r w:rsidR="00D4044E"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2 cm in diameter or with ulceration but &lt;</w:t>
      </w:r>
      <w:r w:rsidR="00D4044E"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3 cm, as well as small undifferentiated carcinomas (&lt;</w:t>
      </w:r>
      <w:r w:rsidR="00D4044E"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2 cm). </w:t>
      </w:r>
      <w:proofErr w:type="spellStart"/>
      <w:r w:rsidR="00E20495" w:rsidRPr="006B24DA">
        <w:rPr>
          <w:rFonts w:ascii="Book Antiqua" w:eastAsia="Times New Roman" w:hAnsi="Book Antiqua" w:cs="Times New Roman"/>
          <w:bCs/>
          <w:color w:val="000000" w:themeColor="text1"/>
          <w:sz w:val="24"/>
          <w:szCs w:val="24"/>
        </w:rPr>
        <w:t>Lymphovascular</w:t>
      </w:r>
      <w:proofErr w:type="spellEnd"/>
      <w:r w:rsidR="00E20495" w:rsidRPr="006B24DA">
        <w:rPr>
          <w:rFonts w:ascii="Book Antiqua" w:eastAsia="Times New Roman" w:hAnsi="Book Antiqua" w:cs="Times New Roman"/>
          <w:bCs/>
          <w:color w:val="000000" w:themeColor="text1"/>
          <w:sz w:val="24"/>
          <w:szCs w:val="24"/>
        </w:rPr>
        <w:t xml:space="preserve"> infiltration must to be absent in all cases. ESD has been established in Asia to be superior to </w:t>
      </w:r>
      <w:r w:rsidR="00966E42" w:rsidRPr="006B24DA">
        <w:rPr>
          <w:rFonts w:ascii="Book Antiqua" w:eastAsia="Times New Roman" w:hAnsi="Book Antiqua" w:cs="Times New Roman"/>
          <w:bCs/>
          <w:color w:val="000000" w:themeColor="text1"/>
          <w:sz w:val="24"/>
          <w:szCs w:val="24"/>
        </w:rPr>
        <w:t>EMR</w:t>
      </w:r>
      <w:r w:rsidR="00E20495" w:rsidRPr="006B24DA">
        <w:rPr>
          <w:rFonts w:ascii="Book Antiqua" w:eastAsia="Times New Roman" w:hAnsi="Book Antiqua" w:cs="Times New Roman"/>
          <w:bCs/>
          <w:color w:val="000000" w:themeColor="text1"/>
          <w:sz w:val="24"/>
          <w:szCs w:val="24"/>
        </w:rPr>
        <w:t xml:space="preserve"> for treating early gastric cancer.</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However, outcomes from centers in Asia may not be representative of the western </w:t>
      </w:r>
      <w:proofErr w:type="gramStart"/>
      <w:r w:rsidR="00E20495" w:rsidRPr="006B24DA">
        <w:rPr>
          <w:rFonts w:ascii="Book Antiqua" w:eastAsia="Times New Roman" w:hAnsi="Book Antiqua" w:cs="Times New Roman"/>
          <w:bCs/>
          <w:color w:val="000000" w:themeColor="text1"/>
          <w:sz w:val="24"/>
          <w:szCs w:val="24"/>
        </w:rPr>
        <w:t>experience</w:t>
      </w:r>
      <w:r w:rsidR="00E20495" w:rsidRPr="006B24DA">
        <w:rPr>
          <w:rFonts w:ascii="Book Antiqua" w:eastAsia="Times New Roman" w:hAnsi="Book Antiqua" w:cs="Times New Roman"/>
          <w:bCs/>
          <w:noProof/>
          <w:color w:val="000000" w:themeColor="text1"/>
          <w:sz w:val="24"/>
          <w:szCs w:val="24"/>
          <w:vertAlign w:val="superscript"/>
        </w:rPr>
        <w:t>[</w:t>
      </w:r>
      <w:proofErr w:type="gramEnd"/>
      <w:r w:rsidR="00E20495" w:rsidRPr="006B24DA">
        <w:rPr>
          <w:rFonts w:ascii="Book Antiqua" w:eastAsia="Times New Roman" w:hAnsi="Book Antiqua" w:cs="Times New Roman"/>
          <w:bCs/>
          <w:noProof/>
          <w:color w:val="000000" w:themeColor="text1"/>
          <w:sz w:val="24"/>
          <w:szCs w:val="24"/>
          <w:vertAlign w:val="superscript"/>
        </w:rPr>
        <w:t>133]</w:t>
      </w:r>
      <w:r w:rsidR="00E20495" w:rsidRPr="006B24DA">
        <w:rPr>
          <w:rFonts w:ascii="Book Antiqua" w:eastAsia="Times New Roman" w:hAnsi="Book Antiqua" w:cs="Times New Roman"/>
          <w:bCs/>
          <w:color w:val="000000" w:themeColor="text1"/>
          <w:sz w:val="24"/>
          <w:szCs w:val="24"/>
        </w:rPr>
        <w:t>.</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In a recent article </w:t>
      </w:r>
      <w:r w:rsidR="00D4044E" w:rsidRPr="006B24DA">
        <w:rPr>
          <w:rFonts w:ascii="Book Antiqua" w:eastAsia="Times New Roman" w:hAnsi="Book Antiqua" w:cs="Times New Roman"/>
          <w:bCs/>
          <w:color w:val="000000" w:themeColor="text1"/>
          <w:sz w:val="24"/>
          <w:szCs w:val="24"/>
        </w:rPr>
        <w:t xml:space="preserve">by </w:t>
      </w:r>
      <w:proofErr w:type="spellStart"/>
      <w:r w:rsidR="00E20495" w:rsidRPr="006B24DA">
        <w:rPr>
          <w:rFonts w:ascii="Book Antiqua" w:eastAsia="Times New Roman" w:hAnsi="Book Antiqua" w:cs="Times New Roman"/>
          <w:bCs/>
          <w:color w:val="000000" w:themeColor="text1"/>
          <w:sz w:val="24"/>
          <w:szCs w:val="24"/>
        </w:rPr>
        <w:t>Daoud</w:t>
      </w:r>
      <w:proofErr w:type="spellEnd"/>
      <w:r w:rsidR="00E20495"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i/>
          <w:color w:val="000000" w:themeColor="text1"/>
          <w:sz w:val="24"/>
          <w:szCs w:val="24"/>
        </w:rPr>
        <w:t xml:space="preserve">et </w:t>
      </w:r>
      <w:proofErr w:type="gramStart"/>
      <w:r w:rsidR="00E20495" w:rsidRPr="006B24DA">
        <w:rPr>
          <w:rFonts w:ascii="Book Antiqua" w:eastAsia="Times New Roman" w:hAnsi="Book Antiqua" w:cs="Times New Roman"/>
          <w:bCs/>
          <w:i/>
          <w:color w:val="000000" w:themeColor="text1"/>
          <w:sz w:val="24"/>
          <w:szCs w:val="24"/>
        </w:rPr>
        <w:t>al</w:t>
      </w:r>
      <w:r w:rsidR="00E20495" w:rsidRPr="006B24DA">
        <w:rPr>
          <w:rFonts w:ascii="Book Antiqua" w:eastAsia="Times New Roman" w:hAnsi="Book Antiqua" w:cs="Times New Roman"/>
          <w:bCs/>
          <w:noProof/>
          <w:color w:val="000000" w:themeColor="text1"/>
          <w:sz w:val="24"/>
          <w:szCs w:val="24"/>
          <w:vertAlign w:val="superscript"/>
        </w:rPr>
        <w:t>[</w:t>
      </w:r>
      <w:proofErr w:type="gramEnd"/>
      <w:r w:rsidR="00E20495" w:rsidRPr="006B24DA">
        <w:rPr>
          <w:rFonts w:ascii="Book Antiqua" w:eastAsia="Times New Roman" w:hAnsi="Book Antiqua" w:cs="Times New Roman"/>
          <w:bCs/>
          <w:noProof/>
          <w:color w:val="000000" w:themeColor="text1"/>
          <w:sz w:val="24"/>
          <w:szCs w:val="24"/>
          <w:vertAlign w:val="superscript"/>
        </w:rPr>
        <w:t>134]</w:t>
      </w:r>
      <w:r w:rsidR="00D4044E" w:rsidRPr="006B24DA">
        <w:rPr>
          <w:rFonts w:ascii="Book Antiqua" w:eastAsia="Times New Roman" w:hAnsi="Book Antiqua" w:cs="Times New Roman"/>
          <w:bCs/>
          <w:noProof/>
          <w:color w:val="000000" w:themeColor="text1"/>
          <w:sz w:val="24"/>
          <w:szCs w:val="24"/>
        </w:rPr>
        <w:t>,</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reviewed and compared outcomes of </w:t>
      </w:r>
      <w:r w:rsidRPr="006B24DA">
        <w:rPr>
          <w:rFonts w:ascii="Book Antiqua" w:eastAsia="Times New Roman" w:hAnsi="Book Antiqua" w:cs="Times New Roman"/>
          <w:bCs/>
          <w:color w:val="000000" w:themeColor="text1"/>
          <w:sz w:val="24"/>
          <w:szCs w:val="24"/>
        </w:rPr>
        <w:t>ESD</w:t>
      </w:r>
      <w:r w:rsidR="00E20495" w:rsidRPr="006B24DA">
        <w:rPr>
          <w:rFonts w:ascii="Book Antiqua" w:eastAsia="Times New Roman" w:hAnsi="Book Antiqua" w:cs="Times New Roman"/>
          <w:bCs/>
          <w:color w:val="000000" w:themeColor="text1"/>
          <w:sz w:val="24"/>
          <w:szCs w:val="24"/>
        </w:rPr>
        <w:t xml:space="preserve"> between Eastern and Western countries. Their meta-analysis i</w:t>
      </w:r>
      <w:r w:rsidR="00D4044E" w:rsidRPr="006B24DA">
        <w:rPr>
          <w:rFonts w:ascii="Book Antiqua" w:eastAsia="Times New Roman" w:hAnsi="Book Antiqua" w:cs="Times New Roman"/>
          <w:bCs/>
          <w:color w:val="000000" w:themeColor="text1"/>
          <w:sz w:val="24"/>
          <w:szCs w:val="24"/>
        </w:rPr>
        <w:t>ncluded 238 publications and 84</w:t>
      </w:r>
      <w:r w:rsidR="00E20495" w:rsidRPr="006B24DA">
        <w:rPr>
          <w:rFonts w:ascii="Book Antiqua" w:eastAsia="Times New Roman" w:hAnsi="Book Antiqua" w:cs="Times New Roman"/>
          <w:bCs/>
          <w:color w:val="000000" w:themeColor="text1"/>
          <w:sz w:val="24"/>
          <w:szCs w:val="24"/>
        </w:rPr>
        <w:t xml:space="preserve">318 patients who had ESD. The 90% of the studies were conducted in Eastern countries (Japan, China, </w:t>
      </w:r>
      <w:r w:rsidR="00D4044E" w:rsidRPr="006B24DA">
        <w:rPr>
          <w:rFonts w:ascii="Book Antiqua" w:eastAsia="Times New Roman" w:hAnsi="Book Antiqua" w:cs="Times New Roman"/>
          <w:bCs/>
          <w:color w:val="000000" w:themeColor="text1"/>
          <w:sz w:val="24"/>
          <w:szCs w:val="24"/>
        </w:rPr>
        <w:t xml:space="preserve">South </w:t>
      </w:r>
      <w:r w:rsidR="00E20495" w:rsidRPr="006B24DA">
        <w:rPr>
          <w:rFonts w:ascii="Book Antiqua" w:eastAsia="Times New Roman" w:hAnsi="Book Antiqua" w:cs="Times New Roman"/>
          <w:bCs/>
          <w:color w:val="000000" w:themeColor="text1"/>
          <w:sz w:val="24"/>
          <w:szCs w:val="24"/>
        </w:rPr>
        <w:t>Korea, Taiwan) and only 10% of the studies reporting ESD outcomes in 2216 lesions were from Western countries (</w:t>
      </w:r>
      <w:r w:rsidR="00D4044E" w:rsidRPr="006B24DA">
        <w:rPr>
          <w:rFonts w:ascii="Book Antiqua" w:eastAsia="Times New Roman" w:hAnsi="Book Antiqua" w:cs="Times New Roman"/>
          <w:bCs/>
          <w:color w:val="000000" w:themeColor="text1"/>
          <w:sz w:val="24"/>
          <w:szCs w:val="24"/>
        </w:rPr>
        <w:t>United States</w:t>
      </w:r>
      <w:r w:rsidR="00E20495" w:rsidRPr="006B24DA">
        <w:rPr>
          <w:rFonts w:ascii="Book Antiqua" w:eastAsia="Times New Roman" w:hAnsi="Book Antiqua" w:cs="Times New Roman"/>
          <w:bCs/>
          <w:color w:val="000000" w:themeColor="text1"/>
          <w:sz w:val="24"/>
          <w:szCs w:val="24"/>
        </w:rPr>
        <w:t xml:space="preserve"> and Europe). The percentage of curative, </w:t>
      </w:r>
      <w:proofErr w:type="spellStart"/>
      <w:r w:rsidR="00E20495" w:rsidRPr="006B24DA">
        <w:rPr>
          <w:rFonts w:ascii="Book Antiqua" w:eastAsia="Times New Roman" w:hAnsi="Book Antiqua" w:cs="Times New Roman"/>
          <w:bCs/>
          <w:i/>
          <w:iCs/>
          <w:color w:val="000000" w:themeColor="text1"/>
          <w:sz w:val="24"/>
          <w:szCs w:val="24"/>
        </w:rPr>
        <w:t>en</w:t>
      </w:r>
      <w:proofErr w:type="spellEnd"/>
      <w:r w:rsidR="00E20495" w:rsidRPr="006B24DA">
        <w:rPr>
          <w:rFonts w:ascii="Book Antiqua" w:eastAsia="Times New Roman" w:hAnsi="Book Antiqua" w:cs="Times New Roman"/>
          <w:bCs/>
          <w:i/>
          <w:iCs/>
          <w:color w:val="000000" w:themeColor="text1"/>
          <w:sz w:val="24"/>
          <w:szCs w:val="24"/>
        </w:rPr>
        <w:t xml:space="preserve"> bloc</w:t>
      </w:r>
      <w:r w:rsidR="00E20495" w:rsidRPr="006B24DA">
        <w:rPr>
          <w:rFonts w:ascii="Book Antiqua" w:eastAsia="Times New Roman" w:hAnsi="Book Antiqua" w:cs="Times New Roman"/>
          <w:bCs/>
          <w:color w:val="000000" w:themeColor="text1"/>
          <w:sz w:val="24"/>
          <w:szCs w:val="24"/>
        </w:rPr>
        <w:t xml:space="preserve">, and R0 resection was higher “in the Eastern studies; 82% (CI: 81%-84%), 95% (CI: 94%-96%) and 89% (CI: 88%-91%) compared to Western studies; </w:t>
      </w:r>
      <w:r w:rsidR="00E20495" w:rsidRPr="006B24DA">
        <w:rPr>
          <w:rFonts w:ascii="Book Antiqua" w:eastAsia="Times New Roman" w:hAnsi="Book Antiqua" w:cs="Times New Roman"/>
          <w:bCs/>
          <w:color w:val="000000" w:themeColor="text1"/>
          <w:sz w:val="24"/>
          <w:szCs w:val="24"/>
        </w:rPr>
        <w:lastRenderedPageBreak/>
        <w:t xml:space="preserve">71% (CI: 61%-81%), 85% (CI: 81%-89%) and 74% (CI: 67%-81%), respectively”. Also, the percentage of perforation requiring surgery was significantly increased in the Western countries (0.53%; CI: 0.10-1.16) compared to Eastern countries (0.01%; CI: 0%-0.05%). ESD procedure times were longer in Western countries (110 min </w:t>
      </w:r>
      <w:r w:rsidR="00E20495" w:rsidRPr="006B24DA">
        <w:rPr>
          <w:rFonts w:ascii="Book Antiqua" w:eastAsia="Times New Roman" w:hAnsi="Book Antiqua" w:cs="Times New Roman"/>
          <w:bCs/>
          <w:i/>
          <w:iCs/>
          <w:color w:val="000000" w:themeColor="text1"/>
          <w:sz w:val="24"/>
          <w:szCs w:val="24"/>
        </w:rPr>
        <w:t>vs</w:t>
      </w:r>
      <w:r w:rsidR="00D4044E" w:rsidRPr="006B24DA">
        <w:rPr>
          <w:rFonts w:ascii="Book Antiqua" w:eastAsia="Times New Roman" w:hAnsi="Book Antiqua" w:cs="Times New Roman"/>
          <w:bCs/>
          <w:color w:val="000000" w:themeColor="text1"/>
          <w:sz w:val="24"/>
          <w:szCs w:val="24"/>
        </w:rPr>
        <w:t xml:space="preserve"> 77 min)</w:t>
      </w:r>
      <w:r w:rsidR="00E20495" w:rsidRPr="006B24DA">
        <w:rPr>
          <w:rFonts w:ascii="Book Antiqua" w:eastAsia="Times New Roman" w:hAnsi="Book Antiqua" w:cs="Times New Roman"/>
          <w:bCs/>
          <w:color w:val="000000" w:themeColor="text1"/>
          <w:sz w:val="24"/>
          <w:szCs w:val="24"/>
        </w:rPr>
        <w:t>.</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They concluded that “that ESD performed in Eastern countries is associated with better outcomes than studies reported from Western countries with regard to R0, </w:t>
      </w:r>
      <w:proofErr w:type="spellStart"/>
      <w:r w:rsidR="00E20495" w:rsidRPr="006B24DA">
        <w:rPr>
          <w:rFonts w:ascii="Book Antiqua" w:eastAsia="Times New Roman" w:hAnsi="Book Antiqua" w:cs="Times New Roman"/>
          <w:bCs/>
          <w:i/>
          <w:iCs/>
          <w:color w:val="000000" w:themeColor="text1"/>
          <w:sz w:val="24"/>
          <w:szCs w:val="24"/>
        </w:rPr>
        <w:t>en</w:t>
      </w:r>
      <w:proofErr w:type="spellEnd"/>
      <w:r w:rsidR="00E20495" w:rsidRPr="006B24DA">
        <w:rPr>
          <w:rFonts w:ascii="Book Antiqua" w:eastAsia="Times New Roman" w:hAnsi="Book Antiqua" w:cs="Times New Roman"/>
          <w:bCs/>
          <w:i/>
          <w:iCs/>
          <w:color w:val="000000" w:themeColor="text1"/>
          <w:sz w:val="24"/>
          <w:szCs w:val="24"/>
        </w:rPr>
        <w:t xml:space="preserve"> bloc</w:t>
      </w:r>
      <w:r w:rsidR="00E20495" w:rsidRPr="006B24DA">
        <w:rPr>
          <w:rFonts w:ascii="Book Antiqua" w:eastAsia="Times New Roman" w:hAnsi="Book Antiqua" w:cs="Times New Roman"/>
          <w:bCs/>
          <w:color w:val="000000" w:themeColor="text1"/>
          <w:sz w:val="24"/>
          <w:szCs w:val="24"/>
        </w:rPr>
        <w:t xml:space="preserve"> and curative resection rates</w:t>
      </w:r>
      <w:r w:rsidR="00D4044E" w:rsidRPr="006B24DA">
        <w:rPr>
          <w:rFonts w:ascii="Book Antiqua" w:eastAsia="Times New Roman" w:hAnsi="Book Antiqua" w:cs="Times New Roman"/>
          <w:bCs/>
          <w:color w:val="000000" w:themeColor="text1"/>
          <w:sz w:val="24"/>
          <w:szCs w:val="24"/>
        </w:rPr>
        <w:t>”</w:t>
      </w:r>
      <w:r w:rsidR="00E20495" w:rsidRPr="006B24DA">
        <w:rPr>
          <w:rFonts w:ascii="Book Antiqua" w:eastAsia="Times New Roman" w:hAnsi="Book Antiqua" w:cs="Times New Roman"/>
          <w:bCs/>
          <w:color w:val="000000" w:themeColor="text1"/>
          <w:sz w:val="24"/>
          <w:szCs w:val="24"/>
        </w:rPr>
        <w:t xml:space="preserve">. Moreover, perforations requiring surgery are more common in Western studies. The clinical decision-making for or against ESD </w:t>
      </w:r>
      <w:r w:rsidR="00D4044E" w:rsidRPr="006B24DA">
        <w:rPr>
          <w:rFonts w:ascii="Book Antiqua" w:eastAsia="Times New Roman" w:hAnsi="Book Antiqua" w:cs="Times New Roman"/>
          <w:bCs/>
          <w:i/>
          <w:color w:val="000000" w:themeColor="text1"/>
          <w:sz w:val="24"/>
          <w:szCs w:val="24"/>
        </w:rPr>
        <w:t>vs</w:t>
      </w:r>
      <w:r w:rsidR="00E20495" w:rsidRPr="006B24DA">
        <w:rPr>
          <w:rFonts w:ascii="Book Antiqua" w:eastAsia="Times New Roman" w:hAnsi="Book Antiqua" w:cs="Times New Roman"/>
          <w:bCs/>
          <w:color w:val="000000" w:themeColor="text1"/>
          <w:sz w:val="24"/>
          <w:szCs w:val="24"/>
        </w:rPr>
        <w:t xml:space="preserve"> EMR should consider regional outcomes and locally available expertise as well as the necessity for resection according to oncologic standard based on the risk for cancer versus pre-cancerous lesions.” The differences in outcomes may be partly related to the skills of the </w:t>
      </w:r>
      <w:proofErr w:type="spellStart"/>
      <w:r w:rsidR="00E20495" w:rsidRPr="006B24DA">
        <w:rPr>
          <w:rFonts w:ascii="Book Antiqua" w:eastAsia="Times New Roman" w:hAnsi="Book Antiqua" w:cs="Times New Roman"/>
          <w:bCs/>
          <w:color w:val="000000" w:themeColor="text1"/>
          <w:sz w:val="24"/>
          <w:szCs w:val="24"/>
        </w:rPr>
        <w:t>endoscopist</w:t>
      </w:r>
      <w:proofErr w:type="spellEnd"/>
      <w:r w:rsidR="00E20495" w:rsidRPr="006B24DA">
        <w:rPr>
          <w:rFonts w:ascii="Book Antiqua" w:eastAsia="Times New Roman" w:hAnsi="Book Antiqua" w:cs="Times New Roman"/>
          <w:bCs/>
          <w:color w:val="000000" w:themeColor="text1"/>
          <w:sz w:val="24"/>
          <w:szCs w:val="24"/>
        </w:rPr>
        <w:t>, as case volume and ESD mentors are more limited, and training in ESD is sti</w:t>
      </w:r>
      <w:r w:rsidR="00D4044E" w:rsidRPr="006B24DA">
        <w:rPr>
          <w:rFonts w:ascii="Book Antiqua" w:eastAsia="Times New Roman" w:hAnsi="Book Antiqua" w:cs="Times New Roman"/>
          <w:bCs/>
          <w:color w:val="000000" w:themeColor="text1"/>
          <w:sz w:val="24"/>
          <w:szCs w:val="24"/>
        </w:rPr>
        <w:t xml:space="preserve">ll in its developmental stage. </w:t>
      </w:r>
      <w:r w:rsidR="00E20495" w:rsidRPr="006B24DA">
        <w:rPr>
          <w:rFonts w:ascii="Book Antiqua" w:eastAsia="Times New Roman" w:hAnsi="Book Antiqua" w:cs="Times New Roman"/>
          <w:bCs/>
          <w:color w:val="000000" w:themeColor="text1"/>
          <w:sz w:val="24"/>
          <w:szCs w:val="24"/>
        </w:rPr>
        <w:t>My learning curve was initially quite slow, but I had the great fortune of having advanced fellows from Japan stay in my unit for 2-3 years at a time continuously since 2005.</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This afforded me ongoing in-house training and refinement.</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In addition, our Digestive Disease Center at the University of California</w:t>
      </w:r>
      <w:r w:rsidR="00C24091"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Irvine, Medical Center in Orange, CA is situated in a relatively high density Asian population in Southern California.</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Finally, having ready access to an animal lab, new techniques and devices can be adopted very quickly.</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Therefore, the training for ESD in western countries must take into consideration these factors and adopt a model that incorporates hands-on ex-vivo, live animal, and a regional mentor/coach as described well in an article by </w:t>
      </w:r>
      <w:proofErr w:type="spellStart"/>
      <w:r w:rsidR="00E20495" w:rsidRPr="006B24DA">
        <w:rPr>
          <w:rFonts w:ascii="Book Antiqua" w:eastAsia="Times New Roman" w:hAnsi="Book Antiqua" w:cs="Times New Roman"/>
          <w:bCs/>
          <w:color w:val="000000" w:themeColor="text1"/>
          <w:sz w:val="24"/>
          <w:szCs w:val="24"/>
        </w:rPr>
        <w:t>Draganov</w:t>
      </w:r>
      <w:proofErr w:type="spellEnd"/>
      <w:r w:rsidR="00E20495"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i/>
          <w:color w:val="000000" w:themeColor="text1"/>
          <w:sz w:val="24"/>
          <w:szCs w:val="24"/>
        </w:rPr>
        <w:t xml:space="preserve">et </w:t>
      </w:r>
      <w:proofErr w:type="gramStart"/>
      <w:r w:rsidR="00E20495" w:rsidRPr="006B24DA">
        <w:rPr>
          <w:rFonts w:ascii="Book Antiqua" w:eastAsia="Times New Roman" w:hAnsi="Book Antiqua" w:cs="Times New Roman"/>
          <w:bCs/>
          <w:i/>
          <w:color w:val="000000" w:themeColor="text1"/>
          <w:sz w:val="24"/>
          <w:szCs w:val="24"/>
        </w:rPr>
        <w:t>al</w:t>
      </w:r>
      <w:r w:rsidR="00E20495" w:rsidRPr="006B24DA">
        <w:rPr>
          <w:rFonts w:ascii="Book Antiqua" w:eastAsia="Times New Roman" w:hAnsi="Book Antiqua" w:cs="Times New Roman"/>
          <w:bCs/>
          <w:noProof/>
          <w:color w:val="000000" w:themeColor="text1"/>
          <w:sz w:val="24"/>
          <w:szCs w:val="24"/>
          <w:vertAlign w:val="superscript"/>
        </w:rPr>
        <w:t>[</w:t>
      </w:r>
      <w:proofErr w:type="gramEnd"/>
      <w:r w:rsidR="00E20495" w:rsidRPr="006B24DA">
        <w:rPr>
          <w:rFonts w:ascii="Book Antiqua" w:eastAsia="Times New Roman" w:hAnsi="Book Antiqua" w:cs="Times New Roman"/>
          <w:bCs/>
          <w:noProof/>
          <w:color w:val="000000" w:themeColor="text1"/>
          <w:sz w:val="24"/>
          <w:szCs w:val="24"/>
          <w:vertAlign w:val="superscript"/>
        </w:rPr>
        <w:t>135]</w:t>
      </w:r>
      <w:r w:rsidR="00E20495" w:rsidRPr="006B24DA">
        <w:rPr>
          <w:rFonts w:ascii="Book Antiqua" w:eastAsia="Times New Roman" w:hAnsi="Book Antiqua" w:cs="Times New Roman"/>
          <w:bCs/>
          <w:color w:val="000000" w:themeColor="text1"/>
          <w:sz w:val="24"/>
          <w:szCs w:val="24"/>
        </w:rPr>
        <w:t>.</w:t>
      </w:r>
    </w:p>
    <w:p w14:paraId="08FE27B5" w14:textId="1404184F" w:rsidR="00E20495" w:rsidRPr="006B24DA" w:rsidRDefault="00D4044E" w:rsidP="007761C0">
      <w:pPr>
        <w:autoSpaceDE w:val="0"/>
        <w:autoSpaceDN w:val="0"/>
        <w:adjustRightInd w:val="0"/>
        <w:snapToGrid w:val="0"/>
        <w:spacing w:after="0" w:line="360" w:lineRule="auto"/>
        <w:jc w:val="both"/>
        <w:rPr>
          <w:rFonts w:ascii="Book Antiqua" w:eastAsia="Times New Roman" w:hAnsi="Book Antiqua" w:cs="Times New Roman"/>
          <w:bCs/>
          <w:color w:val="000000" w:themeColor="text1"/>
          <w:sz w:val="24"/>
          <w:szCs w:val="24"/>
        </w:rPr>
      </w:pPr>
      <w:r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More recently, </w:t>
      </w:r>
      <w:r w:rsidR="00C24091" w:rsidRPr="006B24DA">
        <w:rPr>
          <w:rFonts w:ascii="Book Antiqua" w:eastAsia="Times New Roman" w:hAnsi="Book Antiqua" w:cs="Times New Roman"/>
          <w:bCs/>
          <w:color w:val="000000" w:themeColor="text1"/>
          <w:sz w:val="24"/>
          <w:szCs w:val="24"/>
        </w:rPr>
        <w:t>Submucosal Tunneling Endoscopic Resection (</w:t>
      </w:r>
      <w:r w:rsidR="00D25085" w:rsidRPr="006B24DA">
        <w:rPr>
          <w:rFonts w:ascii="Book Antiqua" w:eastAsia="Times New Roman" w:hAnsi="Book Antiqua" w:cs="Times New Roman"/>
          <w:bCs/>
          <w:color w:val="000000" w:themeColor="text1"/>
          <w:sz w:val="24"/>
          <w:szCs w:val="24"/>
        </w:rPr>
        <w:t>STER</w:t>
      </w:r>
      <w:r w:rsidR="00C24091" w:rsidRPr="006B24DA">
        <w:rPr>
          <w:rFonts w:ascii="Book Antiqua" w:eastAsia="Times New Roman" w:hAnsi="Book Antiqua" w:cs="Times New Roman"/>
          <w:bCs/>
          <w:color w:val="000000" w:themeColor="text1"/>
          <w:sz w:val="24"/>
          <w:szCs w:val="24"/>
        </w:rPr>
        <w:t>)</w:t>
      </w:r>
      <w:r w:rsidR="00E20495" w:rsidRPr="006B24DA">
        <w:rPr>
          <w:rFonts w:ascii="Book Antiqua" w:eastAsia="Times New Roman" w:hAnsi="Book Antiqua" w:cs="Times New Roman"/>
          <w:bCs/>
          <w:color w:val="000000" w:themeColor="text1"/>
          <w:sz w:val="24"/>
          <w:szCs w:val="24"/>
        </w:rPr>
        <w:t xml:space="preserve"> and </w:t>
      </w:r>
      <w:r w:rsidR="00C24091" w:rsidRPr="006B24DA">
        <w:rPr>
          <w:rFonts w:ascii="Book Antiqua" w:eastAsia="Times New Roman" w:hAnsi="Book Antiqua" w:cs="Times New Roman"/>
          <w:bCs/>
          <w:color w:val="000000" w:themeColor="text1"/>
          <w:sz w:val="24"/>
          <w:szCs w:val="24"/>
        </w:rPr>
        <w:t>Full thickness resection (</w:t>
      </w:r>
      <w:r w:rsidRPr="006B24DA">
        <w:rPr>
          <w:rFonts w:ascii="Book Antiqua" w:eastAsia="Times New Roman" w:hAnsi="Book Antiqua" w:cs="Times New Roman"/>
          <w:bCs/>
          <w:color w:val="000000" w:themeColor="text1"/>
          <w:sz w:val="24"/>
          <w:szCs w:val="24"/>
        </w:rPr>
        <w:t>FTR</w:t>
      </w:r>
      <w:r w:rsidR="00C24091" w:rsidRPr="006B24DA">
        <w:rPr>
          <w:rFonts w:ascii="Book Antiqua" w:eastAsia="Times New Roman" w:hAnsi="Book Antiqua" w:cs="Times New Roman"/>
          <w:bCs/>
          <w:color w:val="000000" w:themeColor="text1"/>
          <w:sz w:val="24"/>
          <w:szCs w:val="24"/>
        </w:rPr>
        <w:t>)</w:t>
      </w:r>
      <w:r w:rsidR="00E20495" w:rsidRPr="006B24DA">
        <w:rPr>
          <w:rFonts w:ascii="Book Antiqua" w:eastAsia="Times New Roman" w:hAnsi="Book Antiqua" w:cs="Times New Roman"/>
          <w:bCs/>
          <w:color w:val="000000" w:themeColor="text1"/>
          <w:sz w:val="24"/>
          <w:szCs w:val="24"/>
        </w:rPr>
        <w:t xml:space="preserve"> have emerged for the endoscopic treatment of </w:t>
      </w:r>
      <w:r w:rsidRPr="006B24DA">
        <w:rPr>
          <w:rFonts w:ascii="Book Antiqua" w:eastAsia="Times New Roman" w:hAnsi="Book Antiqua" w:cs="Times New Roman"/>
          <w:bCs/>
          <w:color w:val="000000" w:themeColor="text1"/>
          <w:sz w:val="24"/>
          <w:szCs w:val="24"/>
        </w:rPr>
        <w:t xml:space="preserve">SMTs. </w:t>
      </w:r>
      <w:r w:rsidR="00E20495" w:rsidRPr="006B24DA">
        <w:rPr>
          <w:rFonts w:ascii="Book Antiqua" w:eastAsia="Times New Roman" w:hAnsi="Book Antiqua" w:cs="Times New Roman"/>
          <w:bCs/>
          <w:color w:val="000000" w:themeColor="text1"/>
          <w:sz w:val="24"/>
          <w:szCs w:val="24"/>
        </w:rPr>
        <w:t xml:space="preserve">The STER technique has predominantly been used to treat esophageal SMT’s, namely leiomyoma and GIST </w:t>
      </w:r>
      <w:r w:rsidR="00315600" w:rsidRPr="006B24DA">
        <w:rPr>
          <w:rFonts w:ascii="Book Antiqua" w:eastAsia="Times New Roman" w:hAnsi="Book Antiqua" w:cs="Times New Roman"/>
          <w:bCs/>
          <w:color w:val="000000" w:themeColor="text1"/>
          <w:sz w:val="24"/>
          <w:szCs w:val="24"/>
        </w:rPr>
        <w:t>lesions.</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For gastric SMT’s, techniques include either FTR or a combination of ESD and FTR. For example, a gastric SMT arising from the </w:t>
      </w:r>
      <w:r w:rsidRPr="006B24DA">
        <w:rPr>
          <w:rFonts w:ascii="Book Antiqua" w:eastAsia="Times New Roman" w:hAnsi="Book Antiqua" w:cs="Times New Roman"/>
          <w:bCs/>
          <w:color w:val="000000" w:themeColor="text1"/>
          <w:sz w:val="24"/>
          <w:szCs w:val="24"/>
        </w:rPr>
        <w:t>MP</w:t>
      </w:r>
      <w:r w:rsidR="00E20495" w:rsidRPr="006B24DA">
        <w:rPr>
          <w:rFonts w:ascii="Book Antiqua" w:eastAsia="Times New Roman" w:hAnsi="Book Antiqua" w:cs="Times New Roman"/>
          <w:bCs/>
          <w:color w:val="000000" w:themeColor="text1"/>
          <w:sz w:val="24"/>
          <w:szCs w:val="24"/>
        </w:rPr>
        <w:t xml:space="preserve"> can be approached by initially performing an ESD until reaching the central attachment of the tumor to the </w:t>
      </w:r>
      <w:r w:rsidRPr="006B24DA">
        <w:rPr>
          <w:rFonts w:ascii="Book Antiqua" w:eastAsia="Times New Roman" w:hAnsi="Book Antiqua" w:cs="Times New Roman"/>
          <w:bCs/>
          <w:color w:val="000000" w:themeColor="text1"/>
          <w:sz w:val="24"/>
          <w:szCs w:val="24"/>
        </w:rPr>
        <w:t>MP</w:t>
      </w:r>
      <w:r w:rsidR="00E20495" w:rsidRPr="006B24DA">
        <w:rPr>
          <w:rFonts w:ascii="Book Antiqua" w:eastAsia="Times New Roman" w:hAnsi="Book Antiqua" w:cs="Times New Roman"/>
          <w:bCs/>
          <w:color w:val="000000" w:themeColor="text1"/>
          <w:sz w:val="24"/>
          <w:szCs w:val="24"/>
        </w:rPr>
        <w:t>.</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At this point, FTR can be performed, but with a smaller diameter than a de-novo </w:t>
      </w:r>
      <w:r w:rsidR="00E20495" w:rsidRPr="006B24DA">
        <w:rPr>
          <w:rFonts w:ascii="Book Antiqua" w:eastAsia="Times New Roman" w:hAnsi="Book Antiqua" w:cs="Times New Roman"/>
          <w:bCs/>
          <w:color w:val="000000" w:themeColor="text1"/>
          <w:sz w:val="24"/>
          <w:szCs w:val="24"/>
        </w:rPr>
        <w:lastRenderedPageBreak/>
        <w:t>FTR.</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For smaller lesions, FTR can be accomplished using the FTRD device (</w:t>
      </w:r>
      <w:proofErr w:type="spellStart"/>
      <w:r w:rsidR="00E20495" w:rsidRPr="006B24DA">
        <w:rPr>
          <w:rFonts w:ascii="Book Antiqua" w:eastAsia="Times New Roman" w:hAnsi="Book Antiqua" w:cs="Times New Roman"/>
          <w:bCs/>
          <w:color w:val="000000" w:themeColor="text1"/>
          <w:sz w:val="24"/>
          <w:szCs w:val="24"/>
        </w:rPr>
        <w:t>Ovesco</w:t>
      </w:r>
      <w:proofErr w:type="spellEnd"/>
      <w:r w:rsidR="00E20495" w:rsidRPr="006B24DA">
        <w:rPr>
          <w:rFonts w:ascii="Book Antiqua" w:eastAsia="Times New Roman" w:hAnsi="Book Antiqua" w:cs="Times New Roman"/>
          <w:bCs/>
          <w:color w:val="000000" w:themeColor="text1"/>
          <w:sz w:val="24"/>
          <w:szCs w:val="24"/>
        </w:rPr>
        <w:t>), which integrates a large suction cap with both over-the-scope clip (OTSC) and snare (similar to some EMR devices).</w:t>
      </w:r>
      <w:r w:rsidR="00D33133"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Using this device, </w:t>
      </w:r>
      <w:r w:rsidRPr="006B24DA">
        <w:rPr>
          <w:rFonts w:ascii="Book Antiqua" w:eastAsia="Times New Roman" w:hAnsi="Book Antiqua" w:cs="Times New Roman"/>
          <w:bCs/>
          <w:color w:val="000000" w:themeColor="text1"/>
          <w:sz w:val="24"/>
          <w:szCs w:val="24"/>
        </w:rPr>
        <w:t>FTR</w:t>
      </w:r>
      <w:r w:rsidR="00E20495" w:rsidRPr="006B24DA">
        <w:rPr>
          <w:rFonts w:ascii="Book Antiqua" w:eastAsia="Times New Roman" w:hAnsi="Book Antiqua" w:cs="Times New Roman"/>
          <w:bCs/>
          <w:color w:val="000000" w:themeColor="text1"/>
          <w:sz w:val="24"/>
          <w:szCs w:val="24"/>
        </w:rPr>
        <w:t xml:space="preserve">s in the stomach can potentially be accomplished with great efficiency. We recently used FTRD to perform </w:t>
      </w:r>
      <w:proofErr w:type="spellStart"/>
      <w:r w:rsidR="00E20495" w:rsidRPr="006B24DA">
        <w:rPr>
          <w:rFonts w:ascii="Book Antiqua" w:eastAsia="Times New Roman" w:hAnsi="Book Antiqua" w:cs="Times New Roman"/>
          <w:bCs/>
          <w:color w:val="000000" w:themeColor="text1"/>
          <w:sz w:val="24"/>
          <w:szCs w:val="24"/>
        </w:rPr>
        <w:t>en</w:t>
      </w:r>
      <w:proofErr w:type="spellEnd"/>
      <w:r w:rsidR="00E20495" w:rsidRPr="006B24DA">
        <w:rPr>
          <w:rFonts w:ascii="Book Antiqua" w:eastAsia="Times New Roman" w:hAnsi="Book Antiqua" w:cs="Times New Roman"/>
          <w:bCs/>
          <w:color w:val="000000" w:themeColor="text1"/>
          <w:sz w:val="24"/>
          <w:szCs w:val="24"/>
        </w:rPr>
        <w:t xml:space="preserve"> block resection of a gastric </w:t>
      </w:r>
      <w:r w:rsidRPr="006B24DA">
        <w:rPr>
          <w:rFonts w:ascii="Book Antiqua" w:eastAsia="Times New Roman" w:hAnsi="Book Antiqua" w:cs="Times New Roman"/>
          <w:bCs/>
          <w:color w:val="000000" w:themeColor="text1"/>
          <w:sz w:val="24"/>
          <w:szCs w:val="24"/>
        </w:rPr>
        <w:t>SMT</w:t>
      </w:r>
      <w:r w:rsidR="00E20495"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color w:val="000000" w:themeColor="text1"/>
          <w:sz w:val="24"/>
          <w:szCs w:val="24"/>
        </w:rPr>
        <w:t>(</w:t>
      </w:r>
      <w:r w:rsidR="005D4219" w:rsidRPr="006B24DA">
        <w:rPr>
          <w:rFonts w:ascii="Book Antiqua" w:eastAsia="Times New Roman" w:hAnsi="Book Antiqua" w:cs="Times New Roman"/>
          <w:color w:val="000000" w:themeColor="text1"/>
          <w:sz w:val="24"/>
          <w:szCs w:val="24"/>
        </w:rPr>
        <w:t>Figure 23</w:t>
      </w:r>
      <w:r w:rsidR="00E20495" w:rsidRPr="006B24DA">
        <w:rPr>
          <w:rFonts w:ascii="Book Antiqua" w:eastAsia="Times New Roman" w:hAnsi="Book Antiqua" w:cs="Times New Roman"/>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which turned out to be a neuroendocrine tumor. </w:t>
      </w:r>
    </w:p>
    <w:p w14:paraId="194608F2" w14:textId="77777777" w:rsidR="00E20495" w:rsidRPr="006B24DA" w:rsidRDefault="00E20495" w:rsidP="007761C0">
      <w:pPr>
        <w:autoSpaceDE w:val="0"/>
        <w:autoSpaceDN w:val="0"/>
        <w:adjustRightInd w:val="0"/>
        <w:snapToGrid w:val="0"/>
        <w:spacing w:after="0" w:line="360" w:lineRule="auto"/>
        <w:jc w:val="both"/>
        <w:rPr>
          <w:rFonts w:ascii="Book Antiqua" w:eastAsia="Times New Roman" w:hAnsi="Book Antiqua" w:cs="Times New Roman"/>
          <w:bCs/>
          <w:i/>
          <w:color w:val="000000" w:themeColor="text1"/>
          <w:sz w:val="24"/>
          <w:szCs w:val="24"/>
        </w:rPr>
      </w:pPr>
    </w:p>
    <w:p w14:paraId="73323465" w14:textId="77777777" w:rsidR="00E5439D" w:rsidRPr="006B24DA" w:rsidRDefault="00E20495" w:rsidP="007761C0">
      <w:pPr>
        <w:autoSpaceDE w:val="0"/>
        <w:autoSpaceDN w:val="0"/>
        <w:adjustRightInd w:val="0"/>
        <w:snapToGrid w:val="0"/>
        <w:spacing w:after="0" w:line="360" w:lineRule="auto"/>
        <w:jc w:val="both"/>
        <w:rPr>
          <w:rFonts w:ascii="Book Antiqua" w:eastAsia="Times New Roman" w:hAnsi="Book Antiqua" w:cs="Times New Roman"/>
          <w:b/>
          <w:bCs/>
          <w:i/>
          <w:color w:val="000000" w:themeColor="text1"/>
          <w:sz w:val="24"/>
          <w:szCs w:val="24"/>
        </w:rPr>
      </w:pPr>
      <w:r w:rsidRPr="006B24DA">
        <w:rPr>
          <w:rFonts w:ascii="Book Antiqua" w:eastAsia="Times New Roman" w:hAnsi="Book Antiqua" w:cs="Times New Roman"/>
          <w:b/>
          <w:bCs/>
          <w:i/>
          <w:color w:val="000000" w:themeColor="text1"/>
          <w:sz w:val="24"/>
          <w:szCs w:val="24"/>
        </w:rPr>
        <w:t>Technical considerations</w:t>
      </w:r>
    </w:p>
    <w:p w14:paraId="2ED1FC9D" w14:textId="405DE45C" w:rsidR="00E20495" w:rsidRPr="006B24DA" w:rsidRDefault="00E5439D" w:rsidP="003B13C7">
      <w:pPr>
        <w:autoSpaceDE w:val="0"/>
        <w:autoSpaceDN w:val="0"/>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t>F</w:t>
      </w:r>
      <w:r w:rsidR="00E20495" w:rsidRPr="006B24DA">
        <w:rPr>
          <w:rFonts w:ascii="Book Antiqua" w:eastAsia="Times New Roman" w:hAnsi="Book Antiqua" w:cs="Times New Roman"/>
          <w:color w:val="000000" w:themeColor="text1"/>
          <w:sz w:val="24"/>
          <w:szCs w:val="24"/>
        </w:rPr>
        <w:t xml:space="preserve">or gastric ESD, lesions in the antrum and body along the greater curve tend to be easier, while lesions in the proximal third of the stomach and those along the lesser curve tend to be more </w:t>
      </w:r>
      <w:proofErr w:type="gramStart"/>
      <w:r w:rsidR="00E20495" w:rsidRPr="006B24DA">
        <w:rPr>
          <w:rFonts w:ascii="Book Antiqua" w:eastAsia="Times New Roman" w:hAnsi="Book Antiqua" w:cs="Times New Roman"/>
          <w:color w:val="000000" w:themeColor="text1"/>
          <w:sz w:val="24"/>
          <w:szCs w:val="24"/>
        </w:rPr>
        <w:t>difficult</w:t>
      </w:r>
      <w:r w:rsidR="00E20495" w:rsidRPr="006B24DA">
        <w:rPr>
          <w:rFonts w:ascii="Book Antiqua" w:eastAsia="Times New Roman" w:hAnsi="Book Antiqua" w:cs="Times New Roman"/>
          <w:noProof/>
          <w:color w:val="000000" w:themeColor="text1"/>
          <w:sz w:val="24"/>
          <w:szCs w:val="24"/>
          <w:vertAlign w:val="superscript"/>
        </w:rPr>
        <w:t>[</w:t>
      </w:r>
      <w:proofErr w:type="gramEnd"/>
      <w:r w:rsidR="00E20495" w:rsidRPr="006B24DA">
        <w:rPr>
          <w:rFonts w:ascii="Book Antiqua" w:eastAsia="Times New Roman" w:hAnsi="Book Antiqua" w:cs="Times New Roman"/>
          <w:noProof/>
          <w:color w:val="000000" w:themeColor="text1"/>
          <w:sz w:val="24"/>
          <w:szCs w:val="24"/>
          <w:vertAlign w:val="superscript"/>
        </w:rPr>
        <w:t>136]</w:t>
      </w:r>
      <w:r w:rsidR="00E20495" w:rsidRPr="006B24DA">
        <w:rPr>
          <w:rFonts w:ascii="Book Antiqua" w:eastAsia="Times New Roman" w:hAnsi="Book Antiqua" w:cs="Times New Roman"/>
          <w:color w:val="000000" w:themeColor="text1"/>
          <w:sz w:val="24"/>
          <w:szCs w:val="24"/>
        </w:rPr>
        <w:t>.</w:t>
      </w:r>
      <w:r w:rsidR="00D33133" w:rsidRPr="006B24DA">
        <w:rPr>
          <w:rFonts w:ascii="Book Antiqua" w:eastAsia="Times New Roman" w:hAnsi="Book Antiqua" w:cs="Times New Roman"/>
          <w:color w:val="000000" w:themeColor="text1"/>
          <w:sz w:val="24"/>
          <w:szCs w:val="24"/>
        </w:rPr>
        <w:t xml:space="preserve"> </w:t>
      </w:r>
      <w:r w:rsidR="00E20495" w:rsidRPr="006B24DA">
        <w:rPr>
          <w:rFonts w:ascii="Book Antiqua" w:eastAsia="Times New Roman" w:hAnsi="Book Antiqua" w:cs="Times New Roman"/>
          <w:color w:val="000000" w:themeColor="text1"/>
          <w:sz w:val="24"/>
          <w:szCs w:val="24"/>
        </w:rPr>
        <w:t xml:space="preserve">We tend to utilize traction </w:t>
      </w:r>
      <w:proofErr w:type="gramStart"/>
      <w:r w:rsidR="00E20495" w:rsidRPr="006B24DA">
        <w:rPr>
          <w:rFonts w:ascii="Book Antiqua" w:eastAsia="Times New Roman" w:hAnsi="Book Antiqua" w:cs="Times New Roman"/>
          <w:color w:val="000000" w:themeColor="text1"/>
          <w:sz w:val="24"/>
          <w:szCs w:val="24"/>
        </w:rPr>
        <w:t>techniques</w:t>
      </w:r>
      <w:r w:rsidR="00E20495" w:rsidRPr="006B24DA">
        <w:rPr>
          <w:rFonts w:ascii="Book Antiqua" w:eastAsia="Times New Roman" w:hAnsi="Book Antiqua" w:cs="Times New Roman"/>
          <w:noProof/>
          <w:color w:val="000000" w:themeColor="text1"/>
          <w:sz w:val="24"/>
          <w:szCs w:val="24"/>
          <w:vertAlign w:val="superscript"/>
        </w:rPr>
        <w:t>[</w:t>
      </w:r>
      <w:proofErr w:type="gramEnd"/>
      <w:r w:rsidR="00E20495" w:rsidRPr="006B24DA">
        <w:rPr>
          <w:rFonts w:ascii="Book Antiqua" w:eastAsia="Times New Roman" w:hAnsi="Book Antiqua" w:cs="Times New Roman"/>
          <w:noProof/>
          <w:color w:val="000000" w:themeColor="text1"/>
          <w:sz w:val="24"/>
          <w:szCs w:val="24"/>
          <w:vertAlign w:val="superscript"/>
        </w:rPr>
        <w:t>137-140]</w:t>
      </w:r>
      <w:r w:rsidR="00D33133" w:rsidRPr="006B24DA">
        <w:rPr>
          <w:rFonts w:ascii="Book Antiqua" w:eastAsia="Times New Roman" w:hAnsi="Book Antiqua" w:cs="Times New Roman"/>
          <w:color w:val="000000" w:themeColor="text1"/>
          <w:sz w:val="24"/>
          <w:szCs w:val="24"/>
        </w:rPr>
        <w:t xml:space="preserve"> </w:t>
      </w:r>
      <w:r w:rsidR="00E20495" w:rsidRPr="006B24DA">
        <w:rPr>
          <w:rFonts w:ascii="Book Antiqua" w:eastAsia="Times New Roman" w:hAnsi="Book Antiqua" w:cs="Times New Roman"/>
          <w:color w:val="000000" w:themeColor="text1"/>
          <w:sz w:val="24"/>
          <w:szCs w:val="24"/>
        </w:rPr>
        <w:t xml:space="preserve">especially in the more difficult areas. Our most common traction technique </w:t>
      </w:r>
      <w:r w:rsidR="00D30271" w:rsidRPr="006B24DA">
        <w:rPr>
          <w:rFonts w:ascii="Book Antiqua" w:eastAsia="Times New Roman" w:hAnsi="Book Antiqua" w:cs="Times New Roman"/>
          <w:color w:val="000000" w:themeColor="text1"/>
          <w:sz w:val="24"/>
          <w:szCs w:val="24"/>
        </w:rPr>
        <w:t>for the stomach and colon is what</w:t>
      </w:r>
      <w:r w:rsidR="00E20495" w:rsidRPr="006B24DA">
        <w:rPr>
          <w:rFonts w:ascii="Book Antiqua" w:eastAsia="Times New Roman" w:hAnsi="Book Antiqua" w:cs="Times New Roman"/>
          <w:color w:val="000000" w:themeColor="text1"/>
          <w:sz w:val="24"/>
          <w:szCs w:val="24"/>
        </w:rPr>
        <w:t xml:space="preserve"> we call the </w:t>
      </w:r>
      <w:r w:rsidRPr="006B24DA">
        <w:rPr>
          <w:rFonts w:ascii="Book Antiqua" w:eastAsia="Times New Roman" w:hAnsi="Book Antiqua" w:cs="Times New Roman"/>
          <w:color w:val="000000" w:themeColor="text1"/>
          <w:sz w:val="24"/>
          <w:szCs w:val="24"/>
        </w:rPr>
        <w:t xml:space="preserve">multi-loop </w:t>
      </w:r>
      <w:r w:rsidR="00E20495" w:rsidRPr="006B24DA">
        <w:rPr>
          <w:rFonts w:ascii="Book Antiqua" w:eastAsia="Times New Roman" w:hAnsi="Book Antiqua" w:cs="Times New Roman"/>
          <w:color w:val="000000" w:themeColor="text1"/>
          <w:sz w:val="24"/>
          <w:szCs w:val="24"/>
        </w:rPr>
        <w:t>(</w:t>
      </w:r>
      <w:r w:rsidRPr="006B24DA">
        <w:rPr>
          <w:rFonts w:ascii="Book Antiqua" w:eastAsia="Times New Roman" w:hAnsi="Book Antiqua" w:cs="Times New Roman"/>
          <w:color w:val="000000" w:themeColor="text1"/>
          <w:sz w:val="24"/>
          <w:szCs w:val="24"/>
        </w:rPr>
        <w:t>M-loop</w:t>
      </w:r>
      <w:r w:rsidR="00E20495" w:rsidRPr="006B24DA">
        <w:rPr>
          <w:rFonts w:ascii="Book Antiqua" w:eastAsia="Times New Roman" w:hAnsi="Book Antiqua" w:cs="Times New Roman"/>
          <w:color w:val="000000" w:themeColor="text1"/>
          <w:sz w:val="24"/>
          <w:szCs w:val="24"/>
        </w:rPr>
        <w:t xml:space="preserve">) technique </w:t>
      </w:r>
      <w:r w:rsidR="005D4219" w:rsidRPr="006B24DA">
        <w:rPr>
          <w:rFonts w:ascii="Book Antiqua" w:eastAsia="Times New Roman" w:hAnsi="Book Antiqua" w:cs="Times New Roman"/>
          <w:color w:val="000000" w:themeColor="text1"/>
          <w:sz w:val="24"/>
          <w:szCs w:val="24"/>
        </w:rPr>
        <w:t>(Figure 24</w:t>
      </w:r>
      <w:r w:rsidR="00E20495" w:rsidRPr="006B24DA">
        <w:rPr>
          <w:rFonts w:ascii="Book Antiqua" w:eastAsia="Times New Roman" w:hAnsi="Book Antiqua" w:cs="Times New Roman"/>
          <w:color w:val="000000" w:themeColor="text1"/>
          <w:sz w:val="24"/>
          <w:szCs w:val="24"/>
        </w:rPr>
        <w:t>): create 3 loops using either suture or dental floss (can tie loops around a 3</w:t>
      </w:r>
      <w:r w:rsidRPr="006B24DA">
        <w:rPr>
          <w:rFonts w:ascii="Book Antiqua" w:eastAsia="Times New Roman" w:hAnsi="Book Antiqua" w:cs="Times New Roman"/>
          <w:color w:val="000000" w:themeColor="text1"/>
          <w:sz w:val="24"/>
          <w:szCs w:val="24"/>
        </w:rPr>
        <w:t>-mL</w:t>
      </w:r>
      <w:r w:rsidR="00E20495" w:rsidRPr="006B24DA">
        <w:rPr>
          <w:rFonts w:ascii="Book Antiqua" w:eastAsia="Times New Roman" w:hAnsi="Book Antiqua" w:cs="Times New Roman"/>
          <w:color w:val="000000" w:themeColor="text1"/>
          <w:sz w:val="24"/>
          <w:szCs w:val="24"/>
        </w:rPr>
        <w:t xml:space="preserve"> syringe for sizing), grab one end of the loop with clip, pass the clip with M-loop through the scope channel </w:t>
      </w:r>
      <w:r w:rsidR="005D4219" w:rsidRPr="006B24DA">
        <w:rPr>
          <w:rFonts w:ascii="Book Antiqua" w:eastAsia="Times New Roman" w:hAnsi="Book Antiqua" w:cs="Times New Roman"/>
          <w:color w:val="000000" w:themeColor="text1"/>
          <w:sz w:val="24"/>
          <w:szCs w:val="24"/>
        </w:rPr>
        <w:t>(Figure 24</w:t>
      </w:r>
      <w:r w:rsidR="00E20495" w:rsidRPr="006B24DA">
        <w:rPr>
          <w:rFonts w:ascii="Book Antiqua" w:eastAsia="Times New Roman" w:hAnsi="Book Antiqua" w:cs="Times New Roman"/>
          <w:color w:val="000000" w:themeColor="text1"/>
          <w:sz w:val="24"/>
          <w:szCs w:val="24"/>
        </w:rPr>
        <w:t xml:space="preserve">C), open the clip and grasp the proximal edge of the specimen </w:t>
      </w:r>
      <w:r w:rsidR="005D4219" w:rsidRPr="006B24DA">
        <w:rPr>
          <w:rFonts w:ascii="Book Antiqua" w:eastAsia="Times New Roman" w:hAnsi="Book Antiqua" w:cs="Times New Roman"/>
          <w:color w:val="000000" w:themeColor="text1"/>
          <w:sz w:val="24"/>
          <w:szCs w:val="24"/>
        </w:rPr>
        <w:t>(Figure 24</w:t>
      </w:r>
      <w:r w:rsidR="00E20495" w:rsidRPr="006B24DA">
        <w:rPr>
          <w:rFonts w:ascii="Book Antiqua" w:eastAsia="Times New Roman" w:hAnsi="Book Antiqua" w:cs="Times New Roman"/>
          <w:color w:val="000000" w:themeColor="text1"/>
          <w:sz w:val="24"/>
          <w:szCs w:val="24"/>
        </w:rPr>
        <w:t xml:space="preserve">E) and release the clip and string, then using a second clip, grasp and secure the distal loop to the opposite wall </w:t>
      </w:r>
      <w:r w:rsidR="005D4219" w:rsidRPr="006B24DA">
        <w:rPr>
          <w:rFonts w:ascii="Book Antiqua" w:eastAsia="Times New Roman" w:hAnsi="Book Antiqua" w:cs="Times New Roman"/>
          <w:color w:val="000000" w:themeColor="text1"/>
          <w:sz w:val="24"/>
          <w:szCs w:val="24"/>
        </w:rPr>
        <w:t>(Figure 24</w:t>
      </w:r>
      <w:r w:rsidR="00E20495" w:rsidRPr="006B24DA">
        <w:rPr>
          <w:rFonts w:ascii="Book Antiqua" w:eastAsia="Times New Roman" w:hAnsi="Book Antiqua" w:cs="Times New Roman"/>
          <w:color w:val="000000" w:themeColor="text1"/>
          <w:sz w:val="24"/>
          <w:szCs w:val="24"/>
        </w:rPr>
        <w:t>F), if needed, to tighten or change angle of traction, use 3</w:t>
      </w:r>
      <w:r w:rsidR="00E20495" w:rsidRPr="006B24DA">
        <w:rPr>
          <w:rFonts w:ascii="Book Antiqua" w:eastAsia="Times New Roman" w:hAnsi="Book Antiqua" w:cs="Times New Roman"/>
          <w:color w:val="000000" w:themeColor="text1"/>
          <w:sz w:val="24"/>
          <w:szCs w:val="24"/>
          <w:vertAlign w:val="superscript"/>
        </w:rPr>
        <w:t>rd</w:t>
      </w:r>
      <w:r w:rsidR="00E20495" w:rsidRPr="006B24DA">
        <w:rPr>
          <w:rFonts w:ascii="Book Antiqua" w:eastAsia="Times New Roman" w:hAnsi="Book Antiqua" w:cs="Times New Roman"/>
          <w:color w:val="000000" w:themeColor="text1"/>
          <w:sz w:val="24"/>
          <w:szCs w:val="24"/>
        </w:rPr>
        <w:t xml:space="preserve"> clip to grasp and secure middle loop to another spot </w:t>
      </w:r>
      <w:r w:rsidR="005D4219" w:rsidRPr="006B24DA">
        <w:rPr>
          <w:rFonts w:ascii="Book Antiqua" w:eastAsia="Times New Roman" w:hAnsi="Book Antiqua" w:cs="Times New Roman"/>
          <w:color w:val="000000" w:themeColor="text1"/>
          <w:sz w:val="24"/>
          <w:szCs w:val="24"/>
        </w:rPr>
        <w:t>(Figure 24</w:t>
      </w:r>
      <w:r w:rsidRPr="006B24DA">
        <w:rPr>
          <w:rFonts w:ascii="Book Antiqua" w:eastAsia="Times New Roman" w:hAnsi="Book Antiqua" w:cs="Times New Roman"/>
          <w:color w:val="000000" w:themeColor="text1"/>
          <w:sz w:val="24"/>
          <w:szCs w:val="24"/>
        </w:rPr>
        <w:t xml:space="preserve">G and </w:t>
      </w:r>
      <w:r w:rsidR="00E20495" w:rsidRPr="006B24DA">
        <w:rPr>
          <w:rFonts w:ascii="Book Antiqua" w:eastAsia="Times New Roman" w:hAnsi="Book Antiqua" w:cs="Times New Roman"/>
          <w:color w:val="000000" w:themeColor="text1"/>
          <w:sz w:val="24"/>
          <w:szCs w:val="24"/>
        </w:rPr>
        <w:t xml:space="preserve">H). This is a simple method that does not require scope removal </w:t>
      </w:r>
      <w:proofErr w:type="gramStart"/>
      <w:r w:rsidR="00E20495" w:rsidRPr="006B24DA">
        <w:rPr>
          <w:rFonts w:ascii="Book Antiqua" w:eastAsia="Times New Roman" w:hAnsi="Book Antiqua" w:cs="Times New Roman"/>
          <w:color w:val="000000" w:themeColor="text1"/>
          <w:sz w:val="24"/>
          <w:szCs w:val="24"/>
        </w:rPr>
        <w:t>nor</w:t>
      </w:r>
      <w:proofErr w:type="gramEnd"/>
      <w:r w:rsidR="00E20495" w:rsidRPr="006B24DA">
        <w:rPr>
          <w:rFonts w:ascii="Book Antiqua" w:eastAsia="Times New Roman" w:hAnsi="Book Antiqua" w:cs="Times New Roman"/>
          <w:color w:val="000000" w:themeColor="text1"/>
          <w:sz w:val="24"/>
          <w:szCs w:val="24"/>
        </w:rPr>
        <w:t xml:space="preserve"> any additional equipment other than clips and string.</w:t>
      </w:r>
      <w:r w:rsidR="00D33133" w:rsidRPr="006B24DA">
        <w:rPr>
          <w:rFonts w:ascii="Book Antiqua" w:eastAsia="Times New Roman" w:hAnsi="Book Antiqua" w:cs="Times New Roman"/>
          <w:color w:val="000000" w:themeColor="text1"/>
          <w:sz w:val="24"/>
          <w:szCs w:val="24"/>
        </w:rPr>
        <w:t xml:space="preserve"> </w:t>
      </w:r>
    </w:p>
    <w:p w14:paraId="48D4DE90" w14:textId="77777777" w:rsidR="00E20495" w:rsidRPr="006B24DA" w:rsidRDefault="00E20495" w:rsidP="007761C0">
      <w:pPr>
        <w:autoSpaceDE w:val="0"/>
        <w:autoSpaceDN w:val="0"/>
        <w:adjustRightInd w:val="0"/>
        <w:snapToGrid w:val="0"/>
        <w:spacing w:after="0" w:line="360" w:lineRule="auto"/>
        <w:jc w:val="both"/>
        <w:rPr>
          <w:rFonts w:ascii="Book Antiqua" w:eastAsia="Times New Roman" w:hAnsi="Book Antiqua" w:cs="Times New Roman"/>
          <w:bCs/>
          <w:color w:val="000000" w:themeColor="text1"/>
          <w:sz w:val="24"/>
          <w:szCs w:val="24"/>
        </w:rPr>
      </w:pPr>
    </w:p>
    <w:p w14:paraId="6165F90C" w14:textId="77777777" w:rsidR="00E5439D" w:rsidRPr="006B24DA" w:rsidRDefault="00E20495" w:rsidP="007761C0">
      <w:pPr>
        <w:autoSpaceDE w:val="0"/>
        <w:autoSpaceDN w:val="0"/>
        <w:adjustRightInd w:val="0"/>
        <w:snapToGrid w:val="0"/>
        <w:spacing w:after="0" w:line="360" w:lineRule="auto"/>
        <w:jc w:val="both"/>
        <w:rPr>
          <w:rFonts w:ascii="Book Antiqua" w:eastAsia="Times New Roman" w:hAnsi="Book Antiqua" w:cs="Times New Roman"/>
          <w:b/>
          <w:bCs/>
          <w:color w:val="000000" w:themeColor="text1"/>
          <w:sz w:val="24"/>
          <w:szCs w:val="24"/>
        </w:rPr>
      </w:pPr>
      <w:r w:rsidRPr="006B24DA">
        <w:rPr>
          <w:rFonts w:ascii="Book Antiqua" w:eastAsia="Times New Roman" w:hAnsi="Book Antiqua" w:cs="Times New Roman"/>
          <w:b/>
          <w:bCs/>
          <w:i/>
          <w:color w:val="000000" w:themeColor="text1"/>
          <w:sz w:val="24"/>
          <w:szCs w:val="24"/>
        </w:rPr>
        <w:t>Future opportunities</w:t>
      </w:r>
    </w:p>
    <w:p w14:paraId="296B17C0" w14:textId="46B2DF91" w:rsidR="00E20495" w:rsidRPr="006B24DA" w:rsidRDefault="00E20495" w:rsidP="007761C0">
      <w:pPr>
        <w:autoSpaceDE w:val="0"/>
        <w:autoSpaceDN w:val="0"/>
        <w:adjustRightInd w:val="0"/>
        <w:snapToGrid w:val="0"/>
        <w:spacing w:after="0" w:line="360" w:lineRule="auto"/>
        <w:jc w:val="both"/>
        <w:rPr>
          <w:rFonts w:ascii="Book Antiqua" w:eastAsia="Times New Roman" w:hAnsi="Book Antiqua" w:cs="Times New Roman"/>
          <w:bCs/>
          <w:color w:val="000000" w:themeColor="text1"/>
          <w:sz w:val="24"/>
          <w:szCs w:val="24"/>
        </w:rPr>
      </w:pPr>
      <w:r w:rsidRPr="006B24DA">
        <w:rPr>
          <w:rFonts w:ascii="Book Antiqua" w:eastAsia="Times New Roman" w:hAnsi="Book Antiqua" w:cs="Times New Roman"/>
          <w:bCs/>
          <w:color w:val="000000" w:themeColor="text1"/>
          <w:sz w:val="24"/>
          <w:szCs w:val="24"/>
        </w:rPr>
        <w:t>Although the instrumentation and energy sources have made tremendous progress, we are still quite far from the instrumentation available to the laparoscopic or robotic surgeon.</w:t>
      </w:r>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There are a number of scissor-type cutting and coagulation devices emerging that may be helpful.</w:t>
      </w:r>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For the stomach, we routinely use the </w:t>
      </w:r>
      <w:proofErr w:type="spellStart"/>
      <w:r w:rsidRPr="006B24DA">
        <w:rPr>
          <w:rFonts w:ascii="Book Antiqua" w:eastAsia="Times New Roman" w:hAnsi="Book Antiqua" w:cs="Times New Roman"/>
          <w:bCs/>
          <w:color w:val="000000" w:themeColor="text1"/>
          <w:sz w:val="24"/>
          <w:szCs w:val="24"/>
        </w:rPr>
        <w:t>i</w:t>
      </w:r>
      <w:proofErr w:type="spellEnd"/>
      <w:r w:rsidRPr="006B24DA">
        <w:rPr>
          <w:rFonts w:ascii="Book Antiqua" w:eastAsia="Times New Roman" w:hAnsi="Book Antiqua" w:cs="Times New Roman"/>
          <w:bCs/>
          <w:color w:val="000000" w:themeColor="text1"/>
          <w:sz w:val="24"/>
          <w:szCs w:val="24"/>
        </w:rPr>
        <w:t xml:space="preserve">-knife and in some cases will also employ the </w:t>
      </w:r>
      <w:r w:rsidR="00E5439D" w:rsidRPr="006B24DA">
        <w:rPr>
          <w:rFonts w:ascii="Book Antiqua" w:eastAsia="Times New Roman" w:hAnsi="Book Antiqua" w:cs="Times New Roman"/>
          <w:bCs/>
          <w:color w:val="000000" w:themeColor="text1"/>
          <w:sz w:val="24"/>
          <w:szCs w:val="24"/>
        </w:rPr>
        <w:t>SB</w:t>
      </w:r>
      <w:r w:rsidRPr="006B24DA">
        <w:rPr>
          <w:rFonts w:ascii="Book Antiqua" w:eastAsia="Times New Roman" w:hAnsi="Book Antiqua" w:cs="Times New Roman"/>
          <w:bCs/>
          <w:color w:val="000000" w:themeColor="text1"/>
          <w:sz w:val="24"/>
          <w:szCs w:val="24"/>
        </w:rPr>
        <w:t xml:space="preserve"> </w:t>
      </w:r>
      <w:proofErr w:type="gramStart"/>
      <w:r w:rsidRPr="006B24DA">
        <w:rPr>
          <w:rFonts w:ascii="Book Antiqua" w:eastAsia="Times New Roman" w:hAnsi="Book Antiqua" w:cs="Times New Roman"/>
          <w:bCs/>
          <w:color w:val="000000" w:themeColor="text1"/>
          <w:sz w:val="24"/>
          <w:szCs w:val="24"/>
        </w:rPr>
        <w:t>knife</w:t>
      </w:r>
      <w:r w:rsidRPr="006B24DA">
        <w:rPr>
          <w:rFonts w:ascii="Book Antiqua" w:eastAsia="Times New Roman" w:hAnsi="Book Antiqua" w:cs="Times New Roman"/>
          <w:bCs/>
          <w:noProof/>
          <w:color w:val="000000" w:themeColor="text1"/>
          <w:sz w:val="24"/>
          <w:szCs w:val="24"/>
          <w:vertAlign w:val="superscript"/>
        </w:rPr>
        <w:t>[</w:t>
      </w:r>
      <w:proofErr w:type="gramEnd"/>
      <w:r w:rsidRPr="006B24DA">
        <w:rPr>
          <w:rFonts w:ascii="Book Antiqua" w:eastAsia="Times New Roman" w:hAnsi="Book Antiqua" w:cs="Times New Roman"/>
          <w:bCs/>
          <w:noProof/>
          <w:color w:val="000000" w:themeColor="text1"/>
          <w:sz w:val="24"/>
          <w:szCs w:val="24"/>
          <w:vertAlign w:val="superscript"/>
        </w:rPr>
        <w:t>141]</w:t>
      </w:r>
      <w:r w:rsidRPr="006B24DA">
        <w:rPr>
          <w:rFonts w:ascii="Book Antiqua" w:eastAsia="Times New Roman" w:hAnsi="Book Antiqua" w:cs="Times New Roman"/>
          <w:bCs/>
          <w:color w:val="000000" w:themeColor="text1"/>
          <w:sz w:val="24"/>
          <w:szCs w:val="24"/>
        </w:rPr>
        <w:t>.</w:t>
      </w:r>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This device can both coagulate and cut tissue using a scissor motion.</w:t>
      </w:r>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It is useful for mucosal incision around “corners”, but mostly for quick and efficient submucosal dissection. Scissor-type instruments that can cut and coagula</w:t>
      </w:r>
      <w:r w:rsidR="00836B7F" w:rsidRPr="006B24DA">
        <w:rPr>
          <w:rFonts w:ascii="Book Antiqua" w:eastAsia="Times New Roman" w:hAnsi="Book Antiqua" w:cs="Times New Roman"/>
          <w:bCs/>
          <w:color w:val="000000" w:themeColor="text1"/>
          <w:sz w:val="24"/>
          <w:szCs w:val="24"/>
        </w:rPr>
        <w:t xml:space="preserve">te </w:t>
      </w:r>
      <w:r w:rsidR="00836B7F" w:rsidRPr="006B24DA">
        <w:rPr>
          <w:rFonts w:ascii="Book Antiqua" w:eastAsia="Times New Roman" w:hAnsi="Book Antiqua" w:cs="Times New Roman"/>
          <w:bCs/>
          <w:color w:val="000000" w:themeColor="text1"/>
          <w:sz w:val="24"/>
          <w:szCs w:val="24"/>
        </w:rPr>
        <w:lastRenderedPageBreak/>
        <w:t>without using heat energy (</w:t>
      </w:r>
      <w:r w:rsidR="00836B7F" w:rsidRPr="006B24DA">
        <w:rPr>
          <w:rFonts w:ascii="Book Antiqua" w:eastAsia="Times New Roman" w:hAnsi="Book Antiqua" w:cs="Times New Roman"/>
          <w:bCs/>
          <w:i/>
          <w:color w:val="000000" w:themeColor="text1"/>
          <w:sz w:val="24"/>
          <w:szCs w:val="24"/>
        </w:rPr>
        <w:t>e.g</w:t>
      </w:r>
      <w:r w:rsidRPr="006B24DA">
        <w:rPr>
          <w:rFonts w:ascii="Book Antiqua" w:eastAsia="Times New Roman" w:hAnsi="Book Antiqua" w:cs="Times New Roman"/>
          <w:bCs/>
          <w:i/>
          <w:color w:val="000000" w:themeColor="text1"/>
          <w:sz w:val="24"/>
          <w:szCs w:val="24"/>
        </w:rPr>
        <w:t>.</w:t>
      </w:r>
      <w:r w:rsidR="00836B7F" w:rsidRPr="006B24DA">
        <w:rPr>
          <w:rFonts w:ascii="Book Antiqua" w:eastAsia="Times New Roman" w:hAnsi="Book Antiqua" w:cs="Times New Roman"/>
          <w:bCs/>
          <w:color w:val="000000" w:themeColor="text1"/>
          <w:sz w:val="24"/>
          <w:szCs w:val="24"/>
        </w:rPr>
        <w:t>,</w:t>
      </w:r>
      <w:r w:rsidRPr="006B24DA">
        <w:rPr>
          <w:rFonts w:ascii="Book Antiqua" w:eastAsia="Times New Roman" w:hAnsi="Book Antiqua" w:cs="Times New Roman"/>
          <w:bCs/>
          <w:color w:val="000000" w:themeColor="text1"/>
          <w:sz w:val="24"/>
          <w:szCs w:val="24"/>
        </w:rPr>
        <w:t xml:space="preserve"> harmonic energy) would be a great advancement. Traction for the endoscopic surgeon is still at its infancy.</w:t>
      </w:r>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New devices, such as magnets are emerging which may be useful, especially in areas where good traction is </w:t>
      </w:r>
      <w:proofErr w:type="gramStart"/>
      <w:r w:rsidRPr="006B24DA">
        <w:rPr>
          <w:rFonts w:ascii="Book Antiqua" w:eastAsia="Times New Roman" w:hAnsi="Book Antiqua" w:cs="Times New Roman"/>
          <w:bCs/>
          <w:color w:val="000000" w:themeColor="text1"/>
          <w:sz w:val="24"/>
          <w:szCs w:val="24"/>
        </w:rPr>
        <w:t>paramount</w:t>
      </w:r>
      <w:r w:rsidRPr="006B24DA">
        <w:rPr>
          <w:rFonts w:ascii="Book Antiqua" w:eastAsia="Times New Roman" w:hAnsi="Book Antiqua" w:cs="Times New Roman"/>
          <w:bCs/>
          <w:noProof/>
          <w:color w:val="000000" w:themeColor="text1"/>
          <w:sz w:val="24"/>
          <w:szCs w:val="24"/>
          <w:vertAlign w:val="superscript"/>
        </w:rPr>
        <w:t>[</w:t>
      </w:r>
      <w:proofErr w:type="gramEnd"/>
      <w:r w:rsidRPr="006B24DA">
        <w:rPr>
          <w:rFonts w:ascii="Book Antiqua" w:eastAsia="Times New Roman" w:hAnsi="Book Antiqua" w:cs="Times New Roman"/>
          <w:bCs/>
          <w:noProof/>
          <w:color w:val="000000" w:themeColor="text1"/>
          <w:sz w:val="24"/>
          <w:szCs w:val="24"/>
          <w:vertAlign w:val="superscript"/>
        </w:rPr>
        <w:t>142]</w:t>
      </w:r>
      <w:r w:rsidRPr="006B24DA">
        <w:rPr>
          <w:rFonts w:ascii="Book Antiqua" w:eastAsia="Times New Roman" w:hAnsi="Book Antiqua" w:cs="Times New Roman"/>
          <w:bCs/>
          <w:color w:val="000000" w:themeColor="text1"/>
          <w:sz w:val="24"/>
          <w:szCs w:val="24"/>
        </w:rPr>
        <w:t xml:space="preserve">. And finally, closure of large defects and </w:t>
      </w:r>
      <w:r w:rsidR="00D4044E" w:rsidRPr="006B24DA">
        <w:rPr>
          <w:rFonts w:ascii="Book Antiqua" w:eastAsia="Times New Roman" w:hAnsi="Book Antiqua" w:cs="Times New Roman"/>
          <w:bCs/>
          <w:color w:val="000000" w:themeColor="text1"/>
          <w:sz w:val="24"/>
          <w:szCs w:val="24"/>
        </w:rPr>
        <w:t>FTR</w:t>
      </w:r>
      <w:r w:rsidRPr="006B24DA">
        <w:rPr>
          <w:rFonts w:ascii="Book Antiqua" w:eastAsia="Times New Roman" w:hAnsi="Book Antiqua" w:cs="Times New Roman"/>
          <w:bCs/>
          <w:color w:val="000000" w:themeColor="text1"/>
          <w:sz w:val="24"/>
          <w:szCs w:val="24"/>
        </w:rPr>
        <w:t xml:space="preserve"> will require robust endoscopic wound closure.</w:t>
      </w:r>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ESD for duodenal lesions have recently been shown to benefit from complete </w:t>
      </w:r>
      <w:proofErr w:type="gramStart"/>
      <w:r w:rsidRPr="006B24DA">
        <w:rPr>
          <w:rFonts w:ascii="Book Antiqua" w:eastAsia="Times New Roman" w:hAnsi="Book Antiqua" w:cs="Times New Roman"/>
          <w:bCs/>
          <w:color w:val="000000" w:themeColor="text1"/>
          <w:sz w:val="24"/>
          <w:szCs w:val="24"/>
        </w:rPr>
        <w:t>closure</w:t>
      </w:r>
      <w:r w:rsidRPr="006B24DA">
        <w:rPr>
          <w:rFonts w:ascii="Book Antiqua" w:eastAsia="Times New Roman" w:hAnsi="Book Antiqua" w:cs="Times New Roman"/>
          <w:bCs/>
          <w:noProof/>
          <w:color w:val="000000" w:themeColor="text1"/>
          <w:sz w:val="24"/>
          <w:szCs w:val="24"/>
          <w:vertAlign w:val="superscript"/>
        </w:rPr>
        <w:t>[</w:t>
      </w:r>
      <w:proofErr w:type="gramEnd"/>
      <w:r w:rsidRPr="006B24DA">
        <w:rPr>
          <w:rFonts w:ascii="Book Antiqua" w:eastAsia="Times New Roman" w:hAnsi="Book Antiqua" w:cs="Times New Roman"/>
          <w:bCs/>
          <w:noProof/>
          <w:color w:val="000000" w:themeColor="text1"/>
          <w:sz w:val="24"/>
          <w:szCs w:val="24"/>
          <w:vertAlign w:val="superscript"/>
        </w:rPr>
        <w:t>143]</w:t>
      </w:r>
      <w:r w:rsidRPr="006B24DA">
        <w:rPr>
          <w:rFonts w:ascii="Book Antiqua" w:eastAsia="Times New Roman" w:hAnsi="Book Antiqua" w:cs="Times New Roman"/>
          <w:bCs/>
          <w:color w:val="000000" w:themeColor="text1"/>
          <w:sz w:val="24"/>
          <w:szCs w:val="24"/>
        </w:rPr>
        <w:t xml:space="preserve"> as the risk of post ESD delayed bleeding and more importantly, delayed perforation (possibly caused by the high concentration of bile and digestive enzymes) can be catastrophic. Complete closure for colonic ESD is also being employed by expert centers who have reported accelerated mucosal </w:t>
      </w:r>
      <w:proofErr w:type="gramStart"/>
      <w:r w:rsidRPr="006B24DA">
        <w:rPr>
          <w:rFonts w:ascii="Book Antiqua" w:eastAsia="Times New Roman" w:hAnsi="Book Antiqua" w:cs="Times New Roman"/>
          <w:bCs/>
          <w:color w:val="000000" w:themeColor="text1"/>
          <w:sz w:val="24"/>
          <w:szCs w:val="24"/>
        </w:rPr>
        <w:t>healing</w:t>
      </w:r>
      <w:r w:rsidRPr="006B24DA">
        <w:rPr>
          <w:rFonts w:ascii="Book Antiqua" w:eastAsia="Times New Roman" w:hAnsi="Book Antiqua" w:cs="Times New Roman"/>
          <w:bCs/>
          <w:noProof/>
          <w:color w:val="000000" w:themeColor="text1"/>
          <w:sz w:val="24"/>
          <w:szCs w:val="24"/>
          <w:vertAlign w:val="superscript"/>
        </w:rPr>
        <w:t>[</w:t>
      </w:r>
      <w:proofErr w:type="gramEnd"/>
      <w:r w:rsidRPr="006B24DA">
        <w:rPr>
          <w:rFonts w:ascii="Book Antiqua" w:eastAsia="Times New Roman" w:hAnsi="Book Antiqua" w:cs="Times New Roman"/>
          <w:bCs/>
          <w:noProof/>
          <w:color w:val="000000" w:themeColor="text1"/>
          <w:sz w:val="24"/>
          <w:szCs w:val="24"/>
          <w:vertAlign w:val="superscript"/>
        </w:rPr>
        <w:t>144]</w:t>
      </w:r>
      <w:r w:rsidRPr="006B24DA">
        <w:rPr>
          <w:rFonts w:ascii="Book Antiqua" w:eastAsia="Times New Roman" w:hAnsi="Book Antiqua" w:cs="Times New Roman"/>
          <w:bCs/>
          <w:color w:val="000000" w:themeColor="text1"/>
          <w:sz w:val="24"/>
          <w:szCs w:val="24"/>
        </w:rPr>
        <w:t>, decreased delayed bleeding</w:t>
      </w:r>
      <w:r w:rsidRPr="006B24DA">
        <w:rPr>
          <w:rFonts w:ascii="Book Antiqua" w:eastAsia="Times New Roman" w:hAnsi="Book Antiqua" w:cs="Times New Roman"/>
          <w:bCs/>
          <w:noProof/>
          <w:color w:val="000000" w:themeColor="text1"/>
          <w:sz w:val="24"/>
          <w:szCs w:val="24"/>
          <w:vertAlign w:val="superscript"/>
        </w:rPr>
        <w:t>[145]</w:t>
      </w:r>
      <w:r w:rsidRPr="006B24DA">
        <w:rPr>
          <w:rFonts w:ascii="Book Antiqua" w:eastAsia="Times New Roman" w:hAnsi="Book Antiqua" w:cs="Times New Roman"/>
          <w:bCs/>
          <w:color w:val="000000" w:themeColor="text1"/>
          <w:sz w:val="24"/>
          <w:szCs w:val="24"/>
        </w:rPr>
        <w:t>,</w:t>
      </w:r>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as well as decreased need for post-ESD hospitalization</w:t>
      </w:r>
      <w:r w:rsidRPr="006B24DA">
        <w:rPr>
          <w:rFonts w:ascii="Book Antiqua" w:eastAsia="Times New Roman" w:hAnsi="Book Antiqua" w:cs="Times New Roman"/>
          <w:bCs/>
          <w:noProof/>
          <w:color w:val="000000" w:themeColor="text1"/>
          <w:sz w:val="24"/>
          <w:szCs w:val="24"/>
          <w:vertAlign w:val="superscript"/>
        </w:rPr>
        <w:t>[146]</w:t>
      </w:r>
      <w:r w:rsidRPr="006B24DA">
        <w:rPr>
          <w:rFonts w:ascii="Book Antiqua" w:eastAsia="Times New Roman" w:hAnsi="Book Antiqua" w:cs="Times New Roman"/>
          <w:bCs/>
          <w:color w:val="000000" w:themeColor="text1"/>
          <w:sz w:val="24"/>
          <w:szCs w:val="24"/>
        </w:rPr>
        <w:t>.</w:t>
      </w:r>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For many of these larger closures, suturing is emerging as an alternative to clip </w:t>
      </w:r>
      <w:proofErr w:type="gramStart"/>
      <w:r w:rsidRPr="006B24DA">
        <w:rPr>
          <w:rFonts w:ascii="Book Antiqua" w:eastAsia="Times New Roman" w:hAnsi="Book Antiqua" w:cs="Times New Roman"/>
          <w:bCs/>
          <w:color w:val="000000" w:themeColor="text1"/>
          <w:sz w:val="24"/>
          <w:szCs w:val="24"/>
        </w:rPr>
        <w:t>closure</w:t>
      </w:r>
      <w:r w:rsidRPr="006B24DA">
        <w:rPr>
          <w:rFonts w:ascii="Book Antiqua" w:eastAsia="Times New Roman" w:hAnsi="Book Antiqua" w:cs="Times New Roman"/>
          <w:bCs/>
          <w:noProof/>
          <w:color w:val="000000" w:themeColor="text1"/>
          <w:sz w:val="24"/>
          <w:szCs w:val="24"/>
          <w:vertAlign w:val="superscript"/>
        </w:rPr>
        <w:t>[</w:t>
      </w:r>
      <w:proofErr w:type="gramEnd"/>
      <w:r w:rsidRPr="006B24DA">
        <w:rPr>
          <w:rFonts w:ascii="Book Antiqua" w:eastAsia="Times New Roman" w:hAnsi="Book Antiqua" w:cs="Times New Roman"/>
          <w:bCs/>
          <w:noProof/>
          <w:color w:val="000000" w:themeColor="text1"/>
          <w:sz w:val="24"/>
          <w:szCs w:val="24"/>
          <w:vertAlign w:val="superscript"/>
        </w:rPr>
        <w:t>147]</w:t>
      </w:r>
      <w:r w:rsidRPr="006B24DA">
        <w:rPr>
          <w:rFonts w:ascii="Book Antiqua" w:eastAsia="Times New Roman" w:hAnsi="Book Antiqua" w:cs="Times New Roman"/>
          <w:bCs/>
          <w:color w:val="000000" w:themeColor="text1"/>
          <w:sz w:val="24"/>
          <w:szCs w:val="24"/>
        </w:rPr>
        <w:t>.</w:t>
      </w:r>
      <w:r w:rsidR="00D33133"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And for </w:t>
      </w:r>
      <w:r w:rsidR="00D4044E" w:rsidRPr="006B24DA">
        <w:rPr>
          <w:rFonts w:ascii="Book Antiqua" w:eastAsia="Times New Roman" w:hAnsi="Book Antiqua" w:cs="Times New Roman"/>
          <w:bCs/>
          <w:color w:val="000000" w:themeColor="text1"/>
          <w:sz w:val="24"/>
          <w:szCs w:val="24"/>
        </w:rPr>
        <w:t>FTR</w:t>
      </w:r>
      <w:r w:rsidRPr="006B24DA">
        <w:rPr>
          <w:rFonts w:ascii="Book Antiqua" w:eastAsia="Times New Roman" w:hAnsi="Book Antiqua" w:cs="Times New Roman"/>
          <w:bCs/>
          <w:color w:val="000000" w:themeColor="text1"/>
          <w:sz w:val="24"/>
          <w:szCs w:val="24"/>
        </w:rPr>
        <w:t xml:space="preserve">s, suturing is becoming a must </w:t>
      </w:r>
      <w:r w:rsidR="005D4219" w:rsidRPr="006B24DA">
        <w:rPr>
          <w:rFonts w:ascii="Book Antiqua" w:eastAsia="Times New Roman" w:hAnsi="Book Antiqua" w:cs="Times New Roman"/>
          <w:color w:val="000000" w:themeColor="text1"/>
          <w:sz w:val="24"/>
          <w:szCs w:val="24"/>
        </w:rPr>
        <w:t>(Figure 25</w:t>
      </w:r>
      <w:r w:rsidRPr="006B24DA">
        <w:rPr>
          <w:rFonts w:ascii="Book Antiqua" w:eastAsia="Times New Roman" w:hAnsi="Book Antiqua" w:cs="Times New Roman"/>
          <w:color w:val="000000" w:themeColor="text1"/>
          <w:sz w:val="24"/>
          <w:szCs w:val="24"/>
        </w:rPr>
        <w:t>)</w:t>
      </w:r>
      <w:r w:rsidRPr="006B24DA">
        <w:rPr>
          <w:rFonts w:ascii="Book Antiqua" w:eastAsia="Times New Roman" w:hAnsi="Book Antiqua" w:cs="Times New Roman"/>
          <w:bCs/>
          <w:color w:val="000000" w:themeColor="text1"/>
          <w:sz w:val="24"/>
          <w:szCs w:val="24"/>
        </w:rPr>
        <w:t>. In my ESD practice, closure, especially with sutures is to be avoided if possible if there is a possibility of residual neoplastic tissue.</w:t>
      </w:r>
      <w:r w:rsidR="002A29F4"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The mucosal healing and scar formation make subsequent endoscopic resections quite difficult.</w:t>
      </w:r>
      <w:r w:rsidR="002A29F4"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Small defects in the muscle layer are best treated with clips.</w:t>
      </w:r>
      <w:r w:rsidR="002A29F4"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Otherwise, large defects in the stomach, duodenum, and colon, where-ever technically possible, should be closed with suturing.</w:t>
      </w:r>
      <w:r w:rsidR="002A29F4"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In </w:t>
      </w:r>
      <w:r w:rsidR="00836B7F" w:rsidRPr="006B24DA">
        <w:rPr>
          <w:rFonts w:ascii="Book Antiqua" w:eastAsia="Times New Roman" w:hAnsi="Book Antiqua" w:cs="Times New Roman"/>
          <w:color w:val="000000" w:themeColor="text1"/>
          <w:sz w:val="24"/>
          <w:szCs w:val="24"/>
        </w:rPr>
        <w:t>F</w:t>
      </w:r>
      <w:r w:rsidRPr="006B24DA">
        <w:rPr>
          <w:rFonts w:ascii="Book Antiqua" w:eastAsia="Times New Roman" w:hAnsi="Book Antiqua" w:cs="Times New Roman"/>
          <w:color w:val="000000" w:themeColor="text1"/>
          <w:sz w:val="24"/>
          <w:szCs w:val="24"/>
        </w:rPr>
        <w:t>igure 2</w:t>
      </w:r>
      <w:r w:rsidR="005D4219" w:rsidRPr="006B24DA">
        <w:rPr>
          <w:rFonts w:ascii="Book Antiqua" w:eastAsia="Times New Roman" w:hAnsi="Book Antiqua" w:cs="Times New Roman"/>
          <w:color w:val="000000" w:themeColor="text1"/>
          <w:sz w:val="24"/>
          <w:szCs w:val="24"/>
        </w:rPr>
        <w:t>5</w:t>
      </w:r>
      <w:r w:rsidRPr="006B24DA">
        <w:rPr>
          <w:rFonts w:ascii="Book Antiqua" w:eastAsia="Times New Roman" w:hAnsi="Book Antiqua" w:cs="Times New Roman"/>
          <w:bCs/>
          <w:color w:val="000000" w:themeColor="text1"/>
          <w:sz w:val="24"/>
          <w:szCs w:val="24"/>
        </w:rPr>
        <w:t xml:space="preserve">, I share a case of a patient with a gastric neuroendocrine tumor who </w:t>
      </w:r>
      <w:proofErr w:type="gramStart"/>
      <w:r w:rsidRPr="006B24DA">
        <w:rPr>
          <w:rFonts w:ascii="Book Antiqua" w:eastAsia="Times New Roman" w:hAnsi="Book Antiqua" w:cs="Times New Roman"/>
          <w:bCs/>
          <w:color w:val="000000" w:themeColor="text1"/>
          <w:sz w:val="24"/>
          <w:szCs w:val="24"/>
        </w:rPr>
        <w:t>have</w:t>
      </w:r>
      <w:proofErr w:type="gramEnd"/>
      <w:r w:rsidRPr="006B24DA">
        <w:rPr>
          <w:rFonts w:ascii="Book Antiqua" w:eastAsia="Times New Roman" w:hAnsi="Book Antiqua" w:cs="Times New Roman"/>
          <w:bCs/>
          <w:color w:val="000000" w:themeColor="text1"/>
          <w:sz w:val="24"/>
          <w:szCs w:val="24"/>
        </w:rPr>
        <w:t xml:space="preserve"> previous attempts at EMR.</w:t>
      </w:r>
      <w:r w:rsidR="002A29F4"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The scarring was so severe I had to proceed with a full thickness strategy.</w:t>
      </w:r>
      <w:r w:rsidR="002A29F4"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Using the Overstitch device, closure in the posterior aspect of the stomach is quite suitable.</w:t>
      </w:r>
      <w:r w:rsidR="002A29F4"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However, closure along the lesser curve or anterior wall is much more difficult due to the scope stiffness.</w:t>
      </w:r>
      <w:r w:rsidR="002A29F4"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The technique for suturing adheres to surgical principles </w:t>
      </w:r>
      <w:r w:rsidR="00966E42" w:rsidRPr="006B24DA">
        <w:rPr>
          <w:rFonts w:ascii="Book Antiqua" w:eastAsia="Times New Roman" w:hAnsi="Book Antiqua" w:cs="Times New Roman"/>
          <w:bCs/>
          <w:color w:val="000000" w:themeColor="text1"/>
          <w:sz w:val="24"/>
          <w:szCs w:val="24"/>
        </w:rPr>
        <w:t>-</w:t>
      </w:r>
      <w:r w:rsidRPr="006B24DA">
        <w:rPr>
          <w:rFonts w:ascii="Book Antiqua" w:eastAsia="Times New Roman" w:hAnsi="Book Antiqua" w:cs="Times New Roman"/>
          <w:bCs/>
          <w:color w:val="000000" w:themeColor="text1"/>
          <w:sz w:val="24"/>
          <w:szCs w:val="24"/>
        </w:rPr>
        <w:t xml:space="preserve"> such as the distance from the suture to the wound edge should be approximately equal to the thickness of the tissue, </w:t>
      </w:r>
      <w:r w:rsidRPr="006B24DA">
        <w:rPr>
          <w:rFonts w:ascii="Book Antiqua" w:eastAsia="Times New Roman" w:hAnsi="Book Antiqua" w:cs="Times New Roman"/>
          <w:bCs/>
          <w:i/>
          <w:color w:val="000000" w:themeColor="text1"/>
          <w:sz w:val="24"/>
          <w:szCs w:val="24"/>
        </w:rPr>
        <w:t>etc</w:t>
      </w:r>
      <w:r w:rsidRPr="006B24DA">
        <w:rPr>
          <w:rFonts w:ascii="Book Antiqua" w:eastAsia="Times New Roman" w:hAnsi="Book Antiqua" w:cs="Times New Roman"/>
          <w:bCs/>
          <w:color w:val="000000" w:themeColor="text1"/>
          <w:sz w:val="24"/>
          <w:szCs w:val="24"/>
        </w:rPr>
        <w:t>.</w:t>
      </w:r>
      <w:r w:rsidR="002A29F4"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If there is concern for possible uneven edge approximation after the initial suture is placed, I will place a second layer of suture.</w:t>
      </w:r>
      <w:r w:rsidR="002A29F4"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For POEM closure, I sometimes use sutures if the mucosal incision is uneven.</w:t>
      </w:r>
      <w:r w:rsidR="002A29F4"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And in these cases, I routinely place double sutures.</w:t>
      </w:r>
      <w:r w:rsidR="002A29F4"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Technologies are also emerging for more flexible suturing devices and those that do not require a double channel therapeutic scope. </w:t>
      </w:r>
    </w:p>
    <w:p w14:paraId="0C7AE7A3" w14:textId="77777777" w:rsidR="00E20495" w:rsidRPr="006B24DA" w:rsidRDefault="00E20495" w:rsidP="007761C0">
      <w:pPr>
        <w:autoSpaceDE w:val="0"/>
        <w:autoSpaceDN w:val="0"/>
        <w:adjustRightInd w:val="0"/>
        <w:snapToGrid w:val="0"/>
        <w:spacing w:after="0" w:line="360" w:lineRule="auto"/>
        <w:jc w:val="both"/>
        <w:rPr>
          <w:rFonts w:ascii="Book Antiqua" w:eastAsia="Times New Roman" w:hAnsi="Book Antiqua" w:cs="Times New Roman"/>
          <w:bCs/>
          <w:color w:val="000000" w:themeColor="text1"/>
          <w:sz w:val="24"/>
          <w:szCs w:val="24"/>
        </w:rPr>
      </w:pPr>
    </w:p>
    <w:p w14:paraId="6215053F" w14:textId="553D30F8" w:rsidR="00E20495" w:rsidRPr="006B24DA" w:rsidRDefault="00836B7F" w:rsidP="00F67887">
      <w:pPr>
        <w:autoSpaceDE w:val="0"/>
        <w:autoSpaceDN w:val="0"/>
        <w:adjustRightInd w:val="0"/>
        <w:snapToGrid w:val="0"/>
        <w:spacing w:after="0" w:line="360" w:lineRule="auto"/>
        <w:jc w:val="both"/>
        <w:outlineLvl w:val="0"/>
        <w:rPr>
          <w:rFonts w:ascii="Book Antiqua" w:eastAsia="Times New Roman" w:hAnsi="Book Antiqua" w:cs="Times New Roman"/>
          <w:bCs/>
          <w:color w:val="000000" w:themeColor="text1"/>
          <w:sz w:val="24"/>
          <w:szCs w:val="24"/>
        </w:rPr>
      </w:pPr>
      <w:bookmarkStart w:id="75" w:name="OLE_LINK91"/>
      <w:r w:rsidRPr="006B24DA">
        <w:rPr>
          <w:rFonts w:ascii="Book Antiqua" w:eastAsia="Times New Roman" w:hAnsi="Book Antiqua" w:cs="Times New Roman"/>
          <w:b/>
          <w:bCs/>
          <w:color w:val="000000" w:themeColor="text1"/>
          <w:sz w:val="24"/>
          <w:szCs w:val="24"/>
        </w:rPr>
        <w:lastRenderedPageBreak/>
        <w:t>GASTRIC OUTLET OBSTRUCTION</w:t>
      </w:r>
      <w:bookmarkEnd w:id="75"/>
      <w:r w:rsidRPr="006B24DA">
        <w:rPr>
          <w:rFonts w:ascii="Book Antiqua" w:eastAsia="Times New Roman" w:hAnsi="Book Antiqua" w:cs="Times New Roman"/>
          <w:b/>
          <w:bCs/>
          <w:color w:val="000000" w:themeColor="text1"/>
          <w:sz w:val="24"/>
          <w:szCs w:val="24"/>
        </w:rPr>
        <w:t xml:space="preserve"> AND GASTRIC POEM</w:t>
      </w:r>
    </w:p>
    <w:p w14:paraId="278C7F2D" w14:textId="294E417D" w:rsidR="00836B7F" w:rsidRPr="006B24DA" w:rsidRDefault="00836B7F" w:rsidP="007761C0">
      <w:pPr>
        <w:autoSpaceDE w:val="0"/>
        <w:autoSpaceDN w:val="0"/>
        <w:adjustRightInd w:val="0"/>
        <w:snapToGrid w:val="0"/>
        <w:spacing w:after="0" w:line="360" w:lineRule="auto"/>
        <w:jc w:val="both"/>
        <w:rPr>
          <w:rFonts w:ascii="Book Antiqua" w:eastAsia="Times New Roman" w:hAnsi="Book Antiqua" w:cs="Times New Roman"/>
          <w:b/>
          <w:bCs/>
          <w:color w:val="000000" w:themeColor="text1"/>
          <w:sz w:val="24"/>
          <w:szCs w:val="24"/>
        </w:rPr>
      </w:pPr>
      <w:r w:rsidRPr="006B24DA">
        <w:rPr>
          <w:rFonts w:ascii="Book Antiqua" w:eastAsia="Times New Roman" w:hAnsi="Book Antiqua" w:cs="Times New Roman"/>
          <w:b/>
          <w:bCs/>
          <w:i/>
          <w:color w:val="000000" w:themeColor="text1"/>
          <w:sz w:val="24"/>
          <w:szCs w:val="24"/>
        </w:rPr>
        <w:t>Lessons learned</w:t>
      </w:r>
    </w:p>
    <w:p w14:paraId="5B772218" w14:textId="6D0E643A" w:rsidR="00E20495" w:rsidRPr="006B24DA" w:rsidRDefault="00E20495" w:rsidP="007761C0">
      <w:pPr>
        <w:autoSpaceDE w:val="0"/>
        <w:autoSpaceDN w:val="0"/>
        <w:adjustRightInd w:val="0"/>
        <w:snapToGrid w:val="0"/>
        <w:spacing w:after="0" w:line="360" w:lineRule="auto"/>
        <w:jc w:val="both"/>
        <w:rPr>
          <w:rFonts w:ascii="Book Antiqua" w:eastAsia="Times New Roman" w:hAnsi="Book Antiqua" w:cs="Times New Roman"/>
          <w:bCs/>
          <w:color w:val="000000" w:themeColor="text1"/>
          <w:sz w:val="24"/>
          <w:szCs w:val="24"/>
        </w:rPr>
      </w:pPr>
      <w:r w:rsidRPr="006B24DA">
        <w:rPr>
          <w:rFonts w:ascii="Book Antiqua" w:eastAsia="Times New Roman" w:hAnsi="Book Antiqua" w:cs="Times New Roman"/>
          <w:bCs/>
          <w:color w:val="000000" w:themeColor="text1"/>
          <w:sz w:val="24"/>
          <w:szCs w:val="24"/>
        </w:rPr>
        <w:t>For malignant gastric outlet obstruction (GOO), endoscopic gastro-</w:t>
      </w:r>
      <w:proofErr w:type="spellStart"/>
      <w:r w:rsidRPr="006B24DA">
        <w:rPr>
          <w:rFonts w:ascii="Book Antiqua" w:eastAsia="Times New Roman" w:hAnsi="Book Antiqua" w:cs="Times New Roman"/>
          <w:bCs/>
          <w:color w:val="000000" w:themeColor="text1"/>
          <w:sz w:val="24"/>
          <w:szCs w:val="24"/>
        </w:rPr>
        <w:t>jejunostomy</w:t>
      </w:r>
      <w:proofErr w:type="spellEnd"/>
      <w:r w:rsidRPr="006B24DA">
        <w:rPr>
          <w:rFonts w:ascii="Book Antiqua" w:eastAsia="Times New Roman" w:hAnsi="Book Antiqua" w:cs="Times New Roman"/>
          <w:bCs/>
          <w:color w:val="000000" w:themeColor="text1"/>
          <w:sz w:val="24"/>
          <w:szCs w:val="24"/>
        </w:rPr>
        <w:t xml:space="preserve"> is now showing better results than enteral stenting in treating these </w:t>
      </w:r>
      <w:proofErr w:type="gramStart"/>
      <w:r w:rsidRPr="006B24DA">
        <w:rPr>
          <w:rFonts w:ascii="Book Antiqua" w:eastAsia="Times New Roman" w:hAnsi="Book Antiqua" w:cs="Times New Roman"/>
          <w:bCs/>
          <w:color w:val="000000" w:themeColor="text1"/>
          <w:sz w:val="24"/>
          <w:szCs w:val="24"/>
        </w:rPr>
        <w:t>patients</w:t>
      </w:r>
      <w:r w:rsidRPr="006B24DA">
        <w:rPr>
          <w:rFonts w:ascii="Book Antiqua" w:eastAsia="Times New Roman" w:hAnsi="Book Antiqua" w:cs="Times New Roman"/>
          <w:bCs/>
          <w:noProof/>
          <w:color w:val="000000" w:themeColor="text1"/>
          <w:sz w:val="24"/>
          <w:szCs w:val="24"/>
          <w:vertAlign w:val="superscript"/>
        </w:rPr>
        <w:t>[</w:t>
      </w:r>
      <w:proofErr w:type="gramEnd"/>
      <w:r w:rsidRPr="006B24DA">
        <w:rPr>
          <w:rFonts w:ascii="Book Antiqua" w:eastAsia="Times New Roman" w:hAnsi="Book Antiqua" w:cs="Times New Roman"/>
          <w:bCs/>
          <w:noProof/>
          <w:color w:val="000000" w:themeColor="text1"/>
          <w:sz w:val="24"/>
          <w:szCs w:val="24"/>
          <w:vertAlign w:val="superscript"/>
        </w:rPr>
        <w:t>148]</w:t>
      </w:r>
      <w:r w:rsidRPr="006B24DA">
        <w:rPr>
          <w:rFonts w:ascii="Book Antiqua" w:eastAsia="Times New Roman" w:hAnsi="Book Antiqua" w:cs="Times New Roman"/>
          <w:bCs/>
          <w:color w:val="000000" w:themeColor="text1"/>
          <w:sz w:val="24"/>
          <w:szCs w:val="24"/>
        </w:rPr>
        <w:t xml:space="preserve"> and may have similar results to laparoscopic gastro-</w:t>
      </w:r>
      <w:proofErr w:type="spellStart"/>
      <w:r w:rsidRPr="006B24DA">
        <w:rPr>
          <w:rFonts w:ascii="Book Antiqua" w:eastAsia="Times New Roman" w:hAnsi="Book Antiqua" w:cs="Times New Roman"/>
          <w:bCs/>
          <w:color w:val="000000" w:themeColor="text1"/>
          <w:sz w:val="24"/>
          <w:szCs w:val="24"/>
        </w:rPr>
        <w:t>jejunostomy</w:t>
      </w:r>
      <w:proofErr w:type="spellEnd"/>
      <w:r w:rsidRPr="006B24DA">
        <w:rPr>
          <w:rFonts w:ascii="Book Antiqua" w:eastAsia="Times New Roman" w:hAnsi="Book Antiqua" w:cs="Times New Roman"/>
          <w:bCs/>
          <w:noProof/>
          <w:color w:val="000000" w:themeColor="text1"/>
          <w:sz w:val="24"/>
          <w:szCs w:val="24"/>
          <w:vertAlign w:val="superscript"/>
        </w:rPr>
        <w:t>[149]</w:t>
      </w:r>
      <w:r w:rsidRPr="006B24DA">
        <w:rPr>
          <w:rFonts w:ascii="Book Antiqua" w:eastAsia="Times New Roman" w:hAnsi="Book Antiqua" w:cs="Times New Roman"/>
          <w:bCs/>
          <w:color w:val="000000" w:themeColor="text1"/>
          <w:sz w:val="24"/>
          <w:szCs w:val="24"/>
        </w:rPr>
        <w:t>.</w:t>
      </w:r>
      <w:r w:rsidR="002A29F4"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In patients with benign </w:t>
      </w:r>
      <w:r w:rsidR="00836B7F" w:rsidRPr="006B24DA">
        <w:rPr>
          <w:rFonts w:ascii="Book Antiqua" w:eastAsia="Times New Roman" w:hAnsi="Book Antiqua" w:cs="Times New Roman"/>
          <w:bCs/>
          <w:color w:val="000000" w:themeColor="text1"/>
          <w:sz w:val="24"/>
          <w:szCs w:val="24"/>
        </w:rPr>
        <w:t>GOO</w:t>
      </w:r>
      <w:r w:rsidRPr="006B24DA">
        <w:rPr>
          <w:rFonts w:ascii="Book Antiqua" w:eastAsia="Times New Roman" w:hAnsi="Book Antiqua" w:cs="Times New Roman"/>
          <w:bCs/>
          <w:color w:val="000000" w:themeColor="text1"/>
          <w:sz w:val="24"/>
          <w:szCs w:val="24"/>
        </w:rPr>
        <w:t xml:space="preserve">, namely gastroparesis contributed by a tight pylorus, </w:t>
      </w:r>
      <w:bookmarkStart w:id="76" w:name="OLE_LINK92"/>
      <w:r w:rsidRPr="006B24DA">
        <w:rPr>
          <w:rFonts w:ascii="Book Antiqua" w:eastAsia="Times New Roman" w:hAnsi="Book Antiqua" w:cs="Times New Roman"/>
          <w:bCs/>
          <w:color w:val="000000" w:themeColor="text1"/>
          <w:sz w:val="24"/>
          <w:szCs w:val="24"/>
        </w:rPr>
        <w:t xml:space="preserve">gastric </w:t>
      </w:r>
      <w:r w:rsidR="00836B7F" w:rsidRPr="006B24DA">
        <w:rPr>
          <w:rFonts w:ascii="Book Antiqua" w:eastAsia="Times New Roman" w:hAnsi="Book Antiqua" w:cs="Times New Roman"/>
          <w:bCs/>
          <w:color w:val="000000" w:themeColor="text1"/>
          <w:sz w:val="24"/>
          <w:szCs w:val="24"/>
        </w:rPr>
        <w:t>POEM</w:t>
      </w:r>
      <w:bookmarkEnd w:id="76"/>
      <w:r w:rsidRPr="006B24DA">
        <w:rPr>
          <w:rFonts w:ascii="Book Antiqua" w:eastAsia="Times New Roman" w:hAnsi="Book Antiqua" w:cs="Times New Roman"/>
          <w:bCs/>
          <w:color w:val="000000" w:themeColor="text1"/>
          <w:sz w:val="24"/>
          <w:szCs w:val="24"/>
        </w:rPr>
        <w:t xml:space="preserve"> (G-POEM) of the pylorus is now emerging as a treatment option. After the initial case report of G-POEM in a patient with </w:t>
      </w:r>
      <w:proofErr w:type="gramStart"/>
      <w:r w:rsidRPr="006B24DA">
        <w:rPr>
          <w:rFonts w:ascii="Book Antiqua" w:eastAsia="Times New Roman" w:hAnsi="Book Antiqua" w:cs="Times New Roman"/>
          <w:bCs/>
          <w:color w:val="000000" w:themeColor="text1"/>
          <w:sz w:val="24"/>
          <w:szCs w:val="24"/>
        </w:rPr>
        <w:t>gastroparesis</w:t>
      </w:r>
      <w:r w:rsidRPr="006B24DA">
        <w:rPr>
          <w:rFonts w:ascii="Book Antiqua" w:eastAsia="Times New Roman" w:hAnsi="Book Antiqua" w:cs="Times New Roman"/>
          <w:bCs/>
          <w:noProof/>
          <w:color w:val="000000" w:themeColor="text1"/>
          <w:sz w:val="24"/>
          <w:szCs w:val="24"/>
          <w:vertAlign w:val="superscript"/>
        </w:rPr>
        <w:t>[</w:t>
      </w:r>
      <w:proofErr w:type="gramEnd"/>
      <w:r w:rsidRPr="006B24DA">
        <w:rPr>
          <w:rFonts w:ascii="Book Antiqua" w:eastAsia="Times New Roman" w:hAnsi="Book Antiqua" w:cs="Times New Roman"/>
          <w:bCs/>
          <w:noProof/>
          <w:color w:val="000000" w:themeColor="text1"/>
          <w:sz w:val="24"/>
          <w:szCs w:val="24"/>
          <w:vertAlign w:val="superscript"/>
        </w:rPr>
        <w:t>150]</w:t>
      </w:r>
      <w:r w:rsidRPr="006B24DA">
        <w:rPr>
          <w:rFonts w:ascii="Book Antiqua" w:eastAsia="Times New Roman" w:hAnsi="Book Antiqua" w:cs="Times New Roman"/>
          <w:bCs/>
          <w:color w:val="000000" w:themeColor="text1"/>
          <w:sz w:val="24"/>
          <w:szCs w:val="24"/>
        </w:rPr>
        <w:t>, there have been a number of small series</w:t>
      </w:r>
      <w:r w:rsidRPr="006B24DA">
        <w:rPr>
          <w:rFonts w:ascii="Book Antiqua" w:eastAsia="Times New Roman" w:hAnsi="Book Antiqua" w:cs="Times New Roman"/>
          <w:bCs/>
          <w:noProof/>
          <w:color w:val="000000" w:themeColor="text1"/>
          <w:sz w:val="24"/>
          <w:szCs w:val="24"/>
          <w:vertAlign w:val="superscript"/>
        </w:rPr>
        <w:t>[151-160]</w:t>
      </w:r>
      <w:r w:rsidRPr="006B24DA">
        <w:rPr>
          <w:rFonts w:ascii="Book Antiqua" w:eastAsia="Times New Roman" w:hAnsi="Book Antiqua" w:cs="Times New Roman"/>
          <w:bCs/>
          <w:color w:val="000000" w:themeColor="text1"/>
          <w:sz w:val="24"/>
          <w:szCs w:val="24"/>
        </w:rPr>
        <w:t xml:space="preserve"> showing safety, feasibility, and good clinical outcomes with approximately 70% patients showing improvement in their quality of life scores at 1 year</w:t>
      </w:r>
      <w:r w:rsidRPr="006B24DA">
        <w:rPr>
          <w:rFonts w:ascii="Book Antiqua" w:eastAsia="Times New Roman" w:hAnsi="Book Antiqua" w:cs="Times New Roman"/>
          <w:bCs/>
          <w:noProof/>
          <w:color w:val="000000" w:themeColor="text1"/>
          <w:sz w:val="24"/>
          <w:szCs w:val="24"/>
          <w:vertAlign w:val="superscript"/>
        </w:rPr>
        <w:t>[152]</w:t>
      </w:r>
      <w:r w:rsidRPr="006B24DA">
        <w:rPr>
          <w:rFonts w:ascii="Book Antiqua" w:eastAsia="Times New Roman" w:hAnsi="Book Antiqua" w:cs="Times New Roman"/>
          <w:bCs/>
          <w:color w:val="000000" w:themeColor="text1"/>
          <w:sz w:val="24"/>
          <w:szCs w:val="24"/>
        </w:rPr>
        <w:t>.</w:t>
      </w:r>
      <w:r w:rsidR="002A29F4"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One non-randomized study compared laparoscopic </w:t>
      </w:r>
      <w:proofErr w:type="spellStart"/>
      <w:r w:rsidRPr="006B24DA">
        <w:rPr>
          <w:rFonts w:ascii="Book Antiqua" w:eastAsia="Times New Roman" w:hAnsi="Book Antiqua" w:cs="Times New Roman"/>
          <w:bCs/>
          <w:color w:val="000000" w:themeColor="text1"/>
          <w:sz w:val="24"/>
          <w:szCs w:val="24"/>
        </w:rPr>
        <w:t>pyloroplasty</w:t>
      </w:r>
      <w:proofErr w:type="spellEnd"/>
      <w:r w:rsidRPr="006B24DA">
        <w:rPr>
          <w:rFonts w:ascii="Book Antiqua" w:eastAsia="Times New Roman" w:hAnsi="Book Antiqua" w:cs="Times New Roman"/>
          <w:bCs/>
          <w:color w:val="000000" w:themeColor="text1"/>
          <w:sz w:val="24"/>
          <w:szCs w:val="24"/>
        </w:rPr>
        <w:t xml:space="preserve"> (LP) </w:t>
      </w:r>
      <w:r w:rsidR="00836B7F" w:rsidRPr="006B24DA">
        <w:rPr>
          <w:rFonts w:ascii="Book Antiqua" w:eastAsia="Times New Roman" w:hAnsi="Book Antiqua" w:cs="Times New Roman"/>
          <w:bCs/>
          <w:i/>
          <w:color w:val="000000" w:themeColor="text1"/>
          <w:sz w:val="24"/>
          <w:szCs w:val="24"/>
        </w:rPr>
        <w:t>vs</w:t>
      </w:r>
      <w:r w:rsidRPr="006B24DA">
        <w:rPr>
          <w:rFonts w:ascii="Book Antiqua" w:eastAsia="Times New Roman" w:hAnsi="Book Antiqua" w:cs="Times New Roman"/>
          <w:bCs/>
          <w:color w:val="000000" w:themeColor="text1"/>
          <w:sz w:val="24"/>
          <w:szCs w:val="24"/>
        </w:rPr>
        <w:t xml:space="preserve"> G-POEM and found that patients who underwent LP had a longer average length of stay (4.6 </w:t>
      </w:r>
      <w:r w:rsidR="00836B7F" w:rsidRPr="006B24DA">
        <w:rPr>
          <w:rFonts w:ascii="Book Antiqua" w:eastAsia="Times New Roman" w:hAnsi="Book Antiqua" w:cs="Times New Roman"/>
          <w:bCs/>
          <w:color w:val="000000" w:themeColor="text1"/>
          <w:sz w:val="24"/>
          <w:szCs w:val="24"/>
        </w:rPr>
        <w:t xml:space="preserve">d </w:t>
      </w:r>
      <w:r w:rsidR="00836B7F" w:rsidRPr="006B24DA">
        <w:rPr>
          <w:rFonts w:ascii="Book Antiqua" w:eastAsia="Times New Roman" w:hAnsi="Book Antiqua" w:cs="Times New Roman"/>
          <w:bCs/>
          <w:i/>
          <w:color w:val="000000" w:themeColor="text1"/>
          <w:sz w:val="24"/>
          <w:szCs w:val="24"/>
        </w:rPr>
        <w:t>vs</w:t>
      </w:r>
      <w:r w:rsidRPr="006B24DA">
        <w:rPr>
          <w:rFonts w:ascii="Book Antiqua" w:eastAsia="Times New Roman" w:hAnsi="Book Antiqua" w:cs="Times New Roman"/>
          <w:bCs/>
          <w:color w:val="000000" w:themeColor="text1"/>
          <w:sz w:val="24"/>
          <w:szCs w:val="24"/>
        </w:rPr>
        <w:t xml:space="preserve"> 1.4 d, </w:t>
      </w:r>
      <w:bookmarkStart w:id="77" w:name="OLE_LINK93"/>
      <w:bookmarkStart w:id="78" w:name="OLE_LINK94"/>
      <w:r w:rsidR="00836B7F" w:rsidRPr="006B24DA">
        <w:rPr>
          <w:rFonts w:ascii="Book Antiqua" w:eastAsia="Times New Roman" w:hAnsi="Book Antiqua" w:cs="Times New Roman"/>
          <w:bCs/>
          <w:i/>
          <w:color w:val="000000" w:themeColor="text1"/>
          <w:sz w:val="24"/>
          <w:szCs w:val="24"/>
        </w:rPr>
        <w:t>P</w:t>
      </w:r>
      <w:bookmarkEnd w:id="77"/>
      <w:bookmarkEnd w:id="78"/>
      <w:r w:rsidRPr="006B24DA">
        <w:rPr>
          <w:rFonts w:ascii="Book Antiqua" w:eastAsia="Times New Roman" w:hAnsi="Book Antiqua" w:cs="Times New Roman"/>
          <w:bCs/>
          <w:color w:val="000000" w:themeColor="text1"/>
          <w:sz w:val="24"/>
          <w:szCs w:val="24"/>
        </w:rPr>
        <w:t xml:space="preserve"> = 0.003), operative time (99.3 </w:t>
      </w:r>
      <w:r w:rsidR="00836B7F" w:rsidRPr="006B24DA">
        <w:rPr>
          <w:rFonts w:ascii="Book Antiqua" w:eastAsia="Times New Roman" w:hAnsi="Book Antiqua" w:cs="Times New Roman"/>
          <w:bCs/>
          <w:color w:val="000000" w:themeColor="text1"/>
          <w:sz w:val="24"/>
          <w:szCs w:val="24"/>
        </w:rPr>
        <w:t xml:space="preserve">min </w:t>
      </w:r>
      <w:bookmarkStart w:id="79" w:name="OLE_LINK95"/>
      <w:bookmarkStart w:id="80" w:name="OLE_LINK96"/>
      <w:r w:rsidR="00836B7F" w:rsidRPr="006B24DA">
        <w:rPr>
          <w:rFonts w:ascii="Book Antiqua" w:eastAsia="Times New Roman" w:hAnsi="Book Antiqua" w:cs="Times New Roman"/>
          <w:bCs/>
          <w:i/>
          <w:color w:val="000000" w:themeColor="text1"/>
          <w:sz w:val="24"/>
          <w:szCs w:val="24"/>
        </w:rPr>
        <w:t>vs</w:t>
      </w:r>
      <w:bookmarkEnd w:id="79"/>
      <w:bookmarkEnd w:id="80"/>
      <w:r w:rsidR="00836B7F"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33.9 min, </w:t>
      </w:r>
      <w:r w:rsidR="00836B7F" w:rsidRPr="006B24DA">
        <w:rPr>
          <w:rFonts w:ascii="Book Antiqua" w:eastAsia="Times New Roman" w:hAnsi="Book Antiqua" w:cs="Times New Roman"/>
          <w:bCs/>
          <w:i/>
          <w:color w:val="000000" w:themeColor="text1"/>
          <w:sz w:val="24"/>
          <w:szCs w:val="24"/>
        </w:rPr>
        <w:t>P</w:t>
      </w:r>
      <w:r w:rsidRPr="006B24DA">
        <w:rPr>
          <w:rFonts w:ascii="Book Antiqua" w:eastAsia="Times New Roman" w:hAnsi="Book Antiqua" w:cs="Times New Roman"/>
          <w:bCs/>
          <w:color w:val="000000" w:themeColor="text1"/>
          <w:sz w:val="24"/>
          <w:szCs w:val="24"/>
        </w:rPr>
        <w:t xml:space="preserve"> &lt; 0.001), and estimated blood loss (12.9 </w:t>
      </w:r>
      <w:r w:rsidR="00836B7F" w:rsidRPr="006B24DA">
        <w:rPr>
          <w:rFonts w:ascii="Book Antiqua" w:eastAsia="Times New Roman" w:hAnsi="Book Antiqua" w:cs="Times New Roman"/>
          <w:bCs/>
          <w:color w:val="000000" w:themeColor="text1"/>
          <w:sz w:val="24"/>
          <w:szCs w:val="24"/>
        </w:rPr>
        <w:t xml:space="preserve">mL </w:t>
      </w:r>
      <w:r w:rsidR="00836B7F" w:rsidRPr="006B24DA">
        <w:rPr>
          <w:rFonts w:ascii="Book Antiqua" w:eastAsia="Times New Roman" w:hAnsi="Book Antiqua" w:cs="Times New Roman"/>
          <w:bCs/>
          <w:i/>
          <w:color w:val="000000" w:themeColor="text1"/>
          <w:sz w:val="24"/>
          <w:szCs w:val="24"/>
        </w:rPr>
        <w:t>vs</w:t>
      </w:r>
      <w:r w:rsidRPr="006B24DA">
        <w:rPr>
          <w:rFonts w:ascii="Book Antiqua" w:eastAsia="Times New Roman" w:hAnsi="Book Antiqua" w:cs="Times New Roman"/>
          <w:bCs/>
          <w:color w:val="000000" w:themeColor="text1"/>
          <w:sz w:val="24"/>
          <w:szCs w:val="24"/>
        </w:rPr>
        <w:t xml:space="preserve"> 0.4 mL,</w:t>
      </w:r>
      <w:r w:rsidR="00836B7F" w:rsidRPr="006B24DA">
        <w:rPr>
          <w:rFonts w:ascii="Book Antiqua" w:eastAsia="Times New Roman" w:hAnsi="Book Antiqua" w:cs="Times New Roman"/>
          <w:bCs/>
          <w:i/>
          <w:color w:val="000000" w:themeColor="text1"/>
          <w:sz w:val="24"/>
          <w:szCs w:val="24"/>
        </w:rPr>
        <w:t xml:space="preserve"> P </w:t>
      </w:r>
      <w:r w:rsidRPr="006B24DA">
        <w:rPr>
          <w:rFonts w:ascii="Book Antiqua" w:eastAsia="Times New Roman" w:hAnsi="Book Antiqua" w:cs="Times New Roman"/>
          <w:bCs/>
          <w:color w:val="000000" w:themeColor="text1"/>
          <w:sz w:val="24"/>
          <w:szCs w:val="24"/>
        </w:rPr>
        <w:t xml:space="preserve">&lt; 0.001). </w:t>
      </w:r>
      <w:bookmarkStart w:id="81" w:name="_Hlk530830832"/>
      <w:r w:rsidRPr="006B24DA">
        <w:rPr>
          <w:rFonts w:ascii="Book Antiqua" w:eastAsia="Times New Roman" w:hAnsi="Book Antiqua" w:cs="Times New Roman"/>
          <w:bCs/>
          <w:color w:val="000000" w:themeColor="text1"/>
          <w:sz w:val="24"/>
          <w:szCs w:val="24"/>
        </w:rPr>
        <w:t>There were also more complica</w:t>
      </w:r>
      <w:r w:rsidR="00836B7F" w:rsidRPr="006B24DA">
        <w:rPr>
          <w:rFonts w:ascii="Book Antiqua" w:eastAsia="Times New Roman" w:hAnsi="Book Antiqua" w:cs="Times New Roman"/>
          <w:bCs/>
          <w:color w:val="000000" w:themeColor="text1"/>
          <w:sz w:val="24"/>
          <w:szCs w:val="24"/>
        </w:rPr>
        <w:t xml:space="preserve">tions in the LP cohort (16.7% </w:t>
      </w:r>
      <w:r w:rsidR="00836B7F" w:rsidRPr="006B24DA">
        <w:rPr>
          <w:rFonts w:ascii="Book Antiqua" w:eastAsia="Times New Roman" w:hAnsi="Book Antiqua" w:cs="Times New Roman"/>
          <w:bCs/>
          <w:i/>
          <w:color w:val="000000" w:themeColor="text1"/>
          <w:sz w:val="24"/>
          <w:szCs w:val="24"/>
        </w:rPr>
        <w:t>vs</w:t>
      </w:r>
      <w:r w:rsidRPr="006B24DA">
        <w:rPr>
          <w:rFonts w:ascii="Book Antiqua" w:eastAsia="Times New Roman" w:hAnsi="Book Antiqua" w:cs="Times New Roman"/>
          <w:bCs/>
          <w:color w:val="000000" w:themeColor="text1"/>
          <w:sz w:val="24"/>
          <w:szCs w:val="24"/>
        </w:rPr>
        <w:t xml:space="preserve"> 3.3%, </w:t>
      </w:r>
      <w:bookmarkStart w:id="82" w:name="OLE_LINK97"/>
      <w:bookmarkStart w:id="83" w:name="OLE_LINK98"/>
      <w:r w:rsidR="00836B7F" w:rsidRPr="006B24DA">
        <w:rPr>
          <w:rFonts w:ascii="Book Antiqua" w:eastAsia="Times New Roman" w:hAnsi="Book Antiqua" w:cs="Times New Roman"/>
          <w:bCs/>
          <w:i/>
          <w:color w:val="000000" w:themeColor="text1"/>
          <w:sz w:val="24"/>
          <w:szCs w:val="24"/>
        </w:rPr>
        <w:t>P</w:t>
      </w:r>
      <w:bookmarkEnd w:id="82"/>
      <w:bookmarkEnd w:id="83"/>
      <w:r w:rsidR="00836B7F" w:rsidRPr="006B24DA">
        <w:rPr>
          <w:rFonts w:ascii="Book Antiqua" w:eastAsia="Times New Roman" w:hAnsi="Book Antiqua" w:cs="Times New Roman"/>
          <w:bCs/>
          <w:i/>
          <w:color w:val="000000" w:themeColor="text1"/>
          <w:sz w:val="24"/>
          <w:szCs w:val="24"/>
        </w:rPr>
        <w:t xml:space="preserve"> </w:t>
      </w:r>
      <w:r w:rsidRPr="006B24DA">
        <w:rPr>
          <w:rFonts w:ascii="Book Antiqua" w:eastAsia="Times New Roman" w:hAnsi="Book Antiqua" w:cs="Times New Roman"/>
          <w:bCs/>
          <w:color w:val="000000" w:themeColor="text1"/>
          <w:sz w:val="24"/>
          <w:szCs w:val="24"/>
        </w:rPr>
        <w:t>= 0.086), which included surgical site infection (6.7</w:t>
      </w:r>
      <w:r w:rsidR="00836B7F" w:rsidRPr="006B24DA">
        <w:rPr>
          <w:rFonts w:ascii="Book Antiqua" w:eastAsia="Times New Roman" w:hAnsi="Book Antiqua" w:cs="Times New Roman"/>
          <w:bCs/>
          <w:color w:val="000000" w:themeColor="text1"/>
          <w:sz w:val="24"/>
          <w:szCs w:val="24"/>
        </w:rPr>
        <w:t xml:space="preserve">% </w:t>
      </w:r>
      <w:r w:rsidR="00836B7F" w:rsidRPr="006B24DA">
        <w:rPr>
          <w:rFonts w:ascii="Book Antiqua" w:eastAsia="Times New Roman" w:hAnsi="Book Antiqua" w:cs="Times New Roman"/>
          <w:bCs/>
          <w:i/>
          <w:color w:val="000000" w:themeColor="text1"/>
          <w:sz w:val="24"/>
          <w:szCs w:val="24"/>
        </w:rPr>
        <w:t>vs</w:t>
      </w:r>
      <w:r w:rsidRPr="006B24DA">
        <w:rPr>
          <w:rFonts w:ascii="Book Antiqua" w:eastAsia="Times New Roman" w:hAnsi="Book Antiqua" w:cs="Times New Roman"/>
          <w:bCs/>
          <w:i/>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0%, </w:t>
      </w:r>
      <w:r w:rsidR="00836B7F" w:rsidRPr="006B24DA">
        <w:rPr>
          <w:rFonts w:ascii="Book Antiqua" w:eastAsia="Times New Roman" w:hAnsi="Book Antiqua" w:cs="Times New Roman"/>
          <w:bCs/>
          <w:i/>
          <w:color w:val="000000" w:themeColor="text1"/>
          <w:sz w:val="24"/>
          <w:szCs w:val="24"/>
        </w:rPr>
        <w:t>P</w:t>
      </w:r>
      <w:r w:rsidRPr="006B24DA">
        <w:rPr>
          <w:rFonts w:ascii="Book Antiqua" w:eastAsia="Times New Roman" w:hAnsi="Book Antiqua" w:cs="Times New Roman"/>
          <w:bCs/>
          <w:color w:val="000000" w:themeColor="text1"/>
          <w:sz w:val="24"/>
          <w:szCs w:val="24"/>
        </w:rPr>
        <w:t xml:space="preserve"> = 0.153), pneumonia (6.7</w:t>
      </w:r>
      <w:r w:rsidR="00836B7F" w:rsidRPr="006B24DA">
        <w:rPr>
          <w:rFonts w:ascii="Book Antiqua" w:eastAsia="Times New Roman" w:hAnsi="Book Antiqua" w:cs="Times New Roman"/>
          <w:bCs/>
          <w:color w:val="000000" w:themeColor="text1"/>
          <w:sz w:val="24"/>
          <w:szCs w:val="24"/>
        </w:rPr>
        <w:t>%</w:t>
      </w:r>
      <w:r w:rsidRPr="006B24DA">
        <w:rPr>
          <w:rFonts w:ascii="Book Antiqua" w:eastAsia="Times New Roman" w:hAnsi="Book Antiqua" w:cs="Times New Roman"/>
          <w:bCs/>
          <w:color w:val="000000" w:themeColor="text1"/>
          <w:sz w:val="24"/>
          <w:szCs w:val="24"/>
        </w:rPr>
        <w:t xml:space="preserve"> </w:t>
      </w:r>
      <w:r w:rsidR="00836B7F" w:rsidRPr="006B24DA">
        <w:rPr>
          <w:rFonts w:ascii="Book Antiqua" w:eastAsia="Times New Roman" w:hAnsi="Book Antiqua" w:cs="Times New Roman"/>
          <w:bCs/>
          <w:i/>
          <w:color w:val="000000" w:themeColor="text1"/>
          <w:sz w:val="24"/>
          <w:szCs w:val="24"/>
        </w:rPr>
        <w:t>vs</w:t>
      </w:r>
      <w:r w:rsidRPr="006B24DA">
        <w:rPr>
          <w:rFonts w:ascii="Book Antiqua" w:eastAsia="Times New Roman" w:hAnsi="Book Antiqua" w:cs="Times New Roman"/>
          <w:bCs/>
          <w:color w:val="000000" w:themeColor="text1"/>
          <w:sz w:val="24"/>
          <w:szCs w:val="24"/>
        </w:rPr>
        <w:t xml:space="preserve"> 0.0%, </w:t>
      </w:r>
      <w:r w:rsidR="00836B7F" w:rsidRPr="006B24DA">
        <w:rPr>
          <w:rFonts w:ascii="Book Antiqua" w:eastAsia="Times New Roman" w:hAnsi="Book Antiqua" w:cs="Times New Roman"/>
          <w:bCs/>
          <w:i/>
          <w:color w:val="000000" w:themeColor="text1"/>
          <w:sz w:val="24"/>
          <w:szCs w:val="24"/>
        </w:rPr>
        <w:t>P</w:t>
      </w:r>
      <w:r w:rsidR="00836B7F"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 0.153), and unplanned </w:t>
      </w:r>
      <w:r w:rsidR="00836B7F" w:rsidRPr="006B24DA">
        <w:rPr>
          <w:rFonts w:ascii="Book Antiqua" w:eastAsia="Times New Roman" w:hAnsi="Book Antiqua" w:cs="Times New Roman"/>
          <w:bCs/>
          <w:color w:val="000000" w:themeColor="text1"/>
          <w:sz w:val="24"/>
          <w:szCs w:val="24"/>
        </w:rPr>
        <w:t>intensive care unit (</w:t>
      </w:r>
      <w:r w:rsidRPr="006B24DA">
        <w:rPr>
          <w:rFonts w:ascii="Book Antiqua" w:eastAsia="Times New Roman" w:hAnsi="Book Antiqua" w:cs="Times New Roman"/>
          <w:bCs/>
          <w:color w:val="000000" w:themeColor="text1"/>
          <w:sz w:val="24"/>
          <w:szCs w:val="24"/>
        </w:rPr>
        <w:t>ICU</w:t>
      </w:r>
      <w:r w:rsidR="00836B7F" w:rsidRPr="006B24DA">
        <w:rPr>
          <w:rFonts w:ascii="Book Antiqua" w:eastAsia="Times New Roman" w:hAnsi="Book Antiqua" w:cs="Times New Roman"/>
          <w:bCs/>
          <w:color w:val="000000" w:themeColor="text1"/>
          <w:sz w:val="24"/>
          <w:szCs w:val="24"/>
        </w:rPr>
        <w:t>)</w:t>
      </w:r>
      <w:r w:rsidRPr="006B24DA">
        <w:rPr>
          <w:rFonts w:ascii="Book Antiqua" w:eastAsia="Times New Roman" w:hAnsi="Book Antiqua" w:cs="Times New Roman"/>
          <w:bCs/>
          <w:color w:val="000000" w:themeColor="text1"/>
          <w:sz w:val="24"/>
          <w:szCs w:val="24"/>
        </w:rPr>
        <w:t xml:space="preserve"> admission (10.0</w:t>
      </w:r>
      <w:r w:rsidR="00836B7F" w:rsidRPr="006B24DA">
        <w:rPr>
          <w:rFonts w:ascii="Book Antiqua" w:eastAsia="Times New Roman" w:hAnsi="Book Antiqua" w:cs="Times New Roman"/>
          <w:bCs/>
          <w:color w:val="000000" w:themeColor="text1"/>
          <w:sz w:val="24"/>
          <w:szCs w:val="24"/>
        </w:rPr>
        <w:t>%</w:t>
      </w:r>
      <w:r w:rsidRPr="006B24DA">
        <w:rPr>
          <w:rFonts w:ascii="Book Antiqua" w:eastAsia="Times New Roman" w:hAnsi="Book Antiqua" w:cs="Times New Roman"/>
          <w:bCs/>
          <w:color w:val="000000" w:themeColor="text1"/>
          <w:sz w:val="24"/>
          <w:szCs w:val="24"/>
        </w:rPr>
        <w:t xml:space="preserve"> </w:t>
      </w:r>
      <w:r w:rsidR="00836B7F" w:rsidRPr="006B24DA">
        <w:rPr>
          <w:rFonts w:ascii="Book Antiqua" w:eastAsia="Times New Roman" w:hAnsi="Book Antiqua" w:cs="Times New Roman"/>
          <w:bCs/>
          <w:i/>
          <w:color w:val="000000" w:themeColor="text1"/>
          <w:sz w:val="24"/>
          <w:szCs w:val="24"/>
        </w:rPr>
        <w:t>vs</w:t>
      </w:r>
      <w:r w:rsidRPr="006B24DA">
        <w:rPr>
          <w:rFonts w:ascii="Book Antiqua" w:eastAsia="Times New Roman" w:hAnsi="Book Antiqua" w:cs="Times New Roman"/>
          <w:bCs/>
          <w:color w:val="000000" w:themeColor="text1"/>
          <w:sz w:val="24"/>
          <w:szCs w:val="24"/>
        </w:rPr>
        <w:t xml:space="preserve"> 0.0%, </w:t>
      </w:r>
      <w:r w:rsidR="00836B7F" w:rsidRPr="006B24DA">
        <w:rPr>
          <w:rFonts w:ascii="Book Antiqua" w:eastAsia="Times New Roman" w:hAnsi="Book Antiqua" w:cs="Times New Roman"/>
          <w:bCs/>
          <w:i/>
          <w:color w:val="000000" w:themeColor="text1"/>
          <w:sz w:val="24"/>
          <w:szCs w:val="24"/>
        </w:rPr>
        <w:t>P</w:t>
      </w:r>
      <w:r w:rsidRPr="006B24DA">
        <w:rPr>
          <w:rFonts w:ascii="Book Antiqua" w:eastAsia="Times New Roman" w:hAnsi="Book Antiqua" w:cs="Times New Roman"/>
          <w:bCs/>
          <w:color w:val="000000" w:themeColor="text1"/>
          <w:sz w:val="24"/>
          <w:szCs w:val="24"/>
        </w:rPr>
        <w:t xml:space="preserve"> = 0.078). LP and G-POEM both resulted in similar, significant improvements in both in GCSI scores and objective gastric emptying.</w:t>
      </w:r>
      <w:bookmarkEnd w:id="81"/>
    </w:p>
    <w:p w14:paraId="4D6BC674" w14:textId="77777777" w:rsidR="00836B7F" w:rsidRPr="006B24DA" w:rsidRDefault="00836B7F" w:rsidP="007761C0">
      <w:pPr>
        <w:autoSpaceDE w:val="0"/>
        <w:autoSpaceDN w:val="0"/>
        <w:adjustRightInd w:val="0"/>
        <w:snapToGrid w:val="0"/>
        <w:spacing w:after="0" w:line="360" w:lineRule="auto"/>
        <w:jc w:val="both"/>
        <w:rPr>
          <w:rFonts w:ascii="Book Antiqua" w:eastAsia="Times New Roman" w:hAnsi="Book Antiqua" w:cs="Times New Roman"/>
          <w:bCs/>
          <w:color w:val="000000" w:themeColor="text1"/>
          <w:sz w:val="24"/>
          <w:szCs w:val="24"/>
        </w:rPr>
      </w:pPr>
    </w:p>
    <w:p w14:paraId="7C1AB1E3" w14:textId="77777777" w:rsidR="00836B7F" w:rsidRPr="006B24DA" w:rsidRDefault="00E20495" w:rsidP="007761C0">
      <w:pPr>
        <w:autoSpaceDE w:val="0"/>
        <w:autoSpaceDN w:val="0"/>
        <w:adjustRightInd w:val="0"/>
        <w:snapToGrid w:val="0"/>
        <w:spacing w:after="0" w:line="360" w:lineRule="auto"/>
        <w:jc w:val="both"/>
        <w:rPr>
          <w:rFonts w:ascii="Book Antiqua" w:eastAsia="Times New Roman" w:hAnsi="Book Antiqua" w:cs="Times New Roman"/>
          <w:b/>
          <w:bCs/>
          <w:i/>
          <w:color w:val="000000" w:themeColor="text1"/>
          <w:sz w:val="24"/>
          <w:szCs w:val="24"/>
        </w:rPr>
      </w:pPr>
      <w:r w:rsidRPr="006B24DA">
        <w:rPr>
          <w:rFonts w:ascii="Book Antiqua" w:eastAsia="Times New Roman" w:hAnsi="Book Antiqua" w:cs="Times New Roman"/>
          <w:b/>
          <w:bCs/>
          <w:i/>
          <w:color w:val="000000" w:themeColor="text1"/>
          <w:sz w:val="24"/>
          <w:szCs w:val="24"/>
        </w:rPr>
        <w:t>Technical considerations</w:t>
      </w:r>
    </w:p>
    <w:p w14:paraId="0463D541" w14:textId="5AB6F8E9" w:rsidR="00E20495" w:rsidRPr="006B24DA" w:rsidRDefault="00E20495" w:rsidP="003B13C7">
      <w:pPr>
        <w:autoSpaceDE w:val="0"/>
        <w:autoSpaceDN w:val="0"/>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t>The procedure begins with a mucosal incision approximately 5</w:t>
      </w:r>
      <w:r w:rsidR="00836B7F"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 xml:space="preserve">cm from the pylorus along the greater curve </w:t>
      </w:r>
      <w:r w:rsidR="005D4219" w:rsidRPr="006B24DA">
        <w:rPr>
          <w:rFonts w:ascii="Book Antiqua" w:eastAsia="Times New Roman" w:hAnsi="Book Antiqua" w:cs="Times New Roman"/>
          <w:color w:val="000000" w:themeColor="text1"/>
          <w:sz w:val="24"/>
          <w:szCs w:val="24"/>
        </w:rPr>
        <w:t>(Figure 26</w:t>
      </w:r>
      <w:r w:rsidRPr="006B24DA">
        <w:rPr>
          <w:rFonts w:ascii="Book Antiqua" w:eastAsia="Times New Roman" w:hAnsi="Book Antiqua" w:cs="Times New Roman"/>
          <w:color w:val="000000" w:themeColor="text1"/>
          <w:sz w:val="24"/>
          <w:szCs w:val="24"/>
        </w:rPr>
        <w:t>A-C).</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The submucosal tunnel is then extended until the pylorus is reached (Fig</w:t>
      </w:r>
      <w:r w:rsidR="005D4219" w:rsidRPr="006B24DA">
        <w:rPr>
          <w:rFonts w:ascii="Book Antiqua" w:eastAsia="Times New Roman" w:hAnsi="Book Antiqua" w:cs="Times New Roman"/>
          <w:color w:val="000000" w:themeColor="text1"/>
          <w:sz w:val="24"/>
          <w:szCs w:val="24"/>
        </w:rPr>
        <w:t>ure 26</w:t>
      </w:r>
      <w:r w:rsidR="00836B7F" w:rsidRPr="006B24DA">
        <w:rPr>
          <w:rFonts w:ascii="Book Antiqua" w:eastAsia="Times New Roman" w:hAnsi="Book Antiqua" w:cs="Times New Roman"/>
          <w:color w:val="000000" w:themeColor="text1"/>
          <w:sz w:val="24"/>
          <w:szCs w:val="24"/>
        </w:rPr>
        <w:t xml:space="preserve">D and </w:t>
      </w:r>
      <w:r w:rsidRPr="006B24DA">
        <w:rPr>
          <w:rFonts w:ascii="Book Antiqua" w:eastAsia="Times New Roman" w:hAnsi="Book Antiqua" w:cs="Times New Roman"/>
          <w:color w:val="000000" w:themeColor="text1"/>
          <w:sz w:val="24"/>
          <w:szCs w:val="24"/>
        </w:rPr>
        <w:t>E).</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 xml:space="preserve">A hook knife is used to carefully excise the pylorus muscle </w:t>
      </w:r>
      <w:r w:rsidR="005D4219" w:rsidRPr="006B24DA">
        <w:rPr>
          <w:rFonts w:ascii="Book Antiqua" w:eastAsia="Times New Roman" w:hAnsi="Book Antiqua" w:cs="Times New Roman"/>
          <w:color w:val="000000" w:themeColor="text1"/>
          <w:sz w:val="24"/>
          <w:szCs w:val="24"/>
        </w:rPr>
        <w:t>(Figure 26</w:t>
      </w:r>
      <w:r w:rsidRPr="006B24DA">
        <w:rPr>
          <w:rFonts w:ascii="Book Antiqua" w:eastAsia="Times New Roman" w:hAnsi="Book Antiqua" w:cs="Times New Roman"/>
          <w:color w:val="000000" w:themeColor="text1"/>
          <w:sz w:val="24"/>
          <w:szCs w:val="24"/>
        </w:rPr>
        <w:t>F) and then extended proximally into the antrum</w:t>
      </w:r>
      <w:r w:rsidR="005D4219" w:rsidRPr="006B24DA">
        <w:rPr>
          <w:rFonts w:ascii="Book Antiqua" w:eastAsia="Times New Roman" w:hAnsi="Book Antiqua" w:cs="Times New Roman"/>
          <w:color w:val="000000" w:themeColor="text1"/>
          <w:sz w:val="24"/>
          <w:szCs w:val="24"/>
        </w:rPr>
        <w:t xml:space="preserve"> (Figure 26</w:t>
      </w:r>
      <w:r w:rsidRPr="006B24DA">
        <w:rPr>
          <w:rFonts w:ascii="Book Antiqua" w:eastAsia="Times New Roman" w:hAnsi="Book Antiqua" w:cs="Times New Roman"/>
          <w:color w:val="000000" w:themeColor="text1"/>
          <w:sz w:val="24"/>
          <w:szCs w:val="24"/>
        </w:rPr>
        <w:t>G).</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 xml:space="preserve">Closure can be accomplished with either clips or suturing </w:t>
      </w:r>
      <w:r w:rsidR="005D4219" w:rsidRPr="006B24DA">
        <w:rPr>
          <w:rFonts w:ascii="Book Antiqua" w:eastAsia="Times New Roman" w:hAnsi="Book Antiqua" w:cs="Times New Roman"/>
          <w:color w:val="000000" w:themeColor="text1"/>
          <w:sz w:val="24"/>
          <w:szCs w:val="24"/>
        </w:rPr>
        <w:t>(Figure 26</w:t>
      </w:r>
      <w:r w:rsidRPr="006B24DA">
        <w:rPr>
          <w:rFonts w:ascii="Book Antiqua" w:eastAsia="Times New Roman" w:hAnsi="Book Antiqua" w:cs="Times New Roman"/>
          <w:color w:val="000000" w:themeColor="text1"/>
          <w:sz w:val="24"/>
          <w:szCs w:val="24"/>
        </w:rPr>
        <w:t>H), although in this situation I prefer suturing, as positioning of the device is easy and the sutures can be placed deep into the gastric wa</w:t>
      </w:r>
      <w:r w:rsidR="00836B7F" w:rsidRPr="006B24DA">
        <w:rPr>
          <w:rFonts w:ascii="Book Antiqua" w:eastAsia="Times New Roman" w:hAnsi="Book Antiqua" w:cs="Times New Roman"/>
          <w:color w:val="000000" w:themeColor="text1"/>
          <w:sz w:val="24"/>
          <w:szCs w:val="24"/>
        </w:rPr>
        <w:t>ll.</w:t>
      </w:r>
      <w:r w:rsidR="00697EA2" w:rsidRPr="006B24DA">
        <w:rPr>
          <w:rFonts w:ascii="Book Antiqua" w:eastAsia="Times New Roman" w:hAnsi="Book Antiqua" w:cs="Times New Roman"/>
          <w:color w:val="000000" w:themeColor="text1"/>
          <w:sz w:val="24"/>
          <w:szCs w:val="24"/>
        </w:rPr>
        <w:t xml:space="preserve"> </w:t>
      </w:r>
    </w:p>
    <w:p w14:paraId="6E026405" w14:textId="77777777" w:rsidR="00836B7F" w:rsidRPr="006B24DA" w:rsidRDefault="00836B7F" w:rsidP="007761C0">
      <w:pPr>
        <w:autoSpaceDE w:val="0"/>
        <w:autoSpaceDN w:val="0"/>
        <w:adjustRightInd w:val="0"/>
        <w:snapToGrid w:val="0"/>
        <w:spacing w:after="0" w:line="360" w:lineRule="auto"/>
        <w:jc w:val="both"/>
        <w:rPr>
          <w:rFonts w:ascii="Book Antiqua" w:eastAsia="Times New Roman" w:hAnsi="Book Antiqua" w:cs="Times New Roman"/>
          <w:b/>
          <w:bCs/>
          <w:color w:val="000000" w:themeColor="text1"/>
          <w:sz w:val="24"/>
          <w:szCs w:val="24"/>
        </w:rPr>
      </w:pPr>
    </w:p>
    <w:p w14:paraId="376F2A84" w14:textId="17EEF13C" w:rsidR="00836B7F" w:rsidRPr="006B24DA" w:rsidRDefault="00836B7F" w:rsidP="007761C0">
      <w:pPr>
        <w:autoSpaceDE w:val="0"/>
        <w:autoSpaceDN w:val="0"/>
        <w:adjustRightInd w:val="0"/>
        <w:snapToGrid w:val="0"/>
        <w:spacing w:after="0" w:line="360" w:lineRule="auto"/>
        <w:jc w:val="both"/>
        <w:rPr>
          <w:rFonts w:ascii="Book Antiqua" w:eastAsia="Times New Roman" w:hAnsi="Book Antiqua" w:cs="Times New Roman"/>
          <w:b/>
          <w:bCs/>
          <w:color w:val="000000" w:themeColor="text1"/>
          <w:sz w:val="24"/>
          <w:szCs w:val="24"/>
        </w:rPr>
      </w:pPr>
      <w:r w:rsidRPr="006B24DA">
        <w:rPr>
          <w:rFonts w:ascii="Book Antiqua" w:eastAsia="Times New Roman" w:hAnsi="Book Antiqua" w:cs="Times New Roman"/>
          <w:b/>
          <w:bCs/>
          <w:i/>
          <w:color w:val="000000" w:themeColor="text1"/>
          <w:sz w:val="24"/>
          <w:szCs w:val="24"/>
        </w:rPr>
        <w:t>Future opportunities</w:t>
      </w:r>
    </w:p>
    <w:p w14:paraId="04F8CCA0" w14:textId="35E97781" w:rsidR="00E20495" w:rsidRPr="006B24DA" w:rsidRDefault="00E20495" w:rsidP="007761C0">
      <w:pPr>
        <w:autoSpaceDE w:val="0"/>
        <w:autoSpaceDN w:val="0"/>
        <w:adjustRightInd w:val="0"/>
        <w:snapToGrid w:val="0"/>
        <w:spacing w:after="0" w:line="360" w:lineRule="auto"/>
        <w:jc w:val="both"/>
        <w:rPr>
          <w:rFonts w:ascii="Book Antiqua" w:eastAsia="Times New Roman" w:hAnsi="Book Antiqua" w:cs="Times New Roman"/>
          <w:bCs/>
          <w:color w:val="000000" w:themeColor="text1"/>
          <w:sz w:val="24"/>
          <w:szCs w:val="24"/>
        </w:rPr>
      </w:pPr>
      <w:r w:rsidRPr="006B24DA">
        <w:rPr>
          <w:rFonts w:ascii="Book Antiqua" w:eastAsia="Times New Roman" w:hAnsi="Book Antiqua" w:cs="Times New Roman"/>
          <w:bCs/>
          <w:color w:val="000000" w:themeColor="text1"/>
          <w:sz w:val="24"/>
          <w:szCs w:val="24"/>
        </w:rPr>
        <w:lastRenderedPageBreak/>
        <w:t xml:space="preserve">While the procedure is quite similar to POEM for achalasia, the patient selection and prediction of response to treatment is much less developed. The </w:t>
      </w:r>
      <w:proofErr w:type="gramStart"/>
      <w:r w:rsidRPr="006B24DA">
        <w:rPr>
          <w:rFonts w:ascii="Book Antiqua" w:eastAsia="Times New Roman" w:hAnsi="Book Antiqua" w:cs="Times New Roman"/>
          <w:bCs/>
          <w:color w:val="000000" w:themeColor="text1"/>
          <w:sz w:val="24"/>
          <w:szCs w:val="24"/>
        </w:rPr>
        <w:t>mechanisms leading to symptoms in patients with gastroparesis is</w:t>
      </w:r>
      <w:proofErr w:type="gramEnd"/>
      <w:r w:rsidRPr="006B24DA">
        <w:rPr>
          <w:rFonts w:ascii="Book Antiqua" w:eastAsia="Times New Roman" w:hAnsi="Book Antiqua" w:cs="Times New Roman"/>
          <w:bCs/>
          <w:color w:val="000000" w:themeColor="text1"/>
          <w:sz w:val="24"/>
          <w:szCs w:val="24"/>
        </w:rPr>
        <w:t xml:space="preserve"> still unclear and can be variable.</w:t>
      </w:r>
      <w:r w:rsidR="002A29F4"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The amount of delay in gastric emptying does not seem to predict symptoms or relief of symptoms post treatment.</w:t>
      </w:r>
      <w:r w:rsidR="002A29F4"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While “</w:t>
      </w:r>
      <w:proofErr w:type="spellStart"/>
      <w:r w:rsidRPr="006B24DA">
        <w:rPr>
          <w:rFonts w:ascii="Book Antiqua" w:eastAsia="Times New Roman" w:hAnsi="Book Antiqua" w:cs="Times New Roman"/>
          <w:bCs/>
          <w:color w:val="000000" w:themeColor="text1"/>
          <w:sz w:val="24"/>
          <w:szCs w:val="24"/>
        </w:rPr>
        <w:t>pylorospasm</w:t>
      </w:r>
      <w:proofErr w:type="spellEnd"/>
      <w:r w:rsidRPr="006B24DA">
        <w:rPr>
          <w:rFonts w:ascii="Book Antiqua" w:eastAsia="Times New Roman" w:hAnsi="Book Antiqua" w:cs="Times New Roman"/>
          <w:bCs/>
          <w:color w:val="000000" w:themeColor="text1"/>
          <w:sz w:val="24"/>
          <w:szCs w:val="24"/>
        </w:rPr>
        <w:t xml:space="preserve">” may be one possible mechanism for patients with </w:t>
      </w:r>
      <w:proofErr w:type="gramStart"/>
      <w:r w:rsidRPr="006B24DA">
        <w:rPr>
          <w:rFonts w:ascii="Book Antiqua" w:eastAsia="Times New Roman" w:hAnsi="Book Antiqua" w:cs="Times New Roman"/>
          <w:bCs/>
          <w:color w:val="000000" w:themeColor="text1"/>
          <w:sz w:val="24"/>
          <w:szCs w:val="24"/>
        </w:rPr>
        <w:t>gastroparesis</w:t>
      </w:r>
      <w:r w:rsidRPr="006B24DA">
        <w:rPr>
          <w:rFonts w:ascii="Book Antiqua" w:eastAsia="Times New Roman" w:hAnsi="Book Antiqua" w:cs="Times New Roman"/>
          <w:bCs/>
          <w:noProof/>
          <w:color w:val="000000" w:themeColor="text1"/>
          <w:sz w:val="24"/>
          <w:szCs w:val="24"/>
          <w:vertAlign w:val="superscript"/>
        </w:rPr>
        <w:t>[</w:t>
      </w:r>
      <w:proofErr w:type="gramEnd"/>
      <w:r w:rsidRPr="006B24DA">
        <w:rPr>
          <w:rFonts w:ascii="Book Antiqua" w:eastAsia="Times New Roman" w:hAnsi="Book Antiqua" w:cs="Times New Roman"/>
          <w:bCs/>
          <w:noProof/>
          <w:color w:val="000000" w:themeColor="text1"/>
          <w:sz w:val="24"/>
          <w:szCs w:val="24"/>
          <w:vertAlign w:val="superscript"/>
        </w:rPr>
        <w:t>161]</w:t>
      </w:r>
      <w:r w:rsidRPr="006B24DA">
        <w:rPr>
          <w:rFonts w:ascii="Book Antiqua" w:eastAsia="Times New Roman" w:hAnsi="Book Antiqua" w:cs="Times New Roman"/>
          <w:bCs/>
          <w:color w:val="000000" w:themeColor="text1"/>
          <w:sz w:val="24"/>
          <w:szCs w:val="24"/>
        </w:rPr>
        <w:t xml:space="preserve">, other factors may include </w:t>
      </w:r>
      <w:proofErr w:type="spellStart"/>
      <w:r w:rsidRPr="006B24DA">
        <w:rPr>
          <w:rFonts w:ascii="Book Antiqua" w:eastAsia="Times New Roman" w:hAnsi="Book Antiqua" w:cs="Times New Roman"/>
          <w:bCs/>
          <w:color w:val="000000" w:themeColor="text1"/>
          <w:sz w:val="24"/>
          <w:szCs w:val="24"/>
        </w:rPr>
        <w:t>fundic</w:t>
      </w:r>
      <w:proofErr w:type="spellEnd"/>
      <w:r w:rsidRPr="006B24DA">
        <w:rPr>
          <w:rFonts w:ascii="Book Antiqua" w:eastAsia="Times New Roman" w:hAnsi="Book Antiqua" w:cs="Times New Roman"/>
          <w:bCs/>
          <w:color w:val="000000" w:themeColor="text1"/>
          <w:sz w:val="24"/>
          <w:szCs w:val="24"/>
        </w:rPr>
        <w:t xml:space="preserve"> accommodation as well as central nervous system factors.</w:t>
      </w:r>
      <w:r w:rsidR="002A29F4"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Although we routinely perform </w:t>
      </w:r>
      <w:bookmarkStart w:id="84" w:name="OLE_LINK99"/>
      <w:bookmarkStart w:id="85" w:name="OLE_LINK100"/>
      <w:proofErr w:type="spellStart"/>
      <w:r w:rsidRPr="006B24DA">
        <w:rPr>
          <w:rFonts w:ascii="Book Antiqua" w:eastAsia="Times New Roman" w:hAnsi="Book Antiqua" w:cs="Times New Roman"/>
          <w:bCs/>
          <w:color w:val="000000" w:themeColor="text1"/>
          <w:sz w:val="24"/>
          <w:szCs w:val="24"/>
        </w:rPr>
        <w:t>EndoFLIP</w:t>
      </w:r>
      <w:bookmarkEnd w:id="84"/>
      <w:bookmarkEnd w:id="85"/>
      <w:proofErr w:type="spellEnd"/>
      <w:r w:rsidRPr="006B24DA">
        <w:rPr>
          <w:rFonts w:ascii="Book Antiqua" w:eastAsia="Times New Roman" w:hAnsi="Book Antiqua" w:cs="Times New Roman"/>
          <w:bCs/>
          <w:color w:val="000000" w:themeColor="text1"/>
          <w:sz w:val="24"/>
          <w:szCs w:val="24"/>
        </w:rPr>
        <w:t xml:space="preserve"> to measure luminal geometry and pressure before and after each G-POEM, the parameters to predict clinical response have not yet been established.</w:t>
      </w:r>
      <w:r w:rsidR="00820109">
        <w:rPr>
          <w:rFonts w:ascii="Book Antiqua" w:eastAsia="Times New Roman" w:hAnsi="Book Antiqua" w:cs="Times New Roman"/>
          <w:bCs/>
          <w:color w:val="000000" w:themeColor="text1"/>
          <w:sz w:val="24"/>
          <w:szCs w:val="24"/>
        </w:rPr>
        <w:t xml:space="preserve"> </w:t>
      </w:r>
      <w:r w:rsidR="00697EA2" w:rsidRPr="006B24DA">
        <w:rPr>
          <w:rFonts w:ascii="Book Antiqua" w:eastAsia="Times New Roman" w:hAnsi="Book Antiqua" w:cs="Times New Roman"/>
          <w:bCs/>
          <w:color w:val="000000" w:themeColor="text1"/>
          <w:sz w:val="24"/>
          <w:szCs w:val="24"/>
        </w:rPr>
        <w:t xml:space="preserve">If a patient has had a response, even if temporary, to </w:t>
      </w:r>
      <w:proofErr w:type="spellStart"/>
      <w:r w:rsidR="00697EA2" w:rsidRPr="006B24DA">
        <w:rPr>
          <w:rFonts w:ascii="Book Antiqua" w:eastAsia="Times New Roman" w:hAnsi="Book Antiqua" w:cs="Times New Roman"/>
          <w:bCs/>
          <w:color w:val="000000" w:themeColor="text1"/>
          <w:sz w:val="24"/>
          <w:szCs w:val="24"/>
        </w:rPr>
        <w:t>botox</w:t>
      </w:r>
      <w:proofErr w:type="spellEnd"/>
      <w:r w:rsidR="00697EA2" w:rsidRPr="006B24DA">
        <w:rPr>
          <w:rFonts w:ascii="Book Antiqua" w:eastAsia="Times New Roman" w:hAnsi="Book Antiqua" w:cs="Times New Roman"/>
          <w:bCs/>
          <w:color w:val="000000" w:themeColor="text1"/>
          <w:sz w:val="24"/>
          <w:szCs w:val="24"/>
        </w:rPr>
        <w:t xml:space="preserve"> injection to the pylorus, we consider this somewhat predictive of positive response to G-POEM. </w:t>
      </w:r>
    </w:p>
    <w:p w14:paraId="57CEB778" w14:textId="77777777" w:rsidR="00E20495" w:rsidRPr="006B24DA" w:rsidRDefault="00E20495" w:rsidP="007761C0">
      <w:pPr>
        <w:autoSpaceDE w:val="0"/>
        <w:autoSpaceDN w:val="0"/>
        <w:adjustRightInd w:val="0"/>
        <w:snapToGrid w:val="0"/>
        <w:spacing w:after="0" w:line="360" w:lineRule="auto"/>
        <w:jc w:val="both"/>
        <w:rPr>
          <w:rFonts w:ascii="Book Antiqua" w:eastAsia="Times New Roman" w:hAnsi="Book Antiqua" w:cs="Times New Roman"/>
          <w:bCs/>
          <w:color w:val="000000" w:themeColor="text1"/>
          <w:sz w:val="24"/>
          <w:szCs w:val="24"/>
        </w:rPr>
      </w:pPr>
    </w:p>
    <w:p w14:paraId="306149EA" w14:textId="34E88596" w:rsidR="00E20495" w:rsidRPr="006B24DA" w:rsidRDefault="00836B7F" w:rsidP="00F67887">
      <w:pPr>
        <w:autoSpaceDE w:val="0"/>
        <w:autoSpaceDN w:val="0"/>
        <w:adjustRightInd w:val="0"/>
        <w:snapToGrid w:val="0"/>
        <w:spacing w:after="0" w:line="360" w:lineRule="auto"/>
        <w:jc w:val="both"/>
        <w:outlineLvl w:val="0"/>
        <w:rPr>
          <w:rFonts w:ascii="Book Antiqua" w:eastAsia="Times New Roman" w:hAnsi="Book Antiqua" w:cs="Times New Roman"/>
          <w:b/>
          <w:bCs/>
          <w:color w:val="000000" w:themeColor="text1"/>
          <w:sz w:val="24"/>
          <w:szCs w:val="24"/>
        </w:rPr>
      </w:pPr>
      <w:r w:rsidRPr="006B24DA">
        <w:rPr>
          <w:rFonts w:ascii="Book Antiqua" w:eastAsia="Times New Roman" w:hAnsi="Book Antiqua" w:cs="Times New Roman"/>
          <w:b/>
          <w:bCs/>
          <w:color w:val="000000" w:themeColor="text1"/>
          <w:sz w:val="24"/>
          <w:szCs w:val="24"/>
        </w:rPr>
        <w:t>OBESITY</w:t>
      </w:r>
    </w:p>
    <w:p w14:paraId="5759A867" w14:textId="57E3FD00" w:rsidR="00836B7F" w:rsidRPr="006B24DA" w:rsidRDefault="00836B7F" w:rsidP="007761C0">
      <w:pPr>
        <w:autoSpaceDE w:val="0"/>
        <w:autoSpaceDN w:val="0"/>
        <w:adjustRightInd w:val="0"/>
        <w:snapToGrid w:val="0"/>
        <w:spacing w:after="0" w:line="360" w:lineRule="auto"/>
        <w:jc w:val="both"/>
        <w:rPr>
          <w:rFonts w:ascii="Book Antiqua" w:eastAsia="Times New Roman" w:hAnsi="Book Antiqua" w:cs="Times New Roman"/>
          <w:b/>
          <w:bCs/>
          <w:color w:val="000000" w:themeColor="text1"/>
          <w:sz w:val="24"/>
          <w:szCs w:val="24"/>
        </w:rPr>
      </w:pPr>
      <w:r w:rsidRPr="006B24DA">
        <w:rPr>
          <w:rFonts w:ascii="Book Antiqua" w:eastAsia="Times New Roman" w:hAnsi="Book Antiqua" w:cs="Times New Roman"/>
          <w:b/>
          <w:bCs/>
          <w:i/>
          <w:color w:val="000000" w:themeColor="text1"/>
          <w:sz w:val="24"/>
          <w:szCs w:val="24"/>
        </w:rPr>
        <w:t>Lessons learned</w:t>
      </w:r>
    </w:p>
    <w:p w14:paraId="1F5D6F40" w14:textId="123B4BF2" w:rsidR="00E20495" w:rsidRPr="006B24DA" w:rsidRDefault="00E20495" w:rsidP="007761C0">
      <w:pPr>
        <w:autoSpaceDE w:val="0"/>
        <w:autoSpaceDN w:val="0"/>
        <w:adjustRightInd w:val="0"/>
        <w:snapToGrid w:val="0"/>
        <w:spacing w:after="0" w:line="360" w:lineRule="auto"/>
        <w:jc w:val="both"/>
        <w:rPr>
          <w:rFonts w:ascii="Book Antiqua" w:eastAsia="Times New Roman" w:hAnsi="Book Antiqua" w:cs="Times New Roman"/>
          <w:bCs/>
          <w:color w:val="000000" w:themeColor="text1"/>
          <w:sz w:val="24"/>
          <w:szCs w:val="24"/>
        </w:rPr>
      </w:pPr>
      <w:r w:rsidRPr="006B24DA">
        <w:rPr>
          <w:rFonts w:ascii="Book Antiqua" w:eastAsia="Times New Roman" w:hAnsi="Book Antiqua" w:cs="Times New Roman"/>
          <w:bCs/>
          <w:color w:val="000000" w:themeColor="text1"/>
          <w:sz w:val="24"/>
          <w:szCs w:val="24"/>
        </w:rPr>
        <w:t>Obesity has become an epidemic is many western countries and is becoming more prevalent in Asia as well. Laparoscopic bariatric surgery with sleeve gastrectomy and Roux-n-y gastric by-pass are the standard of care options for patients with BMI &gt; 40 alone, or in patients with BMI</w:t>
      </w:r>
      <w:r w:rsidR="00836B7F"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&gt;</w:t>
      </w:r>
      <w:r w:rsidR="00836B7F"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35 and concurrent co-morbidity.</w:t>
      </w:r>
      <w:r w:rsidR="002A29F4"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However, for obese patients with BMI between 30 and 35 who don’t qualify for bariatric surgery, a growing number of endoscopic treatment options are now available, including intra-gastric </w:t>
      </w:r>
      <w:proofErr w:type="gramStart"/>
      <w:r w:rsidRPr="006B24DA">
        <w:rPr>
          <w:rFonts w:ascii="Book Antiqua" w:eastAsia="Times New Roman" w:hAnsi="Book Antiqua" w:cs="Times New Roman"/>
          <w:bCs/>
          <w:color w:val="000000" w:themeColor="text1"/>
          <w:sz w:val="24"/>
          <w:szCs w:val="24"/>
        </w:rPr>
        <w:t>balloons</w:t>
      </w:r>
      <w:r w:rsidRPr="006B24DA">
        <w:rPr>
          <w:rFonts w:ascii="Book Antiqua" w:eastAsia="Times New Roman" w:hAnsi="Book Antiqua" w:cs="Times New Roman"/>
          <w:bCs/>
          <w:noProof/>
          <w:color w:val="000000" w:themeColor="text1"/>
          <w:sz w:val="24"/>
          <w:szCs w:val="24"/>
          <w:vertAlign w:val="superscript"/>
        </w:rPr>
        <w:t>[</w:t>
      </w:r>
      <w:proofErr w:type="gramEnd"/>
      <w:r w:rsidRPr="006B24DA">
        <w:rPr>
          <w:rFonts w:ascii="Book Antiqua" w:eastAsia="Times New Roman" w:hAnsi="Book Antiqua" w:cs="Times New Roman"/>
          <w:bCs/>
          <w:noProof/>
          <w:color w:val="000000" w:themeColor="text1"/>
          <w:sz w:val="24"/>
          <w:szCs w:val="24"/>
          <w:vertAlign w:val="superscript"/>
        </w:rPr>
        <w:t>162-165]</w:t>
      </w:r>
      <w:r w:rsidRPr="006B24DA">
        <w:rPr>
          <w:rFonts w:ascii="Book Antiqua" w:eastAsia="Times New Roman" w:hAnsi="Book Antiqua" w:cs="Times New Roman"/>
          <w:bCs/>
          <w:color w:val="000000" w:themeColor="text1"/>
          <w:sz w:val="24"/>
          <w:szCs w:val="24"/>
        </w:rPr>
        <w:t>.</w:t>
      </w:r>
      <w:r w:rsidR="002A29F4"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Among the endoscopic bariatric devices and procedures that I offer my patients, most will choose the </w:t>
      </w:r>
      <w:bookmarkStart w:id="86" w:name="OLE_LINK101"/>
      <w:bookmarkStart w:id="87" w:name="OLE_LINK102"/>
      <w:r w:rsidRPr="006B24DA">
        <w:rPr>
          <w:rFonts w:ascii="Book Antiqua" w:eastAsia="Times New Roman" w:hAnsi="Book Antiqua" w:cs="Times New Roman"/>
          <w:bCs/>
          <w:color w:val="000000" w:themeColor="text1"/>
          <w:sz w:val="24"/>
          <w:szCs w:val="24"/>
        </w:rPr>
        <w:t xml:space="preserve">endoscopic sleeve </w:t>
      </w:r>
      <w:proofErr w:type="spellStart"/>
      <w:r w:rsidRPr="006B24DA">
        <w:rPr>
          <w:rFonts w:ascii="Book Antiqua" w:eastAsia="Times New Roman" w:hAnsi="Book Antiqua" w:cs="Times New Roman"/>
          <w:bCs/>
          <w:color w:val="000000" w:themeColor="text1"/>
          <w:sz w:val="24"/>
          <w:szCs w:val="24"/>
        </w:rPr>
        <w:t>gastroplasty</w:t>
      </w:r>
      <w:bookmarkEnd w:id="86"/>
      <w:bookmarkEnd w:id="87"/>
      <w:proofErr w:type="spellEnd"/>
      <w:r w:rsidRPr="006B24DA">
        <w:rPr>
          <w:rFonts w:ascii="Book Antiqua" w:eastAsia="Times New Roman" w:hAnsi="Book Antiqua" w:cs="Times New Roman"/>
          <w:bCs/>
          <w:color w:val="000000" w:themeColor="text1"/>
          <w:sz w:val="24"/>
          <w:szCs w:val="24"/>
        </w:rPr>
        <w:t xml:space="preserve"> (ESG), which I believe is currently the most effective endoscopic option.</w:t>
      </w:r>
      <w:r w:rsidR="002A29F4"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This procedure falls squarely in the paradigm of endoscopic foregut surgery. A recent large international multicenter study of 112 consecutive patients with baseline BMI 37.9 ± 6.7 kg/m</w:t>
      </w:r>
      <w:r w:rsidRPr="006B24DA">
        <w:rPr>
          <w:rFonts w:ascii="Book Antiqua" w:eastAsia="Times New Roman" w:hAnsi="Book Antiqua" w:cs="Times New Roman"/>
          <w:bCs/>
          <w:color w:val="000000" w:themeColor="text1"/>
          <w:sz w:val="24"/>
          <w:szCs w:val="24"/>
          <w:vertAlign w:val="superscript"/>
        </w:rPr>
        <w:t>2</w:t>
      </w:r>
      <w:r w:rsidRPr="006B24DA">
        <w:rPr>
          <w:rFonts w:ascii="Book Antiqua" w:eastAsia="Times New Roman" w:hAnsi="Book Antiqua" w:cs="Times New Roman"/>
          <w:bCs/>
          <w:color w:val="000000" w:themeColor="text1"/>
          <w:sz w:val="24"/>
          <w:szCs w:val="24"/>
        </w:rPr>
        <w:t xml:space="preserve"> underwent </w:t>
      </w:r>
      <w:proofErr w:type="gramStart"/>
      <w:r w:rsidRPr="006B24DA">
        <w:rPr>
          <w:rFonts w:ascii="Book Antiqua" w:eastAsia="Times New Roman" w:hAnsi="Book Antiqua" w:cs="Times New Roman"/>
          <w:bCs/>
          <w:color w:val="000000" w:themeColor="text1"/>
          <w:sz w:val="24"/>
          <w:szCs w:val="24"/>
        </w:rPr>
        <w:t>ESG</w:t>
      </w:r>
      <w:r w:rsidRPr="006B24DA">
        <w:rPr>
          <w:rFonts w:ascii="Book Antiqua" w:eastAsia="Times New Roman" w:hAnsi="Book Antiqua" w:cs="Times New Roman"/>
          <w:bCs/>
          <w:noProof/>
          <w:color w:val="000000" w:themeColor="text1"/>
          <w:sz w:val="24"/>
          <w:szCs w:val="24"/>
          <w:vertAlign w:val="superscript"/>
        </w:rPr>
        <w:t>[</w:t>
      </w:r>
      <w:proofErr w:type="gramEnd"/>
      <w:r w:rsidRPr="006B24DA">
        <w:rPr>
          <w:rFonts w:ascii="Book Antiqua" w:eastAsia="Times New Roman" w:hAnsi="Book Antiqua" w:cs="Times New Roman"/>
          <w:bCs/>
          <w:noProof/>
          <w:color w:val="000000" w:themeColor="text1"/>
          <w:sz w:val="24"/>
          <w:szCs w:val="24"/>
          <w:vertAlign w:val="superscript"/>
        </w:rPr>
        <w:t>166]</w:t>
      </w:r>
      <w:r w:rsidRPr="006B24DA">
        <w:rPr>
          <w:rFonts w:ascii="Book Antiqua" w:eastAsia="Times New Roman" w:hAnsi="Book Antiqua" w:cs="Times New Roman"/>
          <w:bCs/>
          <w:color w:val="000000" w:themeColor="text1"/>
          <w:sz w:val="24"/>
          <w:szCs w:val="24"/>
        </w:rPr>
        <w:t xml:space="preserve">. At 1, 3, and 6 </w:t>
      </w:r>
      <w:proofErr w:type="spellStart"/>
      <w:r w:rsidR="00A00023">
        <w:rPr>
          <w:rFonts w:ascii="Book Antiqua" w:eastAsia="Times New Roman" w:hAnsi="Book Antiqua" w:cs="Times New Roman"/>
          <w:bCs/>
          <w:color w:val="000000" w:themeColor="text1"/>
          <w:sz w:val="24"/>
          <w:szCs w:val="24"/>
        </w:rPr>
        <w:t>mo</w:t>
      </w:r>
      <w:proofErr w:type="spellEnd"/>
      <w:r w:rsidRPr="006B24DA">
        <w:rPr>
          <w:rFonts w:ascii="Book Antiqua" w:eastAsia="Times New Roman" w:hAnsi="Book Antiqua" w:cs="Times New Roman"/>
          <w:bCs/>
          <w:color w:val="000000" w:themeColor="text1"/>
          <w:sz w:val="24"/>
          <w:szCs w:val="24"/>
        </w:rPr>
        <w:t xml:space="preserve">, </w:t>
      </w:r>
      <w:proofErr w:type="spellStart"/>
      <w:r w:rsidRPr="006B24DA">
        <w:rPr>
          <w:rFonts w:ascii="Book Antiqua" w:eastAsia="Times New Roman" w:hAnsi="Book Antiqua" w:cs="Times New Roman"/>
          <w:bCs/>
          <w:color w:val="000000" w:themeColor="text1"/>
          <w:sz w:val="24"/>
          <w:szCs w:val="24"/>
        </w:rPr>
        <w:t>Δweight</w:t>
      </w:r>
      <w:proofErr w:type="spellEnd"/>
      <w:r w:rsidRPr="006B24DA">
        <w:rPr>
          <w:rFonts w:ascii="Book Antiqua" w:eastAsia="Times New Roman" w:hAnsi="Book Antiqua" w:cs="Times New Roman"/>
          <w:bCs/>
          <w:color w:val="000000" w:themeColor="text1"/>
          <w:sz w:val="24"/>
          <w:szCs w:val="24"/>
        </w:rPr>
        <w:t xml:space="preserve"> was 9.0 ± 4.6 kg (</w:t>
      </w:r>
      <w:r w:rsidR="00396967" w:rsidRPr="006B24DA">
        <w:rPr>
          <w:rFonts w:ascii="Book Antiqua" w:eastAsia="Times New Roman" w:hAnsi="Book Antiqua" w:cs="Times New Roman"/>
          <w:bCs/>
          <w:color w:val="000000" w:themeColor="text1"/>
          <w:sz w:val="24"/>
          <w:szCs w:val="24"/>
        </w:rPr>
        <w:t xml:space="preserve">Total Body Weight Loss - </w:t>
      </w:r>
      <w:r w:rsidRPr="006B24DA">
        <w:rPr>
          <w:rFonts w:ascii="Book Antiqua" w:eastAsia="Times New Roman" w:hAnsi="Book Antiqua" w:cs="Times New Roman"/>
          <w:bCs/>
          <w:color w:val="000000" w:themeColor="text1"/>
          <w:sz w:val="24"/>
          <w:szCs w:val="24"/>
        </w:rPr>
        <w:t>TBWL 8.4</w:t>
      </w:r>
      <w:r w:rsidR="00836B7F" w:rsidRPr="006B24DA">
        <w:rPr>
          <w:rFonts w:ascii="Book Antiqua" w:eastAsia="Times New Roman" w:hAnsi="Book Antiqua" w:cs="Times New Roman"/>
          <w:bCs/>
          <w:color w:val="000000" w:themeColor="text1"/>
          <w:sz w:val="24"/>
          <w:szCs w:val="24"/>
        </w:rPr>
        <w:t>%</w:t>
      </w:r>
      <w:r w:rsidRPr="006B24DA">
        <w:rPr>
          <w:rFonts w:ascii="Book Antiqua" w:eastAsia="Times New Roman" w:hAnsi="Book Antiqua" w:cs="Times New Roman"/>
          <w:bCs/>
          <w:color w:val="000000" w:themeColor="text1"/>
          <w:sz w:val="24"/>
          <w:szCs w:val="24"/>
        </w:rPr>
        <w:t xml:space="preserve"> ± 4.1%), 12.9 ± 6.4 kg (TBWL 11.9</w:t>
      </w:r>
      <w:r w:rsidR="00836B7F" w:rsidRPr="006B24DA">
        <w:rPr>
          <w:rFonts w:ascii="Book Antiqua" w:eastAsia="Times New Roman" w:hAnsi="Book Antiqua" w:cs="Times New Roman"/>
          <w:bCs/>
          <w:color w:val="000000" w:themeColor="text1"/>
          <w:sz w:val="24"/>
          <w:szCs w:val="24"/>
        </w:rPr>
        <w:t>%</w:t>
      </w:r>
      <w:r w:rsidRPr="006B24DA">
        <w:rPr>
          <w:rFonts w:ascii="Book Antiqua" w:eastAsia="Times New Roman" w:hAnsi="Book Antiqua" w:cs="Times New Roman"/>
          <w:bCs/>
          <w:color w:val="000000" w:themeColor="text1"/>
          <w:sz w:val="24"/>
          <w:szCs w:val="24"/>
        </w:rPr>
        <w:t xml:space="preserve"> ± 4.5%), and 16.4 ± 10.7 kg (TBWL 14.9</w:t>
      </w:r>
      <w:r w:rsidR="00836B7F" w:rsidRPr="006B24DA">
        <w:rPr>
          <w:rFonts w:ascii="Book Antiqua" w:eastAsia="Times New Roman" w:hAnsi="Book Antiqua" w:cs="Times New Roman"/>
          <w:bCs/>
          <w:color w:val="000000" w:themeColor="text1"/>
          <w:sz w:val="24"/>
          <w:szCs w:val="24"/>
        </w:rPr>
        <w:t>%</w:t>
      </w:r>
      <w:r w:rsidRPr="006B24DA">
        <w:rPr>
          <w:rFonts w:ascii="Book Antiqua" w:eastAsia="Times New Roman" w:hAnsi="Book Antiqua" w:cs="Times New Roman"/>
          <w:bCs/>
          <w:color w:val="000000" w:themeColor="text1"/>
          <w:sz w:val="24"/>
          <w:szCs w:val="24"/>
        </w:rPr>
        <w:t xml:space="preserve"> ± 6.1%), respectively. Three (2.7%) severe adverse events were observed. Another multicenter study with 248 patients showed rob</w:t>
      </w:r>
      <w:r w:rsidR="00836B7F" w:rsidRPr="006B24DA">
        <w:rPr>
          <w:rFonts w:ascii="Book Antiqua" w:eastAsia="Times New Roman" w:hAnsi="Book Antiqua" w:cs="Times New Roman"/>
          <w:bCs/>
          <w:color w:val="000000" w:themeColor="text1"/>
          <w:sz w:val="24"/>
          <w:szCs w:val="24"/>
        </w:rPr>
        <w:t>ust clinical outcomes with a 24-</w:t>
      </w:r>
      <w:r w:rsidRPr="006B24DA">
        <w:rPr>
          <w:rFonts w:ascii="Book Antiqua" w:eastAsia="Times New Roman" w:hAnsi="Book Antiqua" w:cs="Times New Roman"/>
          <w:bCs/>
          <w:color w:val="000000" w:themeColor="text1"/>
          <w:sz w:val="24"/>
          <w:szCs w:val="24"/>
        </w:rPr>
        <w:t>mo</w:t>
      </w:r>
      <w:r w:rsidR="00396967" w:rsidRPr="006B24DA">
        <w:rPr>
          <w:rFonts w:ascii="Book Antiqua" w:eastAsia="Times New Roman" w:hAnsi="Book Antiqua" w:cs="Times New Roman"/>
          <w:bCs/>
          <w:color w:val="000000" w:themeColor="text1"/>
          <w:sz w:val="24"/>
          <w:szCs w:val="24"/>
        </w:rPr>
        <w:t>nth</w:t>
      </w:r>
      <w:r w:rsidR="00836B7F"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follow-</w:t>
      </w:r>
      <w:proofErr w:type="gramStart"/>
      <w:r w:rsidRPr="006B24DA">
        <w:rPr>
          <w:rFonts w:ascii="Book Antiqua" w:eastAsia="Times New Roman" w:hAnsi="Book Antiqua" w:cs="Times New Roman"/>
          <w:bCs/>
          <w:color w:val="000000" w:themeColor="text1"/>
          <w:sz w:val="24"/>
          <w:szCs w:val="24"/>
        </w:rPr>
        <w:t>up</w:t>
      </w:r>
      <w:r w:rsidRPr="006B24DA">
        <w:rPr>
          <w:rFonts w:ascii="Book Antiqua" w:eastAsia="Times New Roman" w:hAnsi="Book Antiqua" w:cs="Times New Roman"/>
          <w:bCs/>
          <w:noProof/>
          <w:color w:val="000000" w:themeColor="text1"/>
          <w:sz w:val="24"/>
          <w:szCs w:val="24"/>
          <w:vertAlign w:val="superscript"/>
        </w:rPr>
        <w:t>[</w:t>
      </w:r>
      <w:proofErr w:type="gramEnd"/>
      <w:r w:rsidRPr="006B24DA">
        <w:rPr>
          <w:rFonts w:ascii="Book Antiqua" w:eastAsia="Times New Roman" w:hAnsi="Book Antiqua" w:cs="Times New Roman"/>
          <w:bCs/>
          <w:noProof/>
          <w:color w:val="000000" w:themeColor="text1"/>
          <w:sz w:val="24"/>
          <w:szCs w:val="24"/>
          <w:vertAlign w:val="superscript"/>
        </w:rPr>
        <w:t>167]</w:t>
      </w:r>
      <w:r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lastRenderedPageBreak/>
        <w:t>Baseline BMI was 37.8 ± 5.6 kg/m</w:t>
      </w:r>
      <w:r w:rsidRPr="006B24DA">
        <w:rPr>
          <w:rFonts w:ascii="Book Antiqua" w:eastAsia="Times New Roman" w:hAnsi="Book Antiqua" w:cs="Times New Roman"/>
          <w:bCs/>
          <w:color w:val="000000" w:themeColor="text1"/>
          <w:sz w:val="24"/>
          <w:szCs w:val="24"/>
          <w:vertAlign w:val="superscript"/>
        </w:rPr>
        <w:t>2</w:t>
      </w:r>
      <w:r w:rsidRPr="006B24DA">
        <w:rPr>
          <w:rFonts w:ascii="Book Antiqua" w:eastAsia="Times New Roman" w:hAnsi="Book Antiqua" w:cs="Times New Roman"/>
          <w:bCs/>
          <w:color w:val="000000" w:themeColor="text1"/>
          <w:sz w:val="24"/>
          <w:szCs w:val="24"/>
        </w:rPr>
        <w:t xml:space="preserve">. At 6 and 24 </w:t>
      </w:r>
      <w:proofErr w:type="spellStart"/>
      <w:r w:rsidR="00A00023">
        <w:rPr>
          <w:rFonts w:ascii="Book Antiqua" w:eastAsia="Times New Roman" w:hAnsi="Book Antiqua" w:cs="Times New Roman"/>
          <w:bCs/>
          <w:color w:val="000000" w:themeColor="text1"/>
          <w:sz w:val="24"/>
          <w:szCs w:val="24"/>
        </w:rPr>
        <w:t>mo</w:t>
      </w:r>
      <w:proofErr w:type="spellEnd"/>
      <w:r w:rsidR="00836B7F" w:rsidRPr="006B24DA">
        <w:rPr>
          <w:rFonts w:ascii="Book Antiqua" w:eastAsia="Times New Roman" w:hAnsi="Book Antiqua" w:cs="Times New Roman"/>
          <w:bCs/>
          <w:color w:val="000000" w:themeColor="text1"/>
          <w:sz w:val="24"/>
          <w:szCs w:val="24"/>
        </w:rPr>
        <w:t>, %TBWL was 15.2 (</w:t>
      </w:r>
      <w:r w:rsidRPr="006B24DA">
        <w:rPr>
          <w:rFonts w:ascii="Book Antiqua" w:eastAsia="Times New Roman" w:hAnsi="Book Antiqua" w:cs="Times New Roman"/>
          <w:bCs/>
          <w:color w:val="000000" w:themeColor="text1"/>
          <w:sz w:val="24"/>
          <w:szCs w:val="24"/>
        </w:rPr>
        <w:t>95%CI</w:t>
      </w:r>
      <w:r w:rsidR="00836B7F" w:rsidRPr="006B24DA">
        <w:rPr>
          <w:rFonts w:ascii="Book Antiqua" w:eastAsia="Times New Roman" w:hAnsi="Book Antiqua" w:cs="Times New Roman"/>
          <w:bCs/>
          <w:color w:val="000000" w:themeColor="text1"/>
          <w:sz w:val="24"/>
          <w:szCs w:val="24"/>
        </w:rPr>
        <w:t>:</w:t>
      </w:r>
      <w:r w:rsidRPr="006B24DA">
        <w:rPr>
          <w:rFonts w:ascii="Book Antiqua" w:eastAsia="Times New Roman" w:hAnsi="Book Antiqua" w:cs="Times New Roman"/>
          <w:bCs/>
          <w:color w:val="000000" w:themeColor="text1"/>
          <w:sz w:val="24"/>
          <w:szCs w:val="24"/>
        </w:rPr>
        <w:t xml:space="preserve"> 14.2</w:t>
      </w:r>
      <w:r w:rsidR="00966E42" w:rsidRPr="006B24DA">
        <w:rPr>
          <w:rFonts w:ascii="Book Antiqua" w:eastAsia="Times New Roman" w:hAnsi="Book Antiqua" w:cs="Times New Roman"/>
          <w:bCs/>
          <w:color w:val="000000" w:themeColor="text1"/>
          <w:sz w:val="24"/>
          <w:szCs w:val="24"/>
        </w:rPr>
        <w:t>-</w:t>
      </w:r>
      <w:r w:rsidRPr="006B24DA">
        <w:rPr>
          <w:rFonts w:ascii="Book Antiqua" w:eastAsia="Times New Roman" w:hAnsi="Book Antiqua" w:cs="Times New Roman"/>
          <w:bCs/>
          <w:color w:val="000000" w:themeColor="text1"/>
          <w:sz w:val="24"/>
          <w:szCs w:val="24"/>
        </w:rPr>
        <w:t>16.3</w:t>
      </w:r>
      <w:r w:rsidR="00836B7F" w:rsidRPr="006B24DA">
        <w:rPr>
          <w:rFonts w:ascii="Book Antiqua" w:eastAsia="Times New Roman" w:hAnsi="Book Antiqua" w:cs="Times New Roman"/>
          <w:bCs/>
          <w:color w:val="000000" w:themeColor="text1"/>
          <w:sz w:val="24"/>
          <w:szCs w:val="24"/>
        </w:rPr>
        <w:t>) and 18.6 (</w:t>
      </w:r>
      <w:r w:rsidRPr="006B24DA">
        <w:rPr>
          <w:rFonts w:ascii="Book Antiqua" w:eastAsia="Times New Roman" w:hAnsi="Book Antiqua" w:cs="Times New Roman"/>
          <w:bCs/>
          <w:color w:val="000000" w:themeColor="text1"/>
          <w:sz w:val="24"/>
          <w:szCs w:val="24"/>
        </w:rPr>
        <w:t>15.7</w:t>
      </w:r>
      <w:r w:rsidR="00966E42" w:rsidRPr="006B24DA">
        <w:rPr>
          <w:rFonts w:ascii="Book Antiqua" w:eastAsia="Times New Roman" w:hAnsi="Book Antiqua" w:cs="Times New Roman"/>
          <w:bCs/>
          <w:color w:val="000000" w:themeColor="text1"/>
          <w:sz w:val="24"/>
          <w:szCs w:val="24"/>
        </w:rPr>
        <w:t>-</w:t>
      </w:r>
      <w:r w:rsidR="00836B7F" w:rsidRPr="006B24DA">
        <w:rPr>
          <w:rFonts w:ascii="Book Antiqua" w:eastAsia="Times New Roman" w:hAnsi="Book Antiqua" w:cs="Times New Roman"/>
          <w:bCs/>
          <w:color w:val="000000" w:themeColor="text1"/>
          <w:sz w:val="24"/>
          <w:szCs w:val="24"/>
        </w:rPr>
        <w:t>21.5)</w:t>
      </w:r>
      <w:r w:rsidRPr="006B24DA">
        <w:rPr>
          <w:rFonts w:ascii="Book Antiqua" w:eastAsia="Times New Roman" w:hAnsi="Book Antiqua" w:cs="Times New Roman"/>
          <w:bCs/>
          <w:color w:val="000000" w:themeColor="text1"/>
          <w:sz w:val="24"/>
          <w:szCs w:val="24"/>
        </w:rPr>
        <w:t xml:space="preserve">, respectively. At 24 </w:t>
      </w:r>
      <w:proofErr w:type="spellStart"/>
      <w:proofErr w:type="gramStart"/>
      <w:r w:rsidR="00A00023">
        <w:rPr>
          <w:rFonts w:ascii="Book Antiqua" w:eastAsia="Times New Roman" w:hAnsi="Book Antiqua" w:cs="Times New Roman"/>
          <w:bCs/>
          <w:color w:val="000000" w:themeColor="text1"/>
          <w:sz w:val="24"/>
          <w:szCs w:val="24"/>
        </w:rPr>
        <w:t>mo</w:t>
      </w:r>
      <w:proofErr w:type="spellEnd"/>
      <w:proofErr w:type="gramEnd"/>
      <w:r w:rsidRPr="006B24DA">
        <w:rPr>
          <w:rFonts w:ascii="Book Antiqua" w:eastAsia="Times New Roman" w:hAnsi="Book Antiqua" w:cs="Times New Roman"/>
          <w:bCs/>
          <w:color w:val="000000" w:themeColor="text1"/>
          <w:sz w:val="24"/>
          <w:szCs w:val="24"/>
        </w:rPr>
        <w:t>,</w:t>
      </w:r>
      <w:r w:rsidRPr="006B24DA">
        <w:rPr>
          <w:rFonts w:ascii="Book Antiqua" w:hAnsi="Book Antiqua"/>
          <w:color w:val="000000" w:themeColor="text1"/>
          <w:sz w:val="24"/>
          <w:szCs w:val="24"/>
        </w:rPr>
        <w:t xml:space="preserve"> </w:t>
      </w:r>
      <w:r w:rsidRPr="006B24DA">
        <w:rPr>
          <w:rFonts w:ascii="Book Antiqua" w:eastAsia="Times New Roman" w:hAnsi="Book Antiqua" w:cs="Times New Roman"/>
          <w:bCs/>
          <w:color w:val="000000" w:themeColor="text1"/>
          <w:sz w:val="24"/>
          <w:szCs w:val="24"/>
        </w:rPr>
        <w:t>% of patients achieving ≥</w:t>
      </w:r>
      <w:r w:rsidR="00836B7F"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10% TBWL was 84.2 and 53% with PP and ITT analyses, respectively. On multivariable linear regression analysis, only %TBWL at 6 </w:t>
      </w:r>
      <w:proofErr w:type="spellStart"/>
      <w:r w:rsidR="00A00023">
        <w:rPr>
          <w:rFonts w:ascii="Book Antiqua" w:eastAsia="Times New Roman" w:hAnsi="Book Antiqua" w:cs="Times New Roman"/>
          <w:bCs/>
          <w:color w:val="000000" w:themeColor="text1"/>
          <w:sz w:val="24"/>
          <w:szCs w:val="24"/>
        </w:rPr>
        <w:t>mo</w:t>
      </w:r>
      <w:proofErr w:type="spellEnd"/>
      <w:r w:rsidRPr="006B24DA">
        <w:rPr>
          <w:rFonts w:ascii="Book Antiqua" w:eastAsia="Times New Roman" w:hAnsi="Book Antiqua" w:cs="Times New Roman"/>
          <w:bCs/>
          <w:color w:val="000000" w:themeColor="text1"/>
          <w:sz w:val="24"/>
          <w:szCs w:val="24"/>
        </w:rPr>
        <w:t xml:space="preserve"> strongly predicted %TBWL at 24 </w:t>
      </w:r>
      <w:proofErr w:type="spellStart"/>
      <w:r w:rsidRPr="006B24DA">
        <w:rPr>
          <w:rFonts w:ascii="Book Antiqua" w:eastAsia="Times New Roman" w:hAnsi="Book Antiqua" w:cs="Times New Roman"/>
          <w:bCs/>
          <w:color w:val="000000" w:themeColor="text1"/>
          <w:sz w:val="24"/>
          <w:szCs w:val="24"/>
        </w:rPr>
        <w:t>mo</w:t>
      </w:r>
      <w:proofErr w:type="spellEnd"/>
      <w:r w:rsidRPr="006B24DA">
        <w:rPr>
          <w:rFonts w:ascii="Book Antiqua" w:eastAsia="Times New Roman" w:hAnsi="Book Antiqua" w:cs="Times New Roman"/>
          <w:bCs/>
          <w:color w:val="000000" w:themeColor="text1"/>
          <w:sz w:val="24"/>
          <w:szCs w:val="24"/>
        </w:rPr>
        <w:t xml:space="preserve"> (adjusted for age, gender, and baseline BMI, β = 1.21, </w:t>
      </w:r>
      <w:r w:rsidR="00836B7F" w:rsidRPr="006B24DA">
        <w:rPr>
          <w:rFonts w:ascii="Book Antiqua" w:eastAsia="Times New Roman" w:hAnsi="Book Antiqua" w:cs="Times New Roman"/>
          <w:bCs/>
          <w:i/>
          <w:color w:val="000000" w:themeColor="text1"/>
          <w:sz w:val="24"/>
          <w:szCs w:val="24"/>
        </w:rPr>
        <w:t>P</w:t>
      </w:r>
      <w:r w:rsidRPr="006B24DA">
        <w:rPr>
          <w:rFonts w:ascii="Book Antiqua" w:eastAsia="Times New Roman" w:hAnsi="Book Antiqua" w:cs="Times New Roman"/>
          <w:bCs/>
          <w:color w:val="000000" w:themeColor="text1"/>
          <w:sz w:val="24"/>
          <w:szCs w:val="24"/>
        </w:rPr>
        <w:t xml:space="preserve"> &lt; 0.001). This is in contrast to %TBWL of 20-30 in patients who undergo bariatric surgery and about 10% TBWL for intra-gastric </w:t>
      </w:r>
      <w:proofErr w:type="gramStart"/>
      <w:r w:rsidRPr="006B24DA">
        <w:rPr>
          <w:rFonts w:ascii="Book Antiqua" w:eastAsia="Times New Roman" w:hAnsi="Book Antiqua" w:cs="Times New Roman"/>
          <w:bCs/>
          <w:color w:val="000000" w:themeColor="text1"/>
          <w:sz w:val="24"/>
          <w:szCs w:val="24"/>
        </w:rPr>
        <w:t>balloons</w:t>
      </w:r>
      <w:r w:rsidRPr="006B24DA">
        <w:rPr>
          <w:rFonts w:ascii="Book Antiqua" w:eastAsia="Times New Roman" w:hAnsi="Book Antiqua" w:cs="Times New Roman"/>
          <w:bCs/>
          <w:noProof/>
          <w:color w:val="000000" w:themeColor="text1"/>
          <w:sz w:val="24"/>
          <w:szCs w:val="24"/>
          <w:vertAlign w:val="superscript"/>
        </w:rPr>
        <w:t>[</w:t>
      </w:r>
      <w:proofErr w:type="gramEnd"/>
      <w:r w:rsidRPr="006B24DA">
        <w:rPr>
          <w:rFonts w:ascii="Book Antiqua" w:eastAsia="Times New Roman" w:hAnsi="Book Antiqua" w:cs="Times New Roman"/>
          <w:bCs/>
          <w:noProof/>
          <w:color w:val="000000" w:themeColor="text1"/>
          <w:sz w:val="24"/>
          <w:szCs w:val="24"/>
          <w:vertAlign w:val="superscript"/>
        </w:rPr>
        <w:t>167]</w:t>
      </w:r>
      <w:r w:rsidRPr="006B24DA">
        <w:rPr>
          <w:rFonts w:ascii="Book Antiqua" w:eastAsia="Times New Roman" w:hAnsi="Book Antiqua" w:cs="Times New Roman"/>
          <w:bCs/>
          <w:color w:val="000000" w:themeColor="text1"/>
          <w:sz w:val="24"/>
          <w:szCs w:val="24"/>
        </w:rPr>
        <w:t xml:space="preserve">. Moreover, intra-gastric balloons are all removed after 6 </w:t>
      </w:r>
      <w:proofErr w:type="spellStart"/>
      <w:r w:rsidRPr="006B24DA">
        <w:rPr>
          <w:rFonts w:ascii="Book Antiqua" w:eastAsia="Times New Roman" w:hAnsi="Book Antiqua" w:cs="Times New Roman"/>
          <w:bCs/>
          <w:color w:val="000000" w:themeColor="text1"/>
          <w:sz w:val="24"/>
          <w:szCs w:val="24"/>
        </w:rPr>
        <w:t>mo</w:t>
      </w:r>
      <w:proofErr w:type="spellEnd"/>
      <w:r w:rsidRPr="006B24DA">
        <w:rPr>
          <w:rFonts w:ascii="Book Antiqua" w:eastAsia="Times New Roman" w:hAnsi="Book Antiqua" w:cs="Times New Roman"/>
          <w:bCs/>
          <w:color w:val="000000" w:themeColor="text1"/>
          <w:sz w:val="24"/>
          <w:szCs w:val="24"/>
        </w:rPr>
        <w:t xml:space="preserve">, and only 2/3 of the weight loss is </w:t>
      </w:r>
      <w:r w:rsidR="000C6E86" w:rsidRPr="006B24DA">
        <w:rPr>
          <w:rFonts w:ascii="Book Antiqua" w:eastAsia="Times New Roman" w:hAnsi="Book Antiqua" w:cs="Times New Roman"/>
          <w:bCs/>
          <w:color w:val="000000" w:themeColor="text1"/>
          <w:sz w:val="24"/>
          <w:szCs w:val="24"/>
        </w:rPr>
        <w:t>sustain</w:t>
      </w:r>
      <w:r w:rsidRPr="006B24DA">
        <w:rPr>
          <w:rFonts w:ascii="Book Antiqua" w:eastAsia="Times New Roman" w:hAnsi="Book Antiqua" w:cs="Times New Roman"/>
          <w:bCs/>
          <w:color w:val="000000" w:themeColor="text1"/>
          <w:sz w:val="24"/>
          <w:szCs w:val="24"/>
        </w:rPr>
        <w:t xml:space="preserve">ed at 1 </w:t>
      </w:r>
      <w:proofErr w:type="gramStart"/>
      <w:r w:rsidRPr="006B24DA">
        <w:rPr>
          <w:rFonts w:ascii="Book Antiqua" w:eastAsia="Times New Roman" w:hAnsi="Book Antiqua" w:cs="Times New Roman"/>
          <w:bCs/>
          <w:color w:val="000000" w:themeColor="text1"/>
          <w:sz w:val="24"/>
          <w:szCs w:val="24"/>
        </w:rPr>
        <w:t>year</w:t>
      </w:r>
      <w:r w:rsidRPr="006B24DA">
        <w:rPr>
          <w:rFonts w:ascii="Book Antiqua" w:eastAsia="Times New Roman" w:hAnsi="Book Antiqua" w:cs="Times New Roman"/>
          <w:bCs/>
          <w:noProof/>
          <w:color w:val="000000" w:themeColor="text1"/>
          <w:sz w:val="24"/>
          <w:szCs w:val="24"/>
          <w:vertAlign w:val="superscript"/>
        </w:rPr>
        <w:t>[</w:t>
      </w:r>
      <w:proofErr w:type="gramEnd"/>
      <w:r w:rsidRPr="006B24DA">
        <w:rPr>
          <w:rFonts w:ascii="Book Antiqua" w:eastAsia="Times New Roman" w:hAnsi="Book Antiqua" w:cs="Times New Roman"/>
          <w:bCs/>
          <w:noProof/>
          <w:color w:val="000000" w:themeColor="text1"/>
          <w:sz w:val="24"/>
          <w:szCs w:val="24"/>
          <w:vertAlign w:val="superscript"/>
        </w:rPr>
        <w:t>168]</w:t>
      </w:r>
      <w:r w:rsidRPr="006B24DA">
        <w:rPr>
          <w:rFonts w:ascii="Book Antiqua" w:eastAsia="Times New Roman" w:hAnsi="Book Antiqua" w:cs="Times New Roman"/>
          <w:bCs/>
          <w:color w:val="000000" w:themeColor="text1"/>
          <w:sz w:val="24"/>
          <w:szCs w:val="24"/>
        </w:rPr>
        <w:t>.</w:t>
      </w:r>
      <w:r w:rsidR="002A29F4"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Thus, I explain to my patients that they can expect to lose approximately 35-50 </w:t>
      </w:r>
      <w:r w:rsidR="006C2E2F" w:rsidRPr="006B24DA">
        <w:rPr>
          <w:rFonts w:ascii="Book Antiqua" w:eastAsia="Times New Roman" w:hAnsi="Book Antiqua" w:cs="Times New Roman"/>
          <w:bCs/>
          <w:color w:val="000000" w:themeColor="text1"/>
          <w:sz w:val="24"/>
          <w:szCs w:val="24"/>
        </w:rPr>
        <w:t>pounds</w:t>
      </w:r>
      <w:r w:rsidRPr="006B24DA">
        <w:rPr>
          <w:rFonts w:ascii="Book Antiqua" w:eastAsia="Times New Roman" w:hAnsi="Book Antiqua" w:cs="Times New Roman"/>
          <w:bCs/>
          <w:color w:val="000000" w:themeColor="text1"/>
          <w:sz w:val="24"/>
          <w:szCs w:val="24"/>
        </w:rPr>
        <w:t xml:space="preserve"> with the procedure, and if they are successful at 6 </w:t>
      </w:r>
      <w:proofErr w:type="spellStart"/>
      <w:proofErr w:type="gramStart"/>
      <w:r w:rsidR="00A00023">
        <w:rPr>
          <w:rFonts w:ascii="Book Antiqua" w:eastAsia="Times New Roman" w:hAnsi="Book Antiqua" w:cs="Times New Roman"/>
          <w:bCs/>
          <w:color w:val="000000" w:themeColor="text1"/>
          <w:sz w:val="24"/>
          <w:szCs w:val="24"/>
        </w:rPr>
        <w:t>mo</w:t>
      </w:r>
      <w:proofErr w:type="spellEnd"/>
      <w:proofErr w:type="gramEnd"/>
      <w:r w:rsidRPr="006B24DA">
        <w:rPr>
          <w:rFonts w:ascii="Book Antiqua" w:eastAsia="Times New Roman" w:hAnsi="Book Antiqua" w:cs="Times New Roman"/>
          <w:bCs/>
          <w:color w:val="000000" w:themeColor="text1"/>
          <w:sz w:val="24"/>
          <w:szCs w:val="24"/>
        </w:rPr>
        <w:t>, they can also expect to maintain or lose more weight out to 2 years.</w:t>
      </w:r>
      <w:r w:rsidR="002A29F4"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In some select cases, I have performed ESG “touch-up” or revisions after 6 </w:t>
      </w:r>
      <w:proofErr w:type="spellStart"/>
      <w:proofErr w:type="gramStart"/>
      <w:r w:rsidR="00A00023">
        <w:rPr>
          <w:rFonts w:ascii="Book Antiqua" w:eastAsia="Times New Roman" w:hAnsi="Book Antiqua" w:cs="Times New Roman"/>
          <w:bCs/>
          <w:color w:val="000000" w:themeColor="text1"/>
          <w:sz w:val="24"/>
          <w:szCs w:val="24"/>
        </w:rPr>
        <w:t>mo</w:t>
      </w:r>
      <w:proofErr w:type="spellEnd"/>
      <w:proofErr w:type="gramEnd"/>
      <w:r w:rsidRPr="006B24DA">
        <w:rPr>
          <w:rFonts w:ascii="Book Antiqua" w:eastAsia="Times New Roman" w:hAnsi="Book Antiqua" w:cs="Times New Roman"/>
          <w:bCs/>
          <w:color w:val="000000" w:themeColor="text1"/>
          <w:sz w:val="24"/>
          <w:szCs w:val="24"/>
        </w:rPr>
        <w:t xml:space="preserve"> in successful patients in order to achieve further weight reduction.</w:t>
      </w:r>
      <w:r w:rsidR="002A29F4"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These are technically ev</w:t>
      </w:r>
      <w:r w:rsidR="00836B7F" w:rsidRPr="006B24DA">
        <w:rPr>
          <w:rFonts w:ascii="Book Antiqua" w:eastAsia="Times New Roman" w:hAnsi="Book Antiqua" w:cs="Times New Roman"/>
          <w:bCs/>
          <w:color w:val="000000" w:themeColor="text1"/>
          <w:sz w:val="24"/>
          <w:szCs w:val="24"/>
        </w:rPr>
        <w:t>en easier than the initial ESG.</w:t>
      </w:r>
    </w:p>
    <w:p w14:paraId="536448B6" w14:textId="77777777" w:rsidR="00836B7F" w:rsidRPr="006B24DA" w:rsidRDefault="00836B7F" w:rsidP="007761C0">
      <w:pPr>
        <w:autoSpaceDE w:val="0"/>
        <w:autoSpaceDN w:val="0"/>
        <w:adjustRightInd w:val="0"/>
        <w:snapToGrid w:val="0"/>
        <w:spacing w:after="0" w:line="360" w:lineRule="auto"/>
        <w:jc w:val="both"/>
        <w:rPr>
          <w:rFonts w:ascii="Book Antiqua" w:eastAsia="Times New Roman" w:hAnsi="Book Antiqua" w:cs="Times New Roman"/>
          <w:bCs/>
          <w:color w:val="000000" w:themeColor="text1"/>
          <w:sz w:val="24"/>
          <w:szCs w:val="24"/>
        </w:rPr>
      </w:pPr>
    </w:p>
    <w:p w14:paraId="2A45DC87" w14:textId="4D3F37C4" w:rsidR="00836B7F" w:rsidRPr="006B24DA" w:rsidRDefault="00E20495" w:rsidP="007761C0">
      <w:pPr>
        <w:autoSpaceDE w:val="0"/>
        <w:autoSpaceDN w:val="0"/>
        <w:adjustRightInd w:val="0"/>
        <w:snapToGrid w:val="0"/>
        <w:spacing w:after="0" w:line="360" w:lineRule="auto"/>
        <w:jc w:val="both"/>
        <w:rPr>
          <w:rFonts w:ascii="Book Antiqua" w:eastAsia="Times New Roman" w:hAnsi="Book Antiqua" w:cs="Times New Roman"/>
          <w:b/>
          <w:bCs/>
          <w:i/>
          <w:color w:val="000000" w:themeColor="text1"/>
          <w:sz w:val="24"/>
          <w:szCs w:val="24"/>
        </w:rPr>
      </w:pPr>
      <w:bookmarkStart w:id="88" w:name="OLE_LINK103"/>
      <w:bookmarkStart w:id="89" w:name="OLE_LINK104"/>
      <w:r w:rsidRPr="006B24DA">
        <w:rPr>
          <w:rFonts w:ascii="Book Antiqua" w:eastAsia="Times New Roman" w:hAnsi="Book Antiqua" w:cs="Times New Roman"/>
          <w:b/>
          <w:bCs/>
          <w:i/>
          <w:color w:val="000000" w:themeColor="text1"/>
          <w:sz w:val="24"/>
          <w:szCs w:val="24"/>
        </w:rPr>
        <w:t>Technical considerations</w:t>
      </w:r>
    </w:p>
    <w:bookmarkEnd w:id="88"/>
    <w:bookmarkEnd w:id="89"/>
    <w:p w14:paraId="5E81AA89" w14:textId="045C9741" w:rsidR="00E20495" w:rsidRPr="006B24DA" w:rsidRDefault="00E20495" w:rsidP="003B13C7">
      <w:pPr>
        <w:autoSpaceDE w:val="0"/>
        <w:autoSpaceDN w:val="0"/>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t>There are some slight differences in techniques among experts performing ESG.</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 xml:space="preserve">My technique </w:t>
      </w:r>
      <w:r w:rsidR="005D4219" w:rsidRPr="006B24DA">
        <w:rPr>
          <w:rFonts w:ascii="Book Antiqua" w:eastAsia="Times New Roman" w:hAnsi="Book Antiqua" w:cs="Times New Roman"/>
          <w:color w:val="000000" w:themeColor="text1"/>
          <w:sz w:val="24"/>
          <w:szCs w:val="24"/>
        </w:rPr>
        <w:t>(Figure 27</w:t>
      </w:r>
      <w:r w:rsidRPr="006B24DA">
        <w:rPr>
          <w:rFonts w:ascii="Book Antiqua" w:eastAsia="Times New Roman" w:hAnsi="Book Antiqua" w:cs="Times New Roman"/>
          <w:color w:val="000000" w:themeColor="text1"/>
          <w:sz w:val="24"/>
          <w:szCs w:val="24"/>
        </w:rPr>
        <w:t>)</w:t>
      </w:r>
      <w:r w:rsidRPr="006B24DA">
        <w:rPr>
          <w:rFonts w:ascii="Book Antiqua" w:eastAsia="Times New Roman" w:hAnsi="Book Antiqua" w:cs="Times New Roman"/>
          <w:b/>
          <w:bCs/>
          <w:color w:val="000000" w:themeColor="text1"/>
          <w:sz w:val="24"/>
          <w:szCs w:val="24"/>
        </w:rPr>
        <w:t xml:space="preserve"> </w:t>
      </w:r>
      <w:r w:rsidRPr="006B24DA">
        <w:rPr>
          <w:rFonts w:ascii="Book Antiqua" w:eastAsia="Times New Roman" w:hAnsi="Book Antiqua" w:cs="Times New Roman"/>
          <w:color w:val="000000" w:themeColor="text1"/>
          <w:sz w:val="24"/>
          <w:szCs w:val="24"/>
        </w:rPr>
        <w:t>starts with marking the anterior and posterior wall of the stomach using</w:t>
      </w:r>
      <w:r w:rsidR="003E0C40" w:rsidRPr="006B24DA">
        <w:rPr>
          <w:rFonts w:ascii="Book Antiqua" w:eastAsia="Times New Roman" w:hAnsi="Book Antiqua" w:cs="Times New Roman"/>
          <w:color w:val="000000" w:themeColor="text1"/>
          <w:sz w:val="24"/>
          <w:szCs w:val="24"/>
        </w:rPr>
        <w:t xml:space="preserve"> APC</w:t>
      </w:r>
      <w:r w:rsidRPr="006B24DA">
        <w:rPr>
          <w:rFonts w:ascii="Book Antiqua" w:eastAsia="Times New Roman" w:hAnsi="Book Antiqua" w:cs="Times New Roman"/>
          <w:color w:val="000000" w:themeColor="text1"/>
          <w:sz w:val="24"/>
          <w:szCs w:val="24"/>
        </w:rPr>
        <w:t xml:space="preserve"> starting from the level of the incisura all the way back to the proximal fundus, approximately 3-4 cm from the EG junction </w:t>
      </w:r>
      <w:r w:rsidR="005D4219" w:rsidRPr="006B24DA">
        <w:rPr>
          <w:rFonts w:ascii="Book Antiqua" w:eastAsia="Times New Roman" w:hAnsi="Book Antiqua" w:cs="Times New Roman"/>
          <w:color w:val="000000" w:themeColor="text1"/>
          <w:sz w:val="24"/>
          <w:szCs w:val="24"/>
        </w:rPr>
        <w:t>(Figure 27</w:t>
      </w:r>
      <w:r w:rsidRPr="006B24DA">
        <w:rPr>
          <w:rFonts w:ascii="Book Antiqua" w:eastAsia="Times New Roman" w:hAnsi="Book Antiqua" w:cs="Times New Roman"/>
          <w:color w:val="000000" w:themeColor="text1"/>
          <w:sz w:val="24"/>
          <w:szCs w:val="24"/>
        </w:rPr>
        <w:t>A).</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 xml:space="preserve">The first running suture starts by taking a bite at the anterior marking adjacent to the incisura, followed by a bite at the greater curve, then over the posterior marking </w:t>
      </w:r>
      <w:r w:rsidR="005D4219" w:rsidRPr="006B24DA">
        <w:rPr>
          <w:rFonts w:ascii="Book Antiqua" w:eastAsia="Times New Roman" w:hAnsi="Book Antiqua" w:cs="Times New Roman"/>
          <w:color w:val="000000" w:themeColor="text1"/>
          <w:sz w:val="24"/>
          <w:szCs w:val="24"/>
        </w:rPr>
        <w:t>(Figure 27</w:t>
      </w:r>
      <w:r w:rsidRPr="006B24DA">
        <w:rPr>
          <w:rFonts w:ascii="Book Antiqua" w:eastAsia="Times New Roman" w:hAnsi="Book Antiqua" w:cs="Times New Roman"/>
          <w:color w:val="000000" w:themeColor="text1"/>
          <w:sz w:val="24"/>
          <w:szCs w:val="24"/>
        </w:rPr>
        <w:t>B).</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Next, I move about 2</w:t>
      </w:r>
      <w:r w:rsidR="000C6C8F"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cm proximally and cross over to take the 4</w:t>
      </w:r>
      <w:r w:rsidRPr="006B24DA">
        <w:rPr>
          <w:rFonts w:ascii="Book Antiqua" w:eastAsia="Times New Roman" w:hAnsi="Book Antiqua" w:cs="Times New Roman"/>
          <w:color w:val="000000" w:themeColor="text1"/>
          <w:sz w:val="24"/>
          <w:szCs w:val="24"/>
          <w:vertAlign w:val="superscript"/>
        </w:rPr>
        <w:t>th</w:t>
      </w:r>
      <w:r w:rsidRPr="006B24DA">
        <w:rPr>
          <w:rFonts w:ascii="Book Antiqua" w:eastAsia="Times New Roman" w:hAnsi="Book Antiqua" w:cs="Times New Roman"/>
          <w:color w:val="000000" w:themeColor="text1"/>
          <w:sz w:val="24"/>
          <w:szCs w:val="24"/>
        </w:rPr>
        <w:t xml:space="preserve"> bite along the anterior wall, then greater curve, and posterior wall again.</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The suture anchor is then released and the suture is tightened, crimped and cut with the accessory device.</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The second suture is then placed in a similar “Z” pattern, starting approximately 2</w:t>
      </w:r>
      <w:r w:rsidR="000C6C8F"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 xml:space="preserve">cm more proximally and taking between 6 to 8 bites. Usually a total of 6 to 8 sutures are placed to create an adequate length sleeve </w:t>
      </w:r>
      <w:r w:rsidR="005D4219" w:rsidRPr="006B24DA">
        <w:rPr>
          <w:rFonts w:ascii="Book Antiqua" w:eastAsia="Times New Roman" w:hAnsi="Book Antiqua" w:cs="Times New Roman"/>
          <w:color w:val="000000" w:themeColor="text1"/>
          <w:sz w:val="24"/>
          <w:szCs w:val="24"/>
        </w:rPr>
        <w:t>(Figure 27</w:t>
      </w:r>
      <w:r w:rsidR="000C6C8F" w:rsidRPr="006B24DA">
        <w:rPr>
          <w:rFonts w:ascii="Book Antiqua" w:eastAsia="Times New Roman" w:hAnsi="Book Antiqua" w:cs="Times New Roman"/>
          <w:color w:val="000000" w:themeColor="text1"/>
          <w:sz w:val="24"/>
          <w:szCs w:val="24"/>
        </w:rPr>
        <w:t xml:space="preserve">C and </w:t>
      </w:r>
      <w:r w:rsidRPr="006B24DA">
        <w:rPr>
          <w:rFonts w:ascii="Book Antiqua" w:eastAsia="Times New Roman" w:hAnsi="Book Antiqua" w:cs="Times New Roman"/>
          <w:color w:val="000000" w:themeColor="text1"/>
          <w:sz w:val="24"/>
          <w:szCs w:val="24"/>
        </w:rPr>
        <w:t>E).</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I have modified this technique to include a tight entrance to the sleeve portion.</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 xml:space="preserve">This is accomplished by placing a final suture in a purse-string fashion around an inflated 8mm balloon to prevent complete closure </w:t>
      </w:r>
      <w:r w:rsidR="005D4219" w:rsidRPr="006B24DA">
        <w:rPr>
          <w:rFonts w:ascii="Book Antiqua" w:eastAsia="Times New Roman" w:hAnsi="Book Antiqua" w:cs="Times New Roman"/>
          <w:color w:val="000000" w:themeColor="text1"/>
          <w:sz w:val="24"/>
          <w:szCs w:val="24"/>
        </w:rPr>
        <w:lastRenderedPageBreak/>
        <w:t>(Figure 27</w:t>
      </w:r>
      <w:r w:rsidRPr="006B24DA">
        <w:rPr>
          <w:rFonts w:ascii="Book Antiqua" w:eastAsia="Times New Roman" w:hAnsi="Book Antiqua" w:cs="Times New Roman"/>
          <w:color w:val="000000" w:themeColor="text1"/>
          <w:sz w:val="24"/>
          <w:szCs w:val="24"/>
        </w:rPr>
        <w:t>D).</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I have even added mucosal ablation in the cuff just prior to suture placement to maximize narrowing at the neck of the sleeve.</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 xml:space="preserve">This modification results in a proximal “pouch” </w:t>
      </w:r>
      <w:r w:rsidR="005D4219" w:rsidRPr="006B24DA">
        <w:rPr>
          <w:rFonts w:ascii="Book Antiqua" w:eastAsia="Times New Roman" w:hAnsi="Book Antiqua" w:cs="Times New Roman"/>
          <w:color w:val="000000" w:themeColor="text1"/>
          <w:sz w:val="24"/>
          <w:szCs w:val="24"/>
        </w:rPr>
        <w:t>(Figure 27</w:t>
      </w:r>
      <w:r w:rsidRPr="006B24DA">
        <w:rPr>
          <w:rFonts w:ascii="Book Antiqua" w:eastAsia="Times New Roman" w:hAnsi="Book Antiqua" w:cs="Times New Roman"/>
          <w:color w:val="000000" w:themeColor="text1"/>
          <w:sz w:val="24"/>
          <w:szCs w:val="24"/>
        </w:rPr>
        <w:t>F) which typically will hold about 50-60</w:t>
      </w:r>
      <w:r w:rsidR="000C6C8F" w:rsidRPr="006B24DA">
        <w:rPr>
          <w:rFonts w:ascii="Book Antiqua" w:eastAsia="Times New Roman" w:hAnsi="Book Antiqua" w:cs="Times New Roman"/>
          <w:color w:val="000000" w:themeColor="text1"/>
          <w:sz w:val="24"/>
          <w:szCs w:val="24"/>
        </w:rPr>
        <w:t xml:space="preserve"> mL</w:t>
      </w:r>
      <w:r w:rsidRPr="006B24DA">
        <w:rPr>
          <w:rFonts w:ascii="Book Antiqua" w:eastAsia="Times New Roman" w:hAnsi="Book Antiqua" w:cs="Times New Roman"/>
          <w:color w:val="000000" w:themeColor="text1"/>
          <w:sz w:val="24"/>
          <w:szCs w:val="24"/>
        </w:rPr>
        <w:t xml:space="preserve"> of water.</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 xml:space="preserve">The rationale behind this technique is as follows: the pouch functions similar to a gastric by-pass, causing restriction of oral intake with a rapid sense of satiety after a very small portion; the pouch then empties through a very small opening at the neck of the sleeve, again similar to a gastric bypass or a laparoscopy band placement, which then causes severely delayed gastric emptying </w:t>
      </w:r>
      <w:r w:rsidR="005D4219" w:rsidRPr="006B24DA">
        <w:rPr>
          <w:rFonts w:ascii="Book Antiqua" w:eastAsia="Times New Roman" w:hAnsi="Book Antiqua" w:cs="Times New Roman"/>
          <w:color w:val="000000" w:themeColor="text1"/>
          <w:sz w:val="24"/>
          <w:szCs w:val="24"/>
        </w:rPr>
        <w:t>(Figure 27</w:t>
      </w:r>
      <w:r w:rsidRPr="006B24DA">
        <w:rPr>
          <w:rFonts w:ascii="Book Antiqua" w:eastAsia="Times New Roman" w:hAnsi="Book Antiqua" w:cs="Times New Roman"/>
          <w:color w:val="000000" w:themeColor="text1"/>
          <w:sz w:val="24"/>
          <w:szCs w:val="24"/>
        </w:rPr>
        <w:t>H).</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This helps patients feel a prolonged period of satiety.</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Then food passes through a long, narrow sleeve.</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The tight sleeve neck prevents reflux back into the pouch.</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Then finally, food lands in the antrum where grinding function is intact.</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 xml:space="preserve">In select patients who also suffer from GERD, I may perform an anti-reflux procedure at the same time </w:t>
      </w:r>
      <w:r w:rsidR="00966E42" w:rsidRPr="006B24DA">
        <w:rPr>
          <w:rFonts w:ascii="Book Antiqua" w:eastAsia="Times New Roman" w:hAnsi="Book Antiqua" w:cs="Times New Roman"/>
          <w:color w:val="000000" w:themeColor="text1"/>
          <w:sz w:val="24"/>
          <w:szCs w:val="24"/>
        </w:rPr>
        <w:t>-</w:t>
      </w:r>
      <w:r w:rsidRPr="006B24DA">
        <w:rPr>
          <w:rFonts w:ascii="Book Antiqua" w:eastAsia="Times New Roman" w:hAnsi="Book Antiqua" w:cs="Times New Roman"/>
          <w:color w:val="000000" w:themeColor="text1"/>
          <w:sz w:val="24"/>
          <w:szCs w:val="24"/>
        </w:rPr>
        <w:t xml:space="preserve"> </w:t>
      </w:r>
      <w:proofErr w:type="gramStart"/>
      <w:r w:rsidRPr="006B24DA">
        <w:rPr>
          <w:rFonts w:ascii="Book Antiqua" w:eastAsia="Times New Roman" w:hAnsi="Book Antiqua" w:cs="Times New Roman"/>
          <w:color w:val="000000" w:themeColor="text1"/>
          <w:sz w:val="24"/>
          <w:szCs w:val="24"/>
        </w:rPr>
        <w:t>either MASE</w:t>
      </w:r>
      <w:proofErr w:type="gramEnd"/>
      <w:r w:rsidRPr="006B24DA">
        <w:rPr>
          <w:rFonts w:ascii="Book Antiqua" w:eastAsia="Times New Roman" w:hAnsi="Book Antiqua" w:cs="Times New Roman"/>
          <w:color w:val="000000" w:themeColor="text1"/>
          <w:sz w:val="24"/>
          <w:szCs w:val="24"/>
        </w:rPr>
        <w:t>, RAP or even TIF can be performed on the same session.</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For ESG plus TIF combination, I start with the TIF first as it requires the device and scope to maneuver into a retroflexed position, which is difficult after ESG.</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The MASE and RAP procedures can be accomplished immediately before or after ESG, although I prefer the latter.</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These patients usually stay overnight, in</w:t>
      </w:r>
      <w:r w:rsidR="000C6C8F" w:rsidRPr="006B24DA">
        <w:rPr>
          <w:rFonts w:ascii="Book Antiqua" w:eastAsia="Times New Roman" w:hAnsi="Book Antiqua" w:cs="Times New Roman"/>
          <w:color w:val="000000" w:themeColor="text1"/>
          <w:sz w:val="24"/>
          <w:szCs w:val="24"/>
        </w:rPr>
        <w:t xml:space="preserve"> our own short-stay unit for 23-</w:t>
      </w:r>
      <w:r w:rsidRPr="006B24DA">
        <w:rPr>
          <w:rFonts w:ascii="Book Antiqua" w:eastAsia="Times New Roman" w:hAnsi="Book Antiqua" w:cs="Times New Roman"/>
          <w:color w:val="000000" w:themeColor="text1"/>
          <w:sz w:val="24"/>
          <w:szCs w:val="24"/>
        </w:rPr>
        <w:t>h</w:t>
      </w:r>
      <w:r w:rsidR="00AA27D1" w:rsidRPr="006B24DA">
        <w:rPr>
          <w:rFonts w:ascii="Book Antiqua" w:eastAsia="Times New Roman" w:hAnsi="Book Antiqua" w:cs="Times New Roman"/>
          <w:color w:val="000000" w:themeColor="text1"/>
          <w:sz w:val="24"/>
          <w:szCs w:val="24"/>
        </w:rPr>
        <w:t>ours</w:t>
      </w:r>
      <w:r w:rsidRPr="006B24DA">
        <w:rPr>
          <w:rFonts w:ascii="Book Antiqua" w:eastAsia="Times New Roman" w:hAnsi="Book Antiqua" w:cs="Times New Roman"/>
          <w:color w:val="000000" w:themeColor="text1"/>
          <w:sz w:val="24"/>
          <w:szCs w:val="24"/>
        </w:rPr>
        <w:t xml:space="preserve"> observation, intravenous hydration, and as-needed anti-emetics and analgesics.</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 xml:space="preserve">The patient shown in </w:t>
      </w:r>
      <w:r w:rsidR="000C6C8F" w:rsidRPr="006B24DA">
        <w:rPr>
          <w:rFonts w:ascii="Book Antiqua" w:eastAsia="Times New Roman" w:hAnsi="Book Antiqua" w:cs="Times New Roman"/>
          <w:color w:val="000000" w:themeColor="text1"/>
          <w:sz w:val="24"/>
          <w:szCs w:val="24"/>
        </w:rPr>
        <w:t>F</w:t>
      </w:r>
      <w:r w:rsidRPr="006B24DA">
        <w:rPr>
          <w:rFonts w:ascii="Book Antiqua" w:eastAsia="Times New Roman" w:hAnsi="Book Antiqua" w:cs="Times New Roman"/>
          <w:color w:val="000000" w:themeColor="text1"/>
          <w:sz w:val="24"/>
          <w:szCs w:val="24"/>
        </w:rPr>
        <w:t>igure 2</w:t>
      </w:r>
      <w:r w:rsidR="005D4219" w:rsidRPr="006B24DA">
        <w:rPr>
          <w:rFonts w:ascii="Book Antiqua" w:eastAsia="Times New Roman" w:hAnsi="Book Antiqua" w:cs="Times New Roman"/>
          <w:color w:val="000000" w:themeColor="text1"/>
          <w:sz w:val="24"/>
          <w:szCs w:val="24"/>
        </w:rPr>
        <w:t>7</w:t>
      </w:r>
      <w:r w:rsidRPr="006B24DA">
        <w:rPr>
          <w:rFonts w:ascii="Book Antiqua" w:eastAsia="Times New Roman" w:hAnsi="Book Antiqua" w:cs="Times New Roman"/>
          <w:color w:val="000000" w:themeColor="text1"/>
          <w:sz w:val="24"/>
          <w:szCs w:val="24"/>
        </w:rPr>
        <w:t xml:space="preserve"> started with a weight of 327 and has lost 100 </w:t>
      </w:r>
      <w:r w:rsidR="00AA27D1" w:rsidRPr="006B24DA">
        <w:rPr>
          <w:rFonts w:ascii="Book Antiqua" w:eastAsia="Times New Roman" w:hAnsi="Book Antiqua" w:cs="Times New Roman"/>
          <w:color w:val="000000" w:themeColor="text1"/>
          <w:sz w:val="24"/>
          <w:szCs w:val="24"/>
        </w:rPr>
        <w:t>pounds</w:t>
      </w:r>
      <w:r w:rsidRPr="006B24DA">
        <w:rPr>
          <w:rFonts w:ascii="Book Antiqua" w:eastAsia="Times New Roman" w:hAnsi="Book Antiqua" w:cs="Times New Roman"/>
          <w:color w:val="000000" w:themeColor="text1"/>
          <w:sz w:val="24"/>
          <w:szCs w:val="24"/>
        </w:rPr>
        <w:t xml:space="preserve"> over a 1 year period, has no reflux or gastroparesis symptoms and remains off PPI medications. </w:t>
      </w:r>
    </w:p>
    <w:p w14:paraId="7030DEC8" w14:textId="77777777" w:rsidR="000C6C8F" w:rsidRPr="006B24DA" w:rsidRDefault="000C6C8F" w:rsidP="007761C0">
      <w:pPr>
        <w:adjustRightInd w:val="0"/>
        <w:snapToGrid w:val="0"/>
        <w:spacing w:after="0" w:line="360" w:lineRule="auto"/>
        <w:jc w:val="both"/>
        <w:rPr>
          <w:rFonts w:ascii="Book Antiqua" w:eastAsia="Times New Roman" w:hAnsi="Book Antiqua" w:cs="Times New Roman"/>
          <w:i/>
          <w:color w:val="000000" w:themeColor="text1"/>
          <w:sz w:val="24"/>
          <w:szCs w:val="24"/>
        </w:rPr>
      </w:pPr>
    </w:p>
    <w:p w14:paraId="1DDF890F" w14:textId="68681A48" w:rsidR="000C6C8F" w:rsidRPr="006B24DA" w:rsidRDefault="00E20495" w:rsidP="007761C0">
      <w:pPr>
        <w:adjustRightInd w:val="0"/>
        <w:snapToGrid w:val="0"/>
        <w:spacing w:after="0" w:line="360" w:lineRule="auto"/>
        <w:jc w:val="both"/>
        <w:rPr>
          <w:rFonts w:ascii="Book Antiqua" w:eastAsia="Times New Roman" w:hAnsi="Book Antiqua" w:cs="Times New Roman"/>
          <w:b/>
          <w:color w:val="000000" w:themeColor="text1"/>
          <w:sz w:val="24"/>
          <w:szCs w:val="24"/>
        </w:rPr>
      </w:pPr>
      <w:r w:rsidRPr="006B24DA">
        <w:rPr>
          <w:rFonts w:ascii="Book Antiqua" w:eastAsia="Times New Roman" w:hAnsi="Book Antiqua" w:cs="Times New Roman"/>
          <w:b/>
          <w:i/>
          <w:color w:val="000000" w:themeColor="text1"/>
          <w:sz w:val="24"/>
          <w:szCs w:val="24"/>
        </w:rPr>
        <w:t>Fu</w:t>
      </w:r>
      <w:r w:rsidR="000C6C8F" w:rsidRPr="006B24DA">
        <w:rPr>
          <w:rFonts w:ascii="Book Antiqua" w:eastAsia="Times New Roman" w:hAnsi="Book Antiqua" w:cs="Times New Roman"/>
          <w:b/>
          <w:i/>
          <w:color w:val="000000" w:themeColor="text1"/>
          <w:sz w:val="24"/>
          <w:szCs w:val="24"/>
        </w:rPr>
        <w:t>ture opportunities</w:t>
      </w:r>
    </w:p>
    <w:p w14:paraId="2F784421" w14:textId="62E5EC2E" w:rsidR="00E20495" w:rsidRPr="006B24DA" w:rsidRDefault="00E20495" w:rsidP="007761C0">
      <w:pPr>
        <w:adjustRightInd w:val="0"/>
        <w:snapToGrid w:val="0"/>
        <w:spacing w:after="0" w:line="360" w:lineRule="auto"/>
        <w:jc w:val="both"/>
        <w:rPr>
          <w:rFonts w:ascii="Book Antiqua" w:eastAsia="Times New Roman" w:hAnsi="Book Antiqua" w:cs="Times New Roman"/>
          <w:bCs/>
          <w:color w:val="000000" w:themeColor="text1"/>
          <w:sz w:val="24"/>
          <w:szCs w:val="24"/>
        </w:rPr>
      </w:pPr>
      <w:r w:rsidRPr="006B24DA">
        <w:rPr>
          <w:rFonts w:ascii="Book Antiqua" w:eastAsia="Times New Roman" w:hAnsi="Book Antiqua" w:cs="Times New Roman"/>
          <w:color w:val="000000" w:themeColor="text1"/>
          <w:sz w:val="24"/>
          <w:szCs w:val="24"/>
        </w:rPr>
        <w:t>Endoscopic bariatrics is still early in its development.</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 xml:space="preserve">There are ample opportunities to explore innovative techniques and devices in this space, including those that target gastric restriction, bypassing the duodenum, as well as duodenal </w:t>
      </w:r>
      <w:proofErr w:type="gramStart"/>
      <w:r w:rsidRPr="006B24DA">
        <w:rPr>
          <w:rFonts w:ascii="Book Antiqua" w:eastAsia="Times New Roman" w:hAnsi="Book Antiqua" w:cs="Times New Roman"/>
          <w:color w:val="000000" w:themeColor="text1"/>
          <w:sz w:val="24"/>
          <w:szCs w:val="24"/>
        </w:rPr>
        <w:t>resurfacing</w:t>
      </w:r>
      <w:r w:rsidR="000C6C8F" w:rsidRPr="006B24DA">
        <w:rPr>
          <w:rFonts w:ascii="Book Antiqua" w:eastAsia="Times New Roman" w:hAnsi="Book Antiqua" w:cs="Times New Roman"/>
          <w:noProof/>
          <w:color w:val="000000" w:themeColor="text1"/>
          <w:sz w:val="24"/>
          <w:szCs w:val="24"/>
          <w:vertAlign w:val="superscript"/>
        </w:rPr>
        <w:t>[</w:t>
      </w:r>
      <w:proofErr w:type="gramEnd"/>
      <w:r w:rsidR="000C6C8F" w:rsidRPr="006B24DA">
        <w:rPr>
          <w:rFonts w:ascii="Book Antiqua" w:eastAsia="Times New Roman" w:hAnsi="Book Antiqua" w:cs="Times New Roman"/>
          <w:noProof/>
          <w:color w:val="000000" w:themeColor="text1"/>
          <w:sz w:val="24"/>
          <w:szCs w:val="24"/>
          <w:vertAlign w:val="superscript"/>
        </w:rPr>
        <w:t>162-165,169,</w:t>
      </w:r>
      <w:r w:rsidRPr="006B24DA">
        <w:rPr>
          <w:rFonts w:ascii="Book Antiqua" w:eastAsia="Times New Roman" w:hAnsi="Book Antiqua" w:cs="Times New Roman"/>
          <w:noProof/>
          <w:color w:val="000000" w:themeColor="text1"/>
          <w:sz w:val="24"/>
          <w:szCs w:val="24"/>
          <w:vertAlign w:val="superscript"/>
        </w:rPr>
        <w:t>170]</w:t>
      </w:r>
      <w:r w:rsidRPr="006B24DA">
        <w:rPr>
          <w:rFonts w:ascii="Book Antiqua" w:eastAsia="Times New Roman" w:hAnsi="Book Antiqua" w:cs="Times New Roman"/>
          <w:color w:val="000000" w:themeColor="text1"/>
          <w:sz w:val="24"/>
          <w:szCs w:val="24"/>
        </w:rPr>
        <w:t xml:space="preserve">. </w:t>
      </w:r>
    </w:p>
    <w:p w14:paraId="33DA7138" w14:textId="77777777" w:rsidR="00E20495" w:rsidRPr="006B24DA" w:rsidRDefault="00E20495" w:rsidP="007761C0">
      <w:pPr>
        <w:adjustRightInd w:val="0"/>
        <w:snapToGrid w:val="0"/>
        <w:spacing w:after="0" w:line="360" w:lineRule="auto"/>
        <w:jc w:val="both"/>
        <w:rPr>
          <w:rFonts w:ascii="Book Antiqua" w:eastAsia="Times New Roman" w:hAnsi="Book Antiqua" w:cs="Times New Roman"/>
          <w:bCs/>
          <w:color w:val="000000" w:themeColor="text1"/>
          <w:sz w:val="24"/>
          <w:szCs w:val="24"/>
        </w:rPr>
      </w:pPr>
    </w:p>
    <w:p w14:paraId="5E3632E8" w14:textId="5014C46A" w:rsidR="00E20495" w:rsidRPr="006B24DA" w:rsidRDefault="000C6C8F" w:rsidP="00F67887">
      <w:pPr>
        <w:autoSpaceDE w:val="0"/>
        <w:autoSpaceDN w:val="0"/>
        <w:adjustRightInd w:val="0"/>
        <w:snapToGrid w:val="0"/>
        <w:spacing w:after="0" w:line="360" w:lineRule="auto"/>
        <w:jc w:val="both"/>
        <w:outlineLvl w:val="0"/>
        <w:rPr>
          <w:rFonts w:ascii="Book Antiqua" w:eastAsia="Times New Roman" w:hAnsi="Book Antiqua" w:cs="Times New Roman"/>
          <w:b/>
          <w:bCs/>
          <w:color w:val="000000" w:themeColor="text1"/>
          <w:sz w:val="24"/>
          <w:szCs w:val="24"/>
        </w:rPr>
      </w:pPr>
      <w:r w:rsidRPr="006B24DA">
        <w:rPr>
          <w:rFonts w:ascii="Book Antiqua" w:eastAsia="Times New Roman" w:hAnsi="Book Antiqua" w:cs="Times New Roman"/>
          <w:b/>
          <w:bCs/>
          <w:color w:val="000000" w:themeColor="text1"/>
          <w:sz w:val="24"/>
          <w:szCs w:val="24"/>
        </w:rPr>
        <w:t>ENDO-HEPATOLOGY</w:t>
      </w:r>
    </w:p>
    <w:p w14:paraId="7DE585B5" w14:textId="6F76E391" w:rsidR="000C6C8F" w:rsidRPr="006B24DA" w:rsidRDefault="000C6C8F" w:rsidP="007761C0">
      <w:pPr>
        <w:autoSpaceDE w:val="0"/>
        <w:autoSpaceDN w:val="0"/>
        <w:adjustRightInd w:val="0"/>
        <w:snapToGrid w:val="0"/>
        <w:spacing w:after="0" w:line="360" w:lineRule="auto"/>
        <w:jc w:val="both"/>
        <w:rPr>
          <w:rFonts w:ascii="Book Antiqua" w:eastAsia="Times New Roman" w:hAnsi="Book Antiqua" w:cs="Times New Roman"/>
          <w:b/>
          <w:bCs/>
          <w:color w:val="000000" w:themeColor="text1"/>
          <w:sz w:val="24"/>
          <w:szCs w:val="24"/>
        </w:rPr>
      </w:pPr>
      <w:r w:rsidRPr="006B24DA">
        <w:rPr>
          <w:rFonts w:ascii="Book Antiqua" w:eastAsia="Times New Roman" w:hAnsi="Book Antiqua" w:cs="Times New Roman"/>
          <w:b/>
          <w:bCs/>
          <w:i/>
          <w:color w:val="000000" w:themeColor="text1"/>
          <w:sz w:val="24"/>
          <w:szCs w:val="24"/>
        </w:rPr>
        <w:t>Lessons learned</w:t>
      </w:r>
    </w:p>
    <w:p w14:paraId="604BC5A5" w14:textId="6F235467" w:rsidR="00E20495" w:rsidRPr="006B24DA" w:rsidRDefault="00E20495" w:rsidP="003B13C7">
      <w:pPr>
        <w:autoSpaceDE w:val="0"/>
        <w:autoSpaceDN w:val="0"/>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lastRenderedPageBreak/>
        <w:t xml:space="preserve">Endo-Hepatology is a term that I coined in a published paper where I described many of the emerging endoscopic techniques and devices which may be useful in the diagnosis and treatment of liver disease </w:t>
      </w:r>
      <w:r w:rsidR="005D4219" w:rsidRPr="006B24DA">
        <w:rPr>
          <w:rFonts w:ascii="Book Antiqua" w:eastAsia="Times New Roman" w:hAnsi="Book Antiqua" w:cs="Times New Roman"/>
          <w:color w:val="000000" w:themeColor="text1"/>
          <w:sz w:val="24"/>
          <w:szCs w:val="24"/>
        </w:rPr>
        <w:t>(Figure 28</w:t>
      </w:r>
      <w:proofErr w:type="gramStart"/>
      <w:r w:rsidRPr="006B24DA">
        <w:rPr>
          <w:rFonts w:ascii="Book Antiqua" w:eastAsia="Times New Roman" w:hAnsi="Book Antiqua" w:cs="Times New Roman"/>
          <w:color w:val="000000" w:themeColor="text1"/>
          <w:sz w:val="24"/>
          <w:szCs w:val="24"/>
        </w:rPr>
        <w:t>)</w:t>
      </w:r>
      <w:r w:rsidRPr="006B24DA">
        <w:rPr>
          <w:rFonts w:ascii="Book Antiqua" w:eastAsia="Times New Roman" w:hAnsi="Book Antiqua" w:cs="Times New Roman"/>
          <w:noProof/>
          <w:color w:val="000000" w:themeColor="text1"/>
          <w:sz w:val="24"/>
          <w:szCs w:val="24"/>
          <w:vertAlign w:val="superscript"/>
        </w:rPr>
        <w:t>[</w:t>
      </w:r>
      <w:proofErr w:type="gramEnd"/>
      <w:r w:rsidRPr="006B24DA">
        <w:rPr>
          <w:rFonts w:ascii="Book Antiqua" w:eastAsia="Times New Roman" w:hAnsi="Book Antiqua" w:cs="Times New Roman"/>
          <w:noProof/>
          <w:color w:val="000000" w:themeColor="text1"/>
          <w:sz w:val="24"/>
          <w:szCs w:val="24"/>
          <w:vertAlign w:val="superscript"/>
        </w:rPr>
        <w:t>171]</w:t>
      </w:r>
      <w:r w:rsidRPr="006B24DA">
        <w:rPr>
          <w:rFonts w:ascii="Book Antiqua" w:eastAsia="Times New Roman" w:hAnsi="Book Antiqua" w:cs="Times New Roman"/>
          <w:color w:val="000000" w:themeColor="text1"/>
          <w:sz w:val="24"/>
          <w:szCs w:val="24"/>
        </w:rPr>
        <w:t>. Among these, EUS-guided liver biopsy and EUS-guided portal pressure measurement are exciting new frontiers for the endo-</w:t>
      </w:r>
      <w:proofErr w:type="spellStart"/>
      <w:r w:rsidRPr="006B24DA">
        <w:rPr>
          <w:rFonts w:ascii="Book Antiqua" w:eastAsia="Times New Roman" w:hAnsi="Book Antiqua" w:cs="Times New Roman"/>
          <w:color w:val="000000" w:themeColor="text1"/>
          <w:sz w:val="24"/>
          <w:szCs w:val="24"/>
        </w:rPr>
        <w:t>hepatologists</w:t>
      </w:r>
      <w:proofErr w:type="spellEnd"/>
      <w:r w:rsidRPr="006B24DA">
        <w:rPr>
          <w:rFonts w:ascii="Book Antiqua" w:eastAsia="Times New Roman" w:hAnsi="Book Antiqua" w:cs="Times New Roman"/>
          <w:color w:val="000000" w:themeColor="text1"/>
          <w:sz w:val="24"/>
          <w:szCs w:val="24"/>
        </w:rPr>
        <w:t>. I wish to share my personal perspective on how these techniques and devices evolved over the past 30 years.</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 xml:space="preserve">My faculty career began in the early 1990’s with the development of EUS-guided </w:t>
      </w:r>
      <w:proofErr w:type="gramStart"/>
      <w:r w:rsidRPr="006B24DA">
        <w:rPr>
          <w:rFonts w:ascii="Book Antiqua" w:eastAsia="Times New Roman" w:hAnsi="Book Antiqua" w:cs="Times New Roman"/>
          <w:color w:val="000000" w:themeColor="text1"/>
          <w:sz w:val="24"/>
          <w:szCs w:val="24"/>
        </w:rPr>
        <w:t>FNA</w:t>
      </w:r>
      <w:r w:rsidRPr="006B24DA">
        <w:rPr>
          <w:rFonts w:ascii="Book Antiqua" w:eastAsia="Times New Roman" w:hAnsi="Book Antiqua" w:cs="Times New Roman"/>
          <w:noProof/>
          <w:color w:val="000000" w:themeColor="text1"/>
          <w:sz w:val="24"/>
          <w:szCs w:val="24"/>
          <w:vertAlign w:val="superscript"/>
        </w:rPr>
        <w:t>[</w:t>
      </w:r>
      <w:proofErr w:type="gramEnd"/>
      <w:r w:rsidRPr="006B24DA">
        <w:rPr>
          <w:rFonts w:ascii="Book Antiqua" w:eastAsia="Times New Roman" w:hAnsi="Book Antiqua" w:cs="Times New Roman"/>
          <w:noProof/>
          <w:color w:val="000000" w:themeColor="text1"/>
          <w:sz w:val="24"/>
          <w:szCs w:val="24"/>
          <w:vertAlign w:val="superscript"/>
        </w:rPr>
        <w:t>172-182]</w:t>
      </w:r>
      <w:r w:rsidRPr="006B24DA">
        <w:rPr>
          <w:rFonts w:ascii="Book Antiqua" w:eastAsia="Times New Roman" w:hAnsi="Book Antiqua" w:cs="Times New Roman"/>
          <w:color w:val="000000" w:themeColor="text1"/>
          <w:sz w:val="24"/>
          <w:szCs w:val="24"/>
        </w:rPr>
        <w:t xml:space="preserve"> having reported the first case of EUS-guided FNA to a diagnose a small pancreatic cancer in 2004</w:t>
      </w:r>
      <w:r w:rsidRPr="006B24DA">
        <w:rPr>
          <w:rFonts w:ascii="Book Antiqua" w:eastAsia="Times New Roman" w:hAnsi="Book Antiqua" w:cs="Times New Roman"/>
          <w:noProof/>
          <w:color w:val="000000" w:themeColor="text1"/>
          <w:sz w:val="24"/>
          <w:szCs w:val="24"/>
          <w:vertAlign w:val="superscript"/>
        </w:rPr>
        <w:t>[172]</w:t>
      </w:r>
      <w:r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333333"/>
          <w:sz w:val="24"/>
          <w:szCs w:val="24"/>
        </w:rPr>
        <w:t xml:space="preserve">followed the same year by a series of 38 patients who underwent EUS-guided FNA </w:t>
      </w:r>
      <w:r w:rsidR="005D4219" w:rsidRPr="006B24DA">
        <w:rPr>
          <w:rFonts w:ascii="Book Antiqua" w:eastAsia="Times New Roman" w:hAnsi="Book Antiqua" w:cs="Times New Roman"/>
          <w:color w:val="333333"/>
          <w:sz w:val="24"/>
          <w:szCs w:val="24"/>
        </w:rPr>
        <w:t>(Figure 29</w:t>
      </w:r>
      <w:r w:rsidRPr="006B24DA">
        <w:rPr>
          <w:rFonts w:ascii="Book Antiqua" w:eastAsia="Times New Roman" w:hAnsi="Book Antiqua" w:cs="Times New Roman"/>
          <w:color w:val="333333"/>
          <w:sz w:val="24"/>
          <w:szCs w:val="24"/>
        </w:rPr>
        <w:t>)</w:t>
      </w:r>
      <w:r w:rsidRPr="006B24DA">
        <w:rPr>
          <w:rFonts w:ascii="Book Antiqua" w:eastAsia="Times New Roman" w:hAnsi="Book Antiqua" w:cs="Times New Roman"/>
          <w:noProof/>
          <w:color w:val="000000" w:themeColor="text1"/>
          <w:sz w:val="24"/>
          <w:szCs w:val="24"/>
          <w:vertAlign w:val="superscript"/>
        </w:rPr>
        <w:t>[173]</w:t>
      </w:r>
      <w:r w:rsidRPr="006B24DA">
        <w:rPr>
          <w:rFonts w:ascii="Book Antiqua" w:eastAsia="Times New Roman" w:hAnsi="Book Antiqua" w:cs="Times New Roman"/>
          <w:color w:val="000000" w:themeColor="text1"/>
          <w:sz w:val="24"/>
          <w:szCs w:val="24"/>
        </w:rPr>
        <w:t>.</w:t>
      </w:r>
      <w:r w:rsidR="002A29F4" w:rsidRPr="006B24DA">
        <w:rPr>
          <w:rFonts w:ascii="Book Antiqua" w:eastAsia="Times New Roman" w:hAnsi="Book Antiqua" w:cs="Times New Roman"/>
          <w:color w:val="000000" w:themeColor="text1"/>
          <w:sz w:val="24"/>
          <w:szCs w:val="24"/>
        </w:rPr>
        <w:t xml:space="preserve"> </w:t>
      </w:r>
      <w:r w:rsidR="001F74AE" w:rsidRPr="006B24DA">
        <w:rPr>
          <w:rFonts w:ascii="Book Antiqua" w:eastAsia="Times New Roman" w:hAnsi="Book Antiqua" w:cs="Times New Roman"/>
          <w:color w:val="000000" w:themeColor="text1"/>
          <w:sz w:val="24"/>
          <w:szCs w:val="24"/>
        </w:rPr>
        <w:t xml:space="preserve">Many papers followed </w:t>
      </w:r>
      <w:r w:rsidR="001F74AE" w:rsidRPr="006B24DA">
        <w:rPr>
          <w:rFonts w:ascii="Book Antiqua" w:eastAsia="Times New Roman" w:hAnsi="Book Antiqua" w:cs="Times New Roman"/>
          <w:color w:val="000000" w:themeColor="text1"/>
          <w:sz w:val="24"/>
          <w:szCs w:val="24"/>
          <w:vertAlign w:val="superscript"/>
        </w:rPr>
        <w:t>[174-182]</w:t>
      </w:r>
      <w:r w:rsidR="001F74AE" w:rsidRPr="006B24DA">
        <w:rPr>
          <w:rFonts w:ascii="Book Antiqua" w:eastAsia="Times New Roman" w:hAnsi="Book Antiqua" w:cs="Times New Roman"/>
          <w:color w:val="000000" w:themeColor="text1"/>
          <w:sz w:val="24"/>
          <w:szCs w:val="24"/>
        </w:rPr>
        <w:t xml:space="preserve">, with application of EUS-guided FNA diagnosing and staging pancreatic </w:t>
      </w:r>
      <w:proofErr w:type="gramStart"/>
      <w:r w:rsidR="001F74AE" w:rsidRPr="006B24DA">
        <w:rPr>
          <w:rFonts w:ascii="Book Antiqua" w:eastAsia="Times New Roman" w:hAnsi="Book Antiqua" w:cs="Times New Roman"/>
          <w:color w:val="000000" w:themeColor="text1"/>
          <w:sz w:val="24"/>
          <w:szCs w:val="24"/>
        </w:rPr>
        <w:t>tumors[</w:t>
      </w:r>
      <w:proofErr w:type="gramEnd"/>
      <w:r w:rsidR="001F74AE" w:rsidRPr="006B24DA">
        <w:rPr>
          <w:rFonts w:ascii="Book Antiqua" w:eastAsia="Times New Roman" w:hAnsi="Book Antiqua" w:cs="Times New Roman"/>
          <w:color w:val="000000" w:themeColor="text1"/>
          <w:sz w:val="24"/>
          <w:szCs w:val="24"/>
          <w:vertAlign w:val="superscript"/>
        </w:rPr>
        <w:t>174, 176]</w:t>
      </w:r>
      <w:r w:rsidR="00183191" w:rsidRPr="006B24DA">
        <w:rPr>
          <w:rFonts w:ascii="Book Antiqua" w:eastAsia="Times New Roman" w:hAnsi="Book Antiqua" w:cs="Times New Roman"/>
          <w:color w:val="000000" w:themeColor="text1"/>
          <w:sz w:val="24"/>
          <w:szCs w:val="24"/>
        </w:rPr>
        <w:t xml:space="preserve">, </w:t>
      </w:r>
      <w:r w:rsidR="001F74AE" w:rsidRPr="006B24DA">
        <w:rPr>
          <w:rFonts w:ascii="Book Antiqua" w:eastAsia="Times New Roman" w:hAnsi="Book Antiqua" w:cs="Times New Roman"/>
          <w:color w:val="000000" w:themeColor="text1"/>
          <w:sz w:val="24"/>
          <w:szCs w:val="24"/>
        </w:rPr>
        <w:t xml:space="preserve">aspiration of pleural and </w:t>
      </w:r>
      <w:proofErr w:type="spellStart"/>
      <w:r w:rsidR="001F74AE" w:rsidRPr="006B24DA">
        <w:rPr>
          <w:rFonts w:ascii="Book Antiqua" w:eastAsia="Times New Roman" w:hAnsi="Book Antiqua" w:cs="Times New Roman"/>
          <w:color w:val="000000" w:themeColor="text1"/>
          <w:sz w:val="24"/>
          <w:szCs w:val="24"/>
        </w:rPr>
        <w:t>ascitic</w:t>
      </w:r>
      <w:proofErr w:type="spellEnd"/>
      <w:r w:rsidR="001F74AE" w:rsidRPr="006B24DA">
        <w:rPr>
          <w:rFonts w:ascii="Book Antiqua" w:eastAsia="Times New Roman" w:hAnsi="Book Antiqua" w:cs="Times New Roman"/>
          <w:color w:val="000000" w:themeColor="text1"/>
          <w:sz w:val="24"/>
          <w:szCs w:val="24"/>
        </w:rPr>
        <w:t xml:space="preserve"> fluid</w:t>
      </w:r>
      <w:r w:rsidR="001F74AE" w:rsidRPr="006B24DA">
        <w:rPr>
          <w:rFonts w:ascii="Book Antiqua" w:eastAsia="Times New Roman" w:hAnsi="Book Antiqua" w:cs="Times New Roman"/>
          <w:color w:val="000000" w:themeColor="text1"/>
          <w:sz w:val="24"/>
          <w:szCs w:val="24"/>
          <w:vertAlign w:val="superscript"/>
        </w:rPr>
        <w:t>[175]</w:t>
      </w:r>
      <w:r w:rsidR="00183191" w:rsidRPr="006B24DA">
        <w:rPr>
          <w:rFonts w:ascii="Book Antiqua" w:eastAsia="Times New Roman" w:hAnsi="Book Antiqua" w:cs="Times New Roman"/>
          <w:color w:val="000000" w:themeColor="text1"/>
          <w:sz w:val="24"/>
          <w:szCs w:val="24"/>
        </w:rPr>
        <w:t>, le</w:t>
      </w:r>
      <w:r w:rsidR="001F74AE" w:rsidRPr="006B24DA">
        <w:rPr>
          <w:rFonts w:ascii="Book Antiqua" w:eastAsia="Times New Roman" w:hAnsi="Book Antiqua" w:cs="Times New Roman"/>
          <w:color w:val="000000" w:themeColor="text1"/>
          <w:sz w:val="24"/>
          <w:szCs w:val="24"/>
        </w:rPr>
        <w:t xml:space="preserve">ft adrenal gland </w:t>
      </w:r>
      <w:r w:rsidR="001F74AE" w:rsidRPr="006B24DA">
        <w:rPr>
          <w:rFonts w:ascii="Book Antiqua" w:eastAsia="Times New Roman" w:hAnsi="Book Antiqua" w:cs="Times New Roman"/>
          <w:color w:val="000000" w:themeColor="text1"/>
          <w:sz w:val="24"/>
          <w:szCs w:val="24"/>
          <w:vertAlign w:val="superscript"/>
        </w:rPr>
        <w:t>[178]</w:t>
      </w:r>
      <w:r w:rsidR="00183191" w:rsidRPr="006B24DA">
        <w:rPr>
          <w:rFonts w:ascii="Book Antiqua" w:eastAsia="Times New Roman" w:hAnsi="Book Antiqua" w:cs="Times New Roman"/>
          <w:color w:val="000000" w:themeColor="text1"/>
          <w:sz w:val="24"/>
          <w:szCs w:val="24"/>
        </w:rPr>
        <w:t>, m</w:t>
      </w:r>
      <w:r w:rsidR="001F74AE" w:rsidRPr="006B24DA">
        <w:rPr>
          <w:rFonts w:ascii="Book Antiqua" w:eastAsia="Times New Roman" w:hAnsi="Book Antiqua" w:cs="Times New Roman"/>
          <w:color w:val="000000" w:themeColor="text1"/>
          <w:sz w:val="24"/>
          <w:szCs w:val="24"/>
        </w:rPr>
        <w:t xml:space="preserve">ediastinal tumors and lymph nodes </w:t>
      </w:r>
      <w:r w:rsidR="001F74AE" w:rsidRPr="006B24DA">
        <w:rPr>
          <w:rFonts w:ascii="Book Antiqua" w:eastAsia="Times New Roman" w:hAnsi="Book Antiqua" w:cs="Times New Roman"/>
          <w:color w:val="000000" w:themeColor="text1"/>
          <w:sz w:val="24"/>
          <w:szCs w:val="24"/>
          <w:vertAlign w:val="superscript"/>
        </w:rPr>
        <w:t>[181]</w:t>
      </w:r>
      <w:r w:rsidR="001F74AE" w:rsidRPr="006B24DA">
        <w:rPr>
          <w:rFonts w:ascii="Book Antiqua" w:eastAsia="Times New Roman" w:hAnsi="Book Antiqua" w:cs="Times New Roman"/>
          <w:color w:val="000000" w:themeColor="text1"/>
          <w:sz w:val="24"/>
          <w:szCs w:val="24"/>
        </w:rPr>
        <w:t xml:space="preserve"> and liver lesions </w:t>
      </w:r>
      <w:r w:rsidR="001F74AE" w:rsidRPr="006B24DA">
        <w:rPr>
          <w:rFonts w:ascii="Book Antiqua" w:eastAsia="Times New Roman" w:hAnsi="Book Antiqua" w:cs="Times New Roman"/>
          <w:color w:val="000000" w:themeColor="text1"/>
          <w:sz w:val="24"/>
          <w:szCs w:val="24"/>
          <w:vertAlign w:val="superscript"/>
        </w:rPr>
        <w:t>[182]</w:t>
      </w:r>
      <w:r w:rsidR="00183191" w:rsidRPr="006B24DA">
        <w:rPr>
          <w:rFonts w:ascii="Book Antiqua" w:eastAsia="Times New Roman" w:hAnsi="Book Antiqua" w:cs="Times New Roman"/>
          <w:color w:val="000000" w:themeColor="text1"/>
          <w:sz w:val="24"/>
          <w:szCs w:val="24"/>
        </w:rPr>
        <w:t>. I</w:t>
      </w:r>
      <w:r w:rsidRPr="006B24DA">
        <w:rPr>
          <w:rFonts w:ascii="Book Antiqua" w:eastAsia="Times New Roman" w:hAnsi="Book Antiqua" w:cs="Times New Roman"/>
          <w:color w:val="000000" w:themeColor="text1"/>
          <w:sz w:val="24"/>
          <w:szCs w:val="24"/>
        </w:rPr>
        <w:t xml:space="preserve"> subsequently joined forces with the other early pioneers of EUS-guided FNA in the </w:t>
      </w:r>
      <w:r w:rsidR="000C6C8F" w:rsidRPr="006B24DA">
        <w:rPr>
          <w:rFonts w:ascii="Book Antiqua" w:eastAsia="Times New Roman" w:hAnsi="Book Antiqua" w:cs="Times New Roman"/>
          <w:color w:val="000000" w:themeColor="text1"/>
          <w:sz w:val="24"/>
          <w:szCs w:val="24"/>
        </w:rPr>
        <w:t>United States</w:t>
      </w:r>
      <w:r w:rsidRPr="006B24DA">
        <w:rPr>
          <w:rFonts w:ascii="Book Antiqua" w:eastAsia="Times New Roman" w:hAnsi="Book Antiqua" w:cs="Times New Roman"/>
          <w:color w:val="000000" w:themeColor="text1"/>
          <w:sz w:val="24"/>
          <w:szCs w:val="24"/>
        </w:rPr>
        <w:t xml:space="preserve"> and </w:t>
      </w:r>
      <w:proofErr w:type="gramStart"/>
      <w:r w:rsidRPr="006B24DA">
        <w:rPr>
          <w:rFonts w:ascii="Book Antiqua" w:eastAsia="Times New Roman" w:hAnsi="Book Antiqua" w:cs="Times New Roman"/>
          <w:color w:val="000000" w:themeColor="text1"/>
          <w:sz w:val="24"/>
          <w:szCs w:val="24"/>
        </w:rPr>
        <w:t>Europe</w:t>
      </w:r>
      <w:r w:rsidRPr="006B24DA">
        <w:rPr>
          <w:rFonts w:ascii="Book Antiqua" w:eastAsia="Times New Roman" w:hAnsi="Book Antiqua" w:cs="Times New Roman"/>
          <w:noProof/>
          <w:color w:val="000000" w:themeColor="text1"/>
          <w:sz w:val="24"/>
          <w:szCs w:val="24"/>
          <w:vertAlign w:val="superscript"/>
        </w:rPr>
        <w:t>[</w:t>
      </w:r>
      <w:proofErr w:type="gramEnd"/>
      <w:r w:rsidRPr="006B24DA">
        <w:rPr>
          <w:rFonts w:ascii="Book Antiqua" w:eastAsia="Times New Roman" w:hAnsi="Book Antiqua" w:cs="Times New Roman"/>
          <w:noProof/>
          <w:color w:val="000000" w:themeColor="text1"/>
          <w:sz w:val="24"/>
          <w:szCs w:val="24"/>
          <w:vertAlign w:val="superscript"/>
        </w:rPr>
        <w:t>183]</w:t>
      </w:r>
      <w:r w:rsidRPr="006B24DA">
        <w:rPr>
          <w:rFonts w:ascii="Book Antiqua" w:eastAsia="Times New Roman" w:hAnsi="Book Antiqua" w:cs="Times New Roman"/>
          <w:color w:val="000000" w:themeColor="text1"/>
          <w:sz w:val="24"/>
          <w:szCs w:val="24"/>
        </w:rPr>
        <w:t xml:space="preserve"> to publish the first multicenter study on EUS-guided FNA. After establishing EUS-guided FNA, </w:t>
      </w:r>
      <w:r w:rsidR="002509A0" w:rsidRPr="006B24DA">
        <w:rPr>
          <w:rFonts w:ascii="Book Antiqua" w:eastAsia="Times New Roman" w:hAnsi="Book Antiqua" w:cs="Times New Roman"/>
          <w:color w:val="000000" w:themeColor="text1"/>
          <w:sz w:val="24"/>
          <w:szCs w:val="24"/>
        </w:rPr>
        <w:t>I started developing EUS-guided FNI</w:t>
      </w:r>
      <w:r w:rsidR="003D15E0" w:rsidRPr="006B24DA">
        <w:rPr>
          <w:rFonts w:ascii="Book Antiqua" w:eastAsia="Times New Roman" w:hAnsi="Book Antiqua" w:cs="Times New Roman"/>
          <w:color w:val="000000" w:themeColor="text1"/>
          <w:sz w:val="24"/>
          <w:szCs w:val="24"/>
        </w:rPr>
        <w:t xml:space="preserve"> (fine needle injection)</w:t>
      </w:r>
      <w:r w:rsidRPr="006B24DA">
        <w:rPr>
          <w:rFonts w:ascii="Book Antiqua" w:eastAsia="Times New Roman" w:hAnsi="Book Antiqua" w:cs="Times New Roman"/>
          <w:color w:val="000000" w:themeColor="text1"/>
          <w:sz w:val="24"/>
          <w:szCs w:val="24"/>
        </w:rPr>
        <w:t>, including the delivery of anti-tumor agents</w:t>
      </w:r>
      <w:r w:rsidR="003D15E0" w:rsidRPr="006B24DA">
        <w:rPr>
          <w:rFonts w:ascii="Book Antiqua" w:eastAsia="Times New Roman" w:hAnsi="Book Antiqua" w:cs="Times New Roman"/>
          <w:color w:val="000000" w:themeColor="text1"/>
          <w:sz w:val="24"/>
          <w:szCs w:val="24"/>
        </w:rPr>
        <w:t xml:space="preserve"> and EUS-guided </w:t>
      </w:r>
      <w:proofErr w:type="gramStart"/>
      <w:r w:rsidR="003D15E0" w:rsidRPr="006B24DA">
        <w:rPr>
          <w:rFonts w:ascii="Book Antiqua" w:eastAsia="Times New Roman" w:hAnsi="Book Antiqua" w:cs="Times New Roman"/>
          <w:color w:val="000000" w:themeColor="text1"/>
          <w:sz w:val="24"/>
          <w:szCs w:val="24"/>
        </w:rPr>
        <w:t>brachytherapy</w:t>
      </w:r>
      <w:r w:rsidRPr="006B24DA">
        <w:rPr>
          <w:rFonts w:ascii="Book Antiqua" w:eastAsia="Times New Roman" w:hAnsi="Book Antiqua" w:cs="Times New Roman"/>
          <w:noProof/>
          <w:color w:val="000000" w:themeColor="text1"/>
          <w:sz w:val="24"/>
          <w:szCs w:val="24"/>
          <w:vertAlign w:val="superscript"/>
        </w:rPr>
        <w:t>[</w:t>
      </w:r>
      <w:proofErr w:type="gramEnd"/>
      <w:r w:rsidRPr="006B24DA">
        <w:rPr>
          <w:rFonts w:ascii="Book Antiqua" w:eastAsia="Times New Roman" w:hAnsi="Book Antiqua" w:cs="Times New Roman"/>
          <w:noProof/>
          <w:color w:val="000000" w:themeColor="text1"/>
          <w:sz w:val="24"/>
          <w:szCs w:val="24"/>
          <w:vertAlign w:val="superscript"/>
        </w:rPr>
        <w:t>184-197]</w:t>
      </w:r>
      <w:r w:rsidRPr="006B24DA">
        <w:rPr>
          <w:rFonts w:ascii="Book Antiqua" w:eastAsia="Times New Roman" w:hAnsi="Book Antiqua" w:cs="Times New Roman"/>
          <w:color w:val="000000" w:themeColor="text1"/>
          <w:sz w:val="24"/>
          <w:szCs w:val="24"/>
        </w:rPr>
        <w:t xml:space="preserve">. This then led to EUS-guided fine needle imaging with through-the-needle fiber optic probe combined with </w:t>
      </w:r>
      <w:proofErr w:type="spellStart"/>
      <w:r w:rsidRPr="006B24DA">
        <w:rPr>
          <w:rFonts w:ascii="Book Antiqua" w:eastAsia="Times New Roman" w:hAnsi="Book Antiqua" w:cs="Times New Roman"/>
          <w:color w:val="000000" w:themeColor="text1"/>
          <w:sz w:val="24"/>
          <w:szCs w:val="24"/>
        </w:rPr>
        <w:t>endomicroscopy</w:t>
      </w:r>
      <w:proofErr w:type="spellEnd"/>
      <w:r w:rsidRPr="006B24DA">
        <w:rPr>
          <w:rFonts w:ascii="Book Antiqua" w:eastAsia="Times New Roman" w:hAnsi="Book Antiqua" w:cs="Times New Roman"/>
          <w:color w:val="000000" w:themeColor="text1"/>
          <w:sz w:val="24"/>
          <w:szCs w:val="24"/>
        </w:rPr>
        <w:t xml:space="preserve"> in the evaluation of pancreatic cystic </w:t>
      </w:r>
      <w:proofErr w:type="gramStart"/>
      <w:r w:rsidRPr="006B24DA">
        <w:rPr>
          <w:rFonts w:ascii="Book Antiqua" w:eastAsia="Times New Roman" w:hAnsi="Book Antiqua" w:cs="Times New Roman"/>
          <w:color w:val="000000" w:themeColor="text1"/>
          <w:sz w:val="24"/>
          <w:szCs w:val="24"/>
        </w:rPr>
        <w:t>neoplasia</w:t>
      </w:r>
      <w:r w:rsidR="000C6C8F" w:rsidRPr="006B24DA">
        <w:rPr>
          <w:rFonts w:ascii="Book Antiqua" w:eastAsia="Times New Roman" w:hAnsi="Book Antiqua" w:cs="Times New Roman"/>
          <w:noProof/>
          <w:color w:val="000000" w:themeColor="text1"/>
          <w:sz w:val="24"/>
          <w:szCs w:val="24"/>
          <w:vertAlign w:val="superscript"/>
        </w:rPr>
        <w:t>[</w:t>
      </w:r>
      <w:proofErr w:type="gramEnd"/>
      <w:r w:rsidR="000C6C8F" w:rsidRPr="006B24DA">
        <w:rPr>
          <w:rFonts w:ascii="Book Antiqua" w:eastAsia="Times New Roman" w:hAnsi="Book Antiqua" w:cs="Times New Roman"/>
          <w:noProof/>
          <w:color w:val="000000" w:themeColor="text1"/>
          <w:sz w:val="24"/>
          <w:szCs w:val="24"/>
          <w:vertAlign w:val="superscript"/>
        </w:rPr>
        <w:t>118,119,</w:t>
      </w:r>
      <w:r w:rsidRPr="006B24DA">
        <w:rPr>
          <w:rFonts w:ascii="Book Antiqua" w:eastAsia="Times New Roman" w:hAnsi="Book Antiqua" w:cs="Times New Roman"/>
          <w:noProof/>
          <w:color w:val="000000" w:themeColor="text1"/>
          <w:sz w:val="24"/>
          <w:szCs w:val="24"/>
          <w:vertAlign w:val="superscript"/>
        </w:rPr>
        <w:t>198-203]</w:t>
      </w:r>
      <w:r w:rsidRPr="006B24DA">
        <w:rPr>
          <w:rFonts w:ascii="Book Antiqua" w:eastAsia="Times New Roman" w:hAnsi="Book Antiqua" w:cs="Times New Roman"/>
          <w:color w:val="000000" w:themeColor="text1"/>
          <w:sz w:val="24"/>
          <w:szCs w:val="24"/>
        </w:rPr>
        <w:t xml:space="preserve">. EUS-guided FNA eventually become the mainstream modality for the tissue diagnosis of pancreatic </w:t>
      </w:r>
      <w:proofErr w:type="gramStart"/>
      <w:r w:rsidRPr="006B24DA">
        <w:rPr>
          <w:rFonts w:ascii="Book Antiqua" w:eastAsia="Times New Roman" w:hAnsi="Book Antiqua" w:cs="Times New Roman"/>
          <w:color w:val="000000" w:themeColor="text1"/>
          <w:sz w:val="24"/>
          <w:szCs w:val="24"/>
        </w:rPr>
        <w:t>cancer</w:t>
      </w:r>
      <w:r w:rsidR="000C6C8F" w:rsidRPr="006B24DA">
        <w:rPr>
          <w:rFonts w:ascii="Book Antiqua" w:eastAsia="Times New Roman" w:hAnsi="Book Antiqua" w:cs="Times New Roman"/>
          <w:noProof/>
          <w:color w:val="000000" w:themeColor="text1"/>
          <w:sz w:val="24"/>
          <w:szCs w:val="24"/>
          <w:vertAlign w:val="superscript"/>
        </w:rPr>
        <w:t>[</w:t>
      </w:r>
      <w:proofErr w:type="gramEnd"/>
      <w:r w:rsidR="000C6C8F" w:rsidRPr="006B24DA">
        <w:rPr>
          <w:rFonts w:ascii="Book Antiqua" w:eastAsia="Times New Roman" w:hAnsi="Book Antiqua" w:cs="Times New Roman"/>
          <w:noProof/>
          <w:color w:val="000000" w:themeColor="text1"/>
          <w:sz w:val="24"/>
          <w:szCs w:val="24"/>
          <w:vertAlign w:val="superscript"/>
        </w:rPr>
        <w:t>185,</w:t>
      </w:r>
      <w:r w:rsidRPr="006B24DA">
        <w:rPr>
          <w:rFonts w:ascii="Book Antiqua" w:eastAsia="Times New Roman" w:hAnsi="Book Antiqua" w:cs="Times New Roman"/>
          <w:noProof/>
          <w:color w:val="000000" w:themeColor="text1"/>
          <w:sz w:val="24"/>
          <w:szCs w:val="24"/>
          <w:vertAlign w:val="superscript"/>
        </w:rPr>
        <w:t>204-209]</w:t>
      </w:r>
      <w:r w:rsidRPr="006B24DA">
        <w:rPr>
          <w:rFonts w:ascii="Book Antiqua" w:eastAsia="Times New Roman" w:hAnsi="Book Antiqua" w:cs="Times New Roman"/>
          <w:color w:val="000000" w:themeColor="text1"/>
          <w:sz w:val="24"/>
          <w:szCs w:val="24"/>
        </w:rPr>
        <w:t>. At this point, I coined a new term “Interventional EUS” in 1997</w:t>
      </w:r>
      <w:r w:rsidRPr="006B24DA">
        <w:rPr>
          <w:rFonts w:ascii="Book Antiqua" w:eastAsia="Times New Roman" w:hAnsi="Book Antiqua" w:cs="Times New Roman"/>
          <w:noProof/>
          <w:color w:val="000000" w:themeColor="text1"/>
          <w:sz w:val="24"/>
          <w:szCs w:val="24"/>
          <w:vertAlign w:val="superscript"/>
        </w:rPr>
        <w:t>[210]</w:t>
      </w:r>
      <w:r w:rsidRPr="006B24DA">
        <w:rPr>
          <w:rFonts w:ascii="Book Antiqua" w:eastAsia="Times New Roman" w:hAnsi="Book Antiqua" w:cs="Times New Roman"/>
          <w:color w:val="000000" w:themeColor="text1"/>
          <w:sz w:val="24"/>
          <w:szCs w:val="24"/>
        </w:rPr>
        <w:t xml:space="preserve"> since we had moved away from mere diagnostic imaging to tissue acquisition and intervention. The next iteration </w:t>
      </w:r>
      <w:r w:rsidR="00542D4C" w:rsidRPr="006B24DA">
        <w:rPr>
          <w:rFonts w:ascii="Book Antiqua" w:eastAsia="Times New Roman" w:hAnsi="Book Antiqua" w:cs="Times New Roman"/>
          <w:color w:val="000000" w:themeColor="text1"/>
          <w:sz w:val="24"/>
          <w:szCs w:val="24"/>
        </w:rPr>
        <w:t xml:space="preserve">for tissue acquisition </w:t>
      </w:r>
      <w:r w:rsidRPr="006B24DA">
        <w:rPr>
          <w:rFonts w:ascii="Book Antiqua" w:eastAsia="Times New Roman" w:hAnsi="Book Antiqua" w:cs="Times New Roman"/>
          <w:color w:val="000000" w:themeColor="text1"/>
          <w:sz w:val="24"/>
          <w:szCs w:val="24"/>
        </w:rPr>
        <w:t>was to move from EUS-FNA to EUS-FNB (fine needle biopsy).</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 xml:space="preserve">Larger gauge needles and needles designed to obtain histologically intact core specimen began to </w:t>
      </w:r>
      <w:proofErr w:type="gramStart"/>
      <w:r w:rsidRPr="006B24DA">
        <w:rPr>
          <w:rFonts w:ascii="Book Antiqua" w:eastAsia="Times New Roman" w:hAnsi="Book Antiqua" w:cs="Times New Roman"/>
          <w:color w:val="000000" w:themeColor="text1"/>
          <w:sz w:val="24"/>
          <w:szCs w:val="24"/>
        </w:rPr>
        <w:t>emerge</w:t>
      </w:r>
      <w:r w:rsidRPr="006B24DA">
        <w:rPr>
          <w:rFonts w:ascii="Book Antiqua" w:eastAsia="Times New Roman" w:hAnsi="Book Antiqua" w:cs="Times New Roman"/>
          <w:noProof/>
          <w:color w:val="000000" w:themeColor="text1"/>
          <w:sz w:val="24"/>
          <w:szCs w:val="24"/>
          <w:vertAlign w:val="superscript"/>
        </w:rPr>
        <w:t>[</w:t>
      </w:r>
      <w:proofErr w:type="gramEnd"/>
      <w:r w:rsidRPr="006B24DA">
        <w:rPr>
          <w:rFonts w:ascii="Book Antiqua" w:eastAsia="Times New Roman" w:hAnsi="Book Antiqua" w:cs="Times New Roman"/>
          <w:noProof/>
          <w:color w:val="000000" w:themeColor="text1"/>
          <w:sz w:val="24"/>
          <w:szCs w:val="24"/>
          <w:vertAlign w:val="superscript"/>
        </w:rPr>
        <w:t>211-220]</w:t>
      </w:r>
      <w:r w:rsidRPr="006B24DA">
        <w:rPr>
          <w:rFonts w:ascii="Book Antiqua" w:eastAsia="Times New Roman" w:hAnsi="Book Antiqua" w:cs="Times New Roman"/>
          <w:color w:val="000000" w:themeColor="text1"/>
          <w:sz w:val="24"/>
          <w:szCs w:val="24"/>
        </w:rPr>
        <w:t xml:space="preserve">. EUS-guided FNA in the liver began with targeting local lesions </w:t>
      </w:r>
      <w:r w:rsidR="00966E42" w:rsidRPr="006B24DA">
        <w:rPr>
          <w:rFonts w:ascii="Book Antiqua" w:eastAsia="Times New Roman" w:hAnsi="Book Antiqua" w:cs="Times New Roman"/>
          <w:color w:val="000000" w:themeColor="text1"/>
          <w:sz w:val="24"/>
          <w:szCs w:val="24"/>
        </w:rPr>
        <w:t>-</w:t>
      </w:r>
      <w:r w:rsidRPr="006B24DA">
        <w:rPr>
          <w:rFonts w:ascii="Book Antiqua" w:eastAsia="Times New Roman" w:hAnsi="Book Antiqua" w:cs="Times New Roman"/>
          <w:color w:val="000000" w:themeColor="text1"/>
          <w:sz w:val="24"/>
          <w:szCs w:val="24"/>
        </w:rPr>
        <w:t xml:space="preserve"> those suspicious of metastatic or primary </w:t>
      </w:r>
      <w:proofErr w:type="gramStart"/>
      <w:r w:rsidRPr="006B24DA">
        <w:rPr>
          <w:rFonts w:ascii="Book Antiqua" w:eastAsia="Times New Roman" w:hAnsi="Book Antiqua" w:cs="Times New Roman"/>
          <w:color w:val="000000" w:themeColor="text1"/>
          <w:sz w:val="24"/>
          <w:szCs w:val="24"/>
        </w:rPr>
        <w:t>tumors</w:t>
      </w:r>
      <w:r w:rsidRPr="006B24DA">
        <w:rPr>
          <w:rFonts w:ascii="Book Antiqua" w:eastAsia="Times New Roman" w:hAnsi="Book Antiqua" w:cs="Times New Roman"/>
          <w:noProof/>
          <w:color w:val="000000" w:themeColor="text1"/>
          <w:sz w:val="24"/>
          <w:szCs w:val="24"/>
          <w:vertAlign w:val="superscript"/>
        </w:rPr>
        <w:t>[</w:t>
      </w:r>
      <w:proofErr w:type="gramEnd"/>
      <w:r w:rsidRPr="006B24DA">
        <w:rPr>
          <w:rFonts w:ascii="Book Antiqua" w:eastAsia="Times New Roman" w:hAnsi="Book Antiqua" w:cs="Times New Roman"/>
          <w:noProof/>
          <w:color w:val="000000" w:themeColor="text1"/>
          <w:sz w:val="24"/>
          <w:szCs w:val="24"/>
          <w:vertAlign w:val="superscript"/>
        </w:rPr>
        <w:t>182]</w:t>
      </w:r>
      <w:r w:rsidRPr="006B24DA">
        <w:rPr>
          <w:rFonts w:ascii="Book Antiqua" w:eastAsia="Times New Roman" w:hAnsi="Book Antiqua" w:cs="Times New Roman"/>
          <w:color w:val="000000" w:themeColor="text1"/>
          <w:sz w:val="24"/>
          <w:szCs w:val="24"/>
        </w:rPr>
        <w:t xml:space="preserve">. However, with the development of specialized histology needles, we started to explore the possibility of EUS-guided liver biopsy for benign liver </w:t>
      </w:r>
      <w:proofErr w:type="gramStart"/>
      <w:r w:rsidRPr="006B24DA">
        <w:rPr>
          <w:rFonts w:ascii="Book Antiqua" w:eastAsia="Times New Roman" w:hAnsi="Book Antiqua" w:cs="Times New Roman"/>
          <w:color w:val="000000" w:themeColor="text1"/>
          <w:sz w:val="24"/>
          <w:szCs w:val="24"/>
        </w:rPr>
        <w:t>disease</w:t>
      </w:r>
      <w:r w:rsidRPr="006B24DA">
        <w:rPr>
          <w:rFonts w:ascii="Book Antiqua" w:eastAsia="Times New Roman" w:hAnsi="Book Antiqua" w:cs="Times New Roman"/>
          <w:noProof/>
          <w:color w:val="000000" w:themeColor="text1"/>
          <w:sz w:val="24"/>
          <w:szCs w:val="24"/>
          <w:vertAlign w:val="superscript"/>
        </w:rPr>
        <w:t>[</w:t>
      </w:r>
      <w:proofErr w:type="gramEnd"/>
      <w:r w:rsidRPr="006B24DA">
        <w:rPr>
          <w:rFonts w:ascii="Book Antiqua" w:eastAsia="Times New Roman" w:hAnsi="Book Antiqua" w:cs="Times New Roman"/>
          <w:noProof/>
          <w:color w:val="000000" w:themeColor="text1"/>
          <w:sz w:val="24"/>
          <w:szCs w:val="24"/>
          <w:vertAlign w:val="superscript"/>
        </w:rPr>
        <w:t>221-223]</w:t>
      </w:r>
      <w:r w:rsidRPr="006B24DA">
        <w:rPr>
          <w:rFonts w:ascii="Book Antiqua" w:eastAsia="Times New Roman" w:hAnsi="Book Antiqua" w:cs="Times New Roman"/>
          <w:color w:val="000000" w:themeColor="text1"/>
          <w:sz w:val="24"/>
          <w:szCs w:val="24"/>
        </w:rPr>
        <w:t>.</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We published the first case report of autoimmune hepatitis diagnosed using a new 19</w:t>
      </w:r>
      <w:r w:rsidR="000C6C8F" w:rsidRPr="006B24DA">
        <w:rPr>
          <w:rFonts w:ascii="Book Antiqua" w:eastAsia="Times New Roman" w:hAnsi="Book Antiqua" w:cs="Times New Roman"/>
          <w:color w:val="000000" w:themeColor="text1"/>
          <w:sz w:val="24"/>
          <w:szCs w:val="24"/>
        </w:rPr>
        <w:t>G</w:t>
      </w:r>
      <w:r w:rsidRPr="006B24DA">
        <w:rPr>
          <w:rFonts w:ascii="Book Antiqua" w:eastAsia="Times New Roman" w:hAnsi="Book Antiqua" w:cs="Times New Roman"/>
          <w:color w:val="000000" w:themeColor="text1"/>
          <w:sz w:val="24"/>
          <w:szCs w:val="24"/>
        </w:rPr>
        <w:t xml:space="preserve"> histology </w:t>
      </w:r>
      <w:proofErr w:type="gramStart"/>
      <w:r w:rsidRPr="006B24DA">
        <w:rPr>
          <w:rFonts w:ascii="Book Antiqua" w:eastAsia="Times New Roman" w:hAnsi="Book Antiqua" w:cs="Times New Roman"/>
          <w:color w:val="000000" w:themeColor="text1"/>
          <w:sz w:val="24"/>
          <w:szCs w:val="24"/>
        </w:rPr>
        <w:t>needle</w:t>
      </w:r>
      <w:r w:rsidRPr="006B24DA">
        <w:rPr>
          <w:rFonts w:ascii="Book Antiqua" w:eastAsia="Times New Roman" w:hAnsi="Book Antiqua" w:cs="Times New Roman"/>
          <w:noProof/>
          <w:color w:val="000000" w:themeColor="text1"/>
          <w:sz w:val="24"/>
          <w:szCs w:val="24"/>
          <w:vertAlign w:val="superscript"/>
        </w:rPr>
        <w:t>[</w:t>
      </w:r>
      <w:proofErr w:type="gramEnd"/>
      <w:r w:rsidRPr="006B24DA">
        <w:rPr>
          <w:rFonts w:ascii="Book Antiqua" w:eastAsia="Times New Roman" w:hAnsi="Book Antiqua" w:cs="Times New Roman"/>
          <w:noProof/>
          <w:color w:val="000000" w:themeColor="text1"/>
          <w:sz w:val="24"/>
          <w:szCs w:val="24"/>
          <w:vertAlign w:val="superscript"/>
        </w:rPr>
        <w:t>211]</w:t>
      </w:r>
      <w:r w:rsidRPr="006B24DA">
        <w:rPr>
          <w:rFonts w:ascii="Book Antiqua" w:eastAsia="Times New Roman" w:hAnsi="Book Antiqua" w:cs="Times New Roman"/>
          <w:color w:val="000000" w:themeColor="text1"/>
          <w:sz w:val="24"/>
          <w:szCs w:val="24"/>
        </w:rPr>
        <w:t xml:space="preserve"> in 2012. Over the past few years, many </w:t>
      </w:r>
      <w:proofErr w:type="gramStart"/>
      <w:r w:rsidRPr="006B24DA">
        <w:rPr>
          <w:rFonts w:ascii="Book Antiqua" w:eastAsia="Times New Roman" w:hAnsi="Book Antiqua" w:cs="Times New Roman"/>
          <w:color w:val="000000" w:themeColor="text1"/>
          <w:sz w:val="24"/>
          <w:szCs w:val="24"/>
        </w:rPr>
        <w:lastRenderedPageBreak/>
        <w:t>studies</w:t>
      </w:r>
      <w:r w:rsidRPr="006B24DA">
        <w:rPr>
          <w:rFonts w:ascii="Book Antiqua" w:eastAsia="Times New Roman" w:hAnsi="Book Antiqua" w:cs="Times New Roman"/>
          <w:noProof/>
          <w:color w:val="000000" w:themeColor="text1"/>
          <w:sz w:val="24"/>
          <w:szCs w:val="24"/>
          <w:vertAlign w:val="superscript"/>
        </w:rPr>
        <w:t>[</w:t>
      </w:r>
      <w:proofErr w:type="gramEnd"/>
      <w:r w:rsidRPr="006B24DA">
        <w:rPr>
          <w:rFonts w:ascii="Book Antiqua" w:eastAsia="Times New Roman" w:hAnsi="Book Antiqua" w:cs="Times New Roman"/>
          <w:noProof/>
          <w:color w:val="000000" w:themeColor="text1"/>
          <w:sz w:val="24"/>
          <w:szCs w:val="24"/>
          <w:vertAlign w:val="superscript"/>
        </w:rPr>
        <w:t>224-232]</w:t>
      </w:r>
      <w:r w:rsidRPr="006B24DA">
        <w:rPr>
          <w:rFonts w:ascii="Book Antiqua" w:eastAsia="Times New Roman" w:hAnsi="Book Antiqua" w:cs="Times New Roman"/>
          <w:color w:val="000000" w:themeColor="text1"/>
          <w:sz w:val="24"/>
          <w:szCs w:val="24"/>
        </w:rPr>
        <w:t xml:space="preserve"> have supported the current notion that EUS-guided liver biopsy is as good as percutaneous biopsy</w:t>
      </w:r>
      <w:r w:rsidRPr="006B24DA">
        <w:rPr>
          <w:rFonts w:ascii="Book Antiqua" w:eastAsia="Times New Roman" w:hAnsi="Book Antiqua" w:cs="Times New Roman"/>
          <w:noProof/>
          <w:color w:val="000000" w:themeColor="text1"/>
          <w:sz w:val="24"/>
          <w:szCs w:val="24"/>
          <w:vertAlign w:val="superscript"/>
        </w:rPr>
        <w:t>[233]</w:t>
      </w:r>
      <w:r w:rsidRPr="006B24DA">
        <w:rPr>
          <w:rFonts w:ascii="Book Antiqua" w:eastAsia="Times New Roman" w:hAnsi="Book Antiqua" w:cs="Times New Roman"/>
          <w:color w:val="000000" w:themeColor="text1"/>
          <w:sz w:val="24"/>
          <w:szCs w:val="24"/>
        </w:rPr>
        <w:t xml:space="preserve"> and may be better than trans-jugular biopsy</w:t>
      </w:r>
      <w:r w:rsidRPr="006B24DA">
        <w:rPr>
          <w:rFonts w:ascii="Book Antiqua" w:eastAsia="Times New Roman" w:hAnsi="Book Antiqua" w:cs="Times New Roman"/>
          <w:noProof/>
          <w:color w:val="000000" w:themeColor="text1"/>
          <w:sz w:val="24"/>
          <w:szCs w:val="24"/>
          <w:vertAlign w:val="superscript"/>
        </w:rPr>
        <w:t>[227]</w:t>
      </w:r>
      <w:r w:rsidRPr="006B24DA">
        <w:rPr>
          <w:rFonts w:ascii="Book Antiqua" w:eastAsia="Times New Roman" w:hAnsi="Book Antiqua" w:cs="Times New Roman"/>
          <w:color w:val="000000" w:themeColor="text1"/>
          <w:sz w:val="24"/>
          <w:szCs w:val="24"/>
        </w:rPr>
        <w:t xml:space="preserve">. </w:t>
      </w:r>
    </w:p>
    <w:p w14:paraId="55EA4333" w14:textId="3969F1AC" w:rsidR="00E20495" w:rsidRPr="006B24DA" w:rsidRDefault="000C6C8F" w:rsidP="007761C0">
      <w:pPr>
        <w:autoSpaceDE w:val="0"/>
        <w:autoSpaceDN w:val="0"/>
        <w:adjustRightInd w:val="0"/>
        <w:snapToGrid w:val="0"/>
        <w:spacing w:after="0" w:line="360" w:lineRule="auto"/>
        <w:jc w:val="both"/>
        <w:rPr>
          <w:rFonts w:ascii="Book Antiqua" w:hAnsi="Book Antiqua" w:cs="Times New Roman"/>
          <w:color w:val="000000" w:themeColor="text1"/>
          <w:sz w:val="24"/>
          <w:szCs w:val="24"/>
          <w:lang w:val="en"/>
        </w:rPr>
      </w:pPr>
      <w:r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Moving from the EUS-guided liver biopsy, I </w:t>
      </w:r>
      <w:proofErr w:type="gramStart"/>
      <w:r w:rsidR="00E20495" w:rsidRPr="006B24DA">
        <w:rPr>
          <w:rFonts w:ascii="Book Antiqua" w:eastAsia="Times New Roman" w:hAnsi="Book Antiqua" w:cs="Times New Roman"/>
          <w:bCs/>
          <w:color w:val="000000" w:themeColor="text1"/>
          <w:sz w:val="24"/>
          <w:szCs w:val="24"/>
        </w:rPr>
        <w:t>innovated</w:t>
      </w:r>
      <w:proofErr w:type="gramEnd"/>
      <w:r w:rsidR="00E20495" w:rsidRPr="006B24DA">
        <w:rPr>
          <w:rFonts w:ascii="Book Antiqua" w:eastAsia="Times New Roman" w:hAnsi="Book Antiqua" w:cs="Times New Roman"/>
          <w:bCs/>
          <w:color w:val="000000" w:themeColor="text1"/>
          <w:sz w:val="24"/>
          <w:szCs w:val="24"/>
        </w:rPr>
        <w:t xml:space="preserve"> the possibility of performing EUS-guided </w:t>
      </w:r>
      <w:proofErr w:type="spellStart"/>
      <w:r w:rsidR="00E20495" w:rsidRPr="006B24DA">
        <w:rPr>
          <w:rFonts w:ascii="Book Antiqua" w:eastAsia="Times New Roman" w:hAnsi="Book Antiqua" w:cs="Times New Roman"/>
          <w:bCs/>
          <w:color w:val="000000" w:themeColor="text1"/>
          <w:sz w:val="24"/>
          <w:szCs w:val="24"/>
        </w:rPr>
        <w:t>porto</w:t>
      </w:r>
      <w:proofErr w:type="spellEnd"/>
      <w:r w:rsidR="00E20495" w:rsidRPr="006B24DA">
        <w:rPr>
          <w:rFonts w:ascii="Book Antiqua" w:eastAsia="Times New Roman" w:hAnsi="Book Antiqua" w:cs="Times New Roman"/>
          <w:bCs/>
          <w:color w:val="000000" w:themeColor="text1"/>
          <w:sz w:val="24"/>
          <w:szCs w:val="24"/>
        </w:rPr>
        <w:t>-systemic pressure gradient (EUS-PPG) measurement.</w:t>
      </w:r>
      <w:r w:rsidR="002A29F4"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Working together with the engineers at Cook Medical, I was able to help develop (through bench and animal testing) a simple compact hand-held manometer that attaches to a 25</w:t>
      </w:r>
      <w:r w:rsidRPr="006B24DA">
        <w:rPr>
          <w:rFonts w:ascii="Book Antiqua" w:eastAsia="Times New Roman" w:hAnsi="Book Antiqua" w:cs="Times New Roman"/>
          <w:bCs/>
          <w:color w:val="000000" w:themeColor="text1"/>
          <w:sz w:val="24"/>
          <w:szCs w:val="24"/>
        </w:rPr>
        <w:t>G</w:t>
      </w:r>
      <w:r w:rsidR="00E20495" w:rsidRPr="006B24DA">
        <w:rPr>
          <w:rFonts w:ascii="Book Antiqua" w:eastAsia="Times New Roman" w:hAnsi="Book Antiqua" w:cs="Times New Roman"/>
          <w:bCs/>
          <w:color w:val="000000" w:themeColor="text1"/>
          <w:sz w:val="24"/>
          <w:szCs w:val="24"/>
        </w:rPr>
        <w:t xml:space="preserve"> FNA needle. The background and rationale for this development is as follows. Portal hypertension (PH) is a serious adverse event of liver cirrhosis. The hepatic venous pressure gradient or portosystemic pressure gradient (PPG) accurately reflects the degree of PH and is the single best prognostic factor in liver disease.</w:t>
      </w:r>
      <w:r w:rsidR="002A29F4"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This is usually obtained by interventional radiology (IR) </w:t>
      </w:r>
      <w:r w:rsidR="00E20495" w:rsidRPr="006B24DA">
        <w:rPr>
          <w:rFonts w:ascii="Book Antiqua" w:eastAsia="Times New Roman" w:hAnsi="Book Antiqua" w:cs="Times New Roman"/>
          <w:bCs/>
          <w:i/>
          <w:color w:val="000000" w:themeColor="text1"/>
          <w:sz w:val="24"/>
          <w:szCs w:val="24"/>
        </w:rPr>
        <w:t>via</w:t>
      </w:r>
      <w:r w:rsidR="00E20495" w:rsidRPr="006B24DA">
        <w:rPr>
          <w:rFonts w:ascii="Book Antiqua" w:eastAsia="Times New Roman" w:hAnsi="Book Antiqua" w:cs="Times New Roman"/>
          <w:bCs/>
          <w:color w:val="000000" w:themeColor="text1"/>
          <w:sz w:val="24"/>
          <w:szCs w:val="24"/>
        </w:rPr>
        <w:t xml:space="preserve"> a </w:t>
      </w:r>
      <w:proofErr w:type="spellStart"/>
      <w:r w:rsidR="00E20495" w:rsidRPr="006B24DA">
        <w:rPr>
          <w:rFonts w:ascii="Book Antiqua" w:eastAsia="Times New Roman" w:hAnsi="Book Antiqua" w:cs="Times New Roman"/>
          <w:bCs/>
          <w:color w:val="000000" w:themeColor="text1"/>
          <w:sz w:val="24"/>
          <w:szCs w:val="24"/>
        </w:rPr>
        <w:t>transjugular</w:t>
      </w:r>
      <w:proofErr w:type="spellEnd"/>
      <w:r w:rsidR="00E20495" w:rsidRPr="006B24DA">
        <w:rPr>
          <w:rFonts w:ascii="Book Antiqua" w:eastAsia="Times New Roman" w:hAnsi="Book Antiqua" w:cs="Times New Roman"/>
          <w:bCs/>
          <w:color w:val="000000" w:themeColor="text1"/>
          <w:sz w:val="24"/>
          <w:szCs w:val="24"/>
        </w:rPr>
        <w:t xml:space="preserve"> approach requiring radiation and intravenous contrast exposure.</w:t>
      </w:r>
      <w:r w:rsidR="002A29F4"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The </w:t>
      </w:r>
      <w:proofErr w:type="spellStart"/>
      <w:r w:rsidR="00E20495" w:rsidRPr="006B24DA">
        <w:rPr>
          <w:rFonts w:ascii="Book Antiqua" w:eastAsia="Times New Roman" w:hAnsi="Book Antiqua" w:cs="Times New Roman"/>
          <w:bCs/>
          <w:color w:val="000000" w:themeColor="text1"/>
          <w:sz w:val="24"/>
          <w:szCs w:val="24"/>
        </w:rPr>
        <w:t>transjugular</w:t>
      </w:r>
      <w:proofErr w:type="spellEnd"/>
      <w:r w:rsidR="00E20495" w:rsidRPr="006B24DA">
        <w:rPr>
          <w:rFonts w:ascii="Book Antiqua" w:eastAsia="Times New Roman" w:hAnsi="Book Antiqua" w:cs="Times New Roman"/>
          <w:bCs/>
          <w:color w:val="000000" w:themeColor="text1"/>
          <w:sz w:val="24"/>
          <w:szCs w:val="24"/>
        </w:rPr>
        <w:t xml:space="preserve"> PPG measurement is not routinely performed as a stand-alone diagnostic </w:t>
      </w:r>
      <w:proofErr w:type="gramStart"/>
      <w:r w:rsidR="00E20495" w:rsidRPr="006B24DA">
        <w:rPr>
          <w:rFonts w:ascii="Book Antiqua" w:eastAsia="Times New Roman" w:hAnsi="Book Antiqua" w:cs="Times New Roman"/>
          <w:bCs/>
          <w:color w:val="000000" w:themeColor="text1"/>
          <w:sz w:val="24"/>
          <w:szCs w:val="24"/>
        </w:rPr>
        <w:t>test,</w:t>
      </w:r>
      <w:proofErr w:type="gramEnd"/>
      <w:r w:rsidR="00E20495" w:rsidRPr="006B24DA">
        <w:rPr>
          <w:rFonts w:ascii="Book Antiqua" w:eastAsia="Times New Roman" w:hAnsi="Book Antiqua" w:cs="Times New Roman"/>
          <w:bCs/>
          <w:color w:val="000000" w:themeColor="text1"/>
          <w:sz w:val="24"/>
          <w:szCs w:val="24"/>
        </w:rPr>
        <w:t xml:space="preserve"> and in most instances is done only in conjunction with </w:t>
      </w:r>
      <w:proofErr w:type="spellStart"/>
      <w:r w:rsidR="00E20495" w:rsidRPr="006B24DA">
        <w:rPr>
          <w:rFonts w:ascii="Book Antiqua" w:eastAsia="Times New Roman" w:hAnsi="Book Antiqua" w:cs="Times New Roman"/>
          <w:bCs/>
          <w:color w:val="000000" w:themeColor="text1"/>
          <w:sz w:val="24"/>
          <w:szCs w:val="24"/>
        </w:rPr>
        <w:t>transjugular</w:t>
      </w:r>
      <w:proofErr w:type="spellEnd"/>
      <w:r w:rsidR="00E20495" w:rsidRPr="006B24DA">
        <w:rPr>
          <w:rFonts w:ascii="Book Antiqua" w:eastAsia="Times New Roman" w:hAnsi="Book Antiqua" w:cs="Times New Roman"/>
          <w:bCs/>
          <w:color w:val="000000" w:themeColor="text1"/>
          <w:sz w:val="24"/>
          <w:szCs w:val="24"/>
        </w:rPr>
        <w:t xml:space="preserve"> intrahepatic portosystemic shunt (TIPS).</w:t>
      </w:r>
      <w:r w:rsidR="002A29F4"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In the animal study, we tested this novel EUS-guided system using a 25G FNA needle and compact manometer to directly measure PPG and evaluated its performance against the current gold standard </w:t>
      </w:r>
      <w:r w:rsidR="00966E42" w:rsidRPr="006B24DA">
        <w:rPr>
          <w:rFonts w:ascii="Book Antiqua" w:eastAsia="Times New Roman" w:hAnsi="Book Antiqua" w:cs="Times New Roman"/>
          <w:bCs/>
          <w:color w:val="000000" w:themeColor="text1"/>
          <w:sz w:val="24"/>
          <w:szCs w:val="24"/>
        </w:rPr>
        <w:t>-</w:t>
      </w:r>
      <w:r w:rsidR="00E20495" w:rsidRPr="006B24DA">
        <w:rPr>
          <w:rFonts w:ascii="Book Antiqua" w:eastAsia="Times New Roman" w:hAnsi="Book Antiqua" w:cs="Times New Roman"/>
          <w:bCs/>
          <w:color w:val="000000" w:themeColor="text1"/>
          <w:sz w:val="24"/>
          <w:szCs w:val="24"/>
        </w:rPr>
        <w:t xml:space="preserve"> </w:t>
      </w:r>
      <w:proofErr w:type="spellStart"/>
      <w:r w:rsidR="00E20495" w:rsidRPr="006B24DA">
        <w:rPr>
          <w:rFonts w:ascii="Book Antiqua" w:eastAsia="Times New Roman" w:hAnsi="Book Antiqua" w:cs="Times New Roman"/>
          <w:bCs/>
          <w:color w:val="000000" w:themeColor="text1"/>
          <w:sz w:val="24"/>
          <w:szCs w:val="24"/>
        </w:rPr>
        <w:t>transjugular</w:t>
      </w:r>
      <w:proofErr w:type="spellEnd"/>
      <w:r w:rsidR="00E20495" w:rsidRPr="006B24DA">
        <w:rPr>
          <w:rFonts w:ascii="Book Antiqua" w:eastAsia="Times New Roman" w:hAnsi="Book Antiqua" w:cs="Times New Roman"/>
          <w:bCs/>
          <w:color w:val="000000" w:themeColor="text1"/>
          <w:sz w:val="24"/>
          <w:szCs w:val="24"/>
        </w:rPr>
        <w:t xml:space="preserve"> hepatic venous pressure gradient</w:t>
      </w:r>
      <w:r w:rsidR="00E20495" w:rsidRPr="006B24DA">
        <w:rPr>
          <w:rFonts w:ascii="Book Antiqua" w:eastAsia="Times New Roman" w:hAnsi="Book Antiqua" w:cs="Times New Roman"/>
          <w:bCs/>
          <w:noProof/>
          <w:color w:val="000000" w:themeColor="text1"/>
          <w:sz w:val="24"/>
          <w:szCs w:val="24"/>
          <w:vertAlign w:val="superscript"/>
        </w:rPr>
        <w:t>[234]</w:t>
      </w:r>
      <w:r w:rsidR="00E20495" w:rsidRPr="006B24DA">
        <w:rPr>
          <w:rFonts w:ascii="Book Antiqua" w:eastAsia="Times New Roman" w:hAnsi="Book Antiqua" w:cs="Times New Roman"/>
          <w:bCs/>
          <w:color w:val="000000" w:themeColor="text1"/>
          <w:sz w:val="24"/>
          <w:szCs w:val="24"/>
        </w:rPr>
        <w:t>. Manometry was performed in venous (baseline and PH) and arterial (aorta) systems. The PH model was created by rapid Dextran-40 infusion peripherally. Under EUS guidance a 25G FNA needle with attached compact manometer was used to puncture (</w:t>
      </w:r>
      <w:proofErr w:type="spellStart"/>
      <w:r w:rsidR="00E20495" w:rsidRPr="006B24DA">
        <w:rPr>
          <w:rFonts w:ascii="Book Antiqua" w:eastAsia="Times New Roman" w:hAnsi="Book Antiqua" w:cs="Times New Roman"/>
          <w:bCs/>
          <w:color w:val="000000" w:themeColor="text1"/>
          <w:sz w:val="24"/>
          <w:szCs w:val="24"/>
        </w:rPr>
        <w:t>transgastric-transhepatic</w:t>
      </w:r>
      <w:proofErr w:type="spellEnd"/>
      <w:r w:rsidR="00E20495" w:rsidRPr="006B24DA">
        <w:rPr>
          <w:rFonts w:ascii="Book Antiqua" w:eastAsia="Times New Roman" w:hAnsi="Book Antiqua" w:cs="Times New Roman"/>
          <w:bCs/>
          <w:color w:val="000000" w:themeColor="text1"/>
          <w:sz w:val="24"/>
          <w:szCs w:val="24"/>
        </w:rPr>
        <w:t xml:space="preserve"> approach) and measure pressures in the portal vein, right hepatic vein (RHV), inferior vena cava (IVC), and aorta. With the IR approach, RHV (free and wedged), IVC, and aorta pressure were measured with an occlusion balloon. Pressure correlation was divided into 3 groups; low pressure (baseline), medium pressure (</w:t>
      </w:r>
      <w:proofErr w:type="spellStart"/>
      <w:r w:rsidR="00E20495" w:rsidRPr="006B24DA">
        <w:rPr>
          <w:rFonts w:ascii="Book Antiqua" w:eastAsia="Times New Roman" w:hAnsi="Book Antiqua" w:cs="Times New Roman"/>
          <w:bCs/>
          <w:color w:val="000000" w:themeColor="text1"/>
          <w:sz w:val="24"/>
          <w:szCs w:val="24"/>
        </w:rPr>
        <w:t>noncirrhotic</w:t>
      </w:r>
      <w:proofErr w:type="spellEnd"/>
      <w:r w:rsidR="00E20495" w:rsidRPr="006B24DA">
        <w:rPr>
          <w:rFonts w:ascii="Book Antiqua" w:eastAsia="Times New Roman" w:hAnsi="Book Antiqua" w:cs="Times New Roman"/>
          <w:bCs/>
          <w:color w:val="000000" w:themeColor="text1"/>
          <w:sz w:val="24"/>
          <w:szCs w:val="24"/>
        </w:rPr>
        <w:t xml:space="preserve"> portal hypertensive model), and high pressure (arterial). Correlation between the 2 methods of measurement was charted in scatter plots, and the Pearson’s correlation coefficient (</w:t>
      </w:r>
      <w:r w:rsidR="00E20495" w:rsidRPr="006B24DA">
        <w:rPr>
          <w:rFonts w:ascii="Book Antiqua" w:eastAsia="Times New Roman" w:hAnsi="Book Antiqua" w:cs="Times New Roman"/>
          <w:bCs/>
          <w:i/>
          <w:color w:val="000000" w:themeColor="text1"/>
          <w:sz w:val="24"/>
          <w:szCs w:val="24"/>
        </w:rPr>
        <w:t>R</w:t>
      </w:r>
      <w:r w:rsidR="00E20495" w:rsidRPr="006B24DA">
        <w:rPr>
          <w:rFonts w:ascii="Book Antiqua" w:eastAsia="Times New Roman" w:hAnsi="Book Antiqua" w:cs="Times New Roman"/>
          <w:bCs/>
          <w:color w:val="000000" w:themeColor="text1"/>
          <w:sz w:val="24"/>
          <w:szCs w:val="24"/>
        </w:rPr>
        <w:t xml:space="preserve">) was calculated. Our results showed that EUS identification, access, and manometry </w:t>
      </w:r>
      <w:proofErr w:type="gramStart"/>
      <w:r w:rsidR="00E20495" w:rsidRPr="006B24DA">
        <w:rPr>
          <w:rFonts w:ascii="Book Antiqua" w:eastAsia="Times New Roman" w:hAnsi="Book Antiqua" w:cs="Times New Roman"/>
          <w:bCs/>
          <w:color w:val="000000" w:themeColor="text1"/>
          <w:sz w:val="24"/>
          <w:szCs w:val="24"/>
        </w:rPr>
        <w:t>was</w:t>
      </w:r>
      <w:proofErr w:type="gramEnd"/>
      <w:r w:rsidR="00E20495" w:rsidRPr="006B24DA">
        <w:rPr>
          <w:rFonts w:ascii="Book Antiqua" w:eastAsia="Times New Roman" w:hAnsi="Book Antiqua" w:cs="Times New Roman"/>
          <w:bCs/>
          <w:color w:val="000000" w:themeColor="text1"/>
          <w:sz w:val="24"/>
          <w:szCs w:val="24"/>
        </w:rPr>
        <w:t xml:space="preserve"> successful in all targeted vessels. There was excellent correlation (</w:t>
      </w:r>
      <w:r w:rsidRPr="006B24DA">
        <w:rPr>
          <w:rFonts w:ascii="Book Antiqua" w:eastAsia="Times New Roman" w:hAnsi="Book Antiqua" w:cs="Times New Roman"/>
          <w:bCs/>
          <w:i/>
          <w:color w:val="000000" w:themeColor="text1"/>
          <w:sz w:val="24"/>
          <w:szCs w:val="24"/>
        </w:rPr>
        <w:t>R</w:t>
      </w:r>
      <w:r w:rsidRPr="006B24DA">
        <w:rPr>
          <w:rFonts w:ascii="Book Antiqua" w:eastAsia="Times New Roman" w:hAnsi="Book Antiqua" w:cs="Times New Roman"/>
          <w:bCs/>
          <w:color w:val="000000" w:themeColor="text1"/>
          <w:sz w:val="24"/>
          <w:szCs w:val="24"/>
        </w:rPr>
        <w:t>:</w:t>
      </w:r>
      <w:r w:rsidR="00E20495"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0</w:t>
      </w:r>
      <w:r w:rsidR="00E20495" w:rsidRPr="006B24DA">
        <w:rPr>
          <w:rFonts w:ascii="Book Antiqua" w:eastAsia="Times New Roman" w:hAnsi="Book Antiqua" w:cs="Times New Roman"/>
          <w:bCs/>
          <w:color w:val="000000" w:themeColor="text1"/>
          <w:sz w:val="24"/>
          <w:szCs w:val="24"/>
        </w:rPr>
        <w:t>.985-</w:t>
      </w:r>
      <w:r w:rsidRPr="006B24DA">
        <w:rPr>
          <w:rFonts w:ascii="Book Antiqua" w:eastAsia="Times New Roman" w:hAnsi="Book Antiqua" w:cs="Times New Roman"/>
          <w:bCs/>
          <w:color w:val="000000" w:themeColor="text1"/>
          <w:sz w:val="24"/>
          <w:szCs w:val="24"/>
        </w:rPr>
        <w:t>0</w:t>
      </w:r>
      <w:r w:rsidR="00E20495" w:rsidRPr="006B24DA">
        <w:rPr>
          <w:rFonts w:ascii="Book Antiqua" w:eastAsia="Times New Roman" w:hAnsi="Book Antiqua" w:cs="Times New Roman"/>
          <w:bCs/>
          <w:color w:val="000000" w:themeColor="text1"/>
          <w:sz w:val="24"/>
          <w:szCs w:val="24"/>
        </w:rPr>
        <w:t xml:space="preserve">.99) between EUS and IR methods in all pressure ranges. No </w:t>
      </w:r>
      <w:r w:rsidR="00E20495" w:rsidRPr="006B24DA">
        <w:rPr>
          <w:rFonts w:ascii="Book Antiqua" w:eastAsia="Times New Roman" w:hAnsi="Book Antiqua" w:cs="Times New Roman"/>
          <w:bCs/>
          <w:color w:val="000000" w:themeColor="text1"/>
          <w:sz w:val="24"/>
          <w:szCs w:val="24"/>
        </w:rPr>
        <w:lastRenderedPageBreak/>
        <w:t>adverse event occurred.</w:t>
      </w:r>
      <w:r w:rsidR="002A29F4" w:rsidRPr="006B24DA">
        <w:rPr>
          <w:rFonts w:ascii="Book Antiqua" w:eastAsia="Times New Roman" w:hAnsi="Book Antiqua" w:cs="Times New Roman"/>
          <w:bCs/>
          <w:color w:val="000000" w:themeColor="text1"/>
          <w:sz w:val="24"/>
          <w:szCs w:val="24"/>
        </w:rPr>
        <w:t xml:space="preserve"> </w:t>
      </w:r>
      <w:r w:rsidR="00E20495" w:rsidRPr="006B24DA">
        <w:rPr>
          <w:rFonts w:ascii="Book Antiqua" w:eastAsia="Times New Roman" w:hAnsi="Book Antiqua" w:cs="Times New Roman"/>
          <w:bCs/>
          <w:color w:val="000000" w:themeColor="text1"/>
          <w:sz w:val="24"/>
          <w:szCs w:val="24"/>
        </w:rPr>
        <w:t xml:space="preserve">We then went on to conduct a human pilot study performing EUS-PPG measurement on 28 patients with suspected </w:t>
      </w:r>
      <w:proofErr w:type="gramStart"/>
      <w:r w:rsidR="00E20495" w:rsidRPr="006B24DA">
        <w:rPr>
          <w:rFonts w:ascii="Book Antiqua" w:eastAsia="Times New Roman" w:hAnsi="Book Antiqua" w:cs="Times New Roman"/>
          <w:bCs/>
          <w:color w:val="000000" w:themeColor="text1"/>
          <w:sz w:val="24"/>
          <w:szCs w:val="24"/>
        </w:rPr>
        <w:t>cirrhosis</w:t>
      </w:r>
      <w:r w:rsidR="00E20495" w:rsidRPr="006B24DA">
        <w:rPr>
          <w:rFonts w:ascii="Book Antiqua" w:eastAsia="Times New Roman" w:hAnsi="Book Antiqua" w:cs="Times New Roman"/>
          <w:bCs/>
          <w:noProof/>
          <w:color w:val="000000" w:themeColor="text1"/>
          <w:sz w:val="24"/>
          <w:szCs w:val="24"/>
          <w:vertAlign w:val="superscript"/>
        </w:rPr>
        <w:t>[</w:t>
      </w:r>
      <w:proofErr w:type="gramEnd"/>
      <w:r w:rsidR="00E20495" w:rsidRPr="006B24DA">
        <w:rPr>
          <w:rFonts w:ascii="Book Antiqua" w:eastAsia="Times New Roman" w:hAnsi="Book Antiqua" w:cs="Times New Roman"/>
          <w:bCs/>
          <w:noProof/>
          <w:color w:val="000000" w:themeColor="text1"/>
          <w:sz w:val="24"/>
          <w:szCs w:val="24"/>
          <w:vertAlign w:val="superscript"/>
        </w:rPr>
        <w:t>235]</w:t>
      </w:r>
      <w:r w:rsidR="00E20495" w:rsidRPr="006B24DA">
        <w:rPr>
          <w:rFonts w:ascii="Book Antiqua" w:eastAsia="Times New Roman" w:hAnsi="Book Antiqua" w:cs="Times New Roman"/>
          <w:bCs/>
          <w:color w:val="000000" w:themeColor="text1"/>
          <w:sz w:val="24"/>
          <w:szCs w:val="24"/>
        </w:rPr>
        <w:t xml:space="preserve">. The portal vein and hepatic vein (or inferior vena cava) </w:t>
      </w:r>
      <w:proofErr w:type="gramStart"/>
      <w:r w:rsidR="00E20495" w:rsidRPr="006B24DA">
        <w:rPr>
          <w:rFonts w:ascii="Book Antiqua" w:eastAsia="Times New Roman" w:hAnsi="Book Antiqua" w:cs="Times New Roman"/>
          <w:bCs/>
          <w:color w:val="000000" w:themeColor="text1"/>
          <w:sz w:val="24"/>
          <w:szCs w:val="24"/>
        </w:rPr>
        <w:t>were</w:t>
      </w:r>
      <w:proofErr w:type="gramEnd"/>
      <w:r w:rsidR="00E20495" w:rsidRPr="006B24DA">
        <w:rPr>
          <w:rFonts w:ascii="Book Antiqua" w:eastAsia="Times New Roman" w:hAnsi="Book Antiqua" w:cs="Times New Roman"/>
          <w:bCs/>
          <w:color w:val="000000" w:themeColor="text1"/>
          <w:sz w:val="24"/>
          <w:szCs w:val="24"/>
        </w:rPr>
        <w:t xml:space="preserve"> targeted using a </w:t>
      </w:r>
      <w:proofErr w:type="spellStart"/>
      <w:r w:rsidR="00E20495" w:rsidRPr="006B24DA">
        <w:rPr>
          <w:rFonts w:ascii="Book Antiqua" w:eastAsia="Times New Roman" w:hAnsi="Book Antiqua" w:cs="Times New Roman"/>
          <w:bCs/>
          <w:color w:val="000000" w:themeColor="text1"/>
          <w:sz w:val="24"/>
          <w:szCs w:val="24"/>
        </w:rPr>
        <w:t>transgastric</w:t>
      </w:r>
      <w:r w:rsidR="00966E42" w:rsidRPr="006B24DA">
        <w:rPr>
          <w:rFonts w:ascii="Book Antiqua" w:eastAsia="Times New Roman" w:hAnsi="Book Antiqua" w:cs="Times New Roman"/>
          <w:bCs/>
          <w:color w:val="000000" w:themeColor="text1"/>
          <w:sz w:val="24"/>
          <w:szCs w:val="24"/>
        </w:rPr>
        <w:t>-</w:t>
      </w:r>
      <w:r w:rsidR="00E20495" w:rsidRPr="006B24DA">
        <w:rPr>
          <w:rFonts w:ascii="Book Antiqua" w:eastAsia="Times New Roman" w:hAnsi="Book Antiqua" w:cs="Times New Roman"/>
          <w:bCs/>
          <w:color w:val="000000" w:themeColor="text1"/>
          <w:sz w:val="24"/>
          <w:szCs w:val="24"/>
        </w:rPr>
        <w:t>transduodenal</w:t>
      </w:r>
      <w:proofErr w:type="spellEnd"/>
      <w:r w:rsidR="00E20495" w:rsidRPr="006B24DA">
        <w:rPr>
          <w:rFonts w:ascii="Book Antiqua" w:eastAsia="Times New Roman" w:hAnsi="Book Antiqua" w:cs="Times New Roman"/>
          <w:bCs/>
          <w:color w:val="000000" w:themeColor="text1"/>
          <w:sz w:val="24"/>
          <w:szCs w:val="24"/>
        </w:rPr>
        <w:t xml:space="preserve"> approach. Clinical parameters of PH were evaluated in each patient. Feasibility was defined as successful PPG measurement in each patient. Our results showed 100% technical success and no adverse events. EUS-PPG values ranged from 1</w:t>
      </w:r>
      <w:r w:rsidRPr="006B24DA">
        <w:rPr>
          <w:rFonts w:ascii="Book Antiqua" w:eastAsia="Times New Roman" w:hAnsi="Book Antiqua" w:cs="Times New Roman"/>
          <w:bCs/>
          <w:color w:val="000000" w:themeColor="text1"/>
          <w:sz w:val="24"/>
          <w:szCs w:val="24"/>
        </w:rPr>
        <w:t>.5 to 19 mm</w:t>
      </w:r>
      <w:r w:rsidR="00E20495" w:rsidRPr="006B24DA">
        <w:rPr>
          <w:rFonts w:ascii="Book Antiqua" w:eastAsia="Times New Roman" w:hAnsi="Book Antiqua" w:cs="Times New Roman"/>
          <w:bCs/>
          <w:color w:val="000000" w:themeColor="text1"/>
          <w:sz w:val="24"/>
          <w:szCs w:val="24"/>
        </w:rPr>
        <w:t xml:space="preserve">Hg and had excellent correlation with clinical parameters of </w:t>
      </w:r>
      <w:r w:rsidRPr="006B24DA">
        <w:rPr>
          <w:rFonts w:ascii="Book Antiqua" w:eastAsia="Times New Roman" w:hAnsi="Book Antiqua" w:cs="Times New Roman"/>
          <w:bCs/>
          <w:color w:val="000000" w:themeColor="text1"/>
          <w:sz w:val="24"/>
          <w:szCs w:val="24"/>
        </w:rPr>
        <w:t xml:space="preserve">PH </w:t>
      </w:r>
      <w:r w:rsidR="00E20495" w:rsidRPr="006B24DA">
        <w:rPr>
          <w:rFonts w:ascii="Book Antiqua" w:eastAsia="Times New Roman" w:hAnsi="Book Antiqua" w:cs="Times New Roman"/>
          <w:bCs/>
          <w:color w:val="000000" w:themeColor="text1"/>
          <w:sz w:val="24"/>
          <w:szCs w:val="24"/>
        </w:rPr>
        <w:t>including the presence of varices (</w:t>
      </w:r>
      <w:bookmarkStart w:id="90" w:name="OLE_LINK105"/>
      <w:bookmarkStart w:id="91" w:name="OLE_LINK106"/>
      <w:r w:rsidR="00E20495" w:rsidRPr="006B24DA">
        <w:rPr>
          <w:rFonts w:ascii="Book Antiqua" w:eastAsia="Times New Roman" w:hAnsi="Book Antiqua" w:cs="Times New Roman"/>
          <w:bCs/>
          <w:i/>
          <w:color w:val="000000" w:themeColor="text1"/>
          <w:sz w:val="24"/>
          <w:szCs w:val="24"/>
        </w:rPr>
        <w:t>P</w:t>
      </w:r>
      <w:bookmarkEnd w:id="90"/>
      <w:bookmarkEnd w:id="91"/>
      <w:r w:rsidR="00E20495" w:rsidRPr="006B24DA">
        <w:rPr>
          <w:rFonts w:ascii="Book Antiqua" w:eastAsia="Times New Roman" w:hAnsi="Book Antiqua" w:cs="Times New Roman"/>
          <w:bCs/>
          <w:color w:val="000000" w:themeColor="text1"/>
          <w:sz w:val="24"/>
          <w:szCs w:val="24"/>
        </w:rPr>
        <w:t xml:space="preserve"> = </w:t>
      </w:r>
      <w:r w:rsidRPr="006B24DA">
        <w:rPr>
          <w:rFonts w:ascii="Book Antiqua" w:eastAsia="Times New Roman" w:hAnsi="Book Antiqua" w:cs="Times New Roman"/>
          <w:bCs/>
          <w:color w:val="000000" w:themeColor="text1"/>
          <w:sz w:val="24"/>
          <w:szCs w:val="24"/>
        </w:rPr>
        <w:t>0</w:t>
      </w:r>
      <w:r w:rsidR="00E20495" w:rsidRPr="006B24DA">
        <w:rPr>
          <w:rFonts w:ascii="Book Antiqua" w:eastAsia="Times New Roman" w:hAnsi="Book Antiqua" w:cs="Times New Roman"/>
          <w:bCs/>
          <w:color w:val="000000" w:themeColor="text1"/>
          <w:sz w:val="24"/>
          <w:szCs w:val="24"/>
        </w:rPr>
        <w:t xml:space="preserve">.0002), PH </w:t>
      </w:r>
      <w:proofErr w:type="spellStart"/>
      <w:r w:rsidR="00E20495" w:rsidRPr="006B24DA">
        <w:rPr>
          <w:rFonts w:ascii="Book Antiqua" w:eastAsia="Times New Roman" w:hAnsi="Book Antiqua" w:cs="Times New Roman"/>
          <w:bCs/>
          <w:color w:val="000000" w:themeColor="text1"/>
          <w:sz w:val="24"/>
          <w:szCs w:val="24"/>
        </w:rPr>
        <w:t>gastropathy</w:t>
      </w:r>
      <w:proofErr w:type="spellEnd"/>
      <w:r w:rsidR="00E20495"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i/>
          <w:color w:val="000000" w:themeColor="text1"/>
          <w:sz w:val="24"/>
          <w:szCs w:val="24"/>
        </w:rPr>
        <w:t>P</w:t>
      </w:r>
      <w:r w:rsidR="00E20495" w:rsidRPr="006B24DA">
        <w:rPr>
          <w:rFonts w:ascii="Book Antiqua" w:eastAsia="Times New Roman" w:hAnsi="Book Antiqua" w:cs="Times New Roman"/>
          <w:bCs/>
          <w:color w:val="000000" w:themeColor="text1"/>
          <w:sz w:val="24"/>
          <w:szCs w:val="24"/>
        </w:rPr>
        <w:t xml:space="preserve"> = </w:t>
      </w:r>
      <w:r w:rsidRPr="006B24DA">
        <w:rPr>
          <w:rFonts w:ascii="Book Antiqua" w:eastAsia="Times New Roman" w:hAnsi="Book Antiqua" w:cs="Times New Roman"/>
          <w:bCs/>
          <w:color w:val="000000" w:themeColor="text1"/>
          <w:sz w:val="24"/>
          <w:szCs w:val="24"/>
        </w:rPr>
        <w:t>0</w:t>
      </w:r>
      <w:r w:rsidR="00E20495" w:rsidRPr="006B24DA">
        <w:rPr>
          <w:rFonts w:ascii="Book Antiqua" w:eastAsia="Times New Roman" w:hAnsi="Book Antiqua" w:cs="Times New Roman"/>
          <w:bCs/>
          <w:color w:val="000000" w:themeColor="text1"/>
          <w:sz w:val="24"/>
          <w:szCs w:val="24"/>
        </w:rPr>
        <w:t xml:space="preserve">.007), and thrombocytopenia (P = </w:t>
      </w:r>
      <w:r w:rsidRPr="006B24DA">
        <w:rPr>
          <w:rFonts w:ascii="Book Antiqua" w:eastAsia="Times New Roman" w:hAnsi="Book Antiqua" w:cs="Times New Roman"/>
          <w:bCs/>
          <w:color w:val="000000" w:themeColor="text1"/>
          <w:sz w:val="24"/>
          <w:szCs w:val="24"/>
        </w:rPr>
        <w:t>0</w:t>
      </w:r>
      <w:r w:rsidR="00E20495" w:rsidRPr="006B24DA">
        <w:rPr>
          <w:rFonts w:ascii="Book Antiqua" w:eastAsia="Times New Roman" w:hAnsi="Book Antiqua" w:cs="Times New Roman"/>
          <w:bCs/>
          <w:color w:val="000000" w:themeColor="text1"/>
          <w:sz w:val="24"/>
          <w:szCs w:val="24"/>
        </w:rPr>
        <w:t>.036). EUS-PPG was increased in patients with high clinical evidence of cirrhosis (</w:t>
      </w:r>
      <w:r w:rsidRPr="006B24DA">
        <w:rPr>
          <w:rFonts w:ascii="Book Antiqua" w:eastAsia="Times New Roman" w:hAnsi="Book Antiqua" w:cs="Times New Roman"/>
          <w:bCs/>
          <w:i/>
          <w:color w:val="000000" w:themeColor="text1"/>
          <w:sz w:val="24"/>
          <w:szCs w:val="24"/>
        </w:rPr>
        <w:t>P</w:t>
      </w:r>
      <w:r w:rsidR="00E20495" w:rsidRPr="006B24DA">
        <w:rPr>
          <w:rFonts w:ascii="Book Antiqua" w:eastAsia="Times New Roman" w:hAnsi="Book Antiqua" w:cs="Times New Roman"/>
          <w:bCs/>
          <w:color w:val="000000" w:themeColor="text1"/>
          <w:sz w:val="24"/>
          <w:szCs w:val="24"/>
        </w:rPr>
        <w:t xml:space="preserve"> = </w:t>
      </w:r>
      <w:r w:rsidRPr="006B24DA">
        <w:rPr>
          <w:rFonts w:ascii="Book Antiqua" w:eastAsia="Times New Roman" w:hAnsi="Book Antiqua" w:cs="Times New Roman"/>
          <w:bCs/>
          <w:color w:val="000000" w:themeColor="text1"/>
          <w:sz w:val="24"/>
          <w:szCs w:val="24"/>
        </w:rPr>
        <w:t>0</w:t>
      </w:r>
      <w:r w:rsidR="00E20495" w:rsidRPr="006B24DA">
        <w:rPr>
          <w:rFonts w:ascii="Book Antiqua" w:eastAsia="Times New Roman" w:hAnsi="Book Antiqua" w:cs="Times New Roman"/>
          <w:bCs/>
          <w:color w:val="000000" w:themeColor="text1"/>
          <w:sz w:val="24"/>
          <w:szCs w:val="24"/>
        </w:rPr>
        <w:t xml:space="preserve">.005). </w:t>
      </w:r>
      <w:r w:rsidR="00E20495" w:rsidRPr="006B24DA">
        <w:rPr>
          <w:rFonts w:ascii="Book Antiqua" w:hAnsi="Book Antiqua" w:cs="Times New Roman"/>
          <w:color w:val="000000" w:themeColor="text1"/>
          <w:sz w:val="24"/>
          <w:szCs w:val="24"/>
          <w:lang w:val="en"/>
        </w:rPr>
        <w:t xml:space="preserve">We concluded that “This novel technique of EUS-PPGM is feasible and safe. Given the availability of EUS and the simplicity of the manometry setup, EUS-guided PPG may represent a promising breakthrough for procuring indispensable information in the management of patients with liver disease”. </w:t>
      </w:r>
    </w:p>
    <w:p w14:paraId="2CC7FAC6" w14:textId="77777777" w:rsidR="000C6C8F" w:rsidRPr="006B24DA" w:rsidRDefault="000C6C8F" w:rsidP="007761C0">
      <w:pPr>
        <w:autoSpaceDE w:val="0"/>
        <w:autoSpaceDN w:val="0"/>
        <w:adjustRightInd w:val="0"/>
        <w:snapToGrid w:val="0"/>
        <w:spacing w:after="0" w:line="360" w:lineRule="auto"/>
        <w:jc w:val="both"/>
        <w:rPr>
          <w:rFonts w:ascii="Book Antiqua" w:hAnsi="Book Antiqua" w:cs="Times New Roman"/>
          <w:i/>
          <w:color w:val="000000" w:themeColor="text1"/>
          <w:sz w:val="24"/>
          <w:szCs w:val="24"/>
          <w:lang w:val="en"/>
        </w:rPr>
      </w:pPr>
    </w:p>
    <w:p w14:paraId="36818391" w14:textId="77777777" w:rsidR="000C6C8F" w:rsidRPr="006B24DA" w:rsidRDefault="00E20495" w:rsidP="007761C0">
      <w:pPr>
        <w:autoSpaceDE w:val="0"/>
        <w:autoSpaceDN w:val="0"/>
        <w:adjustRightInd w:val="0"/>
        <w:snapToGrid w:val="0"/>
        <w:spacing w:after="0" w:line="360" w:lineRule="auto"/>
        <w:jc w:val="both"/>
        <w:rPr>
          <w:rFonts w:ascii="Book Antiqua" w:hAnsi="Book Antiqua" w:cs="Times New Roman"/>
          <w:b/>
          <w:i/>
          <w:color w:val="000000" w:themeColor="text1"/>
          <w:sz w:val="24"/>
          <w:szCs w:val="24"/>
          <w:lang w:val="en"/>
        </w:rPr>
      </w:pPr>
      <w:r w:rsidRPr="006B24DA">
        <w:rPr>
          <w:rFonts w:ascii="Book Antiqua" w:hAnsi="Book Antiqua" w:cs="Times New Roman"/>
          <w:b/>
          <w:i/>
          <w:color w:val="000000" w:themeColor="text1"/>
          <w:sz w:val="24"/>
          <w:szCs w:val="24"/>
          <w:lang w:val="en"/>
        </w:rPr>
        <w:t>Technical considerations</w:t>
      </w:r>
    </w:p>
    <w:p w14:paraId="1720E9D3" w14:textId="5FD7F137" w:rsidR="00E20495" w:rsidRPr="006B24DA" w:rsidRDefault="00E20495" w:rsidP="007761C0">
      <w:pPr>
        <w:autoSpaceDE w:val="0"/>
        <w:autoSpaceDN w:val="0"/>
        <w:adjustRightInd w:val="0"/>
        <w:snapToGrid w:val="0"/>
        <w:spacing w:after="0" w:line="360" w:lineRule="auto"/>
        <w:jc w:val="both"/>
        <w:rPr>
          <w:rFonts w:ascii="Book Antiqua" w:hAnsi="Book Antiqua" w:cs="Times New Roman"/>
          <w:color w:val="000000" w:themeColor="text1"/>
          <w:sz w:val="24"/>
          <w:szCs w:val="24"/>
          <w:lang w:val="en"/>
        </w:rPr>
      </w:pPr>
      <w:r w:rsidRPr="006B24DA">
        <w:rPr>
          <w:rFonts w:ascii="Book Antiqua" w:hAnsi="Book Antiqua" w:cs="Times New Roman"/>
          <w:color w:val="000000" w:themeColor="text1"/>
          <w:sz w:val="24"/>
          <w:szCs w:val="24"/>
          <w:lang w:val="en"/>
        </w:rPr>
        <w:t xml:space="preserve">We recently published a comprehensive video article which includes animal and human data as well as equipment set-up and an illustrative </w:t>
      </w:r>
      <w:proofErr w:type="gramStart"/>
      <w:r w:rsidRPr="006B24DA">
        <w:rPr>
          <w:rFonts w:ascii="Book Antiqua" w:hAnsi="Book Antiqua" w:cs="Times New Roman"/>
          <w:color w:val="000000" w:themeColor="text1"/>
          <w:sz w:val="24"/>
          <w:szCs w:val="24"/>
          <w:lang w:val="en"/>
        </w:rPr>
        <w:t>case</w:t>
      </w:r>
      <w:r w:rsidRPr="006B24DA">
        <w:rPr>
          <w:rFonts w:ascii="Book Antiqua" w:hAnsi="Book Antiqua" w:cs="Times New Roman"/>
          <w:noProof/>
          <w:color w:val="000000" w:themeColor="text1"/>
          <w:sz w:val="24"/>
          <w:szCs w:val="24"/>
          <w:vertAlign w:val="superscript"/>
          <w:lang w:val="en"/>
        </w:rPr>
        <w:t>[</w:t>
      </w:r>
      <w:proofErr w:type="gramEnd"/>
      <w:r w:rsidRPr="006B24DA">
        <w:rPr>
          <w:rFonts w:ascii="Book Antiqua" w:hAnsi="Book Antiqua" w:cs="Times New Roman"/>
          <w:noProof/>
          <w:color w:val="000000" w:themeColor="text1"/>
          <w:sz w:val="24"/>
          <w:szCs w:val="24"/>
          <w:vertAlign w:val="superscript"/>
          <w:lang w:val="en"/>
        </w:rPr>
        <w:t>236]</w:t>
      </w:r>
      <w:r w:rsidRPr="006B24DA">
        <w:rPr>
          <w:rFonts w:ascii="Book Antiqua" w:hAnsi="Book Antiqua" w:cs="Times New Roman"/>
          <w:color w:val="000000" w:themeColor="text1"/>
          <w:sz w:val="24"/>
          <w:szCs w:val="24"/>
          <w:lang w:val="en"/>
        </w:rPr>
        <w:t xml:space="preserve">. The procedure itself takes only about 20 min </w:t>
      </w:r>
      <w:r w:rsidR="005D4219" w:rsidRPr="006B24DA">
        <w:rPr>
          <w:rFonts w:ascii="Book Antiqua" w:hAnsi="Book Antiqua" w:cs="Times New Roman"/>
          <w:bCs/>
          <w:color w:val="000000" w:themeColor="text1"/>
          <w:sz w:val="24"/>
          <w:szCs w:val="24"/>
          <w:lang w:val="en"/>
        </w:rPr>
        <w:t>(Figure 30</w:t>
      </w:r>
      <w:r w:rsidRPr="006B24DA">
        <w:rPr>
          <w:rFonts w:ascii="Book Antiqua" w:hAnsi="Book Antiqua" w:cs="Times New Roman"/>
          <w:bCs/>
          <w:color w:val="000000" w:themeColor="text1"/>
          <w:sz w:val="24"/>
          <w:szCs w:val="24"/>
          <w:lang w:val="en"/>
        </w:rPr>
        <w:t>)</w:t>
      </w:r>
      <w:r w:rsidRPr="006B24DA">
        <w:rPr>
          <w:rFonts w:ascii="Book Antiqua" w:hAnsi="Book Antiqua" w:cs="Times New Roman"/>
          <w:color w:val="000000" w:themeColor="text1"/>
          <w:sz w:val="24"/>
          <w:szCs w:val="24"/>
          <w:lang w:val="en"/>
        </w:rPr>
        <w:t>.</w:t>
      </w:r>
      <w:r w:rsidR="002A29F4" w:rsidRPr="006B24DA">
        <w:rPr>
          <w:rFonts w:ascii="Book Antiqua" w:hAnsi="Book Antiqua" w:cs="Times New Roman"/>
          <w:color w:val="000000" w:themeColor="text1"/>
          <w:sz w:val="24"/>
          <w:szCs w:val="24"/>
          <w:lang w:val="en"/>
        </w:rPr>
        <w:t xml:space="preserve"> </w:t>
      </w:r>
      <w:r w:rsidRPr="006B24DA">
        <w:rPr>
          <w:rFonts w:ascii="Book Antiqua" w:hAnsi="Book Antiqua" w:cs="Times New Roman"/>
          <w:color w:val="000000" w:themeColor="text1"/>
          <w:sz w:val="24"/>
          <w:szCs w:val="24"/>
          <w:lang w:val="en"/>
        </w:rPr>
        <w:t xml:space="preserve">Identifying the vascular structures within the liver is </w:t>
      </w:r>
      <w:proofErr w:type="gramStart"/>
      <w:r w:rsidRPr="006B24DA">
        <w:rPr>
          <w:rFonts w:ascii="Book Antiqua" w:hAnsi="Book Antiqua" w:cs="Times New Roman"/>
          <w:color w:val="000000" w:themeColor="text1"/>
          <w:sz w:val="24"/>
          <w:szCs w:val="24"/>
          <w:lang w:val="en"/>
        </w:rPr>
        <w:t>key</w:t>
      </w:r>
      <w:r w:rsidRPr="006B24DA">
        <w:rPr>
          <w:rFonts w:ascii="Book Antiqua" w:hAnsi="Book Antiqua" w:cs="Times New Roman"/>
          <w:noProof/>
          <w:color w:val="000000" w:themeColor="text1"/>
          <w:sz w:val="24"/>
          <w:szCs w:val="24"/>
          <w:vertAlign w:val="superscript"/>
          <w:lang w:val="en"/>
        </w:rPr>
        <w:t>[</w:t>
      </w:r>
      <w:proofErr w:type="gramEnd"/>
      <w:r w:rsidRPr="006B24DA">
        <w:rPr>
          <w:rFonts w:ascii="Book Antiqua" w:hAnsi="Book Antiqua" w:cs="Times New Roman"/>
          <w:noProof/>
          <w:color w:val="000000" w:themeColor="text1"/>
          <w:sz w:val="24"/>
          <w:szCs w:val="24"/>
          <w:vertAlign w:val="superscript"/>
          <w:lang w:val="en"/>
        </w:rPr>
        <w:t>237]</w:t>
      </w:r>
      <w:r w:rsidRPr="006B24DA">
        <w:rPr>
          <w:rFonts w:ascii="Book Antiqua" w:hAnsi="Book Antiqua" w:cs="Times New Roman"/>
          <w:color w:val="000000" w:themeColor="text1"/>
          <w:sz w:val="24"/>
          <w:szCs w:val="24"/>
          <w:lang w:val="en"/>
        </w:rPr>
        <w:t>.</w:t>
      </w:r>
      <w:r w:rsidR="002A29F4" w:rsidRPr="006B24DA">
        <w:rPr>
          <w:rFonts w:ascii="Book Antiqua" w:hAnsi="Book Antiqua" w:cs="Times New Roman"/>
          <w:color w:val="000000" w:themeColor="text1"/>
          <w:sz w:val="24"/>
          <w:szCs w:val="24"/>
          <w:lang w:val="en"/>
        </w:rPr>
        <w:t xml:space="preserve"> </w:t>
      </w:r>
      <w:r w:rsidRPr="006B24DA">
        <w:rPr>
          <w:rFonts w:ascii="Book Antiqua" w:hAnsi="Book Antiqua" w:cs="Times New Roman"/>
          <w:color w:val="000000" w:themeColor="text1"/>
          <w:sz w:val="24"/>
          <w:szCs w:val="24"/>
          <w:lang w:val="en"/>
        </w:rPr>
        <w:t>The hepatic veins all converge into the inferior vena cava (IVC).</w:t>
      </w:r>
      <w:r w:rsidR="002A29F4" w:rsidRPr="006B24DA">
        <w:rPr>
          <w:rFonts w:ascii="Book Antiqua" w:hAnsi="Book Antiqua" w:cs="Times New Roman"/>
          <w:color w:val="000000" w:themeColor="text1"/>
          <w:sz w:val="24"/>
          <w:szCs w:val="24"/>
          <w:lang w:val="en"/>
        </w:rPr>
        <w:t xml:space="preserve"> </w:t>
      </w:r>
      <w:r w:rsidRPr="006B24DA">
        <w:rPr>
          <w:rFonts w:ascii="Book Antiqua" w:hAnsi="Book Antiqua" w:cs="Times New Roman"/>
          <w:color w:val="000000" w:themeColor="text1"/>
          <w:sz w:val="24"/>
          <w:szCs w:val="24"/>
          <w:lang w:val="en"/>
        </w:rPr>
        <w:t xml:space="preserve">The middle hepatic vein is usually best suited for EUS-PPG given its size and angle to the FNA needle </w:t>
      </w:r>
      <w:r w:rsidR="005D4219" w:rsidRPr="006B24DA">
        <w:rPr>
          <w:rFonts w:ascii="Book Antiqua" w:hAnsi="Book Antiqua" w:cs="Times New Roman"/>
          <w:bCs/>
          <w:color w:val="000000" w:themeColor="text1"/>
          <w:sz w:val="24"/>
          <w:szCs w:val="24"/>
          <w:lang w:val="en"/>
        </w:rPr>
        <w:t>(Figure 30</w:t>
      </w:r>
      <w:r w:rsidR="000C6C8F" w:rsidRPr="006B24DA">
        <w:rPr>
          <w:rFonts w:ascii="Book Antiqua" w:hAnsi="Book Antiqua" w:cs="Times New Roman"/>
          <w:bCs/>
          <w:color w:val="000000" w:themeColor="text1"/>
          <w:sz w:val="24"/>
          <w:szCs w:val="24"/>
          <w:lang w:val="en"/>
        </w:rPr>
        <w:t xml:space="preserve">A and </w:t>
      </w:r>
      <w:r w:rsidRPr="006B24DA">
        <w:rPr>
          <w:rFonts w:ascii="Book Antiqua" w:hAnsi="Book Antiqua" w:cs="Times New Roman"/>
          <w:bCs/>
          <w:color w:val="000000" w:themeColor="text1"/>
          <w:sz w:val="24"/>
          <w:szCs w:val="24"/>
          <w:lang w:val="en"/>
        </w:rPr>
        <w:t>B)</w:t>
      </w:r>
      <w:r w:rsidRPr="006B24DA">
        <w:rPr>
          <w:rFonts w:ascii="Book Antiqua" w:hAnsi="Book Antiqua" w:cs="Times New Roman"/>
          <w:color w:val="000000" w:themeColor="text1"/>
          <w:sz w:val="24"/>
          <w:szCs w:val="24"/>
          <w:lang w:val="en"/>
        </w:rPr>
        <w:t>.</w:t>
      </w:r>
      <w:r w:rsidR="002A29F4" w:rsidRPr="006B24DA">
        <w:rPr>
          <w:rFonts w:ascii="Book Antiqua" w:hAnsi="Book Antiqua" w:cs="Times New Roman"/>
          <w:color w:val="000000" w:themeColor="text1"/>
          <w:sz w:val="24"/>
          <w:szCs w:val="24"/>
          <w:lang w:val="en"/>
        </w:rPr>
        <w:t xml:space="preserve"> </w:t>
      </w:r>
      <w:r w:rsidRPr="006B24DA">
        <w:rPr>
          <w:rFonts w:ascii="Book Antiqua" w:hAnsi="Book Antiqua" w:cs="Times New Roman"/>
          <w:color w:val="000000" w:themeColor="text1"/>
          <w:sz w:val="24"/>
          <w:szCs w:val="24"/>
          <w:lang w:val="en"/>
        </w:rPr>
        <w:t>The 25</w:t>
      </w:r>
      <w:r w:rsidR="000C6C8F" w:rsidRPr="006B24DA">
        <w:rPr>
          <w:rFonts w:ascii="Book Antiqua" w:hAnsi="Book Antiqua" w:cs="Times New Roman"/>
          <w:color w:val="000000" w:themeColor="text1"/>
          <w:sz w:val="24"/>
          <w:szCs w:val="24"/>
          <w:lang w:val="en"/>
        </w:rPr>
        <w:t>G</w:t>
      </w:r>
      <w:r w:rsidRPr="006B24DA">
        <w:rPr>
          <w:rFonts w:ascii="Book Antiqua" w:hAnsi="Book Antiqua" w:cs="Times New Roman"/>
          <w:color w:val="000000" w:themeColor="text1"/>
          <w:sz w:val="24"/>
          <w:szCs w:val="24"/>
          <w:lang w:val="en"/>
        </w:rPr>
        <w:t xml:space="preserve"> needle (primed with heparin) is advanced through liver parenchyma which stabilizes the needle and also tamponades the needle tract upon withdrawal </w:t>
      </w:r>
      <w:r w:rsidR="005D4219" w:rsidRPr="006B24DA">
        <w:rPr>
          <w:rFonts w:ascii="Book Antiqua" w:hAnsi="Book Antiqua" w:cs="Times New Roman"/>
          <w:bCs/>
          <w:color w:val="000000" w:themeColor="text1"/>
          <w:sz w:val="24"/>
          <w:szCs w:val="24"/>
          <w:lang w:val="en"/>
        </w:rPr>
        <w:t>(Figure 30</w:t>
      </w:r>
      <w:r w:rsidRPr="006B24DA">
        <w:rPr>
          <w:rFonts w:ascii="Book Antiqua" w:hAnsi="Book Antiqua" w:cs="Times New Roman"/>
          <w:bCs/>
          <w:color w:val="000000" w:themeColor="text1"/>
          <w:sz w:val="24"/>
          <w:szCs w:val="24"/>
          <w:lang w:val="en"/>
        </w:rPr>
        <w:t>C)</w:t>
      </w:r>
      <w:r w:rsidRPr="006B24DA">
        <w:rPr>
          <w:rFonts w:ascii="Book Antiqua" w:hAnsi="Book Antiqua" w:cs="Times New Roman"/>
          <w:color w:val="000000" w:themeColor="text1"/>
          <w:sz w:val="24"/>
          <w:szCs w:val="24"/>
          <w:lang w:val="en"/>
        </w:rPr>
        <w:t>.</w:t>
      </w:r>
      <w:r w:rsidR="002A29F4" w:rsidRPr="006B24DA">
        <w:rPr>
          <w:rFonts w:ascii="Book Antiqua" w:hAnsi="Book Antiqua" w:cs="Times New Roman"/>
          <w:color w:val="000000" w:themeColor="text1"/>
          <w:sz w:val="24"/>
          <w:szCs w:val="24"/>
          <w:lang w:val="en"/>
        </w:rPr>
        <w:t xml:space="preserve"> </w:t>
      </w:r>
      <w:r w:rsidRPr="006B24DA">
        <w:rPr>
          <w:rFonts w:ascii="Book Antiqua" w:hAnsi="Book Antiqua" w:cs="Times New Roman"/>
          <w:color w:val="000000" w:themeColor="text1"/>
          <w:sz w:val="24"/>
          <w:szCs w:val="24"/>
          <w:lang w:val="en"/>
        </w:rPr>
        <w:t xml:space="preserve">Once in the vessel, the needle is flushed (few drops) and the pressure is measured by the compact hand-held manometer </w:t>
      </w:r>
      <w:r w:rsidR="005D4219" w:rsidRPr="006B24DA">
        <w:rPr>
          <w:rFonts w:ascii="Book Antiqua" w:hAnsi="Book Antiqua" w:cs="Times New Roman"/>
          <w:bCs/>
          <w:color w:val="000000" w:themeColor="text1"/>
          <w:sz w:val="24"/>
          <w:szCs w:val="24"/>
          <w:lang w:val="en"/>
        </w:rPr>
        <w:t>(Figure 30</w:t>
      </w:r>
      <w:r w:rsidRPr="006B24DA">
        <w:rPr>
          <w:rFonts w:ascii="Book Antiqua" w:hAnsi="Book Antiqua" w:cs="Times New Roman"/>
          <w:bCs/>
          <w:color w:val="000000" w:themeColor="text1"/>
          <w:sz w:val="24"/>
          <w:szCs w:val="24"/>
          <w:lang w:val="en"/>
        </w:rPr>
        <w:t>C)</w:t>
      </w:r>
      <w:r w:rsidRPr="006B24DA">
        <w:rPr>
          <w:rFonts w:ascii="Book Antiqua" w:hAnsi="Book Antiqua" w:cs="Times New Roman"/>
          <w:color w:val="000000" w:themeColor="text1"/>
          <w:sz w:val="24"/>
          <w:szCs w:val="24"/>
          <w:lang w:val="en"/>
        </w:rPr>
        <w:t>.</w:t>
      </w:r>
      <w:r w:rsidR="002A29F4" w:rsidRPr="006B24DA">
        <w:rPr>
          <w:rFonts w:ascii="Book Antiqua" w:hAnsi="Book Antiqua" w:cs="Times New Roman"/>
          <w:color w:val="000000" w:themeColor="text1"/>
          <w:sz w:val="24"/>
          <w:szCs w:val="24"/>
          <w:lang w:val="en"/>
        </w:rPr>
        <w:t xml:space="preserve"> </w:t>
      </w:r>
      <w:r w:rsidRPr="006B24DA">
        <w:rPr>
          <w:rFonts w:ascii="Book Antiqua" w:hAnsi="Book Antiqua" w:cs="Times New Roman"/>
          <w:color w:val="000000" w:themeColor="text1"/>
          <w:sz w:val="24"/>
          <w:szCs w:val="24"/>
          <w:lang w:val="en"/>
        </w:rPr>
        <w:t>This measurement is repeated for a total of 3 consecutive measurements.</w:t>
      </w:r>
      <w:r w:rsidR="002A29F4" w:rsidRPr="006B24DA">
        <w:rPr>
          <w:rFonts w:ascii="Book Antiqua" w:hAnsi="Book Antiqua" w:cs="Times New Roman"/>
          <w:color w:val="000000" w:themeColor="text1"/>
          <w:sz w:val="24"/>
          <w:szCs w:val="24"/>
          <w:lang w:val="en"/>
        </w:rPr>
        <w:t xml:space="preserve"> </w:t>
      </w:r>
      <w:r w:rsidRPr="006B24DA">
        <w:rPr>
          <w:rFonts w:ascii="Book Antiqua" w:hAnsi="Book Antiqua" w:cs="Times New Roman"/>
          <w:color w:val="000000" w:themeColor="text1"/>
          <w:sz w:val="24"/>
          <w:szCs w:val="24"/>
          <w:lang w:val="en"/>
        </w:rPr>
        <w:t>The needle is then slowly withdrawn into the liver parenchyma, and Doppler flow is applied to make sure there is no blood flow within the needle tract.</w:t>
      </w:r>
      <w:r w:rsidR="002A29F4" w:rsidRPr="006B24DA">
        <w:rPr>
          <w:rFonts w:ascii="Book Antiqua" w:hAnsi="Book Antiqua" w:cs="Times New Roman"/>
          <w:color w:val="000000" w:themeColor="text1"/>
          <w:sz w:val="24"/>
          <w:szCs w:val="24"/>
          <w:lang w:val="en"/>
        </w:rPr>
        <w:t xml:space="preserve"> </w:t>
      </w:r>
      <w:r w:rsidRPr="006B24DA">
        <w:rPr>
          <w:rFonts w:ascii="Book Antiqua" w:hAnsi="Book Antiqua" w:cs="Times New Roman"/>
          <w:color w:val="000000" w:themeColor="text1"/>
          <w:sz w:val="24"/>
          <w:szCs w:val="24"/>
          <w:lang w:val="en"/>
        </w:rPr>
        <w:t>Once this is established, the needle is withdrawn.</w:t>
      </w:r>
      <w:r w:rsidR="002A29F4" w:rsidRPr="006B24DA">
        <w:rPr>
          <w:rFonts w:ascii="Book Antiqua" w:hAnsi="Book Antiqua" w:cs="Times New Roman"/>
          <w:color w:val="000000" w:themeColor="text1"/>
          <w:sz w:val="24"/>
          <w:szCs w:val="24"/>
          <w:lang w:val="en"/>
        </w:rPr>
        <w:t xml:space="preserve"> </w:t>
      </w:r>
      <w:r w:rsidRPr="006B24DA">
        <w:rPr>
          <w:rFonts w:ascii="Book Antiqua" w:hAnsi="Book Antiqua" w:cs="Times New Roman"/>
          <w:color w:val="000000" w:themeColor="text1"/>
          <w:sz w:val="24"/>
          <w:szCs w:val="24"/>
          <w:lang w:val="en"/>
        </w:rPr>
        <w:t>Next, the portal vein is identified.</w:t>
      </w:r>
      <w:r w:rsidR="002A29F4" w:rsidRPr="006B24DA">
        <w:rPr>
          <w:rFonts w:ascii="Book Antiqua" w:hAnsi="Book Antiqua" w:cs="Times New Roman"/>
          <w:color w:val="000000" w:themeColor="text1"/>
          <w:sz w:val="24"/>
          <w:szCs w:val="24"/>
          <w:lang w:val="en"/>
        </w:rPr>
        <w:t xml:space="preserve"> </w:t>
      </w:r>
      <w:r w:rsidRPr="006B24DA">
        <w:rPr>
          <w:rFonts w:ascii="Book Antiqua" w:hAnsi="Book Antiqua" w:cs="Times New Roman"/>
          <w:color w:val="000000" w:themeColor="text1"/>
          <w:sz w:val="24"/>
          <w:szCs w:val="24"/>
          <w:lang w:val="en"/>
        </w:rPr>
        <w:t xml:space="preserve">The umbilical portion of the left portal vein is the most common target </w:t>
      </w:r>
      <w:r w:rsidR="005D4219" w:rsidRPr="006B24DA">
        <w:rPr>
          <w:rFonts w:ascii="Book Antiqua" w:hAnsi="Book Antiqua" w:cs="Times New Roman"/>
          <w:bCs/>
          <w:color w:val="000000" w:themeColor="text1"/>
          <w:sz w:val="24"/>
          <w:szCs w:val="24"/>
          <w:lang w:val="en"/>
        </w:rPr>
        <w:t>(Figure 30</w:t>
      </w:r>
      <w:r w:rsidR="000C6C8F" w:rsidRPr="006B24DA">
        <w:rPr>
          <w:rFonts w:ascii="Book Antiqua" w:hAnsi="Book Antiqua" w:cs="Times New Roman"/>
          <w:bCs/>
          <w:color w:val="000000" w:themeColor="text1"/>
          <w:sz w:val="24"/>
          <w:szCs w:val="24"/>
          <w:lang w:val="en"/>
        </w:rPr>
        <w:t xml:space="preserve">D and </w:t>
      </w:r>
      <w:r w:rsidRPr="006B24DA">
        <w:rPr>
          <w:rFonts w:ascii="Book Antiqua" w:hAnsi="Book Antiqua" w:cs="Times New Roman"/>
          <w:bCs/>
          <w:color w:val="000000" w:themeColor="text1"/>
          <w:sz w:val="24"/>
          <w:szCs w:val="24"/>
          <w:lang w:val="en"/>
        </w:rPr>
        <w:t>E)</w:t>
      </w:r>
      <w:r w:rsidRPr="006B24DA">
        <w:rPr>
          <w:rFonts w:ascii="Book Antiqua" w:hAnsi="Book Antiqua" w:cs="Times New Roman"/>
          <w:color w:val="000000" w:themeColor="text1"/>
          <w:sz w:val="24"/>
          <w:szCs w:val="24"/>
          <w:lang w:val="en"/>
        </w:rPr>
        <w:t xml:space="preserve">, with its characteristic pulse wave </w:t>
      </w:r>
      <w:r w:rsidRPr="006B24DA">
        <w:rPr>
          <w:rFonts w:ascii="Book Antiqua" w:hAnsi="Book Antiqua" w:cs="Times New Roman"/>
          <w:color w:val="000000" w:themeColor="text1"/>
          <w:sz w:val="24"/>
          <w:szCs w:val="24"/>
          <w:lang w:val="en"/>
        </w:rPr>
        <w:lastRenderedPageBreak/>
        <w:t>showing a continuous venous hum.</w:t>
      </w:r>
      <w:r w:rsidR="002A29F4" w:rsidRPr="006B24DA">
        <w:rPr>
          <w:rFonts w:ascii="Book Antiqua" w:hAnsi="Book Antiqua" w:cs="Times New Roman"/>
          <w:color w:val="000000" w:themeColor="text1"/>
          <w:sz w:val="24"/>
          <w:szCs w:val="24"/>
          <w:lang w:val="en"/>
        </w:rPr>
        <w:t xml:space="preserve"> </w:t>
      </w:r>
      <w:r w:rsidRPr="006B24DA">
        <w:rPr>
          <w:rFonts w:ascii="Book Antiqua" w:hAnsi="Book Antiqua" w:cs="Times New Roman"/>
          <w:color w:val="000000" w:themeColor="text1"/>
          <w:sz w:val="24"/>
          <w:szCs w:val="24"/>
          <w:lang w:val="en"/>
        </w:rPr>
        <w:t xml:space="preserve">The needle is then advanced through liver parenchyma into the left portal vein </w:t>
      </w:r>
      <w:r w:rsidRPr="006B24DA">
        <w:rPr>
          <w:rFonts w:ascii="Book Antiqua" w:hAnsi="Book Antiqua" w:cs="Times New Roman"/>
          <w:bCs/>
          <w:color w:val="000000" w:themeColor="text1"/>
          <w:sz w:val="24"/>
          <w:szCs w:val="24"/>
          <w:lang w:val="en"/>
        </w:rPr>
        <w:t>(Figu</w:t>
      </w:r>
      <w:r w:rsidR="005D4219" w:rsidRPr="006B24DA">
        <w:rPr>
          <w:rFonts w:ascii="Book Antiqua" w:hAnsi="Book Antiqua" w:cs="Times New Roman"/>
          <w:bCs/>
          <w:color w:val="000000" w:themeColor="text1"/>
          <w:sz w:val="24"/>
          <w:szCs w:val="24"/>
          <w:lang w:val="en"/>
        </w:rPr>
        <w:t>re 30</w:t>
      </w:r>
      <w:r w:rsidRPr="006B24DA">
        <w:rPr>
          <w:rFonts w:ascii="Book Antiqua" w:hAnsi="Book Antiqua" w:cs="Times New Roman"/>
          <w:bCs/>
          <w:color w:val="000000" w:themeColor="text1"/>
          <w:sz w:val="24"/>
          <w:szCs w:val="24"/>
          <w:lang w:val="en"/>
        </w:rPr>
        <w:t>F)</w:t>
      </w:r>
      <w:r w:rsidRPr="006B24DA">
        <w:rPr>
          <w:rFonts w:ascii="Book Antiqua" w:hAnsi="Book Antiqua" w:cs="Times New Roman"/>
          <w:color w:val="000000" w:themeColor="text1"/>
          <w:sz w:val="24"/>
          <w:szCs w:val="24"/>
          <w:lang w:val="en"/>
        </w:rPr>
        <w:t>, where 3 consecutive manometry pressure measurements are taken in a similar fashion.</w:t>
      </w:r>
      <w:r w:rsidR="002A29F4" w:rsidRPr="006B24DA">
        <w:rPr>
          <w:rFonts w:ascii="Book Antiqua" w:hAnsi="Book Antiqua" w:cs="Times New Roman"/>
          <w:color w:val="000000" w:themeColor="text1"/>
          <w:sz w:val="24"/>
          <w:szCs w:val="24"/>
          <w:lang w:val="en"/>
        </w:rPr>
        <w:t xml:space="preserve"> </w:t>
      </w:r>
      <w:r w:rsidRPr="006B24DA">
        <w:rPr>
          <w:rFonts w:ascii="Book Antiqua" w:hAnsi="Book Antiqua" w:cs="Times New Roman"/>
          <w:color w:val="000000" w:themeColor="text1"/>
          <w:sz w:val="24"/>
          <w:szCs w:val="24"/>
          <w:lang w:val="en"/>
        </w:rPr>
        <w:t>The EUS-PPG is then calculated by calculating the difference between the mean pressures of each vessel.</w:t>
      </w:r>
      <w:r w:rsidR="002A29F4" w:rsidRPr="006B24DA">
        <w:rPr>
          <w:rFonts w:ascii="Book Antiqua" w:hAnsi="Book Antiqua" w:cs="Times New Roman"/>
          <w:color w:val="000000" w:themeColor="text1"/>
          <w:sz w:val="24"/>
          <w:szCs w:val="24"/>
          <w:lang w:val="en"/>
        </w:rPr>
        <w:t xml:space="preserve"> </w:t>
      </w:r>
    </w:p>
    <w:p w14:paraId="76E3BC9E" w14:textId="77777777" w:rsidR="000C6C8F" w:rsidRPr="006B24DA" w:rsidRDefault="000C6C8F" w:rsidP="007761C0">
      <w:pPr>
        <w:autoSpaceDE w:val="0"/>
        <w:autoSpaceDN w:val="0"/>
        <w:adjustRightInd w:val="0"/>
        <w:snapToGrid w:val="0"/>
        <w:spacing w:after="0" w:line="360" w:lineRule="auto"/>
        <w:jc w:val="both"/>
        <w:rPr>
          <w:rFonts w:ascii="Book Antiqua" w:hAnsi="Book Antiqua" w:cs="Times New Roman"/>
          <w:i/>
          <w:color w:val="000000" w:themeColor="text1"/>
          <w:sz w:val="24"/>
          <w:szCs w:val="24"/>
          <w:lang w:val="en"/>
        </w:rPr>
      </w:pPr>
    </w:p>
    <w:p w14:paraId="255DF61C" w14:textId="0F2C1758" w:rsidR="000C6C8F" w:rsidRPr="006B24DA" w:rsidRDefault="000C6C8F" w:rsidP="007761C0">
      <w:pPr>
        <w:autoSpaceDE w:val="0"/>
        <w:autoSpaceDN w:val="0"/>
        <w:adjustRightInd w:val="0"/>
        <w:snapToGrid w:val="0"/>
        <w:spacing w:after="0" w:line="360" w:lineRule="auto"/>
        <w:jc w:val="both"/>
        <w:rPr>
          <w:rFonts w:ascii="Book Antiqua" w:hAnsi="Book Antiqua" w:cs="Times New Roman"/>
          <w:b/>
          <w:color w:val="000000" w:themeColor="text1"/>
          <w:sz w:val="24"/>
          <w:szCs w:val="24"/>
          <w:lang w:val="en"/>
        </w:rPr>
      </w:pPr>
      <w:r w:rsidRPr="006B24DA">
        <w:rPr>
          <w:rFonts w:ascii="Book Antiqua" w:hAnsi="Book Antiqua" w:cs="Times New Roman"/>
          <w:b/>
          <w:i/>
          <w:color w:val="000000" w:themeColor="text1"/>
          <w:sz w:val="24"/>
          <w:szCs w:val="24"/>
          <w:lang w:val="en"/>
        </w:rPr>
        <w:t>Future opportunities</w:t>
      </w:r>
    </w:p>
    <w:p w14:paraId="64B70583" w14:textId="2D5CDAA8" w:rsidR="00E20495" w:rsidRPr="006B24DA" w:rsidRDefault="00E20495" w:rsidP="007761C0">
      <w:pPr>
        <w:autoSpaceDE w:val="0"/>
        <w:autoSpaceDN w:val="0"/>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hAnsi="Book Antiqua" w:cs="Times New Roman"/>
          <w:color w:val="000000" w:themeColor="text1"/>
          <w:sz w:val="24"/>
          <w:szCs w:val="24"/>
          <w:lang w:val="en"/>
        </w:rPr>
        <w:t xml:space="preserve">Both EUS-guided liver biopsy and EUS-guided PPG measurements are new and exciting new technologies within endo-hepatology. The fact that both of these procedures can be combined in the same session makes it very </w:t>
      </w:r>
      <w:proofErr w:type="gramStart"/>
      <w:r w:rsidRPr="006B24DA">
        <w:rPr>
          <w:rFonts w:ascii="Book Antiqua" w:hAnsi="Book Antiqua" w:cs="Times New Roman"/>
          <w:color w:val="000000" w:themeColor="text1"/>
          <w:sz w:val="24"/>
          <w:szCs w:val="24"/>
          <w:lang w:val="en"/>
        </w:rPr>
        <w:t>appealing</w:t>
      </w:r>
      <w:r w:rsidRPr="006B24DA">
        <w:rPr>
          <w:rFonts w:ascii="Book Antiqua" w:hAnsi="Book Antiqua" w:cs="Times New Roman"/>
          <w:noProof/>
          <w:color w:val="000000" w:themeColor="text1"/>
          <w:sz w:val="24"/>
          <w:szCs w:val="24"/>
          <w:vertAlign w:val="superscript"/>
          <w:lang w:val="en"/>
        </w:rPr>
        <w:t>[</w:t>
      </w:r>
      <w:proofErr w:type="gramEnd"/>
      <w:r w:rsidRPr="006B24DA">
        <w:rPr>
          <w:rFonts w:ascii="Book Antiqua" w:hAnsi="Book Antiqua" w:cs="Times New Roman"/>
          <w:noProof/>
          <w:color w:val="000000" w:themeColor="text1"/>
          <w:sz w:val="24"/>
          <w:szCs w:val="24"/>
          <w:vertAlign w:val="superscript"/>
          <w:lang w:val="en"/>
        </w:rPr>
        <w:t>238]</w:t>
      </w:r>
      <w:r w:rsidRPr="006B24DA">
        <w:rPr>
          <w:rFonts w:ascii="Book Antiqua" w:hAnsi="Book Antiqua" w:cs="Times New Roman"/>
          <w:color w:val="000000" w:themeColor="text1"/>
          <w:sz w:val="24"/>
          <w:szCs w:val="24"/>
          <w:lang w:val="en"/>
        </w:rPr>
        <w:t>. The potential application of these techniques is substantial.</w:t>
      </w:r>
      <w:r w:rsidR="002A29F4" w:rsidRPr="006B24DA">
        <w:rPr>
          <w:rFonts w:ascii="Book Antiqua" w:hAnsi="Book Antiqua" w:cs="Times New Roman"/>
          <w:color w:val="000000" w:themeColor="text1"/>
          <w:sz w:val="24"/>
          <w:szCs w:val="24"/>
          <w:lang w:val="en"/>
        </w:rPr>
        <w:t xml:space="preserve"> </w:t>
      </w:r>
      <w:r w:rsidRPr="006B24DA">
        <w:rPr>
          <w:rFonts w:ascii="Book Antiqua" w:hAnsi="Book Antiqua" w:cs="Times New Roman"/>
          <w:color w:val="000000" w:themeColor="text1"/>
          <w:sz w:val="24"/>
          <w:szCs w:val="24"/>
          <w:lang w:val="en"/>
        </w:rPr>
        <w:t xml:space="preserve">In an editorial to our EUS-PPG publication, Adler </w:t>
      </w:r>
      <w:r w:rsidRPr="006B24DA">
        <w:rPr>
          <w:rFonts w:ascii="Book Antiqua" w:hAnsi="Book Antiqua" w:cs="Times New Roman"/>
          <w:i/>
          <w:color w:val="000000" w:themeColor="text1"/>
          <w:sz w:val="24"/>
          <w:szCs w:val="24"/>
          <w:lang w:val="en"/>
        </w:rPr>
        <w:t xml:space="preserve">et </w:t>
      </w:r>
      <w:proofErr w:type="gramStart"/>
      <w:r w:rsidRPr="006B24DA">
        <w:rPr>
          <w:rFonts w:ascii="Book Antiqua" w:hAnsi="Book Antiqua" w:cs="Times New Roman"/>
          <w:i/>
          <w:color w:val="000000" w:themeColor="text1"/>
          <w:sz w:val="24"/>
          <w:szCs w:val="24"/>
          <w:lang w:val="en"/>
        </w:rPr>
        <w:t>al</w:t>
      </w:r>
      <w:r w:rsidR="000C6C8F" w:rsidRPr="006B24DA">
        <w:rPr>
          <w:rFonts w:ascii="Book Antiqua" w:hAnsi="Book Antiqua" w:cs="Times New Roman"/>
          <w:noProof/>
          <w:color w:val="000000" w:themeColor="text1"/>
          <w:sz w:val="24"/>
          <w:szCs w:val="24"/>
          <w:vertAlign w:val="superscript"/>
          <w:lang w:val="en"/>
        </w:rPr>
        <w:t>[</w:t>
      </w:r>
      <w:proofErr w:type="gramEnd"/>
      <w:r w:rsidR="000C6C8F" w:rsidRPr="006B24DA">
        <w:rPr>
          <w:rFonts w:ascii="Book Antiqua" w:hAnsi="Book Antiqua" w:cs="Times New Roman"/>
          <w:noProof/>
          <w:color w:val="000000" w:themeColor="text1"/>
          <w:sz w:val="24"/>
          <w:szCs w:val="24"/>
          <w:vertAlign w:val="superscript"/>
          <w:lang w:val="en"/>
        </w:rPr>
        <w:t>239]</w:t>
      </w:r>
      <w:r w:rsidRPr="006B24DA">
        <w:rPr>
          <w:rFonts w:ascii="Book Antiqua" w:hAnsi="Book Antiqua" w:cs="Times New Roman"/>
          <w:color w:val="000000" w:themeColor="text1"/>
          <w:sz w:val="24"/>
          <w:szCs w:val="24"/>
          <w:lang w:val="en"/>
        </w:rPr>
        <w:t xml:space="preserve"> mention some of these possible applications: pre-operative risk stratification, variceal management, and primary hemorrhage prevention are on their list.</w:t>
      </w:r>
      <w:r w:rsidR="002A29F4" w:rsidRPr="006B24DA">
        <w:rPr>
          <w:rFonts w:ascii="Book Antiqua" w:hAnsi="Book Antiqua" w:cs="Times New Roman"/>
          <w:color w:val="000000" w:themeColor="text1"/>
          <w:sz w:val="24"/>
          <w:szCs w:val="24"/>
          <w:lang w:val="en"/>
        </w:rPr>
        <w:t xml:space="preserve"> </w:t>
      </w:r>
      <w:proofErr w:type="gramStart"/>
      <w:r w:rsidRPr="006B24DA">
        <w:rPr>
          <w:rFonts w:ascii="Book Antiqua" w:hAnsi="Book Antiqua" w:cs="Times New Roman"/>
          <w:color w:val="000000" w:themeColor="text1"/>
          <w:sz w:val="24"/>
          <w:szCs w:val="24"/>
          <w:lang w:val="en"/>
        </w:rPr>
        <w:t>Patients who are started on non-selective beta blockers as primary prevention would have a more precise and liver-specific paradigm for titrating medication dosages.</w:t>
      </w:r>
      <w:proofErr w:type="gramEnd"/>
      <w:r w:rsidR="002A29F4" w:rsidRPr="006B24DA">
        <w:rPr>
          <w:rFonts w:ascii="Book Antiqua" w:hAnsi="Book Antiqua" w:cs="Times New Roman"/>
          <w:color w:val="000000" w:themeColor="text1"/>
          <w:sz w:val="24"/>
          <w:szCs w:val="24"/>
          <w:lang w:val="en"/>
        </w:rPr>
        <w:t xml:space="preserve"> </w:t>
      </w:r>
      <w:r w:rsidRPr="006B24DA">
        <w:rPr>
          <w:rFonts w:ascii="Book Antiqua" w:hAnsi="Book Antiqua" w:cs="Times New Roman"/>
          <w:color w:val="000000" w:themeColor="text1"/>
          <w:sz w:val="24"/>
          <w:szCs w:val="24"/>
          <w:lang w:val="en"/>
        </w:rPr>
        <w:t>New therapeutic drugs for liver disease, including anti-viral, anti-fibrosis, and anti-inflammatory medications, perhaps may employ EUS-PPG as an objective outcome measure in clinical trials.</w:t>
      </w:r>
      <w:r w:rsidR="002A29F4" w:rsidRPr="006B24DA">
        <w:rPr>
          <w:rFonts w:ascii="Book Antiqua" w:hAnsi="Book Antiqua" w:cs="Times New Roman"/>
          <w:color w:val="000000" w:themeColor="text1"/>
          <w:sz w:val="24"/>
          <w:szCs w:val="24"/>
          <w:lang w:val="en"/>
        </w:rPr>
        <w:t xml:space="preserve"> </w:t>
      </w:r>
      <w:r w:rsidRPr="006B24DA">
        <w:rPr>
          <w:rFonts w:ascii="Book Antiqua" w:hAnsi="Book Antiqua" w:cs="Times New Roman"/>
          <w:color w:val="000000" w:themeColor="text1"/>
          <w:sz w:val="24"/>
          <w:szCs w:val="24"/>
          <w:lang w:val="en"/>
        </w:rPr>
        <w:t xml:space="preserve">Patients with hepatocellular carcinoma and cirrhosis may benefit from EUS-PPG in determining liver function prior making the decision between lobectomy versus liver transplantation. </w:t>
      </w:r>
      <w:bookmarkEnd w:id="3"/>
    </w:p>
    <w:p w14:paraId="397C09D9"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p>
    <w:p w14:paraId="4EA36ED2" w14:textId="087CD90A" w:rsidR="009A74D4" w:rsidRPr="006B24DA" w:rsidRDefault="009A74D4" w:rsidP="0051390E">
      <w:pPr>
        <w:adjustRightInd w:val="0"/>
        <w:snapToGrid w:val="0"/>
        <w:spacing w:after="0" w:line="360" w:lineRule="auto"/>
        <w:jc w:val="both"/>
        <w:rPr>
          <w:rFonts w:ascii="Book Antiqua" w:eastAsia="Times New Roman" w:hAnsi="Book Antiqua" w:cs="Times New Roman"/>
          <w:b/>
          <w:color w:val="000000" w:themeColor="text1"/>
          <w:sz w:val="24"/>
          <w:szCs w:val="24"/>
        </w:rPr>
      </w:pPr>
      <w:r w:rsidRPr="006B24DA">
        <w:rPr>
          <w:rFonts w:ascii="Book Antiqua" w:eastAsia="Times New Roman" w:hAnsi="Book Antiqua" w:cs="Times New Roman"/>
          <w:b/>
          <w:color w:val="000000" w:themeColor="text1"/>
          <w:sz w:val="24"/>
          <w:szCs w:val="24"/>
        </w:rPr>
        <w:t>CONCLUSION</w:t>
      </w:r>
    </w:p>
    <w:p w14:paraId="6EDF52EA" w14:textId="7A4111F7" w:rsidR="009A74D4" w:rsidRPr="006B24DA" w:rsidRDefault="00D97B0C"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t xml:space="preserve">In conclusion, </w:t>
      </w:r>
      <w:r w:rsidR="005A4C1D" w:rsidRPr="006B24DA">
        <w:rPr>
          <w:rFonts w:ascii="Book Antiqua" w:eastAsia="Times New Roman" w:hAnsi="Book Antiqua" w:cs="Times New Roman"/>
          <w:color w:val="000000" w:themeColor="text1"/>
          <w:sz w:val="24"/>
          <w:szCs w:val="24"/>
        </w:rPr>
        <w:t>I have been truly blessed with a career in GI endoscopy that spans 3 decades of discovery, teaching, healing, and collaboration.</w:t>
      </w:r>
      <w:r w:rsidR="00820109">
        <w:rPr>
          <w:rFonts w:ascii="Book Antiqua" w:eastAsia="Times New Roman" w:hAnsi="Book Antiqua" w:cs="Times New Roman"/>
          <w:color w:val="000000" w:themeColor="text1"/>
          <w:sz w:val="24"/>
          <w:szCs w:val="24"/>
        </w:rPr>
        <w:t xml:space="preserve"> </w:t>
      </w:r>
      <w:r w:rsidR="006926D9" w:rsidRPr="006B24DA">
        <w:rPr>
          <w:rFonts w:ascii="Book Antiqua" w:eastAsia="Times New Roman" w:hAnsi="Book Antiqua" w:cs="Times New Roman"/>
          <w:color w:val="000000" w:themeColor="text1"/>
          <w:sz w:val="24"/>
          <w:szCs w:val="24"/>
        </w:rPr>
        <w:t>I have been an eye witness to the evolution of endoscopy from diagnosis to tissue acquisition and staging, to advanced imaging, and finally, endoscopic surgery.</w:t>
      </w:r>
      <w:r w:rsidR="00820109">
        <w:rPr>
          <w:rFonts w:ascii="Book Antiqua" w:eastAsia="Times New Roman" w:hAnsi="Book Antiqua" w:cs="Times New Roman"/>
          <w:color w:val="000000" w:themeColor="text1"/>
          <w:sz w:val="24"/>
          <w:szCs w:val="24"/>
        </w:rPr>
        <w:t xml:space="preserve"> </w:t>
      </w:r>
      <w:r w:rsidR="00B80D44" w:rsidRPr="006B24DA">
        <w:rPr>
          <w:rFonts w:ascii="Book Antiqua" w:eastAsia="Times New Roman" w:hAnsi="Book Antiqua" w:cs="Times New Roman"/>
          <w:color w:val="000000" w:themeColor="text1"/>
          <w:sz w:val="24"/>
          <w:szCs w:val="24"/>
        </w:rPr>
        <w:t>As we consider where we’ve be</w:t>
      </w:r>
      <w:r w:rsidR="0077068E" w:rsidRPr="006B24DA">
        <w:rPr>
          <w:rFonts w:ascii="Book Antiqua" w:eastAsia="Times New Roman" w:hAnsi="Book Antiqua" w:cs="Times New Roman"/>
          <w:color w:val="000000" w:themeColor="text1"/>
          <w:sz w:val="24"/>
          <w:szCs w:val="24"/>
        </w:rPr>
        <w:t>en and the current acceleration of advancements, the future is full of promise and opportunities for new developments that will impact many patient</w:t>
      </w:r>
      <w:r w:rsidR="00F27034" w:rsidRPr="006B24DA">
        <w:rPr>
          <w:rFonts w:ascii="Book Antiqua" w:eastAsia="Times New Roman" w:hAnsi="Book Antiqua" w:cs="Times New Roman"/>
          <w:color w:val="000000" w:themeColor="text1"/>
          <w:sz w:val="24"/>
          <w:szCs w:val="24"/>
        </w:rPr>
        <w:t>s and their families.</w:t>
      </w:r>
      <w:r w:rsidR="00820109">
        <w:rPr>
          <w:rFonts w:ascii="Book Antiqua" w:eastAsia="Times New Roman" w:hAnsi="Book Antiqua" w:cs="Times New Roman"/>
          <w:color w:val="000000" w:themeColor="text1"/>
          <w:sz w:val="24"/>
          <w:szCs w:val="24"/>
        </w:rPr>
        <w:t xml:space="preserve"> </w:t>
      </w:r>
      <w:r w:rsidR="00F27034" w:rsidRPr="006B24DA">
        <w:rPr>
          <w:rFonts w:ascii="Book Antiqua" w:eastAsia="Times New Roman" w:hAnsi="Book Antiqua" w:cs="Times New Roman"/>
          <w:color w:val="000000" w:themeColor="text1"/>
          <w:sz w:val="24"/>
          <w:szCs w:val="24"/>
        </w:rPr>
        <w:t>T</w:t>
      </w:r>
      <w:r w:rsidR="0077068E" w:rsidRPr="006B24DA">
        <w:rPr>
          <w:rFonts w:ascii="Book Antiqua" w:eastAsia="Times New Roman" w:hAnsi="Book Antiqua" w:cs="Times New Roman"/>
          <w:color w:val="000000" w:themeColor="text1"/>
          <w:sz w:val="24"/>
          <w:szCs w:val="24"/>
        </w:rPr>
        <w:t>he future for endoscopic foregut surgery is now!</w:t>
      </w:r>
    </w:p>
    <w:p w14:paraId="6780CB5C" w14:textId="77777777" w:rsidR="00D97B0C" w:rsidRPr="006B24DA" w:rsidRDefault="00D97B0C" w:rsidP="0051390E">
      <w:pPr>
        <w:adjustRightInd w:val="0"/>
        <w:snapToGrid w:val="0"/>
        <w:spacing w:after="0" w:line="360" w:lineRule="auto"/>
        <w:jc w:val="both"/>
        <w:rPr>
          <w:rFonts w:ascii="Book Antiqua" w:eastAsia="Times New Roman" w:hAnsi="Book Antiqua" w:cs="Times New Roman"/>
          <w:color w:val="000000" w:themeColor="text1"/>
          <w:sz w:val="24"/>
          <w:szCs w:val="24"/>
        </w:rPr>
      </w:pPr>
    </w:p>
    <w:p w14:paraId="22A1D92C" w14:textId="675126A1" w:rsidR="00E20495" w:rsidRPr="006B24DA" w:rsidRDefault="0051390E" w:rsidP="0051390E">
      <w:pPr>
        <w:adjustRightInd w:val="0"/>
        <w:snapToGrid w:val="0"/>
        <w:spacing w:after="0" w:line="360" w:lineRule="auto"/>
        <w:jc w:val="both"/>
        <w:rPr>
          <w:rFonts w:ascii="Book Antiqua" w:eastAsia="Times New Roman" w:hAnsi="Book Antiqua" w:cs="Times New Roman"/>
          <w:b/>
          <w:bCs/>
          <w:color w:val="000000" w:themeColor="text1"/>
          <w:sz w:val="24"/>
          <w:szCs w:val="24"/>
        </w:rPr>
      </w:pPr>
      <w:r w:rsidRPr="006B24DA">
        <w:rPr>
          <w:rFonts w:ascii="Book Antiqua" w:eastAsia="Times New Roman" w:hAnsi="Book Antiqua" w:cs="Times New Roman"/>
          <w:b/>
          <w:bCs/>
          <w:color w:val="000000" w:themeColor="text1"/>
          <w:sz w:val="24"/>
          <w:szCs w:val="24"/>
        </w:rPr>
        <w:lastRenderedPageBreak/>
        <w:t>ACKNOWLEDGMENTS</w:t>
      </w:r>
    </w:p>
    <w:p w14:paraId="3615228F" w14:textId="6D64967D" w:rsidR="00E20495" w:rsidRPr="006B24DA" w:rsidRDefault="00D62B60" w:rsidP="007761C0">
      <w:pPr>
        <w:adjustRightInd w:val="0"/>
        <w:snapToGrid w:val="0"/>
        <w:spacing w:after="0" w:line="360" w:lineRule="auto"/>
        <w:jc w:val="both"/>
        <w:rPr>
          <w:rFonts w:ascii="Book Antiqua" w:eastAsia="Times New Roman" w:hAnsi="Book Antiqua" w:cs="Times New Roman"/>
          <w:bCs/>
          <w:color w:val="000000" w:themeColor="text1"/>
          <w:sz w:val="24"/>
          <w:szCs w:val="24"/>
        </w:rPr>
      </w:pPr>
      <w:r w:rsidRPr="006B24DA">
        <w:rPr>
          <w:rFonts w:ascii="Book Antiqua" w:eastAsia="Times New Roman" w:hAnsi="Book Antiqua" w:cs="Times New Roman"/>
          <w:bCs/>
          <w:color w:val="000000" w:themeColor="text1"/>
          <w:sz w:val="24"/>
          <w:szCs w:val="24"/>
        </w:rPr>
        <w:t>I thank Professor A</w:t>
      </w:r>
      <w:r w:rsidR="00F61DCD" w:rsidRPr="006B24DA">
        <w:rPr>
          <w:rFonts w:ascii="Book Antiqua" w:eastAsia="Times New Roman" w:hAnsi="Book Antiqua" w:cs="Times New Roman"/>
          <w:bCs/>
          <w:color w:val="000000" w:themeColor="text1"/>
          <w:sz w:val="24"/>
          <w:szCs w:val="24"/>
        </w:rPr>
        <w:t xml:space="preserve">ndrzej </w:t>
      </w:r>
      <w:r w:rsidR="00A00023">
        <w:rPr>
          <w:rFonts w:ascii="Book Antiqua" w:eastAsia="Times New Roman" w:hAnsi="Book Antiqua" w:cs="Times New Roman"/>
          <w:bCs/>
          <w:color w:val="000000" w:themeColor="text1"/>
          <w:sz w:val="24"/>
          <w:szCs w:val="24"/>
        </w:rPr>
        <w:t>S</w:t>
      </w:r>
      <w:r w:rsidRPr="006B24DA">
        <w:rPr>
          <w:rFonts w:ascii="Book Antiqua" w:eastAsia="Times New Roman" w:hAnsi="Book Antiqua" w:cs="Times New Roman"/>
          <w:bCs/>
          <w:color w:val="000000" w:themeColor="text1"/>
          <w:sz w:val="24"/>
          <w:szCs w:val="24"/>
        </w:rPr>
        <w:t xml:space="preserve"> </w:t>
      </w:r>
      <w:proofErr w:type="spellStart"/>
      <w:r w:rsidRPr="006B24DA">
        <w:rPr>
          <w:rFonts w:ascii="Book Antiqua" w:eastAsia="Times New Roman" w:hAnsi="Book Antiqua" w:cs="Times New Roman"/>
          <w:bCs/>
          <w:color w:val="000000" w:themeColor="text1"/>
          <w:sz w:val="24"/>
          <w:szCs w:val="24"/>
        </w:rPr>
        <w:t>Tarnawski</w:t>
      </w:r>
      <w:proofErr w:type="spellEnd"/>
      <w:r w:rsidR="00F61DCD" w:rsidRPr="006B24DA">
        <w:rPr>
          <w:rFonts w:ascii="Book Antiqua" w:eastAsia="Times New Roman" w:hAnsi="Book Antiqua" w:cs="Times New Roman"/>
          <w:bCs/>
          <w:color w:val="000000" w:themeColor="text1"/>
          <w:sz w:val="24"/>
          <w:szCs w:val="24"/>
        </w:rPr>
        <w:t>,</w:t>
      </w:r>
      <w:r w:rsidRPr="006B24DA">
        <w:rPr>
          <w:rFonts w:ascii="Book Antiqua" w:eastAsia="Times New Roman" w:hAnsi="Book Antiqua" w:cs="Times New Roman"/>
          <w:bCs/>
          <w:color w:val="000000" w:themeColor="text1"/>
          <w:sz w:val="24"/>
          <w:szCs w:val="24"/>
        </w:rPr>
        <w:t xml:space="preserve"> </w:t>
      </w:r>
      <w:r w:rsidR="000F6810" w:rsidRPr="006B24DA">
        <w:rPr>
          <w:rFonts w:ascii="Book Antiqua" w:eastAsia="Times New Roman" w:hAnsi="Book Antiqua" w:cs="Times New Roman"/>
          <w:bCs/>
          <w:color w:val="000000" w:themeColor="text1"/>
          <w:sz w:val="24"/>
          <w:szCs w:val="24"/>
        </w:rPr>
        <w:t>my</w:t>
      </w:r>
      <w:r w:rsidRPr="006B24DA">
        <w:rPr>
          <w:rFonts w:ascii="Book Antiqua" w:eastAsia="Times New Roman" w:hAnsi="Book Antiqua" w:cs="Times New Roman"/>
          <w:bCs/>
          <w:color w:val="000000" w:themeColor="text1"/>
          <w:sz w:val="24"/>
          <w:szCs w:val="24"/>
        </w:rPr>
        <w:t xml:space="preserve"> mentor and friend</w:t>
      </w:r>
      <w:r w:rsidR="00F61DCD" w:rsidRPr="006B24DA">
        <w:rPr>
          <w:rFonts w:ascii="Book Antiqua" w:eastAsia="Times New Roman" w:hAnsi="Book Antiqua" w:cs="Times New Roman"/>
          <w:bCs/>
          <w:color w:val="000000" w:themeColor="text1"/>
          <w:sz w:val="24"/>
          <w:szCs w:val="24"/>
        </w:rPr>
        <w:t>,</w:t>
      </w:r>
      <w:r w:rsidRPr="006B24DA">
        <w:rPr>
          <w:rFonts w:ascii="Book Antiqua" w:eastAsia="Times New Roman" w:hAnsi="Book Antiqua" w:cs="Times New Roman"/>
          <w:bCs/>
          <w:color w:val="000000" w:themeColor="text1"/>
          <w:sz w:val="24"/>
          <w:szCs w:val="24"/>
        </w:rPr>
        <w:t xml:space="preserve"> for encouraging me to write this Frontier article. I also thank Dr. Amrita Ahluwalia,</w:t>
      </w:r>
      <w:r w:rsidR="005748D4" w:rsidRPr="006B24DA">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bCs/>
          <w:color w:val="000000" w:themeColor="text1"/>
          <w:sz w:val="24"/>
          <w:szCs w:val="24"/>
        </w:rPr>
        <w:t xml:space="preserve">Senior </w:t>
      </w:r>
      <w:r w:rsidR="005748D4" w:rsidRPr="006B24DA">
        <w:rPr>
          <w:rFonts w:ascii="Book Antiqua" w:eastAsia="Times New Roman" w:hAnsi="Book Antiqua" w:cs="Times New Roman"/>
          <w:bCs/>
          <w:color w:val="000000" w:themeColor="text1"/>
          <w:sz w:val="24"/>
          <w:szCs w:val="24"/>
        </w:rPr>
        <w:t xml:space="preserve">Research </w:t>
      </w:r>
      <w:r w:rsidRPr="006B24DA">
        <w:rPr>
          <w:rFonts w:ascii="Book Antiqua" w:eastAsia="Times New Roman" w:hAnsi="Book Antiqua" w:cs="Times New Roman"/>
          <w:bCs/>
          <w:color w:val="000000" w:themeColor="text1"/>
          <w:sz w:val="24"/>
          <w:szCs w:val="24"/>
        </w:rPr>
        <w:t>Scientist</w:t>
      </w:r>
      <w:r w:rsidR="005E2688" w:rsidRPr="006B24DA">
        <w:rPr>
          <w:rFonts w:ascii="Book Antiqua" w:eastAsia="Times New Roman" w:hAnsi="Book Antiqua" w:cs="Times New Roman"/>
          <w:bCs/>
          <w:color w:val="000000" w:themeColor="text1"/>
          <w:sz w:val="24"/>
          <w:szCs w:val="24"/>
        </w:rPr>
        <w:t>,</w:t>
      </w:r>
      <w:r w:rsidRPr="006B24DA">
        <w:rPr>
          <w:rFonts w:ascii="Book Antiqua" w:eastAsia="Times New Roman" w:hAnsi="Book Antiqua" w:cs="Times New Roman"/>
          <w:bCs/>
          <w:color w:val="000000" w:themeColor="text1"/>
          <w:sz w:val="24"/>
          <w:szCs w:val="24"/>
        </w:rPr>
        <w:t xml:space="preserve"> for outstanding work </w:t>
      </w:r>
      <w:r w:rsidR="00E20495" w:rsidRPr="006B24DA">
        <w:rPr>
          <w:rFonts w:ascii="Book Antiqua" w:eastAsia="Times New Roman" w:hAnsi="Book Antiqua" w:cs="Times New Roman"/>
          <w:bCs/>
          <w:color w:val="000000" w:themeColor="text1"/>
          <w:sz w:val="24"/>
          <w:szCs w:val="24"/>
        </w:rPr>
        <w:t xml:space="preserve">in </w:t>
      </w:r>
      <w:r w:rsidR="00F61DCD" w:rsidRPr="006B24DA">
        <w:rPr>
          <w:rFonts w:ascii="Book Antiqua" w:eastAsia="Times New Roman" w:hAnsi="Book Antiqua" w:cs="Times New Roman"/>
          <w:bCs/>
          <w:color w:val="000000" w:themeColor="text1"/>
          <w:sz w:val="24"/>
          <w:szCs w:val="24"/>
        </w:rPr>
        <w:t xml:space="preserve">the </w:t>
      </w:r>
      <w:r w:rsidR="00E20495" w:rsidRPr="006B24DA">
        <w:rPr>
          <w:rFonts w:ascii="Book Antiqua" w:eastAsia="Times New Roman" w:hAnsi="Book Antiqua" w:cs="Times New Roman"/>
          <w:bCs/>
          <w:color w:val="000000" w:themeColor="text1"/>
          <w:sz w:val="24"/>
          <w:szCs w:val="24"/>
        </w:rPr>
        <w:t>formatting and submission of the manuscript.</w:t>
      </w:r>
    </w:p>
    <w:p w14:paraId="63DB9CEB" w14:textId="77777777" w:rsidR="00E20495" w:rsidRPr="006B24DA" w:rsidRDefault="00E20495" w:rsidP="007761C0">
      <w:pPr>
        <w:adjustRightInd w:val="0"/>
        <w:snapToGrid w:val="0"/>
        <w:spacing w:after="0" w:line="360" w:lineRule="auto"/>
        <w:jc w:val="both"/>
        <w:rPr>
          <w:rFonts w:ascii="Book Antiqua" w:eastAsia="Times New Roman" w:hAnsi="Book Antiqua" w:cs="Times New Roman"/>
          <w:b/>
          <w:bCs/>
          <w:color w:val="000000" w:themeColor="text1"/>
          <w:sz w:val="24"/>
          <w:szCs w:val="24"/>
        </w:rPr>
      </w:pPr>
      <w:r w:rsidRPr="006B24DA">
        <w:rPr>
          <w:rFonts w:ascii="Book Antiqua" w:eastAsia="Times New Roman" w:hAnsi="Book Antiqua" w:cs="Times New Roman"/>
          <w:b/>
          <w:bCs/>
          <w:color w:val="000000" w:themeColor="text1"/>
          <w:sz w:val="24"/>
          <w:szCs w:val="24"/>
        </w:rPr>
        <w:br w:type="page"/>
      </w:r>
    </w:p>
    <w:p w14:paraId="7B1FBC75" w14:textId="37353233" w:rsidR="00E20495" w:rsidRPr="006B24DA" w:rsidRDefault="0051390E" w:rsidP="003B13C7">
      <w:pPr>
        <w:shd w:val="clear" w:color="auto" w:fill="FFFFFF" w:themeFill="background1"/>
        <w:adjustRightInd w:val="0"/>
        <w:snapToGrid w:val="0"/>
        <w:spacing w:after="0" w:line="360" w:lineRule="auto"/>
        <w:jc w:val="both"/>
        <w:outlineLvl w:val="0"/>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b/>
          <w:bCs/>
          <w:color w:val="000000" w:themeColor="text1"/>
          <w:sz w:val="24"/>
          <w:szCs w:val="24"/>
        </w:rPr>
        <w:lastRenderedPageBreak/>
        <w:t>REFERENCES</w:t>
      </w:r>
    </w:p>
    <w:p w14:paraId="2B76B37E"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1 </w:t>
      </w:r>
      <w:r w:rsidRPr="006B24DA">
        <w:rPr>
          <w:b/>
          <w:bCs/>
          <w:noProof/>
          <w:szCs w:val="24"/>
        </w:rPr>
        <w:t>Richter JE</w:t>
      </w:r>
      <w:r w:rsidRPr="006B24DA">
        <w:rPr>
          <w:noProof/>
          <w:szCs w:val="24"/>
        </w:rPr>
        <w:t>, Rubenstein JH. Presentation and Epidemiology of Gastroesophageal Reflux Disease. </w:t>
      </w:r>
      <w:r w:rsidRPr="006B24DA">
        <w:rPr>
          <w:i/>
          <w:iCs/>
          <w:noProof/>
          <w:szCs w:val="24"/>
        </w:rPr>
        <w:t>Gastroenterology</w:t>
      </w:r>
      <w:r w:rsidRPr="006B24DA">
        <w:rPr>
          <w:noProof/>
          <w:szCs w:val="24"/>
        </w:rPr>
        <w:t> 2018; </w:t>
      </w:r>
      <w:r w:rsidRPr="006B24DA">
        <w:rPr>
          <w:b/>
          <w:bCs/>
          <w:noProof/>
          <w:szCs w:val="24"/>
        </w:rPr>
        <w:t>154</w:t>
      </w:r>
      <w:r w:rsidRPr="006B24DA">
        <w:rPr>
          <w:noProof/>
          <w:szCs w:val="24"/>
        </w:rPr>
        <w:t>: 267-276 [PMID: 28780072 DOI: 10.1053/j.gastro.2017.07.045]</w:t>
      </w:r>
    </w:p>
    <w:p w14:paraId="03D0AD0A"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2 </w:t>
      </w:r>
      <w:r w:rsidRPr="006B24DA">
        <w:rPr>
          <w:b/>
          <w:bCs/>
          <w:noProof/>
          <w:szCs w:val="24"/>
        </w:rPr>
        <w:t>Lord RV</w:t>
      </w:r>
      <w:r w:rsidRPr="006B24DA">
        <w:rPr>
          <w:noProof/>
          <w:szCs w:val="24"/>
        </w:rPr>
        <w:t>, DeMeester SR, Peters JH, Hagen JA, Elyssnia D, Sheth CT, DeMeester TR. Hiatal hernia, lower esophageal sphincter incompetence, and effectiveness of Nissen fundoplication in the spectrum of gastroesophageal reflux disease. </w:t>
      </w:r>
      <w:r w:rsidRPr="006B24DA">
        <w:rPr>
          <w:i/>
          <w:iCs/>
          <w:noProof/>
          <w:szCs w:val="24"/>
        </w:rPr>
        <w:t>J Gastrointest Surg</w:t>
      </w:r>
      <w:r w:rsidRPr="006B24DA">
        <w:rPr>
          <w:noProof/>
          <w:szCs w:val="24"/>
        </w:rPr>
        <w:t> 2009; </w:t>
      </w:r>
      <w:r w:rsidRPr="006B24DA">
        <w:rPr>
          <w:b/>
          <w:bCs/>
          <w:noProof/>
          <w:szCs w:val="24"/>
        </w:rPr>
        <w:t>13</w:t>
      </w:r>
      <w:r w:rsidRPr="006B24DA">
        <w:rPr>
          <w:noProof/>
          <w:szCs w:val="24"/>
        </w:rPr>
        <w:t>: 602-610 [PMID: 19050984 DOI: 10.1007/s11605-008-0754-x]</w:t>
      </w:r>
    </w:p>
    <w:p w14:paraId="778AF7F3"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3 </w:t>
      </w:r>
      <w:r w:rsidRPr="006B24DA">
        <w:rPr>
          <w:b/>
          <w:bCs/>
          <w:noProof/>
          <w:szCs w:val="24"/>
        </w:rPr>
        <w:t>Tack J</w:t>
      </w:r>
      <w:r w:rsidRPr="006B24DA">
        <w:rPr>
          <w:noProof/>
          <w:szCs w:val="24"/>
        </w:rPr>
        <w:t>, Pandolfino JE. Pathophysiology of Gastroesophageal Reflux Disease. </w:t>
      </w:r>
      <w:r w:rsidRPr="006B24DA">
        <w:rPr>
          <w:i/>
          <w:iCs/>
          <w:noProof/>
          <w:szCs w:val="24"/>
        </w:rPr>
        <w:t>Gastroenterology</w:t>
      </w:r>
      <w:r w:rsidRPr="006B24DA">
        <w:rPr>
          <w:noProof/>
          <w:szCs w:val="24"/>
        </w:rPr>
        <w:t> 2018; </w:t>
      </w:r>
      <w:r w:rsidRPr="006B24DA">
        <w:rPr>
          <w:b/>
          <w:bCs/>
          <w:noProof/>
          <w:szCs w:val="24"/>
        </w:rPr>
        <w:t>154</w:t>
      </w:r>
      <w:r w:rsidRPr="006B24DA">
        <w:rPr>
          <w:noProof/>
          <w:szCs w:val="24"/>
        </w:rPr>
        <w:t>: 277-288 [PMID: 29037470 DOI: 10.1053/j.gastro.2017.09.047]</w:t>
      </w:r>
    </w:p>
    <w:p w14:paraId="295722A2"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4 </w:t>
      </w:r>
      <w:r w:rsidRPr="006B24DA">
        <w:rPr>
          <w:b/>
          <w:bCs/>
          <w:noProof/>
          <w:szCs w:val="24"/>
        </w:rPr>
        <w:t>Schlottmann F</w:t>
      </w:r>
      <w:r w:rsidRPr="006B24DA">
        <w:rPr>
          <w:noProof/>
          <w:szCs w:val="24"/>
        </w:rPr>
        <w:t>, Andolfi C, Herbella FA, Rebecchi F, Allaix ME, Patti MG. GERD: Presence and Size of Hiatal Hernia Influence Clinical Presentation, Esophageal Function, Reflux Profile, and Degree of Mucosal Injury. </w:t>
      </w:r>
      <w:r w:rsidRPr="006B24DA">
        <w:rPr>
          <w:i/>
          <w:iCs/>
          <w:noProof/>
          <w:szCs w:val="24"/>
        </w:rPr>
        <w:t>Am Surg</w:t>
      </w:r>
      <w:r w:rsidRPr="006B24DA">
        <w:rPr>
          <w:noProof/>
          <w:szCs w:val="24"/>
        </w:rPr>
        <w:t> 2018; </w:t>
      </w:r>
      <w:r w:rsidRPr="006B24DA">
        <w:rPr>
          <w:b/>
          <w:bCs/>
          <w:noProof/>
          <w:szCs w:val="24"/>
        </w:rPr>
        <w:t>84</w:t>
      </w:r>
      <w:r w:rsidRPr="006B24DA">
        <w:rPr>
          <w:noProof/>
          <w:szCs w:val="24"/>
        </w:rPr>
        <w:t>: 978-982 [PMID: 29981634]</w:t>
      </w:r>
    </w:p>
    <w:p w14:paraId="0ED87659"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5 </w:t>
      </w:r>
      <w:r w:rsidRPr="006B24DA">
        <w:rPr>
          <w:b/>
          <w:bCs/>
          <w:noProof/>
          <w:szCs w:val="24"/>
        </w:rPr>
        <w:t>Kim MS</w:t>
      </w:r>
      <w:r w:rsidRPr="006B24DA">
        <w:rPr>
          <w:noProof/>
          <w:szCs w:val="24"/>
        </w:rPr>
        <w:t>, Holloway RH, Dent J, Utley DS. Radiofrequency energy delivery to the gastric cardia inhibits triggering of transient lower esophageal sphincter relaxation and gastroesophageal reflux in dogs. </w:t>
      </w:r>
      <w:r w:rsidRPr="006B24DA">
        <w:rPr>
          <w:i/>
          <w:iCs/>
          <w:noProof/>
          <w:szCs w:val="24"/>
        </w:rPr>
        <w:t>Gastrointest Endosc</w:t>
      </w:r>
      <w:r w:rsidRPr="006B24DA">
        <w:rPr>
          <w:noProof/>
          <w:szCs w:val="24"/>
        </w:rPr>
        <w:t> 2003; </w:t>
      </w:r>
      <w:r w:rsidRPr="006B24DA">
        <w:rPr>
          <w:b/>
          <w:bCs/>
          <w:noProof/>
          <w:szCs w:val="24"/>
        </w:rPr>
        <w:t>57</w:t>
      </w:r>
      <w:r w:rsidRPr="006B24DA">
        <w:rPr>
          <w:noProof/>
          <w:szCs w:val="24"/>
        </w:rPr>
        <w:t>: 17-22 [PMID: 12518124 DOI: 10.1067/mge.2003.23]</w:t>
      </w:r>
    </w:p>
    <w:p w14:paraId="2140F17A"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6 </w:t>
      </w:r>
      <w:r w:rsidRPr="006B24DA">
        <w:rPr>
          <w:b/>
          <w:bCs/>
          <w:noProof/>
          <w:szCs w:val="24"/>
        </w:rPr>
        <w:t>Arts J</w:t>
      </w:r>
      <w:r w:rsidRPr="006B24DA">
        <w:rPr>
          <w:noProof/>
          <w:szCs w:val="24"/>
        </w:rPr>
        <w:t>, Sifrim D, Rutgeerts P, Lerut A, Janssens J, Tack J. Influence of radiofrequency energy delivery at the gastroesophageal junction (the Stretta procedure) on symptoms, acid exposure, and esophageal sensitivity to acid perfusion in gastroesophagal reflux disease. </w:t>
      </w:r>
      <w:r w:rsidRPr="006B24DA">
        <w:rPr>
          <w:i/>
          <w:iCs/>
          <w:noProof/>
          <w:szCs w:val="24"/>
        </w:rPr>
        <w:t>Dig Dis Sci</w:t>
      </w:r>
      <w:r w:rsidRPr="006B24DA">
        <w:rPr>
          <w:noProof/>
          <w:szCs w:val="24"/>
        </w:rPr>
        <w:t> 2007; </w:t>
      </w:r>
      <w:r w:rsidRPr="006B24DA">
        <w:rPr>
          <w:b/>
          <w:bCs/>
          <w:noProof/>
          <w:szCs w:val="24"/>
        </w:rPr>
        <w:t>52</w:t>
      </w:r>
      <w:r w:rsidRPr="006B24DA">
        <w:rPr>
          <w:noProof/>
          <w:szCs w:val="24"/>
        </w:rPr>
        <w:t>: 2170-2177 [PMID: 17436101 DOI: 10.1007/s10620-006-9695-y]</w:t>
      </w:r>
    </w:p>
    <w:p w14:paraId="537C9130"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7 </w:t>
      </w:r>
      <w:r w:rsidRPr="006B24DA">
        <w:rPr>
          <w:b/>
          <w:bCs/>
          <w:noProof/>
          <w:szCs w:val="24"/>
        </w:rPr>
        <w:t>Corley DA</w:t>
      </w:r>
      <w:r w:rsidRPr="006B24DA">
        <w:rPr>
          <w:noProof/>
          <w:szCs w:val="24"/>
        </w:rPr>
        <w:t>, Katz P, Wo JM, Stefan A, Patti M, Rothstein R, Edmundowicz S, Kline M, Mason R, Wolfe MM. Improvement of gastroesophageal reflux symptoms after radiofrequency energy: a randomized, sham-controlled trial. </w:t>
      </w:r>
      <w:r w:rsidRPr="006B24DA">
        <w:rPr>
          <w:i/>
          <w:iCs/>
          <w:noProof/>
          <w:szCs w:val="24"/>
        </w:rPr>
        <w:t>Gastroenterology</w:t>
      </w:r>
      <w:r w:rsidRPr="006B24DA">
        <w:rPr>
          <w:noProof/>
          <w:szCs w:val="24"/>
        </w:rPr>
        <w:t> 2003; </w:t>
      </w:r>
      <w:r w:rsidRPr="006B24DA">
        <w:rPr>
          <w:b/>
          <w:bCs/>
          <w:noProof/>
          <w:szCs w:val="24"/>
        </w:rPr>
        <w:t>125</w:t>
      </w:r>
      <w:r w:rsidRPr="006B24DA">
        <w:rPr>
          <w:noProof/>
          <w:szCs w:val="24"/>
        </w:rPr>
        <w:t>: 668-676 [PMID: 12949712]</w:t>
      </w:r>
    </w:p>
    <w:p w14:paraId="6CDABD4B"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lastRenderedPageBreak/>
        <w:t>8 </w:t>
      </w:r>
      <w:r w:rsidRPr="006B24DA">
        <w:rPr>
          <w:b/>
          <w:bCs/>
          <w:noProof/>
          <w:szCs w:val="24"/>
        </w:rPr>
        <w:t>Coron E</w:t>
      </w:r>
      <w:r w:rsidRPr="006B24DA">
        <w:rPr>
          <w:noProof/>
          <w:szCs w:val="24"/>
        </w:rPr>
        <w:t>, Sebille V, Cadiot G, Zerbib F, Ducrotte P, Ducrot F, Pouderoux P, Arts J, Le Rhun M, Piche T, Bruley des Varannes S, Galmiche JP; Consortium de Recherche Indépendant sur le Traitement et L'exploration du Reflux Gastro-oesophagien et de L'endobrachyoesophage (CRITERE). Clinical trial: Radiofrequency energy delivery in proton pump inhibitor-dependent gastro-oesophageal reflux disease patients. </w:t>
      </w:r>
      <w:r w:rsidRPr="006B24DA">
        <w:rPr>
          <w:i/>
          <w:iCs/>
          <w:noProof/>
          <w:szCs w:val="24"/>
        </w:rPr>
        <w:t>Aliment Pharmacol Ther</w:t>
      </w:r>
      <w:r w:rsidRPr="006B24DA">
        <w:rPr>
          <w:noProof/>
          <w:szCs w:val="24"/>
        </w:rPr>
        <w:t> 2008; </w:t>
      </w:r>
      <w:r w:rsidRPr="006B24DA">
        <w:rPr>
          <w:b/>
          <w:bCs/>
          <w:noProof/>
          <w:szCs w:val="24"/>
        </w:rPr>
        <w:t>28</w:t>
      </w:r>
      <w:r w:rsidRPr="006B24DA">
        <w:rPr>
          <w:noProof/>
          <w:szCs w:val="24"/>
        </w:rPr>
        <w:t>: 1147-1158 [PMID: 18616516 DOI: 10.1111/j.1365-2036.2008.03790.x]</w:t>
      </w:r>
    </w:p>
    <w:p w14:paraId="1E9CE4CD"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9 </w:t>
      </w:r>
      <w:r w:rsidRPr="006B24DA">
        <w:rPr>
          <w:b/>
          <w:bCs/>
          <w:noProof/>
          <w:szCs w:val="24"/>
        </w:rPr>
        <w:t>Perry KA</w:t>
      </w:r>
      <w:r w:rsidRPr="006B24DA">
        <w:rPr>
          <w:noProof/>
          <w:szCs w:val="24"/>
        </w:rPr>
        <w:t>, Banerjee A, Melvin WS. Radiofrequency energy delivery to the lower esophageal sphincter reduces esophageal acid exposure and improves GERD symptoms: a systematic review and meta-analysis. </w:t>
      </w:r>
      <w:r w:rsidRPr="006B24DA">
        <w:rPr>
          <w:i/>
          <w:iCs/>
          <w:noProof/>
          <w:szCs w:val="24"/>
        </w:rPr>
        <w:t>Surg Laparosc Endosc Percutan Tech</w:t>
      </w:r>
      <w:r w:rsidRPr="006B24DA">
        <w:rPr>
          <w:noProof/>
          <w:szCs w:val="24"/>
        </w:rPr>
        <w:t> 2012; </w:t>
      </w:r>
      <w:r w:rsidRPr="006B24DA">
        <w:rPr>
          <w:b/>
          <w:bCs/>
          <w:noProof/>
          <w:szCs w:val="24"/>
        </w:rPr>
        <w:t>22</w:t>
      </w:r>
      <w:r w:rsidRPr="006B24DA">
        <w:rPr>
          <w:noProof/>
          <w:szCs w:val="24"/>
        </w:rPr>
        <w:t>: 283-288 [PMID: 22874675 DOI: 10.1097/SLE.0b013e3182582e92]</w:t>
      </w:r>
    </w:p>
    <w:p w14:paraId="04025E60"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10 </w:t>
      </w:r>
      <w:r w:rsidRPr="006B24DA">
        <w:rPr>
          <w:b/>
          <w:bCs/>
          <w:noProof/>
          <w:szCs w:val="24"/>
        </w:rPr>
        <w:t>Fass R</w:t>
      </w:r>
      <w:r w:rsidRPr="006B24DA">
        <w:rPr>
          <w:noProof/>
          <w:szCs w:val="24"/>
        </w:rPr>
        <w:t>, Cahn F, Scotti DJ, Gregory DA. Systematic review and meta-analysis of controlled and prospective cohort efficacy studies of endoscopic radiofrequency for treatment of gastroesophageal reflux disease. </w:t>
      </w:r>
      <w:r w:rsidRPr="006B24DA">
        <w:rPr>
          <w:i/>
          <w:iCs/>
          <w:noProof/>
          <w:szCs w:val="24"/>
        </w:rPr>
        <w:t>Surg Endosc</w:t>
      </w:r>
      <w:r w:rsidRPr="006B24DA">
        <w:rPr>
          <w:noProof/>
          <w:szCs w:val="24"/>
        </w:rPr>
        <w:t> 2017; </w:t>
      </w:r>
      <w:r w:rsidRPr="006B24DA">
        <w:rPr>
          <w:b/>
          <w:bCs/>
          <w:noProof/>
          <w:szCs w:val="24"/>
        </w:rPr>
        <w:t>31</w:t>
      </w:r>
      <w:r w:rsidRPr="006B24DA">
        <w:rPr>
          <w:noProof/>
          <w:szCs w:val="24"/>
        </w:rPr>
        <w:t>: 4865-4882 [PMID: 28233093 DOI: 10.1007/s00464-017-5431-2]</w:t>
      </w:r>
    </w:p>
    <w:p w14:paraId="69EB2A71"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11 </w:t>
      </w:r>
      <w:r w:rsidRPr="006B24DA">
        <w:rPr>
          <w:b/>
          <w:bCs/>
          <w:noProof/>
          <w:szCs w:val="24"/>
        </w:rPr>
        <w:t>Dughera L</w:t>
      </w:r>
      <w:r w:rsidRPr="006B24DA">
        <w:rPr>
          <w:noProof/>
          <w:szCs w:val="24"/>
        </w:rPr>
        <w:t>, Rotondano G, De Cento M, Cassolino P, Cisarò F. Durability of Stretta Radiofrequency Treatment for GERD: Results of an 8-Year Follow-Up. </w:t>
      </w:r>
      <w:r w:rsidRPr="006B24DA">
        <w:rPr>
          <w:i/>
          <w:iCs/>
          <w:noProof/>
          <w:szCs w:val="24"/>
        </w:rPr>
        <w:t>Gastroenterol Res Pract</w:t>
      </w:r>
      <w:r w:rsidRPr="006B24DA">
        <w:rPr>
          <w:noProof/>
          <w:szCs w:val="24"/>
        </w:rPr>
        <w:t> 2014; </w:t>
      </w:r>
      <w:r w:rsidRPr="006B24DA">
        <w:rPr>
          <w:b/>
          <w:bCs/>
          <w:noProof/>
          <w:szCs w:val="24"/>
        </w:rPr>
        <w:t>2014</w:t>
      </w:r>
      <w:r w:rsidRPr="006B24DA">
        <w:rPr>
          <w:noProof/>
          <w:szCs w:val="24"/>
        </w:rPr>
        <w:t>: 531907 [PMID: 24959175 DOI: 10.1155/2014/531907]</w:t>
      </w:r>
    </w:p>
    <w:p w14:paraId="7DC81946"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12 </w:t>
      </w:r>
      <w:r w:rsidRPr="006B24DA">
        <w:rPr>
          <w:b/>
          <w:bCs/>
          <w:noProof/>
          <w:szCs w:val="24"/>
        </w:rPr>
        <w:t>Noar M</w:t>
      </w:r>
      <w:r w:rsidRPr="006B24DA">
        <w:rPr>
          <w:noProof/>
          <w:szCs w:val="24"/>
        </w:rPr>
        <w:t>, Squires P, Noar E, Lee M. Long-term maintenance effect of radiofrequency energy delivery for refractory GERD: a decade later. </w:t>
      </w:r>
      <w:r w:rsidRPr="006B24DA">
        <w:rPr>
          <w:i/>
          <w:iCs/>
          <w:noProof/>
          <w:szCs w:val="24"/>
        </w:rPr>
        <w:t>Surg Endosc</w:t>
      </w:r>
      <w:r w:rsidRPr="006B24DA">
        <w:rPr>
          <w:noProof/>
          <w:szCs w:val="24"/>
        </w:rPr>
        <w:t> 2014; </w:t>
      </w:r>
      <w:r w:rsidRPr="006B24DA">
        <w:rPr>
          <w:b/>
          <w:bCs/>
          <w:noProof/>
          <w:szCs w:val="24"/>
        </w:rPr>
        <w:t>28</w:t>
      </w:r>
      <w:r w:rsidRPr="006B24DA">
        <w:rPr>
          <w:noProof/>
          <w:szCs w:val="24"/>
        </w:rPr>
        <w:t>: 2323-2333 [PMID: 24562599 DOI: 10.1007/s00464-014-3461-6]</w:t>
      </w:r>
    </w:p>
    <w:p w14:paraId="007E85AC"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13 </w:t>
      </w:r>
      <w:r w:rsidRPr="006B24DA">
        <w:rPr>
          <w:b/>
          <w:bCs/>
          <w:noProof/>
          <w:szCs w:val="24"/>
        </w:rPr>
        <w:t>Triadafilopoulos G</w:t>
      </w:r>
      <w:r w:rsidRPr="006B24DA">
        <w:rPr>
          <w:noProof/>
          <w:szCs w:val="24"/>
        </w:rPr>
        <w:t>. Stretta: a valuable endoscopic treatment modality for gastroesophageal reflux disease. </w:t>
      </w:r>
      <w:r w:rsidRPr="006B24DA">
        <w:rPr>
          <w:i/>
          <w:iCs/>
          <w:noProof/>
          <w:szCs w:val="24"/>
        </w:rPr>
        <w:t>World J Gastroenterol</w:t>
      </w:r>
      <w:r w:rsidRPr="006B24DA">
        <w:rPr>
          <w:noProof/>
          <w:szCs w:val="24"/>
        </w:rPr>
        <w:t> 2014; </w:t>
      </w:r>
      <w:r w:rsidRPr="006B24DA">
        <w:rPr>
          <w:b/>
          <w:bCs/>
          <w:noProof/>
          <w:szCs w:val="24"/>
        </w:rPr>
        <w:t>20</w:t>
      </w:r>
      <w:r w:rsidRPr="006B24DA">
        <w:rPr>
          <w:noProof/>
          <w:szCs w:val="24"/>
        </w:rPr>
        <w:t>: 7730-7738 [PMID: 24976710 DOI: 10.3748/wjg.v20.i24.7730]</w:t>
      </w:r>
    </w:p>
    <w:p w14:paraId="10DAD90D"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14 </w:t>
      </w:r>
      <w:r w:rsidRPr="006B24DA">
        <w:rPr>
          <w:b/>
          <w:bCs/>
          <w:noProof/>
          <w:szCs w:val="24"/>
        </w:rPr>
        <w:t>Trad KS</w:t>
      </w:r>
      <w:r w:rsidRPr="006B24DA">
        <w:rPr>
          <w:noProof/>
          <w:szCs w:val="24"/>
        </w:rPr>
        <w:t>, Barnes WE, Simoni G, Shughoury AB, Mavrelis PG, Raza M, Heise JA, Turgeon DG, Fox MA. Transoral incisionless fundoplication effective in eliminating GERD symptoms in partial responders to proton pump inhibitor therapy at 6 months: the TEMPO Randomized Clinical Trial. </w:t>
      </w:r>
      <w:r w:rsidRPr="006B24DA">
        <w:rPr>
          <w:i/>
          <w:iCs/>
          <w:noProof/>
          <w:szCs w:val="24"/>
        </w:rPr>
        <w:t>Surg Innov</w:t>
      </w:r>
      <w:r w:rsidRPr="006B24DA">
        <w:rPr>
          <w:noProof/>
          <w:szCs w:val="24"/>
        </w:rPr>
        <w:t> 2015; </w:t>
      </w:r>
      <w:r w:rsidRPr="006B24DA">
        <w:rPr>
          <w:b/>
          <w:bCs/>
          <w:noProof/>
          <w:szCs w:val="24"/>
        </w:rPr>
        <w:t>22</w:t>
      </w:r>
      <w:r w:rsidRPr="006B24DA">
        <w:rPr>
          <w:noProof/>
          <w:szCs w:val="24"/>
        </w:rPr>
        <w:t>: 26-40 [PMID: 24756976 DOI: 10.1177/1553350614526788]</w:t>
      </w:r>
    </w:p>
    <w:p w14:paraId="36C578BA"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lastRenderedPageBreak/>
        <w:t>15 </w:t>
      </w:r>
      <w:r w:rsidRPr="006B24DA">
        <w:rPr>
          <w:b/>
          <w:bCs/>
          <w:noProof/>
          <w:szCs w:val="24"/>
        </w:rPr>
        <w:t>Hunter JG</w:t>
      </w:r>
      <w:r w:rsidRPr="006B24DA">
        <w:rPr>
          <w:noProof/>
          <w:szCs w:val="24"/>
        </w:rPr>
        <w:t>, Kahrilas PJ, Bell RC, Wilson EB, Trad KS, Dolan JP, Perry KA, Oelschlager BK, Soper NJ, Snyder BE, Burch MA, Melvin WS, Reavis KM, Turgeon DG, Hungness ES, Diggs BS. Efficacy of transoral fundoplication vs omeprazole for treatment of regurgitation in a randomized controlled trial. </w:t>
      </w:r>
      <w:r w:rsidRPr="006B24DA">
        <w:rPr>
          <w:i/>
          <w:iCs/>
          <w:noProof/>
          <w:szCs w:val="24"/>
        </w:rPr>
        <w:t>Gastroenterology</w:t>
      </w:r>
      <w:r w:rsidRPr="006B24DA">
        <w:rPr>
          <w:noProof/>
          <w:szCs w:val="24"/>
        </w:rPr>
        <w:t> 2015; </w:t>
      </w:r>
      <w:r w:rsidRPr="006B24DA">
        <w:rPr>
          <w:b/>
          <w:bCs/>
          <w:noProof/>
          <w:szCs w:val="24"/>
        </w:rPr>
        <w:t>148</w:t>
      </w:r>
      <w:r w:rsidRPr="006B24DA">
        <w:rPr>
          <w:noProof/>
          <w:szCs w:val="24"/>
        </w:rPr>
        <w:t>: 324-333.e5 [PMID: 25448925 DOI: 10.1053/j.gastro.2014.10.009]</w:t>
      </w:r>
    </w:p>
    <w:p w14:paraId="50B554F8"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16 </w:t>
      </w:r>
      <w:r w:rsidRPr="006B24DA">
        <w:rPr>
          <w:b/>
          <w:bCs/>
          <w:noProof/>
          <w:szCs w:val="24"/>
        </w:rPr>
        <w:t>Håkansson B</w:t>
      </w:r>
      <w:r w:rsidRPr="006B24DA">
        <w:rPr>
          <w:noProof/>
          <w:szCs w:val="24"/>
        </w:rPr>
        <w:t>, Montgomery M, Cadiere GB, Rajan A, Bruley des Varannes S, Lerhun M, Coron E, Tack J, Bischops R, Thorell A, Arnelo U, Lundell L. Randomised clinical trial: transoral incisionless fundoplication vs. sham intervention to control chronic GERD. </w:t>
      </w:r>
      <w:r w:rsidRPr="006B24DA">
        <w:rPr>
          <w:i/>
          <w:iCs/>
          <w:noProof/>
          <w:szCs w:val="24"/>
        </w:rPr>
        <w:t>Aliment Pharmacol Ther</w:t>
      </w:r>
      <w:r w:rsidRPr="006B24DA">
        <w:rPr>
          <w:noProof/>
          <w:szCs w:val="24"/>
        </w:rPr>
        <w:t> 2015; </w:t>
      </w:r>
      <w:r w:rsidRPr="006B24DA">
        <w:rPr>
          <w:b/>
          <w:bCs/>
          <w:noProof/>
          <w:szCs w:val="24"/>
        </w:rPr>
        <w:t>42</w:t>
      </w:r>
      <w:r w:rsidRPr="006B24DA">
        <w:rPr>
          <w:noProof/>
          <w:szCs w:val="24"/>
        </w:rPr>
        <w:t>: 1261-1270 [PMID: 26463242 DOI: 10.1111/apt.13427]</w:t>
      </w:r>
    </w:p>
    <w:p w14:paraId="578984B6"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17 </w:t>
      </w:r>
      <w:r w:rsidRPr="006B24DA">
        <w:rPr>
          <w:b/>
          <w:bCs/>
          <w:noProof/>
          <w:szCs w:val="24"/>
        </w:rPr>
        <w:t>Gerson L</w:t>
      </w:r>
      <w:r w:rsidRPr="006B24DA">
        <w:rPr>
          <w:noProof/>
          <w:szCs w:val="24"/>
        </w:rPr>
        <w:t>, Stouch B, Lobonţiu A. Transoral Incisionless Fundoplication (TIF 2.0): A Meta-Analysis of Three Randomized, Controlled Clinical Trials. </w:t>
      </w:r>
      <w:r w:rsidRPr="006B24DA">
        <w:rPr>
          <w:i/>
          <w:iCs/>
          <w:noProof/>
          <w:szCs w:val="24"/>
        </w:rPr>
        <w:t xml:space="preserve">Chirurgia </w:t>
      </w:r>
      <w:r w:rsidRPr="006B24DA">
        <w:rPr>
          <w:iCs/>
          <w:noProof/>
          <w:szCs w:val="24"/>
        </w:rPr>
        <w:t>(Bucur)</w:t>
      </w:r>
      <w:r w:rsidRPr="006B24DA">
        <w:rPr>
          <w:noProof/>
          <w:szCs w:val="24"/>
        </w:rPr>
        <w:t> 2018; </w:t>
      </w:r>
      <w:r w:rsidRPr="006B24DA">
        <w:rPr>
          <w:b/>
          <w:bCs/>
          <w:noProof/>
          <w:szCs w:val="24"/>
        </w:rPr>
        <w:t>113</w:t>
      </w:r>
      <w:r w:rsidRPr="006B24DA">
        <w:rPr>
          <w:noProof/>
          <w:szCs w:val="24"/>
        </w:rPr>
        <w:t>: 173-184 [PMID: 29733015 DOI: 10.21614/chirurgia.113.2.173]</w:t>
      </w:r>
    </w:p>
    <w:p w14:paraId="51B5130E"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18 </w:t>
      </w:r>
      <w:r w:rsidRPr="006B24DA">
        <w:rPr>
          <w:b/>
          <w:bCs/>
          <w:noProof/>
          <w:szCs w:val="24"/>
        </w:rPr>
        <w:t>Trad KS</w:t>
      </w:r>
      <w:r w:rsidRPr="006B24DA">
        <w:rPr>
          <w:noProof/>
          <w:szCs w:val="24"/>
        </w:rPr>
        <w:t>, Barnes WE, Prevou ER, Simoni G, Steffen JA, Shughoury AB, Raza M, Heise JA, Fox MA, Mavrelis PG. The TEMPO Trial at 5 Years: Transoral Fundoplication (TIF 2.0) Is Safe, Durable, and Cost-effective. </w:t>
      </w:r>
      <w:r w:rsidRPr="006B24DA">
        <w:rPr>
          <w:i/>
          <w:iCs/>
          <w:noProof/>
          <w:szCs w:val="24"/>
        </w:rPr>
        <w:t>Surg Innov</w:t>
      </w:r>
      <w:r w:rsidRPr="006B24DA">
        <w:rPr>
          <w:noProof/>
          <w:szCs w:val="24"/>
        </w:rPr>
        <w:t> 2018; </w:t>
      </w:r>
      <w:r w:rsidRPr="006B24DA">
        <w:rPr>
          <w:b/>
          <w:bCs/>
          <w:noProof/>
          <w:szCs w:val="24"/>
        </w:rPr>
        <w:t>25</w:t>
      </w:r>
      <w:r w:rsidRPr="006B24DA">
        <w:rPr>
          <w:noProof/>
          <w:szCs w:val="24"/>
        </w:rPr>
        <w:t>: 149-157 [PMID: 29405886 DOI: 10.1177/1553350618755214]</w:t>
      </w:r>
    </w:p>
    <w:p w14:paraId="2AA8F13B"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19 </w:t>
      </w:r>
      <w:r w:rsidRPr="006B24DA">
        <w:rPr>
          <w:b/>
          <w:bCs/>
          <w:noProof/>
          <w:szCs w:val="24"/>
        </w:rPr>
        <w:t>Stefanidis G</w:t>
      </w:r>
      <w:r w:rsidRPr="006B24DA">
        <w:rPr>
          <w:noProof/>
          <w:szCs w:val="24"/>
        </w:rPr>
        <w:t>, Viazis N, Kotsikoros N, Tsoukalas N, Lala E, Theocharis L, Fassaris A, Manolakopoulos S. Long-term benefit of transoral incisionless fundoplication using the esophyx device for the management of gastroesophageal reflux disease responsive to medical therapy. </w:t>
      </w:r>
      <w:r w:rsidRPr="006B24DA">
        <w:rPr>
          <w:i/>
          <w:iCs/>
          <w:noProof/>
          <w:szCs w:val="24"/>
        </w:rPr>
        <w:t>Dis Esophagus</w:t>
      </w:r>
      <w:r w:rsidRPr="006B24DA">
        <w:rPr>
          <w:noProof/>
          <w:szCs w:val="24"/>
        </w:rPr>
        <w:t> 2017; </w:t>
      </w:r>
      <w:r w:rsidRPr="006B24DA">
        <w:rPr>
          <w:b/>
          <w:bCs/>
          <w:noProof/>
          <w:szCs w:val="24"/>
        </w:rPr>
        <w:t>30</w:t>
      </w:r>
      <w:r w:rsidRPr="006B24DA">
        <w:rPr>
          <w:noProof/>
          <w:szCs w:val="24"/>
        </w:rPr>
        <w:t>: 1-8 [PMID: 27868281 DOI: 10.1111/dote.12525]</w:t>
      </w:r>
    </w:p>
    <w:p w14:paraId="2E3B228D"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20 </w:t>
      </w:r>
      <w:r w:rsidRPr="006B24DA">
        <w:rPr>
          <w:b/>
          <w:bCs/>
          <w:noProof/>
          <w:szCs w:val="24"/>
        </w:rPr>
        <w:t>Testoni PA</w:t>
      </w:r>
      <w:r w:rsidRPr="006B24DA">
        <w:rPr>
          <w:bCs/>
          <w:noProof/>
          <w:szCs w:val="24"/>
        </w:rPr>
        <w:t>,</w:t>
      </w:r>
      <w:r w:rsidRPr="006B24DA">
        <w:rPr>
          <w:noProof/>
          <w:szCs w:val="24"/>
        </w:rPr>
        <w:t xml:space="preserve"> Distefano G, Mazzoleni G, Testoni SG, Fanti L, Antonelli M, Passaretti S. Transoral incisionless fundoplication with Esophyx (TIF 2.0) for gastro-esophageal reflux disease: three to ten year outcomes in a prospective observational single-center study. </w:t>
      </w:r>
      <w:r w:rsidRPr="006B24DA">
        <w:rPr>
          <w:i/>
          <w:noProof/>
          <w:szCs w:val="24"/>
        </w:rPr>
        <w:t>Gastrointest endosc</w:t>
      </w:r>
      <w:r w:rsidRPr="006B24DA">
        <w:rPr>
          <w:noProof/>
          <w:szCs w:val="24"/>
        </w:rPr>
        <w:t xml:space="preserve"> 2018; </w:t>
      </w:r>
      <w:r w:rsidRPr="006B24DA">
        <w:rPr>
          <w:b/>
          <w:noProof/>
          <w:szCs w:val="24"/>
        </w:rPr>
        <w:t>87</w:t>
      </w:r>
      <w:r w:rsidRPr="006B24DA">
        <w:rPr>
          <w:noProof/>
          <w:szCs w:val="24"/>
        </w:rPr>
        <w:t>: AB262-263</w:t>
      </w:r>
    </w:p>
    <w:p w14:paraId="2DA944F4"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21 </w:t>
      </w:r>
      <w:r w:rsidRPr="006B24DA">
        <w:rPr>
          <w:b/>
          <w:bCs/>
          <w:noProof/>
          <w:szCs w:val="24"/>
        </w:rPr>
        <w:t>Jobe BA</w:t>
      </w:r>
      <w:r w:rsidRPr="006B24DA">
        <w:rPr>
          <w:noProof/>
          <w:szCs w:val="24"/>
        </w:rPr>
        <w:t xml:space="preserve">, O'Rourke RW, McMahon BP, Gravesen F, Lorenzo C, Hunter JG, Bronner M, Kraemer SJ. Transoral endoscopic fundoplication in the treatment of gastroesophageal reflux disease: the anatomic and physiologic basis for reconstruction </w:t>
      </w:r>
      <w:r w:rsidRPr="006B24DA">
        <w:rPr>
          <w:noProof/>
          <w:szCs w:val="24"/>
        </w:rPr>
        <w:lastRenderedPageBreak/>
        <w:t>of the esophagogastric junction using a novel device. </w:t>
      </w:r>
      <w:r w:rsidRPr="006B24DA">
        <w:rPr>
          <w:i/>
          <w:iCs/>
          <w:noProof/>
          <w:szCs w:val="24"/>
        </w:rPr>
        <w:t>Ann Surg</w:t>
      </w:r>
      <w:r w:rsidRPr="006B24DA">
        <w:rPr>
          <w:noProof/>
          <w:szCs w:val="24"/>
        </w:rPr>
        <w:t> 2008; </w:t>
      </w:r>
      <w:r w:rsidRPr="006B24DA">
        <w:rPr>
          <w:b/>
          <w:bCs/>
          <w:noProof/>
          <w:szCs w:val="24"/>
        </w:rPr>
        <w:t>248</w:t>
      </w:r>
      <w:r w:rsidRPr="006B24DA">
        <w:rPr>
          <w:noProof/>
          <w:szCs w:val="24"/>
        </w:rPr>
        <w:t>: 69-76 [PMID: 18580209 DOI: 10.1097/SLA.0b013e31817c9630]</w:t>
      </w:r>
    </w:p>
    <w:p w14:paraId="51C7144A"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22 </w:t>
      </w:r>
      <w:r w:rsidRPr="006B24DA">
        <w:rPr>
          <w:b/>
          <w:bCs/>
          <w:noProof/>
          <w:szCs w:val="24"/>
        </w:rPr>
        <w:t>Rinsma NF</w:t>
      </w:r>
      <w:r w:rsidRPr="006B24DA">
        <w:rPr>
          <w:noProof/>
          <w:szCs w:val="24"/>
        </w:rPr>
        <w:t>, Smeets FG, Bruls DW, Kessing BF, Bouvy ND, Masclee AA, Conchillo JM. Effect of transoral incisionless fundoplication on reflux mechanisms. </w:t>
      </w:r>
      <w:r w:rsidRPr="006B24DA">
        <w:rPr>
          <w:i/>
          <w:iCs/>
          <w:noProof/>
          <w:szCs w:val="24"/>
        </w:rPr>
        <w:t>Surg Endosc</w:t>
      </w:r>
      <w:r w:rsidRPr="006B24DA">
        <w:rPr>
          <w:noProof/>
          <w:szCs w:val="24"/>
        </w:rPr>
        <w:t> 2014; </w:t>
      </w:r>
      <w:r w:rsidRPr="006B24DA">
        <w:rPr>
          <w:b/>
          <w:bCs/>
          <w:noProof/>
          <w:szCs w:val="24"/>
        </w:rPr>
        <w:t>28</w:t>
      </w:r>
      <w:r w:rsidRPr="006B24DA">
        <w:rPr>
          <w:noProof/>
          <w:szCs w:val="24"/>
        </w:rPr>
        <w:t>: 941-949 [PMID: 24149854 DOI: 10.1007/s00464-013-3250-7]</w:t>
      </w:r>
    </w:p>
    <w:p w14:paraId="5D6237F1"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23 </w:t>
      </w:r>
      <w:r w:rsidRPr="006B24DA">
        <w:rPr>
          <w:b/>
          <w:bCs/>
          <w:noProof/>
          <w:szCs w:val="24"/>
        </w:rPr>
        <w:t>Han J</w:t>
      </w:r>
      <w:r w:rsidRPr="006B24DA">
        <w:rPr>
          <w:noProof/>
          <w:szCs w:val="24"/>
        </w:rPr>
        <w:t>, Chin M, Fortinsky KJ, Sharaiha R, Gostout CJ, Chang KJ. Endoscopic augmentation of gastroesophageal junction using a full-thickness endoscopic suturing device. </w:t>
      </w:r>
      <w:r w:rsidRPr="006B24DA">
        <w:rPr>
          <w:i/>
          <w:iCs/>
          <w:noProof/>
          <w:szCs w:val="24"/>
        </w:rPr>
        <w:t>Endosc Int Open</w:t>
      </w:r>
      <w:r w:rsidRPr="006B24DA">
        <w:rPr>
          <w:noProof/>
          <w:szCs w:val="24"/>
        </w:rPr>
        <w:t> 2018; </w:t>
      </w:r>
      <w:r w:rsidRPr="006B24DA">
        <w:rPr>
          <w:b/>
          <w:bCs/>
          <w:noProof/>
          <w:szCs w:val="24"/>
        </w:rPr>
        <w:t>6</w:t>
      </w:r>
      <w:r w:rsidRPr="006B24DA">
        <w:rPr>
          <w:noProof/>
          <w:szCs w:val="24"/>
        </w:rPr>
        <w:t>: E1120-E1125 [PMID: 30211301 DOI: 10.1055/a-0603-3693]</w:t>
      </w:r>
    </w:p>
    <w:p w14:paraId="1C090952"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24 </w:t>
      </w:r>
      <w:r w:rsidRPr="006B24DA">
        <w:rPr>
          <w:b/>
          <w:bCs/>
          <w:noProof/>
          <w:szCs w:val="24"/>
        </w:rPr>
        <w:t>Fortinsky KJ,</w:t>
      </w:r>
      <w:r w:rsidRPr="006B24DA">
        <w:rPr>
          <w:noProof/>
          <w:szCs w:val="24"/>
        </w:rPr>
        <w:t> Shimizu T, Chin M, Kim J, Samarasena JB, Chang KJ. Mucosal Ablation And Suturing at the esophagogastric junction (MASE): A novel procedure for the management of patients with Gastroesophageal Reflux Disease. Gastroinest Endosc 2018; 87: AB552</w:t>
      </w:r>
    </w:p>
    <w:p w14:paraId="21B7506E"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25 </w:t>
      </w:r>
      <w:r w:rsidRPr="006B24DA">
        <w:rPr>
          <w:b/>
          <w:bCs/>
          <w:noProof/>
          <w:szCs w:val="24"/>
        </w:rPr>
        <w:t>Inoue H</w:t>
      </w:r>
      <w:r w:rsidRPr="006B24DA">
        <w:rPr>
          <w:noProof/>
          <w:szCs w:val="24"/>
        </w:rPr>
        <w:t>, Ito H, Ikeda H, Sato C, Sato H, Phalanusitthepha C, Hayee B, Eleftheriadis N, Kudo SE. Anti-reflux mucosectomy for gastroesophageal reflux disease in the absence of hiatus hernia: a pilot study. </w:t>
      </w:r>
      <w:r w:rsidRPr="006B24DA">
        <w:rPr>
          <w:i/>
          <w:iCs/>
          <w:noProof/>
          <w:szCs w:val="24"/>
        </w:rPr>
        <w:t>Ann Gastroenterol</w:t>
      </w:r>
      <w:r w:rsidRPr="006B24DA">
        <w:rPr>
          <w:noProof/>
          <w:szCs w:val="24"/>
        </w:rPr>
        <w:t> 2014; </w:t>
      </w:r>
      <w:r w:rsidRPr="006B24DA">
        <w:rPr>
          <w:b/>
          <w:bCs/>
          <w:noProof/>
          <w:szCs w:val="24"/>
        </w:rPr>
        <w:t>27</w:t>
      </w:r>
      <w:r w:rsidRPr="006B24DA">
        <w:rPr>
          <w:noProof/>
          <w:szCs w:val="24"/>
        </w:rPr>
        <w:t>: 346-351 [PMID: 25330784]</w:t>
      </w:r>
    </w:p>
    <w:p w14:paraId="109543F0"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26 </w:t>
      </w:r>
      <w:r w:rsidRPr="006B24DA">
        <w:rPr>
          <w:b/>
          <w:bCs/>
          <w:noProof/>
          <w:szCs w:val="24"/>
        </w:rPr>
        <w:t>Benias PC</w:t>
      </w:r>
      <w:r w:rsidRPr="006B24DA">
        <w:rPr>
          <w:noProof/>
          <w:szCs w:val="24"/>
        </w:rPr>
        <w:t>, D'Souza L, Lan G, Gluckman C, Inamdar S, Trindade AJ, Miller LS, Carr-Locke DL. Initial experience with a novel resection and plication (RAP) method for acid reflux: a pilot study. </w:t>
      </w:r>
      <w:r w:rsidRPr="006B24DA">
        <w:rPr>
          <w:i/>
          <w:iCs/>
          <w:noProof/>
          <w:szCs w:val="24"/>
        </w:rPr>
        <w:t>Endosc Int Open</w:t>
      </w:r>
      <w:r w:rsidRPr="006B24DA">
        <w:rPr>
          <w:noProof/>
          <w:szCs w:val="24"/>
        </w:rPr>
        <w:t> 2018; </w:t>
      </w:r>
      <w:r w:rsidRPr="006B24DA">
        <w:rPr>
          <w:b/>
          <w:bCs/>
          <w:noProof/>
          <w:szCs w:val="24"/>
        </w:rPr>
        <w:t>6</w:t>
      </w:r>
      <w:r w:rsidRPr="006B24DA">
        <w:rPr>
          <w:noProof/>
          <w:szCs w:val="24"/>
        </w:rPr>
        <w:t>: E443-E449 [PMID: 29607397 DOI: 10.1055/s-0044-101453]</w:t>
      </w:r>
    </w:p>
    <w:p w14:paraId="495BF599"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27 </w:t>
      </w:r>
      <w:r w:rsidRPr="006B24DA">
        <w:rPr>
          <w:b/>
          <w:bCs/>
          <w:noProof/>
          <w:szCs w:val="24"/>
        </w:rPr>
        <w:t>Moonen A</w:t>
      </w:r>
      <w:r w:rsidRPr="006B24DA">
        <w:rPr>
          <w:noProof/>
          <w:szCs w:val="24"/>
        </w:rPr>
        <w:t>, Annese V, Belmans A, Bredenoord AJ, Bruley des Varannes S, Costantini M, Dousset B, Elizalde JI, Fumagalli U, Gaudric M, Merla A, Smout AJ, Tack J, Zaninotto G, Busch OR, Boeckxstaens GE. Long-term results of the European achalasia trial: a multicentre randomised controlled trial comparing pneumatic dilation versus laparoscopic Heller myotomy. </w:t>
      </w:r>
      <w:r w:rsidRPr="006B24DA">
        <w:rPr>
          <w:i/>
          <w:iCs/>
          <w:noProof/>
          <w:szCs w:val="24"/>
        </w:rPr>
        <w:t>Gut</w:t>
      </w:r>
      <w:r w:rsidRPr="006B24DA">
        <w:rPr>
          <w:noProof/>
          <w:szCs w:val="24"/>
        </w:rPr>
        <w:t> 2016; </w:t>
      </w:r>
      <w:r w:rsidRPr="006B24DA">
        <w:rPr>
          <w:b/>
          <w:bCs/>
          <w:noProof/>
          <w:szCs w:val="24"/>
        </w:rPr>
        <w:t>65</w:t>
      </w:r>
      <w:r w:rsidRPr="006B24DA">
        <w:rPr>
          <w:noProof/>
          <w:szCs w:val="24"/>
        </w:rPr>
        <w:t>: 732-739 [PMID: 26614104 DOI: 10.1136/gutjnl-2015-310602]</w:t>
      </w:r>
    </w:p>
    <w:p w14:paraId="67E9DD40"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28 </w:t>
      </w:r>
      <w:r w:rsidRPr="006B24DA">
        <w:rPr>
          <w:b/>
          <w:bCs/>
          <w:noProof/>
          <w:szCs w:val="24"/>
        </w:rPr>
        <w:t>Persson J</w:t>
      </w:r>
      <w:r w:rsidRPr="006B24DA">
        <w:rPr>
          <w:noProof/>
          <w:szCs w:val="24"/>
        </w:rPr>
        <w:t xml:space="preserve">, Johnsson E, Kostic S, Lundell L, Smedh U. Treatment of achalasia with laparoscopic myotomy or pneumatic dilatation: long-term results of a prospective, </w:t>
      </w:r>
      <w:r w:rsidRPr="006B24DA">
        <w:rPr>
          <w:noProof/>
          <w:szCs w:val="24"/>
        </w:rPr>
        <w:lastRenderedPageBreak/>
        <w:t>randomized study. </w:t>
      </w:r>
      <w:r w:rsidRPr="006B24DA">
        <w:rPr>
          <w:i/>
          <w:iCs/>
          <w:noProof/>
          <w:szCs w:val="24"/>
        </w:rPr>
        <w:t>World J Surg</w:t>
      </w:r>
      <w:r w:rsidRPr="006B24DA">
        <w:rPr>
          <w:noProof/>
          <w:szCs w:val="24"/>
        </w:rPr>
        <w:t> 2015; </w:t>
      </w:r>
      <w:r w:rsidRPr="006B24DA">
        <w:rPr>
          <w:b/>
          <w:bCs/>
          <w:noProof/>
          <w:szCs w:val="24"/>
        </w:rPr>
        <w:t>39</w:t>
      </w:r>
      <w:r w:rsidRPr="006B24DA">
        <w:rPr>
          <w:noProof/>
          <w:szCs w:val="24"/>
        </w:rPr>
        <w:t>: 713-720 [PMID: 25409838 DOI: 10.1007/s00268-014-2869-4]</w:t>
      </w:r>
    </w:p>
    <w:p w14:paraId="11D9C4F5"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29 </w:t>
      </w:r>
      <w:r w:rsidRPr="006B24DA">
        <w:rPr>
          <w:b/>
          <w:bCs/>
          <w:noProof/>
          <w:szCs w:val="24"/>
        </w:rPr>
        <w:t>Inoue H</w:t>
      </w:r>
      <w:r w:rsidRPr="006B24DA">
        <w:rPr>
          <w:noProof/>
          <w:szCs w:val="24"/>
        </w:rPr>
        <w:t>, Minami H, Kobayashi Y, Sato Y, Kaga M, Suzuki M, Satodate H, Odaka N, Itoh H, Kudo S. Peroral endoscopic myotomy (POEM) for esophageal achalasia. </w:t>
      </w:r>
      <w:r w:rsidRPr="006B24DA">
        <w:rPr>
          <w:i/>
          <w:iCs/>
          <w:noProof/>
          <w:szCs w:val="24"/>
        </w:rPr>
        <w:t>Endoscopy</w:t>
      </w:r>
      <w:r w:rsidRPr="006B24DA">
        <w:rPr>
          <w:noProof/>
          <w:szCs w:val="24"/>
        </w:rPr>
        <w:t> 2010; </w:t>
      </w:r>
      <w:r w:rsidRPr="006B24DA">
        <w:rPr>
          <w:b/>
          <w:bCs/>
          <w:noProof/>
          <w:szCs w:val="24"/>
        </w:rPr>
        <w:t>42</w:t>
      </w:r>
      <w:r w:rsidRPr="006B24DA">
        <w:rPr>
          <w:noProof/>
          <w:szCs w:val="24"/>
        </w:rPr>
        <w:t>: 265-271 [PMID: 20354937 DOI: 10.1055/s-0029-1244080]</w:t>
      </w:r>
    </w:p>
    <w:p w14:paraId="6A65A346"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30 </w:t>
      </w:r>
      <w:r w:rsidRPr="006B24DA">
        <w:rPr>
          <w:b/>
          <w:bCs/>
          <w:noProof/>
          <w:szCs w:val="24"/>
        </w:rPr>
        <w:t>Zhang X</w:t>
      </w:r>
      <w:r w:rsidRPr="006B24DA">
        <w:rPr>
          <w:noProof/>
          <w:szCs w:val="24"/>
        </w:rPr>
        <w:t>, Modayil RJ, Friedel D, Gurram KC, Brathwaite CE, Taylor SI, Kollarus MM, Modayil S, Halwan B, Grendell JH, Stavropoulos SN. Per-oral endoscopic myotomy in patients with or without prior Heller's myotomy: comparing long-term outcomes in a large U.S. single-center cohort (with videos). </w:t>
      </w:r>
      <w:r w:rsidRPr="006B24DA">
        <w:rPr>
          <w:i/>
          <w:iCs/>
          <w:noProof/>
          <w:szCs w:val="24"/>
        </w:rPr>
        <w:t>Gastrointest Endosc</w:t>
      </w:r>
      <w:r w:rsidRPr="006B24DA">
        <w:rPr>
          <w:noProof/>
          <w:szCs w:val="24"/>
        </w:rPr>
        <w:t> 2018; </w:t>
      </w:r>
      <w:r w:rsidRPr="006B24DA">
        <w:rPr>
          <w:b/>
          <w:bCs/>
          <w:noProof/>
          <w:szCs w:val="24"/>
        </w:rPr>
        <w:t>87</w:t>
      </w:r>
      <w:r w:rsidRPr="006B24DA">
        <w:rPr>
          <w:noProof/>
          <w:szCs w:val="24"/>
        </w:rPr>
        <w:t>: 972-985 [PMID: 29122601 DOI: 10.1016/j.gie.2017.10.039]</w:t>
      </w:r>
    </w:p>
    <w:p w14:paraId="58359E14"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31 </w:t>
      </w:r>
      <w:r w:rsidRPr="006B24DA">
        <w:rPr>
          <w:b/>
          <w:bCs/>
          <w:noProof/>
          <w:szCs w:val="24"/>
        </w:rPr>
        <w:t>Li QL</w:t>
      </w:r>
      <w:r w:rsidRPr="006B24DA">
        <w:rPr>
          <w:noProof/>
          <w:szCs w:val="24"/>
        </w:rPr>
        <w:t>, Wu QN, Zhang XC, Xu MD, Zhang W, Chen SY, Zhong YS, Zhang YQ, Chen WF, Qin WZ, Hu JW, Cai MY, Yao LQ, Zhou PH. Outcomes of per-oral endoscopic myotomy for treatment of esophageal achalasia with a median follow-up of 49 months. </w:t>
      </w:r>
      <w:r w:rsidRPr="006B24DA">
        <w:rPr>
          <w:i/>
          <w:iCs/>
          <w:noProof/>
          <w:szCs w:val="24"/>
        </w:rPr>
        <w:t>Gastrointest Endosc</w:t>
      </w:r>
      <w:r w:rsidRPr="006B24DA">
        <w:rPr>
          <w:noProof/>
          <w:szCs w:val="24"/>
        </w:rPr>
        <w:t> 2018; </w:t>
      </w:r>
      <w:r w:rsidRPr="006B24DA">
        <w:rPr>
          <w:b/>
          <w:bCs/>
          <w:noProof/>
          <w:szCs w:val="24"/>
        </w:rPr>
        <w:t>87</w:t>
      </w:r>
      <w:r w:rsidRPr="006B24DA">
        <w:rPr>
          <w:noProof/>
          <w:szCs w:val="24"/>
        </w:rPr>
        <w:t>: 1405-1412.e3 [PMID: 29108981 DOI: 10.1016/j.gie.2017.10.031]</w:t>
      </w:r>
    </w:p>
    <w:p w14:paraId="1BFE4374"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32 </w:t>
      </w:r>
      <w:r w:rsidRPr="006B24DA">
        <w:rPr>
          <w:b/>
          <w:bCs/>
          <w:noProof/>
          <w:szCs w:val="24"/>
        </w:rPr>
        <w:t>Inoue H</w:t>
      </w:r>
      <w:r w:rsidRPr="006B24DA">
        <w:rPr>
          <w:noProof/>
          <w:szCs w:val="24"/>
        </w:rPr>
        <w:t>, Shiwaku H, Iwakiri K, Onimaru M, Kobayashi Y, Minami H, Sato H, Kitano S, Iwakiri R, Omura N, Murakami K, Fukami N, Fujimoto K, Tajiri H. Clinical practice guidelines for peroral endoscopic myotomy. </w:t>
      </w:r>
      <w:r w:rsidRPr="006B24DA">
        <w:rPr>
          <w:i/>
          <w:iCs/>
          <w:noProof/>
          <w:szCs w:val="24"/>
        </w:rPr>
        <w:t>Dig Endosc</w:t>
      </w:r>
      <w:r w:rsidRPr="006B24DA">
        <w:rPr>
          <w:noProof/>
          <w:szCs w:val="24"/>
        </w:rPr>
        <w:t> 2018; </w:t>
      </w:r>
      <w:r w:rsidRPr="006B24DA">
        <w:rPr>
          <w:b/>
          <w:bCs/>
          <w:noProof/>
          <w:szCs w:val="24"/>
        </w:rPr>
        <w:t>30</w:t>
      </w:r>
      <w:r w:rsidRPr="006B24DA">
        <w:rPr>
          <w:noProof/>
          <w:szCs w:val="24"/>
        </w:rPr>
        <w:t>: 563-579 [PMID: 30022514 DOI: 10.1111/den.13239]</w:t>
      </w:r>
    </w:p>
    <w:p w14:paraId="046E78FC"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33 </w:t>
      </w:r>
      <w:r w:rsidRPr="006B24DA">
        <w:rPr>
          <w:b/>
          <w:bCs/>
          <w:noProof/>
          <w:szCs w:val="24"/>
        </w:rPr>
        <w:t>Greenleaf EK</w:t>
      </w:r>
      <w:r w:rsidRPr="006B24DA">
        <w:rPr>
          <w:noProof/>
          <w:szCs w:val="24"/>
        </w:rPr>
        <w:t>, Winder JS, Hollenbeak CS, Haluck RS, Mathew A, Pauli EM. Cost-effectiveness of per oral endoscopic myotomy relative to laparoscopic Heller myotomy for the treatment of achalasia. </w:t>
      </w:r>
      <w:r w:rsidRPr="006B24DA">
        <w:rPr>
          <w:i/>
          <w:iCs/>
          <w:noProof/>
          <w:szCs w:val="24"/>
        </w:rPr>
        <w:t>Surg Endosc</w:t>
      </w:r>
      <w:r w:rsidRPr="006B24DA">
        <w:rPr>
          <w:noProof/>
          <w:szCs w:val="24"/>
        </w:rPr>
        <w:t> 2018; </w:t>
      </w:r>
      <w:r w:rsidRPr="006B24DA">
        <w:rPr>
          <w:b/>
          <w:bCs/>
          <w:noProof/>
          <w:szCs w:val="24"/>
        </w:rPr>
        <w:t>32</w:t>
      </w:r>
      <w:r w:rsidRPr="006B24DA">
        <w:rPr>
          <w:noProof/>
          <w:szCs w:val="24"/>
        </w:rPr>
        <w:t>: 39-45 [PMID: 29218664 DOI: 10.1007/s00464-017-5629-3]</w:t>
      </w:r>
    </w:p>
    <w:p w14:paraId="1D2405BC"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34 </w:t>
      </w:r>
      <w:r w:rsidRPr="006B24DA">
        <w:rPr>
          <w:b/>
          <w:bCs/>
          <w:noProof/>
          <w:szCs w:val="24"/>
        </w:rPr>
        <w:t>Nabi Z</w:t>
      </w:r>
      <w:r w:rsidRPr="006B24DA">
        <w:rPr>
          <w:noProof/>
          <w:szCs w:val="24"/>
        </w:rPr>
        <w:t>, Ramchandani M, Chavan R, Kalapala R, Darisetty S, Rao GV, Reddy N. Per-oral endoscopic myotomy for achalasia cardia: outcomes in over 400 consecutive patients. </w:t>
      </w:r>
      <w:r w:rsidRPr="006B24DA">
        <w:rPr>
          <w:i/>
          <w:iCs/>
          <w:noProof/>
          <w:szCs w:val="24"/>
        </w:rPr>
        <w:t>Endosc Int Open</w:t>
      </w:r>
      <w:r w:rsidRPr="006B24DA">
        <w:rPr>
          <w:noProof/>
          <w:szCs w:val="24"/>
        </w:rPr>
        <w:t> 2017; </w:t>
      </w:r>
      <w:r w:rsidRPr="006B24DA">
        <w:rPr>
          <w:b/>
          <w:bCs/>
          <w:noProof/>
          <w:szCs w:val="24"/>
        </w:rPr>
        <w:t>5</w:t>
      </w:r>
      <w:r w:rsidRPr="006B24DA">
        <w:rPr>
          <w:noProof/>
          <w:szCs w:val="24"/>
        </w:rPr>
        <w:t>: E331-E339 [PMID: 28484733 DOI: 10.1055/s-0043-105517]</w:t>
      </w:r>
    </w:p>
    <w:p w14:paraId="09FCBAE4"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35 </w:t>
      </w:r>
      <w:r w:rsidRPr="006B24DA">
        <w:rPr>
          <w:b/>
          <w:bCs/>
          <w:noProof/>
          <w:szCs w:val="24"/>
        </w:rPr>
        <w:t>Kahrilas PJ</w:t>
      </w:r>
      <w:r w:rsidRPr="006B24DA">
        <w:rPr>
          <w:noProof/>
          <w:szCs w:val="24"/>
        </w:rPr>
        <w:t xml:space="preserve">, Katzka D, Richter JE. Clinical Practice Update: The Use of Per-Oral Endoscopic Myotomy in Achalasia: Expert Review and Best Practice Advice From the </w:t>
      </w:r>
      <w:r w:rsidRPr="006B24DA">
        <w:rPr>
          <w:noProof/>
          <w:szCs w:val="24"/>
        </w:rPr>
        <w:lastRenderedPageBreak/>
        <w:t>AGA Institute. </w:t>
      </w:r>
      <w:r w:rsidRPr="006B24DA">
        <w:rPr>
          <w:i/>
          <w:iCs/>
          <w:noProof/>
          <w:szCs w:val="24"/>
        </w:rPr>
        <w:t>Gastroenterology</w:t>
      </w:r>
      <w:r w:rsidRPr="006B24DA">
        <w:rPr>
          <w:noProof/>
          <w:szCs w:val="24"/>
        </w:rPr>
        <w:t> 2017; </w:t>
      </w:r>
      <w:r w:rsidRPr="006B24DA">
        <w:rPr>
          <w:b/>
          <w:bCs/>
          <w:noProof/>
          <w:szCs w:val="24"/>
        </w:rPr>
        <w:t>153</w:t>
      </w:r>
      <w:r w:rsidRPr="006B24DA">
        <w:rPr>
          <w:noProof/>
          <w:szCs w:val="24"/>
        </w:rPr>
        <w:t>: 1205-1211 [PMID: 28989059 DOI: 10.1053/j.gastro.2017.10.001]</w:t>
      </w:r>
    </w:p>
    <w:p w14:paraId="3F9A7C25"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36 </w:t>
      </w:r>
      <w:r w:rsidRPr="006B24DA">
        <w:rPr>
          <w:b/>
          <w:bCs/>
          <w:noProof/>
          <w:szCs w:val="24"/>
        </w:rPr>
        <w:t>Tyberg A</w:t>
      </w:r>
      <w:r w:rsidRPr="006B24DA">
        <w:rPr>
          <w:noProof/>
          <w:szCs w:val="24"/>
        </w:rPr>
        <w:t>, Sharaiha RZ, Familiari P, Costamagna G, Casas F, Kumta NA, Barret M, Desai AP, Schnoll-Sussman F, Saxena P, Martínez G, Zamarripa F, Gaidhane M, Bertani H, Draganov PV, Balassone V, Sharata A, Reavis K, Swanstrom L, Invernizzi M, Seewald S, Minami H, Inoue H, Kahaleh M. Peroral endoscopic myotomy as salvation technique post-Heller: International experience. </w:t>
      </w:r>
      <w:r w:rsidRPr="006B24DA">
        <w:rPr>
          <w:i/>
          <w:iCs/>
          <w:noProof/>
          <w:szCs w:val="24"/>
        </w:rPr>
        <w:t>Dig Endosc</w:t>
      </w:r>
      <w:r w:rsidRPr="006B24DA">
        <w:rPr>
          <w:noProof/>
          <w:szCs w:val="24"/>
        </w:rPr>
        <w:t> 2018; </w:t>
      </w:r>
      <w:r w:rsidRPr="006B24DA">
        <w:rPr>
          <w:b/>
          <w:bCs/>
          <w:noProof/>
          <w:szCs w:val="24"/>
        </w:rPr>
        <w:t>30</w:t>
      </w:r>
      <w:r w:rsidRPr="006B24DA">
        <w:rPr>
          <w:noProof/>
          <w:szCs w:val="24"/>
        </w:rPr>
        <w:t>: 52-56 [PMID: 28691186 DOI: 10.1111/den.12918]</w:t>
      </w:r>
    </w:p>
    <w:p w14:paraId="24995D94"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37 </w:t>
      </w:r>
      <w:r w:rsidRPr="006B24DA">
        <w:rPr>
          <w:b/>
          <w:bCs/>
          <w:noProof/>
          <w:szCs w:val="24"/>
        </w:rPr>
        <w:t>Kristensen HØ</w:t>
      </w:r>
      <w:r w:rsidRPr="006B24DA">
        <w:rPr>
          <w:noProof/>
          <w:szCs w:val="24"/>
        </w:rPr>
        <w:t>, Kirkegård J, Kjær DW, Mortensen FV, Kunda R, Bjerregaard NC. Long-term outcome of peroral endoscopic myotomy for esophageal achalasia in patients with previous Heller myotomy. </w:t>
      </w:r>
      <w:r w:rsidRPr="006B24DA">
        <w:rPr>
          <w:i/>
          <w:iCs/>
          <w:noProof/>
          <w:szCs w:val="24"/>
        </w:rPr>
        <w:t>Surg Endosc</w:t>
      </w:r>
      <w:r w:rsidRPr="006B24DA">
        <w:rPr>
          <w:noProof/>
          <w:szCs w:val="24"/>
        </w:rPr>
        <w:t> 2017; </w:t>
      </w:r>
      <w:r w:rsidRPr="006B24DA">
        <w:rPr>
          <w:b/>
          <w:bCs/>
          <w:noProof/>
          <w:szCs w:val="24"/>
        </w:rPr>
        <w:t>31</w:t>
      </w:r>
      <w:r w:rsidRPr="006B24DA">
        <w:rPr>
          <w:noProof/>
          <w:szCs w:val="24"/>
        </w:rPr>
        <w:t>: 2596-2601 [PMID: 27699518 DOI: 10.1007/s00464-016-5267-1]</w:t>
      </w:r>
    </w:p>
    <w:p w14:paraId="2AA7AAD8"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38 </w:t>
      </w:r>
      <w:r w:rsidRPr="006B24DA">
        <w:rPr>
          <w:b/>
          <w:bCs/>
          <w:noProof/>
          <w:szCs w:val="24"/>
        </w:rPr>
        <w:t>Schlottmann F</w:t>
      </w:r>
      <w:r w:rsidRPr="006B24DA">
        <w:rPr>
          <w:noProof/>
          <w:szCs w:val="24"/>
        </w:rPr>
        <w:t>, Luckett DJ, Fine J, Shaheen NJ, Patti MG. Laparoscopic Heller Myotomy Versus Peroral Endoscopic Myotomy (POEM) for Achalasia: A Systematic Review and Meta-analysis. </w:t>
      </w:r>
      <w:r w:rsidRPr="006B24DA">
        <w:rPr>
          <w:i/>
          <w:iCs/>
          <w:noProof/>
          <w:szCs w:val="24"/>
        </w:rPr>
        <w:t>Ann Surg</w:t>
      </w:r>
      <w:r w:rsidRPr="006B24DA">
        <w:rPr>
          <w:noProof/>
          <w:szCs w:val="24"/>
        </w:rPr>
        <w:t> 2018; </w:t>
      </w:r>
      <w:r w:rsidRPr="006B24DA">
        <w:rPr>
          <w:b/>
          <w:bCs/>
          <w:noProof/>
          <w:szCs w:val="24"/>
        </w:rPr>
        <w:t>267</w:t>
      </w:r>
      <w:r w:rsidRPr="006B24DA">
        <w:rPr>
          <w:noProof/>
          <w:szCs w:val="24"/>
        </w:rPr>
        <w:t>: 451-460 [PMID: 28549006 DOI: 10.1097/SLA.0000000000002311]</w:t>
      </w:r>
    </w:p>
    <w:p w14:paraId="7D51DD28"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39 </w:t>
      </w:r>
      <w:r w:rsidRPr="006B24DA">
        <w:rPr>
          <w:b/>
          <w:bCs/>
          <w:noProof/>
          <w:szCs w:val="24"/>
        </w:rPr>
        <w:t>Awaiz A</w:t>
      </w:r>
      <w:r w:rsidRPr="006B24DA">
        <w:rPr>
          <w:noProof/>
          <w:szCs w:val="24"/>
        </w:rPr>
        <w:t>, Yunus RM, Khan S, Memon B, Memon MA. Systematic Review and Meta-Analysis of Perioperative Outcomes of Peroral Endoscopic Myotomy (POEM) and Laparoscopic Heller Myotomy (LHM) for Achalasia. </w:t>
      </w:r>
      <w:r w:rsidRPr="006B24DA">
        <w:rPr>
          <w:i/>
          <w:iCs/>
          <w:noProof/>
          <w:szCs w:val="24"/>
        </w:rPr>
        <w:t>Surg Laparosc Endosc Percutan Tech</w:t>
      </w:r>
      <w:r w:rsidRPr="006B24DA">
        <w:rPr>
          <w:noProof/>
          <w:szCs w:val="24"/>
        </w:rPr>
        <w:t> 2017; </w:t>
      </w:r>
      <w:r w:rsidRPr="006B24DA">
        <w:rPr>
          <w:b/>
          <w:bCs/>
          <w:noProof/>
          <w:szCs w:val="24"/>
        </w:rPr>
        <w:t>27</w:t>
      </w:r>
      <w:r w:rsidRPr="006B24DA">
        <w:rPr>
          <w:noProof/>
          <w:szCs w:val="24"/>
        </w:rPr>
        <w:t>: 123-131 [PMID: 28472017 DOI: 10.1097/SLE.0000000000000402]</w:t>
      </w:r>
    </w:p>
    <w:p w14:paraId="489E4CAE"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40 </w:t>
      </w:r>
      <w:r w:rsidRPr="006B24DA">
        <w:rPr>
          <w:b/>
          <w:bCs/>
          <w:noProof/>
          <w:szCs w:val="24"/>
        </w:rPr>
        <w:t>Zhang Y</w:t>
      </w:r>
      <w:r w:rsidRPr="006B24DA">
        <w:rPr>
          <w:noProof/>
          <w:szCs w:val="24"/>
        </w:rPr>
        <w:t>, Wang H, Chen X, Liu L, Wang H, Liu B, Guo J, Jia H. Per-Oral Endoscopic Myotomy Versus Laparoscopic Heller Myotomy for Achalasia: A Meta-Analysis of Nonrandomized Comparative Studies. </w:t>
      </w:r>
      <w:r w:rsidRPr="006B24DA">
        <w:rPr>
          <w:i/>
          <w:iCs/>
          <w:noProof/>
          <w:szCs w:val="24"/>
        </w:rPr>
        <w:t xml:space="preserve">Medicine </w:t>
      </w:r>
      <w:r w:rsidRPr="006B24DA">
        <w:rPr>
          <w:iCs/>
          <w:noProof/>
          <w:szCs w:val="24"/>
        </w:rPr>
        <w:t>(Baltimore)</w:t>
      </w:r>
      <w:r w:rsidRPr="006B24DA">
        <w:rPr>
          <w:noProof/>
          <w:szCs w:val="24"/>
        </w:rPr>
        <w:t> 2016; </w:t>
      </w:r>
      <w:r w:rsidRPr="006B24DA">
        <w:rPr>
          <w:b/>
          <w:bCs/>
          <w:noProof/>
          <w:szCs w:val="24"/>
        </w:rPr>
        <w:t>95</w:t>
      </w:r>
      <w:r w:rsidRPr="006B24DA">
        <w:rPr>
          <w:noProof/>
          <w:szCs w:val="24"/>
        </w:rPr>
        <w:t>: e2736 [PMID: 26871816 DOI: 10.1097/MD.0000000000002736]</w:t>
      </w:r>
    </w:p>
    <w:p w14:paraId="7BF08081"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41 </w:t>
      </w:r>
      <w:r w:rsidRPr="006B24DA">
        <w:rPr>
          <w:b/>
          <w:bCs/>
          <w:noProof/>
          <w:szCs w:val="24"/>
        </w:rPr>
        <w:t>Marano L</w:t>
      </w:r>
      <w:r w:rsidRPr="006B24DA">
        <w:rPr>
          <w:noProof/>
          <w:szCs w:val="24"/>
        </w:rPr>
        <w:t>, Pallabazzer G, Solito B, Santi S, Pigazzi A, De Luca R, Biondo FG, Spaziani A, Longaroni M, Di Martino N, Boccardi V, Patriti A. Surgery or Peroral Esophageal Myotomy for Achalasia: A Systematic Review and Meta-Analysis. </w:t>
      </w:r>
      <w:r w:rsidRPr="006B24DA">
        <w:rPr>
          <w:i/>
          <w:iCs/>
          <w:noProof/>
          <w:szCs w:val="24"/>
        </w:rPr>
        <w:t xml:space="preserve">Medicine </w:t>
      </w:r>
      <w:r w:rsidRPr="006B24DA">
        <w:rPr>
          <w:iCs/>
          <w:noProof/>
          <w:szCs w:val="24"/>
        </w:rPr>
        <w:t>(Baltimore)</w:t>
      </w:r>
      <w:r w:rsidRPr="006B24DA">
        <w:rPr>
          <w:noProof/>
          <w:szCs w:val="24"/>
        </w:rPr>
        <w:t> 2016; </w:t>
      </w:r>
      <w:r w:rsidRPr="006B24DA">
        <w:rPr>
          <w:b/>
          <w:bCs/>
          <w:noProof/>
          <w:szCs w:val="24"/>
        </w:rPr>
        <w:t>95</w:t>
      </w:r>
      <w:r w:rsidRPr="006B24DA">
        <w:rPr>
          <w:noProof/>
          <w:szCs w:val="24"/>
        </w:rPr>
        <w:t>: e3001 [PMID: 26962813 DOI: 10.1097/MD.0000000000003001]</w:t>
      </w:r>
    </w:p>
    <w:p w14:paraId="547ED823"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lastRenderedPageBreak/>
        <w:t>42 </w:t>
      </w:r>
      <w:r w:rsidRPr="006B24DA">
        <w:rPr>
          <w:b/>
          <w:bCs/>
          <w:noProof/>
          <w:szCs w:val="24"/>
        </w:rPr>
        <w:t>Repici A</w:t>
      </w:r>
      <w:r w:rsidRPr="006B24DA">
        <w:rPr>
          <w:noProof/>
          <w:szCs w:val="24"/>
        </w:rPr>
        <w:t>, Fuccio L, Maselli R, Mazza F, Correale L, Mandolesi D, Bellisario C, Sethi A, Khashab MA, Rösch T, Hassan C. GERD after per-oral endoscopic myotomy as compared with Heller's myotomy with fundoplication: a systematic review with meta-analysis. </w:t>
      </w:r>
      <w:r w:rsidRPr="006B24DA">
        <w:rPr>
          <w:i/>
          <w:iCs/>
          <w:noProof/>
          <w:szCs w:val="24"/>
        </w:rPr>
        <w:t>Gastrointest Endosc</w:t>
      </w:r>
      <w:r w:rsidRPr="006B24DA">
        <w:rPr>
          <w:noProof/>
          <w:szCs w:val="24"/>
        </w:rPr>
        <w:t> 2018; </w:t>
      </w:r>
      <w:r w:rsidRPr="006B24DA">
        <w:rPr>
          <w:b/>
          <w:bCs/>
          <w:noProof/>
          <w:szCs w:val="24"/>
        </w:rPr>
        <w:t>87</w:t>
      </w:r>
      <w:r w:rsidRPr="006B24DA">
        <w:rPr>
          <w:noProof/>
          <w:szCs w:val="24"/>
        </w:rPr>
        <w:t>: 934-943.e18 [PMID: 29102729 DOI: 10.1016/j.gie.2017.10.022]</w:t>
      </w:r>
    </w:p>
    <w:p w14:paraId="2136998C"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43 </w:t>
      </w:r>
      <w:r w:rsidRPr="006B24DA">
        <w:rPr>
          <w:b/>
          <w:bCs/>
          <w:noProof/>
          <w:szCs w:val="24"/>
        </w:rPr>
        <w:t>Richards WO</w:t>
      </w:r>
      <w:r w:rsidRPr="006B24DA">
        <w:rPr>
          <w:noProof/>
          <w:szCs w:val="24"/>
        </w:rPr>
        <w:t>, Torquati A, Holzman MD, Khaitan L, Byrne D, Lutfi R, Sharp KW. Heller myotomy versus Heller myotomy with Dor fundoplication for achalasia: a prospective randomized double-blind clinical trial. </w:t>
      </w:r>
      <w:r w:rsidRPr="006B24DA">
        <w:rPr>
          <w:i/>
          <w:iCs/>
          <w:noProof/>
          <w:szCs w:val="24"/>
        </w:rPr>
        <w:t>Ann Surg</w:t>
      </w:r>
      <w:r w:rsidRPr="006B24DA">
        <w:rPr>
          <w:noProof/>
          <w:szCs w:val="24"/>
        </w:rPr>
        <w:t> 2004; </w:t>
      </w:r>
      <w:r w:rsidRPr="006B24DA">
        <w:rPr>
          <w:b/>
          <w:bCs/>
          <w:noProof/>
          <w:szCs w:val="24"/>
        </w:rPr>
        <w:t>240</w:t>
      </w:r>
      <w:r w:rsidRPr="006B24DA">
        <w:rPr>
          <w:noProof/>
          <w:szCs w:val="24"/>
        </w:rPr>
        <w:t>: 405-12; discussion 412-5 [PMID: 15319712]</w:t>
      </w:r>
    </w:p>
    <w:p w14:paraId="46AD59BD"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44 </w:t>
      </w:r>
      <w:r w:rsidRPr="006B24DA">
        <w:rPr>
          <w:b/>
          <w:bCs/>
          <w:noProof/>
          <w:szCs w:val="24"/>
        </w:rPr>
        <w:t>Tyberg A</w:t>
      </w:r>
      <w:r w:rsidRPr="006B24DA">
        <w:rPr>
          <w:noProof/>
          <w:szCs w:val="24"/>
        </w:rPr>
        <w:t>, Choi A, Gaidhane M, Kahaleh M. Transoral incisional fundoplication for reflux after peroral endoscopic myotomy: a crucial addition to our arsenal. </w:t>
      </w:r>
      <w:r w:rsidRPr="006B24DA">
        <w:rPr>
          <w:i/>
          <w:iCs/>
          <w:noProof/>
          <w:szCs w:val="24"/>
        </w:rPr>
        <w:t>Endosc Int Open</w:t>
      </w:r>
      <w:r w:rsidRPr="006B24DA">
        <w:rPr>
          <w:noProof/>
          <w:szCs w:val="24"/>
        </w:rPr>
        <w:t> 2018; </w:t>
      </w:r>
      <w:r w:rsidRPr="006B24DA">
        <w:rPr>
          <w:b/>
          <w:bCs/>
          <w:noProof/>
          <w:szCs w:val="24"/>
        </w:rPr>
        <w:t>6</w:t>
      </w:r>
      <w:r w:rsidRPr="006B24DA">
        <w:rPr>
          <w:noProof/>
          <w:szCs w:val="24"/>
        </w:rPr>
        <w:t>: E549-E552 [PMID: 29756011 DOI: 10.1055/a-0584-6802]</w:t>
      </w:r>
    </w:p>
    <w:p w14:paraId="03588540"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45 </w:t>
      </w:r>
      <w:r w:rsidRPr="006B24DA">
        <w:rPr>
          <w:b/>
          <w:bCs/>
          <w:noProof/>
          <w:szCs w:val="24"/>
        </w:rPr>
        <w:t>Bechara R</w:t>
      </w:r>
      <w:r w:rsidRPr="006B24DA">
        <w:rPr>
          <w:noProof/>
          <w:szCs w:val="24"/>
        </w:rPr>
        <w:t>, Ikeda H, Inoue H. Peroral endoscopic myotomy for Jackhammer esophagus: to cut or not to cut the lower esophageal sphincter. </w:t>
      </w:r>
      <w:r w:rsidRPr="006B24DA">
        <w:rPr>
          <w:i/>
          <w:iCs/>
          <w:noProof/>
          <w:szCs w:val="24"/>
        </w:rPr>
        <w:t>Endosc Int Open</w:t>
      </w:r>
      <w:r w:rsidRPr="006B24DA">
        <w:rPr>
          <w:noProof/>
          <w:szCs w:val="24"/>
        </w:rPr>
        <w:t> 2016; </w:t>
      </w:r>
      <w:r w:rsidRPr="006B24DA">
        <w:rPr>
          <w:b/>
          <w:bCs/>
          <w:noProof/>
          <w:szCs w:val="24"/>
        </w:rPr>
        <w:t>4</w:t>
      </w:r>
      <w:r w:rsidRPr="006B24DA">
        <w:rPr>
          <w:noProof/>
          <w:szCs w:val="24"/>
        </w:rPr>
        <w:t>: E585-E588 [PMID: 27274539 DOI: 10.1055/s-0042-105204]</w:t>
      </w:r>
    </w:p>
    <w:p w14:paraId="75FC96B4"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46 </w:t>
      </w:r>
      <w:r w:rsidRPr="006B24DA">
        <w:rPr>
          <w:b/>
          <w:bCs/>
          <w:noProof/>
          <w:szCs w:val="24"/>
        </w:rPr>
        <w:t>Dawod E</w:t>
      </w:r>
      <w:r w:rsidRPr="006B24DA">
        <w:rPr>
          <w:noProof/>
          <w:szCs w:val="24"/>
        </w:rPr>
        <w:t>, Saumoy M, Xu MM, Kahaleh M. Peroral endoscopic myotomy (POEM) in jackhammer esophagus: a trick of the trade. </w:t>
      </w:r>
      <w:r w:rsidRPr="006B24DA">
        <w:rPr>
          <w:i/>
          <w:iCs/>
          <w:noProof/>
          <w:szCs w:val="24"/>
        </w:rPr>
        <w:t>Endoscopy</w:t>
      </w:r>
      <w:r w:rsidRPr="006B24DA">
        <w:rPr>
          <w:noProof/>
          <w:szCs w:val="24"/>
        </w:rPr>
        <w:t> 2017; </w:t>
      </w:r>
      <w:r w:rsidRPr="006B24DA">
        <w:rPr>
          <w:b/>
          <w:bCs/>
          <w:noProof/>
          <w:szCs w:val="24"/>
        </w:rPr>
        <w:t>49</w:t>
      </w:r>
      <w:r w:rsidRPr="006B24DA">
        <w:rPr>
          <w:noProof/>
          <w:szCs w:val="24"/>
        </w:rPr>
        <w:t>: E254-E255 [PMID: 28759922 DOI: 10.1055/s-0043-115887]</w:t>
      </w:r>
    </w:p>
    <w:p w14:paraId="762E68E7"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47 </w:t>
      </w:r>
      <w:r w:rsidRPr="006B24DA">
        <w:rPr>
          <w:b/>
          <w:bCs/>
          <w:noProof/>
          <w:szCs w:val="24"/>
        </w:rPr>
        <w:t>Kandulski A</w:t>
      </w:r>
      <w:r w:rsidRPr="006B24DA">
        <w:rPr>
          <w:noProof/>
          <w:szCs w:val="24"/>
        </w:rPr>
        <w:t>, Fuchs KH, Weigt J, Malfertheiner P. Jackhammer esophagus: high-resolution manometry and therapeutic approach using peroral endoscopic myotomy (POEM). </w:t>
      </w:r>
      <w:r w:rsidRPr="006B24DA">
        <w:rPr>
          <w:i/>
          <w:iCs/>
          <w:noProof/>
          <w:szCs w:val="24"/>
        </w:rPr>
        <w:t>Dis Esophagus</w:t>
      </w:r>
      <w:r w:rsidRPr="006B24DA">
        <w:rPr>
          <w:noProof/>
          <w:szCs w:val="24"/>
        </w:rPr>
        <w:t> 2016; </w:t>
      </w:r>
      <w:r w:rsidRPr="006B24DA">
        <w:rPr>
          <w:b/>
          <w:bCs/>
          <w:noProof/>
          <w:szCs w:val="24"/>
        </w:rPr>
        <w:t>29</w:t>
      </w:r>
      <w:r w:rsidRPr="006B24DA">
        <w:rPr>
          <w:noProof/>
          <w:szCs w:val="24"/>
        </w:rPr>
        <w:t>: 695-696 [PMID: 24460870 DOI: 10.1111/dote.12182]</w:t>
      </w:r>
    </w:p>
    <w:p w14:paraId="6D7B6D50"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48 </w:t>
      </w:r>
      <w:r w:rsidRPr="006B24DA">
        <w:rPr>
          <w:b/>
          <w:bCs/>
          <w:noProof/>
          <w:szCs w:val="24"/>
        </w:rPr>
        <w:t>Ko WJ</w:t>
      </w:r>
      <w:r w:rsidRPr="006B24DA">
        <w:rPr>
          <w:noProof/>
          <w:szCs w:val="24"/>
        </w:rPr>
        <w:t>, Lee BM, Park WY, Kim JN, Cho JH, Lee TH, Hong SJ, Cho JY. Jackhammer esophagus treated by a peroral endoscopic myotomy. </w:t>
      </w:r>
      <w:r w:rsidRPr="006B24DA">
        <w:rPr>
          <w:i/>
          <w:iCs/>
          <w:noProof/>
          <w:szCs w:val="24"/>
        </w:rPr>
        <w:t>Korean J Gastroenterol</w:t>
      </w:r>
      <w:r w:rsidRPr="006B24DA">
        <w:rPr>
          <w:noProof/>
          <w:szCs w:val="24"/>
        </w:rPr>
        <w:t> 2014; </w:t>
      </w:r>
      <w:r w:rsidRPr="006B24DA">
        <w:rPr>
          <w:b/>
          <w:bCs/>
          <w:noProof/>
          <w:szCs w:val="24"/>
        </w:rPr>
        <w:t>64</w:t>
      </w:r>
      <w:r w:rsidRPr="006B24DA">
        <w:rPr>
          <w:noProof/>
          <w:szCs w:val="24"/>
        </w:rPr>
        <w:t>: 370-374 [PMID: 25530589]</w:t>
      </w:r>
    </w:p>
    <w:p w14:paraId="331D7898"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49 </w:t>
      </w:r>
      <w:r w:rsidRPr="006B24DA">
        <w:rPr>
          <w:b/>
          <w:bCs/>
          <w:noProof/>
          <w:szCs w:val="24"/>
        </w:rPr>
        <w:t>Tang X</w:t>
      </w:r>
      <w:r w:rsidRPr="006B24DA">
        <w:rPr>
          <w:noProof/>
          <w:szCs w:val="24"/>
        </w:rPr>
        <w:t>, Ren Y, Huang S, Zhang X, Gong W. Gastrointestinal: Peroral endoscopic myotomy for distal esophageal spasm. </w:t>
      </w:r>
      <w:r w:rsidRPr="006B24DA">
        <w:rPr>
          <w:i/>
          <w:iCs/>
          <w:noProof/>
          <w:szCs w:val="24"/>
        </w:rPr>
        <w:t>J Gastroenterol Hepatol</w:t>
      </w:r>
      <w:r w:rsidRPr="006B24DA">
        <w:rPr>
          <w:noProof/>
          <w:szCs w:val="24"/>
        </w:rPr>
        <w:t> 2017; </w:t>
      </w:r>
      <w:r w:rsidRPr="006B24DA">
        <w:rPr>
          <w:b/>
          <w:bCs/>
          <w:noProof/>
          <w:szCs w:val="24"/>
        </w:rPr>
        <w:t>32</w:t>
      </w:r>
      <w:r w:rsidRPr="006B24DA">
        <w:rPr>
          <w:noProof/>
          <w:szCs w:val="24"/>
        </w:rPr>
        <w:t>: 1536 [PMID: 28845589 DOI: 10.1111/jgh.13659]</w:t>
      </w:r>
    </w:p>
    <w:p w14:paraId="0CA833AB"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50 </w:t>
      </w:r>
      <w:r w:rsidRPr="006B24DA">
        <w:rPr>
          <w:b/>
          <w:bCs/>
          <w:noProof/>
          <w:szCs w:val="24"/>
        </w:rPr>
        <w:t>Takahashi K</w:t>
      </w:r>
      <w:r w:rsidRPr="006B24DA">
        <w:rPr>
          <w:noProof/>
          <w:szCs w:val="24"/>
        </w:rPr>
        <w:t xml:space="preserve">, Sato H, Sato Y, Takeuchi M, Takeda SR, Mizuno K, Hashimoto S, Hasegawa G, Kobayashi M. Education and Imaging. Gastroenterology: </w:t>
      </w:r>
      <w:r w:rsidRPr="006B24DA">
        <w:rPr>
          <w:noProof/>
          <w:szCs w:val="24"/>
        </w:rPr>
        <w:lastRenderedPageBreak/>
        <w:t>Histopathological investigation of distal esophageal spasm (DES) using per-oral endoscopic myotomy (POEM). </w:t>
      </w:r>
      <w:r w:rsidRPr="006B24DA">
        <w:rPr>
          <w:i/>
          <w:iCs/>
          <w:noProof/>
          <w:szCs w:val="24"/>
        </w:rPr>
        <w:t>J Gastroenterol Hepatol</w:t>
      </w:r>
      <w:r w:rsidRPr="006B24DA">
        <w:rPr>
          <w:noProof/>
          <w:szCs w:val="24"/>
        </w:rPr>
        <w:t> 2015; </w:t>
      </w:r>
      <w:r w:rsidRPr="006B24DA">
        <w:rPr>
          <w:b/>
          <w:bCs/>
          <w:noProof/>
          <w:szCs w:val="24"/>
        </w:rPr>
        <w:t>30</w:t>
      </w:r>
      <w:r w:rsidRPr="006B24DA">
        <w:rPr>
          <w:noProof/>
          <w:szCs w:val="24"/>
        </w:rPr>
        <w:t>: 1113 [PMID: 26094661 DOI: 10.1111/jgh.12926]</w:t>
      </w:r>
    </w:p>
    <w:p w14:paraId="2BD2CF6F"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51 </w:t>
      </w:r>
      <w:r w:rsidRPr="006B24DA">
        <w:rPr>
          <w:b/>
          <w:bCs/>
          <w:noProof/>
          <w:szCs w:val="24"/>
        </w:rPr>
        <w:t>Estremera-Arévalo F</w:t>
      </w:r>
      <w:r w:rsidRPr="006B24DA">
        <w:rPr>
          <w:noProof/>
          <w:szCs w:val="24"/>
        </w:rPr>
        <w:t>, Albéniz E, Rullán M, Areste I, Iglesias R, Vila JJ. Efficacy of peroral endoscopic myotomy compared with other invasive treatment options for the different esophageal motor disorders. </w:t>
      </w:r>
      <w:r w:rsidRPr="006B24DA">
        <w:rPr>
          <w:i/>
          <w:iCs/>
          <w:noProof/>
          <w:szCs w:val="24"/>
        </w:rPr>
        <w:t>Rev Esp Enferm Dig</w:t>
      </w:r>
      <w:r w:rsidRPr="006B24DA">
        <w:rPr>
          <w:noProof/>
          <w:szCs w:val="24"/>
        </w:rPr>
        <w:t> 2017; </w:t>
      </w:r>
      <w:r w:rsidRPr="006B24DA">
        <w:rPr>
          <w:b/>
          <w:bCs/>
          <w:noProof/>
          <w:szCs w:val="24"/>
        </w:rPr>
        <w:t>109</w:t>
      </w:r>
      <w:r w:rsidRPr="006B24DA">
        <w:rPr>
          <w:noProof/>
          <w:szCs w:val="24"/>
        </w:rPr>
        <w:t>: 578-586 [PMID: 28617027 DOI: 10.17235/reed.2017.4773/2016]</w:t>
      </w:r>
    </w:p>
    <w:p w14:paraId="516CA486"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52 </w:t>
      </w:r>
      <w:r w:rsidRPr="006B24DA">
        <w:rPr>
          <w:b/>
          <w:bCs/>
          <w:noProof/>
          <w:szCs w:val="24"/>
        </w:rPr>
        <w:t>Fortinsky KJ</w:t>
      </w:r>
      <w:r w:rsidRPr="006B24DA">
        <w:rPr>
          <w:bCs/>
          <w:noProof/>
          <w:szCs w:val="24"/>
        </w:rPr>
        <w:t>,</w:t>
      </w:r>
      <w:r w:rsidRPr="006B24DA">
        <w:rPr>
          <w:noProof/>
          <w:szCs w:val="24"/>
        </w:rPr>
        <w:t xml:space="preserve"> Shimizu T, Samarasena JB, Chang KJ. Early Experience Using A Scissor-type knife in Per-oral Endoscopic Myotomy. </w:t>
      </w:r>
      <w:r w:rsidRPr="006B24DA">
        <w:rPr>
          <w:i/>
          <w:noProof/>
          <w:szCs w:val="24"/>
        </w:rPr>
        <w:t>Gastroinest Endosc</w:t>
      </w:r>
      <w:r w:rsidRPr="006B24DA">
        <w:rPr>
          <w:noProof/>
          <w:szCs w:val="24"/>
        </w:rPr>
        <w:t xml:space="preserve"> 2018; </w:t>
      </w:r>
      <w:r w:rsidRPr="006B24DA">
        <w:rPr>
          <w:b/>
          <w:noProof/>
          <w:szCs w:val="24"/>
        </w:rPr>
        <w:t>87</w:t>
      </w:r>
      <w:r w:rsidRPr="006B24DA">
        <w:rPr>
          <w:noProof/>
          <w:szCs w:val="24"/>
        </w:rPr>
        <w:t>: AB572</w:t>
      </w:r>
    </w:p>
    <w:p w14:paraId="4FF0824B"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53 </w:t>
      </w:r>
      <w:r w:rsidRPr="006B24DA">
        <w:rPr>
          <w:b/>
          <w:bCs/>
          <w:noProof/>
          <w:szCs w:val="24"/>
        </w:rPr>
        <w:t>Pescarus R</w:t>
      </w:r>
      <w:r w:rsidRPr="006B24DA">
        <w:rPr>
          <w:noProof/>
          <w:szCs w:val="24"/>
        </w:rPr>
        <w:t>, Shlomovitz E, Sharata AM, Cassera MA, Reavis KM, Dunst CM, Swanström LL. Endoscopic suturing versus endoscopic clip closure of the mucosotomy during a per-oral endoscopic myotomy (POEM): a case-control study. </w:t>
      </w:r>
      <w:r w:rsidRPr="006B24DA">
        <w:rPr>
          <w:i/>
          <w:iCs/>
          <w:noProof/>
          <w:szCs w:val="24"/>
        </w:rPr>
        <w:t>Surg Endosc</w:t>
      </w:r>
      <w:r w:rsidRPr="006B24DA">
        <w:rPr>
          <w:noProof/>
          <w:szCs w:val="24"/>
        </w:rPr>
        <w:t> 2016; </w:t>
      </w:r>
      <w:r w:rsidRPr="006B24DA">
        <w:rPr>
          <w:b/>
          <w:bCs/>
          <w:noProof/>
          <w:szCs w:val="24"/>
        </w:rPr>
        <w:t>30</w:t>
      </w:r>
      <w:r w:rsidRPr="006B24DA">
        <w:rPr>
          <w:noProof/>
          <w:szCs w:val="24"/>
        </w:rPr>
        <w:t>: 2132-2135 [PMID: 26275552 DOI: 10.1007/s00464-015-4464-7]</w:t>
      </w:r>
    </w:p>
    <w:p w14:paraId="58C35A60"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54 </w:t>
      </w:r>
      <w:r w:rsidRPr="006B24DA">
        <w:rPr>
          <w:b/>
          <w:bCs/>
          <w:noProof/>
          <w:szCs w:val="24"/>
        </w:rPr>
        <w:t>Tan Y</w:t>
      </w:r>
      <w:r w:rsidRPr="006B24DA">
        <w:rPr>
          <w:noProof/>
          <w:szCs w:val="24"/>
        </w:rPr>
        <w:t>, Lv L, Wang X, Zhu H, Chu Y, Luo M, Li C, Zhou H, Huo J, Liu D. Efficacy of anterior versus posterior per-oral endoscopic myotomy for treating achalasia: a randomized, prospective study. </w:t>
      </w:r>
      <w:r w:rsidRPr="006B24DA">
        <w:rPr>
          <w:i/>
          <w:iCs/>
          <w:noProof/>
          <w:szCs w:val="24"/>
        </w:rPr>
        <w:t>Gastrointest Endosc</w:t>
      </w:r>
      <w:r w:rsidRPr="006B24DA">
        <w:rPr>
          <w:noProof/>
          <w:szCs w:val="24"/>
        </w:rPr>
        <w:t> 2018; </w:t>
      </w:r>
      <w:r w:rsidRPr="006B24DA">
        <w:rPr>
          <w:b/>
          <w:bCs/>
          <w:noProof/>
          <w:szCs w:val="24"/>
        </w:rPr>
        <w:t>88</w:t>
      </w:r>
      <w:r w:rsidRPr="006B24DA">
        <w:rPr>
          <w:noProof/>
          <w:szCs w:val="24"/>
        </w:rPr>
        <w:t>: 46-54 [PMID: 29571969 DOI: 10.1016/j.gie.2018.03.009]</w:t>
      </w:r>
    </w:p>
    <w:p w14:paraId="596EFAA0"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55 </w:t>
      </w:r>
      <w:r w:rsidRPr="006B24DA">
        <w:rPr>
          <w:b/>
          <w:bCs/>
          <w:noProof/>
          <w:szCs w:val="24"/>
        </w:rPr>
        <w:t>Li C</w:t>
      </w:r>
      <w:r w:rsidRPr="006B24DA">
        <w:rPr>
          <w:noProof/>
          <w:szCs w:val="24"/>
        </w:rPr>
        <w:t>, Gong A, Zhang J, Duan Z, Ge L, Xia N, Leng J, Li M, Liu Y. Clinical Outcomes and Safety of Partial Full-Thickness Myotomy versus Circular Muscle Myotomy in Peroral Endoscopic Myotomy for Achalasia Patients. </w:t>
      </w:r>
      <w:r w:rsidRPr="006B24DA">
        <w:rPr>
          <w:i/>
          <w:iCs/>
          <w:noProof/>
          <w:szCs w:val="24"/>
        </w:rPr>
        <w:t>Gastroenterol Res Pract</w:t>
      </w:r>
      <w:r w:rsidRPr="006B24DA">
        <w:rPr>
          <w:noProof/>
          <w:szCs w:val="24"/>
        </w:rPr>
        <w:t> 2017; </w:t>
      </w:r>
      <w:r w:rsidRPr="006B24DA">
        <w:rPr>
          <w:b/>
          <w:bCs/>
          <w:noProof/>
          <w:szCs w:val="24"/>
        </w:rPr>
        <w:t>2017</w:t>
      </w:r>
      <w:r w:rsidRPr="006B24DA">
        <w:rPr>
          <w:noProof/>
          <w:szCs w:val="24"/>
        </w:rPr>
        <w:t>: 2676513 [PMID: 28316620 DOI: 10.1155/2017/2676513]</w:t>
      </w:r>
    </w:p>
    <w:p w14:paraId="1191BF98"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56 </w:t>
      </w:r>
      <w:r w:rsidRPr="006B24DA">
        <w:rPr>
          <w:b/>
          <w:bCs/>
          <w:noProof/>
          <w:szCs w:val="24"/>
        </w:rPr>
        <w:t>Verdonck J</w:t>
      </w:r>
      <w:r w:rsidRPr="006B24DA">
        <w:rPr>
          <w:noProof/>
          <w:szCs w:val="24"/>
        </w:rPr>
        <w:t>, Morton RP. Systematic review on treatment of Zenker's diverticulum. </w:t>
      </w:r>
      <w:r w:rsidRPr="006B24DA">
        <w:rPr>
          <w:i/>
          <w:iCs/>
          <w:noProof/>
          <w:szCs w:val="24"/>
        </w:rPr>
        <w:t>Eur Arch Otorhinolaryngol</w:t>
      </w:r>
      <w:r w:rsidRPr="006B24DA">
        <w:rPr>
          <w:noProof/>
          <w:szCs w:val="24"/>
        </w:rPr>
        <w:t> 2015; </w:t>
      </w:r>
      <w:r w:rsidRPr="006B24DA">
        <w:rPr>
          <w:b/>
          <w:bCs/>
          <w:noProof/>
          <w:szCs w:val="24"/>
        </w:rPr>
        <w:t>272</w:t>
      </w:r>
      <w:r w:rsidRPr="006B24DA">
        <w:rPr>
          <w:noProof/>
          <w:szCs w:val="24"/>
        </w:rPr>
        <w:t>: 3095-3107 [PMID: 25194579 DOI: 10.1007/s00405-014-3267-0]</w:t>
      </w:r>
    </w:p>
    <w:p w14:paraId="1F6FDA2D"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57 </w:t>
      </w:r>
      <w:r w:rsidRPr="006B24DA">
        <w:rPr>
          <w:b/>
          <w:bCs/>
          <w:noProof/>
          <w:szCs w:val="24"/>
        </w:rPr>
        <w:t>Albers DV</w:t>
      </w:r>
      <w:r w:rsidRPr="006B24DA">
        <w:rPr>
          <w:noProof/>
          <w:szCs w:val="24"/>
        </w:rPr>
        <w:t>, Kondo A, Bernardo WM, Sakai P, Moura RN, Silva GL, Ide E, Tomishige T, de Moura EG. Endoscopic versus surgical approach in the treatment of Zenker's diverticulum: systematic review and meta-analysis. </w:t>
      </w:r>
      <w:r w:rsidRPr="006B24DA">
        <w:rPr>
          <w:i/>
          <w:iCs/>
          <w:noProof/>
          <w:szCs w:val="24"/>
        </w:rPr>
        <w:t>Endosc Int Open</w:t>
      </w:r>
      <w:r w:rsidRPr="006B24DA">
        <w:rPr>
          <w:noProof/>
          <w:szCs w:val="24"/>
        </w:rPr>
        <w:t> 2016; </w:t>
      </w:r>
      <w:r w:rsidRPr="006B24DA">
        <w:rPr>
          <w:b/>
          <w:bCs/>
          <w:noProof/>
          <w:szCs w:val="24"/>
        </w:rPr>
        <w:t>4</w:t>
      </w:r>
      <w:r w:rsidRPr="006B24DA">
        <w:rPr>
          <w:noProof/>
          <w:szCs w:val="24"/>
        </w:rPr>
        <w:t>: E678-E686 [PMID: 27556078 DOI: 10.1055/s-0042-106203]</w:t>
      </w:r>
    </w:p>
    <w:p w14:paraId="2111AD6B"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lastRenderedPageBreak/>
        <w:t>58 </w:t>
      </w:r>
      <w:r w:rsidRPr="006B24DA">
        <w:rPr>
          <w:b/>
          <w:bCs/>
          <w:noProof/>
          <w:szCs w:val="24"/>
        </w:rPr>
        <w:t>Ishaq S</w:t>
      </w:r>
      <w:r w:rsidRPr="006B24DA">
        <w:rPr>
          <w:noProof/>
          <w:szCs w:val="24"/>
        </w:rPr>
        <w:t>, Hassan C, Antonello A, Tanner K, Bellisario C, Battaglia G, Anderloni A, Correale L, Sharma P, Baron TH, Repici A. Flexible endoscopic treatment for Zenker's diverticulum: a systematic review and meta-analysis. </w:t>
      </w:r>
      <w:r w:rsidRPr="006B24DA">
        <w:rPr>
          <w:i/>
          <w:iCs/>
          <w:noProof/>
          <w:szCs w:val="24"/>
        </w:rPr>
        <w:t>Gastrointest Endosc</w:t>
      </w:r>
      <w:r w:rsidRPr="006B24DA">
        <w:rPr>
          <w:noProof/>
          <w:szCs w:val="24"/>
        </w:rPr>
        <w:t> 2016; </w:t>
      </w:r>
      <w:r w:rsidRPr="006B24DA">
        <w:rPr>
          <w:b/>
          <w:bCs/>
          <w:noProof/>
          <w:szCs w:val="24"/>
        </w:rPr>
        <w:t>83</w:t>
      </w:r>
      <w:r w:rsidRPr="006B24DA">
        <w:rPr>
          <w:noProof/>
          <w:szCs w:val="24"/>
        </w:rPr>
        <w:t>: 1076-1089.e5 [PMID: 26802196 DOI: 10.1016/j.gie.2016.01.039]</w:t>
      </w:r>
    </w:p>
    <w:p w14:paraId="3E3696C5"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59 </w:t>
      </w:r>
      <w:r w:rsidRPr="006B24DA">
        <w:rPr>
          <w:b/>
          <w:bCs/>
          <w:noProof/>
          <w:szCs w:val="24"/>
        </w:rPr>
        <w:t>Li LY</w:t>
      </w:r>
      <w:r w:rsidRPr="006B24DA">
        <w:rPr>
          <w:noProof/>
          <w:szCs w:val="24"/>
        </w:rPr>
        <w:t>, Yang YT, Qu CM, Liang SW, Zhong CQ, Wang XY, Chen Y, Spandorfer RM, Christofaro S, Cai Q. Endoscopic needle-knife treatment for symptomatic esophageal Zenker's diverticulum: A meta-analysis and systematic review. </w:t>
      </w:r>
      <w:r w:rsidRPr="006B24DA">
        <w:rPr>
          <w:i/>
          <w:iCs/>
          <w:noProof/>
          <w:szCs w:val="24"/>
        </w:rPr>
        <w:t>J Dig Dis</w:t>
      </w:r>
      <w:r w:rsidRPr="006B24DA">
        <w:rPr>
          <w:noProof/>
          <w:szCs w:val="24"/>
        </w:rPr>
        <w:t> 2018; </w:t>
      </w:r>
      <w:r w:rsidRPr="006B24DA">
        <w:rPr>
          <w:b/>
          <w:bCs/>
          <w:noProof/>
          <w:szCs w:val="24"/>
        </w:rPr>
        <w:t>19</w:t>
      </w:r>
      <w:r w:rsidRPr="006B24DA">
        <w:rPr>
          <w:noProof/>
          <w:szCs w:val="24"/>
        </w:rPr>
        <w:t>: 204-214 [PMID: 29675866 DOI: 10.1111/1751-2980.12588]</w:t>
      </w:r>
    </w:p>
    <w:p w14:paraId="4F42E68C"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60 </w:t>
      </w:r>
      <w:r w:rsidRPr="006B24DA">
        <w:rPr>
          <w:b/>
          <w:bCs/>
          <w:noProof/>
          <w:szCs w:val="24"/>
        </w:rPr>
        <w:t>Pugliese F</w:t>
      </w:r>
      <w:r w:rsidRPr="006B24DA">
        <w:rPr>
          <w:noProof/>
          <w:szCs w:val="24"/>
        </w:rPr>
        <w:t>, Dioscoridi L, Forgione A, Forti E, Cintolo M, Mutignani M. Cricopharyngeal myotomy with flexible endoscope for Zenker's diverticulum using hook knife and endoclips (with video describing an objective measurement of the cutting length). </w:t>
      </w:r>
      <w:r w:rsidRPr="006B24DA">
        <w:rPr>
          <w:i/>
          <w:iCs/>
          <w:noProof/>
          <w:szCs w:val="24"/>
        </w:rPr>
        <w:t>Esophagus</w:t>
      </w:r>
      <w:r w:rsidRPr="006B24DA">
        <w:rPr>
          <w:noProof/>
          <w:szCs w:val="24"/>
        </w:rPr>
        <w:t> 2018; </w:t>
      </w:r>
      <w:r w:rsidRPr="006B24DA">
        <w:rPr>
          <w:b/>
          <w:bCs/>
          <w:noProof/>
          <w:szCs w:val="24"/>
        </w:rPr>
        <w:t>15</w:t>
      </w:r>
      <w:r w:rsidRPr="006B24DA">
        <w:rPr>
          <w:noProof/>
          <w:szCs w:val="24"/>
        </w:rPr>
        <w:t>: 122-126 [PMID: 29892938 DOI: 10.1007/s10388-018-0606-z]</w:t>
      </w:r>
    </w:p>
    <w:p w14:paraId="549360AD"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61 </w:t>
      </w:r>
      <w:r w:rsidRPr="006B24DA">
        <w:rPr>
          <w:b/>
          <w:bCs/>
          <w:noProof/>
          <w:szCs w:val="24"/>
        </w:rPr>
        <w:t>Rouquette O</w:t>
      </w:r>
      <w:r w:rsidRPr="006B24DA">
        <w:rPr>
          <w:noProof/>
          <w:szCs w:val="24"/>
        </w:rPr>
        <w:t>, Abergel A, Mulliez A, Poincloux L. Usefulness of the Hook knife in flexible endoscopic myotomy for Zenker's diverticulum. </w:t>
      </w:r>
      <w:r w:rsidRPr="006B24DA">
        <w:rPr>
          <w:i/>
          <w:iCs/>
          <w:noProof/>
          <w:szCs w:val="24"/>
        </w:rPr>
        <w:t>World J Gastrointest Endosc</w:t>
      </w:r>
      <w:r w:rsidRPr="006B24DA">
        <w:rPr>
          <w:noProof/>
          <w:szCs w:val="24"/>
        </w:rPr>
        <w:t> 2017; </w:t>
      </w:r>
      <w:r w:rsidRPr="006B24DA">
        <w:rPr>
          <w:b/>
          <w:bCs/>
          <w:noProof/>
          <w:szCs w:val="24"/>
        </w:rPr>
        <w:t>9</w:t>
      </w:r>
      <w:r w:rsidRPr="006B24DA">
        <w:rPr>
          <w:noProof/>
          <w:szCs w:val="24"/>
        </w:rPr>
        <w:t>: 411-416 [PMID: 28874962 DOI: 10.4253/wjge.v9.i8.411]</w:t>
      </w:r>
    </w:p>
    <w:p w14:paraId="34F0A231"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62 </w:t>
      </w:r>
      <w:r w:rsidRPr="006B24DA">
        <w:rPr>
          <w:b/>
          <w:bCs/>
          <w:noProof/>
          <w:szCs w:val="24"/>
        </w:rPr>
        <w:t>González N</w:t>
      </w:r>
      <w:r w:rsidRPr="006B24DA">
        <w:rPr>
          <w:noProof/>
          <w:szCs w:val="24"/>
        </w:rPr>
        <w:t>, Debenedetti D, Taullard A. Endoscopic retreatment of Zenker's diverticulum using novel endoscopic scissors - The Clutch Cutter device. </w:t>
      </w:r>
      <w:r w:rsidRPr="006B24DA">
        <w:rPr>
          <w:i/>
          <w:iCs/>
          <w:noProof/>
          <w:szCs w:val="24"/>
        </w:rPr>
        <w:t>Rev Esp Enferm Dig</w:t>
      </w:r>
      <w:r w:rsidRPr="006B24DA">
        <w:rPr>
          <w:noProof/>
          <w:szCs w:val="24"/>
        </w:rPr>
        <w:t> 2017; </w:t>
      </w:r>
      <w:r w:rsidRPr="006B24DA">
        <w:rPr>
          <w:b/>
          <w:bCs/>
          <w:noProof/>
          <w:szCs w:val="24"/>
        </w:rPr>
        <w:t>109</w:t>
      </w:r>
      <w:r w:rsidRPr="006B24DA">
        <w:rPr>
          <w:noProof/>
          <w:szCs w:val="24"/>
        </w:rPr>
        <w:t>: 669 [PMID: 28689425 DOI: 10.17235/reed.2017.4789/2016]</w:t>
      </w:r>
    </w:p>
    <w:p w14:paraId="0E8B075F"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63 </w:t>
      </w:r>
      <w:r w:rsidRPr="006B24DA">
        <w:rPr>
          <w:b/>
          <w:bCs/>
          <w:noProof/>
          <w:szCs w:val="24"/>
        </w:rPr>
        <w:t>Neumann H</w:t>
      </w:r>
      <w:r w:rsidRPr="006B24DA">
        <w:rPr>
          <w:noProof/>
          <w:szCs w:val="24"/>
        </w:rPr>
        <w:t>, Löffler S, Rieger S, Kretschmer C, Nägel A. Endoscopic therapy of Zenker's diverticulum using a novel endoscopic scissor - the Clutch Cutter device. </w:t>
      </w:r>
      <w:r w:rsidRPr="006B24DA">
        <w:rPr>
          <w:i/>
          <w:iCs/>
          <w:noProof/>
          <w:szCs w:val="24"/>
        </w:rPr>
        <w:t>Endoscopy</w:t>
      </w:r>
      <w:r w:rsidRPr="006B24DA">
        <w:rPr>
          <w:noProof/>
          <w:szCs w:val="24"/>
        </w:rPr>
        <w:t> 2015; </w:t>
      </w:r>
      <w:r w:rsidRPr="006B24DA">
        <w:rPr>
          <w:b/>
          <w:bCs/>
          <w:noProof/>
          <w:szCs w:val="24"/>
        </w:rPr>
        <w:t xml:space="preserve">47 </w:t>
      </w:r>
      <w:r w:rsidRPr="006B24DA">
        <w:rPr>
          <w:bCs/>
          <w:noProof/>
          <w:szCs w:val="24"/>
        </w:rPr>
        <w:t>Suppl 1 UCTN</w:t>
      </w:r>
      <w:r w:rsidRPr="006B24DA">
        <w:rPr>
          <w:noProof/>
          <w:szCs w:val="24"/>
        </w:rPr>
        <w:t>: E430-E431 [PMID: 26397855 DOI: 10.1055/s-0034-1392658]</w:t>
      </w:r>
    </w:p>
    <w:p w14:paraId="06A68BA0"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64 </w:t>
      </w:r>
      <w:r w:rsidRPr="006B24DA">
        <w:rPr>
          <w:b/>
          <w:bCs/>
          <w:noProof/>
          <w:szCs w:val="24"/>
        </w:rPr>
        <w:t>Gölder SK</w:t>
      </w:r>
      <w:r w:rsidRPr="006B24DA">
        <w:rPr>
          <w:noProof/>
          <w:szCs w:val="24"/>
        </w:rPr>
        <w:t>, Brueckner J, Ebigbo A, Messmann H. Double incision and snare resection in symptomatic Zenker's diverticulum: a modification of the stag beetle knife technique. </w:t>
      </w:r>
      <w:r w:rsidRPr="006B24DA">
        <w:rPr>
          <w:i/>
          <w:iCs/>
          <w:noProof/>
          <w:szCs w:val="24"/>
        </w:rPr>
        <w:t>Endoscopy</w:t>
      </w:r>
      <w:r w:rsidRPr="006B24DA">
        <w:rPr>
          <w:noProof/>
          <w:szCs w:val="24"/>
        </w:rPr>
        <w:t> 2018; </w:t>
      </w:r>
      <w:r w:rsidRPr="006B24DA">
        <w:rPr>
          <w:b/>
          <w:bCs/>
          <w:noProof/>
          <w:szCs w:val="24"/>
        </w:rPr>
        <w:t>50</w:t>
      </w:r>
      <w:r w:rsidRPr="006B24DA">
        <w:rPr>
          <w:noProof/>
          <w:szCs w:val="24"/>
        </w:rPr>
        <w:t>: 137-141 [PMID: 28954303 DOI: 10.1055/s-0043-119286]</w:t>
      </w:r>
    </w:p>
    <w:p w14:paraId="3E4730DF"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65 </w:t>
      </w:r>
      <w:r w:rsidRPr="006B24DA">
        <w:rPr>
          <w:b/>
          <w:bCs/>
          <w:noProof/>
          <w:szCs w:val="24"/>
        </w:rPr>
        <w:t>Martín-Guerrero JM</w:t>
      </w:r>
      <w:r w:rsidRPr="006B24DA">
        <w:rPr>
          <w:noProof/>
          <w:szCs w:val="24"/>
        </w:rPr>
        <w:t>, Belda-Cuesta A, Lamilla-Fernández A. Endoscopic treatment of Zenker's diverticulum using a stag beetle knife. </w:t>
      </w:r>
      <w:r w:rsidRPr="006B24DA">
        <w:rPr>
          <w:i/>
          <w:iCs/>
          <w:noProof/>
          <w:szCs w:val="24"/>
        </w:rPr>
        <w:t>Endoscopy</w:t>
      </w:r>
      <w:r w:rsidRPr="006B24DA">
        <w:rPr>
          <w:noProof/>
          <w:szCs w:val="24"/>
        </w:rPr>
        <w:t> 2017; </w:t>
      </w:r>
      <w:r w:rsidRPr="006B24DA">
        <w:rPr>
          <w:b/>
          <w:bCs/>
          <w:noProof/>
          <w:szCs w:val="24"/>
        </w:rPr>
        <w:t>49</w:t>
      </w:r>
      <w:r w:rsidRPr="006B24DA">
        <w:rPr>
          <w:noProof/>
          <w:szCs w:val="24"/>
        </w:rPr>
        <w:t>: E223-E224 [PMID: 28759927 DOI: 10.1055/s-0043-111715]</w:t>
      </w:r>
    </w:p>
    <w:p w14:paraId="4C2ABA3F"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lastRenderedPageBreak/>
        <w:t>66 </w:t>
      </w:r>
      <w:r w:rsidRPr="006B24DA">
        <w:rPr>
          <w:b/>
          <w:bCs/>
          <w:noProof/>
          <w:szCs w:val="24"/>
        </w:rPr>
        <w:t>Goelder SK</w:t>
      </w:r>
      <w:r w:rsidRPr="006B24DA">
        <w:rPr>
          <w:noProof/>
          <w:szCs w:val="24"/>
        </w:rPr>
        <w:t>, Brueckner J, Messmann H. Endoscopic treatment of Zenker's diverticulum with the stag beetle knife (sb knife) - feasibility and follow-up. </w:t>
      </w:r>
      <w:r w:rsidRPr="006B24DA">
        <w:rPr>
          <w:i/>
          <w:iCs/>
          <w:noProof/>
          <w:szCs w:val="24"/>
        </w:rPr>
        <w:t>Scand J Gastroenterol</w:t>
      </w:r>
      <w:r w:rsidRPr="006B24DA">
        <w:rPr>
          <w:noProof/>
          <w:szCs w:val="24"/>
        </w:rPr>
        <w:t> 2016; </w:t>
      </w:r>
      <w:r w:rsidRPr="006B24DA">
        <w:rPr>
          <w:b/>
          <w:bCs/>
          <w:noProof/>
          <w:szCs w:val="24"/>
        </w:rPr>
        <w:t>51</w:t>
      </w:r>
      <w:r w:rsidRPr="006B24DA">
        <w:rPr>
          <w:noProof/>
          <w:szCs w:val="24"/>
        </w:rPr>
        <w:t>: 1155-1158 [PMID: 27218662 DOI: 10.1080/00365521.2016.1186729]</w:t>
      </w:r>
    </w:p>
    <w:p w14:paraId="1E37D78F"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67 </w:t>
      </w:r>
      <w:r w:rsidRPr="006B24DA">
        <w:rPr>
          <w:b/>
          <w:bCs/>
          <w:noProof/>
          <w:szCs w:val="24"/>
        </w:rPr>
        <w:t>Ishaq S</w:t>
      </w:r>
      <w:r w:rsidRPr="006B24DA">
        <w:rPr>
          <w:noProof/>
          <w:szCs w:val="24"/>
        </w:rPr>
        <w:t>, Sultan H, Siau K, Kuwai T, Mulder CJ, Neumann H. New and emerging techniques for endoscopic treatment of Zenker's diverticulum: State-of-the-art review. </w:t>
      </w:r>
      <w:r w:rsidRPr="006B24DA">
        <w:rPr>
          <w:i/>
          <w:iCs/>
          <w:noProof/>
          <w:szCs w:val="24"/>
        </w:rPr>
        <w:t>Dig Endosc</w:t>
      </w:r>
      <w:r w:rsidRPr="006B24DA">
        <w:rPr>
          <w:noProof/>
          <w:szCs w:val="24"/>
        </w:rPr>
        <w:t> 2018; </w:t>
      </w:r>
      <w:r w:rsidRPr="006B24DA">
        <w:rPr>
          <w:b/>
          <w:bCs/>
          <w:noProof/>
          <w:szCs w:val="24"/>
        </w:rPr>
        <w:t>30</w:t>
      </w:r>
      <w:r w:rsidRPr="006B24DA">
        <w:rPr>
          <w:noProof/>
          <w:szCs w:val="24"/>
        </w:rPr>
        <w:t>: 449-460 [PMID: 29423955 DOI: 10.1111/den.13035]</w:t>
      </w:r>
    </w:p>
    <w:p w14:paraId="5F55462A"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68 </w:t>
      </w:r>
      <w:r w:rsidRPr="006B24DA">
        <w:rPr>
          <w:b/>
          <w:bCs/>
          <w:noProof/>
          <w:szCs w:val="24"/>
        </w:rPr>
        <w:t>Hernández Mondragón OV</w:t>
      </w:r>
      <w:r w:rsidRPr="006B24DA">
        <w:rPr>
          <w:noProof/>
          <w:szCs w:val="24"/>
        </w:rPr>
        <w:t>, Solórzano Pineda MO, Blancas Valencia JM. Zenker's diverticulum: Submucosal tunneling endoscopic septum division (Z-POEM). </w:t>
      </w:r>
      <w:r w:rsidRPr="006B24DA">
        <w:rPr>
          <w:i/>
          <w:iCs/>
          <w:noProof/>
          <w:szCs w:val="24"/>
        </w:rPr>
        <w:t>Dig Endosc</w:t>
      </w:r>
      <w:r w:rsidRPr="006B24DA">
        <w:rPr>
          <w:noProof/>
          <w:szCs w:val="24"/>
        </w:rPr>
        <w:t> 2018; </w:t>
      </w:r>
      <w:r w:rsidRPr="006B24DA">
        <w:rPr>
          <w:b/>
          <w:bCs/>
          <w:noProof/>
          <w:szCs w:val="24"/>
        </w:rPr>
        <w:t>30</w:t>
      </w:r>
      <w:r w:rsidRPr="006B24DA">
        <w:rPr>
          <w:noProof/>
          <w:szCs w:val="24"/>
        </w:rPr>
        <w:t>: 124 [PMID: 28875504 DOI: 10.1111/den.12958]</w:t>
      </w:r>
    </w:p>
    <w:p w14:paraId="6571A275"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69 </w:t>
      </w:r>
      <w:r w:rsidRPr="006B24DA">
        <w:rPr>
          <w:b/>
          <w:bCs/>
          <w:noProof/>
          <w:szCs w:val="24"/>
        </w:rPr>
        <w:t>Brieau B</w:t>
      </w:r>
      <w:r w:rsidRPr="006B24DA">
        <w:rPr>
          <w:noProof/>
          <w:szCs w:val="24"/>
        </w:rPr>
        <w:t>, Leblanc S, Bordacahar B, Barret M, Coriat R, Prat F, Chaussade S. Submucosal tunneling endoscopic septum division for Zenker's diverticulum: a reproducible procedure for endoscopists who perform peroral endoscopic myotomy. </w:t>
      </w:r>
      <w:r w:rsidRPr="006B24DA">
        <w:rPr>
          <w:i/>
          <w:iCs/>
          <w:noProof/>
          <w:szCs w:val="24"/>
        </w:rPr>
        <w:t>Endoscopy</w:t>
      </w:r>
      <w:r w:rsidRPr="006B24DA">
        <w:rPr>
          <w:noProof/>
          <w:szCs w:val="24"/>
        </w:rPr>
        <w:t> 2017; </w:t>
      </w:r>
      <w:r w:rsidRPr="006B24DA">
        <w:rPr>
          <w:b/>
          <w:bCs/>
          <w:noProof/>
          <w:szCs w:val="24"/>
        </w:rPr>
        <w:t>49</w:t>
      </w:r>
      <w:r w:rsidRPr="006B24DA">
        <w:rPr>
          <w:noProof/>
          <w:szCs w:val="24"/>
        </w:rPr>
        <w:t>: 613-614 [PMID: 28464200 DOI: 10.1055/s-0043-105574]</w:t>
      </w:r>
    </w:p>
    <w:p w14:paraId="53723D3E"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70 </w:t>
      </w:r>
      <w:r w:rsidRPr="006B24DA">
        <w:rPr>
          <w:b/>
          <w:bCs/>
          <w:noProof/>
          <w:szCs w:val="24"/>
        </w:rPr>
        <w:t>Li QL</w:t>
      </w:r>
      <w:r w:rsidRPr="006B24DA">
        <w:rPr>
          <w:noProof/>
          <w:szCs w:val="24"/>
        </w:rPr>
        <w:t>, Chen WF, Zhang XC, Cai MY, Zhang YQ, Hu JW, He MJ, Yao LQ, Zhou PH, Xu MD. Submucosal Tunneling Endoscopic Septum Division: A Novel Technique for Treating Zenker's Diverticulum. </w:t>
      </w:r>
      <w:r w:rsidRPr="006B24DA">
        <w:rPr>
          <w:i/>
          <w:iCs/>
          <w:noProof/>
          <w:szCs w:val="24"/>
        </w:rPr>
        <w:t>Gastroenterology</w:t>
      </w:r>
      <w:r w:rsidRPr="006B24DA">
        <w:rPr>
          <w:noProof/>
          <w:szCs w:val="24"/>
        </w:rPr>
        <w:t> 2016; </w:t>
      </w:r>
      <w:r w:rsidRPr="006B24DA">
        <w:rPr>
          <w:b/>
          <w:bCs/>
          <w:noProof/>
          <w:szCs w:val="24"/>
        </w:rPr>
        <w:t>151</w:t>
      </w:r>
      <w:r w:rsidRPr="006B24DA">
        <w:rPr>
          <w:noProof/>
          <w:szCs w:val="24"/>
        </w:rPr>
        <w:t>: 1071-1074 [PMID: 27664512 DOI: 10.1053/j.gastro.2016.08.064]</w:t>
      </w:r>
    </w:p>
    <w:p w14:paraId="60A44C16"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71 </w:t>
      </w:r>
      <w:r w:rsidRPr="006B24DA">
        <w:rPr>
          <w:b/>
          <w:bCs/>
          <w:noProof/>
          <w:szCs w:val="24"/>
        </w:rPr>
        <w:t>Deb SJ</w:t>
      </w:r>
      <w:r w:rsidRPr="006B24DA">
        <w:rPr>
          <w:noProof/>
          <w:szCs w:val="24"/>
        </w:rPr>
        <w:t>, Shen KR, Deschamps C. An analysis of esophagectomy and other techniques in the management of high-grade dysplasia of Barrett's esophagus. </w:t>
      </w:r>
      <w:r w:rsidRPr="006B24DA">
        <w:rPr>
          <w:i/>
          <w:iCs/>
          <w:noProof/>
          <w:szCs w:val="24"/>
        </w:rPr>
        <w:t>Dis Esophagus</w:t>
      </w:r>
      <w:r w:rsidRPr="006B24DA">
        <w:rPr>
          <w:noProof/>
          <w:szCs w:val="24"/>
        </w:rPr>
        <w:t> 2012; </w:t>
      </w:r>
      <w:r w:rsidRPr="006B24DA">
        <w:rPr>
          <w:b/>
          <w:bCs/>
          <w:noProof/>
          <w:szCs w:val="24"/>
        </w:rPr>
        <w:t>25</w:t>
      </w:r>
      <w:r w:rsidRPr="006B24DA">
        <w:rPr>
          <w:noProof/>
          <w:szCs w:val="24"/>
        </w:rPr>
        <w:t>: 356-366 [PMID: 21518102 DOI: 10.1111/j.1442-2050.2011.01186.x]</w:t>
      </w:r>
    </w:p>
    <w:p w14:paraId="1A07DCA8"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72 </w:t>
      </w:r>
      <w:r w:rsidRPr="006B24DA">
        <w:rPr>
          <w:b/>
          <w:bCs/>
          <w:noProof/>
          <w:szCs w:val="24"/>
        </w:rPr>
        <w:t>Fernando HC</w:t>
      </w:r>
      <w:r w:rsidRPr="006B24DA">
        <w:rPr>
          <w:noProof/>
          <w:szCs w:val="24"/>
        </w:rPr>
        <w:t>, Murthy SC, Hofstetter W, Shrager JB, Bridges C, Mitchell JD, Landreneau RJ, Clough ER, Watson TJ; Society of Thoracic Surgeons. The Society of Thoracic Surgeons practice guideline series: guidelines for the management of Barrett's esophagus with high-grade dysplasia. </w:t>
      </w:r>
      <w:r w:rsidRPr="006B24DA">
        <w:rPr>
          <w:i/>
          <w:iCs/>
          <w:noProof/>
          <w:szCs w:val="24"/>
        </w:rPr>
        <w:t>Ann Thorac Surg</w:t>
      </w:r>
      <w:r w:rsidRPr="006B24DA">
        <w:rPr>
          <w:noProof/>
          <w:szCs w:val="24"/>
        </w:rPr>
        <w:t> 2009; </w:t>
      </w:r>
      <w:r w:rsidRPr="006B24DA">
        <w:rPr>
          <w:b/>
          <w:bCs/>
          <w:noProof/>
          <w:szCs w:val="24"/>
        </w:rPr>
        <w:t>87</w:t>
      </w:r>
      <w:r w:rsidRPr="006B24DA">
        <w:rPr>
          <w:noProof/>
          <w:szCs w:val="24"/>
        </w:rPr>
        <w:t>: 1993-2002 [PMID: 19463651 DOI: 10.1016/j.athoracsur.2009.04.032]</w:t>
      </w:r>
    </w:p>
    <w:p w14:paraId="3AA8EBC1"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73 </w:t>
      </w:r>
      <w:r w:rsidRPr="006B24DA">
        <w:rPr>
          <w:b/>
          <w:bCs/>
          <w:noProof/>
          <w:szCs w:val="24"/>
        </w:rPr>
        <w:t>Maynard ND</w:t>
      </w:r>
      <w:r w:rsidRPr="006B24DA">
        <w:rPr>
          <w:noProof/>
          <w:szCs w:val="24"/>
        </w:rPr>
        <w:t>. High-grade dysplasia in Barrett's oesophagus. The case for oesophageal resection. </w:t>
      </w:r>
      <w:r w:rsidRPr="006B24DA">
        <w:rPr>
          <w:i/>
          <w:iCs/>
          <w:noProof/>
          <w:szCs w:val="24"/>
        </w:rPr>
        <w:t>Ann R Coll Surg Engl</w:t>
      </w:r>
      <w:r w:rsidRPr="006B24DA">
        <w:rPr>
          <w:noProof/>
          <w:szCs w:val="24"/>
        </w:rPr>
        <w:t> 2007; </w:t>
      </w:r>
      <w:r w:rsidRPr="006B24DA">
        <w:rPr>
          <w:b/>
          <w:bCs/>
          <w:noProof/>
          <w:szCs w:val="24"/>
        </w:rPr>
        <w:t>89</w:t>
      </w:r>
      <w:r w:rsidRPr="006B24DA">
        <w:rPr>
          <w:noProof/>
          <w:szCs w:val="24"/>
        </w:rPr>
        <w:t>: 588-590 [PMID: 18210668]</w:t>
      </w:r>
    </w:p>
    <w:p w14:paraId="7D6912F7"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lastRenderedPageBreak/>
        <w:t>74 </w:t>
      </w:r>
      <w:r w:rsidRPr="006B24DA">
        <w:rPr>
          <w:b/>
          <w:bCs/>
          <w:noProof/>
          <w:szCs w:val="24"/>
        </w:rPr>
        <w:t>Sujendran V</w:t>
      </w:r>
      <w:r w:rsidRPr="006B24DA">
        <w:rPr>
          <w:noProof/>
          <w:szCs w:val="24"/>
        </w:rPr>
        <w:t>, Sica G, Warren B, Maynard N. Oesophagectomy remains the gold standard for treatment of high-grade dysplasia in Barrett's oesophagus. </w:t>
      </w:r>
      <w:r w:rsidRPr="006B24DA">
        <w:rPr>
          <w:i/>
          <w:iCs/>
          <w:noProof/>
          <w:szCs w:val="24"/>
        </w:rPr>
        <w:t>Eur J Cardiothorac Surg</w:t>
      </w:r>
      <w:r w:rsidRPr="006B24DA">
        <w:rPr>
          <w:noProof/>
          <w:szCs w:val="24"/>
        </w:rPr>
        <w:t> 2005; </w:t>
      </w:r>
      <w:r w:rsidRPr="006B24DA">
        <w:rPr>
          <w:b/>
          <w:bCs/>
          <w:noProof/>
          <w:szCs w:val="24"/>
        </w:rPr>
        <w:t>28</w:t>
      </w:r>
      <w:r w:rsidRPr="006B24DA">
        <w:rPr>
          <w:noProof/>
          <w:szCs w:val="24"/>
        </w:rPr>
        <w:t>: 763-766 [PMID: 16188449 DOI: 10.1016/j.ejcts.2005.08.018]</w:t>
      </w:r>
    </w:p>
    <w:p w14:paraId="4309955A"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75 </w:t>
      </w:r>
      <w:r w:rsidRPr="006B24DA">
        <w:rPr>
          <w:b/>
          <w:bCs/>
          <w:noProof/>
          <w:szCs w:val="24"/>
        </w:rPr>
        <w:t>Spechler SJ</w:t>
      </w:r>
      <w:r w:rsidRPr="006B24DA">
        <w:rPr>
          <w:noProof/>
          <w:szCs w:val="24"/>
        </w:rPr>
        <w:t>, Fitzgerald RC, Prasad GA, Wang KK. History, molecular mechanisms, and endoscopic treatment of Barrett's esophagus. </w:t>
      </w:r>
      <w:r w:rsidRPr="006B24DA">
        <w:rPr>
          <w:i/>
          <w:iCs/>
          <w:noProof/>
          <w:szCs w:val="24"/>
        </w:rPr>
        <w:t>Gastroenterology</w:t>
      </w:r>
      <w:r w:rsidRPr="006B24DA">
        <w:rPr>
          <w:noProof/>
          <w:szCs w:val="24"/>
        </w:rPr>
        <w:t> 2010; </w:t>
      </w:r>
      <w:r w:rsidRPr="006B24DA">
        <w:rPr>
          <w:b/>
          <w:bCs/>
          <w:noProof/>
          <w:szCs w:val="24"/>
        </w:rPr>
        <w:t>138</w:t>
      </w:r>
      <w:r w:rsidRPr="006B24DA">
        <w:rPr>
          <w:noProof/>
          <w:szCs w:val="24"/>
        </w:rPr>
        <w:t>: 854-869 [PMID: 20080098 DOI: 10.1053/j.gastro.2010.01.002]</w:t>
      </w:r>
    </w:p>
    <w:p w14:paraId="61B36ED7"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76 </w:t>
      </w:r>
      <w:r w:rsidRPr="006B24DA">
        <w:rPr>
          <w:b/>
          <w:bCs/>
          <w:noProof/>
          <w:szCs w:val="24"/>
        </w:rPr>
        <w:t>Shaheen NJ</w:t>
      </w:r>
      <w:r w:rsidRPr="006B24DA">
        <w:rPr>
          <w:noProof/>
          <w:szCs w:val="24"/>
        </w:rPr>
        <w:t>, Sharma P, Overholt BF, Wolfsen HC, Sampliner RE, Wang KK, Galanko JA, Bronner MP, Goldblum JR, Bennett AE, Jobe BA, Eisen GM, Fennerty MB, Hunter JG, Fleischer DE, Sharma VK, Hawes RH, Hoffman BJ, Rothstein RI, Gordon SR, Mashimo H, Chang KJ, Muthusamy VR, Edmundowicz SA, Spechler SJ, Siddiqui AA, Souza RF, Infantolino A, Falk GW, Kimmey MB, Madanick RD, Chak A, Lightdale CJ. Radiofrequency ablation in Barrett's esophagus with dysplasia. </w:t>
      </w:r>
      <w:r w:rsidRPr="006B24DA">
        <w:rPr>
          <w:i/>
          <w:iCs/>
          <w:noProof/>
          <w:szCs w:val="24"/>
        </w:rPr>
        <w:t>N Engl J Med</w:t>
      </w:r>
      <w:r w:rsidRPr="006B24DA">
        <w:rPr>
          <w:noProof/>
          <w:szCs w:val="24"/>
        </w:rPr>
        <w:t> 2009; </w:t>
      </w:r>
      <w:r w:rsidRPr="006B24DA">
        <w:rPr>
          <w:b/>
          <w:bCs/>
          <w:noProof/>
          <w:szCs w:val="24"/>
        </w:rPr>
        <w:t>360</w:t>
      </w:r>
      <w:r w:rsidRPr="006B24DA">
        <w:rPr>
          <w:noProof/>
          <w:szCs w:val="24"/>
        </w:rPr>
        <w:t>: 2277-2288 [PMID: 19474425 DOI: 10.1056/NEJMoa0808145]</w:t>
      </w:r>
    </w:p>
    <w:p w14:paraId="3BB02372"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77 </w:t>
      </w:r>
      <w:r w:rsidRPr="006B24DA">
        <w:rPr>
          <w:b/>
          <w:bCs/>
          <w:noProof/>
          <w:szCs w:val="24"/>
        </w:rPr>
        <w:t>Visrodia K</w:t>
      </w:r>
      <w:r w:rsidRPr="006B24DA">
        <w:rPr>
          <w:noProof/>
          <w:szCs w:val="24"/>
        </w:rPr>
        <w:t>, Zakko L, Singh S, Leggett CL, Iyer PG, Wang KK. Cryotherapy for persistent Barrett's esophagus after radiofrequency ablation: a systematic review and meta-analysis. </w:t>
      </w:r>
      <w:r w:rsidRPr="006B24DA">
        <w:rPr>
          <w:i/>
          <w:iCs/>
          <w:noProof/>
          <w:szCs w:val="24"/>
        </w:rPr>
        <w:t>Gastrointest Endosc</w:t>
      </w:r>
      <w:r w:rsidRPr="006B24DA">
        <w:rPr>
          <w:noProof/>
          <w:szCs w:val="24"/>
        </w:rPr>
        <w:t> 2018; </w:t>
      </w:r>
      <w:r w:rsidRPr="006B24DA">
        <w:rPr>
          <w:b/>
          <w:bCs/>
          <w:noProof/>
          <w:szCs w:val="24"/>
        </w:rPr>
        <w:t>87</w:t>
      </w:r>
      <w:r w:rsidRPr="006B24DA">
        <w:rPr>
          <w:noProof/>
          <w:szCs w:val="24"/>
        </w:rPr>
        <w:t>: 1396-1404.e1 [PMID: 29476849 DOI: 10.1016/j.gie.2018.02.021]</w:t>
      </w:r>
    </w:p>
    <w:p w14:paraId="6F4C911F"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78 </w:t>
      </w:r>
      <w:r w:rsidRPr="006B24DA">
        <w:rPr>
          <w:b/>
          <w:bCs/>
          <w:noProof/>
          <w:szCs w:val="24"/>
        </w:rPr>
        <w:t>Trindade AJ</w:t>
      </w:r>
      <w:r w:rsidRPr="006B24DA">
        <w:rPr>
          <w:noProof/>
          <w:szCs w:val="24"/>
        </w:rPr>
        <w:t>, Pleskow DK, Sengupta N, Kothari S, Inamdar S, Berkowitz J, Kaul V. Efficacy of liquid nitrogen cryotherapy for Barrett's esophagus after endoscopic resection of intramucosal cancer: A multicenter study. </w:t>
      </w:r>
      <w:r w:rsidRPr="006B24DA">
        <w:rPr>
          <w:i/>
          <w:iCs/>
          <w:noProof/>
          <w:szCs w:val="24"/>
        </w:rPr>
        <w:t>J Gastroenterol Hepatol</w:t>
      </w:r>
      <w:r w:rsidRPr="006B24DA">
        <w:rPr>
          <w:noProof/>
          <w:szCs w:val="24"/>
        </w:rPr>
        <w:t> 2018; </w:t>
      </w:r>
      <w:r w:rsidRPr="006B24DA">
        <w:rPr>
          <w:b/>
          <w:bCs/>
          <w:noProof/>
          <w:szCs w:val="24"/>
        </w:rPr>
        <w:t>33</w:t>
      </w:r>
      <w:r w:rsidRPr="006B24DA">
        <w:rPr>
          <w:noProof/>
          <w:szCs w:val="24"/>
        </w:rPr>
        <w:t>: 461-465 [PMID: 28770555 DOI: 10.1111/jgh.13909]</w:t>
      </w:r>
    </w:p>
    <w:p w14:paraId="676841C1"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79 </w:t>
      </w:r>
      <w:r w:rsidRPr="006B24DA">
        <w:rPr>
          <w:b/>
          <w:bCs/>
          <w:noProof/>
          <w:szCs w:val="24"/>
        </w:rPr>
        <w:t>Thota PN</w:t>
      </w:r>
      <w:r w:rsidRPr="006B24DA">
        <w:rPr>
          <w:noProof/>
          <w:szCs w:val="24"/>
        </w:rPr>
        <w:t>, Arora Z, Dumot JA, Falk G, Benjamin T, Goldblum J, Jang S, Lopez R, Vargo JJ. Cryotherapy and Radiofrequency Ablation for Eradication of Barrett's Esophagus with Dysplasia or Intramucosal Cancer. </w:t>
      </w:r>
      <w:r w:rsidRPr="006B24DA">
        <w:rPr>
          <w:i/>
          <w:iCs/>
          <w:noProof/>
          <w:szCs w:val="24"/>
        </w:rPr>
        <w:t>Dig Dis Sci</w:t>
      </w:r>
      <w:r w:rsidRPr="006B24DA">
        <w:rPr>
          <w:noProof/>
          <w:szCs w:val="24"/>
        </w:rPr>
        <w:t> 2018; </w:t>
      </w:r>
      <w:r w:rsidRPr="006B24DA">
        <w:rPr>
          <w:b/>
          <w:bCs/>
          <w:noProof/>
          <w:szCs w:val="24"/>
        </w:rPr>
        <w:t>63</w:t>
      </w:r>
      <w:r w:rsidRPr="006B24DA">
        <w:rPr>
          <w:noProof/>
          <w:szCs w:val="24"/>
        </w:rPr>
        <w:t>: 1311-1319 [PMID: 29524114 DOI: 10.1007/s10620-018-5009-4]</w:t>
      </w:r>
    </w:p>
    <w:p w14:paraId="25AF6DBE"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80 </w:t>
      </w:r>
      <w:r w:rsidRPr="006B24DA">
        <w:rPr>
          <w:b/>
          <w:bCs/>
          <w:noProof/>
          <w:szCs w:val="24"/>
        </w:rPr>
        <w:t>Solomon SS</w:t>
      </w:r>
      <w:r w:rsidRPr="006B24DA">
        <w:rPr>
          <w:noProof/>
          <w:szCs w:val="24"/>
        </w:rPr>
        <w:t xml:space="preserve">, Kothari S, Smallfield GB, Inamdar S, Stein P, Rodriguez VA, Sima AP, Bittner K, Zfass AM, Kaul V, Trindade AJ. Liquid Nitrogen Spray Cryotherapy is Associated With Less Postprocedural Pain Than Radiofrequency Ablation in Barrett's </w:t>
      </w:r>
      <w:r w:rsidRPr="006B24DA">
        <w:rPr>
          <w:noProof/>
          <w:szCs w:val="24"/>
        </w:rPr>
        <w:lastRenderedPageBreak/>
        <w:t>Esophagus: A Multicenter Prospective Study. </w:t>
      </w:r>
      <w:r w:rsidRPr="006B24DA">
        <w:rPr>
          <w:i/>
          <w:iCs/>
          <w:noProof/>
          <w:szCs w:val="24"/>
        </w:rPr>
        <w:t>J Clin Gastroenterol</w:t>
      </w:r>
      <w:r w:rsidRPr="006B24DA">
        <w:rPr>
          <w:noProof/>
          <w:szCs w:val="24"/>
        </w:rPr>
        <w:t> 2018; : [PMID: 29351156 DOI: 10.1097/MCG.0000000000000999]</w:t>
      </w:r>
    </w:p>
    <w:p w14:paraId="5611E9B0"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81 </w:t>
      </w:r>
      <w:r w:rsidRPr="006B24DA">
        <w:rPr>
          <w:b/>
          <w:bCs/>
          <w:noProof/>
          <w:szCs w:val="24"/>
        </w:rPr>
        <w:t>Trindade AJ</w:t>
      </w:r>
      <w:r w:rsidRPr="006B24DA">
        <w:rPr>
          <w:noProof/>
          <w:szCs w:val="24"/>
        </w:rPr>
        <w:t>, Inamdar S, Kothari S, Berkowitz J, McKinley M, Kaul V. Feasibility of liquid nitrogen cryotherapy after failed radiofrequency ablation for Barrett's esophagus. </w:t>
      </w:r>
      <w:r w:rsidRPr="006B24DA">
        <w:rPr>
          <w:i/>
          <w:iCs/>
          <w:noProof/>
          <w:szCs w:val="24"/>
        </w:rPr>
        <w:t>Dig Endosc</w:t>
      </w:r>
      <w:r w:rsidRPr="006B24DA">
        <w:rPr>
          <w:noProof/>
          <w:szCs w:val="24"/>
        </w:rPr>
        <w:t> 2017; </w:t>
      </w:r>
      <w:r w:rsidRPr="006B24DA">
        <w:rPr>
          <w:b/>
          <w:bCs/>
          <w:noProof/>
          <w:szCs w:val="24"/>
        </w:rPr>
        <w:t>29</w:t>
      </w:r>
      <w:r w:rsidRPr="006B24DA">
        <w:rPr>
          <w:noProof/>
          <w:szCs w:val="24"/>
        </w:rPr>
        <w:t>: 680-685 [PMID: 28303613 DOI: 10.1111/den.12869]</w:t>
      </w:r>
    </w:p>
    <w:p w14:paraId="083EF2B6"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82 </w:t>
      </w:r>
      <w:r w:rsidRPr="006B24DA">
        <w:rPr>
          <w:b/>
          <w:bCs/>
          <w:noProof/>
          <w:szCs w:val="24"/>
        </w:rPr>
        <w:t>Suchniak-Mussari K</w:t>
      </w:r>
      <w:r w:rsidRPr="006B24DA">
        <w:rPr>
          <w:noProof/>
          <w:szCs w:val="24"/>
        </w:rPr>
        <w:t>, Dye CE, Moyer MT, Mathew A, McGarrity TJ, Gagliardi EM, Maranki JL, Levenick JM. Efficacy and safety of liquid nitrogen cryotherapy for treatment of Barrett's esophagus. </w:t>
      </w:r>
      <w:r w:rsidRPr="006B24DA">
        <w:rPr>
          <w:i/>
          <w:iCs/>
          <w:noProof/>
          <w:szCs w:val="24"/>
        </w:rPr>
        <w:t>World J Gastrointest Endosc</w:t>
      </w:r>
      <w:r w:rsidRPr="006B24DA">
        <w:rPr>
          <w:noProof/>
          <w:szCs w:val="24"/>
        </w:rPr>
        <w:t> 2017; </w:t>
      </w:r>
      <w:r w:rsidRPr="006B24DA">
        <w:rPr>
          <w:b/>
          <w:bCs/>
          <w:noProof/>
          <w:szCs w:val="24"/>
        </w:rPr>
        <w:t>9</w:t>
      </w:r>
      <w:r w:rsidRPr="006B24DA">
        <w:rPr>
          <w:noProof/>
          <w:szCs w:val="24"/>
        </w:rPr>
        <w:t>: 480-485 [PMID: 28979713 DOI: 10.4253/wjge.v9.i9.480]</w:t>
      </w:r>
    </w:p>
    <w:p w14:paraId="71F1E790"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83 </w:t>
      </w:r>
      <w:r w:rsidRPr="006B24DA">
        <w:rPr>
          <w:b/>
          <w:bCs/>
          <w:noProof/>
          <w:szCs w:val="24"/>
        </w:rPr>
        <w:t>Ramay FH</w:t>
      </w:r>
      <w:r w:rsidRPr="006B24DA">
        <w:rPr>
          <w:noProof/>
          <w:szCs w:val="24"/>
        </w:rPr>
        <w:t>, Cui Q, Greenwald BD. Outcomes after liquid nitrogen spray cryotherapy in Barrett's esophagus-associated high-grade dysplasia and intramucosal adenocarcinoma: 5-year follow-up. </w:t>
      </w:r>
      <w:r w:rsidRPr="006B24DA">
        <w:rPr>
          <w:i/>
          <w:iCs/>
          <w:noProof/>
          <w:szCs w:val="24"/>
        </w:rPr>
        <w:t>Gastrointest Endosc</w:t>
      </w:r>
      <w:r w:rsidRPr="006B24DA">
        <w:rPr>
          <w:noProof/>
          <w:szCs w:val="24"/>
        </w:rPr>
        <w:t> 2017; </w:t>
      </w:r>
      <w:r w:rsidRPr="006B24DA">
        <w:rPr>
          <w:b/>
          <w:bCs/>
          <w:noProof/>
          <w:szCs w:val="24"/>
        </w:rPr>
        <w:t>86</w:t>
      </w:r>
      <w:r w:rsidRPr="006B24DA">
        <w:rPr>
          <w:noProof/>
          <w:szCs w:val="24"/>
        </w:rPr>
        <w:t>: 626-632 [PMID: 28235596 DOI: 10.1016/j.gie.2017.02.006]</w:t>
      </w:r>
    </w:p>
    <w:p w14:paraId="684D6909"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84 </w:t>
      </w:r>
      <w:r w:rsidRPr="006B24DA">
        <w:rPr>
          <w:b/>
          <w:bCs/>
          <w:noProof/>
          <w:szCs w:val="24"/>
        </w:rPr>
        <w:t>Das KK</w:t>
      </w:r>
      <w:r w:rsidRPr="006B24DA">
        <w:rPr>
          <w:noProof/>
          <w:szCs w:val="24"/>
        </w:rPr>
        <w:t>, Falk GW. Long-term outcomes for cryotherapy in Barrett's esophagus with high-grade dysplasia: just cracking the ice. </w:t>
      </w:r>
      <w:r w:rsidRPr="006B24DA">
        <w:rPr>
          <w:i/>
          <w:iCs/>
          <w:noProof/>
          <w:szCs w:val="24"/>
        </w:rPr>
        <w:t>Gastrointest Endosc</w:t>
      </w:r>
      <w:r w:rsidRPr="006B24DA">
        <w:rPr>
          <w:noProof/>
          <w:szCs w:val="24"/>
        </w:rPr>
        <w:t> 2017; </w:t>
      </w:r>
      <w:r w:rsidRPr="006B24DA">
        <w:rPr>
          <w:b/>
          <w:bCs/>
          <w:noProof/>
          <w:szCs w:val="24"/>
        </w:rPr>
        <w:t>86</w:t>
      </w:r>
      <w:r w:rsidRPr="006B24DA">
        <w:rPr>
          <w:noProof/>
          <w:szCs w:val="24"/>
        </w:rPr>
        <w:t>: 633-635 [PMID: 28917343 DOI: 10.1016/j.gie.2017.03.1540]</w:t>
      </w:r>
    </w:p>
    <w:p w14:paraId="7CC3637F"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85 </w:t>
      </w:r>
      <w:r w:rsidRPr="006B24DA">
        <w:rPr>
          <w:b/>
          <w:bCs/>
          <w:noProof/>
          <w:szCs w:val="24"/>
        </w:rPr>
        <w:t>ASGE Technology Committee.</w:t>
      </w:r>
      <w:r w:rsidRPr="006B24DA">
        <w:rPr>
          <w:noProof/>
          <w:szCs w:val="24"/>
        </w:rPr>
        <w:t>, Parsi MA, Trindade AJ, Bhutani MS, Melson J, Navaneethan U, Thosani N, Trikudanathan G, Watson RR, Maple JT. Cryotherapy in gastrointestinal endoscopy. </w:t>
      </w:r>
      <w:r w:rsidRPr="006B24DA">
        <w:rPr>
          <w:i/>
          <w:iCs/>
          <w:noProof/>
          <w:szCs w:val="24"/>
        </w:rPr>
        <w:t>VideoGIE</w:t>
      </w:r>
      <w:r w:rsidRPr="006B24DA">
        <w:rPr>
          <w:noProof/>
          <w:szCs w:val="24"/>
        </w:rPr>
        <w:t> 2017; </w:t>
      </w:r>
      <w:r w:rsidRPr="006B24DA">
        <w:rPr>
          <w:b/>
          <w:bCs/>
          <w:noProof/>
          <w:szCs w:val="24"/>
        </w:rPr>
        <w:t>2</w:t>
      </w:r>
      <w:r w:rsidRPr="006B24DA">
        <w:rPr>
          <w:noProof/>
          <w:szCs w:val="24"/>
        </w:rPr>
        <w:t>: 89-95 [PMID: 29905303 DOI: 10.1016/j.vgie.2017.01.021]</w:t>
      </w:r>
    </w:p>
    <w:p w14:paraId="6ECCE82F"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86 </w:t>
      </w:r>
      <w:r w:rsidRPr="006B24DA">
        <w:rPr>
          <w:b/>
          <w:bCs/>
          <w:noProof/>
          <w:szCs w:val="24"/>
        </w:rPr>
        <w:t>Canto MI</w:t>
      </w:r>
      <w:r w:rsidRPr="006B24DA">
        <w:rPr>
          <w:noProof/>
          <w:szCs w:val="24"/>
        </w:rPr>
        <w:t>. Cryotherapy for Barrett's Esophagus. </w:t>
      </w:r>
      <w:r w:rsidRPr="006B24DA">
        <w:rPr>
          <w:i/>
          <w:iCs/>
          <w:noProof/>
          <w:szCs w:val="24"/>
        </w:rPr>
        <w:t>Gastrointest Endosc Clin N Am</w:t>
      </w:r>
      <w:r w:rsidRPr="006B24DA">
        <w:rPr>
          <w:noProof/>
          <w:szCs w:val="24"/>
        </w:rPr>
        <w:t> 2017; </w:t>
      </w:r>
      <w:r w:rsidRPr="006B24DA">
        <w:rPr>
          <w:b/>
          <w:bCs/>
          <w:noProof/>
          <w:szCs w:val="24"/>
        </w:rPr>
        <w:t>27</w:t>
      </w:r>
      <w:r w:rsidRPr="006B24DA">
        <w:rPr>
          <w:noProof/>
          <w:szCs w:val="24"/>
        </w:rPr>
        <w:t>: 503-513 [PMID: 28577771 DOI: 10.1016/j.giec.2017.03.004]</w:t>
      </w:r>
    </w:p>
    <w:p w14:paraId="45F44664"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87 </w:t>
      </w:r>
      <w:r w:rsidRPr="006B24DA">
        <w:rPr>
          <w:b/>
          <w:bCs/>
          <w:noProof/>
          <w:szCs w:val="24"/>
        </w:rPr>
        <w:t>Canto MI</w:t>
      </w:r>
      <w:r w:rsidRPr="006B24DA">
        <w:rPr>
          <w:noProof/>
          <w:szCs w:val="24"/>
        </w:rPr>
        <w:t>, Shaheen NJ, Almario JA, Voltaggio L, Montgomery E, Lightdale CJ. Multifocal nitrous oxide cryoballoon ablation with or without EMR for treatment of neoplastic Barrett's esophagus (with video). </w:t>
      </w:r>
      <w:r w:rsidRPr="006B24DA">
        <w:rPr>
          <w:i/>
          <w:iCs/>
          <w:noProof/>
          <w:szCs w:val="24"/>
        </w:rPr>
        <w:t>Gastrointest Endosc</w:t>
      </w:r>
      <w:r w:rsidRPr="006B24DA">
        <w:rPr>
          <w:noProof/>
          <w:szCs w:val="24"/>
        </w:rPr>
        <w:t> 2018; </w:t>
      </w:r>
      <w:r w:rsidRPr="006B24DA">
        <w:rPr>
          <w:b/>
          <w:bCs/>
          <w:noProof/>
          <w:szCs w:val="24"/>
        </w:rPr>
        <w:t>88</w:t>
      </w:r>
      <w:r w:rsidRPr="006B24DA">
        <w:rPr>
          <w:noProof/>
          <w:szCs w:val="24"/>
        </w:rPr>
        <w:t>: 438-446.e2 [PMID: 29626424 DOI: 10.1016/j.gie.2018.03.024]</w:t>
      </w:r>
    </w:p>
    <w:p w14:paraId="473D32C9"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88 </w:t>
      </w:r>
      <w:r w:rsidRPr="006B24DA">
        <w:rPr>
          <w:b/>
          <w:bCs/>
          <w:noProof/>
          <w:szCs w:val="24"/>
        </w:rPr>
        <w:t>Canto MI</w:t>
      </w:r>
      <w:r w:rsidRPr="006B24DA">
        <w:rPr>
          <w:noProof/>
          <w:szCs w:val="24"/>
        </w:rPr>
        <w:t xml:space="preserve">, Abrams JA, Künzli HT, Weusten B, Komatsu Y, Jobe BA, Lightdale CJ. Nitrous oxide cryotherapy for treatment of esophageal squamous cell neoplasia: initial multicenter international experience with a novel portable cryoballoon ablation system </w:t>
      </w:r>
      <w:r w:rsidRPr="006B24DA">
        <w:rPr>
          <w:noProof/>
          <w:szCs w:val="24"/>
        </w:rPr>
        <w:lastRenderedPageBreak/>
        <w:t>(with video). </w:t>
      </w:r>
      <w:r w:rsidRPr="006B24DA">
        <w:rPr>
          <w:i/>
          <w:iCs/>
          <w:noProof/>
          <w:szCs w:val="24"/>
        </w:rPr>
        <w:t>Gastrointest Endosc</w:t>
      </w:r>
      <w:r w:rsidRPr="006B24DA">
        <w:rPr>
          <w:noProof/>
          <w:szCs w:val="24"/>
        </w:rPr>
        <w:t> 2018; </w:t>
      </w:r>
      <w:r w:rsidRPr="006B24DA">
        <w:rPr>
          <w:b/>
          <w:bCs/>
          <w:noProof/>
          <w:szCs w:val="24"/>
        </w:rPr>
        <w:t>87</w:t>
      </w:r>
      <w:r w:rsidRPr="006B24DA">
        <w:rPr>
          <w:noProof/>
          <w:szCs w:val="24"/>
        </w:rPr>
        <w:t>: 574-581 [PMID: 28720474 DOI: 10.1016/j.gie.2017.07.013]</w:t>
      </w:r>
    </w:p>
    <w:p w14:paraId="11D2154D"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89 </w:t>
      </w:r>
      <w:r w:rsidRPr="006B24DA">
        <w:rPr>
          <w:b/>
          <w:bCs/>
          <w:noProof/>
          <w:szCs w:val="24"/>
        </w:rPr>
        <w:t>Schölvinck DW</w:t>
      </w:r>
      <w:r w:rsidRPr="006B24DA">
        <w:rPr>
          <w:noProof/>
          <w:szCs w:val="24"/>
        </w:rPr>
        <w:t>, Künzli HT, Kestens C, Siersema PD, Vleggaar FP, Canto MI, Cosby H, Abrams JA, Lightdale CJ, Tejeda-Ramirez E, DeMeester SR, Greene CL, Jobe BA, Peters J, Bergman JJ, Weusten BL. Treatment of Barrett's esophagus with a novel focal cryoablation device: a safety and feasibility study. </w:t>
      </w:r>
      <w:r w:rsidRPr="006B24DA">
        <w:rPr>
          <w:i/>
          <w:iCs/>
          <w:noProof/>
          <w:szCs w:val="24"/>
        </w:rPr>
        <w:t>Endoscopy</w:t>
      </w:r>
      <w:r w:rsidRPr="006B24DA">
        <w:rPr>
          <w:noProof/>
          <w:szCs w:val="24"/>
        </w:rPr>
        <w:t> 2015; </w:t>
      </w:r>
      <w:r w:rsidRPr="006B24DA">
        <w:rPr>
          <w:b/>
          <w:bCs/>
          <w:noProof/>
          <w:szCs w:val="24"/>
        </w:rPr>
        <w:t>47</w:t>
      </w:r>
      <w:r w:rsidRPr="006B24DA">
        <w:rPr>
          <w:noProof/>
          <w:szCs w:val="24"/>
        </w:rPr>
        <w:t>: 1106-1112 [PMID: 26158241 DOI: 10.1055/s-0034-1392417]</w:t>
      </w:r>
    </w:p>
    <w:p w14:paraId="4387DB00"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90 </w:t>
      </w:r>
      <w:r w:rsidRPr="006B24DA">
        <w:rPr>
          <w:b/>
          <w:bCs/>
          <w:noProof/>
          <w:szCs w:val="24"/>
        </w:rPr>
        <w:t>Ghorbani S</w:t>
      </w:r>
      <w:r w:rsidRPr="006B24DA">
        <w:rPr>
          <w:noProof/>
          <w:szCs w:val="24"/>
        </w:rPr>
        <w:t>, Tsai FC, Greenwald BD, Jang S, Dumot JA, McKinley MJ, Shaheen NJ, Habr F, Coyle WJ. Safety and efficacy of endoscopic spray cryotherapy for Barrett's dysplasia: results of the National Cryospray Registry. </w:t>
      </w:r>
      <w:r w:rsidRPr="006B24DA">
        <w:rPr>
          <w:i/>
          <w:iCs/>
          <w:noProof/>
          <w:szCs w:val="24"/>
        </w:rPr>
        <w:t>Dis Esophagus</w:t>
      </w:r>
      <w:r w:rsidRPr="006B24DA">
        <w:rPr>
          <w:noProof/>
          <w:szCs w:val="24"/>
        </w:rPr>
        <w:t> 2016; </w:t>
      </w:r>
      <w:r w:rsidRPr="006B24DA">
        <w:rPr>
          <w:b/>
          <w:bCs/>
          <w:noProof/>
          <w:szCs w:val="24"/>
        </w:rPr>
        <w:t>29</w:t>
      </w:r>
      <w:r w:rsidRPr="006B24DA">
        <w:rPr>
          <w:noProof/>
          <w:szCs w:val="24"/>
        </w:rPr>
        <w:t>: 241-247 [PMID: 25708903 DOI: 10.1111/dote.12330]</w:t>
      </w:r>
    </w:p>
    <w:p w14:paraId="4DE97966"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91 </w:t>
      </w:r>
      <w:r w:rsidRPr="006B24DA">
        <w:rPr>
          <w:b/>
          <w:bCs/>
          <w:noProof/>
          <w:szCs w:val="24"/>
        </w:rPr>
        <w:t>Greenwald BD</w:t>
      </w:r>
      <w:r w:rsidRPr="006B24DA">
        <w:rPr>
          <w:noProof/>
          <w:szCs w:val="24"/>
        </w:rPr>
        <w:t>, Dumot JA, Abrams JA, Lightdale CJ, David DS, Nishioka NS, Yachimski P, Johnston MH, Shaheen NJ, Zfass AM, Smith JO, Gill KR, Burdick JS, Mallat D, Wolfsen HC. Endoscopic spray cryotherapy for esophageal cancer: safety and efficacy. </w:t>
      </w:r>
      <w:r w:rsidRPr="006B24DA">
        <w:rPr>
          <w:i/>
          <w:iCs/>
          <w:noProof/>
          <w:szCs w:val="24"/>
        </w:rPr>
        <w:t>Gastrointest Endosc</w:t>
      </w:r>
      <w:r w:rsidRPr="006B24DA">
        <w:rPr>
          <w:noProof/>
          <w:szCs w:val="24"/>
        </w:rPr>
        <w:t> 2010; </w:t>
      </w:r>
      <w:r w:rsidRPr="006B24DA">
        <w:rPr>
          <w:b/>
          <w:bCs/>
          <w:noProof/>
          <w:szCs w:val="24"/>
        </w:rPr>
        <w:t>71</w:t>
      </w:r>
      <w:r w:rsidRPr="006B24DA">
        <w:rPr>
          <w:noProof/>
          <w:szCs w:val="24"/>
        </w:rPr>
        <w:t>: 686-693 [PMID: 20363410 DOI: 10.1016/j.gie.2010.01.042]</w:t>
      </w:r>
    </w:p>
    <w:p w14:paraId="10E31533"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92 </w:t>
      </w:r>
      <w:r w:rsidRPr="006B24DA">
        <w:rPr>
          <w:b/>
          <w:bCs/>
          <w:noProof/>
          <w:szCs w:val="24"/>
        </w:rPr>
        <w:t>Sengupta N</w:t>
      </w:r>
      <w:r w:rsidRPr="006B24DA">
        <w:rPr>
          <w:noProof/>
          <w:szCs w:val="24"/>
        </w:rPr>
        <w:t>, Ketwaroo GA, Bak DM, Kedar V, Chuttani R, Berzin TM, Sawhney MS, Pleskow DK. Salvage cryotherapy after failed radiofrequency ablation for Barrett's esophagus-related dysplasia is safe and effective. </w:t>
      </w:r>
      <w:r w:rsidRPr="006B24DA">
        <w:rPr>
          <w:i/>
          <w:iCs/>
          <w:noProof/>
          <w:szCs w:val="24"/>
        </w:rPr>
        <w:t>Gastrointest Endosc</w:t>
      </w:r>
      <w:r w:rsidRPr="006B24DA">
        <w:rPr>
          <w:noProof/>
          <w:szCs w:val="24"/>
        </w:rPr>
        <w:t> 2015; </w:t>
      </w:r>
      <w:r w:rsidRPr="006B24DA">
        <w:rPr>
          <w:b/>
          <w:bCs/>
          <w:noProof/>
          <w:szCs w:val="24"/>
        </w:rPr>
        <w:t>82</w:t>
      </w:r>
      <w:r w:rsidRPr="006B24DA">
        <w:rPr>
          <w:noProof/>
          <w:szCs w:val="24"/>
        </w:rPr>
        <w:t>: 443-448 [PMID: 25887715 DOI: 10.1016/j.gie.2015.01.033]</w:t>
      </w:r>
    </w:p>
    <w:p w14:paraId="72B10284"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93 </w:t>
      </w:r>
      <w:r w:rsidRPr="006B24DA">
        <w:rPr>
          <w:b/>
          <w:bCs/>
          <w:noProof/>
          <w:szCs w:val="24"/>
        </w:rPr>
        <w:t>Manner H</w:t>
      </w:r>
      <w:r w:rsidRPr="006B24DA">
        <w:rPr>
          <w:noProof/>
          <w:szCs w:val="24"/>
        </w:rPr>
        <w:t>, Neugebauer A, Scharpf M, Braun K, May A, Ell C, Fend F, Enderle MD. The tissue effect of argon-plasma coagulation with prior submucosal injection (Hybrid-APC) versus standard APC: A randomized ex-vivo study. </w:t>
      </w:r>
      <w:r w:rsidRPr="006B24DA">
        <w:rPr>
          <w:i/>
          <w:iCs/>
          <w:noProof/>
          <w:szCs w:val="24"/>
        </w:rPr>
        <w:t>United European Gastroenterol J</w:t>
      </w:r>
      <w:r w:rsidRPr="006B24DA">
        <w:rPr>
          <w:noProof/>
          <w:szCs w:val="24"/>
        </w:rPr>
        <w:t> 2014; </w:t>
      </w:r>
      <w:r w:rsidRPr="006B24DA">
        <w:rPr>
          <w:b/>
          <w:bCs/>
          <w:noProof/>
          <w:szCs w:val="24"/>
        </w:rPr>
        <w:t>2</w:t>
      </w:r>
      <w:r w:rsidRPr="006B24DA">
        <w:rPr>
          <w:noProof/>
          <w:szCs w:val="24"/>
        </w:rPr>
        <w:t>: 383-390 [PMID: 25360316 DOI: 10.1177/2050640614544315]</w:t>
      </w:r>
    </w:p>
    <w:p w14:paraId="0BBA7C9D"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94 </w:t>
      </w:r>
      <w:r w:rsidRPr="006B24DA">
        <w:rPr>
          <w:b/>
          <w:bCs/>
          <w:noProof/>
          <w:szCs w:val="24"/>
        </w:rPr>
        <w:t>Manner H</w:t>
      </w:r>
      <w:r w:rsidRPr="006B24DA">
        <w:rPr>
          <w:noProof/>
          <w:szCs w:val="24"/>
        </w:rPr>
        <w:t>, May A, Kouti I, Pech O, Vieth M, Ell C. Efficacy and safety of Hybrid-APC for the ablation of Barrett's esophagus. </w:t>
      </w:r>
      <w:r w:rsidRPr="006B24DA">
        <w:rPr>
          <w:i/>
          <w:iCs/>
          <w:noProof/>
          <w:szCs w:val="24"/>
        </w:rPr>
        <w:t>Surg Endosc</w:t>
      </w:r>
      <w:r w:rsidRPr="006B24DA">
        <w:rPr>
          <w:noProof/>
          <w:szCs w:val="24"/>
        </w:rPr>
        <w:t> 2016; </w:t>
      </w:r>
      <w:r w:rsidRPr="006B24DA">
        <w:rPr>
          <w:b/>
          <w:bCs/>
          <w:noProof/>
          <w:szCs w:val="24"/>
        </w:rPr>
        <w:t>30</w:t>
      </w:r>
      <w:r w:rsidRPr="006B24DA">
        <w:rPr>
          <w:noProof/>
          <w:szCs w:val="24"/>
        </w:rPr>
        <w:t>: 1364-1370 [PMID: 26104794 DOI: 10.1007/s00464-015-4336-1]</w:t>
      </w:r>
    </w:p>
    <w:p w14:paraId="0C4B53DA"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lastRenderedPageBreak/>
        <w:t>95 </w:t>
      </w:r>
      <w:r w:rsidRPr="006B24DA">
        <w:rPr>
          <w:b/>
          <w:bCs/>
          <w:noProof/>
          <w:szCs w:val="24"/>
        </w:rPr>
        <w:t>Shimizu T</w:t>
      </w:r>
      <w:r w:rsidRPr="006B24DA">
        <w:rPr>
          <w:bCs/>
          <w:noProof/>
          <w:szCs w:val="24"/>
        </w:rPr>
        <w:t>,</w:t>
      </w:r>
      <w:r w:rsidRPr="006B24DA">
        <w:rPr>
          <w:noProof/>
          <w:szCs w:val="24"/>
        </w:rPr>
        <w:t xml:space="preserve"> Samarasena J, Fortinsky KJ, Chin M, Chang KJ. Efficacy, tolerance, and safety of Hybrid Argon Plasma Coagulation for the treatment of Barrett's Esophagus: A single center pilot study. </w:t>
      </w:r>
      <w:r w:rsidRPr="006B24DA">
        <w:rPr>
          <w:i/>
          <w:noProof/>
          <w:szCs w:val="24"/>
        </w:rPr>
        <w:t>Gastroinest Endosc</w:t>
      </w:r>
      <w:r w:rsidRPr="006B24DA">
        <w:rPr>
          <w:noProof/>
          <w:szCs w:val="24"/>
        </w:rPr>
        <w:t xml:space="preserve"> 2018; </w:t>
      </w:r>
      <w:r w:rsidRPr="006B24DA">
        <w:rPr>
          <w:b/>
          <w:noProof/>
          <w:szCs w:val="24"/>
        </w:rPr>
        <w:t>87</w:t>
      </w:r>
      <w:r w:rsidRPr="006B24DA">
        <w:rPr>
          <w:noProof/>
          <w:szCs w:val="24"/>
        </w:rPr>
        <w:t>: AB292</w:t>
      </w:r>
    </w:p>
    <w:p w14:paraId="40DC8A3E" w14:textId="0FD88E7D"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96 </w:t>
      </w:r>
      <w:r w:rsidRPr="006B24DA">
        <w:rPr>
          <w:b/>
          <w:bCs/>
          <w:noProof/>
          <w:szCs w:val="24"/>
        </w:rPr>
        <w:t>Draganov PV</w:t>
      </w:r>
      <w:r w:rsidRPr="006B24DA">
        <w:rPr>
          <w:noProof/>
          <w:szCs w:val="24"/>
        </w:rPr>
        <w:t>, Wang AY, Othman MO, Fukami N. American Gastroenterological Association Institute Clinical Practice Update: Endoscopic Submucosal Dissection in the United States. </w:t>
      </w:r>
      <w:r w:rsidRPr="006B24DA">
        <w:rPr>
          <w:i/>
          <w:iCs/>
          <w:noProof/>
          <w:szCs w:val="24"/>
        </w:rPr>
        <w:t>Clin Gastroenterol Hepatol</w:t>
      </w:r>
      <w:r w:rsidRPr="006B24DA">
        <w:rPr>
          <w:noProof/>
          <w:szCs w:val="24"/>
        </w:rPr>
        <w:t> 2018; Epub ahead of print [PMID: 30077787 DOI: 10.1016/j.cgh.2018.07.041]</w:t>
      </w:r>
    </w:p>
    <w:p w14:paraId="67B04144"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97 </w:t>
      </w:r>
      <w:r w:rsidRPr="006B24DA">
        <w:rPr>
          <w:b/>
          <w:bCs/>
          <w:noProof/>
          <w:szCs w:val="24"/>
        </w:rPr>
        <w:t>Probst A</w:t>
      </w:r>
      <w:r w:rsidRPr="006B24DA">
        <w:rPr>
          <w:noProof/>
          <w:szCs w:val="24"/>
        </w:rPr>
        <w:t>, Aust D, Märkl B, Anthuber M, Messmann H. Early esophageal cancer in Europe: endoscopic treatment by endoscopic submucosal dissection. </w:t>
      </w:r>
      <w:r w:rsidRPr="006B24DA">
        <w:rPr>
          <w:i/>
          <w:iCs/>
          <w:noProof/>
          <w:szCs w:val="24"/>
        </w:rPr>
        <w:t>Endoscopy</w:t>
      </w:r>
      <w:r w:rsidRPr="006B24DA">
        <w:rPr>
          <w:noProof/>
          <w:szCs w:val="24"/>
        </w:rPr>
        <w:t> 2015; </w:t>
      </w:r>
      <w:r w:rsidRPr="006B24DA">
        <w:rPr>
          <w:b/>
          <w:bCs/>
          <w:noProof/>
          <w:szCs w:val="24"/>
        </w:rPr>
        <w:t>47</w:t>
      </w:r>
      <w:r w:rsidRPr="006B24DA">
        <w:rPr>
          <w:noProof/>
          <w:szCs w:val="24"/>
        </w:rPr>
        <w:t>: 113-121 [PMID: 25479563 DOI: 10.1055/s-0034-1391086]</w:t>
      </w:r>
    </w:p>
    <w:p w14:paraId="6FC4B840"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98 </w:t>
      </w:r>
      <w:r w:rsidRPr="006B24DA">
        <w:rPr>
          <w:b/>
          <w:bCs/>
          <w:noProof/>
          <w:szCs w:val="24"/>
        </w:rPr>
        <w:t>Shimizu T</w:t>
      </w:r>
      <w:r w:rsidRPr="006B24DA">
        <w:rPr>
          <w:noProof/>
          <w:szCs w:val="24"/>
        </w:rPr>
        <w:t>, Fujisaki J, Omae M, Yamasaki A, Horiuchi Y, Ishiyama A, Yoshio T, Hirasawa T, Yamamoto Y, Tsuchida T. Treatment Outcomes of Endoscopic Submucosal Dissection for Adenocarcinoma Originating from Long-Segment Barrett's Esophagus versus Short-Segment Barrett's Esophagus. </w:t>
      </w:r>
      <w:r w:rsidRPr="006B24DA">
        <w:rPr>
          <w:i/>
          <w:iCs/>
          <w:noProof/>
          <w:szCs w:val="24"/>
        </w:rPr>
        <w:t>Digestion</w:t>
      </w:r>
      <w:r w:rsidRPr="006B24DA">
        <w:rPr>
          <w:noProof/>
          <w:szCs w:val="24"/>
        </w:rPr>
        <w:t> 2018; </w:t>
      </w:r>
      <w:r w:rsidRPr="006B24DA">
        <w:rPr>
          <w:b/>
          <w:bCs/>
          <w:noProof/>
          <w:szCs w:val="24"/>
        </w:rPr>
        <w:t>97</w:t>
      </w:r>
      <w:r w:rsidRPr="006B24DA">
        <w:rPr>
          <w:noProof/>
          <w:szCs w:val="24"/>
        </w:rPr>
        <w:t>: 316-323 [PMID: 29539629 DOI: 10.1159/000486197]</w:t>
      </w:r>
    </w:p>
    <w:p w14:paraId="68DD5453"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99 </w:t>
      </w:r>
      <w:r w:rsidRPr="006B24DA">
        <w:rPr>
          <w:b/>
          <w:bCs/>
          <w:noProof/>
          <w:szCs w:val="24"/>
        </w:rPr>
        <w:t>Wang J</w:t>
      </w:r>
      <w:r w:rsidRPr="006B24DA">
        <w:rPr>
          <w:noProof/>
          <w:szCs w:val="24"/>
        </w:rPr>
        <w:t>, Zhu XN, Zhu LL, Chen W, Ma YH, Gan T, Yang JL. Efficacy and safety of endoscopic submucosal tunnel dissection for superficial esophageal squamous cell carcinoma and precancerous lesions. </w:t>
      </w:r>
      <w:r w:rsidRPr="006B24DA">
        <w:rPr>
          <w:i/>
          <w:iCs/>
          <w:noProof/>
          <w:szCs w:val="24"/>
        </w:rPr>
        <w:t>World J Gastroenterol</w:t>
      </w:r>
      <w:r w:rsidRPr="006B24DA">
        <w:rPr>
          <w:noProof/>
          <w:szCs w:val="24"/>
        </w:rPr>
        <w:t> 2018; </w:t>
      </w:r>
      <w:r w:rsidRPr="006B24DA">
        <w:rPr>
          <w:b/>
          <w:bCs/>
          <w:noProof/>
          <w:szCs w:val="24"/>
        </w:rPr>
        <w:t>24</w:t>
      </w:r>
      <w:r w:rsidRPr="006B24DA">
        <w:rPr>
          <w:noProof/>
          <w:szCs w:val="24"/>
        </w:rPr>
        <w:t>: 2878-2885 [PMID: 30018482 DOI: 10.3748/wjg.v24.i26.2878]</w:t>
      </w:r>
    </w:p>
    <w:p w14:paraId="0DF8F5B5"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100 </w:t>
      </w:r>
      <w:r w:rsidRPr="006B24DA">
        <w:rPr>
          <w:b/>
          <w:bCs/>
          <w:noProof/>
          <w:szCs w:val="24"/>
        </w:rPr>
        <w:t>Xie X</w:t>
      </w:r>
      <w:r w:rsidRPr="006B24DA">
        <w:rPr>
          <w:noProof/>
          <w:szCs w:val="24"/>
        </w:rPr>
        <w:t>, Bai JY, Fan CQ, Yang X, Zhao XY, Dong H, Yang SM, Yu J. Application of clip traction in endoscopic submucosal dissection to the treatment of early esophageal carcinoma and precancerous lesions. </w:t>
      </w:r>
      <w:r w:rsidRPr="006B24DA">
        <w:rPr>
          <w:i/>
          <w:iCs/>
          <w:noProof/>
          <w:szCs w:val="24"/>
        </w:rPr>
        <w:t>Surg Endosc</w:t>
      </w:r>
      <w:r w:rsidRPr="006B24DA">
        <w:rPr>
          <w:noProof/>
          <w:szCs w:val="24"/>
        </w:rPr>
        <w:t> 2017; </w:t>
      </w:r>
      <w:r w:rsidRPr="006B24DA">
        <w:rPr>
          <w:b/>
          <w:bCs/>
          <w:noProof/>
          <w:szCs w:val="24"/>
        </w:rPr>
        <w:t>31</w:t>
      </w:r>
      <w:r w:rsidRPr="006B24DA">
        <w:rPr>
          <w:noProof/>
          <w:szCs w:val="24"/>
        </w:rPr>
        <w:t>: 462-468 [PMID: 27126625 DOI: 10.1007/s00464-016-4939-1]</w:t>
      </w:r>
    </w:p>
    <w:p w14:paraId="22F6D668"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101 </w:t>
      </w:r>
      <w:r w:rsidRPr="006B24DA">
        <w:rPr>
          <w:b/>
          <w:bCs/>
          <w:noProof/>
          <w:szCs w:val="24"/>
        </w:rPr>
        <w:t>Jin P</w:t>
      </w:r>
      <w:r w:rsidRPr="006B24DA">
        <w:rPr>
          <w:noProof/>
          <w:szCs w:val="24"/>
        </w:rPr>
        <w:t>, Fu KI, Yu Y, He YQ, Wei Z, Wang X, Cai Q, Sheng JQ. Traction using a clip-with-line is a preferred method for trainees in performing esophageal endoscopic submucosal dissection: an animal model study. </w:t>
      </w:r>
      <w:r w:rsidRPr="006B24DA">
        <w:rPr>
          <w:i/>
          <w:iCs/>
          <w:noProof/>
          <w:szCs w:val="24"/>
        </w:rPr>
        <w:t>Therap Adv Gastroenterol</w:t>
      </w:r>
      <w:r w:rsidRPr="006B24DA">
        <w:rPr>
          <w:noProof/>
          <w:szCs w:val="24"/>
        </w:rPr>
        <w:t> 2017; </w:t>
      </w:r>
      <w:r w:rsidRPr="006B24DA">
        <w:rPr>
          <w:b/>
          <w:bCs/>
          <w:noProof/>
          <w:szCs w:val="24"/>
        </w:rPr>
        <w:t>10</w:t>
      </w:r>
      <w:r w:rsidRPr="006B24DA">
        <w:rPr>
          <w:noProof/>
          <w:szCs w:val="24"/>
        </w:rPr>
        <w:t>: 343-351 [PMID: 28491139 DOI: 10.1177/1756283X16687926]</w:t>
      </w:r>
    </w:p>
    <w:p w14:paraId="728C095A"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lastRenderedPageBreak/>
        <w:t>102 </w:t>
      </w:r>
      <w:r w:rsidRPr="006B24DA">
        <w:rPr>
          <w:b/>
          <w:bCs/>
          <w:noProof/>
          <w:szCs w:val="24"/>
        </w:rPr>
        <w:t>Baldaque-Silva F</w:t>
      </w:r>
      <w:r w:rsidRPr="006B24DA">
        <w:rPr>
          <w:noProof/>
          <w:szCs w:val="24"/>
        </w:rPr>
        <w:t>, Vilas-Boas F, Velosa M, Macedo G. Endoscopic submucosal dissection of gastric lesions using the "yo-yo technique". </w:t>
      </w:r>
      <w:r w:rsidRPr="006B24DA">
        <w:rPr>
          <w:i/>
          <w:iCs/>
          <w:noProof/>
          <w:szCs w:val="24"/>
        </w:rPr>
        <w:t>Endoscopy</w:t>
      </w:r>
      <w:r w:rsidRPr="006B24DA">
        <w:rPr>
          <w:noProof/>
          <w:szCs w:val="24"/>
        </w:rPr>
        <w:t> 2013; </w:t>
      </w:r>
      <w:r w:rsidRPr="006B24DA">
        <w:rPr>
          <w:b/>
          <w:bCs/>
          <w:noProof/>
          <w:szCs w:val="24"/>
        </w:rPr>
        <w:t>45</w:t>
      </w:r>
      <w:r w:rsidRPr="006B24DA">
        <w:rPr>
          <w:noProof/>
          <w:szCs w:val="24"/>
        </w:rPr>
        <w:t>: 218-221 [PMID: 23212725 DOI: 10.1055/s-0032-1325868]</w:t>
      </w:r>
    </w:p>
    <w:p w14:paraId="014FBD08"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103 </w:t>
      </w:r>
      <w:r w:rsidRPr="006B24DA">
        <w:rPr>
          <w:b/>
          <w:bCs/>
          <w:noProof/>
          <w:szCs w:val="24"/>
        </w:rPr>
        <w:t>Qin Z</w:t>
      </w:r>
      <w:r w:rsidRPr="006B24DA">
        <w:rPr>
          <w:noProof/>
          <w:szCs w:val="24"/>
        </w:rPr>
        <w:t>, Linghu EQ. Endoscopic submucosal dissection of gastric lesions using the "yo-yo technique". </w:t>
      </w:r>
      <w:r w:rsidRPr="006B24DA">
        <w:rPr>
          <w:i/>
          <w:iCs/>
          <w:noProof/>
          <w:szCs w:val="24"/>
        </w:rPr>
        <w:t>Endoscopy</w:t>
      </w:r>
      <w:r w:rsidRPr="006B24DA">
        <w:rPr>
          <w:noProof/>
          <w:szCs w:val="24"/>
        </w:rPr>
        <w:t> 2013; </w:t>
      </w:r>
      <w:r w:rsidRPr="006B24DA">
        <w:rPr>
          <w:b/>
          <w:bCs/>
          <w:noProof/>
          <w:szCs w:val="24"/>
        </w:rPr>
        <w:t>45</w:t>
      </w:r>
      <w:r w:rsidRPr="006B24DA">
        <w:rPr>
          <w:noProof/>
          <w:szCs w:val="24"/>
        </w:rPr>
        <w:t>: 853 [PMID: 24068590 DOI: 10.1055/s-0033-1344226]</w:t>
      </w:r>
    </w:p>
    <w:p w14:paraId="6B138EC8"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104 </w:t>
      </w:r>
      <w:r w:rsidRPr="006B24DA">
        <w:rPr>
          <w:b/>
          <w:bCs/>
          <w:noProof/>
          <w:szCs w:val="24"/>
        </w:rPr>
        <w:t>Cai MY</w:t>
      </w:r>
      <w:r w:rsidRPr="006B24DA">
        <w:rPr>
          <w:noProof/>
          <w:szCs w:val="24"/>
        </w:rPr>
        <w:t>, Zhu BQ, Xu MD, Qin WZ, Zhang YQ, Chen WF, Ooi M, Li QL, Yao LQ, Zhou PH. Submucosal tunnel endoscopic resection for extraluminal tumors: a novel endoscopic method for en bloc resection of predominant extraluminal growing subepithelial tumors or extra-gastrointestinal tumors (with videos). </w:t>
      </w:r>
      <w:r w:rsidRPr="006B24DA">
        <w:rPr>
          <w:i/>
          <w:iCs/>
          <w:noProof/>
          <w:szCs w:val="24"/>
        </w:rPr>
        <w:t>Gastrointest Endosc</w:t>
      </w:r>
      <w:r w:rsidRPr="006B24DA">
        <w:rPr>
          <w:noProof/>
          <w:szCs w:val="24"/>
        </w:rPr>
        <w:t> 2018; </w:t>
      </w:r>
      <w:r w:rsidRPr="006B24DA">
        <w:rPr>
          <w:b/>
          <w:bCs/>
          <w:noProof/>
          <w:szCs w:val="24"/>
        </w:rPr>
        <w:t>88</w:t>
      </w:r>
      <w:r w:rsidRPr="006B24DA">
        <w:rPr>
          <w:noProof/>
          <w:szCs w:val="24"/>
        </w:rPr>
        <w:t>: 160-167 [PMID: 29499127 DOI: 10.1016/j.gie.2018.02.032]</w:t>
      </w:r>
    </w:p>
    <w:p w14:paraId="6859754F"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105 </w:t>
      </w:r>
      <w:r w:rsidRPr="006B24DA">
        <w:rPr>
          <w:b/>
          <w:bCs/>
          <w:noProof/>
          <w:szCs w:val="24"/>
        </w:rPr>
        <w:t>Chiu PW</w:t>
      </w:r>
      <w:r w:rsidRPr="006B24DA">
        <w:rPr>
          <w:noProof/>
          <w:szCs w:val="24"/>
        </w:rPr>
        <w:t>, Inoue H, Rösch T. From POEM to POET: Applications and perspectives for submucosal tunnel endoscopy. </w:t>
      </w:r>
      <w:r w:rsidRPr="006B24DA">
        <w:rPr>
          <w:i/>
          <w:iCs/>
          <w:noProof/>
          <w:szCs w:val="24"/>
        </w:rPr>
        <w:t>Endoscopy</w:t>
      </w:r>
      <w:r w:rsidRPr="006B24DA">
        <w:rPr>
          <w:noProof/>
          <w:szCs w:val="24"/>
        </w:rPr>
        <w:t> 2016; </w:t>
      </w:r>
      <w:r w:rsidRPr="006B24DA">
        <w:rPr>
          <w:b/>
          <w:bCs/>
          <w:noProof/>
          <w:szCs w:val="24"/>
        </w:rPr>
        <w:t>48</w:t>
      </w:r>
      <w:r w:rsidRPr="006B24DA">
        <w:rPr>
          <w:noProof/>
          <w:szCs w:val="24"/>
        </w:rPr>
        <w:t>: 1134-1142 [PMID: 27855465 DOI: 10.1055/s-0042-119395]</w:t>
      </w:r>
    </w:p>
    <w:p w14:paraId="4AF6373C"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106 </w:t>
      </w:r>
      <w:r w:rsidRPr="006B24DA">
        <w:rPr>
          <w:b/>
          <w:bCs/>
          <w:noProof/>
          <w:szCs w:val="24"/>
        </w:rPr>
        <w:t>Eleftheriadis N</w:t>
      </w:r>
      <w:r w:rsidRPr="006B24DA">
        <w:rPr>
          <w:noProof/>
          <w:szCs w:val="24"/>
        </w:rPr>
        <w:t>, Inoue H, Ikeda H, Onimaru M, Maselli R, Santi G. Submucosal tunnel endoscopy: Peroral endoscopic myotomy and peroral endoscopic tumor resection. </w:t>
      </w:r>
      <w:r w:rsidRPr="006B24DA">
        <w:rPr>
          <w:i/>
          <w:iCs/>
          <w:noProof/>
          <w:szCs w:val="24"/>
        </w:rPr>
        <w:t>World J Gastrointest Endosc</w:t>
      </w:r>
      <w:r w:rsidRPr="006B24DA">
        <w:rPr>
          <w:noProof/>
          <w:szCs w:val="24"/>
        </w:rPr>
        <w:t> 2016; </w:t>
      </w:r>
      <w:r w:rsidRPr="006B24DA">
        <w:rPr>
          <w:b/>
          <w:bCs/>
          <w:noProof/>
          <w:szCs w:val="24"/>
        </w:rPr>
        <w:t>8</w:t>
      </w:r>
      <w:r w:rsidRPr="006B24DA">
        <w:rPr>
          <w:noProof/>
          <w:szCs w:val="24"/>
        </w:rPr>
        <w:t>: 86-103 [PMID: 26839649 DOI: 10.4253/wjge.v8.i2.86]</w:t>
      </w:r>
    </w:p>
    <w:p w14:paraId="62B1C2F9"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107 </w:t>
      </w:r>
      <w:r w:rsidRPr="006B24DA">
        <w:rPr>
          <w:b/>
          <w:bCs/>
          <w:noProof/>
          <w:szCs w:val="24"/>
        </w:rPr>
        <w:t>Tang X</w:t>
      </w:r>
      <w:r w:rsidRPr="006B24DA">
        <w:rPr>
          <w:noProof/>
          <w:szCs w:val="24"/>
        </w:rPr>
        <w:t>, Ren Y, Huang S, Gao Q, Zhou J, Wei Z, Jiang B, Gong W. Endoscopic Submucosal Tunnel Dissection for Upper Gastrointestinal Submucosal Tumors Originating from the Muscularis Propria Layer: A Single-Center Study. </w:t>
      </w:r>
      <w:r w:rsidRPr="006B24DA">
        <w:rPr>
          <w:i/>
          <w:iCs/>
          <w:noProof/>
          <w:szCs w:val="24"/>
        </w:rPr>
        <w:t>Gut Liver</w:t>
      </w:r>
      <w:r w:rsidRPr="006B24DA">
        <w:rPr>
          <w:noProof/>
          <w:szCs w:val="24"/>
        </w:rPr>
        <w:t> 2017; </w:t>
      </w:r>
      <w:r w:rsidRPr="006B24DA">
        <w:rPr>
          <w:b/>
          <w:bCs/>
          <w:noProof/>
          <w:szCs w:val="24"/>
        </w:rPr>
        <w:t>11</w:t>
      </w:r>
      <w:r w:rsidRPr="006B24DA">
        <w:rPr>
          <w:noProof/>
          <w:szCs w:val="24"/>
        </w:rPr>
        <w:t>: 620-627 [PMID: 28335098 DOI: 10.5009/gnl15424]</w:t>
      </w:r>
    </w:p>
    <w:p w14:paraId="5891C3EA"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108 </w:t>
      </w:r>
      <w:r w:rsidRPr="006B24DA">
        <w:rPr>
          <w:b/>
          <w:bCs/>
          <w:noProof/>
          <w:szCs w:val="24"/>
        </w:rPr>
        <w:t>Wang KK</w:t>
      </w:r>
      <w:r w:rsidRPr="006B24DA">
        <w:rPr>
          <w:noProof/>
          <w:szCs w:val="24"/>
        </w:rPr>
        <w:t>, Carr-Locke DL, Singh SK, Neumann H, Bertani H, Galmiche JP, Arsenescu RI, Caillol F, Chang KJ, Chaussade S, Coron E, Costamagna G, Dlugosz A, Ian Gan S, Giovannini M, Gress FG, Haluszka O, Ho KY, Kahaleh M, Konda VJ, Prat F, Shah RJ, Sharma P, Slivka A, Wolfsen HC, Zfass A. Use of probe-based confocal laser endomicroscopy (pCLE) in gastrointestinal applications. A consensus report based on clinical evidence. </w:t>
      </w:r>
      <w:r w:rsidRPr="006B24DA">
        <w:rPr>
          <w:i/>
          <w:iCs/>
          <w:noProof/>
          <w:szCs w:val="24"/>
        </w:rPr>
        <w:t>United European Gastroenterol J</w:t>
      </w:r>
      <w:r w:rsidRPr="006B24DA">
        <w:rPr>
          <w:noProof/>
          <w:szCs w:val="24"/>
        </w:rPr>
        <w:t> 2015; </w:t>
      </w:r>
      <w:r w:rsidRPr="006B24DA">
        <w:rPr>
          <w:b/>
          <w:bCs/>
          <w:noProof/>
          <w:szCs w:val="24"/>
        </w:rPr>
        <w:t>3</w:t>
      </w:r>
      <w:r w:rsidRPr="006B24DA">
        <w:rPr>
          <w:noProof/>
          <w:szCs w:val="24"/>
        </w:rPr>
        <w:t>: 230-254 [PMID: 26137298 DOI: 10.1177/2050640614566066]</w:t>
      </w:r>
    </w:p>
    <w:p w14:paraId="6B15D2B4"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lastRenderedPageBreak/>
        <w:t>109 </w:t>
      </w:r>
      <w:r w:rsidRPr="006B24DA">
        <w:rPr>
          <w:b/>
          <w:bCs/>
          <w:noProof/>
          <w:szCs w:val="24"/>
        </w:rPr>
        <w:t>Jayasekera C</w:t>
      </w:r>
      <w:r w:rsidRPr="006B24DA">
        <w:rPr>
          <w:noProof/>
          <w:szCs w:val="24"/>
        </w:rPr>
        <w:t>, Taylor AC, Desmond PV, Macrae F, Williams R. Added value of narrow band imaging and confocal laser endomicroscopy in detecting Barrett's esophagus neoplasia. </w:t>
      </w:r>
      <w:r w:rsidRPr="006B24DA">
        <w:rPr>
          <w:i/>
          <w:iCs/>
          <w:noProof/>
          <w:szCs w:val="24"/>
        </w:rPr>
        <w:t>Endoscopy</w:t>
      </w:r>
      <w:r w:rsidRPr="006B24DA">
        <w:rPr>
          <w:noProof/>
          <w:szCs w:val="24"/>
        </w:rPr>
        <w:t> 2012; </w:t>
      </w:r>
      <w:r w:rsidRPr="006B24DA">
        <w:rPr>
          <w:b/>
          <w:bCs/>
          <w:noProof/>
          <w:szCs w:val="24"/>
        </w:rPr>
        <w:t>44</w:t>
      </w:r>
      <w:r w:rsidRPr="006B24DA">
        <w:rPr>
          <w:noProof/>
          <w:szCs w:val="24"/>
        </w:rPr>
        <w:t>: 1089-1095 [PMID: 23188660 DOI: 10.1055/s-0032-1325734]</w:t>
      </w:r>
    </w:p>
    <w:p w14:paraId="3F413668" w14:textId="58896573"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110 </w:t>
      </w:r>
      <w:r w:rsidRPr="006B24DA">
        <w:rPr>
          <w:b/>
          <w:bCs/>
          <w:noProof/>
          <w:szCs w:val="24"/>
        </w:rPr>
        <w:t>Caillol F</w:t>
      </w:r>
      <w:r w:rsidRPr="006B24DA">
        <w:rPr>
          <w:noProof/>
          <w:szCs w:val="24"/>
        </w:rPr>
        <w:t>, Godat S, Poizat F, Auttret A, Pesenti C, Bories E, Ratone JP, Giovannini M. Probe confocal laser endomicroscopy in the therapeutic endoscopic management of Barrett's dysplasia. </w:t>
      </w:r>
      <w:r w:rsidRPr="006B24DA">
        <w:rPr>
          <w:i/>
          <w:iCs/>
          <w:noProof/>
          <w:szCs w:val="24"/>
        </w:rPr>
        <w:t xml:space="preserve">Ann Gastroenterol </w:t>
      </w:r>
      <w:r w:rsidRPr="006B24DA">
        <w:rPr>
          <w:noProof/>
          <w:szCs w:val="24"/>
        </w:rPr>
        <w:t>2017; </w:t>
      </w:r>
      <w:r w:rsidRPr="006B24DA">
        <w:rPr>
          <w:b/>
          <w:bCs/>
          <w:noProof/>
          <w:szCs w:val="24"/>
        </w:rPr>
        <w:t>30</w:t>
      </w:r>
      <w:r w:rsidRPr="006B24DA">
        <w:rPr>
          <w:noProof/>
          <w:szCs w:val="24"/>
        </w:rPr>
        <w:t>: 295-301 [PMID: 28469359 DOI: 10.20524/aog.2017.0138]</w:t>
      </w:r>
    </w:p>
    <w:p w14:paraId="43D106BA"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111 </w:t>
      </w:r>
      <w:r w:rsidRPr="006B24DA">
        <w:rPr>
          <w:b/>
          <w:bCs/>
          <w:noProof/>
          <w:szCs w:val="24"/>
        </w:rPr>
        <w:t>Gupta A</w:t>
      </w:r>
      <w:r w:rsidRPr="006B24DA">
        <w:rPr>
          <w:noProof/>
          <w:szCs w:val="24"/>
        </w:rPr>
        <w:t>, Attar BM, Koduru P, Murali AR, Go BT, Agarwal R. Utility of confocal laser endomicroscopy in identifying high-grade dysplasia and adenocarcinoma in Barrett's esophagus: a systematic review and meta-analysis. </w:t>
      </w:r>
      <w:r w:rsidRPr="006B24DA">
        <w:rPr>
          <w:i/>
          <w:iCs/>
          <w:noProof/>
          <w:szCs w:val="24"/>
        </w:rPr>
        <w:t>Eur J Gastroenterol Hepatol</w:t>
      </w:r>
      <w:r w:rsidRPr="006B24DA">
        <w:rPr>
          <w:noProof/>
          <w:szCs w:val="24"/>
        </w:rPr>
        <w:t> 2014; </w:t>
      </w:r>
      <w:r w:rsidRPr="006B24DA">
        <w:rPr>
          <w:b/>
          <w:bCs/>
          <w:noProof/>
          <w:szCs w:val="24"/>
        </w:rPr>
        <w:t>26</w:t>
      </w:r>
      <w:r w:rsidRPr="006B24DA">
        <w:rPr>
          <w:noProof/>
          <w:szCs w:val="24"/>
        </w:rPr>
        <w:t>: 369-377 [PMID: 24535597 DOI: 10.1097/MEG.0000000000000057]</w:t>
      </w:r>
    </w:p>
    <w:p w14:paraId="44FBEA55"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112 </w:t>
      </w:r>
      <w:r w:rsidRPr="006B24DA">
        <w:rPr>
          <w:b/>
          <w:bCs/>
          <w:noProof/>
          <w:szCs w:val="24"/>
        </w:rPr>
        <w:t>Bertani H</w:t>
      </w:r>
      <w:r w:rsidRPr="006B24DA">
        <w:rPr>
          <w:noProof/>
          <w:szCs w:val="24"/>
        </w:rPr>
        <w:t>, Frazzoni M, Dabizzi E, Pigò F, Losi L, Manno M, Manta R, Bassotti G, Conigliaro R. Improved detection of incident dysplasia by probe-based confocal laser endomicroscopy in a Barrett's esophagus surveillance program. </w:t>
      </w:r>
      <w:r w:rsidRPr="006B24DA">
        <w:rPr>
          <w:i/>
          <w:iCs/>
          <w:noProof/>
          <w:szCs w:val="24"/>
        </w:rPr>
        <w:t>Dig Dis Sci</w:t>
      </w:r>
      <w:r w:rsidRPr="006B24DA">
        <w:rPr>
          <w:noProof/>
          <w:szCs w:val="24"/>
        </w:rPr>
        <w:t> 2013; </w:t>
      </w:r>
      <w:r w:rsidRPr="006B24DA">
        <w:rPr>
          <w:b/>
          <w:bCs/>
          <w:noProof/>
          <w:szCs w:val="24"/>
        </w:rPr>
        <w:t>58</w:t>
      </w:r>
      <w:r w:rsidRPr="006B24DA">
        <w:rPr>
          <w:noProof/>
          <w:szCs w:val="24"/>
        </w:rPr>
        <w:t>: 188-193 [PMID: 22875309 DOI: 10.1007/s10620-012-2332-z]</w:t>
      </w:r>
    </w:p>
    <w:p w14:paraId="0F5993C7"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113 </w:t>
      </w:r>
      <w:r w:rsidRPr="006B24DA">
        <w:rPr>
          <w:b/>
          <w:bCs/>
          <w:noProof/>
          <w:szCs w:val="24"/>
        </w:rPr>
        <w:t>Gaddam S</w:t>
      </w:r>
      <w:r w:rsidRPr="006B24DA">
        <w:rPr>
          <w:noProof/>
          <w:szCs w:val="24"/>
        </w:rPr>
        <w:t>, Mathur SC, Singh M, Arora J, Wani SB, Gupta N, Overhiser A, Rastogi A, Singh V, Desai N, Hall SB, Bansal A, Sharma P. Novel probe-based confocal laser endomicroscopy criteria and interobserver agreement for the detection of dysplasia in Barrett's esophagus. </w:t>
      </w:r>
      <w:r w:rsidRPr="006B24DA">
        <w:rPr>
          <w:i/>
          <w:iCs/>
          <w:noProof/>
          <w:szCs w:val="24"/>
        </w:rPr>
        <w:t>Am J Gastroenterol</w:t>
      </w:r>
      <w:r w:rsidRPr="006B24DA">
        <w:rPr>
          <w:noProof/>
          <w:szCs w:val="24"/>
        </w:rPr>
        <w:t> 2011; </w:t>
      </w:r>
      <w:r w:rsidRPr="006B24DA">
        <w:rPr>
          <w:b/>
          <w:bCs/>
          <w:noProof/>
          <w:szCs w:val="24"/>
        </w:rPr>
        <w:t>106</w:t>
      </w:r>
      <w:r w:rsidRPr="006B24DA">
        <w:rPr>
          <w:noProof/>
          <w:szCs w:val="24"/>
        </w:rPr>
        <w:t>: 1961-1969 [PMID: 21946283 DOI: 10.1038/ajg.2011.294]</w:t>
      </w:r>
    </w:p>
    <w:p w14:paraId="7A86E50C"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114 </w:t>
      </w:r>
      <w:r w:rsidRPr="006B24DA">
        <w:rPr>
          <w:b/>
          <w:bCs/>
          <w:noProof/>
          <w:szCs w:val="24"/>
        </w:rPr>
        <w:t>Canto MI</w:t>
      </w:r>
      <w:r w:rsidRPr="006B24DA">
        <w:rPr>
          <w:noProof/>
          <w:szCs w:val="24"/>
        </w:rPr>
        <w:t>, Anandasabapathy S, Brugge W, Falk GW, Dunbar KB, Zhang Z, Woods K, Almario JA, Schell U, Goldblum J, Maitra A, Montgomery E, Kiesslich R; Confocal Endomicroscopy for Barrett's Esophagus or Confocal Endomicroscopy for Barrett's Esophagus (CEBE) Trial Group. In vivo endomicroscopy improves detection of Barrett's esophagus-related neoplasia: a multicenter international randomized controlled trial (with video). </w:t>
      </w:r>
      <w:r w:rsidRPr="006B24DA">
        <w:rPr>
          <w:i/>
          <w:iCs/>
          <w:noProof/>
          <w:szCs w:val="24"/>
        </w:rPr>
        <w:t>Gastrointest Endosc</w:t>
      </w:r>
      <w:r w:rsidRPr="006B24DA">
        <w:rPr>
          <w:noProof/>
          <w:szCs w:val="24"/>
        </w:rPr>
        <w:t> 2014; </w:t>
      </w:r>
      <w:r w:rsidRPr="006B24DA">
        <w:rPr>
          <w:b/>
          <w:bCs/>
          <w:noProof/>
          <w:szCs w:val="24"/>
        </w:rPr>
        <w:t>79</w:t>
      </w:r>
      <w:r w:rsidRPr="006B24DA">
        <w:rPr>
          <w:noProof/>
          <w:szCs w:val="24"/>
        </w:rPr>
        <w:t>: 211-221 [PMID: 24219822 DOI: 10.1016/j.gie.2013.09.020]</w:t>
      </w:r>
    </w:p>
    <w:p w14:paraId="240E0090"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lastRenderedPageBreak/>
        <w:t>115 </w:t>
      </w:r>
      <w:r w:rsidRPr="006B24DA">
        <w:rPr>
          <w:b/>
          <w:bCs/>
          <w:noProof/>
          <w:szCs w:val="24"/>
        </w:rPr>
        <w:t>Fugazza A</w:t>
      </w:r>
      <w:r w:rsidRPr="006B24DA">
        <w:rPr>
          <w:noProof/>
          <w:szCs w:val="24"/>
        </w:rPr>
        <w:t>, Gaiani F, Carra MC, Brunetti F, Lévy M, Sobhani I, Azoulay D, Catena F, de'Angelis GL, de'Angelis N. Confocal Laser Endomicroscopy in Gastrointestinal and Pancreatobiliary Diseases: A Systematic Review and Meta-Analysis. </w:t>
      </w:r>
      <w:r w:rsidRPr="006B24DA">
        <w:rPr>
          <w:i/>
          <w:iCs/>
          <w:noProof/>
          <w:szCs w:val="24"/>
        </w:rPr>
        <w:t>Biomed Res Int</w:t>
      </w:r>
      <w:r w:rsidRPr="006B24DA">
        <w:rPr>
          <w:noProof/>
          <w:szCs w:val="24"/>
        </w:rPr>
        <w:t> 2016; </w:t>
      </w:r>
      <w:r w:rsidRPr="006B24DA">
        <w:rPr>
          <w:b/>
          <w:bCs/>
          <w:noProof/>
          <w:szCs w:val="24"/>
        </w:rPr>
        <w:t>2016</w:t>
      </w:r>
      <w:r w:rsidRPr="006B24DA">
        <w:rPr>
          <w:noProof/>
          <w:szCs w:val="24"/>
        </w:rPr>
        <w:t>: 4638683 [PMID: 26989684 DOI: 10.1155/2016/4638683]</w:t>
      </w:r>
    </w:p>
    <w:p w14:paraId="483849E3"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116 </w:t>
      </w:r>
      <w:r w:rsidRPr="006B24DA">
        <w:rPr>
          <w:b/>
          <w:bCs/>
          <w:noProof/>
          <w:szCs w:val="24"/>
        </w:rPr>
        <w:t>Nguyen VX</w:t>
      </w:r>
      <w:r w:rsidRPr="006B24DA">
        <w:rPr>
          <w:noProof/>
          <w:szCs w:val="24"/>
        </w:rPr>
        <w:t>, Nguyen CC, De Petris G, Sharma VK, Das A. Confocal endomicroscopy (CEM) improves efficiency of Barrett surveillance. </w:t>
      </w:r>
      <w:r w:rsidRPr="006B24DA">
        <w:rPr>
          <w:i/>
          <w:iCs/>
          <w:noProof/>
          <w:szCs w:val="24"/>
        </w:rPr>
        <w:t>J Interv Gastroenterol</w:t>
      </w:r>
      <w:r w:rsidRPr="006B24DA">
        <w:rPr>
          <w:noProof/>
          <w:szCs w:val="24"/>
        </w:rPr>
        <w:t> 2012; </w:t>
      </w:r>
      <w:r w:rsidRPr="006B24DA">
        <w:rPr>
          <w:b/>
          <w:bCs/>
          <w:noProof/>
          <w:szCs w:val="24"/>
        </w:rPr>
        <w:t>2</w:t>
      </w:r>
      <w:r w:rsidRPr="006B24DA">
        <w:rPr>
          <w:noProof/>
          <w:szCs w:val="24"/>
        </w:rPr>
        <w:t>: 61-65 [PMID: 23687587 DOI: 10.4161/jig.22175]</w:t>
      </w:r>
    </w:p>
    <w:p w14:paraId="32775E6F"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117 </w:t>
      </w:r>
      <w:r w:rsidRPr="006B24DA">
        <w:rPr>
          <w:b/>
          <w:bCs/>
          <w:noProof/>
          <w:szCs w:val="24"/>
        </w:rPr>
        <w:t>Sharma P</w:t>
      </w:r>
      <w:r w:rsidRPr="006B24DA">
        <w:rPr>
          <w:noProof/>
          <w:szCs w:val="24"/>
        </w:rPr>
        <w:t>, Meining AR, Coron E, Lightdale CJ, Wolfsen HC, Bansal A, Bajbouj M, Galmiche JP, Abrams JA, Rastogi A, Gupta N, Michalek JE, Lauwers GY, Wallace MB. Real-time increased detection of neoplastic tissue in Barrett's esophagus with probe-based confocal laser endomicroscopy: final results of an international multicenter, prospective, randomized, controlled trial. </w:t>
      </w:r>
      <w:r w:rsidRPr="006B24DA">
        <w:rPr>
          <w:i/>
          <w:iCs/>
          <w:noProof/>
          <w:szCs w:val="24"/>
        </w:rPr>
        <w:t>Gastrointest Endosc</w:t>
      </w:r>
      <w:r w:rsidRPr="006B24DA">
        <w:rPr>
          <w:noProof/>
          <w:szCs w:val="24"/>
        </w:rPr>
        <w:t> 2011; </w:t>
      </w:r>
      <w:r w:rsidRPr="006B24DA">
        <w:rPr>
          <w:b/>
          <w:bCs/>
          <w:noProof/>
          <w:szCs w:val="24"/>
        </w:rPr>
        <w:t>74</w:t>
      </w:r>
      <w:r w:rsidRPr="006B24DA">
        <w:rPr>
          <w:noProof/>
          <w:szCs w:val="24"/>
        </w:rPr>
        <w:t>: 465-472 [PMID: 21741642 DOI: 10.1016/j.gie.2011.04.004]</w:t>
      </w:r>
    </w:p>
    <w:p w14:paraId="286EA16A"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118 </w:t>
      </w:r>
      <w:r w:rsidRPr="006B24DA">
        <w:rPr>
          <w:b/>
          <w:bCs/>
          <w:noProof/>
          <w:szCs w:val="24"/>
        </w:rPr>
        <w:t>Samarasena JB</w:t>
      </w:r>
      <w:r w:rsidRPr="006B24DA">
        <w:rPr>
          <w:noProof/>
          <w:szCs w:val="24"/>
        </w:rPr>
        <w:t>, Ahluwalia A, Shinoura S, Choi KD, Lee JG, Chang KJ, Tarnawski AS. In vivo imaging of porcine gastric enteric nervous system using confocal laser endomicroscopy &amp;amp;molecular neuronal probe. </w:t>
      </w:r>
      <w:r w:rsidRPr="006B24DA">
        <w:rPr>
          <w:i/>
          <w:iCs/>
          <w:noProof/>
          <w:szCs w:val="24"/>
        </w:rPr>
        <w:t>J Gastroenterol Hepatol</w:t>
      </w:r>
      <w:r w:rsidRPr="006B24DA">
        <w:rPr>
          <w:noProof/>
          <w:szCs w:val="24"/>
        </w:rPr>
        <w:t> 2016; </w:t>
      </w:r>
      <w:r w:rsidRPr="006B24DA">
        <w:rPr>
          <w:b/>
          <w:bCs/>
          <w:noProof/>
          <w:szCs w:val="24"/>
        </w:rPr>
        <w:t>31</w:t>
      </w:r>
      <w:r w:rsidRPr="006B24DA">
        <w:rPr>
          <w:noProof/>
          <w:szCs w:val="24"/>
        </w:rPr>
        <w:t>: 802-807 [PMID: 26482711 DOI: 10.1111/jgh.13194]</w:t>
      </w:r>
    </w:p>
    <w:p w14:paraId="37333839"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119 </w:t>
      </w:r>
      <w:r w:rsidRPr="006B24DA">
        <w:rPr>
          <w:b/>
          <w:bCs/>
          <w:noProof/>
          <w:szCs w:val="24"/>
        </w:rPr>
        <w:t>Samarasena JB</w:t>
      </w:r>
      <w:r w:rsidRPr="006B24DA">
        <w:rPr>
          <w:noProof/>
          <w:szCs w:val="24"/>
        </w:rPr>
        <w:t>, Tarnawski AS, Ahluwalia A, Shinoura S, Choi KD, Lee JG, Chang KJ. EUS-guided in vivo imaging of the porcine esophageal enteric nervous system by using needle-based confocal laser endomicroscopy. </w:t>
      </w:r>
      <w:r w:rsidRPr="006B24DA">
        <w:rPr>
          <w:i/>
          <w:iCs/>
          <w:noProof/>
          <w:szCs w:val="24"/>
        </w:rPr>
        <w:t>Gastrointest Endosc</w:t>
      </w:r>
      <w:r w:rsidRPr="006B24DA">
        <w:rPr>
          <w:noProof/>
          <w:szCs w:val="24"/>
        </w:rPr>
        <w:t> 2015; </w:t>
      </w:r>
      <w:r w:rsidRPr="006B24DA">
        <w:rPr>
          <w:b/>
          <w:bCs/>
          <w:noProof/>
          <w:szCs w:val="24"/>
        </w:rPr>
        <w:t>82</w:t>
      </w:r>
      <w:r w:rsidRPr="006B24DA">
        <w:rPr>
          <w:noProof/>
          <w:szCs w:val="24"/>
        </w:rPr>
        <w:t>: 1116-1120 [PMID: 26318831 DOI: 10.1016/j.gie.2015.06.048]</w:t>
      </w:r>
    </w:p>
    <w:p w14:paraId="4300BEF2"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120 </w:t>
      </w:r>
      <w:r w:rsidRPr="006B24DA">
        <w:rPr>
          <w:b/>
          <w:bCs/>
          <w:noProof/>
          <w:szCs w:val="24"/>
        </w:rPr>
        <w:t>Nguyen DL</w:t>
      </w:r>
      <w:r w:rsidRPr="006B24DA">
        <w:rPr>
          <w:noProof/>
          <w:szCs w:val="24"/>
        </w:rPr>
        <w:t>, Lee JG, Parekh NK, Samarasena J, Bechtold ML, Chang K. The current and future role of endomicroscopy in the management of inflammatory bowel disease. </w:t>
      </w:r>
      <w:r w:rsidRPr="006B24DA">
        <w:rPr>
          <w:i/>
          <w:iCs/>
          <w:noProof/>
          <w:szCs w:val="24"/>
        </w:rPr>
        <w:t>Ann Gastroenterol</w:t>
      </w:r>
      <w:r w:rsidRPr="006B24DA">
        <w:rPr>
          <w:noProof/>
          <w:szCs w:val="24"/>
        </w:rPr>
        <w:t> 2015; </w:t>
      </w:r>
      <w:r w:rsidRPr="006B24DA">
        <w:rPr>
          <w:b/>
          <w:bCs/>
          <w:noProof/>
          <w:szCs w:val="24"/>
        </w:rPr>
        <w:t>28</w:t>
      </w:r>
      <w:r w:rsidRPr="006B24DA">
        <w:rPr>
          <w:noProof/>
          <w:szCs w:val="24"/>
        </w:rPr>
        <w:t>: 331-336 [PMID: 26130373]</w:t>
      </w:r>
    </w:p>
    <w:p w14:paraId="0EAA1465"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121 </w:t>
      </w:r>
      <w:r w:rsidRPr="006B24DA">
        <w:rPr>
          <w:b/>
          <w:bCs/>
          <w:noProof/>
          <w:szCs w:val="24"/>
        </w:rPr>
        <w:t>Nakai Y</w:t>
      </w:r>
      <w:r w:rsidRPr="006B24DA">
        <w:rPr>
          <w:noProof/>
          <w:szCs w:val="24"/>
        </w:rPr>
        <w:t>, Isayama H, Shinoura S, Iwashita T, Samarasena JB, Chang KJ, Koike K. Confocal laser endomicroscopy in gastrointestinal and pancreatobiliary diseases. </w:t>
      </w:r>
      <w:r w:rsidRPr="006B24DA">
        <w:rPr>
          <w:i/>
          <w:iCs/>
          <w:noProof/>
          <w:szCs w:val="24"/>
        </w:rPr>
        <w:t>Dig Endosc</w:t>
      </w:r>
      <w:r w:rsidRPr="006B24DA">
        <w:rPr>
          <w:noProof/>
          <w:szCs w:val="24"/>
        </w:rPr>
        <w:t> 2014; </w:t>
      </w:r>
      <w:r w:rsidRPr="006B24DA">
        <w:rPr>
          <w:b/>
          <w:bCs/>
          <w:noProof/>
          <w:szCs w:val="24"/>
        </w:rPr>
        <w:t>26</w:t>
      </w:r>
      <w:r w:rsidRPr="006B24DA">
        <w:rPr>
          <w:bCs/>
          <w:noProof/>
          <w:szCs w:val="24"/>
        </w:rPr>
        <w:t xml:space="preserve"> Suppl 1</w:t>
      </w:r>
      <w:r w:rsidRPr="006B24DA">
        <w:rPr>
          <w:noProof/>
          <w:szCs w:val="24"/>
        </w:rPr>
        <w:t>: 86-94 [PMID: 24033351 DOI: 10.1111/den.12152]</w:t>
      </w:r>
    </w:p>
    <w:p w14:paraId="2DDD2F4C"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122 </w:t>
      </w:r>
      <w:r w:rsidRPr="006B24DA">
        <w:rPr>
          <w:b/>
          <w:bCs/>
          <w:noProof/>
          <w:szCs w:val="24"/>
        </w:rPr>
        <w:t>Nakai Y</w:t>
      </w:r>
      <w:r w:rsidRPr="006B24DA">
        <w:rPr>
          <w:noProof/>
          <w:szCs w:val="24"/>
        </w:rPr>
        <w:t xml:space="preserve">, Shinoura S, Ahluwalia A, Tarnawski AS, Chang KJ. Molecular imaging of epidermal growth factor-receptor and survivin in vivo in porcine esophageal and </w:t>
      </w:r>
      <w:r w:rsidRPr="006B24DA">
        <w:rPr>
          <w:noProof/>
          <w:szCs w:val="24"/>
        </w:rPr>
        <w:lastRenderedPageBreak/>
        <w:t>gastric mucosae using probe-based confocal laser-induced endomicroscopy: proof of concept. </w:t>
      </w:r>
      <w:r w:rsidRPr="006B24DA">
        <w:rPr>
          <w:i/>
          <w:iCs/>
          <w:noProof/>
          <w:szCs w:val="24"/>
        </w:rPr>
        <w:t>J Physiol Pharmacol</w:t>
      </w:r>
      <w:r w:rsidRPr="006B24DA">
        <w:rPr>
          <w:noProof/>
          <w:szCs w:val="24"/>
        </w:rPr>
        <w:t> 2012; </w:t>
      </w:r>
      <w:r w:rsidRPr="006B24DA">
        <w:rPr>
          <w:b/>
          <w:bCs/>
          <w:noProof/>
          <w:szCs w:val="24"/>
        </w:rPr>
        <w:t>63</w:t>
      </w:r>
      <w:r w:rsidRPr="006B24DA">
        <w:rPr>
          <w:noProof/>
          <w:szCs w:val="24"/>
        </w:rPr>
        <w:t>: 303-307 [PMID: 22791645]</w:t>
      </w:r>
    </w:p>
    <w:p w14:paraId="196C50D3"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123 </w:t>
      </w:r>
      <w:r w:rsidRPr="006B24DA">
        <w:rPr>
          <w:b/>
          <w:bCs/>
          <w:noProof/>
          <w:szCs w:val="24"/>
        </w:rPr>
        <w:t>Trindade AJ</w:t>
      </w:r>
      <w:r w:rsidRPr="006B24DA">
        <w:rPr>
          <w:noProof/>
          <w:szCs w:val="24"/>
        </w:rPr>
        <w:t>, Leggett CL, Chang KJ. Volumetric laser endomicroscopy in the management of Barrett's esophagus. </w:t>
      </w:r>
      <w:r w:rsidRPr="006B24DA">
        <w:rPr>
          <w:i/>
          <w:iCs/>
          <w:noProof/>
          <w:szCs w:val="24"/>
        </w:rPr>
        <w:t>Curr Opin Gastroenterol</w:t>
      </w:r>
      <w:r w:rsidRPr="006B24DA">
        <w:rPr>
          <w:noProof/>
          <w:szCs w:val="24"/>
        </w:rPr>
        <w:t> 2017; </w:t>
      </w:r>
      <w:r w:rsidRPr="006B24DA">
        <w:rPr>
          <w:b/>
          <w:bCs/>
          <w:noProof/>
          <w:szCs w:val="24"/>
        </w:rPr>
        <w:t>33</w:t>
      </w:r>
      <w:r w:rsidRPr="006B24DA">
        <w:rPr>
          <w:noProof/>
          <w:szCs w:val="24"/>
        </w:rPr>
        <w:t>: 254-260 [PMID: 28402993 DOI: 10.1097/MOG.0000000000000366]</w:t>
      </w:r>
    </w:p>
    <w:p w14:paraId="6B657CCD"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124 </w:t>
      </w:r>
      <w:r w:rsidRPr="006B24DA">
        <w:rPr>
          <w:b/>
          <w:bCs/>
          <w:noProof/>
          <w:szCs w:val="24"/>
        </w:rPr>
        <w:t>Swager AF</w:t>
      </w:r>
      <w:r w:rsidRPr="006B24DA">
        <w:rPr>
          <w:noProof/>
          <w:szCs w:val="24"/>
        </w:rPr>
        <w:t>, de Groof AJ, Meijer SL, Weusten BL, Curvers WL, Bergman JJ. Feasibility of laser marking in Barrett's esophagus with volumetric laser endomicroscopy: first-in-man pilot study. </w:t>
      </w:r>
      <w:r w:rsidRPr="006B24DA">
        <w:rPr>
          <w:i/>
          <w:iCs/>
          <w:noProof/>
          <w:szCs w:val="24"/>
        </w:rPr>
        <w:t>Gastrointest Endosc</w:t>
      </w:r>
      <w:r w:rsidRPr="006B24DA">
        <w:rPr>
          <w:noProof/>
          <w:szCs w:val="24"/>
        </w:rPr>
        <w:t> 2017; </w:t>
      </w:r>
      <w:r w:rsidRPr="006B24DA">
        <w:rPr>
          <w:b/>
          <w:bCs/>
          <w:noProof/>
          <w:szCs w:val="24"/>
        </w:rPr>
        <w:t>86</w:t>
      </w:r>
      <w:r w:rsidRPr="006B24DA">
        <w:rPr>
          <w:noProof/>
          <w:szCs w:val="24"/>
        </w:rPr>
        <w:t>: 464-472 [PMID: 28161451 DOI: 10.1016/j.gie.2017.01.030]</w:t>
      </w:r>
    </w:p>
    <w:p w14:paraId="2F71AF9F"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125 </w:t>
      </w:r>
      <w:r w:rsidRPr="006B24DA">
        <w:rPr>
          <w:b/>
          <w:bCs/>
          <w:noProof/>
          <w:szCs w:val="24"/>
        </w:rPr>
        <w:t>Alshelleh M</w:t>
      </w:r>
      <w:r w:rsidRPr="006B24DA">
        <w:rPr>
          <w:noProof/>
          <w:szCs w:val="24"/>
        </w:rPr>
        <w:t>, Inamdar S, McKinley M, Stewart M, Novak JS, Greenberg RE, Sultan K, Devito B, Cheung M, Cerulli MA, Miller LS, Sejpal DV, Vegesna AK, Trindade AJ. Incremental yield of dysplasia detection in Barrett's esophagus using volumetric laser endomicroscopy with and without laser marking compared with a standardized random biopsy protocol. </w:t>
      </w:r>
      <w:r w:rsidRPr="006B24DA">
        <w:rPr>
          <w:i/>
          <w:iCs/>
          <w:noProof/>
          <w:szCs w:val="24"/>
        </w:rPr>
        <w:t>Gastrointest Endosc</w:t>
      </w:r>
      <w:r w:rsidRPr="006B24DA">
        <w:rPr>
          <w:noProof/>
          <w:szCs w:val="24"/>
        </w:rPr>
        <w:t> 2018; </w:t>
      </w:r>
      <w:r w:rsidRPr="006B24DA">
        <w:rPr>
          <w:b/>
          <w:bCs/>
          <w:noProof/>
          <w:szCs w:val="24"/>
        </w:rPr>
        <w:t>88</w:t>
      </w:r>
      <w:r w:rsidRPr="006B24DA">
        <w:rPr>
          <w:noProof/>
          <w:szCs w:val="24"/>
        </w:rPr>
        <w:t>: 35-42 [PMID: 29410080 DOI: 10.1016/j.gie.2018.01.032]</w:t>
      </w:r>
    </w:p>
    <w:p w14:paraId="376B3703"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126 </w:t>
      </w:r>
      <w:r w:rsidRPr="006B24DA">
        <w:rPr>
          <w:b/>
          <w:bCs/>
          <w:noProof/>
          <w:szCs w:val="24"/>
        </w:rPr>
        <w:t>Swager AF</w:t>
      </w:r>
      <w:r w:rsidRPr="006B24DA">
        <w:rPr>
          <w:noProof/>
          <w:szCs w:val="24"/>
        </w:rPr>
        <w:t>, van der Sommen F, Klomp SR, Zinger S, Meijer SL, Schoon EJ, Bergman JJGHM, de With PH, Curvers WL. Computer-aided detection of early Barrett's neoplasia using volumetric laser endomicroscopy. </w:t>
      </w:r>
      <w:r w:rsidRPr="006B24DA">
        <w:rPr>
          <w:i/>
          <w:iCs/>
          <w:noProof/>
          <w:szCs w:val="24"/>
        </w:rPr>
        <w:t>Gastrointest Endosc</w:t>
      </w:r>
      <w:r w:rsidRPr="006B24DA">
        <w:rPr>
          <w:noProof/>
          <w:szCs w:val="24"/>
        </w:rPr>
        <w:t> 2017; </w:t>
      </w:r>
      <w:r w:rsidRPr="006B24DA">
        <w:rPr>
          <w:b/>
          <w:bCs/>
          <w:noProof/>
          <w:szCs w:val="24"/>
        </w:rPr>
        <w:t>86</w:t>
      </w:r>
      <w:r w:rsidRPr="006B24DA">
        <w:rPr>
          <w:noProof/>
          <w:szCs w:val="24"/>
        </w:rPr>
        <w:t>: 839-846 [PMID: 28322771 DOI: 10.1016/j.gie.2017.03.011]</w:t>
      </w:r>
    </w:p>
    <w:p w14:paraId="272A362C"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127 </w:t>
      </w:r>
      <w:r w:rsidRPr="006B24DA">
        <w:rPr>
          <w:b/>
          <w:bCs/>
          <w:noProof/>
          <w:szCs w:val="24"/>
        </w:rPr>
        <w:t>Swager AF</w:t>
      </w:r>
      <w:r w:rsidRPr="006B24DA">
        <w:rPr>
          <w:noProof/>
          <w:szCs w:val="24"/>
        </w:rPr>
        <w:t>, Faber DJ, de Bruin DM, Weusten BL, Meijer SL, Bergman JJ, Curvers WL, van Leeuwen TG. Quantitative attenuation analysis for identification of early Barrett's neoplasia in volumetric laser endomicroscopy. </w:t>
      </w:r>
      <w:r w:rsidRPr="006B24DA">
        <w:rPr>
          <w:i/>
          <w:iCs/>
          <w:noProof/>
          <w:szCs w:val="24"/>
        </w:rPr>
        <w:t>J Biomed Opt</w:t>
      </w:r>
      <w:r w:rsidRPr="006B24DA">
        <w:rPr>
          <w:noProof/>
          <w:szCs w:val="24"/>
        </w:rPr>
        <w:t> 2017; </w:t>
      </w:r>
      <w:r w:rsidRPr="006B24DA">
        <w:rPr>
          <w:b/>
          <w:bCs/>
          <w:noProof/>
          <w:szCs w:val="24"/>
        </w:rPr>
        <w:t>22</w:t>
      </w:r>
      <w:r w:rsidRPr="006B24DA">
        <w:rPr>
          <w:noProof/>
          <w:szCs w:val="24"/>
        </w:rPr>
        <w:t>: 86001 [PMID: 28777838 DOI: 10.1117/1.JBO.22.8.086001]</w:t>
      </w:r>
    </w:p>
    <w:p w14:paraId="196D05C9"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128 </w:t>
      </w:r>
      <w:r w:rsidRPr="006B24DA">
        <w:rPr>
          <w:b/>
          <w:bCs/>
          <w:noProof/>
          <w:szCs w:val="24"/>
        </w:rPr>
        <w:t>Nishizawa T</w:t>
      </w:r>
      <w:r w:rsidRPr="006B24DA">
        <w:rPr>
          <w:noProof/>
          <w:szCs w:val="24"/>
        </w:rPr>
        <w:t>, Yahagi N. Long-Term Outcomes of Using Endoscopic Submucosal Dissection to Treat Early Gastric Cancer. </w:t>
      </w:r>
      <w:r w:rsidRPr="006B24DA">
        <w:rPr>
          <w:i/>
          <w:iCs/>
          <w:noProof/>
          <w:szCs w:val="24"/>
        </w:rPr>
        <w:t>Gut Liver</w:t>
      </w:r>
      <w:r w:rsidRPr="006B24DA">
        <w:rPr>
          <w:noProof/>
          <w:szCs w:val="24"/>
        </w:rPr>
        <w:t> 2018; </w:t>
      </w:r>
      <w:r w:rsidRPr="006B24DA">
        <w:rPr>
          <w:b/>
          <w:bCs/>
          <w:noProof/>
          <w:szCs w:val="24"/>
        </w:rPr>
        <w:t>12</w:t>
      </w:r>
      <w:r w:rsidRPr="006B24DA">
        <w:rPr>
          <w:noProof/>
          <w:szCs w:val="24"/>
        </w:rPr>
        <w:t>: 119-124 [PMID: 28673068 DOI: 10.5009/gnl17095]</w:t>
      </w:r>
    </w:p>
    <w:p w14:paraId="0683B4A8"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129 </w:t>
      </w:r>
      <w:r w:rsidRPr="006B24DA">
        <w:rPr>
          <w:b/>
          <w:bCs/>
          <w:noProof/>
          <w:szCs w:val="24"/>
        </w:rPr>
        <w:t>Kim SG</w:t>
      </w:r>
      <w:r w:rsidRPr="006B24DA">
        <w:rPr>
          <w:noProof/>
          <w:szCs w:val="24"/>
        </w:rPr>
        <w:t xml:space="preserve">, Park CM, Lee NR, Kim J, Lyu DH, Park SH, Choi IJ, Lee WS, Park SJ, Kim JJ, Kim JH, Lim CH, Cho JY, Kim GH, Lee YC, Jung HY, Lee JH, Chun HJ, Seol SY. Long-Term Clinical Outcomes of Endoscopic Submucosal Dissection in Patients with </w:t>
      </w:r>
      <w:r w:rsidRPr="006B24DA">
        <w:rPr>
          <w:noProof/>
          <w:szCs w:val="24"/>
        </w:rPr>
        <w:lastRenderedPageBreak/>
        <w:t>Early Gastric Cancer: A Prospective Multicenter Cohort Study. </w:t>
      </w:r>
      <w:r w:rsidRPr="006B24DA">
        <w:rPr>
          <w:i/>
          <w:iCs/>
          <w:noProof/>
          <w:szCs w:val="24"/>
        </w:rPr>
        <w:t>Gut Liver</w:t>
      </w:r>
      <w:r w:rsidRPr="006B24DA">
        <w:rPr>
          <w:noProof/>
          <w:szCs w:val="24"/>
        </w:rPr>
        <w:t> 2018; </w:t>
      </w:r>
      <w:r w:rsidRPr="006B24DA">
        <w:rPr>
          <w:b/>
          <w:bCs/>
          <w:noProof/>
          <w:szCs w:val="24"/>
        </w:rPr>
        <w:t>12</w:t>
      </w:r>
      <w:r w:rsidRPr="006B24DA">
        <w:rPr>
          <w:noProof/>
          <w:szCs w:val="24"/>
        </w:rPr>
        <w:t>: 402-410 [PMID: 29588436 DOI: 10.5009/gnl17414]</w:t>
      </w:r>
    </w:p>
    <w:p w14:paraId="05B65332"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130 </w:t>
      </w:r>
      <w:r w:rsidRPr="006B24DA">
        <w:rPr>
          <w:b/>
          <w:bCs/>
          <w:noProof/>
          <w:szCs w:val="24"/>
        </w:rPr>
        <w:t>Tanabe S</w:t>
      </w:r>
      <w:r w:rsidRPr="006B24DA">
        <w:rPr>
          <w:noProof/>
          <w:szCs w:val="24"/>
        </w:rPr>
        <w:t>, Hirabayashi S, Oda I, Ono H, Nashimoto A, Isobe Y, Miyashiro I, Tsujitani S, Seto Y, Fukagawa T, Nunobe S, Furukawa H, Kodera Y, Kaminishi M, Katai H. Gastric cancer treated by endoscopic submucosal dissection or endoscopic mucosal resection in Japan from 2004 through 2006: JGCA nationwide registry conducted in 2013. </w:t>
      </w:r>
      <w:r w:rsidRPr="006B24DA">
        <w:rPr>
          <w:i/>
          <w:iCs/>
          <w:noProof/>
          <w:szCs w:val="24"/>
        </w:rPr>
        <w:t>Gastric Cancer</w:t>
      </w:r>
      <w:r w:rsidRPr="006B24DA">
        <w:rPr>
          <w:noProof/>
          <w:szCs w:val="24"/>
        </w:rPr>
        <w:t> 2017; </w:t>
      </w:r>
      <w:r w:rsidRPr="006B24DA">
        <w:rPr>
          <w:b/>
          <w:bCs/>
          <w:noProof/>
          <w:szCs w:val="24"/>
        </w:rPr>
        <w:t>20</w:t>
      </w:r>
      <w:r w:rsidRPr="006B24DA">
        <w:rPr>
          <w:noProof/>
          <w:szCs w:val="24"/>
        </w:rPr>
        <w:t>: 834-842 [PMID: 28205058 DOI: 10.1007/s10120-017-0699-4]</w:t>
      </w:r>
    </w:p>
    <w:p w14:paraId="3EA2678D"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131 </w:t>
      </w:r>
      <w:r w:rsidRPr="006B24DA">
        <w:rPr>
          <w:b/>
          <w:bCs/>
          <w:noProof/>
          <w:szCs w:val="24"/>
        </w:rPr>
        <w:t>Ono H</w:t>
      </w:r>
      <w:r w:rsidRPr="006B24DA">
        <w:rPr>
          <w:noProof/>
          <w:szCs w:val="24"/>
        </w:rPr>
        <w:t>, Yao K, Fujishiro M, Oda I, Nimura S, Yahagi N, Iishi H, Oka M, Ajioka Y, Ichinose M, Matsui T. Guidelines for endoscopic submucosal dissection and endoscopic mucosal resection for early gastric cancer. </w:t>
      </w:r>
      <w:r w:rsidRPr="006B24DA">
        <w:rPr>
          <w:i/>
          <w:iCs/>
          <w:noProof/>
          <w:szCs w:val="24"/>
        </w:rPr>
        <w:t>Dig Endosc</w:t>
      </w:r>
      <w:r w:rsidRPr="006B24DA">
        <w:rPr>
          <w:noProof/>
          <w:szCs w:val="24"/>
        </w:rPr>
        <w:t> 2016; </w:t>
      </w:r>
      <w:r w:rsidRPr="006B24DA">
        <w:rPr>
          <w:b/>
          <w:bCs/>
          <w:noProof/>
          <w:szCs w:val="24"/>
        </w:rPr>
        <w:t>28</w:t>
      </w:r>
      <w:r w:rsidRPr="006B24DA">
        <w:rPr>
          <w:noProof/>
          <w:szCs w:val="24"/>
        </w:rPr>
        <w:t>: 3-15 [PMID: 26234303 DOI: 10.1111/den.12518]</w:t>
      </w:r>
    </w:p>
    <w:p w14:paraId="776B6383"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132 </w:t>
      </w:r>
      <w:r w:rsidRPr="006B24DA">
        <w:rPr>
          <w:b/>
          <w:bCs/>
          <w:noProof/>
          <w:szCs w:val="24"/>
        </w:rPr>
        <w:t>Tanabe S</w:t>
      </w:r>
      <w:r w:rsidRPr="006B24DA">
        <w:rPr>
          <w:noProof/>
          <w:szCs w:val="24"/>
        </w:rPr>
        <w:t>, Ishido K, Higuchi K, Sasaki T, Katada C, Azuma M, Naruke A, Kim M, Koizumi W. Long-term outcomes of endoscopic submucosal dissection for early gastric cancer: a retrospective comparison with conventional endoscopic resection in a single center. </w:t>
      </w:r>
      <w:r w:rsidRPr="006B24DA">
        <w:rPr>
          <w:i/>
          <w:iCs/>
          <w:noProof/>
          <w:szCs w:val="24"/>
        </w:rPr>
        <w:t>Gastric Cancer</w:t>
      </w:r>
      <w:r w:rsidRPr="006B24DA">
        <w:rPr>
          <w:noProof/>
          <w:szCs w:val="24"/>
        </w:rPr>
        <w:t> 2014; </w:t>
      </w:r>
      <w:r w:rsidRPr="006B24DA">
        <w:rPr>
          <w:b/>
          <w:bCs/>
          <w:noProof/>
          <w:szCs w:val="24"/>
        </w:rPr>
        <w:t>17</w:t>
      </w:r>
      <w:r w:rsidRPr="006B24DA">
        <w:rPr>
          <w:noProof/>
          <w:szCs w:val="24"/>
        </w:rPr>
        <w:t>: 130-136 [PMID: 23576197 DOI: 10.1007/s10120-013-0241-2]</w:t>
      </w:r>
    </w:p>
    <w:p w14:paraId="6DD589E1"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133 </w:t>
      </w:r>
      <w:r w:rsidRPr="006B24DA">
        <w:rPr>
          <w:b/>
          <w:bCs/>
          <w:noProof/>
          <w:szCs w:val="24"/>
        </w:rPr>
        <w:t>Bourke MJ</w:t>
      </w:r>
      <w:r w:rsidRPr="006B24DA">
        <w:rPr>
          <w:noProof/>
          <w:szCs w:val="24"/>
        </w:rPr>
        <w:t>, Neuhaus H, Bergman JJ. Endoscopic Submucosal Dissection: Indications and Application in Western Endoscopy Practice. </w:t>
      </w:r>
      <w:r w:rsidRPr="006B24DA">
        <w:rPr>
          <w:i/>
          <w:iCs/>
          <w:noProof/>
          <w:szCs w:val="24"/>
        </w:rPr>
        <w:t>Gastroenterology</w:t>
      </w:r>
      <w:r w:rsidRPr="006B24DA">
        <w:rPr>
          <w:noProof/>
          <w:szCs w:val="24"/>
        </w:rPr>
        <w:t> 2018; </w:t>
      </w:r>
      <w:r w:rsidRPr="006B24DA">
        <w:rPr>
          <w:b/>
          <w:bCs/>
          <w:noProof/>
          <w:szCs w:val="24"/>
        </w:rPr>
        <w:t>154</w:t>
      </w:r>
      <w:r w:rsidRPr="006B24DA">
        <w:rPr>
          <w:noProof/>
          <w:szCs w:val="24"/>
        </w:rPr>
        <w:t>: 1887-1900.e5 [PMID: 29486200 DOI: 10.1053/j.gastro.2018.01.068]</w:t>
      </w:r>
    </w:p>
    <w:p w14:paraId="34176F28"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134 </w:t>
      </w:r>
      <w:r w:rsidRPr="006B24DA">
        <w:rPr>
          <w:b/>
          <w:bCs/>
          <w:noProof/>
          <w:szCs w:val="24"/>
        </w:rPr>
        <w:t>Daoud DC</w:t>
      </w:r>
      <w:r w:rsidRPr="006B24DA">
        <w:rPr>
          <w:noProof/>
          <w:szCs w:val="24"/>
        </w:rPr>
        <w:t>, Suter N, Durand M, Bouin M, Faulques B, von Renteln D. Comparing outcomes for endoscopic submucosal dissection between Eastern and Western countries: A systematic review and meta-analysis. </w:t>
      </w:r>
      <w:r w:rsidRPr="006B24DA">
        <w:rPr>
          <w:i/>
          <w:iCs/>
          <w:noProof/>
          <w:szCs w:val="24"/>
        </w:rPr>
        <w:t>World J Gastroenterol</w:t>
      </w:r>
      <w:r w:rsidRPr="006B24DA">
        <w:rPr>
          <w:noProof/>
          <w:szCs w:val="24"/>
        </w:rPr>
        <w:t> 2018; </w:t>
      </w:r>
      <w:r w:rsidRPr="006B24DA">
        <w:rPr>
          <w:b/>
          <w:bCs/>
          <w:noProof/>
          <w:szCs w:val="24"/>
        </w:rPr>
        <w:t>24</w:t>
      </w:r>
      <w:r w:rsidRPr="006B24DA">
        <w:rPr>
          <w:noProof/>
          <w:szCs w:val="24"/>
        </w:rPr>
        <w:t>: 2518-2536 [PMID: 29930473 DOI: 10.3748/wjg.v24.i23.2518]</w:t>
      </w:r>
    </w:p>
    <w:p w14:paraId="02101319"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135 </w:t>
      </w:r>
      <w:r w:rsidRPr="006B24DA">
        <w:rPr>
          <w:b/>
          <w:bCs/>
          <w:noProof/>
          <w:szCs w:val="24"/>
        </w:rPr>
        <w:t>Coman RM</w:t>
      </w:r>
      <w:r w:rsidRPr="006B24DA">
        <w:rPr>
          <w:noProof/>
          <w:szCs w:val="24"/>
        </w:rPr>
        <w:t>, Gotoda T, Draganov PV. Training in endoscopic submucosal dissection. </w:t>
      </w:r>
      <w:r w:rsidRPr="006B24DA">
        <w:rPr>
          <w:i/>
          <w:iCs/>
          <w:noProof/>
          <w:szCs w:val="24"/>
        </w:rPr>
        <w:t>World J Gastrointest Endosc</w:t>
      </w:r>
      <w:r w:rsidRPr="006B24DA">
        <w:rPr>
          <w:noProof/>
          <w:szCs w:val="24"/>
        </w:rPr>
        <w:t> 2013; </w:t>
      </w:r>
      <w:r w:rsidRPr="006B24DA">
        <w:rPr>
          <w:b/>
          <w:bCs/>
          <w:noProof/>
          <w:szCs w:val="24"/>
        </w:rPr>
        <w:t>5</w:t>
      </w:r>
      <w:r w:rsidRPr="006B24DA">
        <w:rPr>
          <w:noProof/>
          <w:szCs w:val="24"/>
        </w:rPr>
        <w:t>: 369-378 [PMID: 23951392 DOI: 10.4253/wjge.v5.i8.369]</w:t>
      </w:r>
    </w:p>
    <w:p w14:paraId="3DB95716"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136 </w:t>
      </w:r>
      <w:r w:rsidRPr="006B24DA">
        <w:rPr>
          <w:b/>
          <w:bCs/>
          <w:noProof/>
          <w:szCs w:val="24"/>
        </w:rPr>
        <w:t>Konuma H</w:t>
      </w:r>
      <w:r w:rsidRPr="006B24DA">
        <w:rPr>
          <w:noProof/>
          <w:szCs w:val="24"/>
        </w:rPr>
        <w:t xml:space="preserve">, Matsumoto K, Ueyama H, Komori H, Akazawa Y, Ueyama M, Nakagawa Y, Morimoto T, Takeda T, Matsumoto K, Asaoka D, Hojo M, Nagahara A, Yao T, Miyazaki A, Watanabe S. Procedure Time for Gastric Endoscopic Submucosal </w:t>
      </w:r>
      <w:r w:rsidRPr="006B24DA">
        <w:rPr>
          <w:noProof/>
          <w:szCs w:val="24"/>
        </w:rPr>
        <w:lastRenderedPageBreak/>
        <w:t>Dissection according to Location, considering Both Mucosal Circumferential Incision and Submucosal Dissection. </w:t>
      </w:r>
      <w:r w:rsidRPr="006B24DA">
        <w:rPr>
          <w:i/>
          <w:iCs/>
          <w:noProof/>
          <w:szCs w:val="24"/>
        </w:rPr>
        <w:t>Gastroenterol Res Pract</w:t>
      </w:r>
      <w:r w:rsidRPr="006B24DA">
        <w:rPr>
          <w:noProof/>
          <w:szCs w:val="24"/>
        </w:rPr>
        <w:t> 2016; </w:t>
      </w:r>
      <w:r w:rsidRPr="006B24DA">
        <w:rPr>
          <w:b/>
          <w:bCs/>
          <w:noProof/>
          <w:szCs w:val="24"/>
        </w:rPr>
        <w:t>2016</w:t>
      </w:r>
      <w:r w:rsidRPr="006B24DA">
        <w:rPr>
          <w:noProof/>
          <w:szCs w:val="24"/>
        </w:rPr>
        <w:t>: 9183793 [PMID: 28077944 DOI: 10.1155/2016/9183793]</w:t>
      </w:r>
    </w:p>
    <w:p w14:paraId="0A4EB8E5"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137 </w:t>
      </w:r>
      <w:r w:rsidRPr="006B24DA">
        <w:rPr>
          <w:b/>
          <w:bCs/>
          <w:noProof/>
          <w:szCs w:val="24"/>
        </w:rPr>
        <w:t>Zhang Q</w:t>
      </w:r>
      <w:r w:rsidRPr="006B24DA">
        <w:rPr>
          <w:noProof/>
          <w:szCs w:val="24"/>
        </w:rPr>
        <w:t>, Yao X, Wang Z. A modified method of endoclip-and-snare to assist in endoscopic submucosal dissection with mucosal traction in the upper GI tract. </w:t>
      </w:r>
      <w:r w:rsidRPr="006B24DA">
        <w:rPr>
          <w:i/>
          <w:iCs/>
          <w:noProof/>
          <w:szCs w:val="24"/>
        </w:rPr>
        <w:t>VideoGIE</w:t>
      </w:r>
      <w:r w:rsidRPr="006B24DA">
        <w:rPr>
          <w:noProof/>
          <w:szCs w:val="24"/>
        </w:rPr>
        <w:t> 2018; </w:t>
      </w:r>
      <w:r w:rsidRPr="006B24DA">
        <w:rPr>
          <w:b/>
          <w:bCs/>
          <w:noProof/>
          <w:szCs w:val="24"/>
        </w:rPr>
        <w:t>3</w:t>
      </w:r>
      <w:r w:rsidRPr="006B24DA">
        <w:rPr>
          <w:noProof/>
          <w:szCs w:val="24"/>
        </w:rPr>
        <w:t>: 137-141 [PMID: 29917027 DOI: 10.1016/j.vgie.2018.01.002]</w:t>
      </w:r>
    </w:p>
    <w:p w14:paraId="0917E1C4"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138 </w:t>
      </w:r>
      <w:r w:rsidRPr="006B24DA">
        <w:rPr>
          <w:b/>
          <w:bCs/>
          <w:noProof/>
          <w:szCs w:val="24"/>
        </w:rPr>
        <w:t>Soga K</w:t>
      </w:r>
      <w:r w:rsidRPr="006B24DA">
        <w:rPr>
          <w:noProof/>
          <w:szCs w:val="24"/>
        </w:rPr>
        <w:t>, Shimomura T, Suzuki T, Tei T, Usui T, Inagaki Y, Kassai K, Itani K. Usefulness of the modified clip-with-line method for endoscopic mucosal treatment procedure. </w:t>
      </w:r>
      <w:r w:rsidRPr="006B24DA">
        <w:rPr>
          <w:i/>
          <w:iCs/>
          <w:noProof/>
          <w:szCs w:val="24"/>
        </w:rPr>
        <w:t>J Gastrointestin Liver Dis</w:t>
      </w:r>
      <w:r w:rsidRPr="006B24DA">
        <w:rPr>
          <w:noProof/>
          <w:szCs w:val="24"/>
        </w:rPr>
        <w:t> 2018; </w:t>
      </w:r>
      <w:r w:rsidRPr="006B24DA">
        <w:rPr>
          <w:b/>
          <w:bCs/>
          <w:noProof/>
          <w:szCs w:val="24"/>
        </w:rPr>
        <w:t>27</w:t>
      </w:r>
      <w:r w:rsidRPr="006B24DA">
        <w:rPr>
          <w:noProof/>
          <w:szCs w:val="24"/>
        </w:rPr>
        <w:t>: 317-320 [PMID: 30240476 DOI: 10.15403/jgld.2014.1121.273.shi]</w:t>
      </w:r>
    </w:p>
    <w:p w14:paraId="743CD4FF"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139 </w:t>
      </w:r>
      <w:r w:rsidRPr="006B24DA">
        <w:rPr>
          <w:b/>
          <w:bCs/>
          <w:noProof/>
          <w:szCs w:val="24"/>
        </w:rPr>
        <w:t>Shimamura Y</w:t>
      </w:r>
      <w:r w:rsidRPr="006B24DA">
        <w:rPr>
          <w:noProof/>
          <w:szCs w:val="24"/>
        </w:rPr>
        <w:t>, Inoue H, Ikeda H, Sumi K, Goda K. Multipoint traction technique in endoscopic submucosal dissection. </w:t>
      </w:r>
      <w:r w:rsidRPr="006B24DA">
        <w:rPr>
          <w:i/>
          <w:iCs/>
          <w:noProof/>
          <w:szCs w:val="24"/>
        </w:rPr>
        <w:t>VideoGIE</w:t>
      </w:r>
      <w:r w:rsidRPr="006B24DA">
        <w:rPr>
          <w:noProof/>
          <w:szCs w:val="24"/>
        </w:rPr>
        <w:t> 2018; </w:t>
      </w:r>
      <w:r w:rsidRPr="006B24DA">
        <w:rPr>
          <w:b/>
          <w:bCs/>
          <w:noProof/>
          <w:szCs w:val="24"/>
        </w:rPr>
        <w:t>3</w:t>
      </w:r>
      <w:r w:rsidRPr="006B24DA">
        <w:rPr>
          <w:noProof/>
          <w:szCs w:val="24"/>
        </w:rPr>
        <w:t>: 207-208 [PMID: 30128390 DOI: 10.1016/j.vgie.2018.03.013]</w:t>
      </w:r>
    </w:p>
    <w:p w14:paraId="5CC42EB3"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140 </w:t>
      </w:r>
      <w:r w:rsidRPr="006B24DA">
        <w:rPr>
          <w:b/>
          <w:bCs/>
          <w:noProof/>
          <w:szCs w:val="24"/>
        </w:rPr>
        <w:t>Lupu A</w:t>
      </w:r>
      <w:r w:rsidRPr="006B24DA">
        <w:rPr>
          <w:noProof/>
          <w:szCs w:val="24"/>
        </w:rPr>
        <w:t>, Jacques J, Rivory J, Rostain F, Pontette F, Ponchon T, Pioche M. Endoscopic submucosal dissection with triangulated traction with clip and rubber band: the "wallet" strategy. </w:t>
      </w:r>
      <w:r w:rsidRPr="006B24DA">
        <w:rPr>
          <w:i/>
          <w:iCs/>
          <w:noProof/>
          <w:szCs w:val="24"/>
        </w:rPr>
        <w:t>Endoscopy</w:t>
      </w:r>
      <w:r w:rsidRPr="006B24DA">
        <w:rPr>
          <w:noProof/>
          <w:szCs w:val="24"/>
        </w:rPr>
        <w:t> 2018; </w:t>
      </w:r>
      <w:r w:rsidRPr="006B24DA">
        <w:rPr>
          <w:b/>
          <w:bCs/>
          <w:noProof/>
          <w:szCs w:val="24"/>
        </w:rPr>
        <w:t>50</w:t>
      </w:r>
      <w:r w:rsidRPr="006B24DA">
        <w:rPr>
          <w:noProof/>
          <w:szCs w:val="24"/>
        </w:rPr>
        <w:t>: E256-E258 [PMID: 29954005 DOI: 10.1055/a-0624-1721]</w:t>
      </w:r>
    </w:p>
    <w:p w14:paraId="6D4070CD"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141 </w:t>
      </w:r>
      <w:r w:rsidRPr="006B24DA">
        <w:rPr>
          <w:b/>
          <w:bCs/>
          <w:noProof/>
          <w:szCs w:val="24"/>
        </w:rPr>
        <w:t>Kuwai T</w:t>
      </w:r>
      <w:r w:rsidRPr="006B24DA">
        <w:rPr>
          <w:noProof/>
          <w:szCs w:val="24"/>
        </w:rPr>
        <w:t>, Yamaguchi T, Imagawa H, Miura R, Sumida Y, Takasago T, Miyasako Y, Nishimura T, Iio S, Yamaguchi A, Kouno H, Kohno H, Ishaq S. Endoscopic submucosal dissection for early esophageal neoplasms using the stag beetle knife. </w:t>
      </w:r>
      <w:r w:rsidRPr="006B24DA">
        <w:rPr>
          <w:i/>
          <w:iCs/>
          <w:noProof/>
          <w:szCs w:val="24"/>
        </w:rPr>
        <w:t>World J Gastroenterol</w:t>
      </w:r>
      <w:r w:rsidRPr="006B24DA">
        <w:rPr>
          <w:noProof/>
          <w:szCs w:val="24"/>
        </w:rPr>
        <w:t> 2018; </w:t>
      </w:r>
      <w:r w:rsidRPr="006B24DA">
        <w:rPr>
          <w:b/>
          <w:bCs/>
          <w:noProof/>
          <w:szCs w:val="24"/>
        </w:rPr>
        <w:t>24</w:t>
      </w:r>
      <w:r w:rsidRPr="006B24DA">
        <w:rPr>
          <w:noProof/>
          <w:szCs w:val="24"/>
        </w:rPr>
        <w:t>: 1632-1640 [PMID: 29686470 DOI: 10.3748/wjg.v24.i15.1632]</w:t>
      </w:r>
    </w:p>
    <w:p w14:paraId="5C345844"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142 </w:t>
      </w:r>
      <w:r w:rsidRPr="006B24DA">
        <w:rPr>
          <w:b/>
          <w:bCs/>
          <w:noProof/>
          <w:szCs w:val="24"/>
        </w:rPr>
        <w:t>Matsuzaki I</w:t>
      </w:r>
      <w:r w:rsidRPr="006B24DA">
        <w:rPr>
          <w:noProof/>
          <w:szCs w:val="24"/>
        </w:rPr>
        <w:t>, Hattori M, Hirose K, Esaki M, Yoshikawa M, Yokoi T, Kobayashi M, Miyahara R, Hirooka Y, Goto H. Magnetic anchor-guided endoscopic submucosal dissection for gastric lesions (with video). </w:t>
      </w:r>
      <w:r w:rsidRPr="006B24DA">
        <w:rPr>
          <w:i/>
          <w:iCs/>
          <w:noProof/>
          <w:szCs w:val="24"/>
        </w:rPr>
        <w:t>Gastrointest Endosc</w:t>
      </w:r>
      <w:r w:rsidRPr="006B24DA">
        <w:rPr>
          <w:noProof/>
          <w:szCs w:val="24"/>
        </w:rPr>
        <w:t> 2018; </w:t>
      </w:r>
      <w:r w:rsidRPr="006B24DA">
        <w:rPr>
          <w:b/>
          <w:bCs/>
          <w:noProof/>
          <w:szCs w:val="24"/>
        </w:rPr>
        <w:t>87</w:t>
      </w:r>
      <w:r w:rsidRPr="006B24DA">
        <w:rPr>
          <w:noProof/>
          <w:szCs w:val="24"/>
        </w:rPr>
        <w:t>: 1576-1580 [PMID: 29352971 DOI: 10.1016/j.gie.2018.01.015]</w:t>
      </w:r>
    </w:p>
    <w:p w14:paraId="5F2B02D7"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143 </w:t>
      </w:r>
      <w:r w:rsidRPr="006B24DA">
        <w:rPr>
          <w:b/>
          <w:bCs/>
          <w:noProof/>
          <w:szCs w:val="24"/>
        </w:rPr>
        <w:t>Kato M</w:t>
      </w:r>
      <w:r w:rsidRPr="006B24DA">
        <w:rPr>
          <w:noProof/>
          <w:szCs w:val="24"/>
        </w:rPr>
        <w:t>, Tsujii Y, Takehara T. Underwater endoscopic mucosal resection of a duodenal adenoma with biopsy scars. </w:t>
      </w:r>
      <w:r w:rsidRPr="006B24DA">
        <w:rPr>
          <w:i/>
          <w:iCs/>
          <w:noProof/>
          <w:szCs w:val="24"/>
        </w:rPr>
        <w:t>Dig Endosc</w:t>
      </w:r>
      <w:r w:rsidRPr="006B24DA">
        <w:rPr>
          <w:noProof/>
          <w:szCs w:val="24"/>
        </w:rPr>
        <w:t> 2018; </w:t>
      </w:r>
      <w:r w:rsidRPr="006B24DA">
        <w:rPr>
          <w:b/>
          <w:bCs/>
          <w:noProof/>
          <w:szCs w:val="24"/>
        </w:rPr>
        <w:t>30</w:t>
      </w:r>
      <w:r w:rsidRPr="006B24DA">
        <w:rPr>
          <w:noProof/>
          <w:szCs w:val="24"/>
        </w:rPr>
        <w:t>: 405-406 [PMID: 29420839 DOI: 10.1111/den.13034]</w:t>
      </w:r>
    </w:p>
    <w:p w14:paraId="1018DFA7"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lastRenderedPageBreak/>
        <w:t>144 </w:t>
      </w:r>
      <w:r w:rsidRPr="006B24DA">
        <w:rPr>
          <w:b/>
          <w:bCs/>
          <w:noProof/>
          <w:szCs w:val="24"/>
        </w:rPr>
        <w:t>Osada T</w:t>
      </w:r>
      <w:r w:rsidRPr="006B24DA">
        <w:rPr>
          <w:noProof/>
          <w:szCs w:val="24"/>
        </w:rPr>
        <w:t>, Sakamoto N, Ritsuno H, Murakami T, Ueyama H, Matsumoto K, Shibuya T, Ogihara T, Watanabe S. Closure with clips to accelerate healing of mucosal defects caused by colorectal endoscopic submucosal dissection. </w:t>
      </w:r>
      <w:r w:rsidRPr="006B24DA">
        <w:rPr>
          <w:i/>
          <w:iCs/>
          <w:noProof/>
          <w:szCs w:val="24"/>
        </w:rPr>
        <w:t>Surg Endosc</w:t>
      </w:r>
      <w:r w:rsidRPr="006B24DA">
        <w:rPr>
          <w:noProof/>
          <w:szCs w:val="24"/>
        </w:rPr>
        <w:t> 2016; </w:t>
      </w:r>
      <w:r w:rsidRPr="006B24DA">
        <w:rPr>
          <w:b/>
          <w:bCs/>
          <w:noProof/>
          <w:szCs w:val="24"/>
        </w:rPr>
        <w:t>30</w:t>
      </w:r>
      <w:r w:rsidRPr="006B24DA">
        <w:rPr>
          <w:noProof/>
          <w:szCs w:val="24"/>
        </w:rPr>
        <w:t>: 4438-4444 [PMID: 26895895 DOI: 10.1007/s00464-016-4763-7]</w:t>
      </w:r>
    </w:p>
    <w:p w14:paraId="2548D293"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145 </w:t>
      </w:r>
      <w:r w:rsidRPr="006B24DA">
        <w:rPr>
          <w:b/>
          <w:bCs/>
          <w:noProof/>
          <w:szCs w:val="24"/>
        </w:rPr>
        <w:t>Ogiyama H</w:t>
      </w:r>
      <w:r w:rsidRPr="006B24DA">
        <w:rPr>
          <w:noProof/>
          <w:szCs w:val="24"/>
        </w:rPr>
        <w:t>, Tsutsui S, Murayama Y, Maeda S, Satake S, Nasu A, Umeda D, Miura Y, Tominaga K, Horiki M, Sanomura T, Imanaka K, Iishi H. Prophylactic clip closure may reduce the risk of delayed bleeding after colorectal endoscopic submucosal dissection. </w:t>
      </w:r>
      <w:r w:rsidRPr="006B24DA">
        <w:rPr>
          <w:i/>
          <w:iCs/>
          <w:noProof/>
          <w:szCs w:val="24"/>
        </w:rPr>
        <w:t>Endosc Int Open</w:t>
      </w:r>
      <w:r w:rsidRPr="006B24DA">
        <w:rPr>
          <w:noProof/>
          <w:szCs w:val="24"/>
        </w:rPr>
        <w:t> 2018; </w:t>
      </w:r>
      <w:r w:rsidRPr="006B24DA">
        <w:rPr>
          <w:b/>
          <w:bCs/>
          <w:noProof/>
          <w:szCs w:val="24"/>
        </w:rPr>
        <w:t>6</w:t>
      </w:r>
      <w:r w:rsidRPr="006B24DA">
        <w:rPr>
          <w:noProof/>
          <w:szCs w:val="24"/>
        </w:rPr>
        <w:t>: E582-E588 [PMID: 29756016 DOI: 10.1055/a-0581-8886]</w:t>
      </w:r>
    </w:p>
    <w:p w14:paraId="75C32120"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146 </w:t>
      </w:r>
      <w:r w:rsidRPr="006B24DA">
        <w:rPr>
          <w:b/>
          <w:bCs/>
          <w:noProof/>
          <w:szCs w:val="24"/>
        </w:rPr>
        <w:t>Kantsevoy SV</w:t>
      </w:r>
      <w:r w:rsidRPr="006B24DA">
        <w:rPr>
          <w:noProof/>
          <w:szCs w:val="24"/>
        </w:rPr>
        <w:t>, Bitner M, Mitrakov AA, Thuluvath PJ. Endoscopic suturing closure of large mucosal defects after endoscopic submucosal dissection is technically feasible, fast, and eliminates the need for hospitalization (with videos). </w:t>
      </w:r>
      <w:r w:rsidRPr="006B24DA">
        <w:rPr>
          <w:i/>
          <w:iCs/>
          <w:noProof/>
          <w:szCs w:val="24"/>
        </w:rPr>
        <w:t>Gastrointest Endosc</w:t>
      </w:r>
      <w:r w:rsidRPr="006B24DA">
        <w:rPr>
          <w:noProof/>
          <w:szCs w:val="24"/>
        </w:rPr>
        <w:t> 2014; </w:t>
      </w:r>
      <w:r w:rsidRPr="006B24DA">
        <w:rPr>
          <w:b/>
          <w:bCs/>
          <w:noProof/>
          <w:szCs w:val="24"/>
        </w:rPr>
        <w:t>79</w:t>
      </w:r>
      <w:r w:rsidRPr="006B24DA">
        <w:rPr>
          <w:noProof/>
          <w:szCs w:val="24"/>
        </w:rPr>
        <w:t>: 503-507 [PMID: 24332082 DOI: 10.1016/j.gie.2013.10.051]</w:t>
      </w:r>
    </w:p>
    <w:p w14:paraId="59DAACA7"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147 </w:t>
      </w:r>
      <w:r w:rsidRPr="006B24DA">
        <w:rPr>
          <w:b/>
          <w:bCs/>
          <w:noProof/>
          <w:szCs w:val="24"/>
        </w:rPr>
        <w:t>Kukreja K</w:t>
      </w:r>
      <w:r w:rsidRPr="006B24DA">
        <w:rPr>
          <w:noProof/>
          <w:szCs w:val="24"/>
        </w:rPr>
        <w:t>, Chennubhotla S, Bhandari B, Arora A, Singhal S. Closing the Gaps: Endoscopic Suturing for Large Submucosal and Full-Thickness Defects. </w:t>
      </w:r>
      <w:r w:rsidRPr="006B24DA">
        <w:rPr>
          <w:i/>
          <w:iCs/>
          <w:noProof/>
          <w:szCs w:val="24"/>
        </w:rPr>
        <w:t>Clin Endosc</w:t>
      </w:r>
      <w:r w:rsidRPr="006B24DA">
        <w:rPr>
          <w:noProof/>
          <w:szCs w:val="24"/>
        </w:rPr>
        <w:t> 2018; </w:t>
      </w:r>
      <w:r w:rsidRPr="006B24DA">
        <w:rPr>
          <w:b/>
          <w:bCs/>
          <w:noProof/>
          <w:szCs w:val="24"/>
        </w:rPr>
        <w:t>51</w:t>
      </w:r>
      <w:r w:rsidRPr="006B24DA">
        <w:rPr>
          <w:noProof/>
          <w:szCs w:val="24"/>
        </w:rPr>
        <w:t>: 352-356 [PMID: 29502382 DOI: 10.5946/ce.2017.117]</w:t>
      </w:r>
    </w:p>
    <w:p w14:paraId="351E6F64"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148 </w:t>
      </w:r>
      <w:r w:rsidRPr="006B24DA">
        <w:rPr>
          <w:b/>
          <w:bCs/>
          <w:noProof/>
          <w:szCs w:val="24"/>
        </w:rPr>
        <w:t>Jang S</w:t>
      </w:r>
      <w:r w:rsidRPr="006B24DA">
        <w:rPr>
          <w:noProof/>
          <w:szCs w:val="24"/>
        </w:rPr>
        <w:t>, Stevens T, Lopez R, Bhatt A, Vargo JJ. Superiority of Gastrojejunostomy Over Endoscopic Stenting for Palliation of Malignant Gastric Outlet Obstruction. </w:t>
      </w:r>
      <w:r w:rsidRPr="006B24DA">
        <w:rPr>
          <w:i/>
          <w:iCs/>
          <w:noProof/>
          <w:szCs w:val="24"/>
        </w:rPr>
        <w:t>Clin Gastroenterol Hepatol</w:t>
      </w:r>
      <w:r w:rsidRPr="006B24DA">
        <w:rPr>
          <w:noProof/>
          <w:szCs w:val="24"/>
        </w:rPr>
        <w:t> 2018; : [PMID: 30391433 DOI: 10.1016/j.cgh.2018.10.042]</w:t>
      </w:r>
    </w:p>
    <w:p w14:paraId="6BA4184E"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149 </w:t>
      </w:r>
      <w:r w:rsidRPr="006B24DA">
        <w:rPr>
          <w:b/>
          <w:bCs/>
          <w:noProof/>
          <w:szCs w:val="24"/>
        </w:rPr>
        <w:t>Khashab MA</w:t>
      </w:r>
      <w:r w:rsidRPr="006B24DA">
        <w:rPr>
          <w:noProof/>
          <w:szCs w:val="24"/>
        </w:rPr>
        <w:t>, Bukhari M, Baron TH, Nieto J, El Zein M, Chen YI, Chavez YH, Ngamruengphong S, Alawad AS, Kumbhari V, Itoi T. International multicenter comparative trial of endoscopic ultrasonography-guided gastroenterostomy versus surgical gastrojejunostomy for the treatment of malignant gastric outlet obstruction. </w:t>
      </w:r>
      <w:r w:rsidRPr="006B24DA">
        <w:rPr>
          <w:i/>
          <w:iCs/>
          <w:noProof/>
          <w:szCs w:val="24"/>
        </w:rPr>
        <w:t>Endosc Int Open</w:t>
      </w:r>
      <w:r w:rsidRPr="006B24DA">
        <w:rPr>
          <w:noProof/>
          <w:szCs w:val="24"/>
        </w:rPr>
        <w:t> 2017; </w:t>
      </w:r>
      <w:r w:rsidRPr="006B24DA">
        <w:rPr>
          <w:b/>
          <w:bCs/>
          <w:noProof/>
          <w:szCs w:val="24"/>
        </w:rPr>
        <w:t>5</w:t>
      </w:r>
      <w:r w:rsidRPr="006B24DA">
        <w:rPr>
          <w:noProof/>
          <w:szCs w:val="24"/>
        </w:rPr>
        <w:t>: E275-E281 [PMID: 28382326 DOI: 10.1055/s-0043-101695]</w:t>
      </w:r>
    </w:p>
    <w:p w14:paraId="11456565"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150 </w:t>
      </w:r>
      <w:r w:rsidRPr="006B24DA">
        <w:rPr>
          <w:b/>
          <w:bCs/>
          <w:noProof/>
          <w:szCs w:val="24"/>
        </w:rPr>
        <w:t>Khashab MA</w:t>
      </w:r>
      <w:r w:rsidRPr="006B24DA">
        <w:rPr>
          <w:noProof/>
          <w:szCs w:val="24"/>
        </w:rPr>
        <w:t xml:space="preserve">, Stein E, Clarke JO, Saxena P, Kumbhari V, Chander Roland B, Kalloo AN, Stavropoulos S, Pasricha P, Inoue H. Gastric peroral endoscopic myotomy for refractory gastroparesis: first human endoscopic pyloromyotomy (with </w:t>
      </w:r>
      <w:r w:rsidRPr="006B24DA">
        <w:rPr>
          <w:noProof/>
          <w:szCs w:val="24"/>
        </w:rPr>
        <w:lastRenderedPageBreak/>
        <w:t>video). </w:t>
      </w:r>
      <w:r w:rsidRPr="006B24DA">
        <w:rPr>
          <w:i/>
          <w:iCs/>
          <w:noProof/>
          <w:szCs w:val="24"/>
        </w:rPr>
        <w:t>Gastrointest Endosc</w:t>
      </w:r>
      <w:r w:rsidRPr="006B24DA">
        <w:rPr>
          <w:noProof/>
          <w:szCs w:val="24"/>
        </w:rPr>
        <w:t> 2013; </w:t>
      </w:r>
      <w:r w:rsidRPr="006B24DA">
        <w:rPr>
          <w:b/>
          <w:bCs/>
          <w:noProof/>
          <w:szCs w:val="24"/>
        </w:rPr>
        <w:t>78</w:t>
      </w:r>
      <w:r w:rsidRPr="006B24DA">
        <w:rPr>
          <w:noProof/>
          <w:szCs w:val="24"/>
        </w:rPr>
        <w:t>: 764-768 [PMID: 24120337 DOI: 10.1016/j.gie.2013.07.019]</w:t>
      </w:r>
    </w:p>
    <w:p w14:paraId="2E4F8D50"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151 </w:t>
      </w:r>
      <w:r w:rsidRPr="006B24DA">
        <w:rPr>
          <w:b/>
          <w:bCs/>
          <w:noProof/>
          <w:szCs w:val="24"/>
        </w:rPr>
        <w:t>Xu J</w:t>
      </w:r>
      <w:r w:rsidRPr="006B24DA">
        <w:rPr>
          <w:noProof/>
          <w:szCs w:val="24"/>
        </w:rPr>
        <w:t>, Chen T, Elkholy S, Xu M, Zhong Y, Zhang Y, Chen W, Qin W, Cai M, Zhou P. Gastric Peroral Endoscopic Myotomy (G-POEM) as a Treatment for Refractory Gastroparesis: Long-Term Outcomes. </w:t>
      </w:r>
      <w:r w:rsidRPr="006B24DA">
        <w:rPr>
          <w:i/>
          <w:iCs/>
          <w:noProof/>
          <w:szCs w:val="24"/>
        </w:rPr>
        <w:t>Can J Gastroenterol Hepatol</w:t>
      </w:r>
      <w:r w:rsidRPr="006B24DA">
        <w:rPr>
          <w:noProof/>
          <w:szCs w:val="24"/>
        </w:rPr>
        <w:t> 2018; </w:t>
      </w:r>
      <w:r w:rsidRPr="006B24DA">
        <w:rPr>
          <w:b/>
          <w:bCs/>
          <w:noProof/>
          <w:szCs w:val="24"/>
        </w:rPr>
        <w:t>2018</w:t>
      </w:r>
      <w:r w:rsidRPr="006B24DA">
        <w:rPr>
          <w:noProof/>
          <w:szCs w:val="24"/>
        </w:rPr>
        <w:t>: 6409698 [PMID: 30425974 DOI: 10.1155/2018/6409698]</w:t>
      </w:r>
    </w:p>
    <w:p w14:paraId="3CED03B0"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152 </w:t>
      </w:r>
      <w:r w:rsidRPr="006B24DA">
        <w:rPr>
          <w:b/>
          <w:bCs/>
          <w:noProof/>
          <w:szCs w:val="24"/>
        </w:rPr>
        <w:t>Mekaroonkamol P</w:t>
      </w:r>
      <w:r w:rsidRPr="006B24DA">
        <w:rPr>
          <w:noProof/>
          <w:szCs w:val="24"/>
        </w:rPr>
        <w:t>, Dacha S, Wang L, Li X, Jiang Y, Li L, Li T, Shahnavaz N, Sakaria S, LeVert FE, Keilin S, Willingham F, Christie J, Cai Q. Gastric Peroral Endoscopic Pyloromyotomy Reduces Symptoms, Increases Quality of Life, and Reduces Health Care Use For Patients With Gastroparesis. </w:t>
      </w:r>
      <w:r w:rsidRPr="006B24DA">
        <w:rPr>
          <w:i/>
          <w:iCs/>
          <w:noProof/>
          <w:szCs w:val="24"/>
        </w:rPr>
        <w:t>Clin Gastroenterol Hepatol</w:t>
      </w:r>
      <w:r w:rsidRPr="006B24DA">
        <w:rPr>
          <w:noProof/>
          <w:szCs w:val="24"/>
        </w:rPr>
        <w:t> 2018; : [PMID: 29660525 DOI: 10.1016/j.cgh.2018.04.016]</w:t>
      </w:r>
    </w:p>
    <w:p w14:paraId="6BB357AB"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153 </w:t>
      </w:r>
      <w:r w:rsidRPr="006B24DA">
        <w:rPr>
          <w:b/>
          <w:bCs/>
          <w:noProof/>
          <w:szCs w:val="24"/>
        </w:rPr>
        <w:t>Malik Z</w:t>
      </w:r>
      <w:r w:rsidRPr="006B24DA">
        <w:rPr>
          <w:noProof/>
          <w:szCs w:val="24"/>
        </w:rPr>
        <w:t>, Kataria R, Modayil R, Ehrlich AC, Schey R, Parkman HP, Stavropoulos SN. Gastric Per Oral Endoscopic Myotomy (G-POEM) for the Treatment of Refractory Gastroparesis: Early Experience. </w:t>
      </w:r>
      <w:r w:rsidRPr="006B24DA">
        <w:rPr>
          <w:i/>
          <w:iCs/>
          <w:noProof/>
          <w:szCs w:val="24"/>
        </w:rPr>
        <w:t>Dig Dis Sci</w:t>
      </w:r>
      <w:r w:rsidRPr="006B24DA">
        <w:rPr>
          <w:noProof/>
          <w:szCs w:val="24"/>
        </w:rPr>
        <w:t> 2018; </w:t>
      </w:r>
      <w:r w:rsidRPr="006B24DA">
        <w:rPr>
          <w:b/>
          <w:bCs/>
          <w:noProof/>
          <w:szCs w:val="24"/>
        </w:rPr>
        <w:t>63</w:t>
      </w:r>
      <w:r w:rsidRPr="006B24DA">
        <w:rPr>
          <w:noProof/>
          <w:szCs w:val="24"/>
        </w:rPr>
        <w:t>: 2405-2412 [PMID: 29468376 DOI: 10.1007/s10620-018-4976-9]</w:t>
      </w:r>
    </w:p>
    <w:p w14:paraId="5A372811"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154 </w:t>
      </w:r>
      <w:r w:rsidRPr="006B24DA">
        <w:rPr>
          <w:b/>
          <w:bCs/>
          <w:noProof/>
          <w:szCs w:val="24"/>
        </w:rPr>
        <w:t>Koul A</w:t>
      </w:r>
      <w:r w:rsidRPr="006B24DA">
        <w:rPr>
          <w:noProof/>
          <w:szCs w:val="24"/>
        </w:rPr>
        <w:t>, Dacha S, Mekaroonkamol P, Li X, Li L, Shahnavaz N, Keilin S, Willingham FF, Christie J, Cai Q. Fluoroscopic gastric peroral endoscopic pyloromyotomy (G-POEM) in patients with a failed gastric electrical stimulator. </w:t>
      </w:r>
      <w:r w:rsidRPr="006B24DA">
        <w:rPr>
          <w:i/>
          <w:iCs/>
          <w:noProof/>
          <w:szCs w:val="24"/>
        </w:rPr>
        <w:t xml:space="preserve">Gastroenterol Rep </w:t>
      </w:r>
      <w:r w:rsidRPr="006B24DA">
        <w:rPr>
          <w:iCs/>
          <w:noProof/>
          <w:szCs w:val="24"/>
        </w:rPr>
        <w:t>(Oxf)</w:t>
      </w:r>
      <w:r w:rsidRPr="006B24DA">
        <w:rPr>
          <w:noProof/>
          <w:szCs w:val="24"/>
        </w:rPr>
        <w:t> 2018; </w:t>
      </w:r>
      <w:r w:rsidRPr="006B24DA">
        <w:rPr>
          <w:b/>
          <w:bCs/>
          <w:noProof/>
          <w:szCs w:val="24"/>
        </w:rPr>
        <w:t>6</w:t>
      </w:r>
      <w:r w:rsidRPr="006B24DA">
        <w:rPr>
          <w:noProof/>
          <w:szCs w:val="24"/>
        </w:rPr>
        <w:t>: 122-126 [PMID: 29780600 DOI: 10.1093/gastro/gox040]</w:t>
      </w:r>
    </w:p>
    <w:p w14:paraId="1108F237"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155 </w:t>
      </w:r>
      <w:r w:rsidRPr="006B24DA">
        <w:rPr>
          <w:b/>
          <w:bCs/>
          <w:noProof/>
          <w:szCs w:val="24"/>
        </w:rPr>
        <w:t>Xue HB</w:t>
      </w:r>
      <w:r w:rsidRPr="006B24DA">
        <w:rPr>
          <w:noProof/>
          <w:szCs w:val="24"/>
        </w:rPr>
        <w:t>, Fan HZ, Meng XM, Cristofaro S, Mekaroonkamol P, Dacha S, Li LY, Fu XL, Zhan SH, Cai Q. Fluoroscopy-guided gastric peroral endoscopic pyloromyotomy (G-POEM): a more reliable and efficient method for treatment of refractory gastroparesis. </w:t>
      </w:r>
      <w:r w:rsidRPr="006B24DA">
        <w:rPr>
          <w:i/>
          <w:iCs/>
          <w:noProof/>
          <w:szCs w:val="24"/>
        </w:rPr>
        <w:t>Surg Endosc</w:t>
      </w:r>
      <w:r w:rsidRPr="006B24DA">
        <w:rPr>
          <w:noProof/>
          <w:szCs w:val="24"/>
        </w:rPr>
        <w:t> 2017; </w:t>
      </w:r>
      <w:r w:rsidRPr="006B24DA">
        <w:rPr>
          <w:b/>
          <w:bCs/>
          <w:noProof/>
          <w:szCs w:val="24"/>
        </w:rPr>
        <w:t>31</w:t>
      </w:r>
      <w:r w:rsidRPr="006B24DA">
        <w:rPr>
          <w:noProof/>
          <w:szCs w:val="24"/>
        </w:rPr>
        <w:t>: 4617-4624 [PMID: 28409375 DOI: 10.1007/s00464-017-5524-y]</w:t>
      </w:r>
    </w:p>
    <w:p w14:paraId="1F40D9E3"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156 </w:t>
      </w:r>
      <w:r w:rsidRPr="006B24DA">
        <w:rPr>
          <w:b/>
          <w:bCs/>
          <w:noProof/>
          <w:szCs w:val="24"/>
        </w:rPr>
        <w:t>Santos-Antunes J</w:t>
      </w:r>
      <w:r w:rsidRPr="006B24DA">
        <w:rPr>
          <w:noProof/>
          <w:szCs w:val="24"/>
        </w:rPr>
        <w:t>, Marques M, Pereira P, Rodrigues S, Gaspa R, Barbosa J, Costa EL, Pereira A, Costa Maia J, Macedo G. Endoscopic Pyloromyotomy for the Treatment of Severe Refractory Diabetic Gastroparesis. </w:t>
      </w:r>
      <w:r w:rsidRPr="006B24DA">
        <w:rPr>
          <w:i/>
          <w:iCs/>
          <w:noProof/>
          <w:szCs w:val="24"/>
        </w:rPr>
        <w:t>Am J Gastroenterol</w:t>
      </w:r>
      <w:r w:rsidRPr="006B24DA">
        <w:rPr>
          <w:noProof/>
          <w:szCs w:val="24"/>
        </w:rPr>
        <w:t> 2017; </w:t>
      </w:r>
      <w:r w:rsidRPr="006B24DA">
        <w:rPr>
          <w:b/>
          <w:bCs/>
          <w:noProof/>
          <w:szCs w:val="24"/>
        </w:rPr>
        <w:t>112</w:t>
      </w:r>
      <w:r w:rsidRPr="006B24DA">
        <w:rPr>
          <w:noProof/>
          <w:szCs w:val="24"/>
        </w:rPr>
        <w:t>: 16 [PMID: 28050040 DOI: 10.1038/ajg.2016.331]</w:t>
      </w:r>
    </w:p>
    <w:p w14:paraId="15F38BE5"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lastRenderedPageBreak/>
        <w:t>157 </w:t>
      </w:r>
      <w:r w:rsidRPr="006B24DA">
        <w:rPr>
          <w:b/>
          <w:bCs/>
          <w:noProof/>
          <w:szCs w:val="24"/>
        </w:rPr>
        <w:t>Rodriguez JH</w:t>
      </w:r>
      <w:r w:rsidRPr="006B24DA">
        <w:rPr>
          <w:noProof/>
          <w:szCs w:val="24"/>
        </w:rPr>
        <w:t>, Haskins IN, Strong AT, Plescia RL, Allemang MT, Butler RS, Cline MS, El-Hayek K, Ponsky JL, Kroh MD. Per oral endoscopic pyloromyotomy for refractory gastroparesis: initial results from a single institution. </w:t>
      </w:r>
      <w:r w:rsidRPr="006B24DA">
        <w:rPr>
          <w:i/>
          <w:iCs/>
          <w:noProof/>
          <w:szCs w:val="24"/>
        </w:rPr>
        <w:t>Surg Endosc</w:t>
      </w:r>
      <w:r w:rsidRPr="006B24DA">
        <w:rPr>
          <w:noProof/>
          <w:szCs w:val="24"/>
        </w:rPr>
        <w:t> 2017; </w:t>
      </w:r>
      <w:r w:rsidRPr="006B24DA">
        <w:rPr>
          <w:b/>
          <w:bCs/>
          <w:noProof/>
          <w:szCs w:val="24"/>
        </w:rPr>
        <w:t>31</w:t>
      </w:r>
      <w:r w:rsidRPr="006B24DA">
        <w:rPr>
          <w:noProof/>
          <w:szCs w:val="24"/>
        </w:rPr>
        <w:t>: 5381-5388 [PMID: 28567693 DOI: 10.1007/s00464-017-5619-5]</w:t>
      </w:r>
    </w:p>
    <w:p w14:paraId="3B4A8D09"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158 </w:t>
      </w:r>
      <w:r w:rsidRPr="006B24DA">
        <w:rPr>
          <w:b/>
          <w:bCs/>
          <w:noProof/>
          <w:szCs w:val="24"/>
        </w:rPr>
        <w:t>Khashab MA</w:t>
      </w:r>
      <w:r w:rsidRPr="006B24DA">
        <w:rPr>
          <w:noProof/>
          <w:szCs w:val="24"/>
        </w:rPr>
        <w:t>, Ngamruengphong S, Carr-Locke D, Bapaye A, Benias PC, Serouya S, Dorwat S, Chaves DM, Artifon E, de Moura EG, Kumbhari V, Chavez YH, Bukhari M, Hajiyeva G, Ismail A, Chen YI, Chung H. Gastric per-oral endoscopic myotomy for refractory gastroparesis: results from the first multicenter study on endoscopic pyloromyotomy (with video). </w:t>
      </w:r>
      <w:r w:rsidRPr="006B24DA">
        <w:rPr>
          <w:i/>
          <w:iCs/>
          <w:noProof/>
          <w:szCs w:val="24"/>
        </w:rPr>
        <w:t>Gastrointest Endosc</w:t>
      </w:r>
      <w:r w:rsidRPr="006B24DA">
        <w:rPr>
          <w:noProof/>
          <w:szCs w:val="24"/>
        </w:rPr>
        <w:t> 2017; </w:t>
      </w:r>
      <w:r w:rsidRPr="006B24DA">
        <w:rPr>
          <w:b/>
          <w:bCs/>
          <w:noProof/>
          <w:szCs w:val="24"/>
        </w:rPr>
        <w:t>85</w:t>
      </w:r>
      <w:r w:rsidRPr="006B24DA">
        <w:rPr>
          <w:noProof/>
          <w:szCs w:val="24"/>
        </w:rPr>
        <w:t>: 123-128 [PMID: 27354102 DOI: 10.1016/j.gie.2016.06.048]</w:t>
      </w:r>
    </w:p>
    <w:p w14:paraId="361158A1" w14:textId="2A05D7ED"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159 </w:t>
      </w:r>
      <w:r w:rsidRPr="006B24DA">
        <w:rPr>
          <w:b/>
          <w:bCs/>
          <w:noProof/>
          <w:szCs w:val="24"/>
        </w:rPr>
        <w:t>Gonzalez JM</w:t>
      </w:r>
      <w:r w:rsidRPr="006B24DA">
        <w:rPr>
          <w:noProof/>
          <w:szCs w:val="24"/>
        </w:rPr>
        <w:t>, Benezech A, Vitton V, Barthet M. G-POEM with antro-pyloromyotomy for the treatment of refractory gastroparesis: mid-term follow-up and factors predicting outcome. </w:t>
      </w:r>
      <w:r w:rsidRPr="006B24DA">
        <w:rPr>
          <w:i/>
          <w:iCs/>
          <w:noProof/>
          <w:szCs w:val="24"/>
        </w:rPr>
        <w:t xml:space="preserve">Aliment Pharmacol Ther </w:t>
      </w:r>
      <w:r w:rsidRPr="006B24DA">
        <w:rPr>
          <w:noProof/>
          <w:szCs w:val="24"/>
        </w:rPr>
        <w:t>2017; </w:t>
      </w:r>
      <w:r w:rsidRPr="006B24DA">
        <w:rPr>
          <w:b/>
          <w:bCs/>
          <w:noProof/>
          <w:szCs w:val="24"/>
        </w:rPr>
        <w:t>46</w:t>
      </w:r>
      <w:r w:rsidRPr="006B24DA">
        <w:rPr>
          <w:noProof/>
          <w:szCs w:val="24"/>
        </w:rPr>
        <w:t>: 364-370 [PMID: 28504312 DOI: 10.1111/apt.14132]</w:t>
      </w:r>
    </w:p>
    <w:p w14:paraId="5281E178"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160 </w:t>
      </w:r>
      <w:r w:rsidRPr="006B24DA">
        <w:rPr>
          <w:b/>
          <w:bCs/>
          <w:noProof/>
          <w:szCs w:val="24"/>
        </w:rPr>
        <w:t>Shlomovitz E</w:t>
      </w:r>
      <w:r w:rsidRPr="006B24DA">
        <w:rPr>
          <w:noProof/>
          <w:szCs w:val="24"/>
        </w:rPr>
        <w:t>, Pescarus R, Cassera MA, Sharata AM, Reavis KM, Dunst CM, Swanström LL. Early human experience with per-oral endoscopic pyloromyotomy (POP). </w:t>
      </w:r>
      <w:r w:rsidRPr="006B24DA">
        <w:rPr>
          <w:i/>
          <w:iCs/>
          <w:noProof/>
          <w:szCs w:val="24"/>
        </w:rPr>
        <w:t>Surg Endosc</w:t>
      </w:r>
      <w:r w:rsidRPr="006B24DA">
        <w:rPr>
          <w:noProof/>
          <w:szCs w:val="24"/>
        </w:rPr>
        <w:t> 2015; </w:t>
      </w:r>
      <w:r w:rsidRPr="006B24DA">
        <w:rPr>
          <w:b/>
          <w:bCs/>
          <w:noProof/>
          <w:szCs w:val="24"/>
        </w:rPr>
        <w:t>29</w:t>
      </w:r>
      <w:r w:rsidRPr="006B24DA">
        <w:rPr>
          <w:noProof/>
          <w:szCs w:val="24"/>
        </w:rPr>
        <w:t>: 543-551 [PMID: 25106716 DOI: 10.1007/s00464-014-3720-6]</w:t>
      </w:r>
    </w:p>
    <w:p w14:paraId="5BB38F49"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161 </w:t>
      </w:r>
      <w:r w:rsidRPr="006B24DA">
        <w:rPr>
          <w:b/>
          <w:bCs/>
          <w:noProof/>
          <w:szCs w:val="24"/>
        </w:rPr>
        <w:t>Lee AA</w:t>
      </w:r>
      <w:r w:rsidRPr="006B24DA">
        <w:rPr>
          <w:noProof/>
          <w:szCs w:val="24"/>
        </w:rPr>
        <w:t>, Hasler WL. G-POEM for Gastroparesis: Is There Pressure to Go with the Flow? </w:t>
      </w:r>
      <w:r w:rsidRPr="006B24DA">
        <w:rPr>
          <w:i/>
          <w:iCs/>
          <w:noProof/>
          <w:szCs w:val="24"/>
        </w:rPr>
        <w:t>Dig Dis Sci</w:t>
      </w:r>
      <w:r w:rsidRPr="006B24DA">
        <w:rPr>
          <w:noProof/>
          <w:szCs w:val="24"/>
        </w:rPr>
        <w:t> 2018; </w:t>
      </w:r>
      <w:r w:rsidRPr="006B24DA">
        <w:rPr>
          <w:b/>
          <w:bCs/>
          <w:noProof/>
          <w:szCs w:val="24"/>
        </w:rPr>
        <w:t>63</w:t>
      </w:r>
      <w:r w:rsidRPr="006B24DA">
        <w:rPr>
          <w:noProof/>
          <w:szCs w:val="24"/>
        </w:rPr>
        <w:t>: 2165-2167 [PMID: 29855769 DOI: 10.1007/s10620-018-5116-2]</w:t>
      </w:r>
    </w:p>
    <w:p w14:paraId="128CC36E"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162 </w:t>
      </w:r>
      <w:r w:rsidRPr="006B24DA">
        <w:rPr>
          <w:b/>
          <w:bCs/>
          <w:noProof/>
          <w:szCs w:val="24"/>
        </w:rPr>
        <w:t>Sullivan S</w:t>
      </w:r>
      <w:r w:rsidRPr="006B24DA">
        <w:rPr>
          <w:noProof/>
          <w:szCs w:val="24"/>
        </w:rPr>
        <w:t>, Edmundowicz SA, Thompson CC. Endoscopic Bariatric and Metabolic Therapies: New and Emerging Technologies. </w:t>
      </w:r>
      <w:r w:rsidRPr="006B24DA">
        <w:rPr>
          <w:i/>
          <w:iCs/>
          <w:noProof/>
          <w:szCs w:val="24"/>
        </w:rPr>
        <w:t>Gastroenterology</w:t>
      </w:r>
      <w:r w:rsidRPr="006B24DA">
        <w:rPr>
          <w:noProof/>
          <w:szCs w:val="24"/>
        </w:rPr>
        <w:t> 2017; </w:t>
      </w:r>
      <w:r w:rsidRPr="006B24DA">
        <w:rPr>
          <w:b/>
          <w:bCs/>
          <w:noProof/>
          <w:szCs w:val="24"/>
        </w:rPr>
        <w:t>152</w:t>
      </w:r>
      <w:r w:rsidRPr="006B24DA">
        <w:rPr>
          <w:noProof/>
          <w:szCs w:val="24"/>
        </w:rPr>
        <w:t>: 1791-1801 [PMID: 28192103 DOI: 10.1053/j.gastro.2017.01.044]</w:t>
      </w:r>
    </w:p>
    <w:p w14:paraId="3D32199E"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163 </w:t>
      </w:r>
      <w:r w:rsidRPr="006B24DA">
        <w:rPr>
          <w:b/>
          <w:bCs/>
          <w:noProof/>
          <w:szCs w:val="24"/>
        </w:rPr>
        <w:t>Kumbhari V</w:t>
      </w:r>
      <w:r w:rsidRPr="006B24DA">
        <w:rPr>
          <w:noProof/>
          <w:szCs w:val="24"/>
        </w:rPr>
        <w:t>, Hill C, Sullivan S. Bariatric endoscopy: state-of-the-art. </w:t>
      </w:r>
      <w:r w:rsidRPr="006B24DA">
        <w:rPr>
          <w:i/>
          <w:iCs/>
          <w:noProof/>
          <w:szCs w:val="24"/>
        </w:rPr>
        <w:t>Curr Opin Gastroenterol</w:t>
      </w:r>
      <w:r w:rsidRPr="006B24DA">
        <w:rPr>
          <w:noProof/>
          <w:szCs w:val="24"/>
        </w:rPr>
        <w:t> 2017; </w:t>
      </w:r>
      <w:r w:rsidRPr="006B24DA">
        <w:rPr>
          <w:b/>
          <w:bCs/>
          <w:noProof/>
          <w:szCs w:val="24"/>
        </w:rPr>
        <w:t>33</w:t>
      </w:r>
      <w:r w:rsidRPr="006B24DA">
        <w:rPr>
          <w:noProof/>
          <w:szCs w:val="24"/>
        </w:rPr>
        <w:t>: 358-365 [PMID: 28682794 DOI: 10.1097/MOG.0000000000000383]</w:t>
      </w:r>
    </w:p>
    <w:p w14:paraId="460DA740"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164 </w:t>
      </w:r>
      <w:r w:rsidRPr="006B24DA">
        <w:rPr>
          <w:b/>
          <w:bCs/>
          <w:noProof/>
          <w:szCs w:val="24"/>
        </w:rPr>
        <w:t>Jirapinyo P</w:t>
      </w:r>
      <w:r w:rsidRPr="006B24DA">
        <w:rPr>
          <w:noProof/>
          <w:szCs w:val="24"/>
        </w:rPr>
        <w:t>, Thompson CC. Endoscopic Bariatric and Metabolic Therapies: Surgical Analogues and Mechanisms of Action. </w:t>
      </w:r>
      <w:r w:rsidRPr="006B24DA">
        <w:rPr>
          <w:i/>
          <w:iCs/>
          <w:noProof/>
          <w:szCs w:val="24"/>
        </w:rPr>
        <w:t>Clin Gastroenterol Hepatol</w:t>
      </w:r>
      <w:r w:rsidRPr="006B24DA">
        <w:rPr>
          <w:noProof/>
          <w:szCs w:val="24"/>
        </w:rPr>
        <w:t> 2017; </w:t>
      </w:r>
      <w:r w:rsidRPr="006B24DA">
        <w:rPr>
          <w:b/>
          <w:bCs/>
          <w:noProof/>
          <w:szCs w:val="24"/>
        </w:rPr>
        <w:t>15</w:t>
      </w:r>
      <w:r w:rsidRPr="006B24DA">
        <w:rPr>
          <w:noProof/>
          <w:szCs w:val="24"/>
        </w:rPr>
        <w:t>: 619-630 [PMID: 27989851 DOI: 10.1016/j.cgh.2016.10.021]</w:t>
      </w:r>
    </w:p>
    <w:p w14:paraId="14D62ED3"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lastRenderedPageBreak/>
        <w:t>165 </w:t>
      </w:r>
      <w:r w:rsidRPr="006B24DA">
        <w:rPr>
          <w:b/>
          <w:bCs/>
          <w:noProof/>
          <w:szCs w:val="24"/>
        </w:rPr>
        <w:t>Abu Dayyeh BK</w:t>
      </w:r>
      <w:r w:rsidRPr="006B24DA">
        <w:rPr>
          <w:noProof/>
          <w:szCs w:val="24"/>
        </w:rPr>
        <w:t>, Edmundowicz S, Thompson CC. Clinical Practice Update: Expert Review on Endoscopic Bariatric Therapies. </w:t>
      </w:r>
      <w:r w:rsidRPr="006B24DA">
        <w:rPr>
          <w:i/>
          <w:iCs/>
          <w:noProof/>
          <w:szCs w:val="24"/>
        </w:rPr>
        <w:t>Gastroenterology</w:t>
      </w:r>
      <w:r w:rsidRPr="006B24DA">
        <w:rPr>
          <w:noProof/>
          <w:szCs w:val="24"/>
        </w:rPr>
        <w:t> 2017; </w:t>
      </w:r>
      <w:r w:rsidRPr="006B24DA">
        <w:rPr>
          <w:b/>
          <w:bCs/>
          <w:noProof/>
          <w:szCs w:val="24"/>
        </w:rPr>
        <w:t>152</w:t>
      </w:r>
      <w:r w:rsidRPr="006B24DA">
        <w:rPr>
          <w:noProof/>
          <w:szCs w:val="24"/>
        </w:rPr>
        <w:t>: 716-729 [PMID: 28147221 DOI: 10.1053/j.gastro.2017.01.035]</w:t>
      </w:r>
    </w:p>
    <w:p w14:paraId="77CF0FB1"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166 </w:t>
      </w:r>
      <w:r w:rsidRPr="006B24DA">
        <w:rPr>
          <w:b/>
          <w:bCs/>
          <w:noProof/>
          <w:szCs w:val="24"/>
        </w:rPr>
        <w:t>Sartoretto A</w:t>
      </w:r>
      <w:r w:rsidRPr="006B24DA">
        <w:rPr>
          <w:noProof/>
          <w:szCs w:val="24"/>
        </w:rPr>
        <w:t>, Sui Z, Hill C, Dunlap M, Rivera AR, Khashab MA, Kalloo AN, Fayad L, Cheskin LJ, Marinos G, Wilson E, Kumbhari V. Endoscopic Sleeve Gastroplasty (ESG) Is a Reproducible and Effective Endoscopic Bariatric Therapy Suitable for Widespread Clinical Adoption: a Large, International Multicenter Study. </w:t>
      </w:r>
      <w:r w:rsidRPr="006B24DA">
        <w:rPr>
          <w:i/>
          <w:iCs/>
          <w:noProof/>
          <w:szCs w:val="24"/>
        </w:rPr>
        <w:t>Obes Surg</w:t>
      </w:r>
      <w:r w:rsidRPr="006B24DA">
        <w:rPr>
          <w:noProof/>
          <w:szCs w:val="24"/>
        </w:rPr>
        <w:t> 2018; </w:t>
      </w:r>
      <w:r w:rsidRPr="006B24DA">
        <w:rPr>
          <w:b/>
          <w:bCs/>
          <w:noProof/>
          <w:szCs w:val="24"/>
        </w:rPr>
        <w:t>28</w:t>
      </w:r>
      <w:r w:rsidRPr="006B24DA">
        <w:rPr>
          <w:noProof/>
          <w:szCs w:val="24"/>
        </w:rPr>
        <w:t>: 1812-1821 [PMID: 29450845 DOI: 10.1007/s11695-018-3135-x]</w:t>
      </w:r>
    </w:p>
    <w:p w14:paraId="5D99FE99"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167 </w:t>
      </w:r>
      <w:r w:rsidRPr="006B24DA">
        <w:rPr>
          <w:b/>
          <w:bCs/>
          <w:noProof/>
          <w:szCs w:val="24"/>
        </w:rPr>
        <w:t>Lopez-Nava G</w:t>
      </w:r>
      <w:r w:rsidRPr="006B24DA">
        <w:rPr>
          <w:noProof/>
          <w:szCs w:val="24"/>
        </w:rPr>
        <w:t>, Sharaiha RZ, Vargas EJ, Bazerbachi F, Manoel GN, Bautista-Castaño I, Acosta A, Topazian MD, Mundi MS, Kumta N, Kahaleh M, Herr AM, Shukla A, Aronne L, Gostout CJ, Abu Dayyeh BK. Endoscopic Sleeve Gastroplasty for Obesity: a Multicenter Study of 248 Patients with 24 Months Follow-Up. </w:t>
      </w:r>
      <w:r w:rsidRPr="006B24DA">
        <w:rPr>
          <w:i/>
          <w:iCs/>
          <w:noProof/>
          <w:szCs w:val="24"/>
        </w:rPr>
        <w:t>Obes Surg</w:t>
      </w:r>
      <w:r w:rsidRPr="006B24DA">
        <w:rPr>
          <w:noProof/>
          <w:szCs w:val="24"/>
        </w:rPr>
        <w:t> 2017; </w:t>
      </w:r>
      <w:r w:rsidRPr="006B24DA">
        <w:rPr>
          <w:b/>
          <w:bCs/>
          <w:noProof/>
          <w:szCs w:val="24"/>
        </w:rPr>
        <w:t>27</w:t>
      </w:r>
      <w:r w:rsidRPr="006B24DA">
        <w:rPr>
          <w:noProof/>
          <w:szCs w:val="24"/>
        </w:rPr>
        <w:t>: 2649-2655 [PMID: 28451929 DOI: 10.1007/s11695-017-2693-7]</w:t>
      </w:r>
    </w:p>
    <w:p w14:paraId="77C912D0"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168 </w:t>
      </w:r>
      <w:r w:rsidRPr="006B24DA">
        <w:rPr>
          <w:b/>
          <w:bCs/>
          <w:noProof/>
          <w:szCs w:val="24"/>
        </w:rPr>
        <w:t>Courcoulas A</w:t>
      </w:r>
      <w:r w:rsidRPr="006B24DA">
        <w:rPr>
          <w:noProof/>
          <w:szCs w:val="24"/>
        </w:rPr>
        <w:t>, Abu Dayyeh BK, Eaton L, Robinson J, Woodman G, Fusco M, Shayani V, Billy H, Pambianco D, Gostout C. Intragastric balloon as an adjunct to lifestyle intervention: a randomized controlled trial. </w:t>
      </w:r>
      <w:r w:rsidRPr="006B24DA">
        <w:rPr>
          <w:i/>
          <w:iCs/>
          <w:noProof/>
          <w:szCs w:val="24"/>
        </w:rPr>
        <w:t xml:space="preserve">Int J Obes </w:t>
      </w:r>
      <w:r w:rsidRPr="006B24DA">
        <w:rPr>
          <w:iCs/>
          <w:noProof/>
          <w:szCs w:val="24"/>
        </w:rPr>
        <w:t>(Lond)</w:t>
      </w:r>
      <w:r w:rsidRPr="006B24DA">
        <w:rPr>
          <w:noProof/>
          <w:szCs w:val="24"/>
        </w:rPr>
        <w:t> 2017; </w:t>
      </w:r>
      <w:r w:rsidRPr="006B24DA">
        <w:rPr>
          <w:b/>
          <w:bCs/>
          <w:noProof/>
          <w:szCs w:val="24"/>
        </w:rPr>
        <w:t>41</w:t>
      </w:r>
      <w:r w:rsidRPr="006B24DA">
        <w:rPr>
          <w:noProof/>
          <w:szCs w:val="24"/>
        </w:rPr>
        <w:t>: 427-433 [PMID: 28017964 DOI: 10.1038/ijo.2016.229]</w:t>
      </w:r>
    </w:p>
    <w:p w14:paraId="77E3B097"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169 </w:t>
      </w:r>
      <w:r w:rsidRPr="006B24DA">
        <w:rPr>
          <w:b/>
          <w:bCs/>
          <w:noProof/>
          <w:szCs w:val="24"/>
        </w:rPr>
        <w:t>Rothstein RI</w:t>
      </w:r>
      <w:r w:rsidRPr="006B24DA">
        <w:rPr>
          <w:noProof/>
          <w:szCs w:val="24"/>
        </w:rPr>
        <w:t>. Bariatric and Metabolic Endoscopy. </w:t>
      </w:r>
      <w:r w:rsidRPr="006B24DA">
        <w:rPr>
          <w:i/>
          <w:iCs/>
          <w:noProof/>
          <w:szCs w:val="24"/>
        </w:rPr>
        <w:t>Gastrointest Endosc Clin N Am</w:t>
      </w:r>
      <w:r w:rsidRPr="006B24DA">
        <w:rPr>
          <w:noProof/>
          <w:szCs w:val="24"/>
        </w:rPr>
        <w:t> 2017; </w:t>
      </w:r>
      <w:r w:rsidRPr="006B24DA">
        <w:rPr>
          <w:b/>
          <w:bCs/>
          <w:noProof/>
          <w:szCs w:val="24"/>
        </w:rPr>
        <w:t>27</w:t>
      </w:r>
      <w:r w:rsidRPr="006B24DA">
        <w:rPr>
          <w:noProof/>
          <w:szCs w:val="24"/>
        </w:rPr>
        <w:t>: xv-xvi [PMID: 28292413 DOI: 10.1016/j.giec.2017.01.006]</w:t>
      </w:r>
    </w:p>
    <w:p w14:paraId="74FA9AF2"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170 </w:t>
      </w:r>
      <w:r w:rsidRPr="006B24DA">
        <w:rPr>
          <w:b/>
          <w:bCs/>
          <w:noProof/>
          <w:szCs w:val="24"/>
        </w:rPr>
        <w:t>Klobucar Majanovic S</w:t>
      </w:r>
      <w:r w:rsidRPr="006B24DA">
        <w:rPr>
          <w:noProof/>
          <w:szCs w:val="24"/>
        </w:rPr>
        <w:t>, Brozovic B, Stimac D. Bariatric endoscopy: current state of the art, emerging technologies, and challenges. </w:t>
      </w:r>
      <w:r w:rsidRPr="006B24DA">
        <w:rPr>
          <w:i/>
          <w:iCs/>
          <w:noProof/>
          <w:szCs w:val="24"/>
        </w:rPr>
        <w:t>Expert Rev Med Devices</w:t>
      </w:r>
      <w:r w:rsidRPr="006B24DA">
        <w:rPr>
          <w:noProof/>
          <w:szCs w:val="24"/>
        </w:rPr>
        <w:t> 2017; </w:t>
      </w:r>
      <w:r w:rsidRPr="006B24DA">
        <w:rPr>
          <w:b/>
          <w:bCs/>
          <w:noProof/>
          <w:szCs w:val="24"/>
        </w:rPr>
        <w:t>14</w:t>
      </w:r>
      <w:r w:rsidRPr="006B24DA">
        <w:rPr>
          <w:noProof/>
          <w:szCs w:val="24"/>
        </w:rPr>
        <w:t>: 149-159 [PMID: 28081657 DOI: 10.1080/17434440.2017.1281741]</w:t>
      </w:r>
    </w:p>
    <w:p w14:paraId="4D172D20"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171 </w:t>
      </w:r>
      <w:r w:rsidRPr="006B24DA">
        <w:rPr>
          <w:b/>
          <w:bCs/>
          <w:noProof/>
          <w:szCs w:val="24"/>
        </w:rPr>
        <w:t>Chang KJ</w:t>
      </w:r>
      <w:r w:rsidRPr="006B24DA">
        <w:rPr>
          <w:noProof/>
          <w:szCs w:val="24"/>
        </w:rPr>
        <w:t>, Samarasena JB, Iwashita T, Nakai Y, Lee JG. Endo-hepatology: a new paradigm. </w:t>
      </w:r>
      <w:r w:rsidRPr="006B24DA">
        <w:rPr>
          <w:i/>
          <w:iCs/>
          <w:noProof/>
          <w:szCs w:val="24"/>
        </w:rPr>
        <w:t>Gastrointest Endosc Clin N Am</w:t>
      </w:r>
      <w:r w:rsidRPr="006B24DA">
        <w:rPr>
          <w:noProof/>
          <w:szCs w:val="24"/>
        </w:rPr>
        <w:t> 2012; </w:t>
      </w:r>
      <w:r w:rsidRPr="006B24DA">
        <w:rPr>
          <w:b/>
          <w:bCs/>
          <w:noProof/>
          <w:szCs w:val="24"/>
        </w:rPr>
        <w:t>22</w:t>
      </w:r>
      <w:r w:rsidRPr="006B24DA">
        <w:rPr>
          <w:noProof/>
          <w:szCs w:val="24"/>
        </w:rPr>
        <w:t>: 379-385, xi [PMID: 22632959 DOI: 10.1016/j.giec.2012.04.010]</w:t>
      </w:r>
    </w:p>
    <w:p w14:paraId="0D2AFE2B"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172 </w:t>
      </w:r>
      <w:r w:rsidRPr="006B24DA">
        <w:rPr>
          <w:b/>
          <w:bCs/>
          <w:noProof/>
          <w:szCs w:val="24"/>
        </w:rPr>
        <w:t>Chang KJ</w:t>
      </w:r>
      <w:r w:rsidRPr="006B24DA">
        <w:rPr>
          <w:noProof/>
          <w:szCs w:val="24"/>
        </w:rPr>
        <w:t>, Albers CG, Erickson RA, Butler JA, Wuerker RB, Lin F. Endoscopic ultrasound-guided fine needle aspiration of pancreatic carcinoma. </w:t>
      </w:r>
      <w:r w:rsidRPr="006B24DA">
        <w:rPr>
          <w:i/>
          <w:iCs/>
          <w:noProof/>
          <w:szCs w:val="24"/>
        </w:rPr>
        <w:t>Am J Gastroenterol</w:t>
      </w:r>
      <w:r w:rsidRPr="006B24DA">
        <w:rPr>
          <w:noProof/>
          <w:szCs w:val="24"/>
        </w:rPr>
        <w:t> 1994; </w:t>
      </w:r>
      <w:r w:rsidRPr="006B24DA">
        <w:rPr>
          <w:b/>
          <w:bCs/>
          <w:noProof/>
          <w:szCs w:val="24"/>
        </w:rPr>
        <w:t>89</w:t>
      </w:r>
      <w:r w:rsidRPr="006B24DA">
        <w:rPr>
          <w:noProof/>
          <w:szCs w:val="24"/>
        </w:rPr>
        <w:t>: 263-266 [PMID: 8304315]</w:t>
      </w:r>
    </w:p>
    <w:p w14:paraId="45656D6B"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lastRenderedPageBreak/>
        <w:t>173 </w:t>
      </w:r>
      <w:r w:rsidRPr="006B24DA">
        <w:rPr>
          <w:b/>
          <w:bCs/>
          <w:noProof/>
          <w:szCs w:val="24"/>
        </w:rPr>
        <w:t>Chang KJ</w:t>
      </w:r>
      <w:r w:rsidRPr="006B24DA">
        <w:rPr>
          <w:noProof/>
          <w:szCs w:val="24"/>
        </w:rPr>
        <w:t>, Katz KD, Durbin TE, Erickson RA, Butler JA, Lin F, Wuerker RB. Endoscopic ultrasound-guided fine-needle aspiration. </w:t>
      </w:r>
      <w:r w:rsidRPr="006B24DA">
        <w:rPr>
          <w:i/>
          <w:iCs/>
          <w:noProof/>
          <w:szCs w:val="24"/>
        </w:rPr>
        <w:t>Gastrointest Endosc</w:t>
      </w:r>
      <w:r w:rsidRPr="006B24DA">
        <w:rPr>
          <w:noProof/>
          <w:szCs w:val="24"/>
        </w:rPr>
        <w:t> 1994; </w:t>
      </w:r>
      <w:r w:rsidRPr="006B24DA">
        <w:rPr>
          <w:b/>
          <w:bCs/>
          <w:noProof/>
          <w:szCs w:val="24"/>
        </w:rPr>
        <w:t>40</w:t>
      </w:r>
      <w:r w:rsidRPr="006B24DA">
        <w:rPr>
          <w:noProof/>
          <w:szCs w:val="24"/>
        </w:rPr>
        <w:t>: 694-699 [PMID: 7859967]</w:t>
      </w:r>
    </w:p>
    <w:p w14:paraId="5F238BBE"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174 </w:t>
      </w:r>
      <w:r w:rsidRPr="006B24DA">
        <w:rPr>
          <w:b/>
          <w:bCs/>
          <w:noProof/>
          <w:szCs w:val="24"/>
        </w:rPr>
        <w:t>Chang KJ</w:t>
      </w:r>
      <w:r w:rsidRPr="006B24DA">
        <w:rPr>
          <w:noProof/>
          <w:szCs w:val="24"/>
        </w:rPr>
        <w:t>. Endoscopic ultrasound-guided fine needle aspiration in the diagnosis and staging of pancreatic tumors. </w:t>
      </w:r>
      <w:r w:rsidRPr="006B24DA">
        <w:rPr>
          <w:i/>
          <w:iCs/>
          <w:noProof/>
          <w:szCs w:val="24"/>
        </w:rPr>
        <w:t>Gastrointest Endosc Clin N Am</w:t>
      </w:r>
      <w:r w:rsidRPr="006B24DA">
        <w:rPr>
          <w:noProof/>
          <w:szCs w:val="24"/>
        </w:rPr>
        <w:t> 1995; </w:t>
      </w:r>
      <w:r w:rsidRPr="006B24DA">
        <w:rPr>
          <w:b/>
          <w:bCs/>
          <w:noProof/>
          <w:szCs w:val="24"/>
        </w:rPr>
        <w:t>5</w:t>
      </w:r>
      <w:r w:rsidRPr="006B24DA">
        <w:rPr>
          <w:noProof/>
          <w:szCs w:val="24"/>
        </w:rPr>
        <w:t>: 723-734 [PMID: 8535620]</w:t>
      </w:r>
    </w:p>
    <w:p w14:paraId="71B4EB1C"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175 </w:t>
      </w:r>
      <w:r w:rsidRPr="006B24DA">
        <w:rPr>
          <w:b/>
          <w:bCs/>
          <w:noProof/>
          <w:szCs w:val="24"/>
        </w:rPr>
        <w:t>Chang KJ</w:t>
      </w:r>
      <w:r w:rsidRPr="006B24DA">
        <w:rPr>
          <w:noProof/>
          <w:szCs w:val="24"/>
        </w:rPr>
        <w:t>, Albers CG, Nguyen P. Endoscopic ultrasound-guided fine needle aspiration of pleural and ascitic fluid. </w:t>
      </w:r>
      <w:r w:rsidRPr="006B24DA">
        <w:rPr>
          <w:i/>
          <w:iCs/>
          <w:noProof/>
          <w:szCs w:val="24"/>
        </w:rPr>
        <w:t>Am J Gastroenterol</w:t>
      </w:r>
      <w:r w:rsidRPr="006B24DA">
        <w:rPr>
          <w:noProof/>
          <w:szCs w:val="24"/>
        </w:rPr>
        <w:t> 1995; </w:t>
      </w:r>
      <w:r w:rsidRPr="006B24DA">
        <w:rPr>
          <w:b/>
          <w:bCs/>
          <w:noProof/>
          <w:szCs w:val="24"/>
        </w:rPr>
        <w:t>90</w:t>
      </w:r>
      <w:r w:rsidRPr="006B24DA">
        <w:rPr>
          <w:noProof/>
          <w:szCs w:val="24"/>
        </w:rPr>
        <w:t>: 148-150 [PMID: 7801920]</w:t>
      </w:r>
    </w:p>
    <w:p w14:paraId="44AC9160"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176 </w:t>
      </w:r>
      <w:r w:rsidRPr="006B24DA">
        <w:rPr>
          <w:b/>
          <w:bCs/>
          <w:noProof/>
          <w:szCs w:val="24"/>
        </w:rPr>
        <w:t>Cahn M</w:t>
      </w:r>
      <w:r w:rsidRPr="006B24DA">
        <w:rPr>
          <w:noProof/>
          <w:szCs w:val="24"/>
        </w:rPr>
        <w:t>, Chang K, Nguyen P, Butler J. Impact of endoscopic ultrasound with fine-needle aspiration on the surgical management of pancreatic cancer. </w:t>
      </w:r>
      <w:r w:rsidRPr="006B24DA">
        <w:rPr>
          <w:i/>
          <w:iCs/>
          <w:noProof/>
          <w:szCs w:val="24"/>
        </w:rPr>
        <w:t>Am J Surg</w:t>
      </w:r>
      <w:r w:rsidRPr="006B24DA">
        <w:rPr>
          <w:noProof/>
          <w:szCs w:val="24"/>
        </w:rPr>
        <w:t> 1996; </w:t>
      </w:r>
      <w:r w:rsidRPr="006B24DA">
        <w:rPr>
          <w:b/>
          <w:bCs/>
          <w:noProof/>
          <w:szCs w:val="24"/>
        </w:rPr>
        <w:t>172</w:t>
      </w:r>
      <w:r w:rsidRPr="006B24DA">
        <w:rPr>
          <w:noProof/>
          <w:szCs w:val="24"/>
        </w:rPr>
        <w:t>: 470-472 [PMID: 8942546 DOI: 10.1016/S0002-9610(96)00222-X]</w:t>
      </w:r>
    </w:p>
    <w:p w14:paraId="2B51E1A0"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177 </w:t>
      </w:r>
      <w:r w:rsidRPr="006B24DA">
        <w:rPr>
          <w:b/>
          <w:bCs/>
          <w:noProof/>
          <w:szCs w:val="24"/>
        </w:rPr>
        <w:t>Chang KJ</w:t>
      </w:r>
      <w:r w:rsidRPr="006B24DA">
        <w:rPr>
          <w:noProof/>
          <w:szCs w:val="24"/>
        </w:rPr>
        <w:t>. Endoscopic ultrasound: moving toward permanence. </w:t>
      </w:r>
      <w:r w:rsidRPr="006B24DA">
        <w:rPr>
          <w:i/>
          <w:iCs/>
          <w:noProof/>
          <w:szCs w:val="24"/>
        </w:rPr>
        <w:t>Gastrointest Endosc</w:t>
      </w:r>
      <w:r w:rsidRPr="006B24DA">
        <w:rPr>
          <w:noProof/>
          <w:szCs w:val="24"/>
        </w:rPr>
        <w:t> 1996; </w:t>
      </w:r>
      <w:r w:rsidRPr="006B24DA">
        <w:rPr>
          <w:b/>
          <w:bCs/>
          <w:noProof/>
          <w:szCs w:val="24"/>
        </w:rPr>
        <w:t>44</w:t>
      </w:r>
      <w:r w:rsidRPr="006B24DA">
        <w:rPr>
          <w:noProof/>
          <w:szCs w:val="24"/>
        </w:rPr>
        <w:t>: 502-504 [PMID: 8905382]</w:t>
      </w:r>
    </w:p>
    <w:p w14:paraId="7F49711E"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178 </w:t>
      </w:r>
      <w:r w:rsidRPr="006B24DA">
        <w:rPr>
          <w:b/>
          <w:bCs/>
          <w:noProof/>
          <w:szCs w:val="24"/>
        </w:rPr>
        <w:t>Chang KJ</w:t>
      </w:r>
      <w:r w:rsidRPr="006B24DA">
        <w:rPr>
          <w:noProof/>
          <w:szCs w:val="24"/>
        </w:rPr>
        <w:t>, Erickson RA, Nguyen P. Endoscopic ultrasound (EUS) and EUS-guided fine-needle aspiration of the left adrenal gland. </w:t>
      </w:r>
      <w:r w:rsidRPr="006B24DA">
        <w:rPr>
          <w:i/>
          <w:iCs/>
          <w:noProof/>
          <w:szCs w:val="24"/>
        </w:rPr>
        <w:t>Gastrointest Endosc</w:t>
      </w:r>
      <w:r w:rsidRPr="006B24DA">
        <w:rPr>
          <w:noProof/>
          <w:szCs w:val="24"/>
        </w:rPr>
        <w:t> 1996; </w:t>
      </w:r>
      <w:r w:rsidRPr="006B24DA">
        <w:rPr>
          <w:b/>
          <w:bCs/>
          <w:noProof/>
          <w:szCs w:val="24"/>
        </w:rPr>
        <w:t>44</w:t>
      </w:r>
      <w:r w:rsidRPr="006B24DA">
        <w:rPr>
          <w:noProof/>
          <w:szCs w:val="24"/>
        </w:rPr>
        <w:t>: 568-572 [PMID: 8934163]</w:t>
      </w:r>
    </w:p>
    <w:p w14:paraId="3F857C5E" w14:textId="3D396F32"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179 </w:t>
      </w:r>
      <w:r w:rsidRPr="006B24DA">
        <w:rPr>
          <w:b/>
          <w:bCs/>
          <w:noProof/>
          <w:szCs w:val="24"/>
        </w:rPr>
        <w:t>Chang KJ</w:t>
      </w:r>
      <w:r w:rsidRPr="006B24DA">
        <w:rPr>
          <w:noProof/>
          <w:szCs w:val="24"/>
        </w:rPr>
        <w:t>, Nguyen P, Erickson RA, Durbin TE, Katz KD. The clinical utility of endoscopic ultrasound-guided fine-needle aspiration in the diagnosis and staging of pancreatic carcinoma. </w:t>
      </w:r>
      <w:r w:rsidRPr="006B24DA">
        <w:rPr>
          <w:i/>
          <w:iCs/>
          <w:noProof/>
          <w:szCs w:val="24"/>
        </w:rPr>
        <w:t xml:space="preserve">Gastrointest Endosc </w:t>
      </w:r>
      <w:r w:rsidRPr="006B24DA">
        <w:rPr>
          <w:noProof/>
          <w:szCs w:val="24"/>
        </w:rPr>
        <w:t>1997; </w:t>
      </w:r>
      <w:r w:rsidRPr="006B24DA">
        <w:rPr>
          <w:b/>
          <w:bCs/>
          <w:noProof/>
          <w:szCs w:val="24"/>
        </w:rPr>
        <w:t>45</w:t>
      </w:r>
      <w:r w:rsidRPr="006B24DA">
        <w:rPr>
          <w:noProof/>
          <w:szCs w:val="24"/>
        </w:rPr>
        <w:t>: 387-393 [PMID: 9165320]</w:t>
      </w:r>
    </w:p>
    <w:p w14:paraId="7F00EE59"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180 </w:t>
      </w:r>
      <w:r w:rsidRPr="006B24DA">
        <w:rPr>
          <w:b/>
          <w:bCs/>
          <w:noProof/>
          <w:szCs w:val="24"/>
        </w:rPr>
        <w:t>Chang KJ</w:t>
      </w:r>
      <w:r w:rsidRPr="006B24DA">
        <w:rPr>
          <w:noProof/>
          <w:szCs w:val="24"/>
        </w:rPr>
        <w:t>. Endoscopic ultrasound (EUS)-guided fine needle aspiration (FNA) in the USA. </w:t>
      </w:r>
      <w:r w:rsidRPr="006B24DA">
        <w:rPr>
          <w:i/>
          <w:iCs/>
          <w:noProof/>
          <w:szCs w:val="24"/>
        </w:rPr>
        <w:t>Endoscopy</w:t>
      </w:r>
      <w:r w:rsidRPr="006B24DA">
        <w:rPr>
          <w:noProof/>
          <w:szCs w:val="24"/>
        </w:rPr>
        <w:t> 1998; </w:t>
      </w:r>
      <w:r w:rsidRPr="006B24DA">
        <w:rPr>
          <w:b/>
          <w:bCs/>
          <w:noProof/>
          <w:szCs w:val="24"/>
        </w:rPr>
        <w:t>30 Suppl 1</w:t>
      </w:r>
      <w:r w:rsidRPr="006B24DA">
        <w:rPr>
          <w:noProof/>
          <w:szCs w:val="24"/>
        </w:rPr>
        <w:t>: A159-A160 [PMID: 9765114]</w:t>
      </w:r>
    </w:p>
    <w:p w14:paraId="61C4C21E"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181 </w:t>
      </w:r>
      <w:r w:rsidRPr="006B24DA">
        <w:rPr>
          <w:b/>
          <w:bCs/>
          <w:noProof/>
          <w:szCs w:val="24"/>
        </w:rPr>
        <w:t>Serna DL</w:t>
      </w:r>
      <w:r w:rsidRPr="006B24DA">
        <w:rPr>
          <w:noProof/>
          <w:szCs w:val="24"/>
        </w:rPr>
        <w:t>, Aryan HE, Chang KJ, Brenner M, Tran LM, Chen JC. An early comparison between endoscopic ultrasound-guided fine-needle aspiration and mediastinoscopy for diagnosis of mediastinal malignancy. </w:t>
      </w:r>
      <w:r w:rsidRPr="006B24DA">
        <w:rPr>
          <w:i/>
          <w:iCs/>
          <w:noProof/>
          <w:szCs w:val="24"/>
        </w:rPr>
        <w:t>Am Surg</w:t>
      </w:r>
      <w:r w:rsidRPr="006B24DA">
        <w:rPr>
          <w:noProof/>
          <w:szCs w:val="24"/>
        </w:rPr>
        <w:t> 1998; </w:t>
      </w:r>
      <w:r w:rsidRPr="006B24DA">
        <w:rPr>
          <w:b/>
          <w:bCs/>
          <w:noProof/>
          <w:szCs w:val="24"/>
        </w:rPr>
        <w:t>64</w:t>
      </w:r>
      <w:r w:rsidRPr="006B24DA">
        <w:rPr>
          <w:noProof/>
          <w:szCs w:val="24"/>
        </w:rPr>
        <w:t>: 1014-1018 [PMID: 9764715]</w:t>
      </w:r>
    </w:p>
    <w:p w14:paraId="5457E76B"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182 </w:t>
      </w:r>
      <w:r w:rsidRPr="006B24DA">
        <w:rPr>
          <w:b/>
          <w:bCs/>
          <w:noProof/>
          <w:szCs w:val="24"/>
        </w:rPr>
        <w:t>Nguyen P</w:t>
      </w:r>
      <w:r w:rsidRPr="006B24DA">
        <w:rPr>
          <w:noProof/>
          <w:szCs w:val="24"/>
        </w:rPr>
        <w:t>, Feng JC, Chang KJ. Endoscopic ultrasound (EUS) and EUS-guided fine-needle aspiration (FNA) of liver lesions. </w:t>
      </w:r>
      <w:r w:rsidRPr="006B24DA">
        <w:rPr>
          <w:i/>
          <w:iCs/>
          <w:noProof/>
          <w:szCs w:val="24"/>
        </w:rPr>
        <w:t>Gastrointest Endosc</w:t>
      </w:r>
      <w:r w:rsidRPr="006B24DA">
        <w:rPr>
          <w:noProof/>
          <w:szCs w:val="24"/>
        </w:rPr>
        <w:t> 1999; </w:t>
      </w:r>
      <w:r w:rsidRPr="006B24DA">
        <w:rPr>
          <w:b/>
          <w:bCs/>
          <w:noProof/>
          <w:szCs w:val="24"/>
        </w:rPr>
        <w:t>50</w:t>
      </w:r>
      <w:r w:rsidRPr="006B24DA">
        <w:rPr>
          <w:noProof/>
          <w:szCs w:val="24"/>
        </w:rPr>
        <w:t>: 357-361 [PMID: 10462656 DOI: 10.1053/ge.1999.v50.97208]</w:t>
      </w:r>
    </w:p>
    <w:p w14:paraId="4B55CAA3"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lastRenderedPageBreak/>
        <w:t>183 </w:t>
      </w:r>
      <w:r w:rsidRPr="006B24DA">
        <w:rPr>
          <w:b/>
          <w:bCs/>
          <w:noProof/>
          <w:szCs w:val="24"/>
        </w:rPr>
        <w:t>Wiersema MJ</w:t>
      </w:r>
      <w:r w:rsidRPr="006B24DA">
        <w:rPr>
          <w:noProof/>
          <w:szCs w:val="24"/>
        </w:rPr>
        <w:t>, Vilmann P, Giovannini M, Chang KJ, Wiersema LM. Endosonography-guided fine-needle aspiration biopsy: diagnostic accuracy and complication assessment. </w:t>
      </w:r>
      <w:r w:rsidRPr="006B24DA">
        <w:rPr>
          <w:i/>
          <w:iCs/>
          <w:noProof/>
          <w:szCs w:val="24"/>
        </w:rPr>
        <w:t>Gastroenterology</w:t>
      </w:r>
      <w:r w:rsidRPr="006B24DA">
        <w:rPr>
          <w:noProof/>
          <w:szCs w:val="24"/>
        </w:rPr>
        <w:t> 1997; </w:t>
      </w:r>
      <w:r w:rsidRPr="006B24DA">
        <w:rPr>
          <w:b/>
          <w:bCs/>
          <w:noProof/>
          <w:szCs w:val="24"/>
        </w:rPr>
        <w:t>112</w:t>
      </w:r>
      <w:r w:rsidRPr="006B24DA">
        <w:rPr>
          <w:noProof/>
          <w:szCs w:val="24"/>
        </w:rPr>
        <w:t>: 1087-1095 [PMID: 9097990]</w:t>
      </w:r>
    </w:p>
    <w:p w14:paraId="354BB618"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184 </w:t>
      </w:r>
      <w:r w:rsidRPr="006B24DA">
        <w:rPr>
          <w:b/>
          <w:bCs/>
          <w:noProof/>
          <w:szCs w:val="24"/>
        </w:rPr>
        <w:t>Chang KJ</w:t>
      </w:r>
      <w:r w:rsidRPr="006B24DA">
        <w:rPr>
          <w:noProof/>
          <w:szCs w:val="24"/>
        </w:rPr>
        <w:t>, Nguyen PT, Thompson JA, Kurosaki TT, Casey LR, Leung EC, Granger GA. Phase I clinical trial of allogeneic mixed lymphocyte culture (cytoimplant) delivered by endoscopic ultrasound-guided fine-needle injection in patients with advanced pancreatic carcinoma. </w:t>
      </w:r>
      <w:r w:rsidRPr="006B24DA">
        <w:rPr>
          <w:i/>
          <w:iCs/>
          <w:noProof/>
          <w:szCs w:val="24"/>
        </w:rPr>
        <w:t>Cancer</w:t>
      </w:r>
      <w:r w:rsidRPr="006B24DA">
        <w:rPr>
          <w:noProof/>
          <w:szCs w:val="24"/>
        </w:rPr>
        <w:t> 2000; </w:t>
      </w:r>
      <w:r w:rsidRPr="006B24DA">
        <w:rPr>
          <w:b/>
          <w:bCs/>
          <w:noProof/>
          <w:szCs w:val="24"/>
        </w:rPr>
        <w:t>88</w:t>
      </w:r>
      <w:r w:rsidRPr="006B24DA">
        <w:rPr>
          <w:noProof/>
          <w:szCs w:val="24"/>
        </w:rPr>
        <w:t>: 1325-1335 [PMID: 10717613 DOI: 10.1002/(SICI)1097-0142(20000315)88:6&lt;1325::AID-CNCR8&gt;3.0.CO;2-T]</w:t>
      </w:r>
    </w:p>
    <w:p w14:paraId="34957942"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185 </w:t>
      </w:r>
      <w:r w:rsidRPr="006B24DA">
        <w:rPr>
          <w:b/>
          <w:bCs/>
          <w:noProof/>
          <w:szCs w:val="24"/>
        </w:rPr>
        <w:t>Alasadi R</w:t>
      </w:r>
      <w:r w:rsidRPr="006B24DA">
        <w:rPr>
          <w:noProof/>
          <w:szCs w:val="24"/>
        </w:rPr>
        <w:t>, Chang KJ. Endoscopic ultrasound of the pancreas: tissue acquisition and intervention. </w:t>
      </w:r>
      <w:r w:rsidRPr="006B24DA">
        <w:rPr>
          <w:i/>
          <w:iCs/>
          <w:noProof/>
          <w:szCs w:val="24"/>
        </w:rPr>
        <w:t>Curr Opin Gastroenterol</w:t>
      </w:r>
      <w:r w:rsidRPr="006B24DA">
        <w:rPr>
          <w:noProof/>
          <w:szCs w:val="24"/>
        </w:rPr>
        <w:t> 2002; </w:t>
      </w:r>
      <w:r w:rsidRPr="006B24DA">
        <w:rPr>
          <w:b/>
          <w:bCs/>
          <w:noProof/>
          <w:szCs w:val="24"/>
        </w:rPr>
        <w:t>18</w:t>
      </w:r>
      <w:r w:rsidRPr="006B24DA">
        <w:rPr>
          <w:noProof/>
          <w:szCs w:val="24"/>
        </w:rPr>
        <w:t>: 574-580 [PMID: 17033336]</w:t>
      </w:r>
    </w:p>
    <w:p w14:paraId="655997D7"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186 </w:t>
      </w:r>
      <w:r w:rsidRPr="006B24DA">
        <w:rPr>
          <w:b/>
          <w:bCs/>
          <w:noProof/>
          <w:szCs w:val="24"/>
        </w:rPr>
        <w:t>Klapman JB</w:t>
      </w:r>
      <w:r w:rsidRPr="006B24DA">
        <w:rPr>
          <w:noProof/>
          <w:szCs w:val="24"/>
        </w:rPr>
        <w:t>, Chang KJ. Endoscopic ultrasound-guided fine-needle injection. </w:t>
      </w:r>
      <w:r w:rsidRPr="006B24DA">
        <w:rPr>
          <w:i/>
          <w:iCs/>
          <w:noProof/>
          <w:szCs w:val="24"/>
        </w:rPr>
        <w:t>Gastrointest Endosc Clin N Am</w:t>
      </w:r>
      <w:r w:rsidRPr="006B24DA">
        <w:rPr>
          <w:noProof/>
          <w:szCs w:val="24"/>
        </w:rPr>
        <w:t> 2005; </w:t>
      </w:r>
      <w:r w:rsidRPr="006B24DA">
        <w:rPr>
          <w:b/>
          <w:bCs/>
          <w:noProof/>
          <w:szCs w:val="24"/>
        </w:rPr>
        <w:t>15</w:t>
      </w:r>
      <w:r w:rsidRPr="006B24DA">
        <w:rPr>
          <w:noProof/>
          <w:szCs w:val="24"/>
        </w:rPr>
        <w:t>: 169-177, x [PMID: 15555959 DOI: 10.1016/j.giec.2004.07.009]</w:t>
      </w:r>
    </w:p>
    <w:p w14:paraId="3922FC28"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187 </w:t>
      </w:r>
      <w:r w:rsidRPr="006B24DA">
        <w:rPr>
          <w:b/>
          <w:bCs/>
          <w:noProof/>
          <w:szCs w:val="24"/>
        </w:rPr>
        <w:t>Lah JJ</w:t>
      </w:r>
      <w:r w:rsidRPr="006B24DA">
        <w:rPr>
          <w:noProof/>
          <w:szCs w:val="24"/>
        </w:rPr>
        <w:t>, Kuo JV, Chang KJ, Nguyen PT. EUS-guided brachytherapy. </w:t>
      </w:r>
      <w:r w:rsidRPr="006B24DA">
        <w:rPr>
          <w:i/>
          <w:iCs/>
          <w:noProof/>
          <w:szCs w:val="24"/>
        </w:rPr>
        <w:t>Gastrointest Endosc</w:t>
      </w:r>
      <w:r w:rsidRPr="006B24DA">
        <w:rPr>
          <w:noProof/>
          <w:szCs w:val="24"/>
        </w:rPr>
        <w:t> 2005; </w:t>
      </w:r>
      <w:r w:rsidRPr="006B24DA">
        <w:rPr>
          <w:b/>
          <w:bCs/>
          <w:noProof/>
          <w:szCs w:val="24"/>
        </w:rPr>
        <w:t>62</w:t>
      </w:r>
      <w:r w:rsidRPr="006B24DA">
        <w:rPr>
          <w:noProof/>
          <w:szCs w:val="24"/>
        </w:rPr>
        <w:t>: 805-808 [PMID: 16246706 DOI: 10.1016/j.gie.2005.07.019]</w:t>
      </w:r>
    </w:p>
    <w:p w14:paraId="0E305756"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188 </w:t>
      </w:r>
      <w:r w:rsidRPr="006B24DA">
        <w:rPr>
          <w:b/>
          <w:bCs/>
          <w:noProof/>
          <w:szCs w:val="24"/>
        </w:rPr>
        <w:t>Chang KJ</w:t>
      </w:r>
      <w:r w:rsidRPr="006B24DA">
        <w:rPr>
          <w:noProof/>
          <w:szCs w:val="24"/>
        </w:rPr>
        <w:t>. EUS-guided fine needle injection (FNI) and anti-tumor therapy. </w:t>
      </w:r>
      <w:r w:rsidRPr="006B24DA">
        <w:rPr>
          <w:i/>
          <w:iCs/>
          <w:noProof/>
          <w:szCs w:val="24"/>
        </w:rPr>
        <w:t>Endoscopy</w:t>
      </w:r>
      <w:r w:rsidRPr="006B24DA">
        <w:rPr>
          <w:noProof/>
          <w:szCs w:val="24"/>
        </w:rPr>
        <w:t> 2006; </w:t>
      </w:r>
      <w:r w:rsidRPr="006B24DA">
        <w:rPr>
          <w:b/>
          <w:bCs/>
          <w:noProof/>
          <w:szCs w:val="24"/>
        </w:rPr>
        <w:t>38 Suppl 1</w:t>
      </w:r>
      <w:r w:rsidRPr="006B24DA">
        <w:rPr>
          <w:noProof/>
          <w:szCs w:val="24"/>
        </w:rPr>
        <w:t>: S88-S93 [PMID: 16802235 DOI: 10.1055/s-2006-946664]</w:t>
      </w:r>
    </w:p>
    <w:p w14:paraId="6F9338AF"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189 </w:t>
      </w:r>
      <w:r w:rsidRPr="006B24DA">
        <w:rPr>
          <w:b/>
          <w:bCs/>
          <w:noProof/>
          <w:szCs w:val="24"/>
        </w:rPr>
        <w:t>Chang KJ</w:t>
      </w:r>
      <w:r w:rsidRPr="006B24DA">
        <w:rPr>
          <w:noProof/>
          <w:szCs w:val="24"/>
        </w:rPr>
        <w:t>, Lee JG, Holcombe RF, Kuo J, Muthusamy R, Wu ML. Endoscopic ultrasound delivery of an antitumor agent to treat a case of pancreatic cancer. </w:t>
      </w:r>
      <w:r w:rsidRPr="006B24DA">
        <w:rPr>
          <w:i/>
          <w:iCs/>
          <w:noProof/>
          <w:szCs w:val="24"/>
        </w:rPr>
        <w:t>Nat Clin Pract Gastroenterol Hepatol</w:t>
      </w:r>
      <w:r w:rsidRPr="006B24DA">
        <w:rPr>
          <w:noProof/>
          <w:szCs w:val="24"/>
        </w:rPr>
        <w:t> 2008; </w:t>
      </w:r>
      <w:r w:rsidRPr="006B24DA">
        <w:rPr>
          <w:b/>
          <w:bCs/>
          <w:noProof/>
          <w:szCs w:val="24"/>
        </w:rPr>
        <w:t>5</w:t>
      </w:r>
      <w:r w:rsidRPr="006B24DA">
        <w:rPr>
          <w:noProof/>
          <w:szCs w:val="24"/>
        </w:rPr>
        <w:t>: 107-111 [PMID: 18253139 DOI: 10.1038/ncpgasthep1033]</w:t>
      </w:r>
    </w:p>
    <w:p w14:paraId="7DF2857C"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190 </w:t>
      </w:r>
      <w:r w:rsidRPr="006B24DA">
        <w:rPr>
          <w:b/>
          <w:bCs/>
          <w:noProof/>
          <w:szCs w:val="24"/>
        </w:rPr>
        <w:t>Chang KJ</w:t>
      </w:r>
      <w:r w:rsidRPr="006B24DA">
        <w:rPr>
          <w:noProof/>
          <w:szCs w:val="24"/>
        </w:rPr>
        <w:t>. Technique and status of EUS-guided fine-needle injection. </w:t>
      </w:r>
      <w:r w:rsidRPr="006B24DA">
        <w:rPr>
          <w:i/>
          <w:iCs/>
          <w:noProof/>
          <w:szCs w:val="24"/>
        </w:rPr>
        <w:t>Gastrointest Endosc</w:t>
      </w:r>
      <w:r w:rsidRPr="006B24DA">
        <w:rPr>
          <w:noProof/>
          <w:szCs w:val="24"/>
        </w:rPr>
        <w:t> 2009; </w:t>
      </w:r>
      <w:r w:rsidRPr="006B24DA">
        <w:rPr>
          <w:b/>
          <w:bCs/>
          <w:noProof/>
          <w:szCs w:val="24"/>
        </w:rPr>
        <w:t>69</w:t>
      </w:r>
      <w:r w:rsidRPr="006B24DA">
        <w:rPr>
          <w:noProof/>
          <w:szCs w:val="24"/>
        </w:rPr>
        <w:t>: S192-S193 [PMID: 19179155 DOI: 10.1016/j.gie.2008.12.027]</w:t>
      </w:r>
    </w:p>
    <w:p w14:paraId="5BF7E63F"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191 </w:t>
      </w:r>
      <w:r w:rsidRPr="006B24DA">
        <w:rPr>
          <w:b/>
          <w:bCs/>
          <w:noProof/>
          <w:szCs w:val="24"/>
        </w:rPr>
        <w:t>Chang KJ</w:t>
      </w:r>
      <w:r w:rsidRPr="006B24DA">
        <w:rPr>
          <w:noProof/>
          <w:szCs w:val="24"/>
        </w:rPr>
        <w:t>, Irisawa A; EUS 2008 Working Group. EUS 2008 Working Group document: evaluation of EUS-guided injection therapy for tumors. </w:t>
      </w:r>
      <w:r w:rsidRPr="006B24DA">
        <w:rPr>
          <w:i/>
          <w:iCs/>
          <w:noProof/>
          <w:szCs w:val="24"/>
        </w:rPr>
        <w:t>Gastrointest Endosc</w:t>
      </w:r>
      <w:r w:rsidRPr="006B24DA">
        <w:rPr>
          <w:noProof/>
          <w:szCs w:val="24"/>
        </w:rPr>
        <w:t> 2009; </w:t>
      </w:r>
      <w:r w:rsidRPr="006B24DA">
        <w:rPr>
          <w:b/>
          <w:bCs/>
          <w:noProof/>
          <w:szCs w:val="24"/>
        </w:rPr>
        <w:t>69</w:t>
      </w:r>
      <w:r w:rsidRPr="006B24DA">
        <w:rPr>
          <w:noProof/>
          <w:szCs w:val="24"/>
        </w:rPr>
        <w:t>: S54-S58 [PMID: 19179171 DOI: 10.1016/j.gie.2008.10.057]</w:t>
      </w:r>
    </w:p>
    <w:p w14:paraId="5048F6FF"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192 </w:t>
      </w:r>
      <w:r w:rsidRPr="006B24DA">
        <w:rPr>
          <w:b/>
          <w:bCs/>
          <w:noProof/>
          <w:szCs w:val="24"/>
        </w:rPr>
        <w:t>Chang KJ</w:t>
      </w:r>
      <w:r w:rsidRPr="006B24DA">
        <w:rPr>
          <w:noProof/>
          <w:szCs w:val="24"/>
        </w:rPr>
        <w:t>. Interventional endoscopic ultrasound. </w:t>
      </w:r>
      <w:r w:rsidRPr="006B24DA">
        <w:rPr>
          <w:i/>
          <w:iCs/>
          <w:noProof/>
          <w:szCs w:val="24"/>
        </w:rPr>
        <w:t>Gastrointest Endosc Clin N Am</w:t>
      </w:r>
      <w:r w:rsidRPr="006B24DA">
        <w:rPr>
          <w:noProof/>
          <w:szCs w:val="24"/>
        </w:rPr>
        <w:t> 2012; </w:t>
      </w:r>
      <w:r w:rsidRPr="006B24DA">
        <w:rPr>
          <w:b/>
          <w:bCs/>
          <w:noProof/>
          <w:szCs w:val="24"/>
        </w:rPr>
        <w:t>22</w:t>
      </w:r>
      <w:r w:rsidRPr="006B24DA">
        <w:rPr>
          <w:noProof/>
          <w:szCs w:val="24"/>
        </w:rPr>
        <w:t>: xv-xvi [PMID: 22632961 DOI: 10.1016/j.giec.2012.04.021]</w:t>
      </w:r>
    </w:p>
    <w:p w14:paraId="1A3874FF"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lastRenderedPageBreak/>
        <w:t>193 </w:t>
      </w:r>
      <w:r w:rsidRPr="006B24DA">
        <w:rPr>
          <w:b/>
          <w:bCs/>
          <w:noProof/>
          <w:szCs w:val="24"/>
        </w:rPr>
        <w:t>Chang KJ</w:t>
      </w:r>
      <w:r w:rsidRPr="006B24DA">
        <w:rPr>
          <w:noProof/>
          <w:szCs w:val="24"/>
        </w:rPr>
        <w:t>, Reid T, Senzer N, Swisher S, Pinto H, Hanna N, Chak A, Soetikno R. Phase I evaluation of TNFerade biologic plus chemoradiotherapy before esophagectomy for locally advanced resectable esophageal cancer. </w:t>
      </w:r>
      <w:r w:rsidRPr="006B24DA">
        <w:rPr>
          <w:i/>
          <w:iCs/>
          <w:noProof/>
          <w:szCs w:val="24"/>
        </w:rPr>
        <w:t>Gastrointest Endosc</w:t>
      </w:r>
      <w:r w:rsidRPr="006B24DA">
        <w:rPr>
          <w:noProof/>
          <w:szCs w:val="24"/>
        </w:rPr>
        <w:t> 2012; </w:t>
      </w:r>
      <w:r w:rsidRPr="006B24DA">
        <w:rPr>
          <w:b/>
          <w:bCs/>
          <w:noProof/>
          <w:szCs w:val="24"/>
        </w:rPr>
        <w:t>75</w:t>
      </w:r>
      <w:r w:rsidRPr="006B24DA">
        <w:rPr>
          <w:noProof/>
          <w:szCs w:val="24"/>
        </w:rPr>
        <w:t>: 1139-46.e2 [PMID: 22520270 DOI: 10.1016/j.gie.2012.01.042]</w:t>
      </w:r>
    </w:p>
    <w:p w14:paraId="02ED24BF"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194 </w:t>
      </w:r>
      <w:r w:rsidRPr="006B24DA">
        <w:rPr>
          <w:b/>
          <w:bCs/>
          <w:noProof/>
          <w:szCs w:val="24"/>
        </w:rPr>
        <w:t>Hecht JR</w:t>
      </w:r>
      <w:r w:rsidRPr="006B24DA">
        <w:rPr>
          <w:noProof/>
          <w:szCs w:val="24"/>
        </w:rPr>
        <w:t>, Farrell JJ, Senzer N, Nemunaitis J, Rosemurgy A, Chung T, Hanna N, Chang KJ, Javle M, Posner M, Waxman I, Reid A, Erickson R, Canto M, Chak A, Blatner G, Kovacevic M, Thornton M. EUS or percutaneously guided intratumoral TNFerade biologic with 5-fluorouracil and radiotherapy for first-line treatment of locally advanced pancreatic cancer: a phase I/II study. </w:t>
      </w:r>
      <w:r w:rsidRPr="006B24DA">
        <w:rPr>
          <w:i/>
          <w:iCs/>
          <w:noProof/>
          <w:szCs w:val="24"/>
        </w:rPr>
        <w:t>Gastrointest Endosc</w:t>
      </w:r>
      <w:r w:rsidRPr="006B24DA">
        <w:rPr>
          <w:noProof/>
          <w:szCs w:val="24"/>
        </w:rPr>
        <w:t> 2012; </w:t>
      </w:r>
      <w:r w:rsidRPr="006B24DA">
        <w:rPr>
          <w:b/>
          <w:bCs/>
          <w:noProof/>
          <w:szCs w:val="24"/>
        </w:rPr>
        <w:t>75</w:t>
      </w:r>
      <w:r w:rsidRPr="006B24DA">
        <w:rPr>
          <w:noProof/>
          <w:szCs w:val="24"/>
        </w:rPr>
        <w:t>: 332-338 [PMID: 22248601 DOI: 10.1016/j.gie.2011.10.007]</w:t>
      </w:r>
    </w:p>
    <w:p w14:paraId="5EA75926"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195 </w:t>
      </w:r>
      <w:r w:rsidRPr="006B24DA">
        <w:rPr>
          <w:b/>
          <w:bCs/>
          <w:noProof/>
          <w:szCs w:val="24"/>
        </w:rPr>
        <w:t>Jin Z</w:t>
      </w:r>
      <w:r w:rsidRPr="006B24DA">
        <w:rPr>
          <w:noProof/>
          <w:szCs w:val="24"/>
        </w:rPr>
        <w:t>, Chang KJ. Endoscopic ultrasound-guided fiducial markers and brachytherapy. </w:t>
      </w:r>
      <w:r w:rsidRPr="006B24DA">
        <w:rPr>
          <w:i/>
          <w:iCs/>
          <w:noProof/>
          <w:szCs w:val="24"/>
        </w:rPr>
        <w:t>Gastrointest Endosc Clin N Am</w:t>
      </w:r>
      <w:r w:rsidRPr="006B24DA">
        <w:rPr>
          <w:noProof/>
          <w:szCs w:val="24"/>
        </w:rPr>
        <w:t> 2012; </w:t>
      </w:r>
      <w:r w:rsidRPr="006B24DA">
        <w:rPr>
          <w:b/>
          <w:bCs/>
          <w:noProof/>
          <w:szCs w:val="24"/>
        </w:rPr>
        <w:t>22</w:t>
      </w:r>
      <w:r w:rsidRPr="006B24DA">
        <w:rPr>
          <w:noProof/>
          <w:szCs w:val="24"/>
        </w:rPr>
        <w:t>: 325-331, x [PMID: 22632954 DOI: 10.1016/j.giec.2012.04.012]</w:t>
      </w:r>
    </w:p>
    <w:p w14:paraId="5513F5A0"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196 </w:t>
      </w:r>
      <w:r w:rsidRPr="006B24DA">
        <w:rPr>
          <w:b/>
          <w:bCs/>
          <w:noProof/>
          <w:szCs w:val="24"/>
        </w:rPr>
        <w:t>Nakai Y</w:t>
      </w:r>
      <w:r w:rsidRPr="006B24DA">
        <w:rPr>
          <w:noProof/>
          <w:szCs w:val="24"/>
        </w:rPr>
        <w:t>, Chang KJ. Endoscopic ultrasound-guided antitumor agents. </w:t>
      </w:r>
      <w:r w:rsidRPr="006B24DA">
        <w:rPr>
          <w:i/>
          <w:iCs/>
          <w:noProof/>
          <w:szCs w:val="24"/>
        </w:rPr>
        <w:t>Gastrointest Endosc Clin N Am</w:t>
      </w:r>
      <w:r w:rsidRPr="006B24DA">
        <w:rPr>
          <w:noProof/>
          <w:szCs w:val="24"/>
        </w:rPr>
        <w:t> 2012; </w:t>
      </w:r>
      <w:r w:rsidRPr="006B24DA">
        <w:rPr>
          <w:b/>
          <w:bCs/>
          <w:noProof/>
          <w:szCs w:val="24"/>
        </w:rPr>
        <w:t>22</w:t>
      </w:r>
      <w:r w:rsidRPr="006B24DA">
        <w:rPr>
          <w:noProof/>
          <w:szCs w:val="24"/>
        </w:rPr>
        <w:t>: 315-324, x [PMID: 22632953 DOI: 10.1016/j.giec.2012.04.014]</w:t>
      </w:r>
    </w:p>
    <w:p w14:paraId="79C2DE67"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197 </w:t>
      </w:r>
      <w:r w:rsidRPr="006B24DA">
        <w:rPr>
          <w:b/>
          <w:bCs/>
          <w:noProof/>
          <w:szCs w:val="24"/>
        </w:rPr>
        <w:t>Herman JM</w:t>
      </w:r>
      <w:r w:rsidRPr="006B24DA">
        <w:rPr>
          <w:noProof/>
          <w:szCs w:val="24"/>
        </w:rPr>
        <w:t>, Wild AT, Wang H, Tran PT, Chang KJ, Taylor GE, Donehower RC, Pawlik TM, Ziegler MA, Cai H, Savage DT, Canto MI, Klapman J, Reid T, Shah RJ, Hoffe SE, Rosemurgy A, Wolfgang CL, Laheru DA. Randomized phase III multi-institutional study of TNFerade biologic with fluorouracil and radiotherapy for locally advanced pancreatic cancer: final results. </w:t>
      </w:r>
      <w:r w:rsidRPr="006B24DA">
        <w:rPr>
          <w:i/>
          <w:iCs/>
          <w:noProof/>
          <w:szCs w:val="24"/>
        </w:rPr>
        <w:t>J Clin Oncol</w:t>
      </w:r>
      <w:r w:rsidRPr="006B24DA">
        <w:rPr>
          <w:noProof/>
          <w:szCs w:val="24"/>
        </w:rPr>
        <w:t> 2013; </w:t>
      </w:r>
      <w:r w:rsidRPr="006B24DA">
        <w:rPr>
          <w:b/>
          <w:bCs/>
          <w:noProof/>
          <w:szCs w:val="24"/>
        </w:rPr>
        <w:t>31</w:t>
      </w:r>
      <w:r w:rsidRPr="006B24DA">
        <w:rPr>
          <w:noProof/>
          <w:szCs w:val="24"/>
        </w:rPr>
        <w:t>: 886-894 [PMID: 23341531 DOI: 10.1200/JCO.2012.44.7516]</w:t>
      </w:r>
    </w:p>
    <w:p w14:paraId="43DB091B"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198 </w:t>
      </w:r>
      <w:r w:rsidRPr="006B24DA">
        <w:rPr>
          <w:b/>
          <w:bCs/>
          <w:noProof/>
          <w:szCs w:val="24"/>
        </w:rPr>
        <w:t>Nakai Y</w:t>
      </w:r>
      <w:r w:rsidRPr="006B24DA">
        <w:rPr>
          <w:noProof/>
          <w:szCs w:val="24"/>
        </w:rPr>
        <w:t>, Shinoura S, Ahluwalia A, Tarnawski AS, Chang KJ. In vivo visualization of epidermal growth factor receptor and survivin expression in porcine pancreas using endoscopic ultrasound guided fine needle imaging with confocal laser-induced endomicroscopy. </w:t>
      </w:r>
      <w:r w:rsidRPr="006B24DA">
        <w:rPr>
          <w:i/>
          <w:iCs/>
          <w:noProof/>
          <w:szCs w:val="24"/>
        </w:rPr>
        <w:t>J Physiol Pharmacol</w:t>
      </w:r>
      <w:r w:rsidRPr="006B24DA">
        <w:rPr>
          <w:noProof/>
          <w:szCs w:val="24"/>
        </w:rPr>
        <w:t> 2012; </w:t>
      </w:r>
      <w:r w:rsidRPr="006B24DA">
        <w:rPr>
          <w:b/>
          <w:bCs/>
          <w:noProof/>
          <w:szCs w:val="24"/>
        </w:rPr>
        <w:t>63</w:t>
      </w:r>
      <w:r w:rsidRPr="006B24DA">
        <w:rPr>
          <w:noProof/>
          <w:szCs w:val="24"/>
        </w:rPr>
        <w:t>: 577-580 [PMID: 23388473]</w:t>
      </w:r>
    </w:p>
    <w:p w14:paraId="44F93C08"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199 </w:t>
      </w:r>
      <w:r w:rsidRPr="006B24DA">
        <w:rPr>
          <w:b/>
          <w:bCs/>
          <w:noProof/>
          <w:szCs w:val="24"/>
        </w:rPr>
        <w:t>Konda VJ</w:t>
      </w:r>
      <w:r w:rsidRPr="006B24DA">
        <w:rPr>
          <w:noProof/>
          <w:szCs w:val="24"/>
        </w:rPr>
        <w:t xml:space="preserve">, Meining A, Jamil LH, Giovannini M, Hwang JH, Wallace MB, Chang KJ, Siddiqui UD, Hart J, Lo SK, Saunders MD, Aslanian HR, Wroblewski K, Waxman I. A pilot study of in vivo identification of pancreatic cystic neoplasms with needle-based </w:t>
      </w:r>
      <w:r w:rsidRPr="006B24DA">
        <w:rPr>
          <w:noProof/>
          <w:szCs w:val="24"/>
        </w:rPr>
        <w:lastRenderedPageBreak/>
        <w:t>confocal laser endomicroscopy under endosonographic guidance. </w:t>
      </w:r>
      <w:r w:rsidRPr="006B24DA">
        <w:rPr>
          <w:i/>
          <w:iCs/>
          <w:noProof/>
          <w:szCs w:val="24"/>
        </w:rPr>
        <w:t>Endoscopy</w:t>
      </w:r>
      <w:r w:rsidRPr="006B24DA">
        <w:rPr>
          <w:noProof/>
          <w:szCs w:val="24"/>
        </w:rPr>
        <w:t> 2013; </w:t>
      </w:r>
      <w:r w:rsidRPr="006B24DA">
        <w:rPr>
          <w:b/>
          <w:bCs/>
          <w:noProof/>
          <w:szCs w:val="24"/>
        </w:rPr>
        <w:t>45</w:t>
      </w:r>
      <w:r w:rsidRPr="006B24DA">
        <w:rPr>
          <w:noProof/>
          <w:szCs w:val="24"/>
        </w:rPr>
        <w:t>: 1006-1013 [PMID: 24163192 DOI: 10.1055/s-0033-1344714]</w:t>
      </w:r>
    </w:p>
    <w:p w14:paraId="2880D5FA"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200 </w:t>
      </w:r>
      <w:r w:rsidRPr="006B24DA">
        <w:rPr>
          <w:b/>
          <w:bCs/>
          <w:noProof/>
          <w:szCs w:val="24"/>
        </w:rPr>
        <w:t>Nakai Y</w:t>
      </w:r>
      <w:r w:rsidRPr="006B24DA">
        <w:rPr>
          <w:noProof/>
          <w:szCs w:val="24"/>
        </w:rPr>
        <w:t>, Iwashita T, Park DH, Samarasena JB, Lee JG, Chang KJ. Diagnosis of pancreatic cysts: EUS-guided, through-the-needle confocal laser-induced endomicroscopy and cystoscopy trial: DETECT study. </w:t>
      </w:r>
      <w:r w:rsidRPr="006B24DA">
        <w:rPr>
          <w:i/>
          <w:iCs/>
          <w:noProof/>
          <w:szCs w:val="24"/>
        </w:rPr>
        <w:t>Gastrointest Endosc</w:t>
      </w:r>
      <w:r w:rsidRPr="006B24DA">
        <w:rPr>
          <w:noProof/>
          <w:szCs w:val="24"/>
        </w:rPr>
        <w:t> 2015; </w:t>
      </w:r>
      <w:r w:rsidRPr="006B24DA">
        <w:rPr>
          <w:b/>
          <w:bCs/>
          <w:noProof/>
          <w:szCs w:val="24"/>
        </w:rPr>
        <w:t>81</w:t>
      </w:r>
      <w:r w:rsidRPr="006B24DA">
        <w:rPr>
          <w:noProof/>
          <w:szCs w:val="24"/>
        </w:rPr>
        <w:t>: 1204-1214 [PMID: 25634486 DOI: 10.1016/j.gie.2014.10.025]</w:t>
      </w:r>
    </w:p>
    <w:p w14:paraId="719D8DD7"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201 </w:t>
      </w:r>
      <w:r w:rsidRPr="006B24DA">
        <w:rPr>
          <w:b/>
          <w:bCs/>
          <w:noProof/>
          <w:szCs w:val="24"/>
        </w:rPr>
        <w:t>Samarasena JB</w:t>
      </w:r>
      <w:r w:rsidRPr="006B24DA">
        <w:rPr>
          <w:noProof/>
          <w:szCs w:val="24"/>
        </w:rPr>
        <w:t>, Ahluwalia A, Tarnawski AS, Shinoura S, Choi KD, Lee JG, Chang KJ. Expression of nerve growth factor, its TrkA receptor, and several neuropeptides in porcine esophagus. Implications for interactions between neural, vascular and epithelial components of the esophagus. </w:t>
      </w:r>
      <w:r w:rsidRPr="006B24DA">
        <w:rPr>
          <w:i/>
          <w:iCs/>
          <w:noProof/>
          <w:szCs w:val="24"/>
        </w:rPr>
        <w:t>J Physiol Pharmacol</w:t>
      </w:r>
      <w:r w:rsidRPr="006B24DA">
        <w:rPr>
          <w:noProof/>
          <w:szCs w:val="24"/>
        </w:rPr>
        <w:t> 2015; </w:t>
      </w:r>
      <w:r w:rsidRPr="006B24DA">
        <w:rPr>
          <w:b/>
          <w:bCs/>
          <w:noProof/>
          <w:szCs w:val="24"/>
        </w:rPr>
        <w:t>66</w:t>
      </w:r>
      <w:r w:rsidRPr="006B24DA">
        <w:rPr>
          <w:noProof/>
          <w:szCs w:val="24"/>
        </w:rPr>
        <w:t>: 415-420 [PMID: 26084223]</w:t>
      </w:r>
    </w:p>
    <w:p w14:paraId="44576FE2"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202 </w:t>
      </w:r>
      <w:r w:rsidRPr="006B24DA">
        <w:rPr>
          <w:b/>
          <w:bCs/>
          <w:noProof/>
          <w:szCs w:val="24"/>
        </w:rPr>
        <w:t>Tsujino T</w:t>
      </w:r>
      <w:r w:rsidRPr="006B24DA">
        <w:rPr>
          <w:noProof/>
          <w:szCs w:val="24"/>
        </w:rPr>
        <w:t>, Yan-Lin Huang J, Nakai Y, Samarasena JB, Lee JG, Chang KJ. In vivo identification of pancreatic cystic neoplasms with needle-based confocal laser endomicroscopy. </w:t>
      </w:r>
      <w:r w:rsidRPr="006B24DA">
        <w:rPr>
          <w:i/>
          <w:iCs/>
          <w:noProof/>
          <w:szCs w:val="24"/>
        </w:rPr>
        <w:t>Best Pract Res Clin Gastroenterol</w:t>
      </w:r>
      <w:r w:rsidRPr="006B24DA">
        <w:rPr>
          <w:noProof/>
          <w:szCs w:val="24"/>
        </w:rPr>
        <w:t> 2015; </w:t>
      </w:r>
      <w:r w:rsidRPr="006B24DA">
        <w:rPr>
          <w:b/>
          <w:bCs/>
          <w:noProof/>
          <w:szCs w:val="24"/>
        </w:rPr>
        <w:t>29</w:t>
      </w:r>
      <w:r w:rsidRPr="006B24DA">
        <w:rPr>
          <w:noProof/>
          <w:szCs w:val="24"/>
        </w:rPr>
        <w:t>: 601-610 [PMID: 26381305 DOI: 10.1016/j.bpg.2015.06.006]</w:t>
      </w:r>
    </w:p>
    <w:p w14:paraId="696C17D3"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203 </w:t>
      </w:r>
      <w:r w:rsidRPr="006B24DA">
        <w:rPr>
          <w:b/>
          <w:bCs/>
          <w:noProof/>
          <w:szCs w:val="24"/>
        </w:rPr>
        <w:t>Tsujino T</w:t>
      </w:r>
      <w:r w:rsidRPr="006B24DA">
        <w:rPr>
          <w:noProof/>
          <w:szCs w:val="24"/>
        </w:rPr>
        <w:t>, Chang KJ. Cyst-Within-Cyst Found on EUS-Guided Cystoscopy of a Pancreatic Mucinous Cystic Neoplasia. </w:t>
      </w:r>
      <w:r w:rsidRPr="006B24DA">
        <w:rPr>
          <w:i/>
          <w:iCs/>
          <w:noProof/>
          <w:szCs w:val="24"/>
        </w:rPr>
        <w:t>Am J Gastroenterol</w:t>
      </w:r>
      <w:r w:rsidRPr="006B24DA">
        <w:rPr>
          <w:noProof/>
          <w:szCs w:val="24"/>
        </w:rPr>
        <w:t> 2016; </w:t>
      </w:r>
      <w:r w:rsidRPr="006B24DA">
        <w:rPr>
          <w:b/>
          <w:bCs/>
          <w:noProof/>
          <w:szCs w:val="24"/>
        </w:rPr>
        <w:t>111</w:t>
      </w:r>
      <w:r w:rsidRPr="006B24DA">
        <w:rPr>
          <w:noProof/>
          <w:szCs w:val="24"/>
        </w:rPr>
        <w:t>: 1089 [PMID: 27481409 DOI: 10.1038/ajg.2016.149]</w:t>
      </w:r>
    </w:p>
    <w:p w14:paraId="72DAFAFA"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204 </w:t>
      </w:r>
      <w:r w:rsidRPr="006B24DA">
        <w:rPr>
          <w:b/>
          <w:bCs/>
          <w:noProof/>
          <w:szCs w:val="24"/>
        </w:rPr>
        <w:t>Hawes RH</w:t>
      </w:r>
      <w:r w:rsidRPr="006B24DA">
        <w:rPr>
          <w:noProof/>
          <w:szCs w:val="24"/>
        </w:rPr>
        <w:t>, Xiong Q, Waxman I, Chang KJ, Evans DB, Abbruzzese JL. A multispecialty approach to the diagnosis and management of pancreatic cancer. </w:t>
      </w:r>
      <w:r w:rsidRPr="006B24DA">
        <w:rPr>
          <w:i/>
          <w:iCs/>
          <w:noProof/>
          <w:szCs w:val="24"/>
        </w:rPr>
        <w:t>Am J Gastroenterol</w:t>
      </w:r>
      <w:r w:rsidRPr="006B24DA">
        <w:rPr>
          <w:noProof/>
          <w:szCs w:val="24"/>
        </w:rPr>
        <w:t> 2000; </w:t>
      </w:r>
      <w:r w:rsidRPr="006B24DA">
        <w:rPr>
          <w:b/>
          <w:bCs/>
          <w:noProof/>
          <w:szCs w:val="24"/>
        </w:rPr>
        <w:t>95</w:t>
      </w:r>
      <w:r w:rsidRPr="006B24DA">
        <w:rPr>
          <w:noProof/>
          <w:szCs w:val="24"/>
        </w:rPr>
        <w:t>: 17-31 [PMID: 10638554 DOI: 10.1111/j.1572-0241.2000.01699.x]</w:t>
      </w:r>
    </w:p>
    <w:p w14:paraId="55DB364A"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205 </w:t>
      </w:r>
      <w:r w:rsidRPr="006B24DA">
        <w:rPr>
          <w:b/>
          <w:bCs/>
          <w:noProof/>
          <w:szCs w:val="24"/>
        </w:rPr>
        <w:t>Powis ME</w:t>
      </w:r>
      <w:r w:rsidRPr="006B24DA">
        <w:rPr>
          <w:noProof/>
          <w:szCs w:val="24"/>
        </w:rPr>
        <w:t>, Chang KJ. Endoscopic ultrasound in the clinical staging and management of pancreatic cancer: its impact on cost of treatment. </w:t>
      </w:r>
      <w:r w:rsidRPr="006B24DA">
        <w:rPr>
          <w:i/>
          <w:iCs/>
          <w:noProof/>
          <w:szCs w:val="24"/>
        </w:rPr>
        <w:t>Cancer Control</w:t>
      </w:r>
      <w:r w:rsidRPr="006B24DA">
        <w:rPr>
          <w:noProof/>
          <w:szCs w:val="24"/>
        </w:rPr>
        <w:t> 2000; </w:t>
      </w:r>
      <w:r w:rsidRPr="006B24DA">
        <w:rPr>
          <w:b/>
          <w:bCs/>
          <w:noProof/>
          <w:szCs w:val="24"/>
        </w:rPr>
        <w:t>7</w:t>
      </w:r>
      <w:r w:rsidRPr="006B24DA">
        <w:rPr>
          <w:noProof/>
          <w:szCs w:val="24"/>
        </w:rPr>
        <w:t>: 413-420 [PMID: 11000610 DOI: 10.1177/107327480000700503]</w:t>
      </w:r>
    </w:p>
    <w:p w14:paraId="55BE9D42"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206 </w:t>
      </w:r>
      <w:r w:rsidRPr="006B24DA">
        <w:rPr>
          <w:b/>
          <w:bCs/>
          <w:noProof/>
          <w:szCs w:val="24"/>
        </w:rPr>
        <w:t>Klapman JB</w:t>
      </w:r>
      <w:r w:rsidRPr="006B24DA">
        <w:rPr>
          <w:noProof/>
          <w:szCs w:val="24"/>
        </w:rPr>
        <w:t>, Chang KJ, Lee JG, Nguyen P. Negative predictive value of endoscopic ultrasound in a large series of patients with a clinical suspicion of pancreatic cancer. </w:t>
      </w:r>
      <w:r w:rsidRPr="006B24DA">
        <w:rPr>
          <w:i/>
          <w:iCs/>
          <w:noProof/>
          <w:szCs w:val="24"/>
        </w:rPr>
        <w:t>Am J Gastroenterol</w:t>
      </w:r>
      <w:r w:rsidRPr="006B24DA">
        <w:rPr>
          <w:noProof/>
          <w:szCs w:val="24"/>
        </w:rPr>
        <w:t> 2005; </w:t>
      </w:r>
      <w:r w:rsidRPr="006B24DA">
        <w:rPr>
          <w:b/>
          <w:bCs/>
          <w:noProof/>
          <w:szCs w:val="24"/>
        </w:rPr>
        <w:t>100</w:t>
      </w:r>
      <w:r w:rsidRPr="006B24DA">
        <w:rPr>
          <w:noProof/>
          <w:szCs w:val="24"/>
        </w:rPr>
        <w:t>: 2658-2661 [PMID: 16393216 DOI: 10.1111/j.1572-0241.2005.00315.x]</w:t>
      </w:r>
    </w:p>
    <w:p w14:paraId="0CA3C7CB"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lastRenderedPageBreak/>
        <w:t>207 </w:t>
      </w:r>
      <w:r w:rsidRPr="006B24DA">
        <w:rPr>
          <w:b/>
          <w:bCs/>
          <w:noProof/>
          <w:szCs w:val="24"/>
        </w:rPr>
        <w:t>Chang KJ</w:t>
      </w:r>
      <w:r w:rsidRPr="006B24DA">
        <w:rPr>
          <w:noProof/>
          <w:szCs w:val="24"/>
        </w:rPr>
        <w:t>. Imaging is overrated: early and frequent use of FNA in pancreatic tumors. </w:t>
      </w:r>
      <w:r w:rsidRPr="006B24DA">
        <w:rPr>
          <w:i/>
          <w:iCs/>
          <w:noProof/>
          <w:szCs w:val="24"/>
        </w:rPr>
        <w:t>Gastrointest Endosc</w:t>
      </w:r>
      <w:r w:rsidRPr="006B24DA">
        <w:rPr>
          <w:noProof/>
          <w:szCs w:val="24"/>
        </w:rPr>
        <w:t> 2009; </w:t>
      </w:r>
      <w:r w:rsidRPr="006B24DA">
        <w:rPr>
          <w:b/>
          <w:bCs/>
          <w:noProof/>
          <w:szCs w:val="24"/>
        </w:rPr>
        <w:t>69</w:t>
      </w:r>
      <w:r w:rsidRPr="006B24DA">
        <w:rPr>
          <w:noProof/>
          <w:szCs w:val="24"/>
        </w:rPr>
        <w:t>: S157-S158 [PMID: 19179146 DOI: 10.1016/j.gie.2008.12.038]</w:t>
      </w:r>
    </w:p>
    <w:p w14:paraId="02346FEC"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208 </w:t>
      </w:r>
      <w:r w:rsidRPr="006B24DA">
        <w:rPr>
          <w:b/>
          <w:bCs/>
          <w:noProof/>
          <w:szCs w:val="24"/>
        </w:rPr>
        <w:t>Nakai Y</w:t>
      </w:r>
      <w:r w:rsidRPr="006B24DA">
        <w:rPr>
          <w:noProof/>
          <w:szCs w:val="24"/>
        </w:rPr>
        <w:t>, Isayama H, Chang KJ, Yamamoto N, Hamada T, Uchino R, Mizuno S, Miyabayashi K, Yamamoto K, Kawakubo K, Kogure H, Sasaki T, Hirano K, Tanaka M, Tada M, Fukayama M, Koike K. Slow pull versus suction in endoscopic ultrasound-guided fine-needle aspiration of pancreatic solid masses. </w:t>
      </w:r>
      <w:r w:rsidRPr="006B24DA">
        <w:rPr>
          <w:i/>
          <w:iCs/>
          <w:noProof/>
          <w:szCs w:val="24"/>
        </w:rPr>
        <w:t>Dig Dis Sci</w:t>
      </w:r>
      <w:r w:rsidRPr="006B24DA">
        <w:rPr>
          <w:noProof/>
          <w:szCs w:val="24"/>
        </w:rPr>
        <w:t> 2014; </w:t>
      </w:r>
      <w:r w:rsidRPr="006B24DA">
        <w:rPr>
          <w:b/>
          <w:bCs/>
          <w:noProof/>
          <w:szCs w:val="24"/>
        </w:rPr>
        <w:t>59</w:t>
      </w:r>
      <w:r w:rsidRPr="006B24DA">
        <w:rPr>
          <w:noProof/>
          <w:szCs w:val="24"/>
        </w:rPr>
        <w:t>: 1578-1585 [PMID: 24429514 DOI: 10.1007/s10620-013-3019-9]</w:t>
      </w:r>
    </w:p>
    <w:p w14:paraId="30B6548D"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209 </w:t>
      </w:r>
      <w:r w:rsidRPr="006B24DA">
        <w:rPr>
          <w:b/>
          <w:bCs/>
          <w:noProof/>
          <w:szCs w:val="24"/>
        </w:rPr>
        <w:t>Huang JY</w:t>
      </w:r>
      <w:r w:rsidRPr="006B24DA">
        <w:rPr>
          <w:noProof/>
          <w:szCs w:val="24"/>
        </w:rPr>
        <w:t>, Chang KJ. Improvements and innovations in endoscopic ultrasound guided fine needle aspiration. </w:t>
      </w:r>
      <w:r w:rsidRPr="006B24DA">
        <w:rPr>
          <w:i/>
          <w:iCs/>
          <w:noProof/>
          <w:szCs w:val="24"/>
        </w:rPr>
        <w:t>J Hepatobiliary Pancreat Sci</w:t>
      </w:r>
      <w:r w:rsidRPr="006B24DA">
        <w:rPr>
          <w:noProof/>
          <w:szCs w:val="24"/>
        </w:rPr>
        <w:t> 2015; </w:t>
      </w:r>
      <w:r w:rsidRPr="006B24DA">
        <w:rPr>
          <w:b/>
          <w:bCs/>
          <w:noProof/>
          <w:szCs w:val="24"/>
        </w:rPr>
        <w:t>22</w:t>
      </w:r>
      <w:r w:rsidRPr="006B24DA">
        <w:rPr>
          <w:noProof/>
          <w:szCs w:val="24"/>
        </w:rPr>
        <w:t>: E37-E46 [PMID: 25762125 DOI: 10.1002/jhbp.232]</w:t>
      </w:r>
    </w:p>
    <w:p w14:paraId="5DD67852"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210 </w:t>
      </w:r>
      <w:r w:rsidRPr="006B24DA">
        <w:rPr>
          <w:b/>
          <w:bCs/>
          <w:noProof/>
          <w:szCs w:val="24"/>
        </w:rPr>
        <w:t>Chang KJ</w:t>
      </w:r>
      <w:r w:rsidRPr="006B24DA">
        <w:rPr>
          <w:noProof/>
          <w:szCs w:val="24"/>
        </w:rPr>
        <w:t>, Wiersema MJ. Endoscopic ultrasound-guided fine-needle aspiration biopsy and interventional endoscopic ultrasonography. Emerging technologies. </w:t>
      </w:r>
      <w:r w:rsidRPr="006B24DA">
        <w:rPr>
          <w:i/>
          <w:iCs/>
          <w:noProof/>
          <w:szCs w:val="24"/>
        </w:rPr>
        <w:t>Gastrointest Endosc Clin N Am</w:t>
      </w:r>
      <w:r w:rsidRPr="006B24DA">
        <w:rPr>
          <w:noProof/>
          <w:szCs w:val="24"/>
        </w:rPr>
        <w:t> 1997; </w:t>
      </w:r>
      <w:r w:rsidRPr="006B24DA">
        <w:rPr>
          <w:b/>
          <w:bCs/>
          <w:noProof/>
          <w:szCs w:val="24"/>
        </w:rPr>
        <w:t>7</w:t>
      </w:r>
      <w:r w:rsidRPr="006B24DA">
        <w:rPr>
          <w:noProof/>
          <w:szCs w:val="24"/>
        </w:rPr>
        <w:t>: 221-235 [PMID: 9101263]</w:t>
      </w:r>
    </w:p>
    <w:p w14:paraId="07D2BD21" w14:textId="5F6BB1AC"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211 </w:t>
      </w:r>
      <w:r w:rsidRPr="006B24DA">
        <w:rPr>
          <w:b/>
          <w:bCs/>
          <w:noProof/>
          <w:szCs w:val="24"/>
        </w:rPr>
        <w:t>Nakai Y</w:t>
      </w:r>
      <w:r w:rsidRPr="006B24DA">
        <w:rPr>
          <w:noProof/>
          <w:szCs w:val="24"/>
        </w:rPr>
        <w:t>, Samarasena JB, Iwashita T, Park DH, Lee JG, Hu KQ, Chang KJ. Autoimmune hepatitis diagnosed by endoscopic ultrasound-guided liver biopsy using a new 19-gauge histology needle. </w:t>
      </w:r>
      <w:r w:rsidRPr="006B24DA">
        <w:rPr>
          <w:i/>
          <w:iCs/>
          <w:noProof/>
          <w:szCs w:val="24"/>
        </w:rPr>
        <w:t xml:space="preserve">Endoscopy </w:t>
      </w:r>
      <w:r w:rsidRPr="006B24DA">
        <w:rPr>
          <w:noProof/>
          <w:szCs w:val="24"/>
        </w:rPr>
        <w:t>2012; </w:t>
      </w:r>
      <w:r w:rsidRPr="006B24DA">
        <w:rPr>
          <w:b/>
          <w:bCs/>
          <w:noProof/>
          <w:szCs w:val="24"/>
        </w:rPr>
        <w:t xml:space="preserve">44 </w:t>
      </w:r>
      <w:r w:rsidRPr="006B24DA">
        <w:rPr>
          <w:bCs/>
          <w:noProof/>
          <w:szCs w:val="24"/>
        </w:rPr>
        <w:t>Suppl 2 UCTN</w:t>
      </w:r>
      <w:r w:rsidRPr="006B24DA">
        <w:rPr>
          <w:noProof/>
          <w:szCs w:val="24"/>
        </w:rPr>
        <w:t>: E67-E68 [PMID: 22396285 DOI: 10.1055/s-0031-1291567]</w:t>
      </w:r>
    </w:p>
    <w:p w14:paraId="3AAE5E93"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212 </w:t>
      </w:r>
      <w:r w:rsidRPr="006B24DA">
        <w:rPr>
          <w:b/>
          <w:bCs/>
          <w:noProof/>
          <w:szCs w:val="24"/>
        </w:rPr>
        <w:t>Iwashita T</w:t>
      </w:r>
      <w:r w:rsidRPr="006B24DA">
        <w:rPr>
          <w:noProof/>
          <w:szCs w:val="24"/>
        </w:rPr>
        <w:t>, Nakai Y, Samarasena JB, Park DH, Zhang Z, Gu M, Lee JG, Chang KJ. High single-pass diagnostic yield of a new 25-gauge core biopsy needle for EUS-guided FNA biopsy in solid pancreatic lesions. </w:t>
      </w:r>
      <w:r w:rsidRPr="006B24DA">
        <w:rPr>
          <w:i/>
          <w:iCs/>
          <w:noProof/>
          <w:szCs w:val="24"/>
        </w:rPr>
        <w:t>Gastrointest Endosc</w:t>
      </w:r>
      <w:r w:rsidRPr="006B24DA">
        <w:rPr>
          <w:noProof/>
          <w:szCs w:val="24"/>
        </w:rPr>
        <w:t> 2013; </w:t>
      </w:r>
      <w:r w:rsidRPr="006B24DA">
        <w:rPr>
          <w:b/>
          <w:bCs/>
          <w:noProof/>
          <w:szCs w:val="24"/>
        </w:rPr>
        <w:t>77</w:t>
      </w:r>
      <w:r w:rsidRPr="006B24DA">
        <w:rPr>
          <w:noProof/>
          <w:szCs w:val="24"/>
        </w:rPr>
        <w:t>: 909-915 [PMID: 23433596 DOI: 10.1016/j.gie.2013.01.001]</w:t>
      </w:r>
    </w:p>
    <w:p w14:paraId="4E6F0119"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213 </w:t>
      </w:r>
      <w:r w:rsidRPr="006B24DA">
        <w:rPr>
          <w:b/>
          <w:bCs/>
          <w:noProof/>
          <w:szCs w:val="24"/>
        </w:rPr>
        <w:t>Iglesias-Garcia J</w:t>
      </w:r>
      <w:r w:rsidRPr="006B24DA">
        <w:rPr>
          <w:noProof/>
          <w:szCs w:val="24"/>
        </w:rPr>
        <w:t>, Poley JW, Larghi A, Giovannini M, Petrone MC, Abdulkader I, Monges G, Costamagna G, Arcidiacono P, Biermann K, Rindi G, Bories E, Dogloni C, Bruno M, Dominguez-Muñoz JE. Feasibility and yield of a new EUS histology needle: results from a multicenter, pooled, cohort study. </w:t>
      </w:r>
      <w:r w:rsidRPr="006B24DA">
        <w:rPr>
          <w:i/>
          <w:iCs/>
          <w:noProof/>
          <w:szCs w:val="24"/>
        </w:rPr>
        <w:t>Gastrointest Endosc</w:t>
      </w:r>
      <w:r w:rsidRPr="006B24DA">
        <w:rPr>
          <w:noProof/>
          <w:szCs w:val="24"/>
        </w:rPr>
        <w:t> 2011; </w:t>
      </w:r>
      <w:r w:rsidRPr="006B24DA">
        <w:rPr>
          <w:b/>
          <w:bCs/>
          <w:noProof/>
          <w:szCs w:val="24"/>
        </w:rPr>
        <w:t>73</w:t>
      </w:r>
      <w:r w:rsidRPr="006B24DA">
        <w:rPr>
          <w:noProof/>
          <w:szCs w:val="24"/>
        </w:rPr>
        <w:t>: 1189-1196 [PMID: 21420083 DOI: 10.1016/j.gie.2011.01.053]</w:t>
      </w:r>
    </w:p>
    <w:p w14:paraId="1389F1CE"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214 </w:t>
      </w:r>
      <w:r w:rsidRPr="006B24DA">
        <w:rPr>
          <w:b/>
          <w:bCs/>
          <w:noProof/>
          <w:szCs w:val="24"/>
        </w:rPr>
        <w:t>Bang JY</w:t>
      </w:r>
      <w:r w:rsidRPr="006B24DA">
        <w:rPr>
          <w:noProof/>
          <w:szCs w:val="24"/>
        </w:rPr>
        <w:t xml:space="preserve">, Hebert-Magee S, Trevino J, Ramesh J, Varadarajulu S. Randomized trial comparing the 22-gauge aspiration and 22-gauge biopsy needles for EUS-guided </w:t>
      </w:r>
      <w:r w:rsidRPr="006B24DA">
        <w:rPr>
          <w:noProof/>
          <w:szCs w:val="24"/>
        </w:rPr>
        <w:lastRenderedPageBreak/>
        <w:t>sampling of solid pancreatic mass lesions. </w:t>
      </w:r>
      <w:r w:rsidRPr="006B24DA">
        <w:rPr>
          <w:i/>
          <w:iCs/>
          <w:noProof/>
          <w:szCs w:val="24"/>
        </w:rPr>
        <w:t>Gastrointest Endosc</w:t>
      </w:r>
      <w:r w:rsidRPr="006B24DA">
        <w:rPr>
          <w:noProof/>
          <w:szCs w:val="24"/>
        </w:rPr>
        <w:t> 2012; </w:t>
      </w:r>
      <w:r w:rsidRPr="006B24DA">
        <w:rPr>
          <w:b/>
          <w:bCs/>
          <w:noProof/>
          <w:szCs w:val="24"/>
        </w:rPr>
        <w:t>76</w:t>
      </w:r>
      <w:r w:rsidRPr="006B24DA">
        <w:rPr>
          <w:noProof/>
          <w:szCs w:val="24"/>
        </w:rPr>
        <w:t>: 321-327 [PMID: 22658389 DOI: 10.1016/j.gie.2012.03.1392]</w:t>
      </w:r>
    </w:p>
    <w:p w14:paraId="2E0E1785"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215 </w:t>
      </w:r>
      <w:r w:rsidRPr="006B24DA">
        <w:rPr>
          <w:b/>
          <w:bCs/>
          <w:noProof/>
          <w:szCs w:val="24"/>
        </w:rPr>
        <w:t>Iwashita T,</w:t>
      </w:r>
      <w:r w:rsidRPr="006B24DA">
        <w:rPr>
          <w:noProof/>
          <w:szCs w:val="24"/>
        </w:rPr>
        <w:t> Nakai Y, Samarasena JB, Park DH, Lee JG, Chang KJ. High single-pass diagnostic yield (cytology and histology) of a novel 25-gauge biopsy needle for Endoscopic ultrasound-guided fine needle aspiration and biopsy (EUS-FNAB) in pancreatic solid lesions Gastroinest Endosc 2012: DDW 2012</w:t>
      </w:r>
    </w:p>
    <w:p w14:paraId="6DA91F2F"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216 </w:t>
      </w:r>
      <w:r w:rsidRPr="006B24DA">
        <w:rPr>
          <w:b/>
          <w:bCs/>
          <w:noProof/>
          <w:szCs w:val="24"/>
        </w:rPr>
        <w:t>Larghi A</w:t>
      </w:r>
      <w:r w:rsidRPr="006B24DA">
        <w:rPr>
          <w:noProof/>
          <w:szCs w:val="24"/>
        </w:rPr>
        <w:t>, Iglesias-Garcia J, Poley JW, Monges G, Petrone MC, Rindi G, Abdulkader I, Arcidiacono PG, Costamagna G, Biermann K, Bories E, Doglioni C, Dominguez-Muñoz JE, Hassan C, Bruno M, Giovannini M. Feasibility and yield of a novel 22-gauge histology EUS needle in patients with pancreatic masses: a multicenter prospective cohort study. </w:t>
      </w:r>
      <w:r w:rsidRPr="006B24DA">
        <w:rPr>
          <w:i/>
          <w:iCs/>
          <w:noProof/>
          <w:szCs w:val="24"/>
        </w:rPr>
        <w:t>Surg Endosc</w:t>
      </w:r>
      <w:r w:rsidRPr="006B24DA">
        <w:rPr>
          <w:noProof/>
          <w:szCs w:val="24"/>
        </w:rPr>
        <w:t> 2013; </w:t>
      </w:r>
      <w:r w:rsidRPr="006B24DA">
        <w:rPr>
          <w:b/>
          <w:bCs/>
          <w:noProof/>
          <w:szCs w:val="24"/>
        </w:rPr>
        <w:t>27</w:t>
      </w:r>
      <w:r w:rsidRPr="006B24DA">
        <w:rPr>
          <w:noProof/>
          <w:szCs w:val="24"/>
        </w:rPr>
        <w:t>: 3733-3738 [PMID: 23644834 DOI: 10.1007/s00464-013-2957-9]</w:t>
      </w:r>
    </w:p>
    <w:p w14:paraId="0C1E2E10"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217 </w:t>
      </w:r>
      <w:r w:rsidRPr="006B24DA">
        <w:rPr>
          <w:b/>
          <w:bCs/>
          <w:noProof/>
          <w:szCs w:val="24"/>
        </w:rPr>
        <w:t>Madhoun MF</w:t>
      </w:r>
      <w:r w:rsidRPr="006B24DA">
        <w:rPr>
          <w:noProof/>
          <w:szCs w:val="24"/>
        </w:rPr>
        <w:t>, Wani SB, Rastogi A, Early D, Gaddam S, Tierney WM, Maple JT. The diagnostic accuracy of 22-gauge and 25-gauge needles in endoscopic ultrasound-guided fine needle aspiration of solid pancreatic lesions: a meta-analysis. </w:t>
      </w:r>
      <w:r w:rsidRPr="006B24DA">
        <w:rPr>
          <w:i/>
          <w:iCs/>
          <w:noProof/>
          <w:szCs w:val="24"/>
        </w:rPr>
        <w:t>Endoscopy</w:t>
      </w:r>
      <w:r w:rsidRPr="006B24DA">
        <w:rPr>
          <w:noProof/>
          <w:szCs w:val="24"/>
        </w:rPr>
        <w:t> 2013; </w:t>
      </w:r>
      <w:r w:rsidRPr="006B24DA">
        <w:rPr>
          <w:b/>
          <w:bCs/>
          <w:noProof/>
          <w:szCs w:val="24"/>
        </w:rPr>
        <w:t>45</w:t>
      </w:r>
      <w:r w:rsidRPr="006B24DA">
        <w:rPr>
          <w:noProof/>
          <w:szCs w:val="24"/>
        </w:rPr>
        <w:t>: 86-92 [PMID: 23307148 DOI: 10.1055/s-0032-1325992]</w:t>
      </w:r>
    </w:p>
    <w:p w14:paraId="7CD9C325" w14:textId="418BEB86"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218 </w:t>
      </w:r>
      <w:r w:rsidRPr="006B24DA">
        <w:rPr>
          <w:b/>
          <w:bCs/>
          <w:noProof/>
          <w:szCs w:val="24"/>
        </w:rPr>
        <w:t>Strand DS</w:t>
      </w:r>
      <w:r w:rsidRPr="006B24DA">
        <w:rPr>
          <w:noProof/>
          <w:szCs w:val="24"/>
        </w:rPr>
        <w:t>, Jeffus SK, Sauer BG, Wang AY, Stelow EB, Shami VM. EUS-guided 22-gauge fine-needle aspiration versus core biopsy needle in the evaluation of solid pancreatic neoplasms. </w:t>
      </w:r>
      <w:r w:rsidRPr="006B24DA">
        <w:rPr>
          <w:i/>
          <w:iCs/>
          <w:noProof/>
          <w:szCs w:val="24"/>
        </w:rPr>
        <w:t xml:space="preserve">Diagn Cytopathol </w:t>
      </w:r>
      <w:r w:rsidRPr="006B24DA">
        <w:rPr>
          <w:noProof/>
          <w:szCs w:val="24"/>
        </w:rPr>
        <w:t>2014; </w:t>
      </w:r>
      <w:r w:rsidRPr="006B24DA">
        <w:rPr>
          <w:b/>
          <w:bCs/>
          <w:noProof/>
          <w:szCs w:val="24"/>
        </w:rPr>
        <w:t>42</w:t>
      </w:r>
      <w:r w:rsidRPr="006B24DA">
        <w:rPr>
          <w:noProof/>
          <w:szCs w:val="24"/>
        </w:rPr>
        <w:t>: 751-758 [PMID: 24550162 DOI: 10.1002/dc.23116]</w:t>
      </w:r>
    </w:p>
    <w:p w14:paraId="49207081"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219 </w:t>
      </w:r>
      <w:r w:rsidRPr="006B24DA">
        <w:rPr>
          <w:b/>
          <w:bCs/>
          <w:noProof/>
          <w:szCs w:val="24"/>
        </w:rPr>
        <w:t>Attili F</w:t>
      </w:r>
      <w:r w:rsidRPr="006B24DA">
        <w:rPr>
          <w:noProof/>
          <w:szCs w:val="24"/>
        </w:rPr>
        <w:t>, Petrone G, Abdulkader I, Correale L, Inzani F, Iglesias-Garcia J, Hassan C, Andrade Zurita S, Rindi G, Dominguez-Muñoz JE, Costamagna G, Larghi A. Accuracy and inter-observer agreement of the Procore™ 25 gauge needle for endoscopic ultrasound-guided tissue core biopsy. </w:t>
      </w:r>
      <w:r w:rsidRPr="006B24DA">
        <w:rPr>
          <w:i/>
          <w:iCs/>
          <w:noProof/>
          <w:szCs w:val="24"/>
        </w:rPr>
        <w:t>Dig Liver Dis</w:t>
      </w:r>
      <w:r w:rsidRPr="006B24DA">
        <w:rPr>
          <w:noProof/>
          <w:szCs w:val="24"/>
        </w:rPr>
        <w:t> 2015; </w:t>
      </w:r>
      <w:r w:rsidRPr="006B24DA">
        <w:rPr>
          <w:b/>
          <w:bCs/>
          <w:noProof/>
          <w:szCs w:val="24"/>
        </w:rPr>
        <w:t>47</w:t>
      </w:r>
      <w:r w:rsidRPr="006B24DA">
        <w:rPr>
          <w:noProof/>
          <w:szCs w:val="24"/>
        </w:rPr>
        <w:t>: 943-949 [PMID: 26216067 DOI: 10.1016/j.dld.2015.07.003]</w:t>
      </w:r>
    </w:p>
    <w:p w14:paraId="7C88EDAF"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220 </w:t>
      </w:r>
      <w:r w:rsidRPr="006B24DA">
        <w:rPr>
          <w:b/>
          <w:bCs/>
          <w:noProof/>
          <w:szCs w:val="24"/>
        </w:rPr>
        <w:t>Bang JY</w:t>
      </w:r>
      <w:r w:rsidRPr="006B24DA">
        <w:rPr>
          <w:noProof/>
          <w:szCs w:val="24"/>
        </w:rPr>
        <w:t>, Hawes R, Varadarajulu S. A meta-analysis comparing ProCore and standard fine-needle aspiration needles for endoscopic ultrasound-guided tissue acquisition. </w:t>
      </w:r>
      <w:r w:rsidRPr="006B24DA">
        <w:rPr>
          <w:i/>
          <w:iCs/>
          <w:noProof/>
          <w:szCs w:val="24"/>
        </w:rPr>
        <w:t>Endoscopy</w:t>
      </w:r>
      <w:r w:rsidRPr="006B24DA">
        <w:rPr>
          <w:noProof/>
          <w:szCs w:val="24"/>
        </w:rPr>
        <w:t> 2016; </w:t>
      </w:r>
      <w:r w:rsidRPr="006B24DA">
        <w:rPr>
          <w:b/>
          <w:bCs/>
          <w:noProof/>
          <w:szCs w:val="24"/>
        </w:rPr>
        <w:t>48</w:t>
      </w:r>
      <w:r w:rsidRPr="006B24DA">
        <w:rPr>
          <w:noProof/>
          <w:szCs w:val="24"/>
        </w:rPr>
        <w:t>: 339-349 [PMID: 26561917 DOI: 10.1055/s-0034-1393354]</w:t>
      </w:r>
    </w:p>
    <w:p w14:paraId="2C135733"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lastRenderedPageBreak/>
        <w:t>221 </w:t>
      </w:r>
      <w:r w:rsidRPr="006B24DA">
        <w:rPr>
          <w:b/>
          <w:bCs/>
          <w:noProof/>
          <w:szCs w:val="24"/>
        </w:rPr>
        <w:t>Gleeson FC</w:t>
      </w:r>
      <w:r w:rsidRPr="006B24DA">
        <w:rPr>
          <w:noProof/>
          <w:szCs w:val="24"/>
        </w:rPr>
        <w:t>, Clayton AC, Zhang L, Clain JE, Gores GJ, Rajan E, Smyrk TC, Topazian MD, Wang KK, Wiersema MJ, Levy MJ. Adequacy of endoscopic ultrasound core needle biopsy specimen of nonmalignant hepatic parenchymal disease. </w:t>
      </w:r>
      <w:r w:rsidRPr="006B24DA">
        <w:rPr>
          <w:i/>
          <w:iCs/>
          <w:noProof/>
          <w:szCs w:val="24"/>
        </w:rPr>
        <w:t>Clin Gastroenterol Hepatol</w:t>
      </w:r>
      <w:r w:rsidRPr="006B24DA">
        <w:rPr>
          <w:noProof/>
          <w:szCs w:val="24"/>
        </w:rPr>
        <w:t> 2008; </w:t>
      </w:r>
      <w:r w:rsidRPr="006B24DA">
        <w:rPr>
          <w:b/>
          <w:bCs/>
          <w:noProof/>
          <w:szCs w:val="24"/>
        </w:rPr>
        <w:t>6</w:t>
      </w:r>
      <w:r w:rsidRPr="006B24DA">
        <w:rPr>
          <w:noProof/>
          <w:szCs w:val="24"/>
        </w:rPr>
        <w:t>: 1437-1440 [PMID: 19081532 DOI: 10.1016/j.cgh.2008.07.015]</w:t>
      </w:r>
    </w:p>
    <w:p w14:paraId="7D05067B"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222 </w:t>
      </w:r>
      <w:r w:rsidRPr="006B24DA">
        <w:rPr>
          <w:b/>
          <w:bCs/>
          <w:noProof/>
          <w:szCs w:val="24"/>
        </w:rPr>
        <w:t>Dewitt J</w:t>
      </w:r>
      <w:r w:rsidRPr="006B24DA">
        <w:rPr>
          <w:noProof/>
          <w:szCs w:val="24"/>
        </w:rPr>
        <w:t>, McGreevy K, Cummings O, Sherman S, Leblanc JK, McHenry L, Al-Haddad M, Chalasani N. Initial experience with EUS-guided Tru-cut biopsy of benign liver disease. </w:t>
      </w:r>
      <w:r w:rsidRPr="006B24DA">
        <w:rPr>
          <w:i/>
          <w:iCs/>
          <w:noProof/>
          <w:szCs w:val="24"/>
        </w:rPr>
        <w:t>Gastrointest Endosc</w:t>
      </w:r>
      <w:r w:rsidRPr="006B24DA">
        <w:rPr>
          <w:noProof/>
          <w:szCs w:val="24"/>
        </w:rPr>
        <w:t> 2009; </w:t>
      </w:r>
      <w:r w:rsidRPr="006B24DA">
        <w:rPr>
          <w:b/>
          <w:bCs/>
          <w:noProof/>
          <w:szCs w:val="24"/>
        </w:rPr>
        <w:t>69</w:t>
      </w:r>
      <w:r w:rsidRPr="006B24DA">
        <w:rPr>
          <w:noProof/>
          <w:szCs w:val="24"/>
        </w:rPr>
        <w:t>: 535-542 [PMID: 19231495 DOI: 10.1016/j.gie.2008.09.056]</w:t>
      </w:r>
    </w:p>
    <w:p w14:paraId="44D69D69"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223 </w:t>
      </w:r>
      <w:r w:rsidRPr="006B24DA">
        <w:rPr>
          <w:b/>
          <w:bCs/>
          <w:noProof/>
          <w:szCs w:val="24"/>
        </w:rPr>
        <w:t>Gleeson FC</w:t>
      </w:r>
      <w:r w:rsidRPr="006B24DA">
        <w:rPr>
          <w:noProof/>
          <w:szCs w:val="24"/>
        </w:rPr>
        <w:t>, Levy MJ. EUS Trucut biopsy liver parenchyma acquisition and yield are comparable to that of a transjugular liver biopsy. </w:t>
      </w:r>
      <w:r w:rsidRPr="006B24DA">
        <w:rPr>
          <w:i/>
          <w:iCs/>
          <w:noProof/>
          <w:szCs w:val="24"/>
        </w:rPr>
        <w:t>Gastrointest Endosc</w:t>
      </w:r>
      <w:r w:rsidRPr="006B24DA">
        <w:rPr>
          <w:noProof/>
          <w:szCs w:val="24"/>
        </w:rPr>
        <w:t> 2009; </w:t>
      </w:r>
      <w:r w:rsidRPr="006B24DA">
        <w:rPr>
          <w:b/>
          <w:bCs/>
          <w:noProof/>
          <w:szCs w:val="24"/>
        </w:rPr>
        <w:t>70</w:t>
      </w:r>
      <w:r w:rsidRPr="006B24DA">
        <w:rPr>
          <w:noProof/>
          <w:szCs w:val="24"/>
        </w:rPr>
        <w:t>: 1046; author reply 1046-1046; author reply 1047 [PMID: 19879410 DOI: 10.1016/j.gie.2009.03.030]</w:t>
      </w:r>
    </w:p>
    <w:p w14:paraId="7861A161"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224 </w:t>
      </w:r>
      <w:r w:rsidRPr="006B24DA">
        <w:rPr>
          <w:b/>
          <w:bCs/>
          <w:noProof/>
          <w:szCs w:val="24"/>
        </w:rPr>
        <w:t>Stavropoulos SN</w:t>
      </w:r>
      <w:r w:rsidRPr="006B24DA">
        <w:rPr>
          <w:noProof/>
          <w:szCs w:val="24"/>
        </w:rPr>
        <w:t>, Im GY, Jlayer Z, Harris MD, Pitea TC, Turi GK, Malet PF, Friedel DM, Grendell JH. High yield of same-session EUS-guided liver biopsy by 19-gauge FNA needle in patients undergoing EUS to exclude biliary obstruction. </w:t>
      </w:r>
      <w:r w:rsidRPr="006B24DA">
        <w:rPr>
          <w:i/>
          <w:iCs/>
          <w:noProof/>
          <w:szCs w:val="24"/>
        </w:rPr>
        <w:t>Gastrointest Endosc</w:t>
      </w:r>
      <w:r w:rsidRPr="006B24DA">
        <w:rPr>
          <w:noProof/>
          <w:szCs w:val="24"/>
        </w:rPr>
        <w:t> 2012; </w:t>
      </w:r>
      <w:r w:rsidRPr="006B24DA">
        <w:rPr>
          <w:b/>
          <w:bCs/>
          <w:noProof/>
          <w:szCs w:val="24"/>
        </w:rPr>
        <w:t>75</w:t>
      </w:r>
      <w:r w:rsidRPr="006B24DA">
        <w:rPr>
          <w:noProof/>
          <w:szCs w:val="24"/>
        </w:rPr>
        <w:t>: 310-318 [PMID: 22248599 DOI: 10.1016/j.gie.2011.09.043]</w:t>
      </w:r>
    </w:p>
    <w:p w14:paraId="5478F714"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225 </w:t>
      </w:r>
      <w:r w:rsidRPr="006B24DA">
        <w:rPr>
          <w:b/>
          <w:bCs/>
          <w:noProof/>
          <w:szCs w:val="24"/>
        </w:rPr>
        <w:t>DeWitt J</w:t>
      </w:r>
      <w:r w:rsidRPr="006B24DA">
        <w:rPr>
          <w:noProof/>
          <w:szCs w:val="24"/>
        </w:rPr>
        <w:t>, Cho CM, Lin J, Al-Haddad M, Canto MI, Salamone A, Hruban RH, Messallam AA, Khashab MA. Comparison of EUS-guided tissue acquisition using two different 19-gauge core biopsy needles: a multicenter, prospective, randomized, and blinded study. </w:t>
      </w:r>
      <w:r w:rsidRPr="006B24DA">
        <w:rPr>
          <w:i/>
          <w:iCs/>
          <w:noProof/>
          <w:szCs w:val="24"/>
        </w:rPr>
        <w:t>Endosc Int Open</w:t>
      </w:r>
      <w:r w:rsidRPr="006B24DA">
        <w:rPr>
          <w:noProof/>
          <w:szCs w:val="24"/>
        </w:rPr>
        <w:t> 2015; </w:t>
      </w:r>
      <w:r w:rsidRPr="006B24DA">
        <w:rPr>
          <w:b/>
          <w:bCs/>
          <w:noProof/>
          <w:szCs w:val="24"/>
        </w:rPr>
        <w:t>3</w:t>
      </w:r>
      <w:r w:rsidRPr="006B24DA">
        <w:rPr>
          <w:noProof/>
          <w:szCs w:val="24"/>
        </w:rPr>
        <w:t>: E471-E478 [PMID: 26528504 DOI: 10.1055/s-0034-1392222]</w:t>
      </w:r>
    </w:p>
    <w:p w14:paraId="3FABA962"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226 </w:t>
      </w:r>
      <w:r w:rsidRPr="006B24DA">
        <w:rPr>
          <w:b/>
          <w:bCs/>
          <w:noProof/>
          <w:szCs w:val="24"/>
        </w:rPr>
        <w:t>Diehl DL</w:t>
      </w:r>
      <w:r w:rsidRPr="006B24DA">
        <w:rPr>
          <w:noProof/>
          <w:szCs w:val="24"/>
        </w:rPr>
        <w:t>, Johal AS, Khara HS, Stavropoulos SN, Al-Haddad M, Ramesh J, Varadarajulu S, Aslanian H, Gordon SR, Shieh FK, Pineda-Bonilla JJ, Dunkelberger T, Gondim DD, Chen EZ. Endoscopic ultrasound-guided liver biopsy: a multicenter experience. </w:t>
      </w:r>
      <w:r w:rsidRPr="006B24DA">
        <w:rPr>
          <w:i/>
          <w:iCs/>
          <w:noProof/>
          <w:szCs w:val="24"/>
        </w:rPr>
        <w:t>Endosc Int Open</w:t>
      </w:r>
      <w:r w:rsidRPr="006B24DA">
        <w:rPr>
          <w:noProof/>
          <w:szCs w:val="24"/>
        </w:rPr>
        <w:t> 2015; </w:t>
      </w:r>
      <w:r w:rsidRPr="006B24DA">
        <w:rPr>
          <w:b/>
          <w:bCs/>
          <w:noProof/>
          <w:szCs w:val="24"/>
        </w:rPr>
        <w:t>3</w:t>
      </w:r>
      <w:r w:rsidRPr="006B24DA">
        <w:rPr>
          <w:noProof/>
          <w:szCs w:val="24"/>
        </w:rPr>
        <w:t>: E210-E215 [PMID: 26171433 DOI: 10.1055/s-0034-1391412]</w:t>
      </w:r>
    </w:p>
    <w:p w14:paraId="378DFCC1"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227 </w:t>
      </w:r>
      <w:r w:rsidRPr="006B24DA">
        <w:rPr>
          <w:b/>
          <w:bCs/>
          <w:noProof/>
          <w:szCs w:val="24"/>
        </w:rPr>
        <w:t>Nakanishi Y</w:t>
      </w:r>
      <w:r w:rsidRPr="006B24DA">
        <w:rPr>
          <w:noProof/>
          <w:szCs w:val="24"/>
        </w:rPr>
        <w:t xml:space="preserve">, Mneimneh WS, Sey M, Al-Haddad M, DeWitt JM, Saxena R. One hundred thirteen consecutive transgastric liver biopsies for hepatic parenchymal </w:t>
      </w:r>
      <w:r w:rsidRPr="006B24DA">
        <w:rPr>
          <w:noProof/>
          <w:szCs w:val="24"/>
        </w:rPr>
        <w:lastRenderedPageBreak/>
        <w:t>diseases: a single-institution study. </w:t>
      </w:r>
      <w:r w:rsidRPr="006B24DA">
        <w:rPr>
          <w:i/>
          <w:iCs/>
          <w:noProof/>
          <w:szCs w:val="24"/>
        </w:rPr>
        <w:t>Am J Surg Pathol</w:t>
      </w:r>
      <w:r w:rsidRPr="006B24DA">
        <w:rPr>
          <w:noProof/>
          <w:szCs w:val="24"/>
        </w:rPr>
        <w:t> 2015; </w:t>
      </w:r>
      <w:r w:rsidRPr="006B24DA">
        <w:rPr>
          <w:b/>
          <w:bCs/>
          <w:noProof/>
          <w:szCs w:val="24"/>
        </w:rPr>
        <w:t>39</w:t>
      </w:r>
      <w:r w:rsidRPr="006B24DA">
        <w:rPr>
          <w:noProof/>
          <w:szCs w:val="24"/>
        </w:rPr>
        <w:t>: 968-976 [PMID: 25970688 DOI: 10.1097/PAS.0000000000000449]</w:t>
      </w:r>
    </w:p>
    <w:p w14:paraId="5D263E05"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228 </w:t>
      </w:r>
      <w:r w:rsidRPr="006B24DA">
        <w:rPr>
          <w:b/>
          <w:bCs/>
          <w:noProof/>
          <w:szCs w:val="24"/>
        </w:rPr>
        <w:t>Parekh PJ</w:t>
      </w:r>
      <w:r w:rsidRPr="006B24DA">
        <w:rPr>
          <w:noProof/>
          <w:szCs w:val="24"/>
        </w:rPr>
        <w:t>, Majithia R, Diehl DL, Baron TH. Endoscopic ultrasound-guided liver biopsy. </w:t>
      </w:r>
      <w:r w:rsidRPr="006B24DA">
        <w:rPr>
          <w:i/>
          <w:iCs/>
          <w:noProof/>
          <w:szCs w:val="24"/>
        </w:rPr>
        <w:t>Endosc Ultrasound</w:t>
      </w:r>
      <w:r w:rsidRPr="006B24DA">
        <w:rPr>
          <w:noProof/>
          <w:szCs w:val="24"/>
        </w:rPr>
        <w:t> 2015; </w:t>
      </w:r>
      <w:r w:rsidRPr="006B24DA">
        <w:rPr>
          <w:b/>
          <w:bCs/>
          <w:noProof/>
          <w:szCs w:val="24"/>
        </w:rPr>
        <w:t>4</w:t>
      </w:r>
      <w:r w:rsidRPr="006B24DA">
        <w:rPr>
          <w:noProof/>
          <w:szCs w:val="24"/>
        </w:rPr>
        <w:t>: 85-91 [PMID: 26020041 DOI: 10.4103/2303-9027.156711]</w:t>
      </w:r>
    </w:p>
    <w:p w14:paraId="1F2631B7" w14:textId="2FD75DEE"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229 </w:t>
      </w:r>
      <w:r w:rsidRPr="006B24DA">
        <w:rPr>
          <w:b/>
          <w:bCs/>
          <w:noProof/>
          <w:szCs w:val="24"/>
        </w:rPr>
        <w:t>Sey MS</w:t>
      </w:r>
      <w:r w:rsidRPr="006B24DA">
        <w:rPr>
          <w:noProof/>
          <w:szCs w:val="24"/>
        </w:rPr>
        <w:t>, Al-Haddad M, Imperiale TF, McGreevy K, Lin J, DeWitt JM. EUS-guided liver biopsy for parenchymal disease: a comparison of diagnostic yield between two core biopsy needles. </w:t>
      </w:r>
      <w:r w:rsidRPr="006B24DA">
        <w:rPr>
          <w:i/>
          <w:iCs/>
          <w:noProof/>
          <w:szCs w:val="24"/>
        </w:rPr>
        <w:t xml:space="preserve">Gastrointest Endosc </w:t>
      </w:r>
      <w:r w:rsidRPr="006B24DA">
        <w:rPr>
          <w:noProof/>
          <w:szCs w:val="24"/>
        </w:rPr>
        <w:t>2016; </w:t>
      </w:r>
      <w:r w:rsidRPr="006B24DA">
        <w:rPr>
          <w:b/>
          <w:bCs/>
          <w:noProof/>
          <w:szCs w:val="24"/>
        </w:rPr>
        <w:t>83</w:t>
      </w:r>
      <w:r w:rsidRPr="006B24DA">
        <w:rPr>
          <w:noProof/>
          <w:szCs w:val="24"/>
        </w:rPr>
        <w:t>: 347-352 [PMID: 26278654 DOI: 10.1016/j.gie.2015.08.012]</w:t>
      </w:r>
    </w:p>
    <w:p w14:paraId="174E028A"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230 </w:t>
      </w:r>
      <w:r w:rsidRPr="006B24DA">
        <w:rPr>
          <w:b/>
          <w:bCs/>
          <w:noProof/>
          <w:szCs w:val="24"/>
        </w:rPr>
        <w:t>Nieto J</w:t>
      </w:r>
      <w:r w:rsidRPr="006B24DA">
        <w:rPr>
          <w:noProof/>
          <w:szCs w:val="24"/>
        </w:rPr>
        <w:t>, Khaleel H, Challita Y, Jimenez M, Baron TH, Walters L, Hathaway K, Patel K, Lankarani A, Herman M, Holloman D, Saab S. EUS-guided fine-needle core liver biopsy sampling using a novel 19-gauge needle with modified 1-pass, 1 actuation wet suction technique. </w:t>
      </w:r>
      <w:r w:rsidRPr="006B24DA">
        <w:rPr>
          <w:i/>
          <w:iCs/>
          <w:noProof/>
          <w:szCs w:val="24"/>
        </w:rPr>
        <w:t>Gastrointest Endosc</w:t>
      </w:r>
      <w:r w:rsidRPr="006B24DA">
        <w:rPr>
          <w:noProof/>
          <w:szCs w:val="24"/>
        </w:rPr>
        <w:t> 2018; </w:t>
      </w:r>
      <w:r w:rsidRPr="006B24DA">
        <w:rPr>
          <w:b/>
          <w:bCs/>
          <w:noProof/>
          <w:szCs w:val="24"/>
        </w:rPr>
        <w:t>87</w:t>
      </w:r>
      <w:r w:rsidRPr="006B24DA">
        <w:rPr>
          <w:noProof/>
          <w:szCs w:val="24"/>
        </w:rPr>
        <w:t>: 469-475 [PMID: 28551024 DOI: 10.1016/j.gie.2017.05.013]</w:t>
      </w:r>
    </w:p>
    <w:p w14:paraId="26C41F6F"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231 </w:t>
      </w:r>
      <w:r w:rsidRPr="006B24DA">
        <w:rPr>
          <w:b/>
          <w:bCs/>
          <w:noProof/>
          <w:szCs w:val="24"/>
        </w:rPr>
        <w:t>Shah ND</w:t>
      </w:r>
      <w:r w:rsidRPr="006B24DA">
        <w:rPr>
          <w:noProof/>
          <w:szCs w:val="24"/>
        </w:rPr>
        <w:t>, Sasatomi E, Baron TH. Endoscopic Ultrasound-guided Parenchymal Liver Biopsy: Single Center Experience of a New Dedicated Core Needle. </w:t>
      </w:r>
      <w:r w:rsidRPr="006B24DA">
        <w:rPr>
          <w:i/>
          <w:iCs/>
          <w:noProof/>
          <w:szCs w:val="24"/>
        </w:rPr>
        <w:t>Clin Gastroenterol Hepatol</w:t>
      </w:r>
      <w:r w:rsidRPr="006B24DA">
        <w:rPr>
          <w:noProof/>
          <w:szCs w:val="24"/>
        </w:rPr>
        <w:t> 2017; </w:t>
      </w:r>
      <w:r w:rsidRPr="006B24DA">
        <w:rPr>
          <w:b/>
          <w:bCs/>
          <w:noProof/>
          <w:szCs w:val="24"/>
        </w:rPr>
        <w:t>15</w:t>
      </w:r>
      <w:r w:rsidRPr="006B24DA">
        <w:rPr>
          <w:noProof/>
          <w:szCs w:val="24"/>
        </w:rPr>
        <w:t>: 784-786 [PMID: 28126424 DOI: 10.1016/j.cgh.2017.01.011]</w:t>
      </w:r>
    </w:p>
    <w:p w14:paraId="4CF69ABF"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232 </w:t>
      </w:r>
      <w:r w:rsidRPr="006B24DA">
        <w:rPr>
          <w:b/>
          <w:bCs/>
          <w:noProof/>
          <w:szCs w:val="24"/>
        </w:rPr>
        <w:t>Mohan BP</w:t>
      </w:r>
      <w:r w:rsidRPr="006B24DA">
        <w:rPr>
          <w:noProof/>
          <w:szCs w:val="24"/>
        </w:rPr>
        <w:t>, Shakhatreh M, Garg R, Ponnada S, Adler DG. Efficacy and safety of EUS-guided liver biopsy: a systematic review and meta- analysis. </w:t>
      </w:r>
      <w:r w:rsidRPr="006B24DA">
        <w:rPr>
          <w:i/>
          <w:iCs/>
          <w:noProof/>
          <w:szCs w:val="24"/>
        </w:rPr>
        <w:t>Gastrointest Endosc</w:t>
      </w:r>
      <w:r w:rsidRPr="006B24DA">
        <w:rPr>
          <w:noProof/>
          <w:szCs w:val="24"/>
        </w:rPr>
        <w:t> 2018; : [PMID: 30389469 DOI: 10.1016/j.gie.2018.10.018]</w:t>
      </w:r>
    </w:p>
    <w:p w14:paraId="2B9B7EC9"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233 </w:t>
      </w:r>
      <w:r w:rsidRPr="006B24DA">
        <w:rPr>
          <w:b/>
          <w:bCs/>
          <w:noProof/>
          <w:szCs w:val="24"/>
        </w:rPr>
        <w:t>Pineda JJ</w:t>
      </w:r>
      <w:r w:rsidRPr="006B24DA">
        <w:rPr>
          <w:noProof/>
          <w:szCs w:val="24"/>
        </w:rPr>
        <w:t>, Diehl DL, Miao CL, Johal AS, Khara HS, Bhanushali A, Chen EZ. EUS-guided liver biopsy provides diagnostic samples comparable with those via the percutaneous or transjugular route. </w:t>
      </w:r>
      <w:r w:rsidRPr="006B24DA">
        <w:rPr>
          <w:i/>
          <w:iCs/>
          <w:noProof/>
          <w:szCs w:val="24"/>
        </w:rPr>
        <w:t>Gastrointest Endosc</w:t>
      </w:r>
      <w:r w:rsidRPr="006B24DA">
        <w:rPr>
          <w:noProof/>
          <w:szCs w:val="24"/>
        </w:rPr>
        <w:t> 2016; </w:t>
      </w:r>
      <w:r w:rsidRPr="006B24DA">
        <w:rPr>
          <w:b/>
          <w:bCs/>
          <w:noProof/>
          <w:szCs w:val="24"/>
        </w:rPr>
        <w:t>83</w:t>
      </w:r>
      <w:r w:rsidRPr="006B24DA">
        <w:rPr>
          <w:noProof/>
          <w:szCs w:val="24"/>
        </w:rPr>
        <w:t>: 360-365 [PMID: 26301407 DOI: 10.1016/j.gie.2015.08.025]</w:t>
      </w:r>
    </w:p>
    <w:p w14:paraId="075B9FFE"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234 </w:t>
      </w:r>
      <w:r w:rsidRPr="006B24DA">
        <w:rPr>
          <w:b/>
          <w:bCs/>
          <w:noProof/>
          <w:szCs w:val="24"/>
        </w:rPr>
        <w:t>Huang JY</w:t>
      </w:r>
      <w:r w:rsidRPr="006B24DA">
        <w:rPr>
          <w:noProof/>
          <w:szCs w:val="24"/>
        </w:rPr>
        <w:t>, Samarasena JB, Tsujino T, Chang KJ. EUS-guided portal pressure gradient measurement with a novel 25-gauge needle device versus standard transjugular approach: a comparison animal study. </w:t>
      </w:r>
      <w:r w:rsidRPr="006B24DA">
        <w:rPr>
          <w:i/>
          <w:iCs/>
          <w:noProof/>
          <w:szCs w:val="24"/>
        </w:rPr>
        <w:t>Gastrointest Endosc</w:t>
      </w:r>
      <w:r w:rsidRPr="006B24DA">
        <w:rPr>
          <w:noProof/>
          <w:szCs w:val="24"/>
        </w:rPr>
        <w:t> 2016; </w:t>
      </w:r>
      <w:r w:rsidRPr="006B24DA">
        <w:rPr>
          <w:b/>
          <w:bCs/>
          <w:noProof/>
          <w:szCs w:val="24"/>
        </w:rPr>
        <w:t>84</w:t>
      </w:r>
      <w:r w:rsidRPr="006B24DA">
        <w:rPr>
          <w:noProof/>
          <w:szCs w:val="24"/>
        </w:rPr>
        <w:t>: 358-362 [PMID: 26945557 DOI: 10.1016/j.gie.2016.02.032]</w:t>
      </w:r>
    </w:p>
    <w:p w14:paraId="611584E0" w14:textId="743B3CAA"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lastRenderedPageBreak/>
        <w:t>235 </w:t>
      </w:r>
      <w:r w:rsidRPr="006B24DA">
        <w:rPr>
          <w:b/>
          <w:bCs/>
          <w:noProof/>
          <w:szCs w:val="24"/>
        </w:rPr>
        <w:t>Huang JY</w:t>
      </w:r>
      <w:r w:rsidRPr="006B24DA">
        <w:rPr>
          <w:noProof/>
          <w:szCs w:val="24"/>
        </w:rPr>
        <w:t>, Samarasena JB, Tsujino T, Lee J, Hu KQ, McLaren CE, Chen WP, Chang KJ. EUS-guided portal pressure gradient measurement with a simple novel device: a human pilot study. </w:t>
      </w:r>
      <w:r w:rsidRPr="006B24DA">
        <w:rPr>
          <w:i/>
          <w:iCs/>
          <w:noProof/>
          <w:szCs w:val="24"/>
        </w:rPr>
        <w:t xml:space="preserve">Gastrointest Endosc </w:t>
      </w:r>
      <w:r w:rsidRPr="006B24DA">
        <w:rPr>
          <w:noProof/>
          <w:szCs w:val="24"/>
        </w:rPr>
        <w:t>2017; </w:t>
      </w:r>
      <w:r w:rsidRPr="006B24DA">
        <w:rPr>
          <w:b/>
          <w:bCs/>
          <w:noProof/>
          <w:szCs w:val="24"/>
        </w:rPr>
        <w:t>85</w:t>
      </w:r>
      <w:r w:rsidRPr="006B24DA">
        <w:rPr>
          <w:noProof/>
          <w:szCs w:val="24"/>
        </w:rPr>
        <w:t>: 996-1001 [PMID: 27693644 DOI: 10.1016/j.gie.2016.09.026]</w:t>
      </w:r>
    </w:p>
    <w:p w14:paraId="119768A8"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236 </w:t>
      </w:r>
      <w:r w:rsidRPr="006B24DA">
        <w:rPr>
          <w:b/>
          <w:bCs/>
          <w:noProof/>
          <w:szCs w:val="24"/>
        </w:rPr>
        <w:t>Samarasena JB</w:t>
      </w:r>
      <w:r w:rsidRPr="006B24DA">
        <w:rPr>
          <w:noProof/>
          <w:szCs w:val="24"/>
        </w:rPr>
        <w:t>, Yu AR, Chang KJ. EUS-guided portal pressure measurement (with videos). </w:t>
      </w:r>
      <w:r w:rsidRPr="006B24DA">
        <w:rPr>
          <w:i/>
          <w:iCs/>
          <w:noProof/>
          <w:szCs w:val="24"/>
        </w:rPr>
        <w:t>Endosc Ultrasound</w:t>
      </w:r>
      <w:r w:rsidRPr="006B24DA">
        <w:rPr>
          <w:noProof/>
          <w:szCs w:val="24"/>
        </w:rPr>
        <w:t> 2018; </w:t>
      </w:r>
      <w:r w:rsidRPr="006B24DA">
        <w:rPr>
          <w:b/>
          <w:bCs/>
          <w:noProof/>
          <w:szCs w:val="24"/>
        </w:rPr>
        <w:t>7</w:t>
      </w:r>
      <w:r w:rsidRPr="006B24DA">
        <w:rPr>
          <w:noProof/>
          <w:szCs w:val="24"/>
        </w:rPr>
        <w:t>: 257-262 [PMID: 30117489 DOI: 10.4103/eus.eus_35_18]</w:t>
      </w:r>
    </w:p>
    <w:p w14:paraId="7896C25B"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237 </w:t>
      </w:r>
      <w:r w:rsidRPr="006B24DA">
        <w:rPr>
          <w:b/>
          <w:bCs/>
          <w:noProof/>
          <w:szCs w:val="24"/>
        </w:rPr>
        <w:t>Tsujino T</w:t>
      </w:r>
      <w:r w:rsidRPr="006B24DA">
        <w:rPr>
          <w:noProof/>
          <w:szCs w:val="24"/>
        </w:rPr>
        <w:t>, Samarasena JB, Chang KJ. EUS anatomy of the liver segments. </w:t>
      </w:r>
      <w:r w:rsidRPr="006B24DA">
        <w:rPr>
          <w:i/>
          <w:iCs/>
          <w:noProof/>
          <w:szCs w:val="24"/>
        </w:rPr>
        <w:t>Endosc Ultrasound</w:t>
      </w:r>
      <w:r w:rsidRPr="006B24DA">
        <w:rPr>
          <w:noProof/>
          <w:szCs w:val="24"/>
        </w:rPr>
        <w:t> 2018; </w:t>
      </w:r>
      <w:r w:rsidRPr="006B24DA">
        <w:rPr>
          <w:b/>
          <w:bCs/>
          <w:noProof/>
          <w:szCs w:val="24"/>
        </w:rPr>
        <w:t>7</w:t>
      </w:r>
      <w:r w:rsidRPr="006B24DA">
        <w:rPr>
          <w:noProof/>
          <w:szCs w:val="24"/>
        </w:rPr>
        <w:t>: 246-251 [PMID: 30117487 DOI: 10.4103/eus.eus_34_18]</w:t>
      </w:r>
    </w:p>
    <w:p w14:paraId="4AAB0848"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238 </w:t>
      </w:r>
      <w:r w:rsidRPr="006B24DA">
        <w:rPr>
          <w:b/>
          <w:bCs/>
          <w:noProof/>
          <w:szCs w:val="24"/>
        </w:rPr>
        <w:t>Tsujino T</w:t>
      </w:r>
      <w:r w:rsidRPr="006B24DA">
        <w:rPr>
          <w:bCs/>
          <w:noProof/>
          <w:szCs w:val="24"/>
        </w:rPr>
        <w:t>,</w:t>
      </w:r>
      <w:r w:rsidRPr="006B24DA">
        <w:rPr>
          <w:noProof/>
          <w:szCs w:val="24"/>
        </w:rPr>
        <w:t xml:space="preserve"> Huang JY, Samarasena JB, Hu KQ, Miller GC, Clouston A, Chang KJ. </w:t>
      </w:r>
      <w:bookmarkStart w:id="92" w:name="OLE_LINK130"/>
      <w:bookmarkStart w:id="93" w:name="OLE_LINK131"/>
      <w:r w:rsidRPr="006B24DA">
        <w:rPr>
          <w:noProof/>
          <w:szCs w:val="24"/>
        </w:rPr>
        <w:t>Safety and Feasibility of Combination EUS-Guided Portal Pressure Gradient Measurement and Liver Biopsy: The Realization of Endo-Hepatology</w:t>
      </w:r>
      <w:bookmarkEnd w:id="92"/>
      <w:bookmarkEnd w:id="93"/>
      <w:r w:rsidRPr="006B24DA">
        <w:rPr>
          <w:noProof/>
          <w:szCs w:val="24"/>
        </w:rPr>
        <w:t xml:space="preserve">. </w:t>
      </w:r>
      <w:bookmarkStart w:id="94" w:name="OLE_LINK129"/>
      <w:r w:rsidRPr="006B24DA">
        <w:rPr>
          <w:i/>
          <w:noProof/>
          <w:szCs w:val="24"/>
        </w:rPr>
        <w:t>Gastrointest endosc</w:t>
      </w:r>
      <w:bookmarkEnd w:id="94"/>
      <w:r w:rsidRPr="006B24DA">
        <w:rPr>
          <w:i/>
          <w:noProof/>
          <w:szCs w:val="24"/>
        </w:rPr>
        <w:t xml:space="preserve"> </w:t>
      </w:r>
      <w:r w:rsidRPr="006B24DA">
        <w:rPr>
          <w:noProof/>
          <w:szCs w:val="24"/>
        </w:rPr>
        <w:t xml:space="preserve">2016; </w:t>
      </w:r>
      <w:r w:rsidRPr="006B24DA">
        <w:rPr>
          <w:b/>
          <w:noProof/>
          <w:szCs w:val="24"/>
        </w:rPr>
        <w:t>83</w:t>
      </w:r>
      <w:r w:rsidRPr="006B24DA">
        <w:rPr>
          <w:noProof/>
          <w:szCs w:val="24"/>
        </w:rPr>
        <w:t>: AB415-416</w:t>
      </w:r>
    </w:p>
    <w:p w14:paraId="1E69894D" w14:textId="77777777" w:rsidR="009A74D4" w:rsidRPr="006B24DA" w:rsidRDefault="009A74D4" w:rsidP="009A74D4">
      <w:pPr>
        <w:pStyle w:val="EndNoteBibliography"/>
        <w:adjustRightInd w:val="0"/>
        <w:snapToGrid w:val="0"/>
        <w:spacing w:after="0" w:line="360" w:lineRule="auto"/>
        <w:jc w:val="both"/>
        <w:rPr>
          <w:noProof/>
          <w:szCs w:val="24"/>
        </w:rPr>
      </w:pPr>
      <w:r w:rsidRPr="006B24DA">
        <w:rPr>
          <w:noProof/>
          <w:szCs w:val="24"/>
        </w:rPr>
        <w:t>239 </w:t>
      </w:r>
      <w:r w:rsidRPr="006B24DA">
        <w:rPr>
          <w:b/>
          <w:bCs/>
          <w:noProof/>
          <w:szCs w:val="24"/>
        </w:rPr>
        <w:t>Adler DG</w:t>
      </w:r>
      <w:r w:rsidRPr="006B24DA">
        <w:rPr>
          <w:noProof/>
          <w:szCs w:val="24"/>
        </w:rPr>
        <w:t>, Pham T. New common ground: EUS-guided portal pressure measurements as a bridge between endoscopy and hepatology. </w:t>
      </w:r>
      <w:r w:rsidRPr="006B24DA">
        <w:rPr>
          <w:i/>
          <w:iCs/>
          <w:noProof/>
          <w:szCs w:val="24"/>
        </w:rPr>
        <w:t>Gastrointest Endosc</w:t>
      </w:r>
      <w:r w:rsidRPr="006B24DA">
        <w:rPr>
          <w:noProof/>
          <w:szCs w:val="24"/>
        </w:rPr>
        <w:t> 2017; </w:t>
      </w:r>
      <w:r w:rsidRPr="006B24DA">
        <w:rPr>
          <w:b/>
          <w:bCs/>
          <w:noProof/>
          <w:szCs w:val="24"/>
        </w:rPr>
        <w:t>85</w:t>
      </w:r>
      <w:r w:rsidRPr="006B24DA">
        <w:rPr>
          <w:noProof/>
          <w:szCs w:val="24"/>
        </w:rPr>
        <w:t>: 1002-1004 [PMID: 28411754 DOI: 10.1016/j.gie.2016.11.004]</w:t>
      </w:r>
    </w:p>
    <w:p w14:paraId="020144F3" w14:textId="70A600B9" w:rsidR="00E20495" w:rsidRPr="006B24DA" w:rsidRDefault="00E20495" w:rsidP="00A32C34">
      <w:pPr>
        <w:pStyle w:val="EndNoteBibliography"/>
        <w:adjustRightInd w:val="0"/>
        <w:snapToGrid w:val="0"/>
        <w:spacing w:after="0" w:line="360" w:lineRule="auto"/>
        <w:jc w:val="both"/>
        <w:rPr>
          <w:noProof/>
          <w:szCs w:val="24"/>
        </w:rPr>
      </w:pPr>
    </w:p>
    <w:p w14:paraId="68EFD741" w14:textId="3294AD03" w:rsidR="009A74D4" w:rsidRPr="00A00023" w:rsidRDefault="009A74D4" w:rsidP="00A00023">
      <w:pPr>
        <w:wordWrap w:val="0"/>
        <w:adjustRightInd w:val="0"/>
        <w:snapToGrid w:val="0"/>
        <w:spacing w:after="0" w:line="360" w:lineRule="auto"/>
        <w:jc w:val="right"/>
        <w:rPr>
          <w:rFonts w:ascii="Book Antiqua" w:hAnsi="Book Antiqua"/>
          <w:bCs/>
          <w:sz w:val="24"/>
          <w:szCs w:val="24"/>
        </w:rPr>
      </w:pPr>
      <w:bookmarkStart w:id="95" w:name="OLE_LINK148"/>
      <w:bookmarkStart w:id="96" w:name="OLE_LINK320"/>
      <w:bookmarkStart w:id="97" w:name="OLE_LINK387"/>
      <w:bookmarkStart w:id="98" w:name="OLE_LINK254"/>
      <w:bookmarkStart w:id="99" w:name="OLE_LINK149"/>
      <w:bookmarkStart w:id="100" w:name="OLE_LINK225"/>
      <w:bookmarkStart w:id="101" w:name="OLE_LINK207"/>
      <w:bookmarkStart w:id="102" w:name="OLE_LINK226"/>
      <w:bookmarkStart w:id="103" w:name="OLE_LINK212"/>
      <w:bookmarkStart w:id="104" w:name="OLE_LINK250"/>
      <w:bookmarkStart w:id="105" w:name="OLE_LINK281"/>
      <w:bookmarkStart w:id="106" w:name="OLE_LINK282"/>
      <w:bookmarkStart w:id="107" w:name="OLE_LINK313"/>
      <w:bookmarkStart w:id="108" w:name="OLE_LINK304"/>
      <w:bookmarkStart w:id="109" w:name="OLE_LINK321"/>
      <w:bookmarkStart w:id="110" w:name="OLE_LINK385"/>
      <w:bookmarkStart w:id="111" w:name="OLE_LINK400"/>
      <w:bookmarkStart w:id="112" w:name="OLE_LINK346"/>
      <w:bookmarkStart w:id="113" w:name="OLE_LINK371"/>
      <w:bookmarkStart w:id="114" w:name="OLE_LINK334"/>
      <w:bookmarkStart w:id="115" w:name="OLE_LINK1830"/>
      <w:bookmarkStart w:id="116" w:name="OLE_LINK457"/>
      <w:bookmarkStart w:id="117" w:name="OLE_LINK288"/>
      <w:bookmarkStart w:id="118" w:name="OLE_LINK384"/>
      <w:bookmarkStart w:id="119" w:name="OLE_LINK379"/>
      <w:bookmarkStart w:id="120" w:name="OLE_LINK303"/>
      <w:bookmarkStart w:id="121" w:name="OLE_LINK450"/>
      <w:bookmarkStart w:id="122" w:name="OLE_LINK489"/>
      <w:bookmarkStart w:id="123" w:name="OLE_LINK535"/>
      <w:bookmarkStart w:id="124" w:name="OLE_LINK648"/>
      <w:bookmarkStart w:id="125" w:name="OLE_LINK686"/>
      <w:bookmarkStart w:id="126" w:name="OLE_LINK471"/>
      <w:bookmarkStart w:id="127" w:name="OLE_LINK462"/>
      <w:bookmarkStart w:id="128" w:name="OLE_LINK519"/>
      <w:bookmarkStart w:id="129" w:name="OLE_LINK575"/>
      <w:bookmarkStart w:id="130" w:name="OLE_LINK491"/>
      <w:bookmarkStart w:id="131" w:name="OLE_LINK532"/>
      <w:bookmarkStart w:id="132" w:name="OLE_LINK572"/>
      <w:bookmarkStart w:id="133" w:name="OLE_LINK574"/>
      <w:bookmarkStart w:id="134" w:name="OLE_LINK480"/>
      <w:bookmarkStart w:id="135" w:name="OLE_LINK567"/>
      <w:bookmarkStart w:id="136" w:name="OLE_LINK2700"/>
      <w:bookmarkStart w:id="137" w:name="OLE_LINK581"/>
      <w:bookmarkStart w:id="138" w:name="OLE_LINK639"/>
      <w:bookmarkStart w:id="139" w:name="OLE_LINK688"/>
      <w:bookmarkStart w:id="140" w:name="OLE_LINK722"/>
      <w:bookmarkStart w:id="141" w:name="OLE_LINK542"/>
      <w:bookmarkStart w:id="142" w:name="OLE_LINK589"/>
      <w:bookmarkStart w:id="143" w:name="OLE_LINK582"/>
      <w:bookmarkStart w:id="144" w:name="OLE_LINK640"/>
      <w:bookmarkStart w:id="145" w:name="OLE_LINK714"/>
      <w:bookmarkStart w:id="146" w:name="OLE_LINK593"/>
      <w:bookmarkStart w:id="147" w:name="OLE_LINK716"/>
      <w:bookmarkStart w:id="148" w:name="OLE_LINK770"/>
      <w:bookmarkStart w:id="149" w:name="OLE_LINK801"/>
      <w:bookmarkStart w:id="150" w:name="OLE_LINK660"/>
      <w:bookmarkStart w:id="151" w:name="OLE_LINK781"/>
      <w:bookmarkStart w:id="152" w:name="OLE_LINK833"/>
      <w:bookmarkStart w:id="153" w:name="OLE_LINK642"/>
      <w:bookmarkStart w:id="154" w:name="OLE_LINK700"/>
      <w:bookmarkStart w:id="155" w:name="OLE_LINK792"/>
      <w:bookmarkStart w:id="156" w:name="OLE_LINK2882"/>
      <w:bookmarkStart w:id="157" w:name="OLE_LINK836"/>
      <w:bookmarkStart w:id="158" w:name="OLE_LINK889"/>
      <w:bookmarkStart w:id="159" w:name="OLE_LINK782"/>
      <w:bookmarkStart w:id="160" w:name="OLE_LINK826"/>
      <w:bookmarkStart w:id="161" w:name="OLE_LINK865"/>
      <w:bookmarkStart w:id="162" w:name="OLE_LINK856"/>
      <w:bookmarkStart w:id="163" w:name="OLE_LINK908"/>
      <w:bookmarkStart w:id="164" w:name="OLE_LINK980"/>
      <w:bookmarkStart w:id="165" w:name="OLE_LINK1018"/>
      <w:bookmarkStart w:id="166" w:name="OLE_LINK1049"/>
      <w:bookmarkStart w:id="167" w:name="OLE_LINK1076"/>
      <w:bookmarkStart w:id="168" w:name="OLE_LINK1106"/>
      <w:bookmarkStart w:id="169" w:name="OLE_LINK891"/>
      <w:bookmarkStart w:id="170" w:name="OLE_LINK943"/>
      <w:bookmarkStart w:id="171" w:name="OLE_LINK981"/>
      <w:bookmarkStart w:id="172" w:name="OLE_LINK1030"/>
      <w:bookmarkStart w:id="173" w:name="OLE_LINK847"/>
      <w:bookmarkStart w:id="174" w:name="OLE_LINK909"/>
      <w:bookmarkStart w:id="175" w:name="OLE_LINK906"/>
      <w:bookmarkStart w:id="176" w:name="OLE_LINK992"/>
      <w:bookmarkStart w:id="177" w:name="OLE_LINK993"/>
      <w:bookmarkStart w:id="178" w:name="OLE_LINK1052"/>
      <w:bookmarkStart w:id="179" w:name="OLE_LINK946"/>
      <w:bookmarkStart w:id="180" w:name="OLE_LINK911"/>
      <w:bookmarkStart w:id="181" w:name="OLE_LINK930"/>
      <w:bookmarkStart w:id="182" w:name="OLE_LINK1059"/>
      <w:bookmarkStart w:id="183" w:name="OLE_LINK1174"/>
      <w:bookmarkStart w:id="184" w:name="OLE_LINK1137"/>
      <w:bookmarkStart w:id="185" w:name="OLE_LINK1167"/>
      <w:bookmarkStart w:id="186" w:name="OLE_LINK1200"/>
      <w:bookmarkStart w:id="187" w:name="OLE_LINK1241"/>
      <w:bookmarkStart w:id="188" w:name="OLE_LINK1288"/>
      <w:bookmarkStart w:id="189" w:name="OLE_LINK1056"/>
      <w:bookmarkStart w:id="190" w:name="OLE_LINK1158"/>
      <w:bookmarkStart w:id="191" w:name="OLE_LINK1175"/>
      <w:bookmarkStart w:id="192" w:name="OLE_LINK1074"/>
      <w:bookmarkStart w:id="193" w:name="OLE_LINK1169"/>
      <w:bookmarkStart w:id="194" w:name="OLE_LINK386"/>
      <w:r w:rsidRPr="006B24DA">
        <w:rPr>
          <w:rFonts w:ascii="Book Antiqua" w:hAnsi="Book Antiqua"/>
          <w:b/>
          <w:bCs/>
          <w:sz w:val="24"/>
          <w:szCs w:val="24"/>
        </w:rPr>
        <w:t>P-Reviewer:</w:t>
      </w:r>
      <w:r w:rsidRPr="006B24DA">
        <w:rPr>
          <w:rFonts w:ascii="Book Antiqua" w:hAnsi="Book Antiqua" w:hint="eastAsia"/>
          <w:b/>
          <w:bCs/>
          <w:sz w:val="24"/>
          <w:szCs w:val="24"/>
        </w:rPr>
        <w:t xml:space="preserve"> </w:t>
      </w:r>
      <w:r w:rsidR="00A00023" w:rsidRPr="00A00023">
        <w:rPr>
          <w:rFonts w:ascii="Book Antiqua" w:hAnsi="Book Antiqua"/>
          <w:bCs/>
          <w:sz w:val="24"/>
          <w:szCs w:val="24"/>
        </w:rPr>
        <w:t>Afzal M, Chow WK, Yan SL</w:t>
      </w:r>
    </w:p>
    <w:p w14:paraId="5421D239" w14:textId="77777777" w:rsidR="009A74D4" w:rsidRPr="006B24DA" w:rsidRDefault="009A74D4" w:rsidP="009A74D4">
      <w:pPr>
        <w:adjustRightInd w:val="0"/>
        <w:snapToGrid w:val="0"/>
        <w:spacing w:after="0" w:line="360" w:lineRule="auto"/>
        <w:jc w:val="right"/>
        <w:rPr>
          <w:rFonts w:ascii="Book Antiqua" w:hAnsi="Book Antiqua"/>
          <w:sz w:val="24"/>
          <w:szCs w:val="24"/>
        </w:rPr>
      </w:pPr>
      <w:r w:rsidRPr="006B24DA">
        <w:rPr>
          <w:rFonts w:ascii="Book Antiqua" w:hAnsi="Book Antiqua"/>
          <w:b/>
          <w:bCs/>
          <w:sz w:val="24"/>
          <w:szCs w:val="24"/>
        </w:rPr>
        <w:t>S-Editor:</w:t>
      </w:r>
      <w:r w:rsidRPr="006B24DA">
        <w:rPr>
          <w:rFonts w:ascii="Book Antiqua" w:hAnsi="Book Antiqua" w:hint="eastAsia"/>
          <w:sz w:val="24"/>
          <w:szCs w:val="24"/>
        </w:rPr>
        <w:t xml:space="preserve"> </w:t>
      </w:r>
      <w:r w:rsidRPr="006B24DA">
        <w:rPr>
          <w:rFonts w:ascii="Book Antiqua" w:hAnsi="Book Antiqua"/>
          <w:sz w:val="24"/>
          <w:szCs w:val="24"/>
        </w:rPr>
        <w:t>Ma</w:t>
      </w:r>
      <w:r w:rsidRPr="006B24DA">
        <w:rPr>
          <w:rFonts w:ascii="Book Antiqua" w:hAnsi="Book Antiqua" w:hint="eastAsia"/>
          <w:sz w:val="24"/>
          <w:szCs w:val="24"/>
        </w:rPr>
        <w:t xml:space="preserve"> </w:t>
      </w:r>
      <w:r w:rsidRPr="006B24DA">
        <w:rPr>
          <w:rFonts w:ascii="Book Antiqua" w:hAnsi="Book Antiqua"/>
          <w:sz w:val="24"/>
          <w:szCs w:val="24"/>
        </w:rPr>
        <w:t>RY</w:t>
      </w:r>
      <w:r w:rsidRPr="006B24DA">
        <w:rPr>
          <w:rFonts w:ascii="Book Antiqua" w:hAnsi="Book Antiqua" w:hint="eastAsia"/>
          <w:sz w:val="24"/>
          <w:szCs w:val="24"/>
        </w:rPr>
        <w:t xml:space="preserve"> </w:t>
      </w:r>
      <w:r w:rsidRPr="006B24DA">
        <w:rPr>
          <w:rFonts w:ascii="Book Antiqua" w:hAnsi="Book Antiqua"/>
          <w:b/>
          <w:bCs/>
          <w:sz w:val="24"/>
          <w:szCs w:val="24"/>
        </w:rPr>
        <w:t>L-Editor:</w:t>
      </w:r>
      <w:r w:rsidRPr="006B24DA">
        <w:rPr>
          <w:rFonts w:ascii="Book Antiqua" w:hAnsi="Book Antiqua"/>
          <w:sz w:val="24"/>
          <w:szCs w:val="24"/>
        </w:rPr>
        <w:t xml:space="preserve"> </w:t>
      </w:r>
      <w:r w:rsidRPr="006B24DA">
        <w:rPr>
          <w:rFonts w:ascii="Book Antiqua" w:hAnsi="Book Antiqua"/>
          <w:b/>
          <w:bCs/>
          <w:sz w:val="24"/>
          <w:szCs w:val="24"/>
        </w:rPr>
        <w:t>E-Editor:</w:t>
      </w:r>
    </w:p>
    <w:p w14:paraId="308AA6FB" w14:textId="77777777" w:rsidR="009A74D4" w:rsidRPr="006B24DA" w:rsidRDefault="009A74D4" w:rsidP="003B13C7">
      <w:pPr>
        <w:shd w:val="clear" w:color="auto" w:fill="FFFFFF" w:themeFill="background1"/>
        <w:adjustRightInd w:val="0"/>
        <w:snapToGrid w:val="0"/>
        <w:spacing w:after="0" w:line="360" w:lineRule="auto"/>
        <w:jc w:val="both"/>
        <w:rPr>
          <w:rFonts w:ascii="Book Antiqua" w:hAnsi="Book Antiqua" w:cs="Helvetica"/>
          <w:b/>
          <w:bCs/>
          <w:sz w:val="24"/>
          <w:szCs w:val="24"/>
        </w:rPr>
      </w:pPr>
      <w:bookmarkStart w:id="195" w:name="OLE_LINK880"/>
      <w:bookmarkStart w:id="196" w:name="OLE_LINK881"/>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r w:rsidRPr="006B24DA">
        <w:rPr>
          <w:rFonts w:ascii="Book Antiqua" w:hAnsi="Book Antiqua" w:cs="Helvetica"/>
          <w:b/>
          <w:bCs/>
          <w:sz w:val="24"/>
          <w:szCs w:val="24"/>
        </w:rPr>
        <w:t xml:space="preserve">Specialty type: </w:t>
      </w:r>
      <w:r w:rsidRPr="006B24DA">
        <w:rPr>
          <w:rFonts w:ascii="Book Antiqua" w:hAnsi="Book Antiqua" w:cs="Helvetica"/>
          <w:sz w:val="24"/>
          <w:szCs w:val="24"/>
        </w:rPr>
        <w:t>Gastroenterology and hepatology</w:t>
      </w:r>
    </w:p>
    <w:p w14:paraId="5234AF98" w14:textId="5B297782" w:rsidR="009A74D4" w:rsidRPr="006B24DA" w:rsidRDefault="009A74D4" w:rsidP="003B13C7">
      <w:pPr>
        <w:shd w:val="clear" w:color="auto" w:fill="FFFFFF" w:themeFill="background1"/>
        <w:adjustRightInd w:val="0"/>
        <w:snapToGrid w:val="0"/>
        <w:spacing w:after="0" w:line="360" w:lineRule="auto"/>
        <w:jc w:val="both"/>
        <w:rPr>
          <w:rFonts w:ascii="Book Antiqua" w:hAnsi="Book Antiqua" w:cs="Helvetica"/>
          <w:b/>
          <w:bCs/>
          <w:sz w:val="24"/>
          <w:szCs w:val="24"/>
        </w:rPr>
      </w:pPr>
      <w:r w:rsidRPr="006B24DA">
        <w:rPr>
          <w:rFonts w:ascii="Book Antiqua" w:hAnsi="Book Antiqua" w:cs="Helvetica"/>
          <w:b/>
          <w:bCs/>
          <w:sz w:val="24"/>
          <w:szCs w:val="24"/>
        </w:rPr>
        <w:t xml:space="preserve">Country of origin: </w:t>
      </w:r>
      <w:r w:rsidRPr="006B24DA">
        <w:rPr>
          <w:rFonts w:ascii="Book Antiqua" w:hAnsi="Book Antiqua" w:cs="Helvetica"/>
          <w:sz w:val="24"/>
          <w:szCs w:val="24"/>
          <w:lang w:val="en-CA"/>
        </w:rPr>
        <w:t>United States</w:t>
      </w:r>
    </w:p>
    <w:p w14:paraId="4A412DD7" w14:textId="77777777" w:rsidR="009A74D4" w:rsidRPr="006B24DA" w:rsidRDefault="009A74D4" w:rsidP="003B13C7">
      <w:pPr>
        <w:shd w:val="clear" w:color="auto" w:fill="FFFFFF" w:themeFill="background1"/>
        <w:adjustRightInd w:val="0"/>
        <w:snapToGrid w:val="0"/>
        <w:spacing w:after="0" w:line="360" w:lineRule="auto"/>
        <w:jc w:val="both"/>
        <w:rPr>
          <w:rFonts w:ascii="Book Antiqua" w:hAnsi="Book Antiqua" w:cs="Helvetica"/>
          <w:b/>
          <w:bCs/>
          <w:sz w:val="24"/>
          <w:szCs w:val="24"/>
        </w:rPr>
      </w:pPr>
      <w:r w:rsidRPr="006B24DA">
        <w:rPr>
          <w:rFonts w:ascii="Book Antiqua" w:hAnsi="Book Antiqua" w:cs="Helvetica"/>
          <w:b/>
          <w:bCs/>
          <w:sz w:val="24"/>
          <w:szCs w:val="24"/>
        </w:rPr>
        <w:t>Peer-review report classification</w:t>
      </w:r>
    </w:p>
    <w:p w14:paraId="41885FDB" w14:textId="7318ABC8" w:rsidR="009A74D4" w:rsidRPr="006B24DA" w:rsidRDefault="00A00023" w:rsidP="003B13C7">
      <w:pPr>
        <w:shd w:val="clear" w:color="auto" w:fill="FFFFFF" w:themeFill="background1"/>
        <w:adjustRightInd w:val="0"/>
        <w:snapToGrid w:val="0"/>
        <w:spacing w:after="0" w:line="360" w:lineRule="auto"/>
        <w:jc w:val="both"/>
        <w:rPr>
          <w:rFonts w:ascii="Book Antiqua" w:hAnsi="Book Antiqua" w:cs="Helvetica"/>
          <w:sz w:val="24"/>
          <w:szCs w:val="24"/>
        </w:rPr>
      </w:pPr>
      <w:r>
        <w:rPr>
          <w:rFonts w:ascii="Book Antiqua" w:hAnsi="Book Antiqua" w:cs="Helvetica"/>
          <w:sz w:val="24"/>
          <w:szCs w:val="24"/>
        </w:rPr>
        <w:t>Grade A (Excellent): A, A, A</w:t>
      </w:r>
    </w:p>
    <w:p w14:paraId="27D22ABA" w14:textId="40115D18" w:rsidR="009A74D4" w:rsidRPr="006B24DA" w:rsidRDefault="009A74D4" w:rsidP="003B13C7">
      <w:pPr>
        <w:shd w:val="clear" w:color="auto" w:fill="FFFFFF" w:themeFill="background1"/>
        <w:adjustRightInd w:val="0"/>
        <w:snapToGrid w:val="0"/>
        <w:spacing w:after="0" w:line="360" w:lineRule="auto"/>
        <w:jc w:val="both"/>
        <w:rPr>
          <w:rFonts w:ascii="Book Antiqua" w:hAnsi="Book Antiqua" w:cs="Helvetica"/>
          <w:sz w:val="24"/>
          <w:szCs w:val="24"/>
        </w:rPr>
      </w:pPr>
      <w:r w:rsidRPr="006B24DA">
        <w:rPr>
          <w:rFonts w:ascii="Book Antiqua" w:hAnsi="Book Antiqua" w:cs="Helvetica"/>
          <w:sz w:val="24"/>
          <w:szCs w:val="24"/>
        </w:rPr>
        <w:t>Grade B (Very good): 0</w:t>
      </w:r>
    </w:p>
    <w:p w14:paraId="44BDF710" w14:textId="60647060" w:rsidR="009A74D4" w:rsidRPr="006B24DA" w:rsidRDefault="009A74D4" w:rsidP="003B13C7">
      <w:pPr>
        <w:shd w:val="clear" w:color="auto" w:fill="FFFFFF" w:themeFill="background1"/>
        <w:adjustRightInd w:val="0"/>
        <w:snapToGrid w:val="0"/>
        <w:spacing w:after="0" w:line="360" w:lineRule="auto"/>
        <w:jc w:val="both"/>
        <w:rPr>
          <w:rFonts w:ascii="Book Antiqua" w:hAnsi="Book Antiqua" w:cs="Helvetica"/>
          <w:sz w:val="24"/>
          <w:szCs w:val="24"/>
        </w:rPr>
      </w:pPr>
      <w:r w:rsidRPr="006B24DA">
        <w:rPr>
          <w:rFonts w:ascii="Book Antiqua" w:hAnsi="Book Antiqua" w:cs="Helvetica"/>
          <w:sz w:val="24"/>
          <w:szCs w:val="24"/>
        </w:rPr>
        <w:t>Grade C (Good): 0</w:t>
      </w:r>
    </w:p>
    <w:p w14:paraId="46BC0451" w14:textId="77777777" w:rsidR="009A74D4" w:rsidRPr="006B24DA" w:rsidRDefault="009A74D4" w:rsidP="003B13C7">
      <w:pPr>
        <w:shd w:val="clear" w:color="auto" w:fill="FFFFFF" w:themeFill="background1"/>
        <w:adjustRightInd w:val="0"/>
        <w:snapToGrid w:val="0"/>
        <w:spacing w:after="0" w:line="360" w:lineRule="auto"/>
        <w:jc w:val="both"/>
        <w:rPr>
          <w:rFonts w:ascii="Book Antiqua" w:hAnsi="Book Antiqua" w:cs="Helvetica"/>
          <w:sz w:val="24"/>
          <w:szCs w:val="24"/>
        </w:rPr>
      </w:pPr>
      <w:r w:rsidRPr="006B24DA">
        <w:rPr>
          <w:rFonts w:ascii="Book Antiqua" w:hAnsi="Book Antiqua" w:cs="Helvetica"/>
          <w:sz w:val="24"/>
          <w:szCs w:val="24"/>
        </w:rPr>
        <w:t>Grade D (Fair): 0</w:t>
      </w:r>
    </w:p>
    <w:p w14:paraId="48259BBC" w14:textId="35FE79A8" w:rsidR="0051390E" w:rsidRPr="006B24DA" w:rsidRDefault="009A74D4" w:rsidP="009A74D4">
      <w:pPr>
        <w:pStyle w:val="EndNoteBibliography"/>
        <w:adjustRightInd w:val="0"/>
        <w:snapToGrid w:val="0"/>
        <w:spacing w:after="0" w:line="360" w:lineRule="auto"/>
        <w:jc w:val="both"/>
        <w:rPr>
          <w:b/>
          <w:noProof/>
          <w:szCs w:val="24"/>
        </w:rPr>
      </w:pPr>
      <w:r w:rsidRPr="006B24DA">
        <w:rPr>
          <w:rFonts w:cs="Helvetica"/>
          <w:szCs w:val="24"/>
        </w:rPr>
        <w:t xml:space="preserve">Grade E (Poor): </w:t>
      </w:r>
      <w:r w:rsidRPr="006B24DA">
        <w:rPr>
          <w:rFonts w:cs="Helvetica" w:hint="eastAsia"/>
          <w:szCs w:val="24"/>
        </w:rPr>
        <w:t>0</w:t>
      </w:r>
      <w:bookmarkEnd w:id="194"/>
      <w:bookmarkEnd w:id="195"/>
      <w:bookmarkEnd w:id="196"/>
    </w:p>
    <w:p w14:paraId="65D449BF" w14:textId="1C1E050C" w:rsidR="0051390E" w:rsidRPr="006B24DA" w:rsidRDefault="0051390E" w:rsidP="009A74D4">
      <w:pPr>
        <w:adjustRightInd w:val="0"/>
        <w:snapToGrid w:val="0"/>
        <w:spacing w:after="0" w:line="360" w:lineRule="auto"/>
        <w:rPr>
          <w:rFonts w:ascii="Book Antiqua" w:hAnsi="Book Antiqua"/>
          <w:b/>
          <w:noProof/>
          <w:sz w:val="24"/>
          <w:szCs w:val="24"/>
        </w:rPr>
      </w:pPr>
      <w:r w:rsidRPr="006B24DA">
        <w:rPr>
          <w:b/>
          <w:noProof/>
          <w:sz w:val="24"/>
          <w:szCs w:val="24"/>
        </w:rPr>
        <w:br w:type="page"/>
      </w:r>
    </w:p>
    <w:p w14:paraId="056E141B"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p>
    <w:p w14:paraId="6B0606CE" w14:textId="77777777" w:rsidR="0051390E" w:rsidRPr="006B24DA" w:rsidRDefault="0051390E" w:rsidP="0051390E">
      <w:pPr>
        <w:pStyle w:val="a6"/>
        <w:shd w:val="clear" w:color="auto" w:fill="FFFFFF"/>
        <w:adjustRightInd w:val="0"/>
        <w:snapToGrid w:val="0"/>
        <w:spacing w:after="0" w:line="360" w:lineRule="auto"/>
        <w:ind w:left="0"/>
        <w:contextualSpacing w:val="0"/>
        <w:jc w:val="both"/>
        <w:rPr>
          <w:rFonts w:ascii="Book Antiqua" w:hAnsi="Book Antiqua" w:cs="Times New Roman"/>
          <w:color w:val="000000" w:themeColor="text1"/>
          <w:sz w:val="24"/>
          <w:szCs w:val="24"/>
        </w:rPr>
      </w:pPr>
      <w:r w:rsidRPr="006B24DA">
        <w:rPr>
          <w:rFonts w:ascii="Book Antiqua" w:hAnsi="Book Antiqua" w:cs="Times New Roman"/>
          <w:noProof/>
          <w:color w:val="000000" w:themeColor="text1"/>
          <w:sz w:val="24"/>
          <w:szCs w:val="24"/>
          <w:lang w:eastAsia="zh-CN"/>
        </w:rPr>
        <w:drawing>
          <wp:inline distT="0" distB="0" distL="0" distR="0" wp14:anchorId="40D2D1AC" wp14:editId="72C292DE">
            <wp:extent cx="2743200" cy="2743200"/>
            <wp:effectExtent l="0" t="0" r="0" b="0"/>
            <wp:docPr id="10" name="Picture 10" descr="picture of Kenneth J. Ch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 of Kenneth J. Cha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p w14:paraId="613FF31D" w14:textId="77777777" w:rsidR="0051390E" w:rsidRPr="006B24DA" w:rsidRDefault="0051390E" w:rsidP="003B13C7">
      <w:pPr>
        <w:pStyle w:val="a6"/>
        <w:shd w:val="clear" w:color="auto" w:fill="FFFFFF" w:themeFill="background1"/>
        <w:adjustRightInd w:val="0"/>
        <w:snapToGrid w:val="0"/>
        <w:spacing w:after="0" w:line="360" w:lineRule="auto"/>
        <w:ind w:left="0"/>
        <w:contextualSpacing w:val="0"/>
        <w:jc w:val="both"/>
        <w:rPr>
          <w:rFonts w:ascii="Book Antiqua" w:eastAsia="Times New Roman" w:hAnsi="Book Antiqua" w:cs="Times New Roman"/>
          <w:b/>
          <w:bCs/>
          <w:color w:val="000000" w:themeColor="text1"/>
          <w:sz w:val="24"/>
          <w:szCs w:val="24"/>
        </w:rPr>
      </w:pPr>
      <w:proofErr w:type="gramStart"/>
      <w:r w:rsidRPr="006B24DA">
        <w:rPr>
          <w:rFonts w:ascii="Book Antiqua" w:eastAsia="Times New Roman" w:hAnsi="Book Antiqua" w:cs="Times New Roman"/>
          <w:b/>
          <w:bCs/>
          <w:color w:val="000000" w:themeColor="text1"/>
          <w:sz w:val="24"/>
          <w:szCs w:val="24"/>
        </w:rPr>
        <w:t>Figure 1 Kenneth J Chang, FACG, FASGE, MD.</w:t>
      </w:r>
      <w:proofErr w:type="gramEnd"/>
    </w:p>
    <w:p w14:paraId="6D5E7720"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br w:type="page"/>
      </w:r>
    </w:p>
    <w:p w14:paraId="5C0CED6D" w14:textId="77777777" w:rsidR="0051390E" w:rsidRPr="006B24DA" w:rsidRDefault="0051390E" w:rsidP="0051390E">
      <w:pPr>
        <w:pStyle w:val="a6"/>
        <w:shd w:val="clear" w:color="auto" w:fill="FFFFFF"/>
        <w:adjustRightInd w:val="0"/>
        <w:snapToGrid w:val="0"/>
        <w:spacing w:after="0" w:line="360" w:lineRule="auto"/>
        <w:ind w:left="0"/>
        <w:contextualSpacing w:val="0"/>
        <w:jc w:val="both"/>
        <w:rPr>
          <w:rFonts w:ascii="Book Antiqua" w:eastAsia="Times New Roman" w:hAnsi="Book Antiqua" w:cs="Times New Roman"/>
          <w:color w:val="000000" w:themeColor="text1"/>
          <w:sz w:val="24"/>
          <w:szCs w:val="24"/>
        </w:rPr>
      </w:pPr>
    </w:p>
    <w:p w14:paraId="76FD5087" w14:textId="77777777" w:rsidR="0051390E" w:rsidRPr="006B24DA" w:rsidRDefault="0051390E" w:rsidP="0051390E">
      <w:pPr>
        <w:pStyle w:val="a6"/>
        <w:shd w:val="clear" w:color="auto" w:fill="FFFFFF"/>
        <w:adjustRightInd w:val="0"/>
        <w:snapToGrid w:val="0"/>
        <w:spacing w:after="0" w:line="360" w:lineRule="auto"/>
        <w:ind w:left="0"/>
        <w:contextualSpacing w:val="0"/>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noProof/>
          <w:color w:val="000000" w:themeColor="text1"/>
          <w:sz w:val="24"/>
          <w:szCs w:val="24"/>
          <w:lang w:eastAsia="zh-CN"/>
        </w:rPr>
        <w:drawing>
          <wp:inline distT="0" distB="0" distL="0" distR="0" wp14:anchorId="2D893141" wp14:editId="033365F4">
            <wp:extent cx="5943600" cy="3040667"/>
            <wp:effectExtent l="0" t="0" r="0" b="7620"/>
            <wp:docPr id="4" name="Picture 4" descr="C:\Users\kchang\Dropbox\aaFrontier Manuscript 6-18\GERD spectrum diagram.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chang\Dropbox\aaFrontier Manuscript 6-18\GERD spectrum diagram.tif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3040667"/>
                    </a:xfrm>
                    <a:prstGeom prst="rect">
                      <a:avLst/>
                    </a:prstGeom>
                    <a:noFill/>
                    <a:ln>
                      <a:noFill/>
                    </a:ln>
                  </pic:spPr>
                </pic:pic>
              </a:graphicData>
            </a:graphic>
          </wp:inline>
        </w:drawing>
      </w:r>
    </w:p>
    <w:p w14:paraId="6F073464" w14:textId="77777777" w:rsidR="0051390E" w:rsidRPr="006B24DA" w:rsidRDefault="0051390E" w:rsidP="003B13C7">
      <w:pPr>
        <w:pStyle w:val="a6"/>
        <w:shd w:val="clear" w:color="auto" w:fill="FFFFFF" w:themeFill="background1"/>
        <w:adjustRightInd w:val="0"/>
        <w:snapToGrid w:val="0"/>
        <w:spacing w:after="0" w:line="360" w:lineRule="auto"/>
        <w:ind w:left="0"/>
        <w:contextualSpacing w:val="0"/>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b/>
          <w:bCs/>
          <w:color w:val="000000" w:themeColor="text1"/>
          <w:sz w:val="24"/>
          <w:szCs w:val="24"/>
        </w:rPr>
        <w:t>Figure 2</w:t>
      </w:r>
      <w:r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b/>
          <w:bCs/>
          <w:color w:val="000000" w:themeColor="text1"/>
          <w:sz w:val="24"/>
          <w:szCs w:val="24"/>
        </w:rPr>
        <w:t xml:space="preserve">Anatomic spectrum of </w:t>
      </w:r>
      <w:bookmarkStart w:id="197" w:name="OLE_LINK108"/>
      <w:bookmarkStart w:id="198" w:name="OLE_LINK109"/>
      <w:r w:rsidRPr="006B24DA">
        <w:rPr>
          <w:rFonts w:ascii="Book Antiqua" w:eastAsia="Times New Roman" w:hAnsi="Book Antiqua" w:cs="Times New Roman"/>
          <w:b/>
          <w:bCs/>
          <w:color w:val="000000" w:themeColor="text1"/>
          <w:sz w:val="24"/>
          <w:szCs w:val="24"/>
        </w:rPr>
        <w:t>gastroesophageal reflux disease</w:t>
      </w:r>
      <w:bookmarkEnd w:id="197"/>
      <w:bookmarkEnd w:id="198"/>
      <w:r w:rsidRPr="006B24DA">
        <w:rPr>
          <w:rFonts w:ascii="Book Antiqua" w:eastAsia="Times New Roman" w:hAnsi="Book Antiqua" w:cs="Times New Roman"/>
          <w:b/>
          <w:bCs/>
          <w:color w:val="000000" w:themeColor="text1"/>
          <w:sz w:val="24"/>
          <w:szCs w:val="24"/>
        </w:rPr>
        <w:t xml:space="preserve">. </w:t>
      </w:r>
      <w:r w:rsidRPr="006B24DA">
        <w:rPr>
          <w:rFonts w:ascii="Book Antiqua" w:eastAsia="Times New Roman" w:hAnsi="Book Antiqua" w:cs="Times New Roman"/>
          <w:color w:val="000000" w:themeColor="text1"/>
          <w:sz w:val="24"/>
          <w:szCs w:val="24"/>
        </w:rPr>
        <w:t>LES: Lower esophageal sphincter.</w:t>
      </w:r>
    </w:p>
    <w:p w14:paraId="0271C928"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br w:type="page"/>
      </w:r>
    </w:p>
    <w:p w14:paraId="623EBB80" w14:textId="77777777" w:rsidR="0051390E" w:rsidRPr="006B24DA" w:rsidRDefault="0051390E" w:rsidP="0051390E">
      <w:pPr>
        <w:shd w:val="clear" w:color="auto" w:fill="FFFFFF"/>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noProof/>
          <w:color w:val="000000" w:themeColor="text1"/>
          <w:sz w:val="24"/>
          <w:szCs w:val="24"/>
          <w:lang w:eastAsia="zh-CN"/>
        </w:rPr>
        <w:lastRenderedPageBreak/>
        <w:drawing>
          <wp:inline distT="0" distB="0" distL="0" distR="0" wp14:anchorId="65DB0539" wp14:editId="1E6455C5">
            <wp:extent cx="4572000" cy="427049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 4 Stretta.jpg"/>
                    <pic:cNvPicPr/>
                  </pic:nvPicPr>
                  <pic:blipFill rotWithShape="1">
                    <a:blip r:embed="rId12" cstate="print">
                      <a:extLst>
                        <a:ext uri="{28A0092B-C50C-407E-A947-70E740481C1C}">
                          <a14:useLocalDpi xmlns:a14="http://schemas.microsoft.com/office/drawing/2010/main" val="0"/>
                        </a:ext>
                      </a:extLst>
                    </a:blip>
                    <a:srcRect b="13575"/>
                    <a:stretch/>
                  </pic:blipFill>
                  <pic:spPr bwMode="auto">
                    <a:xfrm>
                      <a:off x="0" y="0"/>
                      <a:ext cx="4572000" cy="4270495"/>
                    </a:xfrm>
                    <a:prstGeom prst="rect">
                      <a:avLst/>
                    </a:prstGeom>
                    <a:ln>
                      <a:noFill/>
                    </a:ln>
                    <a:extLst>
                      <a:ext uri="{53640926-AAD7-44D8-BBD7-CCE9431645EC}">
                        <a14:shadowObscured xmlns:a14="http://schemas.microsoft.com/office/drawing/2010/main"/>
                      </a:ext>
                    </a:extLst>
                  </pic:spPr>
                </pic:pic>
              </a:graphicData>
            </a:graphic>
          </wp:inline>
        </w:drawing>
      </w:r>
    </w:p>
    <w:p w14:paraId="1BAC11A5" w14:textId="77777777" w:rsidR="0051390E" w:rsidRPr="006B24DA" w:rsidRDefault="0051390E" w:rsidP="0051390E">
      <w:pPr>
        <w:shd w:val="clear" w:color="auto" w:fill="FFFFFF"/>
        <w:adjustRightInd w:val="0"/>
        <w:snapToGrid w:val="0"/>
        <w:spacing w:after="0" w:line="360" w:lineRule="auto"/>
        <w:jc w:val="both"/>
        <w:rPr>
          <w:rFonts w:ascii="Book Antiqua" w:eastAsia="Times New Roman" w:hAnsi="Book Antiqua" w:cs="Times New Roman"/>
          <w:b/>
          <w:color w:val="000000" w:themeColor="text1"/>
          <w:sz w:val="24"/>
          <w:szCs w:val="24"/>
        </w:rPr>
      </w:pPr>
      <w:r w:rsidRPr="006B24DA">
        <w:rPr>
          <w:rFonts w:ascii="Book Antiqua" w:eastAsia="Times New Roman" w:hAnsi="Book Antiqua" w:cs="Times New Roman"/>
          <w:b/>
          <w:color w:val="000000" w:themeColor="text1"/>
          <w:sz w:val="24"/>
          <w:szCs w:val="24"/>
        </w:rPr>
        <w:t>Figure 3</w:t>
      </w:r>
      <w:r w:rsidRPr="006B24DA">
        <w:rPr>
          <w:rFonts w:ascii="Book Antiqua" w:eastAsia="Times New Roman" w:hAnsi="Book Antiqua" w:cs="Times New Roman"/>
          <w:color w:val="000000" w:themeColor="text1"/>
          <w:sz w:val="24"/>
          <w:szCs w:val="24"/>
        </w:rPr>
        <w:t xml:space="preserve"> </w:t>
      </w:r>
      <w:proofErr w:type="spellStart"/>
      <w:r w:rsidRPr="006B24DA">
        <w:rPr>
          <w:rFonts w:ascii="Book Antiqua" w:eastAsia="Times New Roman" w:hAnsi="Book Antiqua" w:cs="Times New Roman"/>
          <w:b/>
          <w:color w:val="000000" w:themeColor="text1"/>
          <w:sz w:val="24"/>
          <w:szCs w:val="24"/>
        </w:rPr>
        <w:t>Stretta</w:t>
      </w:r>
      <w:proofErr w:type="spellEnd"/>
      <w:r w:rsidRPr="006B24DA">
        <w:rPr>
          <w:rFonts w:ascii="Book Antiqua" w:eastAsia="Times New Roman" w:hAnsi="Book Antiqua" w:cs="Times New Roman"/>
          <w:b/>
          <w:color w:val="000000" w:themeColor="text1"/>
          <w:sz w:val="24"/>
          <w:szCs w:val="24"/>
        </w:rPr>
        <w:t xml:space="preserve"> radiofrequency </w:t>
      </w:r>
      <w:proofErr w:type="gramStart"/>
      <w:r w:rsidRPr="006B24DA">
        <w:rPr>
          <w:rFonts w:ascii="Book Antiqua" w:eastAsia="Times New Roman" w:hAnsi="Book Antiqua" w:cs="Times New Roman"/>
          <w:b/>
          <w:color w:val="000000" w:themeColor="text1"/>
          <w:sz w:val="24"/>
          <w:szCs w:val="24"/>
        </w:rPr>
        <w:t>catheter</w:t>
      </w:r>
      <w:proofErr w:type="gramEnd"/>
      <w:r w:rsidRPr="006B24DA">
        <w:rPr>
          <w:rFonts w:ascii="Book Antiqua" w:eastAsia="Times New Roman" w:hAnsi="Book Antiqua" w:cs="Times New Roman"/>
          <w:b/>
          <w:color w:val="000000" w:themeColor="text1"/>
          <w:sz w:val="24"/>
          <w:szCs w:val="24"/>
        </w:rPr>
        <w:t>.</w:t>
      </w:r>
    </w:p>
    <w:p w14:paraId="332D9FE3"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br w:type="page"/>
      </w:r>
    </w:p>
    <w:p w14:paraId="785BA319" w14:textId="77777777" w:rsidR="0051390E" w:rsidRPr="006B24DA" w:rsidRDefault="0051390E" w:rsidP="0051390E">
      <w:pPr>
        <w:pStyle w:val="a6"/>
        <w:shd w:val="clear" w:color="auto" w:fill="FFFFFF"/>
        <w:adjustRightInd w:val="0"/>
        <w:snapToGrid w:val="0"/>
        <w:spacing w:after="0" w:line="360" w:lineRule="auto"/>
        <w:ind w:left="0"/>
        <w:contextualSpacing w:val="0"/>
        <w:jc w:val="both"/>
        <w:rPr>
          <w:rFonts w:ascii="Book Antiqua" w:eastAsia="Times New Roman" w:hAnsi="Book Antiqua" w:cs="Times New Roman"/>
          <w:color w:val="000000" w:themeColor="text1"/>
          <w:sz w:val="24"/>
          <w:szCs w:val="24"/>
        </w:rPr>
      </w:pPr>
    </w:p>
    <w:p w14:paraId="6E8CFBE7" w14:textId="77777777" w:rsidR="0051390E" w:rsidRPr="006B24DA" w:rsidRDefault="0051390E" w:rsidP="0051390E">
      <w:pPr>
        <w:pStyle w:val="a6"/>
        <w:shd w:val="clear" w:color="auto" w:fill="FFFFFF"/>
        <w:adjustRightInd w:val="0"/>
        <w:snapToGrid w:val="0"/>
        <w:spacing w:after="0" w:line="360" w:lineRule="auto"/>
        <w:ind w:left="0"/>
        <w:contextualSpacing w:val="0"/>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noProof/>
          <w:color w:val="000000" w:themeColor="text1"/>
          <w:sz w:val="24"/>
          <w:szCs w:val="24"/>
          <w:lang w:eastAsia="zh-CN"/>
        </w:rPr>
        <w:drawing>
          <wp:inline distT="0" distB="0" distL="0" distR="0" wp14:anchorId="0A3B2CED" wp14:editId="1B374915">
            <wp:extent cx="5943600" cy="2030859"/>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2030859"/>
                    </a:xfrm>
                    <a:prstGeom prst="rect">
                      <a:avLst/>
                    </a:prstGeom>
                    <a:noFill/>
                  </pic:spPr>
                </pic:pic>
              </a:graphicData>
            </a:graphic>
          </wp:inline>
        </w:drawing>
      </w:r>
    </w:p>
    <w:p w14:paraId="31A8B6A5" w14:textId="6C4E851B" w:rsidR="0051390E" w:rsidRPr="006B24DA" w:rsidRDefault="0051390E" w:rsidP="0051390E">
      <w:pPr>
        <w:pStyle w:val="a6"/>
        <w:shd w:val="clear" w:color="auto" w:fill="FFFFFF"/>
        <w:adjustRightInd w:val="0"/>
        <w:snapToGrid w:val="0"/>
        <w:spacing w:after="0" w:line="360" w:lineRule="auto"/>
        <w:ind w:left="0"/>
        <w:contextualSpacing w:val="0"/>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b/>
          <w:color w:val="000000" w:themeColor="text1"/>
          <w:sz w:val="24"/>
          <w:szCs w:val="24"/>
        </w:rPr>
        <w:t>Figure 4</w:t>
      </w:r>
      <w:r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b/>
          <w:color w:val="000000" w:themeColor="text1"/>
          <w:sz w:val="24"/>
          <w:szCs w:val="24"/>
        </w:rPr>
        <w:t xml:space="preserve">Endoscopic retroflex image of esophageal gastric junction prior to </w:t>
      </w:r>
      <w:proofErr w:type="spellStart"/>
      <w:r w:rsidRPr="006B24DA">
        <w:rPr>
          <w:rFonts w:ascii="Book Antiqua" w:eastAsia="Times New Roman" w:hAnsi="Book Antiqua" w:cs="Times New Roman"/>
          <w:b/>
          <w:color w:val="000000" w:themeColor="text1"/>
          <w:sz w:val="24"/>
          <w:szCs w:val="24"/>
        </w:rPr>
        <w:t>Stretta</w:t>
      </w:r>
      <w:proofErr w:type="spellEnd"/>
      <w:r w:rsidRPr="006B24DA">
        <w:rPr>
          <w:rFonts w:ascii="Book Antiqua" w:eastAsia="Times New Roman" w:hAnsi="Book Antiqua" w:cs="Times New Roman"/>
          <w:b/>
          <w:color w:val="000000" w:themeColor="text1"/>
          <w:sz w:val="24"/>
          <w:szCs w:val="24"/>
        </w:rPr>
        <w:t xml:space="preserve"> (A) and after </w:t>
      </w:r>
      <w:proofErr w:type="spellStart"/>
      <w:r w:rsidRPr="006B24DA">
        <w:rPr>
          <w:rFonts w:ascii="Book Antiqua" w:eastAsia="Times New Roman" w:hAnsi="Book Antiqua" w:cs="Times New Roman"/>
          <w:b/>
          <w:color w:val="000000" w:themeColor="text1"/>
          <w:sz w:val="24"/>
          <w:szCs w:val="24"/>
        </w:rPr>
        <w:t>Stretta</w:t>
      </w:r>
      <w:proofErr w:type="spellEnd"/>
      <w:r w:rsidRPr="006B24DA">
        <w:rPr>
          <w:rFonts w:ascii="Book Antiqua" w:eastAsia="Times New Roman" w:hAnsi="Book Antiqua" w:cs="Times New Roman"/>
          <w:b/>
          <w:color w:val="000000" w:themeColor="text1"/>
          <w:sz w:val="24"/>
          <w:szCs w:val="24"/>
        </w:rPr>
        <w:t xml:space="preserve"> treatment (B).</w:t>
      </w:r>
      <w:r w:rsidR="002A29F4" w:rsidRPr="006B24DA">
        <w:rPr>
          <w:rFonts w:ascii="Book Antiqua" w:eastAsia="Times New Roman" w:hAnsi="Book Antiqua" w:cs="Times New Roman"/>
          <w:b/>
          <w:color w:val="000000" w:themeColor="text1"/>
          <w:sz w:val="24"/>
          <w:szCs w:val="24"/>
        </w:rPr>
        <w:t xml:space="preserve"> </w:t>
      </w:r>
      <w:r w:rsidRPr="006B24DA">
        <w:rPr>
          <w:rFonts w:ascii="Book Antiqua" w:eastAsia="Times New Roman" w:hAnsi="Book Antiqua" w:cs="Times New Roman"/>
          <w:color w:val="000000" w:themeColor="text1"/>
          <w:sz w:val="24"/>
          <w:szCs w:val="24"/>
        </w:rPr>
        <w:t>The esophageal gastric junction and cardia have a typical “swollen lip” appearance.</w:t>
      </w:r>
    </w:p>
    <w:p w14:paraId="307396CF"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br w:type="page"/>
      </w:r>
    </w:p>
    <w:p w14:paraId="5D6D45E2" w14:textId="77777777" w:rsidR="0051390E" w:rsidRPr="006B24DA" w:rsidRDefault="0051390E" w:rsidP="0051390E">
      <w:pPr>
        <w:pStyle w:val="a6"/>
        <w:shd w:val="clear" w:color="auto" w:fill="FFFFFF"/>
        <w:adjustRightInd w:val="0"/>
        <w:snapToGrid w:val="0"/>
        <w:spacing w:after="0" w:line="360" w:lineRule="auto"/>
        <w:ind w:left="0"/>
        <w:contextualSpacing w:val="0"/>
        <w:jc w:val="both"/>
        <w:rPr>
          <w:rFonts w:ascii="Book Antiqua" w:eastAsia="Times New Roman" w:hAnsi="Book Antiqua" w:cs="Times New Roman"/>
          <w:color w:val="000000" w:themeColor="text1"/>
          <w:sz w:val="24"/>
          <w:szCs w:val="24"/>
        </w:rPr>
      </w:pPr>
    </w:p>
    <w:p w14:paraId="441EE244" w14:textId="77777777" w:rsidR="0051390E" w:rsidRPr="006B24DA" w:rsidRDefault="0051390E" w:rsidP="0051390E">
      <w:pPr>
        <w:pStyle w:val="a6"/>
        <w:shd w:val="clear" w:color="auto" w:fill="FFFFFF"/>
        <w:adjustRightInd w:val="0"/>
        <w:snapToGrid w:val="0"/>
        <w:spacing w:after="0" w:line="360" w:lineRule="auto"/>
        <w:ind w:left="0"/>
        <w:contextualSpacing w:val="0"/>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noProof/>
          <w:color w:val="000000" w:themeColor="text1"/>
          <w:sz w:val="24"/>
          <w:szCs w:val="24"/>
          <w:lang w:eastAsia="zh-CN"/>
        </w:rPr>
        <w:drawing>
          <wp:anchor distT="0" distB="0" distL="114300" distR="114300" simplePos="0" relativeHeight="251659264" behindDoc="0" locked="0" layoutInCell="1" allowOverlap="1" wp14:anchorId="32FB5AF5" wp14:editId="6FDD48E9">
            <wp:simplePos x="0" y="0"/>
            <wp:positionH relativeFrom="column">
              <wp:posOffset>0</wp:posOffset>
            </wp:positionH>
            <wp:positionV relativeFrom="paragraph">
              <wp:posOffset>5715</wp:posOffset>
            </wp:positionV>
            <wp:extent cx="4572000" cy="3457105"/>
            <wp:effectExtent l="0" t="0" r="0"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572000" cy="34571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24DA">
        <w:rPr>
          <w:rFonts w:ascii="Book Antiqua" w:eastAsia="Times New Roman" w:hAnsi="Book Antiqua" w:cs="Times New Roman"/>
          <w:b/>
          <w:color w:val="000000" w:themeColor="text1"/>
          <w:sz w:val="24"/>
          <w:szCs w:val="24"/>
        </w:rPr>
        <w:t xml:space="preserve">Figure 5 </w:t>
      </w:r>
      <w:proofErr w:type="spellStart"/>
      <w:r w:rsidRPr="006B24DA">
        <w:rPr>
          <w:rFonts w:ascii="Book Antiqua" w:eastAsia="Times New Roman" w:hAnsi="Book Antiqua" w:cs="Times New Roman"/>
          <w:b/>
          <w:color w:val="000000" w:themeColor="text1"/>
          <w:sz w:val="24"/>
          <w:szCs w:val="24"/>
        </w:rPr>
        <w:t>Esophyx</w:t>
      </w:r>
      <w:proofErr w:type="spellEnd"/>
      <w:r w:rsidRPr="006B24DA">
        <w:rPr>
          <w:rFonts w:ascii="Book Antiqua" w:eastAsia="Times New Roman" w:hAnsi="Book Antiqua" w:cs="Times New Roman"/>
          <w:b/>
          <w:color w:val="000000" w:themeColor="text1"/>
          <w:sz w:val="24"/>
          <w:szCs w:val="24"/>
        </w:rPr>
        <w:t xml:space="preserve">® Z device used for </w:t>
      </w:r>
      <w:bookmarkStart w:id="199" w:name="OLE_LINK107"/>
      <w:proofErr w:type="spellStart"/>
      <w:r w:rsidRPr="006B24DA">
        <w:rPr>
          <w:rFonts w:ascii="Book Antiqua" w:eastAsia="Times New Roman" w:hAnsi="Book Antiqua" w:cs="Times New Roman"/>
          <w:b/>
          <w:color w:val="000000" w:themeColor="text1"/>
          <w:sz w:val="24"/>
          <w:szCs w:val="24"/>
        </w:rPr>
        <w:t>transoral</w:t>
      </w:r>
      <w:proofErr w:type="spellEnd"/>
      <w:r w:rsidRPr="006B24DA">
        <w:rPr>
          <w:rFonts w:ascii="Book Antiqua" w:eastAsia="Times New Roman" w:hAnsi="Book Antiqua" w:cs="Times New Roman"/>
          <w:b/>
          <w:color w:val="000000" w:themeColor="text1"/>
          <w:sz w:val="24"/>
          <w:szCs w:val="24"/>
        </w:rPr>
        <w:t xml:space="preserve"> incisionless fundoplication</w:t>
      </w:r>
      <w:bookmarkEnd w:id="199"/>
      <w:r w:rsidRPr="006B24DA">
        <w:rPr>
          <w:rFonts w:ascii="Book Antiqua" w:eastAsia="Times New Roman" w:hAnsi="Book Antiqua" w:cs="Times New Roman"/>
          <w:b/>
          <w:color w:val="000000" w:themeColor="text1"/>
          <w:sz w:val="24"/>
          <w:szCs w:val="24"/>
        </w:rPr>
        <w:t>.</w:t>
      </w:r>
    </w:p>
    <w:p w14:paraId="6FDB2B82"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br w:type="page"/>
      </w:r>
    </w:p>
    <w:p w14:paraId="46210E24" w14:textId="77777777" w:rsidR="0051390E" w:rsidRPr="006B24DA" w:rsidRDefault="0051390E" w:rsidP="003B13C7">
      <w:pPr>
        <w:pStyle w:val="a6"/>
        <w:shd w:val="clear" w:color="auto" w:fill="FFFFFF" w:themeFill="background1"/>
        <w:adjustRightInd w:val="0"/>
        <w:snapToGrid w:val="0"/>
        <w:spacing w:after="0" w:line="360" w:lineRule="auto"/>
        <w:ind w:left="0"/>
        <w:contextualSpacing w:val="0"/>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noProof/>
          <w:color w:val="000000" w:themeColor="text1"/>
          <w:sz w:val="24"/>
          <w:szCs w:val="24"/>
          <w:lang w:eastAsia="zh-CN"/>
        </w:rPr>
        <w:lastRenderedPageBreak/>
        <w:drawing>
          <wp:anchor distT="0" distB="0" distL="114300" distR="114300" simplePos="0" relativeHeight="251660288" behindDoc="0" locked="0" layoutInCell="1" allowOverlap="1" wp14:anchorId="1742FFAB" wp14:editId="005701B1">
            <wp:simplePos x="0" y="0"/>
            <wp:positionH relativeFrom="column">
              <wp:posOffset>0</wp:posOffset>
            </wp:positionH>
            <wp:positionV relativeFrom="paragraph">
              <wp:posOffset>0</wp:posOffset>
            </wp:positionV>
            <wp:extent cx="5943600" cy="2226018"/>
            <wp:effectExtent l="0" t="0" r="0" b="9525"/>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2226018"/>
                    </a:xfrm>
                    <a:prstGeom prst="rect">
                      <a:avLst/>
                    </a:prstGeom>
                    <a:noFill/>
                  </pic:spPr>
                </pic:pic>
              </a:graphicData>
            </a:graphic>
            <wp14:sizeRelH relativeFrom="page">
              <wp14:pctWidth>0</wp14:pctWidth>
            </wp14:sizeRelH>
            <wp14:sizeRelV relativeFrom="page">
              <wp14:pctHeight>0</wp14:pctHeight>
            </wp14:sizeRelV>
          </wp:anchor>
        </w:drawing>
      </w:r>
      <w:r w:rsidRPr="006B24DA">
        <w:rPr>
          <w:rFonts w:ascii="Book Antiqua" w:eastAsia="Times New Roman" w:hAnsi="Book Antiqua" w:cs="Times New Roman"/>
          <w:b/>
          <w:bCs/>
          <w:color w:val="000000" w:themeColor="text1"/>
          <w:sz w:val="24"/>
          <w:szCs w:val="24"/>
        </w:rPr>
        <w:t>Figure 6</w:t>
      </w:r>
      <w:r w:rsidRPr="006B24DA">
        <w:rPr>
          <w:rFonts w:ascii="Book Antiqua" w:eastAsia="Times New Roman" w:hAnsi="Book Antiqua" w:cs="Times New Roman"/>
          <w:color w:val="000000" w:themeColor="text1"/>
          <w:sz w:val="24"/>
          <w:szCs w:val="24"/>
        </w:rPr>
        <w:t xml:space="preserve"> </w:t>
      </w:r>
      <w:proofErr w:type="spellStart"/>
      <w:r w:rsidRPr="006B24DA">
        <w:rPr>
          <w:rFonts w:ascii="Book Antiqua" w:eastAsia="Times New Roman" w:hAnsi="Book Antiqua" w:cs="Times New Roman"/>
          <w:b/>
          <w:bCs/>
          <w:color w:val="000000" w:themeColor="text1"/>
          <w:sz w:val="24"/>
          <w:szCs w:val="24"/>
        </w:rPr>
        <w:t>Transoral</w:t>
      </w:r>
      <w:proofErr w:type="spellEnd"/>
      <w:r w:rsidRPr="006B24DA">
        <w:rPr>
          <w:rFonts w:ascii="Book Antiqua" w:eastAsia="Times New Roman" w:hAnsi="Book Antiqua" w:cs="Times New Roman"/>
          <w:b/>
          <w:bCs/>
          <w:color w:val="000000" w:themeColor="text1"/>
          <w:sz w:val="24"/>
          <w:szCs w:val="24"/>
        </w:rPr>
        <w:t xml:space="preserve"> incisionless fundoplication</w:t>
      </w:r>
      <w:r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b/>
          <w:bCs/>
          <w:color w:val="000000" w:themeColor="text1"/>
          <w:sz w:val="24"/>
          <w:szCs w:val="24"/>
        </w:rPr>
        <w:t xml:space="preserve">2 </w:t>
      </w:r>
      <w:proofErr w:type="gramStart"/>
      <w:r w:rsidRPr="006B24DA">
        <w:rPr>
          <w:rFonts w:ascii="Book Antiqua" w:eastAsia="Times New Roman" w:hAnsi="Book Antiqua" w:cs="Times New Roman"/>
          <w:b/>
          <w:bCs/>
          <w:color w:val="000000" w:themeColor="text1"/>
          <w:sz w:val="24"/>
          <w:szCs w:val="24"/>
        </w:rPr>
        <w:t>technique</w:t>
      </w:r>
      <w:proofErr w:type="gramEnd"/>
      <w:r w:rsidRPr="006B24DA">
        <w:rPr>
          <w:rFonts w:ascii="Book Antiqua" w:eastAsia="Times New Roman" w:hAnsi="Book Antiqua" w:cs="Times New Roman"/>
          <w:b/>
          <w:bCs/>
          <w:color w:val="000000" w:themeColor="text1"/>
          <w:sz w:val="24"/>
          <w:szCs w:val="24"/>
        </w:rPr>
        <w:t>.</w:t>
      </w:r>
      <w:r w:rsidRPr="006B24DA">
        <w:rPr>
          <w:rFonts w:ascii="Book Antiqua" w:eastAsia="Times New Roman" w:hAnsi="Book Antiqua" w:cs="Times New Roman"/>
          <w:color w:val="000000" w:themeColor="text1"/>
          <w:sz w:val="24"/>
          <w:szCs w:val="24"/>
        </w:rPr>
        <w:t xml:space="preserve"> A: Baseline Hill Grade 2 Valve; B: Baseline patulous lower esophageal sphincter; C: Building short lip valve along lesser curve at 12 o’clock; D: Rotating the device clockwise to create a partial fundoplication on the posterior side; E: Rotating the device counter-clockwise to create a partial fundoplication on the anterior side; F: After placement of 36 fasteners, a 3-4 cm length flap valve is created; G: Fasteners can be seen extending 3-4 cm in the distal esophagus.</w:t>
      </w:r>
    </w:p>
    <w:p w14:paraId="7D2854EA"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br w:type="page"/>
      </w:r>
    </w:p>
    <w:p w14:paraId="0F4E8D0C" w14:textId="77777777" w:rsidR="0051390E" w:rsidRPr="006B24DA" w:rsidRDefault="0051390E" w:rsidP="0051390E">
      <w:pPr>
        <w:pStyle w:val="a6"/>
        <w:shd w:val="clear" w:color="auto" w:fill="FFFFFF"/>
        <w:adjustRightInd w:val="0"/>
        <w:snapToGrid w:val="0"/>
        <w:spacing w:after="0" w:line="360" w:lineRule="auto"/>
        <w:ind w:left="0"/>
        <w:contextualSpacing w:val="0"/>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noProof/>
          <w:color w:val="000000" w:themeColor="text1"/>
          <w:sz w:val="24"/>
          <w:szCs w:val="24"/>
          <w:lang w:eastAsia="zh-CN"/>
        </w:rPr>
        <w:lastRenderedPageBreak/>
        <w:drawing>
          <wp:inline distT="0" distB="0" distL="0" distR="0" wp14:anchorId="24E88A1E" wp14:editId="080757D3">
            <wp:extent cx="5943600" cy="3219186"/>
            <wp:effectExtent l="0" t="0" r="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
                      <a:extLst>
                        <a:ext uri="{28A0092B-C50C-407E-A947-70E740481C1C}">
                          <a14:useLocalDpi xmlns:a14="http://schemas.microsoft.com/office/drawing/2010/main" val="0"/>
                        </a:ext>
                      </a:extLst>
                    </a:blip>
                    <a:srcRect r="9764"/>
                    <a:stretch/>
                  </pic:blipFill>
                  <pic:spPr bwMode="auto">
                    <a:xfrm>
                      <a:off x="0" y="0"/>
                      <a:ext cx="5943600" cy="3219186"/>
                    </a:xfrm>
                    <a:prstGeom prst="rect">
                      <a:avLst/>
                    </a:prstGeom>
                    <a:noFill/>
                    <a:ln>
                      <a:noFill/>
                    </a:ln>
                    <a:extLst>
                      <a:ext uri="{53640926-AAD7-44D8-BBD7-CCE9431645EC}">
                        <a14:shadowObscured xmlns:a14="http://schemas.microsoft.com/office/drawing/2010/main"/>
                      </a:ext>
                    </a:extLst>
                  </pic:spPr>
                </pic:pic>
              </a:graphicData>
            </a:graphic>
          </wp:inline>
        </w:drawing>
      </w:r>
    </w:p>
    <w:p w14:paraId="5385B889" w14:textId="77777777" w:rsidR="0051390E" w:rsidRPr="006B24DA" w:rsidRDefault="0051390E" w:rsidP="003B13C7">
      <w:pPr>
        <w:pStyle w:val="a6"/>
        <w:shd w:val="clear" w:color="auto" w:fill="FFFFFF" w:themeFill="background1"/>
        <w:adjustRightInd w:val="0"/>
        <w:snapToGrid w:val="0"/>
        <w:spacing w:after="0" w:line="360" w:lineRule="auto"/>
        <w:ind w:left="0"/>
        <w:contextualSpacing w:val="0"/>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b/>
          <w:bCs/>
          <w:color w:val="000000" w:themeColor="text1"/>
          <w:sz w:val="24"/>
          <w:szCs w:val="24"/>
        </w:rPr>
        <w:t>Figure 7</w:t>
      </w:r>
      <w:r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b/>
          <w:bCs/>
          <w:color w:val="000000" w:themeColor="text1"/>
          <w:sz w:val="24"/>
          <w:szCs w:val="24"/>
        </w:rPr>
        <w:t xml:space="preserve">Endoscopic Suturing for gastroesophageal reflux disease in a patient post-Sleeve gastrectomy. </w:t>
      </w:r>
      <w:r w:rsidRPr="006B24DA">
        <w:rPr>
          <w:rFonts w:ascii="Book Antiqua" w:eastAsia="Times New Roman" w:hAnsi="Book Antiqua" w:cs="Times New Roman"/>
          <w:color w:val="000000" w:themeColor="text1"/>
          <w:sz w:val="24"/>
          <w:szCs w:val="24"/>
        </w:rPr>
        <w:t>A: Narrowed gastric body post gastrectomy; B: Retroflex view of loose esophageal gastric junction (EGJ); C: Patulous lower esophageal sphincter (LES); D: Suturing at EGJ; E: Post-suturing with tightened LES; F: Retroflex view of tightened EGJ post-suturing.</w:t>
      </w:r>
    </w:p>
    <w:p w14:paraId="4C053BEE"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br w:type="page"/>
      </w:r>
    </w:p>
    <w:p w14:paraId="7FD90355" w14:textId="77777777" w:rsidR="0051390E" w:rsidRPr="006B24DA" w:rsidRDefault="0051390E" w:rsidP="0051390E">
      <w:pPr>
        <w:pStyle w:val="a6"/>
        <w:shd w:val="clear" w:color="auto" w:fill="FFFFFF"/>
        <w:adjustRightInd w:val="0"/>
        <w:snapToGrid w:val="0"/>
        <w:spacing w:after="0" w:line="360" w:lineRule="auto"/>
        <w:ind w:left="0"/>
        <w:contextualSpacing w:val="0"/>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noProof/>
          <w:color w:val="000000" w:themeColor="text1"/>
          <w:sz w:val="24"/>
          <w:szCs w:val="24"/>
          <w:lang w:eastAsia="zh-CN"/>
        </w:rPr>
        <w:lastRenderedPageBreak/>
        <w:drawing>
          <wp:inline distT="0" distB="0" distL="0" distR="0" wp14:anchorId="1CC100FD" wp14:editId="334F9A64">
            <wp:extent cx="5943600" cy="2983735"/>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a:extLst>
                        <a:ext uri="{28A0092B-C50C-407E-A947-70E740481C1C}">
                          <a14:useLocalDpi xmlns:a14="http://schemas.microsoft.com/office/drawing/2010/main" val="0"/>
                        </a:ext>
                      </a:extLst>
                    </a:blip>
                    <a:srcRect r="6883"/>
                    <a:stretch/>
                  </pic:blipFill>
                  <pic:spPr bwMode="auto">
                    <a:xfrm>
                      <a:off x="0" y="0"/>
                      <a:ext cx="5943600" cy="2983735"/>
                    </a:xfrm>
                    <a:prstGeom prst="rect">
                      <a:avLst/>
                    </a:prstGeom>
                    <a:noFill/>
                    <a:ln>
                      <a:noFill/>
                    </a:ln>
                    <a:extLst>
                      <a:ext uri="{53640926-AAD7-44D8-BBD7-CCE9431645EC}">
                        <a14:shadowObscured xmlns:a14="http://schemas.microsoft.com/office/drawing/2010/main"/>
                      </a:ext>
                    </a:extLst>
                  </pic:spPr>
                </pic:pic>
              </a:graphicData>
            </a:graphic>
          </wp:inline>
        </w:drawing>
      </w:r>
    </w:p>
    <w:p w14:paraId="4361C6F8" w14:textId="77777777" w:rsidR="0051390E" w:rsidRPr="006B24DA" w:rsidRDefault="0051390E" w:rsidP="003B13C7">
      <w:pPr>
        <w:pStyle w:val="a6"/>
        <w:shd w:val="clear" w:color="auto" w:fill="FFFFFF" w:themeFill="background1"/>
        <w:adjustRightInd w:val="0"/>
        <w:snapToGrid w:val="0"/>
        <w:spacing w:after="0" w:line="360" w:lineRule="auto"/>
        <w:ind w:left="0"/>
        <w:contextualSpacing w:val="0"/>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b/>
          <w:bCs/>
          <w:color w:val="000000" w:themeColor="text1"/>
          <w:sz w:val="24"/>
          <w:szCs w:val="24"/>
        </w:rPr>
        <w:t xml:space="preserve">Figure 8 </w:t>
      </w:r>
      <w:bookmarkStart w:id="200" w:name="OLE_LINK110"/>
      <w:r w:rsidRPr="006B24DA">
        <w:rPr>
          <w:rFonts w:ascii="Book Antiqua" w:eastAsia="Times New Roman" w:hAnsi="Book Antiqua" w:cs="Times New Roman"/>
          <w:b/>
          <w:bCs/>
          <w:color w:val="000000" w:themeColor="text1"/>
          <w:sz w:val="24"/>
          <w:szCs w:val="24"/>
        </w:rPr>
        <w:t>Mucosal ablation and suturing of the esophageal gastric junction</w:t>
      </w:r>
      <w:bookmarkEnd w:id="200"/>
      <w:r w:rsidRPr="006B24DA">
        <w:rPr>
          <w:rFonts w:ascii="Book Antiqua" w:eastAsia="Times New Roman" w:hAnsi="Book Antiqua" w:cs="Times New Roman"/>
          <w:b/>
          <w:bCs/>
          <w:color w:val="000000" w:themeColor="text1"/>
          <w:sz w:val="24"/>
          <w:szCs w:val="24"/>
        </w:rPr>
        <w:t xml:space="preserve"> in a patient with </w:t>
      </w:r>
      <w:bookmarkStart w:id="201" w:name="OLE_LINK111"/>
      <w:bookmarkStart w:id="202" w:name="OLE_LINK112"/>
      <w:r w:rsidRPr="006B24DA">
        <w:rPr>
          <w:rFonts w:ascii="Book Antiqua" w:eastAsia="Times New Roman" w:hAnsi="Book Antiqua" w:cs="Times New Roman"/>
          <w:b/>
          <w:bCs/>
          <w:color w:val="000000" w:themeColor="text1"/>
          <w:sz w:val="24"/>
          <w:szCs w:val="24"/>
        </w:rPr>
        <w:t>gastroesophageal reflux disease</w:t>
      </w:r>
      <w:bookmarkEnd w:id="201"/>
      <w:bookmarkEnd w:id="202"/>
      <w:r w:rsidRPr="006B24DA">
        <w:rPr>
          <w:rFonts w:ascii="Book Antiqua" w:eastAsia="Times New Roman" w:hAnsi="Book Antiqua" w:cs="Times New Roman"/>
          <w:b/>
          <w:bCs/>
          <w:color w:val="000000" w:themeColor="text1"/>
          <w:sz w:val="24"/>
          <w:szCs w:val="24"/>
        </w:rPr>
        <w:t xml:space="preserve"> post-</w:t>
      </w:r>
      <w:proofErr w:type="spellStart"/>
      <w:r w:rsidRPr="006B24DA">
        <w:rPr>
          <w:rFonts w:ascii="Book Antiqua" w:eastAsia="Times New Roman" w:hAnsi="Book Antiqua" w:cs="Times New Roman"/>
          <w:b/>
          <w:bCs/>
          <w:color w:val="000000" w:themeColor="text1"/>
          <w:sz w:val="24"/>
          <w:szCs w:val="24"/>
        </w:rPr>
        <w:t>esophagectomy</w:t>
      </w:r>
      <w:proofErr w:type="spellEnd"/>
      <w:r w:rsidRPr="006B24DA">
        <w:rPr>
          <w:rFonts w:ascii="Book Antiqua" w:eastAsia="Times New Roman" w:hAnsi="Book Antiqua" w:cs="Times New Roman"/>
          <w:b/>
          <w:bCs/>
          <w:color w:val="000000" w:themeColor="text1"/>
          <w:sz w:val="24"/>
          <w:szCs w:val="24"/>
        </w:rPr>
        <w:t xml:space="preserve">. </w:t>
      </w:r>
      <w:r w:rsidRPr="006B24DA">
        <w:rPr>
          <w:rFonts w:ascii="Book Antiqua" w:eastAsia="Times New Roman" w:hAnsi="Book Antiqua" w:cs="Times New Roman"/>
          <w:color w:val="000000" w:themeColor="text1"/>
          <w:sz w:val="24"/>
          <w:szCs w:val="24"/>
        </w:rPr>
        <w:t>A: Wide open anastomosis along with unchecked reflux; B: Retroflex view showing open anastomosis; C: Ablation of gastric mucosa at the anastomosis using argon plasma coagulation; D: Suturing at the anastomosis; E: Post-mucosal ablation and suturing of the esophageal gastric junction (MASE) tightening of anastomosis; F: Post-MASE retroflex view showing tightened anastomosis.</w:t>
      </w:r>
    </w:p>
    <w:p w14:paraId="191AF1EF"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br w:type="page"/>
      </w:r>
    </w:p>
    <w:p w14:paraId="39C02F7F" w14:textId="77777777" w:rsidR="0051390E" w:rsidRPr="006B24DA" w:rsidRDefault="0051390E" w:rsidP="0051390E">
      <w:pPr>
        <w:pStyle w:val="a6"/>
        <w:shd w:val="clear" w:color="auto" w:fill="FFFFFF"/>
        <w:adjustRightInd w:val="0"/>
        <w:snapToGrid w:val="0"/>
        <w:spacing w:after="0" w:line="360" w:lineRule="auto"/>
        <w:ind w:left="0"/>
        <w:contextualSpacing w:val="0"/>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noProof/>
          <w:color w:val="000000" w:themeColor="text1"/>
          <w:sz w:val="24"/>
          <w:szCs w:val="24"/>
          <w:lang w:eastAsia="zh-CN"/>
        </w:rPr>
        <w:lastRenderedPageBreak/>
        <w:drawing>
          <wp:inline distT="0" distB="0" distL="0" distR="0" wp14:anchorId="0FE2B5D0" wp14:editId="0765AAFB">
            <wp:extent cx="5943600" cy="888195"/>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443"/>
                    <a:stretch/>
                  </pic:blipFill>
                  <pic:spPr bwMode="auto">
                    <a:xfrm>
                      <a:off x="0" y="0"/>
                      <a:ext cx="5943600" cy="888195"/>
                    </a:xfrm>
                    <a:prstGeom prst="rect">
                      <a:avLst/>
                    </a:prstGeom>
                    <a:noFill/>
                    <a:ln>
                      <a:noFill/>
                    </a:ln>
                    <a:extLst>
                      <a:ext uri="{53640926-AAD7-44D8-BBD7-CCE9431645EC}">
                        <a14:shadowObscured xmlns:a14="http://schemas.microsoft.com/office/drawing/2010/main"/>
                      </a:ext>
                    </a:extLst>
                  </pic:spPr>
                </pic:pic>
              </a:graphicData>
            </a:graphic>
          </wp:inline>
        </w:drawing>
      </w:r>
    </w:p>
    <w:p w14:paraId="1CEAF487" w14:textId="7D36994F" w:rsidR="0051390E" w:rsidRPr="006B24DA" w:rsidRDefault="0051390E" w:rsidP="003B13C7">
      <w:pPr>
        <w:pStyle w:val="a6"/>
        <w:shd w:val="clear" w:color="auto" w:fill="FFFFFF" w:themeFill="background1"/>
        <w:adjustRightInd w:val="0"/>
        <w:snapToGrid w:val="0"/>
        <w:spacing w:after="0" w:line="360" w:lineRule="auto"/>
        <w:ind w:left="0"/>
        <w:contextualSpacing w:val="0"/>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b/>
          <w:bCs/>
          <w:color w:val="000000" w:themeColor="text1"/>
          <w:sz w:val="24"/>
          <w:szCs w:val="24"/>
        </w:rPr>
        <w:t>Figure 9</w:t>
      </w:r>
      <w:r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b/>
          <w:bCs/>
          <w:color w:val="000000" w:themeColor="text1"/>
          <w:sz w:val="24"/>
          <w:szCs w:val="24"/>
        </w:rPr>
        <w:t>Resection and plication</w:t>
      </w:r>
      <w:r w:rsidR="00957A2D">
        <w:rPr>
          <w:rFonts w:ascii="Book Antiqua" w:hAnsi="Book Antiqua" w:cs="Times New Roman" w:hint="eastAsia"/>
          <w:b/>
          <w:bCs/>
          <w:color w:val="000000" w:themeColor="text1"/>
          <w:sz w:val="24"/>
          <w:szCs w:val="24"/>
          <w:lang w:eastAsia="zh-CN"/>
        </w:rPr>
        <w:t xml:space="preserve"> </w:t>
      </w:r>
      <w:bookmarkStart w:id="203" w:name="_GoBack"/>
      <w:bookmarkEnd w:id="203"/>
      <w:r w:rsidRPr="006B24DA">
        <w:rPr>
          <w:rFonts w:ascii="Book Antiqua" w:eastAsia="Times New Roman" w:hAnsi="Book Antiqua" w:cs="Times New Roman"/>
          <w:b/>
          <w:bCs/>
          <w:color w:val="000000" w:themeColor="text1"/>
          <w:sz w:val="24"/>
          <w:szCs w:val="24"/>
        </w:rPr>
        <w:t xml:space="preserve">technique for gastroesophageal reflux disease in a patient after gastric by-pass. </w:t>
      </w:r>
      <w:r w:rsidRPr="006B24DA">
        <w:rPr>
          <w:rFonts w:ascii="Book Antiqua" w:eastAsia="Times New Roman" w:hAnsi="Book Antiqua" w:cs="Times New Roman"/>
          <w:color w:val="000000" w:themeColor="text1"/>
          <w:sz w:val="24"/>
          <w:szCs w:val="24"/>
        </w:rPr>
        <w:t xml:space="preserve">A: Endoscopic revision of anastomosis was performed followed by marking area for endoscopic mucosal resection (EMR) at the esophageal gastric junction (EGJ); B: EMR performed using band ligation technique; C: Exposure of </w:t>
      </w:r>
      <w:proofErr w:type="spellStart"/>
      <w:r w:rsidRPr="006B24DA">
        <w:rPr>
          <w:rFonts w:ascii="Book Antiqua" w:eastAsia="Times New Roman" w:hAnsi="Book Antiqua" w:cs="Times New Roman"/>
          <w:color w:val="000000" w:themeColor="text1"/>
          <w:sz w:val="24"/>
          <w:szCs w:val="24"/>
        </w:rPr>
        <w:t>muscularis</w:t>
      </w:r>
      <w:proofErr w:type="spellEnd"/>
      <w:r w:rsidRPr="006B24DA">
        <w:rPr>
          <w:rFonts w:ascii="Book Antiqua" w:eastAsia="Times New Roman" w:hAnsi="Book Antiqua" w:cs="Times New Roman"/>
          <w:color w:val="000000" w:themeColor="text1"/>
          <w:sz w:val="24"/>
          <w:szCs w:val="24"/>
        </w:rPr>
        <w:t xml:space="preserve"> </w:t>
      </w:r>
      <w:proofErr w:type="spellStart"/>
      <w:r w:rsidRPr="006B24DA">
        <w:rPr>
          <w:rFonts w:ascii="Book Antiqua" w:eastAsia="Times New Roman" w:hAnsi="Book Antiqua" w:cs="Times New Roman"/>
          <w:color w:val="000000" w:themeColor="text1"/>
          <w:sz w:val="24"/>
          <w:szCs w:val="24"/>
        </w:rPr>
        <w:t>propria</w:t>
      </w:r>
      <w:proofErr w:type="spellEnd"/>
      <w:r w:rsidRPr="006B24DA">
        <w:rPr>
          <w:rFonts w:ascii="Book Antiqua" w:eastAsia="Times New Roman" w:hAnsi="Book Antiqua" w:cs="Times New Roman"/>
          <w:color w:val="000000" w:themeColor="text1"/>
          <w:sz w:val="24"/>
          <w:szCs w:val="24"/>
        </w:rPr>
        <w:t xml:space="preserve"> accomplished; D: Sutures now deeply placed through muscle layer; E: Post-resection and plication appearance of tightened EGJ.</w:t>
      </w:r>
    </w:p>
    <w:p w14:paraId="7CB3AD44"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lang w:eastAsia="zh-CN"/>
        </w:rPr>
      </w:pPr>
      <w:r w:rsidRPr="006B24DA">
        <w:rPr>
          <w:rFonts w:ascii="Book Antiqua" w:eastAsia="Times New Roman" w:hAnsi="Book Antiqua" w:cs="Times New Roman"/>
          <w:color w:val="000000" w:themeColor="text1"/>
          <w:sz w:val="24"/>
          <w:szCs w:val="24"/>
        </w:rPr>
        <w:br w:type="page"/>
      </w:r>
    </w:p>
    <w:p w14:paraId="140AFBD2" w14:textId="77777777" w:rsidR="0051390E" w:rsidRPr="006B24DA" w:rsidRDefault="0051390E" w:rsidP="0051390E">
      <w:pPr>
        <w:pStyle w:val="a6"/>
        <w:shd w:val="clear" w:color="auto" w:fill="FFFFFF"/>
        <w:adjustRightInd w:val="0"/>
        <w:snapToGrid w:val="0"/>
        <w:spacing w:after="0" w:line="360" w:lineRule="auto"/>
        <w:ind w:left="0"/>
        <w:contextualSpacing w:val="0"/>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noProof/>
          <w:color w:val="000000" w:themeColor="text1"/>
          <w:sz w:val="24"/>
          <w:szCs w:val="24"/>
          <w:lang w:eastAsia="zh-CN"/>
        </w:rPr>
        <w:lastRenderedPageBreak/>
        <w:drawing>
          <wp:inline distT="0" distB="0" distL="0" distR="0" wp14:anchorId="625D1E6C" wp14:editId="2964FAC4">
            <wp:extent cx="5943600" cy="1828746"/>
            <wp:effectExtent l="0" t="0" r="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122"/>
                    <a:stretch/>
                  </pic:blipFill>
                  <pic:spPr bwMode="auto">
                    <a:xfrm>
                      <a:off x="0" y="0"/>
                      <a:ext cx="5943600" cy="1828746"/>
                    </a:xfrm>
                    <a:prstGeom prst="rect">
                      <a:avLst/>
                    </a:prstGeom>
                    <a:noFill/>
                    <a:ln>
                      <a:noFill/>
                    </a:ln>
                    <a:extLst>
                      <a:ext uri="{53640926-AAD7-44D8-BBD7-CCE9431645EC}">
                        <a14:shadowObscured xmlns:a14="http://schemas.microsoft.com/office/drawing/2010/main"/>
                      </a:ext>
                    </a:extLst>
                  </pic:spPr>
                </pic:pic>
              </a:graphicData>
            </a:graphic>
          </wp:inline>
        </w:drawing>
      </w:r>
    </w:p>
    <w:p w14:paraId="046B7358" w14:textId="59ACCEB4" w:rsidR="0051390E" w:rsidRPr="006B24DA" w:rsidRDefault="0051390E" w:rsidP="0051390E">
      <w:pPr>
        <w:pStyle w:val="a6"/>
        <w:shd w:val="clear" w:color="auto" w:fill="FFFFFF"/>
        <w:adjustRightInd w:val="0"/>
        <w:snapToGrid w:val="0"/>
        <w:spacing w:after="0" w:line="360" w:lineRule="auto"/>
        <w:ind w:left="0"/>
        <w:contextualSpacing w:val="0"/>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b/>
          <w:color w:val="000000" w:themeColor="text1"/>
          <w:sz w:val="24"/>
          <w:szCs w:val="24"/>
        </w:rPr>
        <w:t>Figure 10</w:t>
      </w:r>
      <w:r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b/>
          <w:color w:val="000000" w:themeColor="text1"/>
          <w:sz w:val="24"/>
          <w:szCs w:val="24"/>
        </w:rPr>
        <w:t xml:space="preserve">Per-oral endoscopic </w:t>
      </w:r>
      <w:proofErr w:type="spellStart"/>
      <w:r w:rsidRPr="006B24DA">
        <w:rPr>
          <w:rFonts w:ascii="Book Antiqua" w:eastAsia="Times New Roman" w:hAnsi="Book Antiqua" w:cs="Times New Roman"/>
          <w:b/>
          <w:color w:val="000000" w:themeColor="text1"/>
          <w:sz w:val="24"/>
          <w:szCs w:val="24"/>
        </w:rPr>
        <w:t>myotomy</w:t>
      </w:r>
      <w:proofErr w:type="spellEnd"/>
      <w:r w:rsidR="00EC0742">
        <w:rPr>
          <w:rFonts w:ascii="Book Antiqua" w:hAnsi="Book Antiqua" w:cs="Times New Roman" w:hint="eastAsia"/>
          <w:b/>
          <w:color w:val="000000" w:themeColor="text1"/>
          <w:sz w:val="24"/>
          <w:szCs w:val="24"/>
          <w:lang w:eastAsia="zh-CN"/>
        </w:rPr>
        <w:t xml:space="preserve"> </w:t>
      </w:r>
      <w:proofErr w:type="gramStart"/>
      <w:r w:rsidRPr="006B24DA">
        <w:rPr>
          <w:rFonts w:ascii="Book Antiqua" w:eastAsia="Times New Roman" w:hAnsi="Book Antiqua" w:cs="Times New Roman"/>
          <w:b/>
          <w:color w:val="000000" w:themeColor="text1"/>
          <w:sz w:val="24"/>
          <w:szCs w:val="24"/>
        </w:rPr>
        <w:t>procedure</w:t>
      </w:r>
      <w:proofErr w:type="gramEnd"/>
      <w:r w:rsidRPr="006B24DA">
        <w:rPr>
          <w:rFonts w:ascii="Book Antiqua" w:eastAsia="Times New Roman" w:hAnsi="Book Antiqua" w:cs="Times New Roman"/>
          <w:b/>
          <w:color w:val="000000" w:themeColor="text1"/>
          <w:sz w:val="24"/>
          <w:szCs w:val="24"/>
        </w:rPr>
        <w:t xml:space="preserve"> on 40-year-old female with type 1 achalasia, s/p pneumatic dilation 20-year</w:t>
      </w:r>
      <w:r w:rsidR="00C473B5" w:rsidRPr="006B24DA">
        <w:rPr>
          <w:rFonts w:ascii="Book Antiqua" w:eastAsia="Times New Roman" w:hAnsi="Book Antiqua" w:cs="Times New Roman"/>
          <w:b/>
          <w:color w:val="000000" w:themeColor="text1"/>
          <w:sz w:val="24"/>
          <w:szCs w:val="24"/>
        </w:rPr>
        <w:t>s</w:t>
      </w:r>
      <w:r w:rsidRPr="006B24DA">
        <w:rPr>
          <w:rFonts w:ascii="Book Antiqua" w:eastAsia="Times New Roman" w:hAnsi="Book Antiqua" w:cs="Times New Roman"/>
          <w:b/>
          <w:color w:val="000000" w:themeColor="text1"/>
          <w:sz w:val="24"/>
          <w:szCs w:val="24"/>
        </w:rPr>
        <w:t xml:space="preserve"> prior, now with dysphagia and chest pain/spasms (</w:t>
      </w:r>
      <w:proofErr w:type="spellStart"/>
      <w:r w:rsidRPr="006B24DA">
        <w:rPr>
          <w:rFonts w:ascii="Book Antiqua" w:eastAsia="Times New Roman" w:hAnsi="Book Antiqua" w:cs="Times New Roman"/>
          <w:b/>
          <w:color w:val="000000" w:themeColor="text1"/>
          <w:sz w:val="24"/>
          <w:szCs w:val="24"/>
        </w:rPr>
        <w:t>Eckardt</w:t>
      </w:r>
      <w:proofErr w:type="spellEnd"/>
      <w:r w:rsidRPr="006B24DA">
        <w:rPr>
          <w:rFonts w:ascii="Book Antiqua" w:eastAsia="Times New Roman" w:hAnsi="Book Antiqua" w:cs="Times New Roman"/>
          <w:b/>
          <w:color w:val="000000" w:themeColor="text1"/>
          <w:sz w:val="24"/>
          <w:szCs w:val="24"/>
        </w:rPr>
        <w:t xml:space="preserve"> Score 8).</w:t>
      </w:r>
      <w:r w:rsidRPr="006B24DA">
        <w:rPr>
          <w:rFonts w:ascii="Book Antiqua" w:eastAsia="Times New Roman" w:hAnsi="Book Antiqua" w:cs="Times New Roman"/>
          <w:color w:val="000000" w:themeColor="text1"/>
          <w:sz w:val="24"/>
          <w:szCs w:val="24"/>
        </w:rPr>
        <w:t xml:space="preserve"> A: Dilated esophageal body; B: Endoscopic functional lumen imaging probe </w:t>
      </w:r>
      <w:r w:rsidR="00C473B5" w:rsidRPr="006B24DA">
        <w:rPr>
          <w:rFonts w:ascii="Book Antiqua" w:eastAsia="Times New Roman" w:hAnsi="Book Antiqua" w:cs="Times New Roman"/>
          <w:color w:val="000000" w:themeColor="text1"/>
          <w:sz w:val="24"/>
          <w:szCs w:val="24"/>
        </w:rPr>
        <w:t xml:space="preserve">(Endo-Flip) </w:t>
      </w:r>
      <w:r w:rsidRPr="006B24DA">
        <w:rPr>
          <w:rFonts w:ascii="Book Antiqua" w:eastAsia="Times New Roman" w:hAnsi="Book Antiqua" w:cs="Times New Roman"/>
          <w:color w:val="000000" w:themeColor="text1"/>
          <w:sz w:val="24"/>
          <w:szCs w:val="24"/>
        </w:rPr>
        <w:t xml:space="preserve">2.0 showing </w:t>
      </w:r>
      <w:proofErr w:type="spellStart"/>
      <w:r w:rsidRPr="006B24DA">
        <w:rPr>
          <w:rFonts w:ascii="Book Antiqua" w:eastAsia="Times New Roman" w:hAnsi="Book Antiqua" w:cs="Times New Roman"/>
          <w:color w:val="000000" w:themeColor="text1"/>
          <w:sz w:val="24"/>
          <w:szCs w:val="24"/>
        </w:rPr>
        <w:t>distensibility</w:t>
      </w:r>
      <w:proofErr w:type="spellEnd"/>
      <w:r w:rsidRPr="006B24DA">
        <w:rPr>
          <w:rFonts w:ascii="Book Antiqua" w:eastAsia="Times New Roman" w:hAnsi="Book Antiqua" w:cs="Times New Roman"/>
          <w:color w:val="000000" w:themeColor="text1"/>
          <w:sz w:val="24"/>
          <w:szCs w:val="24"/>
        </w:rPr>
        <w:t xml:space="preserve"> of 1.5; C: Initial mucosal incision; D: Submucosal tunnel with coagulation of vessel using Hybrid </w:t>
      </w:r>
      <w:proofErr w:type="spellStart"/>
      <w:r w:rsidRPr="006B24DA">
        <w:rPr>
          <w:rFonts w:ascii="Book Antiqua" w:eastAsia="Times New Roman" w:hAnsi="Book Antiqua" w:cs="Times New Roman"/>
          <w:color w:val="000000" w:themeColor="text1"/>
          <w:sz w:val="24"/>
          <w:szCs w:val="24"/>
        </w:rPr>
        <w:t>i</w:t>
      </w:r>
      <w:proofErr w:type="spellEnd"/>
      <w:r w:rsidRPr="006B24DA">
        <w:rPr>
          <w:rFonts w:ascii="Book Antiqua" w:eastAsia="Times New Roman" w:hAnsi="Book Antiqua" w:cs="Times New Roman"/>
          <w:color w:val="000000" w:themeColor="text1"/>
          <w:sz w:val="24"/>
          <w:szCs w:val="24"/>
        </w:rPr>
        <w:t xml:space="preserve">-knife; E: Circular </w:t>
      </w:r>
      <w:proofErr w:type="spellStart"/>
      <w:r w:rsidRPr="006B24DA">
        <w:rPr>
          <w:rFonts w:ascii="Book Antiqua" w:eastAsia="Times New Roman" w:hAnsi="Book Antiqua" w:cs="Times New Roman"/>
          <w:color w:val="000000" w:themeColor="text1"/>
          <w:sz w:val="24"/>
          <w:szCs w:val="24"/>
        </w:rPr>
        <w:t>myotomy</w:t>
      </w:r>
      <w:proofErr w:type="spellEnd"/>
      <w:r w:rsidRPr="006B24DA">
        <w:rPr>
          <w:rFonts w:ascii="Book Antiqua" w:eastAsia="Times New Roman" w:hAnsi="Book Antiqua" w:cs="Times New Roman"/>
          <w:color w:val="000000" w:themeColor="text1"/>
          <w:sz w:val="24"/>
          <w:szCs w:val="24"/>
        </w:rPr>
        <w:t xml:space="preserve"> using Hybrid </w:t>
      </w:r>
      <w:proofErr w:type="spellStart"/>
      <w:r w:rsidRPr="006B24DA">
        <w:rPr>
          <w:rFonts w:ascii="Book Antiqua" w:eastAsia="Times New Roman" w:hAnsi="Book Antiqua" w:cs="Times New Roman"/>
          <w:color w:val="000000" w:themeColor="text1"/>
          <w:sz w:val="24"/>
          <w:szCs w:val="24"/>
        </w:rPr>
        <w:t>i</w:t>
      </w:r>
      <w:proofErr w:type="spellEnd"/>
      <w:r w:rsidRPr="006B24DA">
        <w:rPr>
          <w:rFonts w:ascii="Book Antiqua" w:eastAsia="Times New Roman" w:hAnsi="Book Antiqua" w:cs="Times New Roman"/>
          <w:color w:val="000000" w:themeColor="text1"/>
          <w:sz w:val="24"/>
          <w:szCs w:val="24"/>
        </w:rPr>
        <w:t xml:space="preserve">-knife; F and G: Full thickness </w:t>
      </w:r>
      <w:proofErr w:type="spellStart"/>
      <w:r w:rsidRPr="006B24DA">
        <w:rPr>
          <w:rFonts w:ascii="Book Antiqua" w:eastAsia="Times New Roman" w:hAnsi="Book Antiqua" w:cs="Times New Roman"/>
          <w:color w:val="000000" w:themeColor="text1"/>
          <w:sz w:val="24"/>
          <w:szCs w:val="24"/>
        </w:rPr>
        <w:t>myotomy</w:t>
      </w:r>
      <w:proofErr w:type="spellEnd"/>
      <w:r w:rsidRPr="006B24DA">
        <w:rPr>
          <w:rFonts w:ascii="Book Antiqua" w:eastAsia="Times New Roman" w:hAnsi="Book Antiqua" w:cs="Times New Roman"/>
          <w:color w:val="000000" w:themeColor="text1"/>
          <w:sz w:val="24"/>
          <w:szCs w:val="24"/>
        </w:rPr>
        <w:t xml:space="preserve"> with scissor-type</w:t>
      </w:r>
      <w:bookmarkStart w:id="204" w:name="OLE_LINK113"/>
      <w:r w:rsidRPr="006B24DA">
        <w:rPr>
          <w:rFonts w:ascii="Book Antiqua" w:eastAsia="Times New Roman" w:hAnsi="Book Antiqua" w:cs="Times New Roman"/>
          <w:color w:val="000000" w:themeColor="text1"/>
          <w:sz w:val="24"/>
          <w:szCs w:val="24"/>
        </w:rPr>
        <w:t xml:space="preserve"> stag beetle </w:t>
      </w:r>
      <w:r w:rsidR="00C473B5" w:rsidRPr="006B24DA">
        <w:rPr>
          <w:rFonts w:ascii="Book Antiqua" w:eastAsia="Times New Roman" w:hAnsi="Book Antiqua" w:cs="Times New Roman"/>
          <w:color w:val="000000" w:themeColor="text1"/>
          <w:sz w:val="24"/>
          <w:szCs w:val="24"/>
        </w:rPr>
        <w:t xml:space="preserve">(SB) </w:t>
      </w:r>
      <w:r w:rsidRPr="006B24DA">
        <w:rPr>
          <w:rFonts w:ascii="Book Antiqua" w:eastAsia="Times New Roman" w:hAnsi="Book Antiqua" w:cs="Times New Roman"/>
          <w:color w:val="000000" w:themeColor="text1"/>
          <w:sz w:val="24"/>
          <w:szCs w:val="24"/>
        </w:rPr>
        <w:t>knife</w:t>
      </w:r>
      <w:bookmarkEnd w:id="204"/>
      <w:r w:rsidRPr="006B24DA">
        <w:rPr>
          <w:rFonts w:ascii="Book Antiqua" w:eastAsia="Times New Roman" w:hAnsi="Book Antiqua" w:cs="Times New Roman"/>
          <w:color w:val="000000" w:themeColor="text1"/>
          <w:sz w:val="24"/>
          <w:szCs w:val="24"/>
        </w:rPr>
        <w:t xml:space="preserve">; H and I: Closure of </w:t>
      </w:r>
      <w:proofErr w:type="spellStart"/>
      <w:r w:rsidRPr="006B24DA">
        <w:rPr>
          <w:rFonts w:ascii="Book Antiqua" w:eastAsia="Times New Roman" w:hAnsi="Book Antiqua" w:cs="Times New Roman"/>
          <w:color w:val="000000" w:themeColor="text1"/>
          <w:sz w:val="24"/>
          <w:szCs w:val="24"/>
        </w:rPr>
        <w:t>mucosotomy</w:t>
      </w:r>
      <w:proofErr w:type="spellEnd"/>
      <w:r w:rsidRPr="006B24DA">
        <w:rPr>
          <w:rFonts w:ascii="Book Antiqua" w:eastAsia="Times New Roman" w:hAnsi="Book Antiqua" w:cs="Times New Roman"/>
          <w:color w:val="000000" w:themeColor="text1"/>
          <w:sz w:val="24"/>
          <w:szCs w:val="24"/>
        </w:rPr>
        <w:t xml:space="preserve"> using 5 endoscopic clips; J: Thin scope retroflex view of esophageal gastric junction showing light from standard </w:t>
      </w:r>
      <w:proofErr w:type="spellStart"/>
      <w:r w:rsidRPr="006B24DA">
        <w:rPr>
          <w:rFonts w:ascii="Book Antiqua" w:eastAsia="Times New Roman" w:hAnsi="Book Antiqua" w:cs="Times New Roman"/>
          <w:color w:val="000000" w:themeColor="text1"/>
          <w:sz w:val="24"/>
          <w:szCs w:val="24"/>
        </w:rPr>
        <w:t>gastroscope</w:t>
      </w:r>
      <w:proofErr w:type="spellEnd"/>
      <w:r w:rsidRPr="006B24DA">
        <w:rPr>
          <w:rFonts w:ascii="Book Antiqua" w:eastAsia="Times New Roman" w:hAnsi="Book Antiqua" w:cs="Times New Roman"/>
          <w:color w:val="000000" w:themeColor="text1"/>
          <w:sz w:val="24"/>
          <w:szCs w:val="24"/>
        </w:rPr>
        <w:t xml:space="preserve"> within the per-oral endoscopic </w:t>
      </w:r>
      <w:proofErr w:type="spellStart"/>
      <w:r w:rsidRPr="006B24DA">
        <w:rPr>
          <w:rFonts w:ascii="Book Antiqua" w:eastAsia="Times New Roman" w:hAnsi="Book Antiqua" w:cs="Times New Roman"/>
          <w:color w:val="000000" w:themeColor="text1"/>
          <w:sz w:val="24"/>
          <w:szCs w:val="24"/>
        </w:rPr>
        <w:t>myotomy</w:t>
      </w:r>
      <w:proofErr w:type="spellEnd"/>
      <w:r w:rsidRPr="006B24DA">
        <w:rPr>
          <w:rFonts w:ascii="Book Antiqua" w:eastAsia="Times New Roman" w:hAnsi="Book Antiqua" w:cs="Times New Roman"/>
          <w:color w:val="000000" w:themeColor="text1"/>
          <w:sz w:val="24"/>
          <w:szCs w:val="24"/>
        </w:rPr>
        <w:t xml:space="preserve"> tunnel.</w:t>
      </w:r>
    </w:p>
    <w:p w14:paraId="2934B875"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b/>
          <w:color w:val="000000" w:themeColor="text1"/>
          <w:sz w:val="24"/>
          <w:szCs w:val="24"/>
        </w:rPr>
      </w:pPr>
      <w:r w:rsidRPr="006B24DA">
        <w:rPr>
          <w:rFonts w:ascii="Book Antiqua" w:eastAsia="Times New Roman" w:hAnsi="Book Antiqua" w:cs="Times New Roman"/>
          <w:b/>
          <w:color w:val="000000" w:themeColor="text1"/>
          <w:sz w:val="24"/>
          <w:szCs w:val="24"/>
        </w:rPr>
        <w:br w:type="page"/>
      </w:r>
    </w:p>
    <w:p w14:paraId="669530E6" w14:textId="77777777" w:rsidR="0051390E" w:rsidRPr="006B24DA" w:rsidRDefault="0051390E" w:rsidP="0051390E">
      <w:pPr>
        <w:pStyle w:val="a6"/>
        <w:shd w:val="clear" w:color="auto" w:fill="FFFFFF"/>
        <w:adjustRightInd w:val="0"/>
        <w:snapToGrid w:val="0"/>
        <w:spacing w:after="0" w:line="360" w:lineRule="auto"/>
        <w:ind w:left="0"/>
        <w:contextualSpacing w:val="0"/>
        <w:jc w:val="both"/>
        <w:rPr>
          <w:rFonts w:ascii="Book Antiqua" w:eastAsia="Times New Roman" w:hAnsi="Book Antiqua" w:cs="Times New Roman"/>
          <w:b/>
          <w:color w:val="000000" w:themeColor="text1"/>
          <w:sz w:val="24"/>
          <w:szCs w:val="24"/>
        </w:rPr>
      </w:pPr>
      <w:r w:rsidRPr="006B24DA">
        <w:rPr>
          <w:rFonts w:ascii="Book Antiqua" w:eastAsia="Times New Roman" w:hAnsi="Book Antiqua" w:cs="Times New Roman"/>
          <w:noProof/>
          <w:color w:val="000000" w:themeColor="text1"/>
          <w:sz w:val="24"/>
          <w:szCs w:val="24"/>
          <w:lang w:eastAsia="zh-CN"/>
        </w:rPr>
        <w:lastRenderedPageBreak/>
        <w:drawing>
          <wp:inline distT="0" distB="0" distL="0" distR="0" wp14:anchorId="21F4E967" wp14:editId="4BAAD0BC">
            <wp:extent cx="5943600" cy="1064215"/>
            <wp:effectExtent l="0" t="0" r="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1064215"/>
                    </a:xfrm>
                    <a:prstGeom prst="rect">
                      <a:avLst/>
                    </a:prstGeom>
                    <a:noFill/>
                  </pic:spPr>
                </pic:pic>
              </a:graphicData>
            </a:graphic>
          </wp:inline>
        </w:drawing>
      </w:r>
    </w:p>
    <w:p w14:paraId="0481E3F1" w14:textId="77777777" w:rsidR="0051390E" w:rsidRPr="006B24DA" w:rsidRDefault="0051390E" w:rsidP="003B13C7">
      <w:pPr>
        <w:pStyle w:val="a6"/>
        <w:shd w:val="clear" w:color="auto" w:fill="FFFFFF" w:themeFill="background1"/>
        <w:adjustRightInd w:val="0"/>
        <w:snapToGrid w:val="0"/>
        <w:spacing w:after="0" w:line="360" w:lineRule="auto"/>
        <w:ind w:left="0"/>
        <w:contextualSpacing w:val="0"/>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b/>
          <w:bCs/>
          <w:color w:val="000000" w:themeColor="text1"/>
          <w:sz w:val="24"/>
          <w:szCs w:val="24"/>
        </w:rPr>
        <w:t>Figure 11</w:t>
      </w:r>
      <w:r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b/>
          <w:bCs/>
          <w:color w:val="000000" w:themeColor="text1"/>
          <w:sz w:val="24"/>
          <w:szCs w:val="24"/>
        </w:rPr>
        <w:t xml:space="preserve">Per-oral endoscopic </w:t>
      </w:r>
      <w:proofErr w:type="spellStart"/>
      <w:r w:rsidRPr="006B24DA">
        <w:rPr>
          <w:rFonts w:ascii="Book Antiqua" w:eastAsia="Times New Roman" w:hAnsi="Book Antiqua" w:cs="Times New Roman"/>
          <w:b/>
          <w:bCs/>
          <w:color w:val="000000" w:themeColor="text1"/>
          <w:sz w:val="24"/>
          <w:szCs w:val="24"/>
        </w:rPr>
        <w:t>myotomy</w:t>
      </w:r>
      <w:proofErr w:type="spellEnd"/>
      <w:r w:rsidRPr="006B24DA">
        <w:rPr>
          <w:rFonts w:ascii="Book Antiqua" w:eastAsia="Times New Roman" w:hAnsi="Book Antiqua" w:cs="Times New Roman"/>
          <w:b/>
          <w:bCs/>
          <w:color w:val="000000" w:themeColor="text1"/>
          <w:sz w:val="24"/>
          <w:szCs w:val="24"/>
        </w:rPr>
        <w:t xml:space="preserve"> </w:t>
      </w:r>
      <w:proofErr w:type="gramStart"/>
      <w:r w:rsidRPr="006B24DA">
        <w:rPr>
          <w:rFonts w:ascii="Book Antiqua" w:eastAsia="Times New Roman" w:hAnsi="Book Antiqua" w:cs="Times New Roman"/>
          <w:b/>
          <w:bCs/>
          <w:color w:val="000000" w:themeColor="text1"/>
          <w:sz w:val="24"/>
          <w:szCs w:val="24"/>
        </w:rPr>
        <w:t>procedure</w:t>
      </w:r>
      <w:proofErr w:type="gramEnd"/>
      <w:r w:rsidRPr="006B24DA">
        <w:rPr>
          <w:rFonts w:ascii="Book Antiqua" w:eastAsia="Times New Roman" w:hAnsi="Book Antiqua" w:cs="Times New Roman"/>
          <w:b/>
          <w:bCs/>
          <w:color w:val="000000" w:themeColor="text1"/>
          <w:sz w:val="24"/>
          <w:szCs w:val="24"/>
        </w:rPr>
        <w:t xml:space="preserve"> on 43-year-old female with type 2 achalasia for 25 years, s/p prior failed Heller </w:t>
      </w:r>
      <w:proofErr w:type="spellStart"/>
      <w:r w:rsidRPr="006B24DA">
        <w:rPr>
          <w:rFonts w:ascii="Book Antiqua" w:eastAsia="Times New Roman" w:hAnsi="Book Antiqua" w:cs="Times New Roman"/>
          <w:b/>
          <w:bCs/>
          <w:color w:val="000000" w:themeColor="text1"/>
          <w:sz w:val="24"/>
          <w:szCs w:val="24"/>
        </w:rPr>
        <w:t>Myotomy</w:t>
      </w:r>
      <w:proofErr w:type="spellEnd"/>
      <w:r w:rsidRPr="006B24DA">
        <w:rPr>
          <w:rFonts w:ascii="Book Antiqua" w:eastAsia="Times New Roman" w:hAnsi="Book Antiqua" w:cs="Times New Roman"/>
          <w:b/>
          <w:bCs/>
          <w:color w:val="000000" w:themeColor="text1"/>
          <w:sz w:val="24"/>
          <w:szCs w:val="24"/>
        </w:rPr>
        <w:t xml:space="preserve"> and Botox injection.</w:t>
      </w:r>
      <w:r w:rsidRPr="006B24DA">
        <w:rPr>
          <w:rFonts w:ascii="Book Antiqua" w:eastAsia="Times New Roman" w:hAnsi="Book Antiqua" w:cs="Times New Roman"/>
          <w:color w:val="000000" w:themeColor="text1"/>
          <w:sz w:val="24"/>
          <w:szCs w:val="24"/>
        </w:rPr>
        <w:t xml:space="preserve"> A: Abundant submucosal vessels coagulated with stag beetle knife; B: Mucosal incision made in horizontal orientation facilitates closure with endoscopic suturing; C: Double layer suturing, starting with initial bite just left of incision, then middle and right; D: Second running suture from right to left for completion of double layer closure.</w:t>
      </w:r>
    </w:p>
    <w:p w14:paraId="061235BF"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br w:type="page"/>
      </w:r>
    </w:p>
    <w:p w14:paraId="03A4A5C6"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b/>
          <w:bCs/>
          <w:color w:val="000000" w:themeColor="text1"/>
          <w:sz w:val="24"/>
          <w:szCs w:val="24"/>
        </w:rPr>
      </w:pPr>
      <w:r w:rsidRPr="006B24DA">
        <w:rPr>
          <w:rFonts w:ascii="Book Antiqua" w:eastAsia="Times New Roman" w:hAnsi="Book Antiqua" w:cs="Times New Roman"/>
          <w:b/>
          <w:bCs/>
          <w:noProof/>
          <w:color w:val="000000" w:themeColor="text1"/>
          <w:sz w:val="24"/>
          <w:szCs w:val="24"/>
          <w:lang w:eastAsia="zh-CN"/>
        </w:rPr>
        <w:lastRenderedPageBreak/>
        <w:drawing>
          <wp:inline distT="0" distB="0" distL="0" distR="0" wp14:anchorId="73169E9A" wp14:editId="45CF5FC6">
            <wp:extent cx="5943600" cy="2640674"/>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2640674"/>
                    </a:xfrm>
                    <a:prstGeom prst="rect">
                      <a:avLst/>
                    </a:prstGeom>
                    <a:noFill/>
                  </pic:spPr>
                </pic:pic>
              </a:graphicData>
            </a:graphic>
          </wp:inline>
        </w:drawing>
      </w:r>
    </w:p>
    <w:p w14:paraId="5E78580C" w14:textId="139C3622"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b/>
          <w:bCs/>
          <w:color w:val="000000" w:themeColor="text1"/>
          <w:sz w:val="24"/>
          <w:szCs w:val="24"/>
        </w:rPr>
        <w:t>Figure 12</w:t>
      </w:r>
      <w:r w:rsidRPr="006B24DA">
        <w:rPr>
          <w:rFonts w:ascii="Book Antiqua" w:eastAsia="Times New Roman" w:hAnsi="Book Antiqua" w:cs="Times New Roman"/>
          <w:color w:val="000000" w:themeColor="text1"/>
          <w:sz w:val="24"/>
          <w:szCs w:val="24"/>
        </w:rPr>
        <w:t xml:space="preserve"> </w:t>
      </w:r>
      <w:proofErr w:type="spellStart"/>
      <w:r w:rsidRPr="006B24DA">
        <w:rPr>
          <w:rFonts w:ascii="Book Antiqua" w:eastAsia="Times New Roman" w:hAnsi="Book Antiqua" w:cs="Times New Roman"/>
          <w:b/>
          <w:color w:val="000000" w:themeColor="text1"/>
          <w:sz w:val="24"/>
          <w:szCs w:val="24"/>
        </w:rPr>
        <w:t>Zenker’s</w:t>
      </w:r>
      <w:proofErr w:type="spellEnd"/>
      <w:r w:rsidRPr="006B24DA">
        <w:rPr>
          <w:rFonts w:ascii="Book Antiqua" w:eastAsia="Times New Roman" w:hAnsi="Book Antiqua" w:cs="Times New Roman"/>
          <w:b/>
          <w:color w:val="000000" w:themeColor="text1"/>
          <w:sz w:val="24"/>
          <w:szCs w:val="24"/>
        </w:rPr>
        <w:t xml:space="preserve"> - per-oral endoscopic </w:t>
      </w:r>
      <w:proofErr w:type="spellStart"/>
      <w:r w:rsidRPr="006B24DA">
        <w:rPr>
          <w:rFonts w:ascii="Book Antiqua" w:eastAsia="Times New Roman" w:hAnsi="Book Antiqua" w:cs="Times New Roman"/>
          <w:b/>
          <w:color w:val="000000" w:themeColor="text1"/>
          <w:sz w:val="24"/>
          <w:szCs w:val="24"/>
        </w:rPr>
        <w:t>myotomy</w:t>
      </w:r>
      <w:proofErr w:type="spellEnd"/>
      <w:r w:rsidRPr="006B24DA">
        <w:rPr>
          <w:rFonts w:ascii="Book Antiqua" w:eastAsia="Times New Roman" w:hAnsi="Book Antiqua" w:cs="Times New Roman"/>
          <w:b/>
          <w:color w:val="000000" w:themeColor="text1"/>
          <w:sz w:val="24"/>
          <w:szCs w:val="24"/>
        </w:rPr>
        <w:t xml:space="preserve"> procedure in a 91-year-old female with 4-cm </w:t>
      </w:r>
      <w:proofErr w:type="spellStart"/>
      <w:r w:rsidRPr="006B24DA">
        <w:rPr>
          <w:rFonts w:ascii="Book Antiqua" w:eastAsia="Times New Roman" w:hAnsi="Book Antiqua" w:cs="Times New Roman"/>
          <w:b/>
          <w:color w:val="000000" w:themeColor="text1"/>
          <w:sz w:val="24"/>
          <w:szCs w:val="24"/>
        </w:rPr>
        <w:t>Zenker’s</w:t>
      </w:r>
      <w:proofErr w:type="spellEnd"/>
      <w:r w:rsidRPr="006B24DA">
        <w:rPr>
          <w:rFonts w:ascii="Book Antiqua" w:eastAsia="Times New Roman" w:hAnsi="Book Antiqua" w:cs="Times New Roman"/>
          <w:b/>
          <w:color w:val="000000" w:themeColor="text1"/>
          <w:sz w:val="24"/>
          <w:szCs w:val="24"/>
        </w:rPr>
        <w:t xml:space="preserve"> diverticulum and dysphagia, including solids, pills, and liquids. </w:t>
      </w:r>
      <w:r w:rsidRPr="006B24DA">
        <w:rPr>
          <w:rFonts w:ascii="Book Antiqua" w:eastAsia="Times New Roman" w:hAnsi="Book Antiqua" w:cs="Times New Roman"/>
          <w:bCs/>
          <w:color w:val="000000" w:themeColor="text1"/>
          <w:sz w:val="24"/>
          <w:szCs w:val="24"/>
        </w:rPr>
        <w:t>A:</w:t>
      </w:r>
      <w:r w:rsidRPr="006B24DA">
        <w:rPr>
          <w:rFonts w:ascii="Book Antiqua" w:eastAsia="Times New Roman" w:hAnsi="Book Antiqua" w:cs="Times New Roman"/>
          <w:color w:val="000000" w:themeColor="text1"/>
          <w:sz w:val="24"/>
          <w:szCs w:val="24"/>
        </w:rPr>
        <w:t xml:space="preserve"> Pre-</w:t>
      </w:r>
      <w:bookmarkStart w:id="205" w:name="OLE_LINK114"/>
      <w:r w:rsidRPr="006B24DA">
        <w:t xml:space="preserve"> </w:t>
      </w:r>
      <w:proofErr w:type="spellStart"/>
      <w:r w:rsidRPr="006B24DA">
        <w:rPr>
          <w:rFonts w:ascii="Book Antiqua" w:eastAsia="Times New Roman" w:hAnsi="Book Antiqua" w:cs="Times New Roman"/>
          <w:color w:val="000000" w:themeColor="text1"/>
          <w:sz w:val="24"/>
          <w:szCs w:val="24"/>
        </w:rPr>
        <w:t>Zenker’s</w:t>
      </w:r>
      <w:proofErr w:type="spellEnd"/>
      <w:r w:rsidRPr="006B24DA">
        <w:rPr>
          <w:rFonts w:ascii="Book Antiqua" w:eastAsia="Times New Roman" w:hAnsi="Book Antiqua" w:cs="Times New Roman"/>
          <w:color w:val="000000" w:themeColor="text1"/>
          <w:sz w:val="24"/>
          <w:szCs w:val="24"/>
        </w:rPr>
        <w:t xml:space="preserve"> - per-oral endoscopic </w:t>
      </w:r>
      <w:proofErr w:type="spellStart"/>
      <w:r w:rsidRPr="006B24DA">
        <w:rPr>
          <w:rFonts w:ascii="Book Antiqua" w:eastAsia="Times New Roman" w:hAnsi="Book Antiqua" w:cs="Times New Roman"/>
          <w:color w:val="000000" w:themeColor="text1"/>
          <w:sz w:val="24"/>
          <w:szCs w:val="24"/>
        </w:rPr>
        <w:t>myotomy</w:t>
      </w:r>
      <w:proofErr w:type="spellEnd"/>
      <w:r w:rsidRPr="006B24DA">
        <w:rPr>
          <w:rFonts w:ascii="Book Antiqua" w:eastAsia="Times New Roman" w:hAnsi="Book Antiqua" w:cs="Times New Roman"/>
          <w:color w:val="000000" w:themeColor="text1"/>
          <w:sz w:val="24"/>
          <w:szCs w:val="24"/>
        </w:rPr>
        <w:t xml:space="preserve"> procedure (Z-POEM</w:t>
      </w:r>
      <w:bookmarkEnd w:id="205"/>
      <w:r w:rsidRPr="006B24DA">
        <w:rPr>
          <w:rFonts w:ascii="Book Antiqua" w:eastAsia="Times New Roman" w:hAnsi="Book Antiqua" w:cs="Times New Roman"/>
          <w:color w:val="000000" w:themeColor="text1"/>
          <w:sz w:val="24"/>
          <w:szCs w:val="24"/>
        </w:rPr>
        <w:t xml:space="preserve">) </w:t>
      </w:r>
      <w:proofErr w:type="spellStart"/>
      <w:r w:rsidRPr="006B24DA">
        <w:rPr>
          <w:rFonts w:ascii="Book Antiqua" w:eastAsia="Times New Roman" w:hAnsi="Book Antiqua" w:cs="Times New Roman"/>
          <w:color w:val="000000" w:themeColor="text1"/>
          <w:sz w:val="24"/>
          <w:szCs w:val="24"/>
        </w:rPr>
        <w:t>esophagram</w:t>
      </w:r>
      <w:proofErr w:type="spellEnd"/>
      <w:r w:rsidRPr="006B24DA">
        <w:rPr>
          <w:rFonts w:ascii="Book Antiqua" w:eastAsia="Times New Roman" w:hAnsi="Book Antiqua" w:cs="Times New Roman"/>
          <w:color w:val="000000" w:themeColor="text1"/>
          <w:sz w:val="24"/>
          <w:szCs w:val="24"/>
        </w:rPr>
        <w:t xml:space="preserve"> showing 4.3 cm </w:t>
      </w:r>
      <w:bookmarkStart w:id="206" w:name="OLE_LINK126"/>
      <w:proofErr w:type="spellStart"/>
      <w:r w:rsidRPr="006B24DA">
        <w:rPr>
          <w:rFonts w:ascii="Book Antiqua" w:eastAsia="Times New Roman" w:hAnsi="Book Antiqua" w:cs="Times New Roman"/>
          <w:color w:val="000000" w:themeColor="text1"/>
          <w:sz w:val="24"/>
          <w:szCs w:val="24"/>
        </w:rPr>
        <w:t>Zenker’s</w:t>
      </w:r>
      <w:bookmarkEnd w:id="206"/>
      <w:proofErr w:type="spellEnd"/>
      <w:r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bCs/>
          <w:color w:val="000000" w:themeColor="text1"/>
          <w:sz w:val="24"/>
          <w:szCs w:val="24"/>
        </w:rPr>
        <w:t>B:</w:t>
      </w:r>
      <w:r w:rsidRPr="006B24DA">
        <w:rPr>
          <w:rFonts w:ascii="Book Antiqua" w:eastAsia="Times New Roman" w:hAnsi="Book Antiqua" w:cs="Times New Roman"/>
          <w:color w:val="000000" w:themeColor="text1"/>
          <w:sz w:val="24"/>
          <w:szCs w:val="24"/>
        </w:rPr>
        <w:t xml:space="preserve"> Septum identified, with diverticulum on left, and esophageal lumen on right; </w:t>
      </w:r>
      <w:r w:rsidRPr="006B24DA">
        <w:rPr>
          <w:rFonts w:ascii="Book Antiqua" w:eastAsia="Times New Roman" w:hAnsi="Book Antiqua" w:cs="Times New Roman"/>
          <w:bCs/>
          <w:color w:val="000000" w:themeColor="text1"/>
          <w:sz w:val="24"/>
          <w:szCs w:val="24"/>
        </w:rPr>
        <w:t>C:</w:t>
      </w:r>
      <w:r w:rsidRPr="006B24DA">
        <w:rPr>
          <w:rFonts w:ascii="Book Antiqua" w:eastAsia="Times New Roman" w:hAnsi="Book Antiqua" w:cs="Times New Roman"/>
          <w:color w:val="000000" w:themeColor="text1"/>
          <w:sz w:val="24"/>
          <w:szCs w:val="24"/>
        </w:rPr>
        <w:t xml:space="preserve"> Start of mucosal incision (horizontal) over the septum;</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bCs/>
          <w:color w:val="000000" w:themeColor="text1"/>
          <w:sz w:val="24"/>
          <w:szCs w:val="24"/>
        </w:rPr>
        <w:t>D:</w:t>
      </w:r>
      <w:r w:rsidRPr="006B24DA">
        <w:rPr>
          <w:rFonts w:ascii="Book Antiqua" w:eastAsia="Times New Roman" w:hAnsi="Book Antiqua" w:cs="Times New Roman"/>
          <w:color w:val="000000" w:themeColor="text1"/>
          <w:sz w:val="24"/>
          <w:szCs w:val="24"/>
        </w:rPr>
        <w:t xml:space="preserve"> Mucosal incision completed with exposure of </w:t>
      </w:r>
      <w:proofErr w:type="spellStart"/>
      <w:r w:rsidRPr="006B24DA">
        <w:rPr>
          <w:rFonts w:ascii="Book Antiqua" w:eastAsia="Times New Roman" w:hAnsi="Book Antiqua" w:cs="Times New Roman"/>
          <w:color w:val="000000" w:themeColor="text1"/>
          <w:sz w:val="24"/>
          <w:szCs w:val="24"/>
        </w:rPr>
        <w:t>cricopharyngeus</w:t>
      </w:r>
      <w:proofErr w:type="spellEnd"/>
      <w:r w:rsidRPr="006B24DA">
        <w:rPr>
          <w:rFonts w:ascii="Book Antiqua" w:eastAsia="Times New Roman" w:hAnsi="Book Antiqua" w:cs="Times New Roman"/>
          <w:color w:val="000000" w:themeColor="text1"/>
          <w:sz w:val="24"/>
          <w:szCs w:val="24"/>
        </w:rPr>
        <w:t xml:space="preserve"> muscle (CPM);</w:t>
      </w:r>
      <w:r w:rsidR="00820109">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bCs/>
          <w:color w:val="000000" w:themeColor="text1"/>
          <w:sz w:val="24"/>
          <w:szCs w:val="24"/>
        </w:rPr>
        <w:t>E:</w:t>
      </w:r>
      <w:r w:rsidRPr="006B24DA">
        <w:rPr>
          <w:rFonts w:ascii="Book Antiqua" w:eastAsia="Times New Roman" w:hAnsi="Book Antiqua" w:cs="Times New Roman"/>
          <w:color w:val="000000" w:themeColor="text1"/>
          <w:sz w:val="24"/>
          <w:szCs w:val="24"/>
        </w:rPr>
        <w:t xml:space="preserve"> Submucosal tunnel on each side of the CPM; </w:t>
      </w:r>
      <w:r w:rsidRPr="006B24DA">
        <w:rPr>
          <w:rFonts w:ascii="Book Antiqua" w:eastAsia="Times New Roman" w:hAnsi="Book Antiqua" w:cs="Times New Roman"/>
          <w:bCs/>
          <w:color w:val="000000" w:themeColor="text1"/>
          <w:sz w:val="24"/>
          <w:szCs w:val="24"/>
        </w:rPr>
        <w:t>F:</w:t>
      </w:r>
      <w:r w:rsidRPr="006B24DA">
        <w:rPr>
          <w:rFonts w:ascii="Book Antiqua" w:eastAsia="Times New Roman" w:hAnsi="Book Antiqua" w:cs="Times New Roman"/>
          <w:color w:val="000000" w:themeColor="text1"/>
          <w:sz w:val="24"/>
          <w:szCs w:val="24"/>
        </w:rPr>
        <w:t xml:space="preserve"> Near completion of </w:t>
      </w:r>
      <w:proofErr w:type="spellStart"/>
      <w:r w:rsidRPr="006B24DA">
        <w:rPr>
          <w:rFonts w:ascii="Book Antiqua" w:eastAsia="Times New Roman" w:hAnsi="Book Antiqua" w:cs="Times New Roman"/>
          <w:color w:val="000000" w:themeColor="text1"/>
          <w:sz w:val="24"/>
          <w:szCs w:val="24"/>
        </w:rPr>
        <w:t>myotomy</w:t>
      </w:r>
      <w:proofErr w:type="spellEnd"/>
      <w:r w:rsidRPr="006B24DA">
        <w:rPr>
          <w:rFonts w:ascii="Book Antiqua" w:eastAsia="Times New Roman" w:hAnsi="Book Antiqua" w:cs="Times New Roman"/>
          <w:color w:val="000000" w:themeColor="text1"/>
          <w:sz w:val="24"/>
          <w:szCs w:val="24"/>
        </w:rPr>
        <w:t>;</w:t>
      </w:r>
      <w:r w:rsidR="00820109">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bCs/>
          <w:color w:val="000000" w:themeColor="text1"/>
          <w:sz w:val="24"/>
          <w:szCs w:val="24"/>
        </w:rPr>
        <w:t>G:</w:t>
      </w:r>
      <w:r w:rsidR="00820109">
        <w:rPr>
          <w:rFonts w:ascii="Book Antiqua" w:eastAsia="Times New Roman" w:hAnsi="Book Antiqua" w:cs="Times New Roman"/>
          <w:bCs/>
          <w:color w:val="000000" w:themeColor="text1"/>
          <w:sz w:val="24"/>
          <w:szCs w:val="24"/>
        </w:rPr>
        <w:t xml:space="preserve"> </w:t>
      </w:r>
      <w:r w:rsidRPr="006B24DA">
        <w:rPr>
          <w:rFonts w:ascii="Book Antiqua" w:eastAsia="Times New Roman" w:hAnsi="Book Antiqua" w:cs="Times New Roman"/>
          <w:color w:val="000000" w:themeColor="text1"/>
          <w:sz w:val="24"/>
          <w:szCs w:val="24"/>
        </w:rPr>
        <w:t xml:space="preserve">Mucosal closure with 5 clips; </w:t>
      </w:r>
      <w:r w:rsidRPr="006B24DA">
        <w:rPr>
          <w:rFonts w:ascii="Book Antiqua" w:eastAsia="Times New Roman" w:hAnsi="Book Antiqua" w:cs="Times New Roman"/>
          <w:bCs/>
          <w:color w:val="000000" w:themeColor="text1"/>
          <w:sz w:val="24"/>
          <w:szCs w:val="24"/>
        </w:rPr>
        <w:t>H:</w:t>
      </w:r>
      <w:r w:rsidRPr="006B24DA">
        <w:rPr>
          <w:rFonts w:ascii="Book Antiqua" w:eastAsia="Times New Roman" w:hAnsi="Book Antiqua" w:cs="Times New Roman"/>
          <w:color w:val="000000" w:themeColor="text1"/>
          <w:sz w:val="24"/>
          <w:szCs w:val="24"/>
        </w:rPr>
        <w:t xml:space="preserve"> Follow-up </w:t>
      </w:r>
      <w:proofErr w:type="spellStart"/>
      <w:r w:rsidRPr="006B24DA">
        <w:rPr>
          <w:rFonts w:ascii="Book Antiqua" w:eastAsia="Times New Roman" w:hAnsi="Book Antiqua" w:cs="Times New Roman"/>
          <w:color w:val="000000" w:themeColor="text1"/>
          <w:sz w:val="24"/>
          <w:szCs w:val="24"/>
        </w:rPr>
        <w:t>esophagram</w:t>
      </w:r>
      <w:proofErr w:type="spellEnd"/>
      <w:r w:rsidRPr="006B24DA">
        <w:rPr>
          <w:rFonts w:ascii="Book Antiqua" w:eastAsia="Times New Roman" w:hAnsi="Book Antiqua" w:cs="Times New Roman"/>
          <w:color w:val="000000" w:themeColor="text1"/>
          <w:sz w:val="24"/>
          <w:szCs w:val="24"/>
        </w:rPr>
        <w:t xml:space="preserve"> 2 </w:t>
      </w:r>
      <w:proofErr w:type="spellStart"/>
      <w:r w:rsidRPr="006B24DA">
        <w:rPr>
          <w:rFonts w:ascii="Book Antiqua" w:eastAsia="Times New Roman" w:hAnsi="Book Antiqua" w:cs="Times New Roman"/>
          <w:color w:val="000000" w:themeColor="text1"/>
          <w:sz w:val="24"/>
          <w:szCs w:val="24"/>
        </w:rPr>
        <w:t>mo</w:t>
      </w:r>
      <w:proofErr w:type="spellEnd"/>
      <w:r w:rsidRPr="006B24DA">
        <w:rPr>
          <w:rFonts w:ascii="Book Antiqua" w:eastAsia="Times New Roman" w:hAnsi="Book Antiqua" w:cs="Times New Roman"/>
          <w:color w:val="000000" w:themeColor="text1"/>
          <w:sz w:val="24"/>
          <w:szCs w:val="24"/>
        </w:rPr>
        <w:t xml:space="preserve"> post Z-POEM, contrast flows freely, and patient has complete resolution of dysphagia.</w:t>
      </w:r>
    </w:p>
    <w:p w14:paraId="49D6AA43"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br w:type="page"/>
      </w:r>
    </w:p>
    <w:p w14:paraId="4B4EA761"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noProof/>
          <w:color w:val="000000" w:themeColor="text1"/>
          <w:sz w:val="24"/>
          <w:szCs w:val="24"/>
          <w:lang w:eastAsia="zh-CN"/>
        </w:rPr>
        <w:lastRenderedPageBreak/>
        <w:drawing>
          <wp:inline distT="0" distB="0" distL="0" distR="0" wp14:anchorId="3F9A0313" wp14:editId="1274C912">
            <wp:extent cx="5486400" cy="2568821"/>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2568821"/>
                    </a:xfrm>
                    <a:prstGeom prst="rect">
                      <a:avLst/>
                    </a:prstGeom>
                    <a:noFill/>
                    <a:ln>
                      <a:noFill/>
                    </a:ln>
                  </pic:spPr>
                </pic:pic>
              </a:graphicData>
            </a:graphic>
          </wp:inline>
        </w:drawing>
      </w:r>
    </w:p>
    <w:p w14:paraId="23780251" w14:textId="00816116"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b/>
          <w:bCs/>
          <w:color w:val="000000" w:themeColor="text1"/>
          <w:sz w:val="24"/>
          <w:szCs w:val="24"/>
        </w:rPr>
        <w:t>Figure 13</w:t>
      </w:r>
      <w:r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b/>
          <w:bCs/>
          <w:color w:val="000000" w:themeColor="text1"/>
          <w:sz w:val="24"/>
          <w:szCs w:val="24"/>
        </w:rPr>
        <w:t xml:space="preserve">Photodynamic therapy in a patient with Barrett’s esophagus and high grade dysplasia, </w:t>
      </w:r>
      <w:r w:rsidR="00C45F79" w:rsidRPr="006B24DA">
        <w:rPr>
          <w:rFonts w:ascii="Book Antiqua" w:eastAsia="Times New Roman" w:hAnsi="Book Antiqua" w:cs="Times New Roman"/>
          <w:b/>
          <w:bCs/>
          <w:color w:val="000000" w:themeColor="text1"/>
          <w:sz w:val="24"/>
          <w:szCs w:val="24"/>
        </w:rPr>
        <w:t>performed by Dr. Chang and assistant (who consent</w:t>
      </w:r>
      <w:r w:rsidR="55E562AC" w:rsidRPr="006B24DA">
        <w:rPr>
          <w:rFonts w:ascii="Book Antiqua" w:eastAsia="Times New Roman" w:hAnsi="Book Antiqua" w:cs="Times New Roman"/>
          <w:b/>
          <w:bCs/>
          <w:color w:val="000000" w:themeColor="text1"/>
          <w:sz w:val="24"/>
          <w:szCs w:val="24"/>
        </w:rPr>
        <w:t>ed</w:t>
      </w:r>
      <w:r w:rsidR="00C943DE" w:rsidRPr="006B24DA">
        <w:rPr>
          <w:rFonts w:ascii="Book Antiqua" w:eastAsia="Times New Roman" w:hAnsi="Book Antiqua" w:cs="Times New Roman"/>
          <w:b/>
          <w:bCs/>
          <w:color w:val="000000" w:themeColor="text1"/>
          <w:sz w:val="24"/>
          <w:szCs w:val="24"/>
        </w:rPr>
        <w:t xml:space="preserve"> to publishing this figure)</w:t>
      </w:r>
      <w:r w:rsidR="00C45F79" w:rsidRPr="006B24DA">
        <w:rPr>
          <w:rFonts w:ascii="Book Antiqua" w:eastAsia="Times New Roman" w:hAnsi="Book Antiqua" w:cs="Times New Roman"/>
          <w:b/>
          <w:bCs/>
          <w:color w:val="000000" w:themeColor="text1"/>
          <w:sz w:val="24"/>
          <w:szCs w:val="24"/>
        </w:rPr>
        <w:t xml:space="preserve">; </w:t>
      </w:r>
      <w:r w:rsidRPr="006B24DA">
        <w:rPr>
          <w:rFonts w:ascii="Book Antiqua" w:eastAsia="Times New Roman" w:hAnsi="Book Antiqua" w:cs="Times New Roman"/>
          <w:b/>
          <w:bCs/>
          <w:color w:val="000000" w:themeColor="text1"/>
          <w:sz w:val="24"/>
          <w:szCs w:val="24"/>
        </w:rPr>
        <w:t>photo taken in 1997.</w:t>
      </w:r>
      <w:r w:rsidR="002A29F4" w:rsidRPr="006B24DA">
        <w:rPr>
          <w:rFonts w:ascii="Book Antiqua" w:eastAsia="Times New Roman" w:hAnsi="Book Antiqua" w:cs="Times New Roman"/>
          <w:b/>
          <w:bCs/>
          <w:color w:val="000000" w:themeColor="text1"/>
          <w:sz w:val="24"/>
          <w:szCs w:val="24"/>
        </w:rPr>
        <w:t xml:space="preserve"> </w:t>
      </w:r>
      <w:r w:rsidRPr="006B24DA">
        <w:rPr>
          <w:rFonts w:ascii="Book Antiqua" w:eastAsia="Times New Roman" w:hAnsi="Book Antiqua" w:cs="Times New Roman"/>
          <w:color w:val="000000" w:themeColor="text1"/>
          <w:sz w:val="24"/>
          <w:szCs w:val="24"/>
        </w:rPr>
        <w:t xml:space="preserve">A: Endoscopic image of 4 cm </w:t>
      </w:r>
      <w:bookmarkStart w:id="207" w:name="OLE_LINK115"/>
      <w:bookmarkStart w:id="208" w:name="OLE_LINK116"/>
      <w:r w:rsidRPr="006B24DA">
        <w:rPr>
          <w:rFonts w:ascii="Book Antiqua" w:eastAsia="Times New Roman" w:hAnsi="Book Antiqua" w:cs="Times New Roman"/>
          <w:color w:val="000000" w:themeColor="text1"/>
          <w:sz w:val="24"/>
          <w:szCs w:val="24"/>
        </w:rPr>
        <w:t>Barrett’s esophagus</w:t>
      </w:r>
      <w:bookmarkEnd w:id="207"/>
      <w:bookmarkEnd w:id="208"/>
      <w:r w:rsidRPr="006B24DA">
        <w:rPr>
          <w:rFonts w:ascii="Book Antiqua" w:eastAsia="Times New Roman" w:hAnsi="Book Antiqua" w:cs="Times New Roman"/>
          <w:color w:val="000000" w:themeColor="text1"/>
          <w:sz w:val="24"/>
          <w:szCs w:val="24"/>
        </w:rPr>
        <w:t xml:space="preserve"> (BE) with high grade dysplasia (HGD); B: </w:t>
      </w:r>
      <w:proofErr w:type="spellStart"/>
      <w:r w:rsidRPr="006B24DA">
        <w:rPr>
          <w:rFonts w:ascii="Book Antiqua" w:eastAsia="Times New Roman" w:hAnsi="Book Antiqua" w:cs="Times New Roman"/>
          <w:color w:val="000000" w:themeColor="text1"/>
          <w:sz w:val="24"/>
          <w:szCs w:val="24"/>
        </w:rPr>
        <w:t>Photoactivation</w:t>
      </w:r>
      <w:proofErr w:type="spellEnd"/>
      <w:r w:rsidRPr="006B24DA">
        <w:rPr>
          <w:rFonts w:ascii="Book Antiqua" w:eastAsia="Times New Roman" w:hAnsi="Book Antiqua" w:cs="Times New Roman"/>
          <w:color w:val="000000" w:themeColor="text1"/>
          <w:sz w:val="24"/>
          <w:szCs w:val="24"/>
        </w:rPr>
        <w:t xml:space="preserve"> of </w:t>
      </w:r>
      <w:proofErr w:type="spellStart"/>
      <w:r w:rsidRPr="006B24DA">
        <w:rPr>
          <w:rFonts w:ascii="Book Antiqua" w:eastAsia="Times New Roman" w:hAnsi="Book Antiqua" w:cs="Times New Roman"/>
          <w:color w:val="000000" w:themeColor="text1"/>
          <w:sz w:val="24"/>
          <w:szCs w:val="24"/>
        </w:rPr>
        <w:t>photofrin</w:t>
      </w:r>
      <w:proofErr w:type="spellEnd"/>
      <w:r w:rsidRPr="006B24DA">
        <w:rPr>
          <w:rFonts w:ascii="Book Antiqua" w:eastAsia="Times New Roman" w:hAnsi="Book Antiqua" w:cs="Times New Roman"/>
          <w:color w:val="000000" w:themeColor="text1"/>
          <w:sz w:val="24"/>
          <w:szCs w:val="24"/>
        </w:rPr>
        <w:t xml:space="preserve"> with 630 nm diffuser fiber; C: Room view of diffuser fiber advanced through endoscope; D: Forty-eight hours post photodynamic therapy - endoscopic view of mucosal necrosis; E: Complete eradication of BE and HGD with mild stricture.</w:t>
      </w:r>
    </w:p>
    <w:p w14:paraId="4DFD9B3E"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br w:type="page"/>
      </w:r>
    </w:p>
    <w:p w14:paraId="15396DBF"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noProof/>
          <w:color w:val="000000" w:themeColor="text1"/>
          <w:sz w:val="24"/>
          <w:szCs w:val="24"/>
          <w:lang w:eastAsia="zh-CN"/>
        </w:rPr>
        <w:lastRenderedPageBreak/>
        <w:drawing>
          <wp:inline distT="0" distB="0" distL="0" distR="0" wp14:anchorId="255270DC" wp14:editId="66C08009">
            <wp:extent cx="4572000" cy="1543692"/>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72000" cy="1543692"/>
                    </a:xfrm>
                    <a:prstGeom prst="rect">
                      <a:avLst/>
                    </a:prstGeom>
                    <a:noFill/>
                  </pic:spPr>
                </pic:pic>
              </a:graphicData>
            </a:graphic>
          </wp:inline>
        </w:drawing>
      </w:r>
    </w:p>
    <w:p w14:paraId="5733F228"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b/>
          <w:bCs/>
          <w:color w:val="000000" w:themeColor="text1"/>
          <w:sz w:val="24"/>
          <w:szCs w:val="24"/>
        </w:rPr>
        <w:t>Figure 14</w:t>
      </w:r>
      <w:r w:rsidRPr="006B24DA">
        <w:rPr>
          <w:rFonts w:ascii="Book Antiqua" w:eastAsia="Times New Roman" w:hAnsi="Book Antiqua" w:cs="Times New Roman"/>
          <w:b/>
          <w:color w:val="000000" w:themeColor="text1"/>
          <w:sz w:val="24"/>
          <w:szCs w:val="24"/>
        </w:rPr>
        <w:t xml:space="preserve"> ND</w:t>
      </w:r>
      <w:proofErr w:type="gramStart"/>
      <w:r w:rsidRPr="006B24DA">
        <w:rPr>
          <w:rFonts w:ascii="Book Antiqua" w:eastAsia="Times New Roman" w:hAnsi="Book Antiqua" w:cs="Times New Roman"/>
          <w:b/>
          <w:color w:val="000000" w:themeColor="text1"/>
          <w:sz w:val="24"/>
          <w:szCs w:val="24"/>
        </w:rPr>
        <w:t>:YAG</w:t>
      </w:r>
      <w:proofErr w:type="gramEnd"/>
      <w:r w:rsidRPr="006B24DA">
        <w:rPr>
          <w:rFonts w:ascii="Book Antiqua" w:eastAsia="Times New Roman" w:hAnsi="Book Antiqua" w:cs="Times New Roman"/>
          <w:b/>
          <w:color w:val="000000" w:themeColor="text1"/>
          <w:sz w:val="24"/>
          <w:szCs w:val="24"/>
        </w:rPr>
        <w:t xml:space="preserve"> laser for treatment of Barrett’s esophagus with low grade dysplasia. </w:t>
      </w:r>
      <w:r w:rsidRPr="006B24DA">
        <w:rPr>
          <w:rFonts w:ascii="Book Antiqua" w:eastAsia="Times New Roman" w:hAnsi="Book Antiqua" w:cs="Times New Roman"/>
          <w:bCs/>
          <w:color w:val="000000" w:themeColor="text1"/>
          <w:sz w:val="24"/>
          <w:szCs w:val="24"/>
        </w:rPr>
        <w:t>A:</w:t>
      </w:r>
      <w:r w:rsidRPr="006B24DA">
        <w:rPr>
          <w:rFonts w:ascii="Book Antiqua" w:eastAsia="Times New Roman" w:hAnsi="Book Antiqua" w:cs="Times New Roman"/>
          <w:color w:val="000000" w:themeColor="text1"/>
          <w:sz w:val="24"/>
          <w:szCs w:val="24"/>
        </w:rPr>
        <w:t xml:space="preserve"> Endoscopy showing sapphire contact probe back-loaded into scope channel; </w:t>
      </w:r>
      <w:r w:rsidRPr="006B24DA">
        <w:rPr>
          <w:rFonts w:ascii="Book Antiqua" w:eastAsia="Times New Roman" w:hAnsi="Book Antiqua" w:cs="Times New Roman"/>
          <w:bCs/>
          <w:color w:val="000000" w:themeColor="text1"/>
          <w:sz w:val="24"/>
          <w:szCs w:val="24"/>
        </w:rPr>
        <w:t>B:</w:t>
      </w:r>
      <w:r w:rsidRPr="006B24DA">
        <w:rPr>
          <w:rFonts w:ascii="Book Antiqua" w:eastAsia="Times New Roman" w:hAnsi="Book Antiqua" w:cs="Times New Roman"/>
          <w:color w:val="000000" w:themeColor="text1"/>
          <w:sz w:val="24"/>
          <w:szCs w:val="24"/>
        </w:rPr>
        <w:t xml:space="preserve"> Focal ablation of Barrett’s esophagus using ND</w:t>
      </w:r>
      <w:proofErr w:type="gramStart"/>
      <w:r w:rsidRPr="006B24DA">
        <w:rPr>
          <w:rFonts w:ascii="Book Antiqua" w:eastAsia="Times New Roman" w:hAnsi="Book Antiqua" w:cs="Times New Roman"/>
          <w:color w:val="000000" w:themeColor="text1"/>
          <w:sz w:val="24"/>
          <w:szCs w:val="24"/>
        </w:rPr>
        <w:t>:YAG</w:t>
      </w:r>
      <w:proofErr w:type="gramEnd"/>
      <w:r w:rsidRPr="006B24DA">
        <w:rPr>
          <w:rFonts w:ascii="Book Antiqua" w:eastAsia="Times New Roman" w:hAnsi="Book Antiqua" w:cs="Times New Roman"/>
          <w:color w:val="000000" w:themeColor="text1"/>
          <w:sz w:val="24"/>
          <w:szCs w:val="24"/>
        </w:rPr>
        <w:t xml:space="preserve"> contact probe.</w:t>
      </w:r>
    </w:p>
    <w:p w14:paraId="7EDDC417"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br w:type="page"/>
      </w:r>
    </w:p>
    <w:p w14:paraId="1CB8A536"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p>
    <w:p w14:paraId="72A6D005"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noProof/>
          <w:color w:val="000000" w:themeColor="text1"/>
          <w:sz w:val="24"/>
          <w:szCs w:val="24"/>
          <w:lang w:eastAsia="zh-CN"/>
        </w:rPr>
        <w:drawing>
          <wp:inline distT="0" distB="0" distL="0" distR="0" wp14:anchorId="01FCCA7E" wp14:editId="59F0E27E">
            <wp:extent cx="5943600" cy="358230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3582305"/>
                    </a:xfrm>
                    <a:prstGeom prst="rect">
                      <a:avLst/>
                    </a:prstGeom>
                    <a:noFill/>
                  </pic:spPr>
                </pic:pic>
              </a:graphicData>
            </a:graphic>
          </wp:inline>
        </w:drawing>
      </w:r>
    </w:p>
    <w:p w14:paraId="048753FE" w14:textId="26C9A06E"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b/>
          <w:bCs/>
          <w:color w:val="000000" w:themeColor="text1"/>
          <w:sz w:val="24"/>
          <w:szCs w:val="24"/>
        </w:rPr>
        <w:t xml:space="preserve">Figure </w:t>
      </w:r>
      <w:proofErr w:type="gramStart"/>
      <w:r w:rsidRPr="006B24DA">
        <w:rPr>
          <w:rFonts w:ascii="Book Antiqua" w:eastAsia="Times New Roman" w:hAnsi="Book Antiqua" w:cs="Times New Roman"/>
          <w:b/>
          <w:bCs/>
          <w:color w:val="000000" w:themeColor="text1"/>
          <w:sz w:val="24"/>
          <w:szCs w:val="24"/>
        </w:rPr>
        <w:t>15</w:t>
      </w:r>
      <w:r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b/>
          <w:color w:val="000000" w:themeColor="text1"/>
          <w:sz w:val="24"/>
          <w:szCs w:val="24"/>
        </w:rPr>
        <w:t>Radiofrequency ablation for Barrett</w:t>
      </w:r>
      <w:proofErr w:type="gramEnd"/>
      <w:r w:rsidRPr="006B24DA">
        <w:rPr>
          <w:rFonts w:ascii="Book Antiqua" w:eastAsia="Times New Roman" w:hAnsi="Book Antiqua" w:cs="Times New Roman"/>
          <w:b/>
          <w:color w:val="000000" w:themeColor="text1"/>
          <w:sz w:val="24"/>
          <w:szCs w:val="24"/>
        </w:rPr>
        <w:t xml:space="preserve">’s using focal device (Halo90), photo taken in 2004. </w:t>
      </w:r>
      <w:r w:rsidRPr="006B24DA">
        <w:rPr>
          <w:rFonts w:ascii="Book Antiqua" w:eastAsia="Times New Roman" w:hAnsi="Book Antiqua" w:cs="Times New Roman"/>
          <w:bCs/>
          <w:color w:val="000000" w:themeColor="text1"/>
          <w:sz w:val="24"/>
          <w:szCs w:val="24"/>
        </w:rPr>
        <w:t>A:</w:t>
      </w:r>
      <w:r w:rsidRPr="006B24DA">
        <w:rPr>
          <w:rFonts w:ascii="Book Antiqua" w:eastAsia="Times New Roman" w:hAnsi="Book Antiqua" w:cs="Times New Roman"/>
          <w:color w:val="000000" w:themeColor="text1"/>
          <w:sz w:val="24"/>
          <w:szCs w:val="24"/>
        </w:rPr>
        <w:t xml:space="preserve"> Prototype focal ablation device; </w:t>
      </w:r>
      <w:r w:rsidRPr="006B24DA">
        <w:rPr>
          <w:rFonts w:ascii="Book Antiqua" w:eastAsia="Times New Roman" w:hAnsi="Book Antiqua" w:cs="Times New Roman"/>
          <w:bCs/>
          <w:color w:val="000000" w:themeColor="text1"/>
          <w:sz w:val="24"/>
          <w:szCs w:val="24"/>
        </w:rPr>
        <w:t>B:</w:t>
      </w:r>
      <w:r w:rsidRPr="006B24DA">
        <w:rPr>
          <w:rFonts w:ascii="Book Antiqua" w:eastAsia="Times New Roman" w:hAnsi="Book Antiqua" w:cs="Times New Roman"/>
          <w:color w:val="000000" w:themeColor="text1"/>
          <w:sz w:val="24"/>
          <w:szCs w:val="24"/>
        </w:rPr>
        <w:t xml:space="preserve"> </w:t>
      </w:r>
      <w:r w:rsidR="00FD13E2" w:rsidRPr="006B24DA">
        <w:rPr>
          <w:rFonts w:ascii="Book Antiqua" w:eastAsia="Times New Roman" w:hAnsi="Book Antiqua" w:cs="Times New Roman"/>
          <w:color w:val="000000" w:themeColor="text1"/>
          <w:sz w:val="24"/>
          <w:szCs w:val="24"/>
        </w:rPr>
        <w:t>Dr. Chang w</w:t>
      </w:r>
      <w:r w:rsidRPr="006B24DA">
        <w:rPr>
          <w:rFonts w:ascii="Book Antiqua" w:eastAsia="Times New Roman" w:hAnsi="Book Antiqua" w:cs="Times New Roman"/>
          <w:color w:val="000000" w:themeColor="text1"/>
          <w:sz w:val="24"/>
          <w:szCs w:val="24"/>
        </w:rPr>
        <w:t xml:space="preserve">orking closely with Medical Director of </w:t>
      </w:r>
      <w:proofErr w:type="spellStart"/>
      <w:r w:rsidRPr="006B24DA">
        <w:rPr>
          <w:rFonts w:ascii="Book Antiqua" w:eastAsia="Times New Roman" w:hAnsi="Book Antiqua" w:cs="Times New Roman"/>
          <w:color w:val="000000" w:themeColor="text1"/>
          <w:sz w:val="24"/>
          <w:szCs w:val="24"/>
        </w:rPr>
        <w:t>Barrx</w:t>
      </w:r>
      <w:proofErr w:type="spellEnd"/>
      <w:r w:rsidRPr="006B24DA">
        <w:rPr>
          <w:rFonts w:ascii="Book Antiqua" w:eastAsia="Times New Roman" w:hAnsi="Book Antiqua" w:cs="Times New Roman"/>
          <w:color w:val="000000" w:themeColor="text1"/>
          <w:sz w:val="24"/>
          <w:szCs w:val="24"/>
        </w:rPr>
        <w:t xml:space="preserve"> Medical, Dr. David Utley, to refine technical aspects of focal device; </w:t>
      </w:r>
      <w:r w:rsidRPr="006B24DA">
        <w:rPr>
          <w:rFonts w:ascii="Book Antiqua" w:eastAsia="Times New Roman" w:hAnsi="Book Antiqua" w:cs="Times New Roman"/>
          <w:bCs/>
          <w:color w:val="000000" w:themeColor="text1"/>
          <w:sz w:val="24"/>
          <w:szCs w:val="24"/>
        </w:rPr>
        <w:t>C:</w:t>
      </w:r>
      <w:r w:rsidRPr="006B24DA">
        <w:rPr>
          <w:rFonts w:ascii="Book Antiqua" w:eastAsia="Times New Roman" w:hAnsi="Book Antiqua" w:cs="Times New Roman"/>
          <w:color w:val="000000" w:themeColor="text1"/>
          <w:sz w:val="24"/>
          <w:szCs w:val="24"/>
        </w:rPr>
        <w:t xml:space="preserve"> Focal ablation device, Halo90, nicknamed “Chang Cap” from 2004 to present.</w:t>
      </w:r>
      <w:r w:rsidR="00FD13E2" w:rsidRPr="006B24DA">
        <w:rPr>
          <w:rFonts w:ascii="Book Antiqua" w:eastAsia="Times New Roman" w:hAnsi="Book Antiqua" w:cs="Times New Roman"/>
          <w:color w:val="000000" w:themeColor="text1"/>
          <w:sz w:val="24"/>
          <w:szCs w:val="24"/>
        </w:rPr>
        <w:t xml:space="preserve"> (Dr. Utley gave consent to publish this Figure)</w:t>
      </w:r>
      <w:r w:rsidR="00253361" w:rsidRPr="006B24DA">
        <w:rPr>
          <w:rFonts w:ascii="Book Antiqua" w:eastAsia="Times New Roman" w:hAnsi="Book Antiqua" w:cs="Times New Roman"/>
          <w:color w:val="000000" w:themeColor="text1"/>
          <w:sz w:val="24"/>
          <w:szCs w:val="24"/>
        </w:rPr>
        <w:t>.</w:t>
      </w:r>
      <w:r w:rsidR="00FD13E2" w:rsidRPr="006B24DA">
        <w:rPr>
          <w:rFonts w:ascii="Book Antiqua" w:eastAsia="Times New Roman" w:hAnsi="Book Antiqua" w:cs="Times New Roman"/>
          <w:color w:val="000000" w:themeColor="text1"/>
          <w:sz w:val="24"/>
          <w:szCs w:val="24"/>
        </w:rPr>
        <w:t xml:space="preserve"> </w:t>
      </w:r>
    </w:p>
    <w:p w14:paraId="56ADFAA2"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br w:type="page"/>
      </w:r>
    </w:p>
    <w:p w14:paraId="6B74FE01"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noProof/>
          <w:color w:val="000000" w:themeColor="text1"/>
          <w:sz w:val="24"/>
          <w:szCs w:val="24"/>
          <w:lang w:eastAsia="zh-CN"/>
        </w:rPr>
        <w:lastRenderedPageBreak/>
        <w:drawing>
          <wp:inline distT="0" distB="0" distL="0" distR="0" wp14:anchorId="092DE7C0" wp14:editId="4120716A">
            <wp:extent cx="5943600" cy="3063240"/>
            <wp:effectExtent l="0" t="0" r="0"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3063240"/>
                    </a:xfrm>
                    <a:prstGeom prst="rect">
                      <a:avLst/>
                    </a:prstGeom>
                  </pic:spPr>
                </pic:pic>
              </a:graphicData>
            </a:graphic>
          </wp:inline>
        </w:drawing>
      </w:r>
    </w:p>
    <w:p w14:paraId="02414E73"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b/>
          <w:bCs/>
          <w:color w:val="000000" w:themeColor="text1"/>
          <w:sz w:val="24"/>
          <w:szCs w:val="24"/>
        </w:rPr>
        <w:t>Figure 16</w:t>
      </w:r>
      <w:r w:rsidRPr="006B24DA">
        <w:rPr>
          <w:rFonts w:ascii="Book Antiqua" w:eastAsia="Times New Roman" w:hAnsi="Book Antiqua" w:cs="Times New Roman"/>
          <w:color w:val="000000" w:themeColor="text1"/>
          <w:sz w:val="24"/>
          <w:szCs w:val="24"/>
        </w:rPr>
        <w:t xml:space="preserve"> </w:t>
      </w:r>
      <w:bookmarkStart w:id="209" w:name="OLE_LINK117"/>
      <w:bookmarkStart w:id="210" w:name="OLE_LINK118"/>
      <w:r w:rsidRPr="006B24DA">
        <w:rPr>
          <w:rFonts w:ascii="Book Antiqua" w:eastAsia="Times New Roman" w:hAnsi="Book Antiqua" w:cs="Times New Roman"/>
          <w:b/>
          <w:color w:val="000000" w:themeColor="text1"/>
          <w:sz w:val="24"/>
          <w:szCs w:val="24"/>
        </w:rPr>
        <w:t>Radiofrequency ablation</w:t>
      </w:r>
      <w:bookmarkEnd w:id="209"/>
      <w:bookmarkEnd w:id="210"/>
      <w:r w:rsidRPr="006B24DA">
        <w:rPr>
          <w:rFonts w:ascii="Book Antiqua" w:eastAsia="Times New Roman" w:hAnsi="Book Antiqua" w:cs="Times New Roman"/>
          <w:b/>
          <w:color w:val="000000" w:themeColor="text1"/>
          <w:sz w:val="24"/>
          <w:szCs w:val="24"/>
        </w:rPr>
        <w:t xml:space="preserve"> mechanism and technique. </w:t>
      </w:r>
      <w:r w:rsidRPr="006B24DA">
        <w:rPr>
          <w:rFonts w:ascii="Book Antiqua" w:eastAsia="Times New Roman" w:hAnsi="Book Antiqua" w:cs="Times New Roman"/>
          <w:color w:val="000000" w:themeColor="text1"/>
          <w:sz w:val="24"/>
          <w:szCs w:val="24"/>
        </w:rPr>
        <w:t>A: Tightly spaced electrodes (250 µm apart) with pre-set energy and power densities, generator turns off when a pre-determined resistance level in the ablated tissues is reached (mean of 0.3 s); B and C: Circumferential radiofrequency ablation (RFA) delivered by balloon electrode to treat 4 cm segment with single activation; D and E: The catheter is advanced to the next segment with slight overlap; F-I: Focal RFA delivered with Barrx90 device which is secured onto scope tip and endoscopically directed over Barrett’s lesion.</w:t>
      </w:r>
    </w:p>
    <w:p w14:paraId="1E6B3C6A"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br w:type="page"/>
      </w:r>
    </w:p>
    <w:p w14:paraId="12F96F8D"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b/>
          <w:bCs/>
          <w:color w:val="000000" w:themeColor="text1"/>
          <w:sz w:val="24"/>
          <w:szCs w:val="24"/>
        </w:rPr>
      </w:pPr>
      <w:r w:rsidRPr="006B24DA">
        <w:rPr>
          <w:rFonts w:ascii="Book Antiqua" w:eastAsia="Times New Roman" w:hAnsi="Book Antiqua" w:cs="Times New Roman"/>
          <w:b/>
          <w:bCs/>
          <w:noProof/>
          <w:color w:val="000000" w:themeColor="text1"/>
          <w:sz w:val="24"/>
          <w:szCs w:val="24"/>
          <w:lang w:eastAsia="zh-CN"/>
        </w:rPr>
        <w:lastRenderedPageBreak/>
        <w:drawing>
          <wp:inline distT="0" distB="0" distL="0" distR="0" wp14:anchorId="14ABBFFC" wp14:editId="1BF0DD2C">
            <wp:extent cx="5943600" cy="36785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3678555"/>
                    </a:xfrm>
                    <a:prstGeom prst="rect">
                      <a:avLst/>
                    </a:prstGeom>
                  </pic:spPr>
                </pic:pic>
              </a:graphicData>
            </a:graphic>
          </wp:inline>
        </w:drawing>
      </w:r>
    </w:p>
    <w:p w14:paraId="063931D1"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b/>
          <w:bCs/>
          <w:color w:val="000000" w:themeColor="text1"/>
          <w:sz w:val="24"/>
          <w:szCs w:val="24"/>
        </w:rPr>
        <w:t>Figure 17</w:t>
      </w:r>
      <w:bookmarkStart w:id="211" w:name="OLE_LINK119"/>
      <w:bookmarkStart w:id="212" w:name="OLE_LINK120"/>
      <w:r w:rsidRPr="006B24DA">
        <w:rPr>
          <w:rFonts w:ascii="Book Antiqua" w:eastAsia="Times New Roman" w:hAnsi="Book Antiqua" w:cs="Times New Roman"/>
          <w:b/>
          <w:color w:val="000000" w:themeColor="text1"/>
          <w:sz w:val="24"/>
          <w:szCs w:val="24"/>
        </w:rPr>
        <w:t xml:space="preserve"> Radiofrequency ablation device “family”. </w:t>
      </w:r>
      <w:r w:rsidRPr="006B24DA">
        <w:rPr>
          <w:rFonts w:ascii="Book Antiqua" w:eastAsia="Times New Roman" w:hAnsi="Book Antiqua" w:cs="Times New Roman"/>
          <w:color w:val="000000" w:themeColor="text1"/>
          <w:sz w:val="24"/>
          <w:szCs w:val="24"/>
        </w:rPr>
        <w:t xml:space="preserve">A: </w:t>
      </w:r>
      <w:proofErr w:type="spellStart"/>
      <w:r w:rsidRPr="006B24DA">
        <w:rPr>
          <w:rFonts w:ascii="Book Antiqua" w:eastAsia="Times New Roman" w:hAnsi="Book Antiqua" w:cs="Times New Roman"/>
          <w:color w:val="000000" w:themeColor="text1"/>
          <w:sz w:val="24"/>
          <w:szCs w:val="24"/>
        </w:rPr>
        <w:t>Bar</w:t>
      </w:r>
      <w:bookmarkEnd w:id="211"/>
      <w:bookmarkEnd w:id="212"/>
      <w:r w:rsidRPr="006B24DA">
        <w:rPr>
          <w:rFonts w:ascii="Book Antiqua" w:eastAsia="Times New Roman" w:hAnsi="Book Antiqua" w:cs="Times New Roman"/>
          <w:color w:val="000000" w:themeColor="text1"/>
          <w:sz w:val="24"/>
          <w:szCs w:val="24"/>
        </w:rPr>
        <w:t>rx</w:t>
      </w:r>
      <w:proofErr w:type="spellEnd"/>
      <w:r w:rsidRPr="006B24DA">
        <w:rPr>
          <w:rFonts w:ascii="Book Antiqua" w:eastAsia="Times New Roman" w:hAnsi="Book Antiqua" w:cs="Times New Roman"/>
          <w:color w:val="000000" w:themeColor="text1"/>
          <w:sz w:val="24"/>
          <w:szCs w:val="24"/>
        </w:rPr>
        <w:t xml:space="preserve"> 360 express, 4 cm self-sizing balloon device; B: </w:t>
      </w:r>
      <w:proofErr w:type="spellStart"/>
      <w:r w:rsidRPr="006B24DA">
        <w:rPr>
          <w:rFonts w:ascii="Book Antiqua" w:eastAsia="Times New Roman" w:hAnsi="Book Antiqua" w:cs="Times New Roman"/>
          <w:color w:val="000000" w:themeColor="text1"/>
          <w:sz w:val="24"/>
          <w:szCs w:val="24"/>
        </w:rPr>
        <w:t>Barrx</w:t>
      </w:r>
      <w:proofErr w:type="spellEnd"/>
      <w:r w:rsidRPr="006B24DA">
        <w:rPr>
          <w:rFonts w:ascii="Book Antiqua" w:eastAsia="Times New Roman" w:hAnsi="Book Antiqua" w:cs="Times New Roman"/>
          <w:color w:val="000000" w:themeColor="text1"/>
          <w:sz w:val="24"/>
          <w:szCs w:val="24"/>
        </w:rPr>
        <w:t xml:space="preserve"> 90 Ultra - 40 mm × 13 mm platform; C: </w:t>
      </w:r>
      <w:proofErr w:type="spellStart"/>
      <w:r w:rsidRPr="006B24DA">
        <w:rPr>
          <w:rFonts w:ascii="Book Antiqua" w:eastAsia="Times New Roman" w:hAnsi="Book Antiqua" w:cs="Times New Roman"/>
          <w:color w:val="000000" w:themeColor="text1"/>
          <w:sz w:val="24"/>
          <w:szCs w:val="24"/>
        </w:rPr>
        <w:t>Barrx</w:t>
      </w:r>
      <w:proofErr w:type="spellEnd"/>
      <w:r w:rsidRPr="006B24DA">
        <w:rPr>
          <w:rFonts w:ascii="Book Antiqua" w:eastAsia="Times New Roman" w:hAnsi="Book Antiqua" w:cs="Times New Roman"/>
          <w:color w:val="000000" w:themeColor="text1"/>
          <w:sz w:val="24"/>
          <w:szCs w:val="24"/>
        </w:rPr>
        <w:t xml:space="preserve"> 90 (Chang Cap) - 20 x 13 mm platform; D: </w:t>
      </w:r>
      <w:proofErr w:type="spellStart"/>
      <w:r w:rsidRPr="006B24DA">
        <w:rPr>
          <w:rFonts w:ascii="Book Antiqua" w:eastAsia="Times New Roman" w:hAnsi="Book Antiqua" w:cs="Times New Roman"/>
          <w:color w:val="000000" w:themeColor="text1"/>
          <w:sz w:val="24"/>
          <w:szCs w:val="24"/>
        </w:rPr>
        <w:t>Barrx</w:t>
      </w:r>
      <w:proofErr w:type="spellEnd"/>
      <w:r w:rsidRPr="006B24DA">
        <w:rPr>
          <w:rFonts w:ascii="Book Antiqua" w:eastAsia="Times New Roman" w:hAnsi="Book Antiqua" w:cs="Times New Roman"/>
          <w:color w:val="000000" w:themeColor="text1"/>
          <w:sz w:val="24"/>
          <w:szCs w:val="24"/>
        </w:rPr>
        <w:t xml:space="preserve"> 60 - 15-10 mm platform; E: </w:t>
      </w:r>
      <w:proofErr w:type="spellStart"/>
      <w:r w:rsidRPr="006B24DA">
        <w:rPr>
          <w:rFonts w:ascii="Book Antiqua" w:eastAsia="Times New Roman" w:hAnsi="Book Antiqua" w:cs="Times New Roman"/>
          <w:color w:val="000000" w:themeColor="text1"/>
          <w:sz w:val="24"/>
          <w:szCs w:val="24"/>
        </w:rPr>
        <w:t>Barrx</w:t>
      </w:r>
      <w:proofErr w:type="spellEnd"/>
      <w:r w:rsidRPr="006B24DA">
        <w:rPr>
          <w:rFonts w:ascii="Book Antiqua" w:eastAsia="Times New Roman" w:hAnsi="Book Antiqua" w:cs="Times New Roman"/>
          <w:color w:val="000000" w:themeColor="text1"/>
          <w:sz w:val="24"/>
          <w:szCs w:val="24"/>
        </w:rPr>
        <w:t xml:space="preserve"> channel catheter - fits through biopsy channel, 15.7 mm × 7.5 mm platform when “wings” expanded.</w:t>
      </w:r>
    </w:p>
    <w:p w14:paraId="5B38DE3D"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br w:type="page"/>
      </w:r>
    </w:p>
    <w:p w14:paraId="2FB2B6A8" w14:textId="003FF039" w:rsidR="0051390E" w:rsidRPr="006B24DA" w:rsidRDefault="003B13C7" w:rsidP="0051390E">
      <w:pPr>
        <w:shd w:val="clear" w:color="auto" w:fill="FFFFFF"/>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noProof/>
          <w:color w:val="000000" w:themeColor="text1"/>
          <w:sz w:val="24"/>
          <w:szCs w:val="24"/>
          <w:lang w:eastAsia="zh-CN"/>
        </w:rPr>
        <w:lastRenderedPageBreak/>
        <w:drawing>
          <wp:inline distT="0" distB="0" distL="0" distR="0" wp14:anchorId="2FEF6591" wp14:editId="1810D7A5">
            <wp:extent cx="5943600" cy="34137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18.tif"/>
                    <pic:cNvPicPr/>
                  </pic:nvPicPr>
                  <pic:blipFill>
                    <a:blip r:embed="rId27">
                      <a:extLst>
                        <a:ext uri="{28A0092B-C50C-407E-A947-70E740481C1C}">
                          <a14:useLocalDpi xmlns:a14="http://schemas.microsoft.com/office/drawing/2010/main" val="0"/>
                        </a:ext>
                      </a:extLst>
                    </a:blip>
                    <a:stretch>
                      <a:fillRect/>
                    </a:stretch>
                  </pic:blipFill>
                  <pic:spPr>
                    <a:xfrm>
                      <a:off x="0" y="0"/>
                      <a:ext cx="5943600" cy="3413760"/>
                    </a:xfrm>
                    <a:prstGeom prst="rect">
                      <a:avLst/>
                    </a:prstGeom>
                  </pic:spPr>
                </pic:pic>
              </a:graphicData>
            </a:graphic>
          </wp:inline>
        </w:drawing>
      </w:r>
    </w:p>
    <w:p w14:paraId="76162577" w14:textId="504C38C6" w:rsidR="0051390E" w:rsidRPr="006B24DA" w:rsidRDefault="0051390E" w:rsidP="003B13C7">
      <w:pPr>
        <w:shd w:val="clear" w:color="auto" w:fill="FFFFFF" w:themeFill="background1"/>
        <w:adjustRightInd w:val="0"/>
        <w:snapToGrid w:val="0"/>
        <w:spacing w:after="0" w:line="360" w:lineRule="auto"/>
        <w:jc w:val="both"/>
        <w:rPr>
          <w:rFonts w:ascii="Book Antiqua" w:eastAsia="Times New Roman" w:hAnsi="Book Antiqua" w:cs="Times New Roman"/>
          <w:color w:val="000000" w:themeColor="text1"/>
          <w:sz w:val="24"/>
          <w:szCs w:val="24"/>
        </w:rPr>
      </w:pPr>
      <w:proofErr w:type="gramStart"/>
      <w:r w:rsidRPr="006B24DA">
        <w:rPr>
          <w:rFonts w:ascii="Book Antiqua" w:eastAsia="Times New Roman" w:hAnsi="Book Antiqua" w:cs="Times New Roman"/>
          <w:b/>
          <w:bCs/>
          <w:color w:val="000000" w:themeColor="text1"/>
          <w:sz w:val="24"/>
          <w:szCs w:val="24"/>
        </w:rPr>
        <w:t>Figure 18 Cryotherapy using nitrous oxide within balloon.</w:t>
      </w:r>
      <w:proofErr w:type="gramEnd"/>
      <w:r w:rsidRPr="006B24DA">
        <w:rPr>
          <w:rFonts w:ascii="Book Antiqua" w:eastAsia="Times New Roman" w:hAnsi="Book Antiqua" w:cs="Times New Roman"/>
          <w:b/>
          <w:bCs/>
          <w:color w:val="000000" w:themeColor="text1"/>
          <w:sz w:val="24"/>
          <w:szCs w:val="24"/>
        </w:rPr>
        <w:t xml:space="preserve"> </w:t>
      </w:r>
      <w:r w:rsidRPr="006B24DA">
        <w:rPr>
          <w:rFonts w:ascii="Book Antiqua" w:eastAsia="Times New Roman" w:hAnsi="Book Antiqua" w:cs="Times New Roman"/>
          <w:color w:val="000000" w:themeColor="text1"/>
          <w:sz w:val="24"/>
          <w:szCs w:val="24"/>
        </w:rPr>
        <w:t xml:space="preserve">A: Endoscopic view of focal </w:t>
      </w:r>
      <w:proofErr w:type="spellStart"/>
      <w:r w:rsidRPr="006B24DA">
        <w:rPr>
          <w:rFonts w:ascii="Book Antiqua" w:eastAsia="Times New Roman" w:hAnsi="Book Antiqua" w:cs="Times New Roman"/>
          <w:color w:val="000000" w:themeColor="text1"/>
          <w:sz w:val="24"/>
          <w:szCs w:val="24"/>
        </w:rPr>
        <w:t>cryoablation</w:t>
      </w:r>
      <w:proofErr w:type="spellEnd"/>
      <w:r w:rsidRPr="006B24DA">
        <w:rPr>
          <w:rFonts w:ascii="Book Antiqua" w:eastAsia="Times New Roman" w:hAnsi="Book Antiqua" w:cs="Times New Roman"/>
          <w:color w:val="000000" w:themeColor="text1"/>
          <w:sz w:val="24"/>
          <w:szCs w:val="24"/>
        </w:rPr>
        <w:t xml:space="preserve"> of multiple islands of Barrett’s epithelium; marking around the lesion with a snare tip helps with targeting; B: In-room view of hand-held control </w:t>
      </w:r>
      <w:r w:rsidR="00D27F92" w:rsidRPr="006B24DA">
        <w:rPr>
          <w:rFonts w:ascii="Book Antiqua" w:eastAsia="Times New Roman" w:hAnsi="Book Antiqua" w:cs="Times New Roman"/>
          <w:color w:val="000000" w:themeColor="text1"/>
          <w:sz w:val="24"/>
          <w:szCs w:val="24"/>
        </w:rPr>
        <w:t xml:space="preserve">(by Dr. Chang) </w:t>
      </w:r>
      <w:r w:rsidRPr="006B24DA">
        <w:rPr>
          <w:rFonts w:ascii="Book Antiqua" w:eastAsia="Times New Roman" w:hAnsi="Book Antiqua" w:cs="Times New Roman"/>
          <w:color w:val="000000" w:themeColor="text1"/>
          <w:sz w:val="24"/>
          <w:szCs w:val="24"/>
        </w:rPr>
        <w:t xml:space="preserve">with nitrous oxide cartridges; C: New foot pedal console which controls nitrous oxide flow as well as vertical and left-right rotational movement of the spray orifice. </w:t>
      </w:r>
    </w:p>
    <w:p w14:paraId="4AA84FA6" w14:textId="77777777" w:rsidR="0051390E" w:rsidRPr="006B24DA" w:rsidRDefault="0051390E" w:rsidP="0051390E">
      <w:pPr>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br w:type="page"/>
      </w:r>
    </w:p>
    <w:p w14:paraId="3604723D" w14:textId="77777777" w:rsidR="0051390E" w:rsidRPr="006B24DA" w:rsidRDefault="0051390E" w:rsidP="0051390E">
      <w:pPr>
        <w:shd w:val="clear" w:color="auto" w:fill="FFFFFF"/>
        <w:adjustRightInd w:val="0"/>
        <w:snapToGrid w:val="0"/>
        <w:spacing w:after="0" w:line="360" w:lineRule="auto"/>
        <w:jc w:val="both"/>
        <w:rPr>
          <w:rFonts w:ascii="Book Antiqua" w:eastAsia="Times New Roman" w:hAnsi="Book Antiqua" w:cs="Times New Roman"/>
          <w:color w:val="000000" w:themeColor="text1"/>
          <w:sz w:val="24"/>
          <w:szCs w:val="24"/>
        </w:rPr>
      </w:pPr>
    </w:p>
    <w:p w14:paraId="639F6D51" w14:textId="77777777" w:rsidR="0051390E" w:rsidRPr="006B24DA" w:rsidRDefault="0051390E" w:rsidP="0051390E">
      <w:pPr>
        <w:shd w:val="clear" w:color="auto" w:fill="FFFFFF"/>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noProof/>
          <w:color w:val="000000" w:themeColor="text1"/>
          <w:sz w:val="24"/>
          <w:szCs w:val="24"/>
          <w:lang w:eastAsia="zh-CN"/>
        </w:rPr>
        <w:drawing>
          <wp:inline distT="0" distB="0" distL="0" distR="0" wp14:anchorId="11AD563D" wp14:editId="41D2242C">
            <wp:extent cx="5943600" cy="253809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2538095"/>
                    </a:xfrm>
                    <a:prstGeom prst="rect">
                      <a:avLst/>
                    </a:prstGeom>
                  </pic:spPr>
                </pic:pic>
              </a:graphicData>
            </a:graphic>
          </wp:inline>
        </w:drawing>
      </w:r>
    </w:p>
    <w:p w14:paraId="7631B07D" w14:textId="7E764921"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b/>
          <w:bCs/>
          <w:color w:val="000000" w:themeColor="text1"/>
          <w:sz w:val="24"/>
          <w:szCs w:val="24"/>
        </w:rPr>
        <w:t xml:space="preserve">Figure </w:t>
      </w:r>
      <w:proofErr w:type="gramStart"/>
      <w:r w:rsidRPr="006B24DA">
        <w:rPr>
          <w:rFonts w:ascii="Book Antiqua" w:eastAsia="Times New Roman" w:hAnsi="Book Antiqua" w:cs="Times New Roman"/>
          <w:b/>
          <w:bCs/>
          <w:color w:val="000000" w:themeColor="text1"/>
          <w:sz w:val="24"/>
          <w:szCs w:val="24"/>
        </w:rPr>
        <w:t>19</w:t>
      </w:r>
      <w:r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b/>
          <w:bCs/>
          <w:color w:val="000000" w:themeColor="text1"/>
          <w:sz w:val="24"/>
          <w:szCs w:val="24"/>
        </w:rPr>
        <w:t>Hybrid argon plasma coagulation to treat residual diffuse, multi-focal Barrett</w:t>
      </w:r>
      <w:proofErr w:type="gramEnd"/>
      <w:r w:rsidRPr="006B24DA">
        <w:rPr>
          <w:rFonts w:ascii="Book Antiqua" w:eastAsia="Times New Roman" w:hAnsi="Book Antiqua" w:cs="Times New Roman"/>
          <w:b/>
          <w:bCs/>
          <w:color w:val="000000" w:themeColor="text1"/>
          <w:sz w:val="24"/>
          <w:szCs w:val="24"/>
        </w:rPr>
        <w:t xml:space="preserve">’s after endoscopic submucosal dissection for early esophageal cancer. </w:t>
      </w:r>
      <w:r w:rsidRPr="006B24DA">
        <w:rPr>
          <w:rFonts w:ascii="Book Antiqua" w:eastAsia="Times New Roman" w:hAnsi="Book Antiqua" w:cs="Times New Roman"/>
          <w:color w:val="000000" w:themeColor="text1"/>
          <w:sz w:val="24"/>
          <w:szCs w:val="24"/>
        </w:rPr>
        <w:t>A: Endoscopic view of multiple residual Barrett’s islands; B: Needle-free high pressure water jet to create saline cushion in the submucosal space; C: Pass 1 of argon plasma coagulation (APC) ablation with energy settings of Pulsed APC flow rate 0.8 L/min 60 W; endoscopic submucosal dissection (ESD) cap used for visibility, traction and maintaining precise focal distance for even application;</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D: Completion of Pass 1;</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E: Repeat water jet into submucosa;</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F: Pass 2 of APC ablation with energy settings of pulsed APC flow rate 0.8 L/min 40 W;</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G: Completion of Pass 2 with desired tan colored surface;</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H: Follow-up endoscopy 6 mo</w:t>
      </w:r>
      <w:r w:rsidR="00D27F92" w:rsidRPr="006B24DA">
        <w:rPr>
          <w:rFonts w:ascii="Book Antiqua" w:eastAsia="Times New Roman" w:hAnsi="Book Antiqua" w:cs="Times New Roman"/>
          <w:color w:val="000000" w:themeColor="text1"/>
          <w:sz w:val="24"/>
          <w:szCs w:val="24"/>
        </w:rPr>
        <w:t>nth</w:t>
      </w:r>
      <w:r w:rsidR="00C943DE" w:rsidRPr="006B24DA">
        <w:rPr>
          <w:rFonts w:ascii="Book Antiqua" w:eastAsia="Times New Roman" w:hAnsi="Book Antiqua" w:cs="Times New Roman"/>
          <w:color w:val="000000" w:themeColor="text1"/>
          <w:sz w:val="24"/>
          <w:szCs w:val="24"/>
        </w:rPr>
        <w:t>s</w:t>
      </w:r>
      <w:r w:rsidRPr="006B24DA">
        <w:rPr>
          <w:rFonts w:ascii="Book Antiqua" w:eastAsia="Times New Roman" w:hAnsi="Book Antiqua" w:cs="Times New Roman"/>
          <w:color w:val="000000" w:themeColor="text1"/>
          <w:sz w:val="24"/>
          <w:szCs w:val="24"/>
        </w:rPr>
        <w:t xml:space="preserve"> post hybrid APC treatment, with biopsy and WATS brushing confirming complete response of intestinal metaplasia.</w:t>
      </w:r>
    </w:p>
    <w:p w14:paraId="6B4C931C"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br w:type="page"/>
      </w:r>
    </w:p>
    <w:p w14:paraId="73B481FE" w14:textId="77777777" w:rsidR="0051390E" w:rsidRPr="006B24DA" w:rsidRDefault="0051390E" w:rsidP="001D667C">
      <w:pPr>
        <w:adjustRightInd w:val="0"/>
        <w:snapToGrid w:val="0"/>
        <w:spacing w:after="0" w:line="360" w:lineRule="auto"/>
        <w:jc w:val="center"/>
        <w:rPr>
          <w:rFonts w:ascii="Book Antiqua" w:hAnsi="Book Antiqua"/>
          <w:color w:val="000000" w:themeColor="text1"/>
          <w:sz w:val="24"/>
          <w:szCs w:val="24"/>
        </w:rPr>
      </w:pPr>
      <w:r w:rsidRPr="006B24DA">
        <w:rPr>
          <w:rFonts w:ascii="Book Antiqua" w:hAnsi="Book Antiqua"/>
          <w:noProof/>
          <w:color w:val="000000" w:themeColor="text1"/>
          <w:sz w:val="24"/>
          <w:szCs w:val="24"/>
          <w:lang w:eastAsia="zh-CN"/>
        </w:rPr>
        <w:lastRenderedPageBreak/>
        <w:drawing>
          <wp:inline distT="0" distB="0" distL="0" distR="0" wp14:anchorId="35C286CC" wp14:editId="02BA1FA6">
            <wp:extent cx="5669280" cy="4231661"/>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r="8223"/>
                    <a:stretch/>
                  </pic:blipFill>
                  <pic:spPr bwMode="auto">
                    <a:xfrm>
                      <a:off x="0" y="0"/>
                      <a:ext cx="5669280" cy="4231661"/>
                    </a:xfrm>
                    <a:prstGeom prst="rect">
                      <a:avLst/>
                    </a:prstGeom>
                    <a:ln>
                      <a:noFill/>
                    </a:ln>
                    <a:extLst>
                      <a:ext uri="{53640926-AAD7-44D8-BBD7-CCE9431645EC}">
                        <a14:shadowObscured xmlns:a14="http://schemas.microsoft.com/office/drawing/2010/main"/>
                      </a:ext>
                    </a:extLst>
                  </pic:spPr>
                </pic:pic>
              </a:graphicData>
            </a:graphic>
          </wp:inline>
        </w:drawing>
      </w:r>
    </w:p>
    <w:p w14:paraId="6EEBF1F8"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b/>
          <w:bCs/>
          <w:color w:val="000000" w:themeColor="text1"/>
          <w:sz w:val="24"/>
          <w:szCs w:val="24"/>
        </w:rPr>
        <w:t>Figure 20</w:t>
      </w:r>
      <w:r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b/>
          <w:color w:val="000000" w:themeColor="text1"/>
          <w:sz w:val="24"/>
          <w:szCs w:val="24"/>
        </w:rPr>
        <w:t xml:space="preserve">Endoscopic submucosal dissection of early esophageal adenocarcinoma arising from </w:t>
      </w:r>
      <w:bookmarkStart w:id="213" w:name="OLE_LINK121"/>
      <w:bookmarkStart w:id="214" w:name="OLE_LINK122"/>
      <w:r w:rsidRPr="006B24DA">
        <w:rPr>
          <w:rFonts w:ascii="Book Antiqua" w:eastAsia="Times New Roman" w:hAnsi="Book Antiqua" w:cs="Times New Roman"/>
          <w:b/>
          <w:color w:val="000000" w:themeColor="text1"/>
          <w:sz w:val="24"/>
          <w:szCs w:val="24"/>
        </w:rPr>
        <w:t>Barrett’s esophagus</w:t>
      </w:r>
      <w:bookmarkEnd w:id="213"/>
      <w:bookmarkEnd w:id="214"/>
      <w:r w:rsidRPr="006B24DA">
        <w:rPr>
          <w:rFonts w:ascii="Book Antiqua" w:eastAsia="Times New Roman" w:hAnsi="Book Antiqua" w:cs="Times New Roman"/>
          <w:b/>
          <w:color w:val="000000" w:themeColor="text1"/>
          <w:sz w:val="24"/>
          <w:szCs w:val="24"/>
        </w:rPr>
        <w:t xml:space="preserve">. </w:t>
      </w:r>
      <w:r w:rsidRPr="006B24DA">
        <w:rPr>
          <w:rFonts w:ascii="Book Antiqua" w:eastAsia="Times New Roman" w:hAnsi="Book Antiqua" w:cs="Times New Roman"/>
          <w:color w:val="000000" w:themeColor="text1"/>
          <w:sz w:val="24"/>
          <w:szCs w:val="24"/>
        </w:rPr>
        <w:t xml:space="preserve">A: Nodular, polypoid (Paris </w:t>
      </w:r>
      <w:proofErr w:type="spellStart"/>
      <w:r w:rsidRPr="006B24DA">
        <w:rPr>
          <w:rFonts w:ascii="Book Antiqua" w:eastAsia="Times New Roman" w:hAnsi="Book Antiqua" w:cs="Times New Roman"/>
          <w:color w:val="000000" w:themeColor="text1"/>
          <w:sz w:val="24"/>
          <w:szCs w:val="24"/>
        </w:rPr>
        <w:t>IIa</w:t>
      </w:r>
      <w:proofErr w:type="spellEnd"/>
      <w:r w:rsidRPr="006B24DA">
        <w:rPr>
          <w:rFonts w:ascii="Book Antiqua" w:eastAsia="Times New Roman" w:hAnsi="Book Antiqua" w:cs="Times New Roman"/>
          <w:color w:val="000000" w:themeColor="text1"/>
          <w:sz w:val="24"/>
          <w:szCs w:val="24"/>
        </w:rPr>
        <w:t xml:space="preserve">) lesion within long segment Barrett’s esophagus; B: Endoscopic submucosal dissection completed; C: </w:t>
      </w:r>
      <w:proofErr w:type="spellStart"/>
      <w:r w:rsidRPr="006B24DA">
        <w:rPr>
          <w:rFonts w:ascii="Book Antiqua" w:eastAsia="Times New Roman" w:hAnsi="Book Antiqua" w:cs="Times New Roman"/>
          <w:i/>
          <w:color w:val="000000" w:themeColor="text1"/>
          <w:sz w:val="24"/>
          <w:szCs w:val="24"/>
        </w:rPr>
        <w:t>En</w:t>
      </w:r>
      <w:proofErr w:type="spellEnd"/>
      <w:r w:rsidRPr="006B24DA">
        <w:rPr>
          <w:rFonts w:ascii="Book Antiqua" w:eastAsia="Times New Roman" w:hAnsi="Book Antiqua" w:cs="Times New Roman"/>
          <w:i/>
          <w:color w:val="000000" w:themeColor="text1"/>
          <w:sz w:val="24"/>
          <w:szCs w:val="24"/>
        </w:rPr>
        <w:t>-bloc</w:t>
      </w:r>
      <w:r w:rsidRPr="006B24DA">
        <w:rPr>
          <w:rFonts w:ascii="Book Antiqua" w:eastAsia="Times New Roman" w:hAnsi="Book Antiqua" w:cs="Times New Roman"/>
          <w:color w:val="000000" w:themeColor="text1"/>
          <w:sz w:val="24"/>
          <w:szCs w:val="24"/>
        </w:rPr>
        <w:t xml:space="preserve"> resected specimen; D: Histology showing poorly differentiated adenocarcinoma (blue dots), T1b pathologic staging, lateral and deep margins negative (&gt; 300 microns), no </w:t>
      </w:r>
      <w:proofErr w:type="spellStart"/>
      <w:r w:rsidRPr="006B24DA">
        <w:rPr>
          <w:rFonts w:ascii="Book Antiqua" w:eastAsia="Times New Roman" w:hAnsi="Book Antiqua" w:cs="Times New Roman"/>
          <w:color w:val="000000" w:themeColor="text1"/>
          <w:sz w:val="24"/>
          <w:szCs w:val="24"/>
        </w:rPr>
        <w:t>lymphovascular</w:t>
      </w:r>
      <w:proofErr w:type="spellEnd"/>
      <w:r w:rsidRPr="006B24DA">
        <w:rPr>
          <w:rFonts w:ascii="Book Antiqua" w:eastAsia="Times New Roman" w:hAnsi="Book Antiqua" w:cs="Times New Roman"/>
          <w:color w:val="000000" w:themeColor="text1"/>
          <w:sz w:val="24"/>
          <w:szCs w:val="24"/>
        </w:rPr>
        <w:t xml:space="preserve"> invasion.</w:t>
      </w:r>
    </w:p>
    <w:p w14:paraId="6CAEAB4E"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br w:type="page"/>
      </w:r>
    </w:p>
    <w:p w14:paraId="03EEC50D" w14:textId="77777777" w:rsidR="0051390E" w:rsidRPr="006B24DA" w:rsidRDefault="0051390E" w:rsidP="0051390E">
      <w:pPr>
        <w:adjustRightInd w:val="0"/>
        <w:snapToGrid w:val="0"/>
        <w:spacing w:after="0" w:line="360" w:lineRule="auto"/>
        <w:jc w:val="both"/>
        <w:rPr>
          <w:rFonts w:ascii="Book Antiqua" w:hAnsi="Book Antiqua"/>
          <w:color w:val="000000" w:themeColor="text1"/>
          <w:sz w:val="24"/>
          <w:szCs w:val="24"/>
        </w:rPr>
      </w:pPr>
      <w:r w:rsidRPr="006B24DA">
        <w:rPr>
          <w:rFonts w:ascii="Book Antiqua" w:hAnsi="Book Antiqua"/>
          <w:noProof/>
          <w:color w:val="000000" w:themeColor="text1"/>
          <w:sz w:val="24"/>
          <w:szCs w:val="24"/>
          <w:lang w:eastAsia="zh-CN"/>
        </w:rPr>
        <w:lastRenderedPageBreak/>
        <w:drawing>
          <wp:inline distT="0" distB="0" distL="0" distR="0" wp14:anchorId="395CC71F" wp14:editId="374FC35C">
            <wp:extent cx="5943600" cy="461073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4610739"/>
                    </a:xfrm>
                    <a:prstGeom prst="rect">
                      <a:avLst/>
                    </a:prstGeom>
                    <a:noFill/>
                  </pic:spPr>
                </pic:pic>
              </a:graphicData>
            </a:graphic>
          </wp:inline>
        </w:drawing>
      </w:r>
    </w:p>
    <w:p w14:paraId="7A0A44FB" w14:textId="51D2FEA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b/>
          <w:bCs/>
          <w:color w:val="000000" w:themeColor="text1"/>
          <w:sz w:val="24"/>
          <w:szCs w:val="24"/>
        </w:rPr>
        <w:t>Figure 21</w:t>
      </w:r>
      <w:r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b/>
          <w:color w:val="000000" w:themeColor="text1"/>
          <w:sz w:val="24"/>
          <w:szCs w:val="24"/>
        </w:rPr>
        <w:t xml:space="preserve">Probe-based confocal laser </w:t>
      </w:r>
      <w:proofErr w:type="spellStart"/>
      <w:r w:rsidRPr="006B24DA">
        <w:rPr>
          <w:rFonts w:ascii="Book Antiqua" w:eastAsia="Times New Roman" w:hAnsi="Book Antiqua" w:cs="Times New Roman"/>
          <w:b/>
          <w:color w:val="000000" w:themeColor="text1"/>
          <w:sz w:val="24"/>
          <w:szCs w:val="24"/>
        </w:rPr>
        <w:t>endomicroscopy</w:t>
      </w:r>
      <w:proofErr w:type="spellEnd"/>
      <w:r w:rsidR="00F447BB">
        <w:rPr>
          <w:rFonts w:ascii="Book Antiqua" w:hAnsi="Book Antiqua" w:cs="Times New Roman" w:hint="eastAsia"/>
          <w:b/>
          <w:color w:val="000000" w:themeColor="text1"/>
          <w:sz w:val="24"/>
          <w:szCs w:val="24"/>
          <w:lang w:eastAsia="zh-CN"/>
        </w:rPr>
        <w:t xml:space="preserve"> </w:t>
      </w:r>
      <w:r w:rsidRPr="006B24DA">
        <w:rPr>
          <w:rFonts w:ascii="Book Antiqua" w:eastAsia="Times New Roman" w:hAnsi="Book Antiqua" w:cs="Times New Roman"/>
          <w:b/>
          <w:color w:val="000000" w:themeColor="text1"/>
          <w:sz w:val="24"/>
          <w:szCs w:val="24"/>
        </w:rPr>
        <w:t xml:space="preserve">in patients with Barrett’s esophagus. </w:t>
      </w:r>
      <w:r w:rsidRPr="006B24DA">
        <w:rPr>
          <w:rFonts w:ascii="Book Antiqua" w:eastAsia="Times New Roman" w:hAnsi="Book Antiqua" w:cs="Times New Roman"/>
          <w:color w:val="000000" w:themeColor="text1"/>
          <w:sz w:val="24"/>
          <w:szCs w:val="24"/>
        </w:rPr>
        <w:t xml:space="preserve">A: the probe is advanced through the biopsy channel, while stabilizing the scope against the mucosa, the probe makes gentle contact with the surface epithelium; B: Probe-based confocal laser </w:t>
      </w:r>
      <w:proofErr w:type="spellStart"/>
      <w:r w:rsidRPr="006B24DA">
        <w:rPr>
          <w:rFonts w:ascii="Book Antiqua" w:eastAsia="Times New Roman" w:hAnsi="Book Antiqua" w:cs="Times New Roman"/>
          <w:color w:val="000000" w:themeColor="text1"/>
          <w:sz w:val="24"/>
          <w:szCs w:val="24"/>
        </w:rPr>
        <w:t>endomicroscopy</w:t>
      </w:r>
      <w:proofErr w:type="spellEnd"/>
      <w:r w:rsidRPr="006B24DA">
        <w:rPr>
          <w:rFonts w:ascii="Book Antiqua" w:eastAsia="Times New Roman" w:hAnsi="Book Antiqua" w:cs="Times New Roman"/>
          <w:color w:val="000000" w:themeColor="text1"/>
          <w:sz w:val="24"/>
          <w:szCs w:val="24"/>
        </w:rPr>
        <w:t xml:space="preserve"> (</w:t>
      </w:r>
      <w:proofErr w:type="spellStart"/>
      <w:r w:rsidRPr="006B24DA">
        <w:rPr>
          <w:rFonts w:ascii="Book Antiqua" w:eastAsia="Times New Roman" w:hAnsi="Book Antiqua" w:cs="Times New Roman"/>
          <w:color w:val="000000" w:themeColor="text1"/>
          <w:sz w:val="24"/>
          <w:szCs w:val="24"/>
        </w:rPr>
        <w:t>pCLE</w:t>
      </w:r>
      <w:proofErr w:type="spellEnd"/>
      <w:r w:rsidRPr="006B24DA">
        <w:rPr>
          <w:rFonts w:ascii="Book Antiqua" w:eastAsia="Times New Roman" w:hAnsi="Book Antiqua" w:cs="Times New Roman"/>
          <w:color w:val="000000" w:themeColor="text1"/>
          <w:sz w:val="24"/>
          <w:szCs w:val="24"/>
        </w:rPr>
        <w:t xml:space="preserve">) image showing non-dysplastic Barrett’s esophagus (BE). *goblet cells; C: </w:t>
      </w:r>
      <w:proofErr w:type="spellStart"/>
      <w:r w:rsidRPr="006B24DA">
        <w:rPr>
          <w:rFonts w:ascii="Book Antiqua" w:eastAsia="Times New Roman" w:hAnsi="Book Antiqua" w:cs="Times New Roman"/>
          <w:color w:val="000000" w:themeColor="text1"/>
          <w:sz w:val="24"/>
          <w:szCs w:val="24"/>
        </w:rPr>
        <w:t>pCLE</w:t>
      </w:r>
      <w:proofErr w:type="spellEnd"/>
      <w:r w:rsidRPr="006B24DA">
        <w:rPr>
          <w:rFonts w:ascii="Book Antiqua" w:eastAsia="Times New Roman" w:hAnsi="Book Antiqua" w:cs="Times New Roman"/>
          <w:color w:val="000000" w:themeColor="text1"/>
          <w:sz w:val="24"/>
          <w:szCs w:val="24"/>
        </w:rPr>
        <w:t xml:space="preserve"> image showing BE with high grade dysplasia; D: </w:t>
      </w:r>
      <w:proofErr w:type="spellStart"/>
      <w:r w:rsidRPr="006B24DA">
        <w:rPr>
          <w:rFonts w:ascii="Book Antiqua" w:eastAsia="Times New Roman" w:hAnsi="Book Antiqua" w:cs="Times New Roman"/>
          <w:color w:val="000000" w:themeColor="text1"/>
          <w:sz w:val="24"/>
          <w:szCs w:val="24"/>
        </w:rPr>
        <w:t>pCLE</w:t>
      </w:r>
      <w:proofErr w:type="spellEnd"/>
      <w:r w:rsidRPr="006B24DA">
        <w:rPr>
          <w:rFonts w:ascii="Book Antiqua" w:eastAsia="Times New Roman" w:hAnsi="Book Antiqua" w:cs="Times New Roman"/>
          <w:color w:val="000000" w:themeColor="text1"/>
          <w:sz w:val="24"/>
          <w:szCs w:val="24"/>
        </w:rPr>
        <w:t xml:space="preserve"> image showing early adenocarcinoma arising from BE. </w:t>
      </w:r>
      <w:r w:rsidRPr="006B24DA">
        <w:rPr>
          <w:rFonts w:ascii="Book Antiqua" w:eastAsia="Times New Roman" w:hAnsi="Book Antiqua" w:cs="Times New Roman"/>
          <w:color w:val="000000" w:themeColor="text1"/>
          <w:sz w:val="24"/>
          <w:szCs w:val="24"/>
        </w:rPr>
        <w:br w:type="page"/>
      </w:r>
    </w:p>
    <w:p w14:paraId="77055966" w14:textId="77777777" w:rsidR="0051390E" w:rsidRPr="006B24DA" w:rsidRDefault="0051390E" w:rsidP="0051390E">
      <w:pPr>
        <w:adjustRightInd w:val="0"/>
        <w:snapToGrid w:val="0"/>
        <w:spacing w:after="0" w:line="360" w:lineRule="auto"/>
        <w:jc w:val="both"/>
        <w:rPr>
          <w:rFonts w:ascii="Book Antiqua" w:hAnsi="Book Antiqua"/>
          <w:color w:val="000000" w:themeColor="text1"/>
          <w:sz w:val="24"/>
          <w:szCs w:val="24"/>
        </w:rPr>
      </w:pPr>
      <w:r w:rsidRPr="006B24DA">
        <w:rPr>
          <w:rFonts w:ascii="Book Antiqua" w:hAnsi="Book Antiqua"/>
          <w:noProof/>
          <w:color w:val="000000" w:themeColor="text1"/>
          <w:sz w:val="24"/>
          <w:szCs w:val="24"/>
          <w:lang w:eastAsia="zh-CN"/>
        </w:rPr>
        <w:lastRenderedPageBreak/>
        <w:drawing>
          <wp:inline distT="0" distB="0" distL="0" distR="0" wp14:anchorId="0A067BC3" wp14:editId="4B809601">
            <wp:extent cx="5943600" cy="376218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r="5396"/>
                    <a:stretch/>
                  </pic:blipFill>
                  <pic:spPr bwMode="auto">
                    <a:xfrm>
                      <a:off x="0" y="0"/>
                      <a:ext cx="5943600" cy="3762187"/>
                    </a:xfrm>
                    <a:prstGeom prst="rect">
                      <a:avLst/>
                    </a:prstGeom>
                    <a:ln>
                      <a:noFill/>
                    </a:ln>
                    <a:extLst>
                      <a:ext uri="{53640926-AAD7-44D8-BBD7-CCE9431645EC}">
                        <a14:shadowObscured xmlns:a14="http://schemas.microsoft.com/office/drawing/2010/main"/>
                      </a:ext>
                    </a:extLst>
                  </pic:spPr>
                </pic:pic>
              </a:graphicData>
            </a:graphic>
          </wp:inline>
        </w:drawing>
      </w:r>
    </w:p>
    <w:p w14:paraId="2343A6F3" w14:textId="77777777" w:rsidR="0051390E" w:rsidRPr="006B24DA" w:rsidRDefault="0051390E" w:rsidP="0051390E">
      <w:pPr>
        <w:adjustRightInd w:val="0"/>
        <w:snapToGrid w:val="0"/>
        <w:spacing w:after="0" w:line="360" w:lineRule="auto"/>
        <w:jc w:val="both"/>
        <w:rPr>
          <w:rFonts w:ascii="Book Antiqua" w:hAnsi="Book Antiqua"/>
          <w:color w:val="000000" w:themeColor="text1"/>
          <w:sz w:val="24"/>
          <w:szCs w:val="24"/>
        </w:rPr>
      </w:pPr>
      <w:r w:rsidRPr="006B24DA">
        <w:rPr>
          <w:rFonts w:ascii="Book Antiqua" w:eastAsia="Times New Roman" w:hAnsi="Book Antiqua" w:cs="Times New Roman"/>
          <w:b/>
          <w:bCs/>
          <w:color w:val="000000" w:themeColor="text1"/>
          <w:sz w:val="24"/>
          <w:szCs w:val="24"/>
        </w:rPr>
        <w:t>Figure 22</w:t>
      </w:r>
      <w:r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b/>
          <w:color w:val="000000" w:themeColor="text1"/>
          <w:sz w:val="24"/>
          <w:szCs w:val="24"/>
        </w:rPr>
        <w:t xml:space="preserve">Volumetric laser </w:t>
      </w:r>
      <w:proofErr w:type="spellStart"/>
      <w:r w:rsidRPr="006B24DA">
        <w:rPr>
          <w:rFonts w:ascii="Book Antiqua" w:eastAsia="Times New Roman" w:hAnsi="Book Antiqua" w:cs="Times New Roman"/>
          <w:b/>
          <w:color w:val="000000" w:themeColor="text1"/>
          <w:sz w:val="24"/>
          <w:szCs w:val="24"/>
        </w:rPr>
        <w:t>endomicroscopy</w:t>
      </w:r>
      <w:proofErr w:type="spellEnd"/>
      <w:r w:rsidRPr="006B24DA">
        <w:rPr>
          <w:rFonts w:ascii="Book Antiqua" w:eastAsia="Times New Roman" w:hAnsi="Book Antiqua" w:cs="Times New Roman"/>
          <w:b/>
          <w:color w:val="000000" w:themeColor="text1"/>
          <w:sz w:val="24"/>
          <w:szCs w:val="24"/>
        </w:rPr>
        <w:t xml:space="preserve"> in patient with Barrett’s esophagus and high grade dysplasia.</w:t>
      </w:r>
      <w:r w:rsidRPr="006B24DA">
        <w:rPr>
          <w:rFonts w:ascii="Book Antiqua" w:eastAsia="Times New Roman" w:hAnsi="Book Antiqua" w:cs="Times New Roman"/>
          <w:color w:val="000000" w:themeColor="text1"/>
          <w:sz w:val="24"/>
          <w:szCs w:val="24"/>
        </w:rPr>
        <w:t xml:space="preserve"> A: Volumetric laser </w:t>
      </w:r>
      <w:proofErr w:type="spellStart"/>
      <w:r w:rsidRPr="006B24DA">
        <w:rPr>
          <w:rFonts w:ascii="Book Antiqua" w:eastAsia="Times New Roman" w:hAnsi="Book Antiqua" w:cs="Times New Roman"/>
          <w:color w:val="000000" w:themeColor="text1"/>
          <w:sz w:val="24"/>
          <w:szCs w:val="24"/>
        </w:rPr>
        <w:t>endomicroscopy</w:t>
      </w:r>
      <w:proofErr w:type="spellEnd"/>
      <w:r w:rsidRPr="006B24DA">
        <w:rPr>
          <w:rFonts w:ascii="Book Antiqua" w:eastAsia="Times New Roman" w:hAnsi="Book Antiqua" w:cs="Times New Roman"/>
          <w:color w:val="000000" w:themeColor="text1"/>
          <w:sz w:val="24"/>
          <w:szCs w:val="24"/>
        </w:rPr>
        <w:t xml:space="preserve"> showing an area of atypical glands covered by normal squamous epithelium; B: Magnification of region of interest (dotted box in image A) showing presence of 2 atypical glands; C: This area underwent endoscopic resection with pathology showing moderately differentiated adenocarcinoma in the background of high grade dysplasia and Barrett’s esophagus. The malignant glandular structures (arrows) were buried beneath squamous epithelium. </w:t>
      </w:r>
    </w:p>
    <w:p w14:paraId="75688CB8" w14:textId="77777777" w:rsidR="0051390E" w:rsidRPr="006B24DA" w:rsidRDefault="0051390E" w:rsidP="0051390E">
      <w:pPr>
        <w:adjustRightInd w:val="0"/>
        <w:snapToGrid w:val="0"/>
        <w:spacing w:after="0" w:line="360" w:lineRule="auto"/>
        <w:jc w:val="both"/>
        <w:rPr>
          <w:rFonts w:ascii="Book Antiqua" w:hAnsi="Book Antiqua"/>
          <w:color w:val="000000" w:themeColor="text1"/>
          <w:sz w:val="24"/>
          <w:szCs w:val="24"/>
        </w:rPr>
      </w:pPr>
      <w:r w:rsidRPr="006B24DA">
        <w:rPr>
          <w:rFonts w:ascii="Book Antiqua" w:hAnsi="Book Antiqua"/>
          <w:color w:val="000000" w:themeColor="text1"/>
          <w:sz w:val="24"/>
          <w:szCs w:val="24"/>
        </w:rPr>
        <w:br w:type="page"/>
      </w:r>
    </w:p>
    <w:p w14:paraId="46EB63E2" w14:textId="77777777" w:rsidR="0051390E" w:rsidRPr="006B24DA" w:rsidRDefault="0051390E" w:rsidP="0051390E">
      <w:pPr>
        <w:adjustRightInd w:val="0"/>
        <w:snapToGrid w:val="0"/>
        <w:spacing w:after="0" w:line="360" w:lineRule="auto"/>
        <w:jc w:val="both"/>
        <w:rPr>
          <w:rFonts w:ascii="Book Antiqua" w:hAnsi="Book Antiqua"/>
          <w:color w:val="000000" w:themeColor="text1"/>
          <w:sz w:val="24"/>
          <w:szCs w:val="24"/>
        </w:rPr>
      </w:pPr>
    </w:p>
    <w:p w14:paraId="4F63A473"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b/>
          <w:bCs/>
          <w:color w:val="000000" w:themeColor="text1"/>
          <w:sz w:val="24"/>
          <w:szCs w:val="24"/>
        </w:rPr>
      </w:pPr>
      <w:r w:rsidRPr="006B24DA">
        <w:rPr>
          <w:rFonts w:ascii="Book Antiqua" w:eastAsia="Times New Roman" w:hAnsi="Book Antiqua" w:cs="Times New Roman"/>
          <w:b/>
          <w:bCs/>
          <w:noProof/>
          <w:color w:val="000000" w:themeColor="text1"/>
          <w:sz w:val="24"/>
          <w:szCs w:val="24"/>
          <w:lang w:eastAsia="zh-CN"/>
        </w:rPr>
        <w:drawing>
          <wp:inline distT="0" distB="0" distL="0" distR="0" wp14:anchorId="21AB484B" wp14:editId="43013AF7">
            <wp:extent cx="5943600" cy="305623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 24 Gastric SMT NET FTRD.jpg"/>
                    <pic:cNvPicPr/>
                  </pic:nvPicPr>
                  <pic:blipFill rotWithShape="1">
                    <a:blip r:embed="rId32">
                      <a:extLst>
                        <a:ext uri="{28A0092B-C50C-407E-A947-70E740481C1C}">
                          <a14:useLocalDpi xmlns:a14="http://schemas.microsoft.com/office/drawing/2010/main" val="0"/>
                        </a:ext>
                      </a:extLst>
                    </a:blip>
                    <a:srcRect r="4487"/>
                    <a:stretch/>
                  </pic:blipFill>
                  <pic:spPr bwMode="auto">
                    <a:xfrm>
                      <a:off x="0" y="0"/>
                      <a:ext cx="5943600" cy="3056234"/>
                    </a:xfrm>
                    <a:prstGeom prst="rect">
                      <a:avLst/>
                    </a:prstGeom>
                    <a:ln>
                      <a:noFill/>
                    </a:ln>
                    <a:extLst>
                      <a:ext uri="{53640926-AAD7-44D8-BBD7-CCE9431645EC}">
                        <a14:shadowObscured xmlns:a14="http://schemas.microsoft.com/office/drawing/2010/main"/>
                      </a:ext>
                    </a:extLst>
                  </pic:spPr>
                </pic:pic>
              </a:graphicData>
            </a:graphic>
          </wp:inline>
        </w:drawing>
      </w:r>
    </w:p>
    <w:p w14:paraId="3CA8B754"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proofErr w:type="gramStart"/>
      <w:r w:rsidRPr="006B24DA">
        <w:rPr>
          <w:rFonts w:ascii="Book Antiqua" w:eastAsia="Times New Roman" w:hAnsi="Book Antiqua" w:cs="Times New Roman"/>
          <w:b/>
          <w:bCs/>
          <w:color w:val="000000" w:themeColor="text1"/>
          <w:sz w:val="24"/>
          <w:szCs w:val="24"/>
        </w:rPr>
        <w:t>Figure 23</w:t>
      </w:r>
      <w:r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b/>
          <w:color w:val="000000" w:themeColor="text1"/>
          <w:sz w:val="24"/>
          <w:szCs w:val="24"/>
        </w:rPr>
        <w:t>Full thickness resection using FTRD Device for submucosal tumor in the gastric pylorus.</w:t>
      </w:r>
      <w:proofErr w:type="gramEnd"/>
      <w:r w:rsidRPr="006B24DA">
        <w:rPr>
          <w:rFonts w:ascii="Book Antiqua" w:eastAsia="Times New Roman" w:hAnsi="Book Antiqua" w:cs="Times New Roman"/>
          <w:b/>
          <w:color w:val="000000" w:themeColor="text1"/>
          <w:sz w:val="24"/>
          <w:szCs w:val="24"/>
        </w:rPr>
        <w:t xml:space="preserve"> </w:t>
      </w:r>
      <w:r w:rsidRPr="006B24DA">
        <w:rPr>
          <w:rFonts w:ascii="Book Antiqua" w:eastAsia="Times New Roman" w:hAnsi="Book Antiqua" w:cs="Times New Roman"/>
          <w:color w:val="000000" w:themeColor="text1"/>
          <w:sz w:val="24"/>
          <w:szCs w:val="24"/>
        </w:rPr>
        <w:t xml:space="preserve">A: One point five centimeters submucosal tumor at the level of pylorus; B: Endoscopic ultrasound showing 1.3 cm × 1.1 cm submucosal tumor concerning for neuroendocrine tumor; C: Lesion viewed through double channel therapeutic scope with 21-mm transparent cap; D: Helical retractor was used to secure the lesion and pull it into the cap; E: Entire lesion is now within the cap; F: The entire wall was captured in the large clip and resection was completed above the closed clip; G: Lesion resected </w:t>
      </w:r>
      <w:proofErr w:type="spellStart"/>
      <w:r w:rsidRPr="006B24DA">
        <w:rPr>
          <w:rFonts w:ascii="Book Antiqua" w:eastAsia="Times New Roman" w:hAnsi="Book Antiqua" w:cs="Times New Roman"/>
          <w:i/>
          <w:color w:val="000000" w:themeColor="text1"/>
          <w:sz w:val="24"/>
          <w:szCs w:val="24"/>
        </w:rPr>
        <w:t>en</w:t>
      </w:r>
      <w:proofErr w:type="spellEnd"/>
      <w:r w:rsidRPr="006B24DA">
        <w:rPr>
          <w:rFonts w:ascii="Book Antiqua" w:eastAsia="Times New Roman" w:hAnsi="Book Antiqua" w:cs="Times New Roman"/>
          <w:i/>
          <w:color w:val="000000" w:themeColor="text1"/>
          <w:sz w:val="24"/>
          <w:szCs w:val="24"/>
        </w:rPr>
        <w:t xml:space="preserve"> bloc</w:t>
      </w:r>
      <w:r w:rsidRPr="006B24DA">
        <w:rPr>
          <w:rFonts w:ascii="Book Antiqua" w:eastAsia="Times New Roman" w:hAnsi="Book Antiqua" w:cs="Times New Roman"/>
          <w:color w:val="000000" w:themeColor="text1"/>
          <w:sz w:val="24"/>
          <w:szCs w:val="24"/>
        </w:rPr>
        <w:t>; H: Histologic specimen showing complete specimen with negative deep and lateral margins.</w:t>
      </w:r>
    </w:p>
    <w:p w14:paraId="2F8DEC68" w14:textId="77777777" w:rsidR="0051390E" w:rsidRPr="006B24DA" w:rsidRDefault="0051390E" w:rsidP="0051390E">
      <w:pPr>
        <w:adjustRightInd w:val="0"/>
        <w:snapToGrid w:val="0"/>
        <w:spacing w:after="0" w:line="360" w:lineRule="auto"/>
        <w:jc w:val="both"/>
        <w:rPr>
          <w:rFonts w:ascii="Book Antiqua" w:hAnsi="Book Antiqua"/>
          <w:color w:val="000000" w:themeColor="text1"/>
          <w:sz w:val="24"/>
          <w:szCs w:val="24"/>
        </w:rPr>
      </w:pPr>
      <w:r w:rsidRPr="006B24DA">
        <w:rPr>
          <w:rFonts w:ascii="Book Antiqua" w:hAnsi="Book Antiqua"/>
          <w:color w:val="000000" w:themeColor="text1"/>
          <w:sz w:val="24"/>
          <w:szCs w:val="24"/>
        </w:rPr>
        <w:br w:type="page"/>
      </w:r>
    </w:p>
    <w:p w14:paraId="5AC350CB" w14:textId="201C5D9A"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b/>
          <w:bCs/>
          <w:noProof/>
          <w:color w:val="000000" w:themeColor="text1"/>
          <w:sz w:val="24"/>
          <w:szCs w:val="24"/>
          <w:lang w:eastAsia="zh-CN"/>
        </w:rPr>
        <w:lastRenderedPageBreak/>
        <w:drawing>
          <wp:inline distT="0" distB="0" distL="0" distR="0" wp14:anchorId="213FE7C7" wp14:editId="2BAB932A">
            <wp:extent cx="5943600" cy="3696469"/>
            <wp:effectExtent l="0" t="0" r="0" b="0"/>
            <wp:docPr id="13" name="Picture 13" descr="C:\Users\kchang\Dropbox\aaFrontier Manu Figures Only\Fig 25 ESD Tra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chang\Dropbox\aaFrontier Manu Figures Only\Fig 25 ESD Traction.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5030" b="17575"/>
                    <a:stretch/>
                  </pic:blipFill>
                  <pic:spPr bwMode="auto">
                    <a:xfrm>
                      <a:off x="0" y="0"/>
                      <a:ext cx="5943600" cy="3696469"/>
                    </a:xfrm>
                    <a:prstGeom prst="rect">
                      <a:avLst/>
                    </a:prstGeom>
                    <a:noFill/>
                    <a:ln>
                      <a:noFill/>
                    </a:ln>
                    <a:extLst>
                      <a:ext uri="{53640926-AAD7-44D8-BBD7-CCE9431645EC}">
                        <a14:shadowObscured xmlns:a14="http://schemas.microsoft.com/office/drawing/2010/main"/>
                      </a:ext>
                    </a:extLst>
                  </pic:spPr>
                </pic:pic>
              </a:graphicData>
            </a:graphic>
          </wp:inline>
        </w:drawing>
      </w:r>
      <w:r w:rsidRPr="006B24DA">
        <w:rPr>
          <w:rFonts w:ascii="Book Antiqua" w:eastAsia="Times New Roman" w:hAnsi="Book Antiqua" w:cs="Times New Roman"/>
          <w:b/>
          <w:bCs/>
          <w:color w:val="000000" w:themeColor="text1"/>
          <w:sz w:val="24"/>
          <w:szCs w:val="24"/>
        </w:rPr>
        <w:t>Figure 24</w:t>
      </w:r>
      <w:r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b/>
          <w:color w:val="000000" w:themeColor="text1"/>
          <w:sz w:val="24"/>
          <w:szCs w:val="24"/>
        </w:rPr>
        <w:t xml:space="preserve">Endoscopic submucosal dissection of 15-mm </w:t>
      </w:r>
      <w:proofErr w:type="spellStart"/>
      <w:r w:rsidRPr="006B24DA">
        <w:rPr>
          <w:rFonts w:ascii="Book Antiqua" w:eastAsia="Times New Roman" w:hAnsi="Book Antiqua" w:cs="Times New Roman"/>
          <w:b/>
          <w:color w:val="000000" w:themeColor="text1"/>
          <w:sz w:val="24"/>
          <w:szCs w:val="24"/>
        </w:rPr>
        <w:t>IIa+c</w:t>
      </w:r>
      <w:proofErr w:type="spellEnd"/>
      <w:r w:rsidRPr="006B24DA">
        <w:rPr>
          <w:rFonts w:ascii="Book Antiqua" w:eastAsia="Times New Roman" w:hAnsi="Book Antiqua" w:cs="Times New Roman"/>
          <w:b/>
          <w:color w:val="000000" w:themeColor="text1"/>
          <w:sz w:val="24"/>
          <w:szCs w:val="24"/>
        </w:rPr>
        <w:t xml:space="preserve"> </w:t>
      </w:r>
      <w:proofErr w:type="spellStart"/>
      <w:r w:rsidRPr="006B24DA">
        <w:rPr>
          <w:rFonts w:ascii="Book Antiqua" w:eastAsia="Times New Roman" w:hAnsi="Book Antiqua" w:cs="Times New Roman"/>
          <w:b/>
          <w:color w:val="000000" w:themeColor="text1"/>
          <w:sz w:val="24"/>
          <w:szCs w:val="24"/>
        </w:rPr>
        <w:t>intramucosal</w:t>
      </w:r>
      <w:proofErr w:type="spellEnd"/>
      <w:r w:rsidRPr="006B24DA">
        <w:rPr>
          <w:rFonts w:ascii="Book Antiqua" w:eastAsia="Times New Roman" w:hAnsi="Book Antiqua" w:cs="Times New Roman"/>
          <w:b/>
          <w:color w:val="000000" w:themeColor="text1"/>
          <w:sz w:val="24"/>
          <w:szCs w:val="24"/>
        </w:rPr>
        <w:t xml:space="preserve"> carcinoma of stomach along lesser curve body using </w:t>
      </w:r>
      <w:bookmarkStart w:id="215" w:name="OLE_LINK123"/>
      <w:r w:rsidRPr="006B24DA">
        <w:rPr>
          <w:rFonts w:ascii="Book Antiqua" w:eastAsia="Times New Roman" w:hAnsi="Book Antiqua" w:cs="Times New Roman"/>
          <w:b/>
          <w:color w:val="000000" w:themeColor="text1"/>
          <w:sz w:val="24"/>
          <w:szCs w:val="24"/>
        </w:rPr>
        <w:t>multi-loop</w:t>
      </w:r>
      <w:bookmarkEnd w:id="215"/>
      <w:r w:rsidRPr="006B24DA">
        <w:rPr>
          <w:rFonts w:ascii="Book Antiqua" w:eastAsia="Times New Roman" w:hAnsi="Book Antiqua" w:cs="Times New Roman"/>
          <w:b/>
          <w:color w:val="000000" w:themeColor="text1"/>
          <w:sz w:val="24"/>
          <w:szCs w:val="24"/>
        </w:rPr>
        <w:t xml:space="preserve"> technique.</w:t>
      </w:r>
      <w:r w:rsidRPr="006B24DA">
        <w:rPr>
          <w:rFonts w:ascii="Book Antiqua" w:eastAsia="Times New Roman" w:hAnsi="Book Antiqua" w:cs="Times New Roman"/>
          <w:color w:val="000000" w:themeColor="text1"/>
          <w:sz w:val="24"/>
          <w:szCs w:val="24"/>
        </w:rPr>
        <w:t xml:space="preserve"> A: The lesion is marked using spot coagulation; B: Circumferential incision is performed using the </w:t>
      </w:r>
      <w:proofErr w:type="spellStart"/>
      <w:r w:rsidRPr="006B24DA">
        <w:rPr>
          <w:rFonts w:ascii="Book Antiqua" w:eastAsia="Times New Roman" w:hAnsi="Book Antiqua" w:cs="Times New Roman"/>
          <w:color w:val="000000" w:themeColor="text1"/>
          <w:sz w:val="24"/>
          <w:szCs w:val="24"/>
        </w:rPr>
        <w:t>i</w:t>
      </w:r>
      <w:proofErr w:type="spellEnd"/>
      <w:r w:rsidRPr="006B24DA">
        <w:rPr>
          <w:rFonts w:ascii="Book Antiqua" w:eastAsia="Times New Roman" w:hAnsi="Book Antiqua" w:cs="Times New Roman"/>
          <w:color w:val="000000" w:themeColor="text1"/>
          <w:sz w:val="24"/>
          <w:szCs w:val="24"/>
        </w:rPr>
        <w:t>-knife, however the angle of approach on the proximal side is difficult for submucosal entry and dissection; C: Three loops are created using dental floss, captured with a clip passed through the biopsy channel (no need for scope removal or additional equipment); D: The clip is opened (the string can be pre-tied to one leg of the clip) and positioned to grasp the proximal edge of the specimen; E: The 1</w:t>
      </w:r>
      <w:r w:rsidRPr="006B24DA">
        <w:rPr>
          <w:rFonts w:ascii="Book Antiqua" w:eastAsia="Times New Roman" w:hAnsi="Book Antiqua" w:cs="Times New Roman"/>
          <w:color w:val="000000" w:themeColor="text1"/>
          <w:sz w:val="24"/>
          <w:szCs w:val="24"/>
          <w:vertAlign w:val="superscript"/>
        </w:rPr>
        <w:t>st</w:t>
      </w:r>
      <w:r w:rsidRPr="006B24DA">
        <w:rPr>
          <w:rFonts w:ascii="Book Antiqua" w:eastAsia="Times New Roman" w:hAnsi="Book Antiqua" w:cs="Times New Roman"/>
          <w:color w:val="000000" w:themeColor="text1"/>
          <w:sz w:val="24"/>
          <w:szCs w:val="24"/>
        </w:rPr>
        <w:t xml:space="preserve"> clip is released, anchoring the string to the specimen; F: A 2</w:t>
      </w:r>
      <w:r w:rsidRPr="006B24DA">
        <w:rPr>
          <w:rFonts w:ascii="Book Antiqua" w:eastAsia="Times New Roman" w:hAnsi="Book Antiqua" w:cs="Times New Roman"/>
          <w:color w:val="000000" w:themeColor="text1"/>
          <w:sz w:val="24"/>
          <w:szCs w:val="24"/>
          <w:vertAlign w:val="superscript"/>
        </w:rPr>
        <w:t>nd</w:t>
      </w:r>
      <w:r w:rsidRPr="006B24DA">
        <w:rPr>
          <w:rFonts w:ascii="Book Antiqua" w:eastAsia="Times New Roman" w:hAnsi="Book Antiqua" w:cs="Times New Roman"/>
          <w:color w:val="000000" w:themeColor="text1"/>
          <w:sz w:val="24"/>
          <w:szCs w:val="24"/>
        </w:rPr>
        <w:t xml:space="preserve"> clip is used to catch the distal loop and anchor to opposite wall of stomach; G: If necessary, a 3</w:t>
      </w:r>
      <w:r w:rsidRPr="006B24DA">
        <w:rPr>
          <w:rFonts w:ascii="Book Antiqua" w:eastAsia="Times New Roman" w:hAnsi="Book Antiqua" w:cs="Times New Roman"/>
          <w:color w:val="000000" w:themeColor="text1"/>
          <w:sz w:val="24"/>
          <w:szCs w:val="24"/>
          <w:vertAlign w:val="superscript"/>
        </w:rPr>
        <w:t>rd</w:t>
      </w:r>
      <w:r w:rsidRPr="006B24DA">
        <w:rPr>
          <w:rFonts w:ascii="Book Antiqua" w:eastAsia="Times New Roman" w:hAnsi="Book Antiqua" w:cs="Times New Roman"/>
          <w:color w:val="000000" w:themeColor="text1"/>
          <w:sz w:val="24"/>
          <w:szCs w:val="24"/>
        </w:rPr>
        <w:t xml:space="preserve"> clip can be used to grasp the middle loop; H: This can be helpful to further tighten or re-direct the traction angle; I: the submucosal space is much easier to enter with multi-loop traction; J: submucosal dissection in the </w:t>
      </w:r>
      <w:proofErr w:type="spellStart"/>
      <w:r w:rsidRPr="006B24DA">
        <w:rPr>
          <w:rFonts w:ascii="Book Antiqua" w:eastAsia="Times New Roman" w:hAnsi="Book Antiqua" w:cs="Times New Roman"/>
          <w:color w:val="000000" w:themeColor="text1"/>
          <w:sz w:val="24"/>
          <w:szCs w:val="24"/>
        </w:rPr>
        <w:t>antegrade</w:t>
      </w:r>
      <w:proofErr w:type="spellEnd"/>
      <w:r w:rsidRPr="006B24DA">
        <w:rPr>
          <w:rFonts w:ascii="Book Antiqua" w:eastAsia="Times New Roman" w:hAnsi="Book Antiqua" w:cs="Times New Roman"/>
          <w:color w:val="000000" w:themeColor="text1"/>
          <w:sz w:val="24"/>
          <w:szCs w:val="24"/>
        </w:rPr>
        <w:t xml:space="preserve"> approach is greatly facilitated; K: The specimen is resected </w:t>
      </w:r>
      <w:proofErr w:type="spellStart"/>
      <w:r w:rsidRPr="006B24DA">
        <w:rPr>
          <w:rFonts w:ascii="Book Antiqua" w:eastAsia="Times New Roman" w:hAnsi="Book Antiqua" w:cs="Times New Roman"/>
          <w:i/>
          <w:color w:val="000000" w:themeColor="text1"/>
          <w:sz w:val="24"/>
          <w:szCs w:val="24"/>
        </w:rPr>
        <w:t>en</w:t>
      </w:r>
      <w:proofErr w:type="spellEnd"/>
      <w:r w:rsidRPr="006B24DA">
        <w:rPr>
          <w:rFonts w:ascii="Book Antiqua" w:eastAsia="Times New Roman" w:hAnsi="Book Antiqua" w:cs="Times New Roman"/>
          <w:i/>
          <w:color w:val="000000" w:themeColor="text1"/>
          <w:sz w:val="24"/>
          <w:szCs w:val="24"/>
        </w:rPr>
        <w:t xml:space="preserve"> bloc</w:t>
      </w:r>
      <w:r w:rsidRPr="006B24DA">
        <w:rPr>
          <w:rFonts w:ascii="Book Antiqua" w:eastAsia="Times New Roman" w:hAnsi="Book Antiqua" w:cs="Times New Roman"/>
          <w:color w:val="000000" w:themeColor="text1"/>
          <w:sz w:val="24"/>
          <w:szCs w:val="24"/>
        </w:rPr>
        <w:t xml:space="preserve">; L: Histology confirmed a well differentiated grade 1 adenocarcinoma with invasion to the </w:t>
      </w:r>
      <w:proofErr w:type="spellStart"/>
      <w:r w:rsidRPr="006B24DA">
        <w:rPr>
          <w:rFonts w:ascii="Book Antiqua" w:eastAsia="Times New Roman" w:hAnsi="Book Antiqua" w:cs="Times New Roman"/>
          <w:color w:val="000000" w:themeColor="text1"/>
          <w:sz w:val="24"/>
          <w:szCs w:val="24"/>
        </w:rPr>
        <w:t>muscularis</w:t>
      </w:r>
      <w:proofErr w:type="spellEnd"/>
      <w:r w:rsidRPr="006B24DA">
        <w:rPr>
          <w:rFonts w:ascii="Book Antiqua" w:eastAsia="Times New Roman" w:hAnsi="Book Antiqua" w:cs="Times New Roman"/>
          <w:color w:val="000000" w:themeColor="text1"/>
          <w:sz w:val="24"/>
          <w:szCs w:val="24"/>
        </w:rPr>
        <w:t xml:space="preserve"> mucosa with negative deep and lateral margins, no </w:t>
      </w:r>
      <w:proofErr w:type="spellStart"/>
      <w:r w:rsidRPr="006B24DA">
        <w:rPr>
          <w:rFonts w:ascii="Book Antiqua" w:eastAsia="Times New Roman" w:hAnsi="Book Antiqua" w:cs="Times New Roman"/>
          <w:color w:val="000000" w:themeColor="text1"/>
          <w:sz w:val="24"/>
          <w:szCs w:val="24"/>
        </w:rPr>
        <w:t>lymphovascular</w:t>
      </w:r>
      <w:proofErr w:type="spellEnd"/>
      <w:r w:rsidRPr="006B24DA">
        <w:rPr>
          <w:rFonts w:ascii="Book Antiqua" w:eastAsia="Times New Roman" w:hAnsi="Book Antiqua" w:cs="Times New Roman"/>
          <w:color w:val="000000" w:themeColor="text1"/>
          <w:sz w:val="24"/>
          <w:szCs w:val="24"/>
        </w:rPr>
        <w:t xml:space="preserve"> invasion.</w:t>
      </w:r>
      <w:r w:rsidRPr="006B24DA">
        <w:rPr>
          <w:rFonts w:ascii="Book Antiqua" w:eastAsia="Times New Roman" w:hAnsi="Book Antiqua" w:cs="Times New Roman"/>
          <w:color w:val="000000" w:themeColor="text1"/>
          <w:sz w:val="24"/>
          <w:szCs w:val="24"/>
        </w:rPr>
        <w:br w:type="page"/>
      </w:r>
    </w:p>
    <w:p w14:paraId="11FF4F4B"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noProof/>
          <w:color w:val="000000" w:themeColor="text1"/>
          <w:sz w:val="24"/>
          <w:szCs w:val="24"/>
          <w:lang w:eastAsia="zh-CN"/>
        </w:rPr>
        <w:lastRenderedPageBreak/>
        <w:drawing>
          <wp:inline distT="0" distB="0" distL="0" distR="0" wp14:anchorId="70396BE0" wp14:editId="65EC645D">
            <wp:extent cx="5943600" cy="2415609"/>
            <wp:effectExtent l="0" t="0" r="0" b="3810"/>
            <wp:docPr id="26" name="Picture 26" descr="C:\Users\kchang\Dropbox\aaFrontier Manu Figures Only\Fig 26 FTR Suture Clos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chang\Dropbox\aaFrontier Manu Figures Only\Fig 26 FTR Suture Closure.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2415609"/>
                    </a:xfrm>
                    <a:prstGeom prst="rect">
                      <a:avLst/>
                    </a:prstGeom>
                    <a:noFill/>
                    <a:ln>
                      <a:noFill/>
                    </a:ln>
                  </pic:spPr>
                </pic:pic>
              </a:graphicData>
            </a:graphic>
          </wp:inline>
        </w:drawing>
      </w:r>
    </w:p>
    <w:p w14:paraId="0A91B808"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b/>
          <w:bCs/>
          <w:color w:val="000000" w:themeColor="text1"/>
          <w:sz w:val="24"/>
          <w:szCs w:val="24"/>
        </w:rPr>
        <w:t>Figure 25</w:t>
      </w:r>
      <w:r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b/>
          <w:color w:val="000000" w:themeColor="text1"/>
          <w:sz w:val="24"/>
          <w:szCs w:val="24"/>
        </w:rPr>
        <w:t xml:space="preserve">Large gastric </w:t>
      </w:r>
      <w:proofErr w:type="gramStart"/>
      <w:r w:rsidRPr="006B24DA">
        <w:rPr>
          <w:rFonts w:ascii="Book Antiqua" w:eastAsia="Times New Roman" w:hAnsi="Book Antiqua" w:cs="Times New Roman"/>
          <w:b/>
          <w:color w:val="000000" w:themeColor="text1"/>
          <w:sz w:val="24"/>
          <w:szCs w:val="24"/>
        </w:rPr>
        <w:t>defect</w:t>
      </w:r>
      <w:proofErr w:type="gramEnd"/>
      <w:r w:rsidRPr="006B24DA">
        <w:rPr>
          <w:rFonts w:ascii="Book Antiqua" w:eastAsia="Times New Roman" w:hAnsi="Book Antiqua" w:cs="Times New Roman"/>
          <w:b/>
          <w:color w:val="000000" w:themeColor="text1"/>
          <w:sz w:val="24"/>
          <w:szCs w:val="24"/>
        </w:rPr>
        <w:t xml:space="preserve"> after full thickness resection of neuroendocrine tumor closed with endoscopic suturing.</w:t>
      </w:r>
      <w:r w:rsidRPr="006B24DA">
        <w:rPr>
          <w:rFonts w:ascii="Book Antiqua" w:eastAsia="Times New Roman" w:hAnsi="Book Antiqua" w:cs="Times New Roman"/>
          <w:color w:val="000000" w:themeColor="text1"/>
          <w:sz w:val="24"/>
          <w:szCs w:val="24"/>
        </w:rPr>
        <w:t xml:space="preserve"> </w:t>
      </w:r>
      <w:bookmarkStart w:id="216" w:name="OLE_LINK124"/>
      <w:bookmarkStart w:id="217" w:name="OLE_LINK125"/>
      <w:r w:rsidRPr="006B24DA">
        <w:rPr>
          <w:rFonts w:ascii="Book Antiqua" w:eastAsia="Times New Roman" w:hAnsi="Book Antiqua" w:cs="Times New Roman"/>
          <w:color w:val="000000" w:themeColor="text1"/>
          <w:sz w:val="24"/>
          <w:szCs w:val="24"/>
        </w:rPr>
        <w:t>A: Four-centimeter full thickness wound in posterior body of stomach, omental fat seen at base of defect; B: First suture - use helical tissue retractor to grab left edge of distal defect; C: After taking first bite on distal left (needle going from mucosa to serosa), second bite on distal right (needle going from serosa to mucosa); D: Approximately 8 bites are taken, alternating from left to right, with the last bite having the needle from mucosa-serosa-mucosa in single throw; E: First continuous running suture completed and needle anchor released for tightening and suture release; F: Second row of running suture placed for double reinforcement; G: Double suture closure completed; H: Contrast study shows luminal narrowing with no leak.</w:t>
      </w:r>
      <w:bookmarkEnd w:id="216"/>
      <w:bookmarkEnd w:id="217"/>
    </w:p>
    <w:p w14:paraId="134DBED6"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br w:type="page"/>
      </w:r>
    </w:p>
    <w:p w14:paraId="289EC680"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noProof/>
          <w:color w:val="000000" w:themeColor="text1"/>
          <w:sz w:val="24"/>
          <w:szCs w:val="24"/>
          <w:lang w:eastAsia="zh-CN"/>
        </w:rPr>
        <w:lastRenderedPageBreak/>
        <w:drawing>
          <wp:inline distT="0" distB="0" distL="0" distR="0" wp14:anchorId="38D32485" wp14:editId="172CC8E7">
            <wp:extent cx="5943600" cy="4781048"/>
            <wp:effectExtent l="0" t="0" r="0" b="635"/>
            <wp:docPr id="27" name="Picture 27" descr="C:\Users\kchang\Dropbox\aaFrontier Manu Figures Only\Fig 27 G PO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chang\Dropbox\aaFrontier Manu Figures Only\Fig 27 G POEM.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4781048"/>
                    </a:xfrm>
                    <a:prstGeom prst="rect">
                      <a:avLst/>
                    </a:prstGeom>
                    <a:noFill/>
                    <a:ln>
                      <a:noFill/>
                    </a:ln>
                  </pic:spPr>
                </pic:pic>
              </a:graphicData>
            </a:graphic>
          </wp:inline>
        </w:drawing>
      </w:r>
    </w:p>
    <w:p w14:paraId="6E31DD29" w14:textId="66FDF8A3"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b/>
          <w:bCs/>
          <w:color w:val="000000" w:themeColor="text1"/>
          <w:sz w:val="24"/>
          <w:szCs w:val="24"/>
        </w:rPr>
        <w:t>Figure 26</w:t>
      </w:r>
      <w:r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b/>
          <w:color w:val="000000" w:themeColor="text1"/>
          <w:sz w:val="24"/>
          <w:szCs w:val="24"/>
        </w:rPr>
        <w:t xml:space="preserve">Gastric per-oral endoscopic </w:t>
      </w:r>
      <w:proofErr w:type="spellStart"/>
      <w:r w:rsidRPr="006B24DA">
        <w:rPr>
          <w:rFonts w:ascii="Book Antiqua" w:eastAsia="Times New Roman" w:hAnsi="Book Antiqua" w:cs="Times New Roman"/>
          <w:b/>
          <w:color w:val="000000" w:themeColor="text1"/>
          <w:sz w:val="24"/>
          <w:szCs w:val="24"/>
        </w:rPr>
        <w:t>pyloromyotomy</w:t>
      </w:r>
      <w:proofErr w:type="spellEnd"/>
      <w:r w:rsidR="00B617D5">
        <w:rPr>
          <w:rFonts w:ascii="Book Antiqua" w:hAnsi="Book Antiqua" w:cs="Times New Roman" w:hint="eastAsia"/>
          <w:b/>
          <w:color w:val="000000" w:themeColor="text1"/>
          <w:sz w:val="24"/>
          <w:szCs w:val="24"/>
          <w:lang w:eastAsia="zh-CN"/>
        </w:rPr>
        <w:t xml:space="preserve"> </w:t>
      </w:r>
      <w:r w:rsidRPr="006B24DA">
        <w:rPr>
          <w:rFonts w:ascii="Book Antiqua" w:eastAsia="Times New Roman" w:hAnsi="Book Antiqua" w:cs="Times New Roman"/>
          <w:b/>
          <w:color w:val="000000" w:themeColor="text1"/>
          <w:sz w:val="24"/>
          <w:szCs w:val="24"/>
        </w:rPr>
        <w:t xml:space="preserve">in a patient with severe gastroparesis. </w:t>
      </w:r>
      <w:r w:rsidRPr="006B24DA">
        <w:rPr>
          <w:rFonts w:ascii="Book Antiqua" w:eastAsia="Times New Roman" w:hAnsi="Book Antiqua" w:cs="Times New Roman"/>
          <w:color w:val="000000" w:themeColor="text1"/>
          <w:sz w:val="24"/>
          <w:szCs w:val="24"/>
        </w:rPr>
        <w:t xml:space="preserve">A: Markings made for mucosal incision on the antrum greater curve, 4-5 cm proximal to the pylorus; B: Submucosal injection; C: Initial mucosal incision; D: Submucosal tunnel extended with </w:t>
      </w:r>
      <w:proofErr w:type="spellStart"/>
      <w:r w:rsidRPr="006B24DA">
        <w:rPr>
          <w:rFonts w:ascii="Book Antiqua" w:eastAsia="Times New Roman" w:hAnsi="Book Antiqua" w:cs="Times New Roman"/>
          <w:color w:val="000000" w:themeColor="text1"/>
          <w:sz w:val="24"/>
          <w:szCs w:val="24"/>
        </w:rPr>
        <w:t>i</w:t>
      </w:r>
      <w:proofErr w:type="spellEnd"/>
      <w:r w:rsidRPr="006B24DA">
        <w:rPr>
          <w:rFonts w:ascii="Book Antiqua" w:eastAsia="Times New Roman" w:hAnsi="Book Antiqua" w:cs="Times New Roman"/>
          <w:color w:val="000000" w:themeColor="text1"/>
          <w:sz w:val="24"/>
          <w:szCs w:val="24"/>
        </w:rPr>
        <w:t xml:space="preserve">-knife until pylorus muscle is identified; E: The hook knife is then used to carefully cut the pylorus muscle; F: </w:t>
      </w:r>
      <w:proofErr w:type="spellStart"/>
      <w:r w:rsidRPr="006B24DA">
        <w:rPr>
          <w:rFonts w:ascii="Book Antiqua" w:eastAsia="Times New Roman" w:hAnsi="Book Antiqua" w:cs="Times New Roman"/>
          <w:color w:val="000000" w:themeColor="text1"/>
          <w:sz w:val="24"/>
          <w:szCs w:val="24"/>
        </w:rPr>
        <w:t>Myotomy</w:t>
      </w:r>
      <w:proofErr w:type="spellEnd"/>
      <w:r w:rsidRPr="006B24DA">
        <w:rPr>
          <w:rFonts w:ascii="Book Antiqua" w:eastAsia="Times New Roman" w:hAnsi="Book Antiqua" w:cs="Times New Roman"/>
          <w:color w:val="000000" w:themeColor="text1"/>
          <w:sz w:val="24"/>
          <w:szCs w:val="24"/>
        </w:rPr>
        <w:t xml:space="preserve"> of the pylorus; G: The </w:t>
      </w:r>
      <w:proofErr w:type="spellStart"/>
      <w:r w:rsidRPr="006B24DA">
        <w:rPr>
          <w:rFonts w:ascii="Book Antiqua" w:eastAsia="Times New Roman" w:hAnsi="Book Antiqua" w:cs="Times New Roman"/>
          <w:color w:val="000000" w:themeColor="text1"/>
          <w:sz w:val="24"/>
          <w:szCs w:val="24"/>
        </w:rPr>
        <w:t>myotomy</w:t>
      </w:r>
      <w:proofErr w:type="spellEnd"/>
      <w:r w:rsidRPr="006B24DA">
        <w:rPr>
          <w:rFonts w:ascii="Book Antiqua" w:eastAsia="Times New Roman" w:hAnsi="Book Antiqua" w:cs="Times New Roman"/>
          <w:color w:val="000000" w:themeColor="text1"/>
          <w:sz w:val="24"/>
          <w:szCs w:val="24"/>
        </w:rPr>
        <w:t xml:space="preserve"> is extended proximally for approximately 2 cm along the antrum; H: Closure of the </w:t>
      </w:r>
      <w:proofErr w:type="spellStart"/>
      <w:r w:rsidRPr="006B24DA">
        <w:rPr>
          <w:rFonts w:ascii="Book Antiqua" w:eastAsia="Times New Roman" w:hAnsi="Book Antiqua" w:cs="Times New Roman"/>
          <w:color w:val="000000" w:themeColor="text1"/>
          <w:sz w:val="24"/>
          <w:szCs w:val="24"/>
        </w:rPr>
        <w:t>mucosotomy</w:t>
      </w:r>
      <w:proofErr w:type="spellEnd"/>
      <w:r w:rsidRPr="006B24DA">
        <w:rPr>
          <w:rFonts w:ascii="Book Antiqua" w:eastAsia="Times New Roman" w:hAnsi="Book Antiqua" w:cs="Times New Roman"/>
          <w:color w:val="000000" w:themeColor="text1"/>
          <w:sz w:val="24"/>
          <w:szCs w:val="24"/>
        </w:rPr>
        <w:t xml:space="preserve"> is accomplished with Overstitch suturing device; I: Upper gastrointestinal contrast X-ray study shows no leak, with free flow of contrast through the pylorus.</w:t>
      </w:r>
    </w:p>
    <w:p w14:paraId="09FE64BC" w14:textId="77777777" w:rsidR="0051390E" w:rsidRPr="006B24DA" w:rsidRDefault="0051390E" w:rsidP="0051390E">
      <w:pPr>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br w:type="page"/>
      </w:r>
    </w:p>
    <w:p w14:paraId="7F6B3711"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p>
    <w:p w14:paraId="4F2C7EE9" w14:textId="77777777" w:rsidR="0051390E" w:rsidRPr="006B24DA" w:rsidRDefault="0051390E" w:rsidP="0051390E">
      <w:pPr>
        <w:adjustRightInd w:val="0"/>
        <w:snapToGrid w:val="0"/>
        <w:spacing w:after="0" w:line="360" w:lineRule="auto"/>
        <w:jc w:val="both"/>
        <w:rPr>
          <w:rFonts w:ascii="Book Antiqua" w:hAnsi="Book Antiqua"/>
          <w:color w:val="000000" w:themeColor="text1"/>
          <w:sz w:val="24"/>
          <w:szCs w:val="24"/>
        </w:rPr>
      </w:pPr>
      <w:r w:rsidRPr="006B24DA">
        <w:rPr>
          <w:rFonts w:ascii="Book Antiqua" w:hAnsi="Book Antiqua"/>
          <w:noProof/>
          <w:color w:val="000000" w:themeColor="text1"/>
          <w:sz w:val="24"/>
          <w:szCs w:val="24"/>
          <w:lang w:eastAsia="zh-CN"/>
        </w:rPr>
        <w:drawing>
          <wp:inline distT="0" distB="0" distL="0" distR="0" wp14:anchorId="2C23FD71" wp14:editId="7BBEA260">
            <wp:extent cx="5937250" cy="2470150"/>
            <wp:effectExtent l="0" t="0" r="6350" b="6350"/>
            <wp:docPr id="28" name="Picture 28" descr="C:\Users\kchang\Dropbox\aaFrontier Manu Figures Only\Fig 28 Endoscopic Sleeve Gastroplas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chang\Dropbox\aaFrontier Manu Figures Only\Fig 28 Endoscopic Sleeve Gastroplasty.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7250" cy="2470150"/>
                    </a:xfrm>
                    <a:prstGeom prst="rect">
                      <a:avLst/>
                    </a:prstGeom>
                    <a:noFill/>
                    <a:ln>
                      <a:noFill/>
                    </a:ln>
                  </pic:spPr>
                </pic:pic>
              </a:graphicData>
            </a:graphic>
          </wp:inline>
        </w:drawing>
      </w:r>
    </w:p>
    <w:p w14:paraId="790D94AC" w14:textId="09DBD01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b/>
          <w:bCs/>
          <w:color w:val="000000" w:themeColor="text1"/>
          <w:sz w:val="24"/>
          <w:szCs w:val="24"/>
        </w:rPr>
        <w:t>Figure 27</w:t>
      </w:r>
      <w:r w:rsidRPr="006B24DA">
        <w:rPr>
          <w:rFonts w:ascii="Book Antiqua" w:eastAsia="Times New Roman" w:hAnsi="Book Antiqua" w:cs="Times New Roman"/>
          <w:color w:val="000000" w:themeColor="text1"/>
          <w:sz w:val="24"/>
          <w:szCs w:val="24"/>
        </w:rPr>
        <w:t xml:space="preserve"> </w:t>
      </w:r>
      <w:bookmarkStart w:id="218" w:name="OLE_LINK127"/>
      <w:bookmarkStart w:id="219" w:name="OLE_LINK128"/>
      <w:r w:rsidRPr="006B24DA">
        <w:rPr>
          <w:rFonts w:ascii="Book Antiqua" w:eastAsia="Times New Roman" w:hAnsi="Book Antiqua" w:cs="Times New Roman"/>
          <w:b/>
          <w:color w:val="000000" w:themeColor="text1"/>
          <w:sz w:val="24"/>
          <w:szCs w:val="24"/>
        </w:rPr>
        <w:t xml:space="preserve">Endoscopic sleeve </w:t>
      </w:r>
      <w:proofErr w:type="spellStart"/>
      <w:r w:rsidRPr="006B24DA">
        <w:rPr>
          <w:rFonts w:ascii="Book Antiqua" w:eastAsia="Times New Roman" w:hAnsi="Book Antiqua" w:cs="Times New Roman"/>
          <w:b/>
          <w:color w:val="000000" w:themeColor="text1"/>
          <w:sz w:val="24"/>
          <w:szCs w:val="24"/>
        </w:rPr>
        <w:t>gastroplasty</w:t>
      </w:r>
      <w:bookmarkEnd w:id="218"/>
      <w:bookmarkEnd w:id="219"/>
      <w:proofErr w:type="spellEnd"/>
      <w:r w:rsidR="008561A1">
        <w:rPr>
          <w:rFonts w:ascii="Book Antiqua" w:hAnsi="Book Antiqua" w:cs="Times New Roman" w:hint="eastAsia"/>
          <w:b/>
          <w:color w:val="000000" w:themeColor="text1"/>
          <w:sz w:val="24"/>
          <w:szCs w:val="24"/>
          <w:lang w:eastAsia="zh-CN"/>
        </w:rPr>
        <w:t xml:space="preserve"> </w:t>
      </w:r>
      <w:r w:rsidRPr="006B24DA">
        <w:rPr>
          <w:rFonts w:ascii="Book Antiqua" w:eastAsia="Times New Roman" w:hAnsi="Book Antiqua" w:cs="Times New Roman"/>
          <w:b/>
          <w:color w:val="000000" w:themeColor="text1"/>
          <w:sz w:val="24"/>
          <w:szCs w:val="24"/>
        </w:rPr>
        <w:t xml:space="preserve">plus mucosal ablation and suturing of the esophageal gastric junction in a 45-year-old female with super morbid obesity, gastroparesis and gastroesophageal reflux disease. </w:t>
      </w:r>
      <w:r w:rsidRPr="006B24DA">
        <w:rPr>
          <w:rFonts w:ascii="Book Antiqua" w:eastAsia="Times New Roman" w:hAnsi="Book Antiqua" w:cs="Times New Roman"/>
          <w:color w:val="000000" w:themeColor="text1"/>
          <w:sz w:val="24"/>
          <w:szCs w:val="24"/>
        </w:rPr>
        <w:t xml:space="preserve">Her body mass index was 51 (327 </w:t>
      </w:r>
      <w:proofErr w:type="spellStart"/>
      <w:r w:rsidRPr="006B24DA">
        <w:rPr>
          <w:rFonts w:ascii="Book Antiqua" w:eastAsia="Times New Roman" w:hAnsi="Book Antiqua" w:cs="Times New Roman"/>
          <w:color w:val="000000" w:themeColor="text1"/>
          <w:sz w:val="24"/>
          <w:szCs w:val="24"/>
        </w:rPr>
        <w:t>lb</w:t>
      </w:r>
      <w:proofErr w:type="spellEnd"/>
      <w:r w:rsidRPr="006B24DA">
        <w:rPr>
          <w:rFonts w:ascii="Book Antiqua" w:eastAsia="Times New Roman" w:hAnsi="Book Antiqua" w:cs="Times New Roman"/>
          <w:color w:val="000000" w:themeColor="text1"/>
          <w:sz w:val="24"/>
          <w:szCs w:val="24"/>
        </w:rPr>
        <w:t xml:space="preserve">) and she declined bariatric surgery. A: Markings created along anterior and posterior gastric wall to guide suture placement; B: First suture placed by taking bites at anterior, greater curve, posterior wall × 2; C: Total of 8 running sutures placed to complete the “sleeve”; D: At the very proximal aspect of the sleeve, a final suture is placed in a purse-string fashion around an 8 mm balloon to prevent complete closure; E: Endoscopic appearance within the completed sleeve; F: Endoscopic appearance of the proximal “pouch” which filled up with approximately 60 mL of water; G: Mucosal ablation and suturing of the esophageal gastric junction (MASE) procedure was performed as well, using 3 additional sutures, to treat her gastroesophageal reflux disease; H: UGI X-ray with contrast 1 d post endoscopic sleeve </w:t>
      </w:r>
      <w:proofErr w:type="spellStart"/>
      <w:r w:rsidRPr="006B24DA">
        <w:rPr>
          <w:rFonts w:ascii="Book Antiqua" w:eastAsia="Times New Roman" w:hAnsi="Book Antiqua" w:cs="Times New Roman"/>
          <w:color w:val="000000" w:themeColor="text1"/>
          <w:sz w:val="24"/>
          <w:szCs w:val="24"/>
        </w:rPr>
        <w:t>gastroplasty</w:t>
      </w:r>
      <w:proofErr w:type="spellEnd"/>
      <w:r w:rsidRPr="006B24DA">
        <w:rPr>
          <w:rFonts w:ascii="Book Antiqua" w:eastAsia="Times New Roman" w:hAnsi="Book Antiqua" w:cs="Times New Roman"/>
          <w:color w:val="000000" w:themeColor="text1"/>
          <w:sz w:val="24"/>
          <w:szCs w:val="24"/>
        </w:rPr>
        <w:t xml:space="preserve"> and MASE shows contrast filling the small gastric pouch with little to no passage through the sleeve at 1 h.</w:t>
      </w:r>
    </w:p>
    <w:p w14:paraId="190D7722"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br w:type="page"/>
      </w:r>
    </w:p>
    <w:p w14:paraId="34A01584"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noProof/>
          <w:color w:val="000000" w:themeColor="text1"/>
          <w:sz w:val="24"/>
          <w:szCs w:val="24"/>
          <w:lang w:eastAsia="zh-CN"/>
        </w:rPr>
        <w:lastRenderedPageBreak/>
        <w:drawing>
          <wp:inline distT="0" distB="0" distL="0" distR="0" wp14:anchorId="5B684445" wp14:editId="4A0FED99">
            <wp:extent cx="5943600" cy="4264660"/>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4264660"/>
                    </a:xfrm>
                    <a:prstGeom prst="rect">
                      <a:avLst/>
                    </a:prstGeom>
                  </pic:spPr>
                </pic:pic>
              </a:graphicData>
            </a:graphic>
          </wp:inline>
        </w:drawing>
      </w:r>
    </w:p>
    <w:p w14:paraId="7C662B56"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b/>
          <w:bCs/>
          <w:color w:val="000000" w:themeColor="text1"/>
          <w:sz w:val="24"/>
          <w:szCs w:val="24"/>
        </w:rPr>
        <w:t>Figure 28</w:t>
      </w:r>
      <w:r w:rsidRPr="006B24DA">
        <w:rPr>
          <w:rFonts w:ascii="Book Antiqua" w:eastAsia="Times New Roman" w:hAnsi="Book Antiqua" w:cs="Times New Roman"/>
          <w:color w:val="000000" w:themeColor="text1"/>
          <w:sz w:val="24"/>
          <w:szCs w:val="24"/>
        </w:rPr>
        <w:t xml:space="preserve"> </w:t>
      </w:r>
      <w:proofErr w:type="gramStart"/>
      <w:r w:rsidRPr="006B24DA">
        <w:rPr>
          <w:rFonts w:ascii="Book Antiqua" w:eastAsia="Times New Roman" w:hAnsi="Book Antiqua" w:cs="Times New Roman"/>
          <w:b/>
          <w:color w:val="000000" w:themeColor="text1"/>
          <w:sz w:val="24"/>
          <w:szCs w:val="24"/>
        </w:rPr>
        <w:t>A</w:t>
      </w:r>
      <w:proofErr w:type="gramEnd"/>
      <w:r w:rsidRPr="006B24DA">
        <w:rPr>
          <w:rFonts w:ascii="Book Antiqua" w:eastAsia="Times New Roman" w:hAnsi="Book Antiqua" w:cs="Times New Roman"/>
          <w:b/>
          <w:color w:val="000000" w:themeColor="text1"/>
          <w:sz w:val="24"/>
          <w:szCs w:val="24"/>
        </w:rPr>
        <w:t xml:space="preserve"> promising new paradigm “Endo-Hepatology” intersects and integrates endoscopy in the diagnosis and treatment of liver disease.</w:t>
      </w:r>
      <w:r w:rsidRPr="006B24DA">
        <w:rPr>
          <w:rFonts w:ascii="Book Antiqua" w:eastAsia="Times New Roman" w:hAnsi="Book Antiqua" w:cs="Times New Roman"/>
          <w:color w:val="000000" w:themeColor="text1"/>
          <w:sz w:val="24"/>
          <w:szCs w:val="24"/>
        </w:rPr>
        <w:t xml:space="preserve"> This includes: evaluation of the liver surface [by endoscopic ultrasound (EUS)], </w:t>
      </w:r>
      <w:proofErr w:type="spellStart"/>
      <w:r w:rsidRPr="006B24DA">
        <w:rPr>
          <w:rFonts w:ascii="Book Antiqua" w:eastAsia="Times New Roman" w:hAnsi="Book Antiqua" w:cs="Times New Roman"/>
          <w:color w:val="000000" w:themeColor="text1"/>
          <w:sz w:val="24"/>
          <w:szCs w:val="24"/>
        </w:rPr>
        <w:t>elastography</w:t>
      </w:r>
      <w:proofErr w:type="spellEnd"/>
      <w:r w:rsidRPr="006B24DA">
        <w:rPr>
          <w:rFonts w:ascii="Book Antiqua" w:eastAsia="Times New Roman" w:hAnsi="Book Antiqua" w:cs="Times New Roman"/>
          <w:color w:val="000000" w:themeColor="text1"/>
          <w:sz w:val="24"/>
          <w:szCs w:val="24"/>
        </w:rPr>
        <w:t xml:space="preserve"> to determine liver stiffness and fibrosis, contrast enhanced harmonic EUS to detect focal lesions, EUS-guided intrahepatic </w:t>
      </w:r>
      <w:proofErr w:type="spellStart"/>
      <w:r w:rsidRPr="006B24DA">
        <w:rPr>
          <w:rFonts w:ascii="Book Antiqua" w:eastAsia="Times New Roman" w:hAnsi="Book Antiqua" w:cs="Times New Roman"/>
          <w:color w:val="000000" w:themeColor="text1"/>
          <w:sz w:val="24"/>
          <w:szCs w:val="24"/>
        </w:rPr>
        <w:t>porto</w:t>
      </w:r>
      <w:proofErr w:type="spellEnd"/>
      <w:r w:rsidRPr="006B24DA">
        <w:rPr>
          <w:rFonts w:ascii="Book Antiqua" w:eastAsia="Times New Roman" w:hAnsi="Book Antiqua" w:cs="Times New Roman"/>
          <w:color w:val="000000" w:themeColor="text1"/>
          <w:sz w:val="24"/>
          <w:szCs w:val="24"/>
        </w:rPr>
        <w:t xml:space="preserve">-systemic shunt, EUS-guided liver biopsy, endoscopic variceal band ligation and intra-variceal injection with glue +/- coil (by EUS), evaluation of the portal circulation and EUS-guided portosystemic pressure gradient, and detection of ascites with EUS-guided paracentesis. EUS: Endoscopic ultrasound; PPG: Portosystemic pressure gradient; IPSS: Intrahepatic </w:t>
      </w:r>
      <w:proofErr w:type="spellStart"/>
      <w:r w:rsidRPr="006B24DA">
        <w:rPr>
          <w:rFonts w:ascii="Book Antiqua" w:eastAsia="Times New Roman" w:hAnsi="Book Antiqua" w:cs="Times New Roman"/>
          <w:color w:val="000000" w:themeColor="text1"/>
          <w:sz w:val="24"/>
          <w:szCs w:val="24"/>
        </w:rPr>
        <w:t>porto</w:t>
      </w:r>
      <w:proofErr w:type="spellEnd"/>
      <w:r w:rsidRPr="006B24DA">
        <w:rPr>
          <w:rFonts w:ascii="Book Antiqua" w:eastAsia="Times New Roman" w:hAnsi="Book Antiqua" w:cs="Times New Roman"/>
          <w:color w:val="000000" w:themeColor="text1"/>
          <w:sz w:val="24"/>
          <w:szCs w:val="24"/>
        </w:rPr>
        <w:t>-systemic shunt.</w:t>
      </w:r>
    </w:p>
    <w:p w14:paraId="76997FE5"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br w:type="page"/>
      </w:r>
    </w:p>
    <w:p w14:paraId="79CC658E"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p>
    <w:p w14:paraId="3160F20C"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noProof/>
          <w:color w:val="000000" w:themeColor="text1"/>
          <w:sz w:val="24"/>
          <w:szCs w:val="24"/>
          <w:lang w:eastAsia="zh-CN"/>
        </w:rPr>
        <w:drawing>
          <wp:inline distT="0" distB="0" distL="0" distR="0" wp14:anchorId="601ADAF3" wp14:editId="014E8A5A">
            <wp:extent cx="5943600" cy="3189605"/>
            <wp:effectExtent l="0" t="0" r="0" b="1079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3189605"/>
                    </a:xfrm>
                    <a:prstGeom prst="rect">
                      <a:avLst/>
                    </a:prstGeom>
                  </pic:spPr>
                </pic:pic>
              </a:graphicData>
            </a:graphic>
          </wp:inline>
        </w:drawing>
      </w:r>
    </w:p>
    <w:p w14:paraId="6F327AC4" w14:textId="55BB9988"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b/>
          <w:bCs/>
          <w:color w:val="000000" w:themeColor="text1"/>
          <w:sz w:val="24"/>
          <w:szCs w:val="24"/>
        </w:rPr>
        <w:t>Figure 29</w:t>
      </w:r>
      <w:r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b/>
          <w:bCs/>
          <w:color w:val="000000" w:themeColor="text1"/>
          <w:sz w:val="24"/>
          <w:szCs w:val="24"/>
        </w:rPr>
        <w:t>Endoscopic ultrasound guided fine needle aspiration initial series of 38 patients reported in 1994.</w:t>
      </w:r>
      <w:r w:rsidRPr="006B24DA">
        <w:rPr>
          <w:rFonts w:ascii="Book Antiqua" w:eastAsia="Times New Roman" w:hAnsi="Book Antiqua" w:cs="Times New Roman"/>
          <w:color w:val="000000" w:themeColor="text1"/>
          <w:sz w:val="24"/>
          <w:szCs w:val="24"/>
        </w:rPr>
        <w:t xml:space="preserve"> A: Diagram of endoscopic ultrasound (EUS) guided fine needle aspiration (FNA) created on first generation Apple Macintosh computer; B: Black and white photo of prototype 23G 4-cm FNA needle attached to Teflon tubing; C: Photo of needle specimen, much of which was probably blood clot; D: Early linear array EUS image showing needle coming from left side, as established by ultrasound convention at the time, into a pancreatic tumor; E: EUS image of FNA needle into a 1.5-cm celiac lymph node. </w:t>
      </w:r>
      <w:proofErr w:type="gramStart"/>
      <w:r w:rsidRPr="006B24DA">
        <w:rPr>
          <w:rFonts w:ascii="Book Antiqua" w:eastAsia="Times New Roman" w:hAnsi="Book Antiqua" w:cs="Times New Roman"/>
          <w:color w:val="000000" w:themeColor="text1"/>
          <w:sz w:val="24"/>
          <w:szCs w:val="24"/>
        </w:rPr>
        <w:t xml:space="preserve">(Reprinted </w:t>
      </w:r>
      <w:r w:rsidR="002C1B7E" w:rsidRPr="006B24DA">
        <w:rPr>
          <w:rFonts w:ascii="Book Antiqua" w:eastAsia="Times New Roman" w:hAnsi="Book Antiqua" w:cs="Times New Roman"/>
          <w:color w:val="000000" w:themeColor="text1"/>
          <w:sz w:val="24"/>
          <w:szCs w:val="24"/>
        </w:rPr>
        <w:t>wi</w:t>
      </w:r>
      <w:r w:rsidR="00D27F92" w:rsidRPr="006B24DA">
        <w:rPr>
          <w:rFonts w:ascii="Book Antiqua" w:eastAsia="Times New Roman" w:hAnsi="Book Antiqua" w:cs="Times New Roman"/>
          <w:color w:val="000000" w:themeColor="text1"/>
          <w:sz w:val="24"/>
          <w:szCs w:val="24"/>
        </w:rPr>
        <w:t>t</w:t>
      </w:r>
      <w:r w:rsidR="002C1B7E" w:rsidRPr="006B24DA">
        <w:rPr>
          <w:rFonts w:ascii="Book Antiqua" w:eastAsia="Times New Roman" w:hAnsi="Book Antiqua" w:cs="Times New Roman"/>
          <w:color w:val="000000" w:themeColor="text1"/>
          <w:sz w:val="24"/>
          <w:szCs w:val="24"/>
        </w:rPr>
        <w:t xml:space="preserve">h permission </w:t>
      </w:r>
      <w:r w:rsidRPr="006B24DA">
        <w:rPr>
          <w:rFonts w:ascii="Book Antiqua" w:eastAsia="Times New Roman" w:hAnsi="Book Antiqua" w:cs="Times New Roman"/>
          <w:color w:val="000000" w:themeColor="text1"/>
          <w:sz w:val="24"/>
          <w:szCs w:val="24"/>
        </w:rPr>
        <w:t>from reference 173).</w:t>
      </w:r>
      <w:proofErr w:type="gramEnd"/>
    </w:p>
    <w:p w14:paraId="7E9CAB2F"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color w:val="000000" w:themeColor="text1"/>
          <w:sz w:val="24"/>
          <w:szCs w:val="24"/>
        </w:rPr>
        <w:br w:type="page"/>
      </w:r>
    </w:p>
    <w:p w14:paraId="5B601F30" w14:textId="77777777" w:rsidR="0051390E" w:rsidRPr="006B24DA"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noProof/>
          <w:color w:val="000000" w:themeColor="text1"/>
          <w:sz w:val="24"/>
          <w:szCs w:val="24"/>
          <w:lang w:eastAsia="zh-CN"/>
        </w:rPr>
        <w:lastRenderedPageBreak/>
        <w:drawing>
          <wp:inline distT="0" distB="0" distL="0" distR="0" wp14:anchorId="3D1E4BA7" wp14:editId="4E491EE8">
            <wp:extent cx="5943600" cy="29813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2981325"/>
                    </a:xfrm>
                    <a:prstGeom prst="rect">
                      <a:avLst/>
                    </a:prstGeom>
                  </pic:spPr>
                </pic:pic>
              </a:graphicData>
            </a:graphic>
          </wp:inline>
        </w:drawing>
      </w:r>
    </w:p>
    <w:p w14:paraId="11994AAF" w14:textId="5EB95317" w:rsidR="0051390E" w:rsidRPr="00540264" w:rsidRDefault="0051390E" w:rsidP="0051390E">
      <w:pPr>
        <w:adjustRightInd w:val="0"/>
        <w:snapToGrid w:val="0"/>
        <w:spacing w:after="0" w:line="360" w:lineRule="auto"/>
        <w:jc w:val="both"/>
        <w:rPr>
          <w:rFonts w:ascii="Book Antiqua" w:eastAsia="Times New Roman" w:hAnsi="Book Antiqua" w:cs="Times New Roman"/>
          <w:color w:val="000000" w:themeColor="text1"/>
          <w:sz w:val="24"/>
          <w:szCs w:val="24"/>
        </w:rPr>
      </w:pPr>
      <w:r w:rsidRPr="006B24DA">
        <w:rPr>
          <w:rFonts w:ascii="Book Antiqua" w:eastAsia="Times New Roman" w:hAnsi="Book Antiqua" w:cs="Times New Roman"/>
          <w:b/>
          <w:bCs/>
          <w:color w:val="000000" w:themeColor="text1"/>
          <w:sz w:val="24"/>
          <w:szCs w:val="24"/>
        </w:rPr>
        <w:t>Figure 30</w:t>
      </w:r>
      <w:r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b/>
          <w:color w:val="000000" w:themeColor="text1"/>
          <w:sz w:val="24"/>
          <w:szCs w:val="24"/>
        </w:rPr>
        <w:t xml:space="preserve">Endoscopic </w:t>
      </w:r>
      <w:proofErr w:type="spellStart"/>
      <w:r w:rsidR="00DE2A1D" w:rsidRPr="006B24DA">
        <w:rPr>
          <w:rFonts w:ascii="Book Antiqua" w:eastAsia="Times New Roman" w:hAnsi="Book Antiqua" w:cs="Times New Roman"/>
          <w:b/>
          <w:color w:val="000000" w:themeColor="text1"/>
          <w:sz w:val="24"/>
          <w:szCs w:val="24"/>
        </w:rPr>
        <w:t>a</w:t>
      </w:r>
      <w:r w:rsidRPr="006B24DA">
        <w:rPr>
          <w:rFonts w:ascii="Book Antiqua" w:eastAsia="Times New Roman" w:hAnsi="Book Antiqua" w:cs="Times New Roman"/>
          <w:b/>
          <w:color w:val="000000" w:themeColor="text1"/>
          <w:sz w:val="24"/>
          <w:szCs w:val="24"/>
        </w:rPr>
        <w:t>ultrasound</w:t>
      </w:r>
      <w:proofErr w:type="spellEnd"/>
      <w:r w:rsidRPr="006B24DA">
        <w:rPr>
          <w:rFonts w:ascii="Book Antiqua" w:eastAsia="Times New Roman" w:hAnsi="Book Antiqua" w:cs="Times New Roman"/>
          <w:b/>
          <w:color w:val="000000" w:themeColor="text1"/>
          <w:sz w:val="24"/>
          <w:szCs w:val="24"/>
        </w:rPr>
        <w:t xml:space="preserve"> guided</w:t>
      </w:r>
      <w:r w:rsidR="00BD3615">
        <w:rPr>
          <w:rFonts w:ascii="Book Antiqua" w:hAnsi="Book Antiqua" w:cs="Times New Roman" w:hint="eastAsia"/>
          <w:b/>
          <w:color w:val="000000" w:themeColor="text1"/>
          <w:sz w:val="24"/>
          <w:szCs w:val="24"/>
          <w:lang w:eastAsia="zh-CN"/>
        </w:rPr>
        <w:t xml:space="preserve"> </w:t>
      </w:r>
      <w:r w:rsidRPr="006B24DA">
        <w:rPr>
          <w:rFonts w:ascii="Book Antiqua" w:eastAsia="Times New Roman" w:hAnsi="Book Antiqua" w:cs="Times New Roman"/>
          <w:b/>
          <w:color w:val="000000" w:themeColor="text1"/>
          <w:sz w:val="24"/>
          <w:szCs w:val="24"/>
        </w:rPr>
        <w:t>portosystemic pressure gradient</w:t>
      </w:r>
      <w:r w:rsidR="00BD3615">
        <w:rPr>
          <w:rFonts w:ascii="Book Antiqua" w:hAnsi="Book Antiqua" w:cs="Times New Roman" w:hint="eastAsia"/>
          <w:b/>
          <w:color w:val="000000" w:themeColor="text1"/>
          <w:sz w:val="24"/>
          <w:szCs w:val="24"/>
          <w:lang w:eastAsia="zh-CN"/>
        </w:rPr>
        <w:t xml:space="preserve"> </w:t>
      </w:r>
      <w:r w:rsidRPr="006B24DA">
        <w:rPr>
          <w:rFonts w:ascii="Book Antiqua" w:eastAsia="Times New Roman" w:hAnsi="Book Antiqua" w:cs="Times New Roman"/>
          <w:b/>
          <w:color w:val="000000" w:themeColor="text1"/>
          <w:sz w:val="24"/>
          <w:szCs w:val="24"/>
        </w:rPr>
        <w:t xml:space="preserve">measurement in a patient with suspected cirrhosis. </w:t>
      </w:r>
      <w:r w:rsidRPr="006B24DA">
        <w:rPr>
          <w:rFonts w:ascii="Book Antiqua" w:eastAsia="Times New Roman" w:hAnsi="Book Antiqua" w:cs="Times New Roman"/>
          <w:color w:val="000000" w:themeColor="text1"/>
          <w:sz w:val="24"/>
          <w:szCs w:val="24"/>
        </w:rPr>
        <w:t>A: Diagram showing fine needle aspiration (FNA) needle within the middle hepatic vein; B: Endoscopic ultrasound (EUS) image of middle hepatic vein with Doppler wave form demonstrating 4 phases (ASVD); C: 25G needle placed directly through liver parenchyma into the middle hepatic vein; compact hand-held manometer showing a pressure of 13 mmHg; D: Diagram FNA needle within the left portal vein; E: EUS image of left portal vein (umbilical portion); typical Doppler waveform showing venous hum; F: 25G needle placed directly through liver parenchyma into the left portal vein; compact hand-held manometer showing a pressure of 15 mmHg.</w:t>
      </w:r>
      <w:r w:rsidR="002A29F4" w:rsidRPr="006B24DA">
        <w:rPr>
          <w:rFonts w:ascii="Book Antiqua" w:eastAsia="Times New Roman" w:hAnsi="Book Antiqua" w:cs="Times New Roman"/>
          <w:color w:val="000000" w:themeColor="text1"/>
          <w:sz w:val="24"/>
          <w:szCs w:val="24"/>
        </w:rPr>
        <w:t xml:space="preserve"> </w:t>
      </w:r>
      <w:r w:rsidRPr="006B24DA">
        <w:rPr>
          <w:rFonts w:ascii="Book Antiqua" w:eastAsia="Times New Roman" w:hAnsi="Book Antiqua" w:cs="Times New Roman"/>
          <w:color w:val="000000" w:themeColor="text1"/>
          <w:sz w:val="24"/>
          <w:szCs w:val="24"/>
        </w:rPr>
        <w:t>Thus, the EUS-portosystemic pressure gradient measurement is 2 mmHg, which is within normal range.</w:t>
      </w:r>
      <w:r w:rsidRPr="00540264">
        <w:rPr>
          <w:rFonts w:ascii="Book Antiqua" w:eastAsia="Times New Roman" w:hAnsi="Book Antiqua" w:cs="Times New Roman"/>
          <w:color w:val="000000" w:themeColor="text1"/>
          <w:sz w:val="24"/>
          <w:szCs w:val="24"/>
        </w:rPr>
        <w:t xml:space="preserve"> </w:t>
      </w:r>
    </w:p>
    <w:p w14:paraId="46B45CF9" w14:textId="77777777" w:rsidR="0051390E" w:rsidRPr="007350D2" w:rsidRDefault="0051390E" w:rsidP="0051390E">
      <w:pPr>
        <w:pStyle w:val="EndNoteBibliography"/>
        <w:adjustRightInd w:val="0"/>
        <w:snapToGrid w:val="0"/>
        <w:spacing w:after="0" w:line="360" w:lineRule="auto"/>
        <w:jc w:val="both"/>
        <w:rPr>
          <w:noProof/>
          <w:szCs w:val="24"/>
        </w:rPr>
      </w:pPr>
    </w:p>
    <w:sectPr w:rsidR="0051390E" w:rsidRPr="007350D2" w:rsidSect="00B72F42">
      <w:footerReference w:type="default" r:id="rId40"/>
      <w:pgSz w:w="12240" w:h="15840"/>
      <w:pgMar w:top="1440" w:right="1440" w:bottom="1440" w:left="1440" w:header="720" w:footer="720" w:gutter="0"/>
      <w:cols w:space="720"/>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0EB42E9" w16cid:durableId="1FB642FF"/>
  <w16cid:commentId w16cid:paraId="73D35847" w16cid:durableId="1FB64300"/>
  <w16cid:commentId w16cid:paraId="7087F791" w16cid:durableId="1FB64301"/>
  <w16cid:commentId w16cid:paraId="2817559F" w16cid:durableId="1FB64302"/>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AAB82BD" w14:textId="77777777" w:rsidR="000E0ECF" w:rsidRDefault="000E0ECF">
      <w:pPr>
        <w:spacing w:after="0" w:line="240" w:lineRule="auto"/>
      </w:pPr>
      <w:r>
        <w:separator/>
      </w:r>
    </w:p>
  </w:endnote>
  <w:endnote w:type="continuationSeparator" w:id="0">
    <w:p w14:paraId="4020F220" w14:textId="77777777" w:rsidR="000E0ECF" w:rsidRDefault="000E0E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等线">
    <w:altName w:val="Arial Unicode MS"/>
    <w:charset w:val="86"/>
    <w:family w:val="auto"/>
    <w:pitch w:val="variable"/>
    <w:sig w:usb0="00000000" w:usb1="38CF7CFA" w:usb2="00000016" w:usb3="00000000" w:csb0="0004000F" w:csb1="00000000"/>
  </w:font>
  <w:font w:name="Raavi">
    <w:panose1 w:val="020B0502040204020203"/>
    <w:charset w:val="00"/>
    <w:family w:val="swiss"/>
    <w:pitch w:val="variable"/>
    <w:sig w:usb0="0002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6"/>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DengXian">
    <w:altName w:val="Times New Roman"/>
    <w:panose1 w:val="00000000000000000000"/>
    <w:charset w:val="00"/>
    <w:family w:val="roman"/>
    <w:notTrueType/>
    <w:pitch w:val="default"/>
  </w:font>
  <w:font w:name="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D5D4AE" w14:textId="4DD9D7DE" w:rsidR="00A00023" w:rsidRDefault="00A00023">
    <w:pPr>
      <w:pStyle w:val="a5"/>
      <w:jc w:val="right"/>
    </w:pPr>
  </w:p>
  <w:p w14:paraId="644CED27" w14:textId="77777777" w:rsidR="00A00023" w:rsidRDefault="00A00023">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D9705AA" w14:textId="77777777" w:rsidR="000E0ECF" w:rsidRDefault="000E0ECF">
      <w:pPr>
        <w:spacing w:after="0" w:line="240" w:lineRule="auto"/>
      </w:pPr>
      <w:r>
        <w:separator/>
      </w:r>
    </w:p>
  </w:footnote>
  <w:footnote w:type="continuationSeparator" w:id="0">
    <w:p w14:paraId="5FDEF9A5" w14:textId="77777777" w:rsidR="000E0ECF" w:rsidRDefault="000E0EC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0B2DCA"/>
    <w:multiLevelType w:val="hybridMultilevel"/>
    <w:tmpl w:val="7F10F75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10346D1"/>
    <w:multiLevelType w:val="hybridMultilevel"/>
    <w:tmpl w:val="2438D7DC"/>
    <w:lvl w:ilvl="0" w:tplc="73CE2970">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14AB1985"/>
    <w:multiLevelType w:val="hybridMultilevel"/>
    <w:tmpl w:val="369EAA82"/>
    <w:lvl w:ilvl="0" w:tplc="92E4D2DE">
      <w:start w:val="1"/>
      <w:numFmt w:val="decimal"/>
      <w:lvlText w:val="%1"/>
      <w:lvlJc w:val="left"/>
      <w:pPr>
        <w:ind w:left="862" w:hanging="72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
    <w:nsid w:val="1FA069C0"/>
    <w:multiLevelType w:val="hybridMultilevel"/>
    <w:tmpl w:val="932A1B3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2BF6576"/>
    <w:multiLevelType w:val="hybridMultilevel"/>
    <w:tmpl w:val="77CC2F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4005552"/>
    <w:multiLevelType w:val="multilevel"/>
    <w:tmpl w:val="EC3681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FE03E7E"/>
    <w:multiLevelType w:val="hybridMultilevel"/>
    <w:tmpl w:val="4546DC70"/>
    <w:lvl w:ilvl="0" w:tplc="86F4BBF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730A0E9D"/>
    <w:multiLevelType w:val="hybridMultilevel"/>
    <w:tmpl w:val="5914B40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789B29F3"/>
    <w:multiLevelType w:val="multilevel"/>
    <w:tmpl w:val="3774D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7E8B5FF8"/>
    <w:multiLevelType w:val="hybridMultilevel"/>
    <w:tmpl w:val="7FAA1CD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8"/>
  </w:num>
  <w:num w:numId="3">
    <w:abstractNumId w:val="3"/>
  </w:num>
  <w:num w:numId="4">
    <w:abstractNumId w:val="6"/>
  </w:num>
  <w:num w:numId="5">
    <w:abstractNumId w:val="1"/>
  </w:num>
  <w:num w:numId="6">
    <w:abstractNumId w:val="0"/>
  </w:num>
  <w:num w:numId="7">
    <w:abstractNumId w:val="9"/>
  </w:num>
  <w:num w:numId="8">
    <w:abstractNumId w:val="7"/>
  </w:num>
  <w:num w:numId="9">
    <w:abstractNumId w:val="4"/>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6"/>
  <w:bordersDoNotSurroundHeader/>
  <w:bordersDoNotSurroundFooter/>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World J Gastroenterology Copy&lt;/Style&gt;&lt;LeftDelim&gt;{&lt;/LeftDelim&gt;&lt;RightDelim&gt;}&lt;/RightDelim&gt;&lt;FontName&gt;Book Antiqu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s>
  <w:rsids>
    <w:rsidRoot w:val="00E20495"/>
    <w:rsid w:val="00006CDA"/>
    <w:rsid w:val="000749AA"/>
    <w:rsid w:val="00082088"/>
    <w:rsid w:val="000B5762"/>
    <w:rsid w:val="000C6C8F"/>
    <w:rsid w:val="000C6E86"/>
    <w:rsid w:val="000E0ECF"/>
    <w:rsid w:val="000F2A2D"/>
    <w:rsid w:val="000F42A8"/>
    <w:rsid w:val="000F6810"/>
    <w:rsid w:val="00137281"/>
    <w:rsid w:val="00167ACC"/>
    <w:rsid w:val="00183191"/>
    <w:rsid w:val="00196EF1"/>
    <w:rsid w:val="001A6EDB"/>
    <w:rsid w:val="001A70B5"/>
    <w:rsid w:val="001D5F0F"/>
    <w:rsid w:val="001D667C"/>
    <w:rsid w:val="001D7EC7"/>
    <w:rsid w:val="001F0F2E"/>
    <w:rsid w:val="001F74AE"/>
    <w:rsid w:val="00211A6C"/>
    <w:rsid w:val="002225B2"/>
    <w:rsid w:val="00225D47"/>
    <w:rsid w:val="002509A0"/>
    <w:rsid w:val="00251E34"/>
    <w:rsid w:val="00252360"/>
    <w:rsid w:val="00253361"/>
    <w:rsid w:val="00257DAF"/>
    <w:rsid w:val="00281C74"/>
    <w:rsid w:val="00283F9C"/>
    <w:rsid w:val="002926C2"/>
    <w:rsid w:val="00292E12"/>
    <w:rsid w:val="002A29F4"/>
    <w:rsid w:val="002C01DB"/>
    <w:rsid w:val="002C1B7E"/>
    <w:rsid w:val="002D470B"/>
    <w:rsid w:val="002E12EF"/>
    <w:rsid w:val="002E6245"/>
    <w:rsid w:val="003008EF"/>
    <w:rsid w:val="0031433D"/>
    <w:rsid w:val="00315600"/>
    <w:rsid w:val="00323FD0"/>
    <w:rsid w:val="00363594"/>
    <w:rsid w:val="00370EDB"/>
    <w:rsid w:val="00396967"/>
    <w:rsid w:val="003B13C7"/>
    <w:rsid w:val="003B5D06"/>
    <w:rsid w:val="003D15E0"/>
    <w:rsid w:val="003D6578"/>
    <w:rsid w:val="003E0C40"/>
    <w:rsid w:val="003E3338"/>
    <w:rsid w:val="0042443F"/>
    <w:rsid w:val="00467A3D"/>
    <w:rsid w:val="00480C6A"/>
    <w:rsid w:val="00497DE8"/>
    <w:rsid w:val="004A102C"/>
    <w:rsid w:val="004A2BA4"/>
    <w:rsid w:val="004C0A4F"/>
    <w:rsid w:val="004C72B5"/>
    <w:rsid w:val="004C769E"/>
    <w:rsid w:val="004D14E2"/>
    <w:rsid w:val="004D41DE"/>
    <w:rsid w:val="004E22A1"/>
    <w:rsid w:val="004E4FA1"/>
    <w:rsid w:val="004F3ABE"/>
    <w:rsid w:val="004F4442"/>
    <w:rsid w:val="0050542B"/>
    <w:rsid w:val="0051390E"/>
    <w:rsid w:val="00522414"/>
    <w:rsid w:val="00540264"/>
    <w:rsid w:val="00542D4C"/>
    <w:rsid w:val="0054395B"/>
    <w:rsid w:val="00555B67"/>
    <w:rsid w:val="00561724"/>
    <w:rsid w:val="00563A78"/>
    <w:rsid w:val="005748D4"/>
    <w:rsid w:val="00574D45"/>
    <w:rsid w:val="005750AE"/>
    <w:rsid w:val="00592EAF"/>
    <w:rsid w:val="005A1361"/>
    <w:rsid w:val="005A4C1D"/>
    <w:rsid w:val="005D4219"/>
    <w:rsid w:val="005E0A47"/>
    <w:rsid w:val="005E2688"/>
    <w:rsid w:val="005F7B34"/>
    <w:rsid w:val="006063B0"/>
    <w:rsid w:val="006069DB"/>
    <w:rsid w:val="00645B74"/>
    <w:rsid w:val="00645F10"/>
    <w:rsid w:val="006460A1"/>
    <w:rsid w:val="006926D9"/>
    <w:rsid w:val="00697EA2"/>
    <w:rsid w:val="006B110D"/>
    <w:rsid w:val="006B24DA"/>
    <w:rsid w:val="006B3E67"/>
    <w:rsid w:val="006C2E2F"/>
    <w:rsid w:val="00707FEE"/>
    <w:rsid w:val="0071616F"/>
    <w:rsid w:val="007201F4"/>
    <w:rsid w:val="00727818"/>
    <w:rsid w:val="00727931"/>
    <w:rsid w:val="00735003"/>
    <w:rsid w:val="007350D2"/>
    <w:rsid w:val="00747CDA"/>
    <w:rsid w:val="00767C03"/>
    <w:rsid w:val="0077068E"/>
    <w:rsid w:val="0077128A"/>
    <w:rsid w:val="007761C0"/>
    <w:rsid w:val="007A7D2F"/>
    <w:rsid w:val="007E46D2"/>
    <w:rsid w:val="007E74E8"/>
    <w:rsid w:val="007F1428"/>
    <w:rsid w:val="007F39D2"/>
    <w:rsid w:val="00807164"/>
    <w:rsid w:val="00817E17"/>
    <w:rsid w:val="00820109"/>
    <w:rsid w:val="008220F8"/>
    <w:rsid w:val="00836B7F"/>
    <w:rsid w:val="00843FF2"/>
    <w:rsid w:val="008561A1"/>
    <w:rsid w:val="00881408"/>
    <w:rsid w:val="00883799"/>
    <w:rsid w:val="008A6287"/>
    <w:rsid w:val="008A7EB8"/>
    <w:rsid w:val="008B4AE6"/>
    <w:rsid w:val="008C1AD5"/>
    <w:rsid w:val="008E5A0D"/>
    <w:rsid w:val="008F2BE3"/>
    <w:rsid w:val="00907AA1"/>
    <w:rsid w:val="00921B73"/>
    <w:rsid w:val="009375AB"/>
    <w:rsid w:val="00937C4D"/>
    <w:rsid w:val="00941D70"/>
    <w:rsid w:val="00951E95"/>
    <w:rsid w:val="00957A2D"/>
    <w:rsid w:val="00966E42"/>
    <w:rsid w:val="00983351"/>
    <w:rsid w:val="009874DD"/>
    <w:rsid w:val="009971DD"/>
    <w:rsid w:val="009A74D4"/>
    <w:rsid w:val="009B09BC"/>
    <w:rsid w:val="009F0051"/>
    <w:rsid w:val="009F5393"/>
    <w:rsid w:val="00A00023"/>
    <w:rsid w:val="00A06EE8"/>
    <w:rsid w:val="00A14C21"/>
    <w:rsid w:val="00A32C34"/>
    <w:rsid w:val="00A350EB"/>
    <w:rsid w:val="00A66203"/>
    <w:rsid w:val="00AA27D1"/>
    <w:rsid w:val="00AB0790"/>
    <w:rsid w:val="00AF3672"/>
    <w:rsid w:val="00AF3AD2"/>
    <w:rsid w:val="00B244DD"/>
    <w:rsid w:val="00B27D0F"/>
    <w:rsid w:val="00B35098"/>
    <w:rsid w:val="00B42F2F"/>
    <w:rsid w:val="00B46B72"/>
    <w:rsid w:val="00B51D97"/>
    <w:rsid w:val="00B617D5"/>
    <w:rsid w:val="00B62B43"/>
    <w:rsid w:val="00B72F42"/>
    <w:rsid w:val="00B77822"/>
    <w:rsid w:val="00B80D44"/>
    <w:rsid w:val="00B84D49"/>
    <w:rsid w:val="00B930A0"/>
    <w:rsid w:val="00BA4057"/>
    <w:rsid w:val="00BB03BE"/>
    <w:rsid w:val="00BD3615"/>
    <w:rsid w:val="00BE2BD1"/>
    <w:rsid w:val="00C031C5"/>
    <w:rsid w:val="00C24091"/>
    <w:rsid w:val="00C329A1"/>
    <w:rsid w:val="00C45F79"/>
    <w:rsid w:val="00C473B5"/>
    <w:rsid w:val="00C54282"/>
    <w:rsid w:val="00C67CCE"/>
    <w:rsid w:val="00C733A3"/>
    <w:rsid w:val="00C81BA3"/>
    <w:rsid w:val="00C87937"/>
    <w:rsid w:val="00C943DE"/>
    <w:rsid w:val="00CB5963"/>
    <w:rsid w:val="00CC0BB1"/>
    <w:rsid w:val="00CE0350"/>
    <w:rsid w:val="00CE1039"/>
    <w:rsid w:val="00CF4C6F"/>
    <w:rsid w:val="00D1213A"/>
    <w:rsid w:val="00D25085"/>
    <w:rsid w:val="00D27F92"/>
    <w:rsid w:val="00D30271"/>
    <w:rsid w:val="00D33133"/>
    <w:rsid w:val="00D4044E"/>
    <w:rsid w:val="00D53B88"/>
    <w:rsid w:val="00D62B60"/>
    <w:rsid w:val="00D97B0C"/>
    <w:rsid w:val="00DD1E3D"/>
    <w:rsid w:val="00DE278A"/>
    <w:rsid w:val="00DE2A1D"/>
    <w:rsid w:val="00DF4105"/>
    <w:rsid w:val="00E068B6"/>
    <w:rsid w:val="00E20495"/>
    <w:rsid w:val="00E3107A"/>
    <w:rsid w:val="00E3218A"/>
    <w:rsid w:val="00E5439D"/>
    <w:rsid w:val="00E559C5"/>
    <w:rsid w:val="00E61E9C"/>
    <w:rsid w:val="00E67EE7"/>
    <w:rsid w:val="00E84F2B"/>
    <w:rsid w:val="00EC0742"/>
    <w:rsid w:val="00EC39A1"/>
    <w:rsid w:val="00ED5632"/>
    <w:rsid w:val="00ED6903"/>
    <w:rsid w:val="00EF1CEF"/>
    <w:rsid w:val="00F27034"/>
    <w:rsid w:val="00F447BB"/>
    <w:rsid w:val="00F61DCD"/>
    <w:rsid w:val="00F67887"/>
    <w:rsid w:val="00F75C82"/>
    <w:rsid w:val="00FC12AC"/>
    <w:rsid w:val="00FC47DE"/>
    <w:rsid w:val="00FD13E2"/>
    <w:rsid w:val="00FD2900"/>
    <w:rsid w:val="0A555559"/>
    <w:rsid w:val="55E562AC"/>
  </w:rsids>
  <m:mathPr>
    <m:mathFont m:val="Cambria Math"/>
    <m:brkBin m:val="before"/>
    <m:brkBinSub m:val="--"/>
    <m:smallFrac m:val="0"/>
    <m:dispDef/>
    <m:lMargin m:val="0"/>
    <m:rMargin m:val="0"/>
    <m:defJc m:val="centerGroup"/>
    <m:wrapIndent m:val="1440"/>
    <m:intLim m:val="subSup"/>
    <m:naryLim m:val="undOvr"/>
  </m:mathPr>
  <w:themeFontLang w:val="en-US" w:eastAsia="zh-CN" w:bidi="pa-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9875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20495"/>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E20495"/>
    <w:rPr>
      <w:color w:val="0563C1" w:themeColor="hyperlink"/>
      <w:u w:val="single"/>
    </w:rPr>
  </w:style>
  <w:style w:type="character" w:customStyle="1" w:styleId="UnresolvedMention1">
    <w:name w:val="Unresolved Mention1"/>
    <w:basedOn w:val="a0"/>
    <w:uiPriority w:val="99"/>
    <w:semiHidden/>
    <w:unhideWhenUsed/>
    <w:rsid w:val="00E20495"/>
    <w:rPr>
      <w:color w:val="808080"/>
      <w:shd w:val="clear" w:color="auto" w:fill="E6E6E6"/>
    </w:rPr>
  </w:style>
  <w:style w:type="paragraph" w:customStyle="1" w:styleId="Default">
    <w:name w:val="Default"/>
    <w:rsid w:val="00E20495"/>
    <w:pPr>
      <w:autoSpaceDE w:val="0"/>
      <w:autoSpaceDN w:val="0"/>
      <w:adjustRightInd w:val="0"/>
      <w:spacing w:after="0" w:line="240" w:lineRule="auto"/>
    </w:pPr>
    <w:rPr>
      <w:rFonts w:ascii="Times New Roman" w:hAnsi="Times New Roman" w:cs="Times New Roman"/>
      <w:color w:val="000000"/>
      <w:sz w:val="24"/>
      <w:szCs w:val="24"/>
    </w:rPr>
  </w:style>
  <w:style w:type="paragraph" w:styleId="a4">
    <w:name w:val="header"/>
    <w:basedOn w:val="a"/>
    <w:link w:val="Char"/>
    <w:uiPriority w:val="99"/>
    <w:unhideWhenUsed/>
    <w:rsid w:val="00E20495"/>
    <w:pPr>
      <w:tabs>
        <w:tab w:val="center" w:pos="4680"/>
        <w:tab w:val="right" w:pos="9360"/>
      </w:tabs>
      <w:spacing w:after="0" w:line="240" w:lineRule="auto"/>
    </w:pPr>
  </w:style>
  <w:style w:type="character" w:customStyle="1" w:styleId="Char">
    <w:name w:val="页眉 Char"/>
    <w:basedOn w:val="a0"/>
    <w:link w:val="a4"/>
    <w:uiPriority w:val="99"/>
    <w:rsid w:val="00E20495"/>
  </w:style>
  <w:style w:type="paragraph" w:styleId="a5">
    <w:name w:val="footer"/>
    <w:basedOn w:val="a"/>
    <w:link w:val="Char0"/>
    <w:uiPriority w:val="99"/>
    <w:unhideWhenUsed/>
    <w:rsid w:val="00E20495"/>
    <w:pPr>
      <w:tabs>
        <w:tab w:val="center" w:pos="4680"/>
        <w:tab w:val="right" w:pos="9360"/>
      </w:tabs>
      <w:spacing w:after="0" w:line="240" w:lineRule="auto"/>
    </w:pPr>
  </w:style>
  <w:style w:type="character" w:customStyle="1" w:styleId="Char0">
    <w:name w:val="页脚 Char"/>
    <w:basedOn w:val="a0"/>
    <w:link w:val="a5"/>
    <w:uiPriority w:val="99"/>
    <w:rsid w:val="00E20495"/>
  </w:style>
  <w:style w:type="paragraph" w:styleId="a6">
    <w:name w:val="List Paragraph"/>
    <w:basedOn w:val="a"/>
    <w:uiPriority w:val="34"/>
    <w:qFormat/>
    <w:rsid w:val="00E20495"/>
    <w:pPr>
      <w:ind w:left="720"/>
      <w:contextualSpacing/>
    </w:pPr>
  </w:style>
  <w:style w:type="paragraph" w:styleId="a7">
    <w:name w:val="Balloon Text"/>
    <w:basedOn w:val="a"/>
    <w:link w:val="Char1"/>
    <w:uiPriority w:val="99"/>
    <w:semiHidden/>
    <w:unhideWhenUsed/>
    <w:rsid w:val="00E20495"/>
    <w:pPr>
      <w:spacing w:after="0" w:line="240" w:lineRule="auto"/>
    </w:pPr>
    <w:rPr>
      <w:rFonts w:ascii="Times New Roman" w:hAnsi="Times New Roman" w:cs="Times New Roman"/>
      <w:sz w:val="18"/>
      <w:szCs w:val="18"/>
    </w:rPr>
  </w:style>
  <w:style w:type="character" w:customStyle="1" w:styleId="Char1">
    <w:name w:val="批注框文本 Char"/>
    <w:basedOn w:val="a0"/>
    <w:link w:val="a7"/>
    <w:uiPriority w:val="99"/>
    <w:semiHidden/>
    <w:rsid w:val="00E20495"/>
    <w:rPr>
      <w:rFonts w:ascii="Times New Roman" w:hAnsi="Times New Roman" w:cs="Times New Roman"/>
      <w:sz w:val="18"/>
      <w:szCs w:val="18"/>
    </w:rPr>
  </w:style>
  <w:style w:type="paragraph" w:customStyle="1" w:styleId="Body">
    <w:name w:val="Body"/>
    <w:rsid w:val="00E20495"/>
    <w:pPr>
      <w:pBdr>
        <w:top w:val="nil"/>
        <w:left w:val="nil"/>
        <w:bottom w:val="nil"/>
        <w:right w:val="nil"/>
        <w:between w:val="nil"/>
        <w:bar w:val="nil"/>
      </w:pBdr>
      <w:spacing w:after="0" w:line="240" w:lineRule="auto"/>
    </w:pPr>
    <w:rPr>
      <w:rFonts w:ascii="Helvetica" w:eastAsia="Arial Unicode MS" w:hAnsi="Arial Unicode MS" w:cs="Arial Unicode MS"/>
      <w:color w:val="000000"/>
      <w:bdr w:val="nil"/>
    </w:rPr>
  </w:style>
  <w:style w:type="paragraph" w:styleId="a8">
    <w:name w:val="Revision"/>
    <w:hidden/>
    <w:uiPriority w:val="99"/>
    <w:semiHidden/>
    <w:rsid w:val="00E20495"/>
    <w:pPr>
      <w:spacing w:after="0" w:line="240" w:lineRule="auto"/>
    </w:pPr>
  </w:style>
  <w:style w:type="character" w:customStyle="1" w:styleId="UnresolvedMention2">
    <w:name w:val="Unresolved Mention2"/>
    <w:basedOn w:val="a0"/>
    <w:uiPriority w:val="99"/>
    <w:semiHidden/>
    <w:unhideWhenUsed/>
    <w:rsid w:val="00E20495"/>
    <w:rPr>
      <w:color w:val="605E5C"/>
      <w:shd w:val="clear" w:color="auto" w:fill="E1DFDD"/>
    </w:rPr>
  </w:style>
  <w:style w:type="paragraph" w:customStyle="1" w:styleId="EndNoteBibliographyTitle">
    <w:name w:val="EndNote Bibliography Title"/>
    <w:basedOn w:val="a"/>
    <w:rsid w:val="00E20495"/>
    <w:pPr>
      <w:spacing w:after="0"/>
      <w:jc w:val="center"/>
    </w:pPr>
    <w:rPr>
      <w:rFonts w:ascii="Book Antiqua" w:hAnsi="Book Antiqua"/>
      <w:sz w:val="24"/>
    </w:rPr>
  </w:style>
  <w:style w:type="paragraph" w:customStyle="1" w:styleId="EndNoteBibliography">
    <w:name w:val="EndNote Bibliography"/>
    <w:basedOn w:val="a"/>
    <w:rsid w:val="00E20495"/>
    <w:pPr>
      <w:spacing w:line="480" w:lineRule="auto"/>
    </w:pPr>
    <w:rPr>
      <w:rFonts w:ascii="Book Antiqua" w:hAnsi="Book Antiqua"/>
      <w:sz w:val="24"/>
    </w:rPr>
  </w:style>
  <w:style w:type="character" w:styleId="a9">
    <w:name w:val="annotation reference"/>
    <w:basedOn w:val="a0"/>
    <w:uiPriority w:val="99"/>
    <w:semiHidden/>
    <w:unhideWhenUsed/>
    <w:rsid w:val="00E20495"/>
    <w:rPr>
      <w:sz w:val="16"/>
      <w:szCs w:val="16"/>
    </w:rPr>
  </w:style>
  <w:style w:type="paragraph" w:styleId="aa">
    <w:name w:val="annotation text"/>
    <w:basedOn w:val="a"/>
    <w:link w:val="Char2"/>
    <w:uiPriority w:val="99"/>
    <w:unhideWhenUsed/>
    <w:rsid w:val="00E20495"/>
    <w:pPr>
      <w:spacing w:line="240" w:lineRule="auto"/>
    </w:pPr>
    <w:rPr>
      <w:sz w:val="20"/>
      <w:szCs w:val="20"/>
    </w:rPr>
  </w:style>
  <w:style w:type="character" w:customStyle="1" w:styleId="Char2">
    <w:name w:val="批注文字 Char"/>
    <w:basedOn w:val="a0"/>
    <w:link w:val="aa"/>
    <w:uiPriority w:val="99"/>
    <w:rsid w:val="00E20495"/>
    <w:rPr>
      <w:sz w:val="20"/>
      <w:szCs w:val="20"/>
    </w:rPr>
  </w:style>
  <w:style w:type="paragraph" w:styleId="ab">
    <w:name w:val="annotation subject"/>
    <w:basedOn w:val="aa"/>
    <w:next w:val="aa"/>
    <w:link w:val="Char3"/>
    <w:uiPriority w:val="99"/>
    <w:semiHidden/>
    <w:unhideWhenUsed/>
    <w:rsid w:val="00E20495"/>
    <w:rPr>
      <w:b/>
      <w:bCs/>
    </w:rPr>
  </w:style>
  <w:style w:type="character" w:customStyle="1" w:styleId="Char3">
    <w:name w:val="批注主题 Char"/>
    <w:basedOn w:val="Char2"/>
    <w:link w:val="ab"/>
    <w:uiPriority w:val="99"/>
    <w:semiHidden/>
    <w:rsid w:val="00E20495"/>
    <w:rPr>
      <w:b/>
      <w:bCs/>
      <w:sz w:val="20"/>
      <w:szCs w:val="20"/>
    </w:rPr>
  </w:style>
  <w:style w:type="character" w:customStyle="1" w:styleId="UnresolvedMention3">
    <w:name w:val="Unresolved Mention3"/>
    <w:basedOn w:val="a0"/>
    <w:uiPriority w:val="99"/>
    <w:rsid w:val="00E20495"/>
    <w:rPr>
      <w:color w:val="605E5C"/>
      <w:shd w:val="clear" w:color="auto" w:fill="E1DFDD"/>
    </w:rPr>
  </w:style>
  <w:style w:type="character" w:customStyle="1" w:styleId="UnresolvedMention4">
    <w:name w:val="Unresolved Mention4"/>
    <w:basedOn w:val="a0"/>
    <w:uiPriority w:val="99"/>
    <w:rsid w:val="00E20495"/>
    <w:rPr>
      <w:color w:val="605E5C"/>
      <w:shd w:val="clear" w:color="auto" w:fill="E1DFDD"/>
    </w:rPr>
  </w:style>
  <w:style w:type="character" w:customStyle="1" w:styleId="UnresolvedMention5">
    <w:name w:val="Unresolved Mention5"/>
    <w:basedOn w:val="a0"/>
    <w:uiPriority w:val="99"/>
    <w:rsid w:val="00E20495"/>
    <w:rPr>
      <w:color w:val="808080"/>
      <w:shd w:val="clear" w:color="auto" w:fill="E6E6E6"/>
    </w:rPr>
  </w:style>
  <w:style w:type="character" w:styleId="ac">
    <w:name w:val="FollowedHyperlink"/>
    <w:basedOn w:val="a0"/>
    <w:uiPriority w:val="99"/>
    <w:semiHidden/>
    <w:unhideWhenUsed/>
    <w:rsid w:val="00F67887"/>
    <w:rPr>
      <w:color w:val="954F72" w:themeColor="followedHyperlink"/>
      <w:u w:val="single"/>
    </w:rPr>
  </w:style>
  <w:style w:type="paragraph" w:customStyle="1" w:styleId="1">
    <w:name w:val="正文1"/>
    <w:uiPriority w:val="99"/>
    <w:rsid w:val="00563A78"/>
    <w:pPr>
      <w:spacing w:after="0" w:line="276" w:lineRule="auto"/>
    </w:pPr>
    <w:rPr>
      <w:rFonts w:ascii="Arial" w:eastAsia="宋体" w:hAnsi="Arial" w:cs="Arial"/>
      <w:color w:val="000000"/>
      <w:kern w:val="0"/>
      <w:szCs w:val="20"/>
      <w:lang w:val="pl-PL" w:eastAsia="pl-P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20495"/>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E20495"/>
    <w:rPr>
      <w:color w:val="0563C1" w:themeColor="hyperlink"/>
      <w:u w:val="single"/>
    </w:rPr>
  </w:style>
  <w:style w:type="character" w:customStyle="1" w:styleId="UnresolvedMention1">
    <w:name w:val="Unresolved Mention1"/>
    <w:basedOn w:val="a0"/>
    <w:uiPriority w:val="99"/>
    <w:semiHidden/>
    <w:unhideWhenUsed/>
    <w:rsid w:val="00E20495"/>
    <w:rPr>
      <w:color w:val="808080"/>
      <w:shd w:val="clear" w:color="auto" w:fill="E6E6E6"/>
    </w:rPr>
  </w:style>
  <w:style w:type="paragraph" w:customStyle="1" w:styleId="Default">
    <w:name w:val="Default"/>
    <w:rsid w:val="00E20495"/>
    <w:pPr>
      <w:autoSpaceDE w:val="0"/>
      <w:autoSpaceDN w:val="0"/>
      <w:adjustRightInd w:val="0"/>
      <w:spacing w:after="0" w:line="240" w:lineRule="auto"/>
    </w:pPr>
    <w:rPr>
      <w:rFonts w:ascii="Times New Roman" w:hAnsi="Times New Roman" w:cs="Times New Roman"/>
      <w:color w:val="000000"/>
      <w:sz w:val="24"/>
      <w:szCs w:val="24"/>
    </w:rPr>
  </w:style>
  <w:style w:type="paragraph" w:styleId="a4">
    <w:name w:val="header"/>
    <w:basedOn w:val="a"/>
    <w:link w:val="Char"/>
    <w:uiPriority w:val="99"/>
    <w:unhideWhenUsed/>
    <w:rsid w:val="00E20495"/>
    <w:pPr>
      <w:tabs>
        <w:tab w:val="center" w:pos="4680"/>
        <w:tab w:val="right" w:pos="9360"/>
      </w:tabs>
      <w:spacing w:after="0" w:line="240" w:lineRule="auto"/>
    </w:pPr>
  </w:style>
  <w:style w:type="character" w:customStyle="1" w:styleId="Char">
    <w:name w:val="页眉 Char"/>
    <w:basedOn w:val="a0"/>
    <w:link w:val="a4"/>
    <w:uiPriority w:val="99"/>
    <w:rsid w:val="00E20495"/>
  </w:style>
  <w:style w:type="paragraph" w:styleId="a5">
    <w:name w:val="footer"/>
    <w:basedOn w:val="a"/>
    <w:link w:val="Char0"/>
    <w:uiPriority w:val="99"/>
    <w:unhideWhenUsed/>
    <w:rsid w:val="00E20495"/>
    <w:pPr>
      <w:tabs>
        <w:tab w:val="center" w:pos="4680"/>
        <w:tab w:val="right" w:pos="9360"/>
      </w:tabs>
      <w:spacing w:after="0" w:line="240" w:lineRule="auto"/>
    </w:pPr>
  </w:style>
  <w:style w:type="character" w:customStyle="1" w:styleId="Char0">
    <w:name w:val="页脚 Char"/>
    <w:basedOn w:val="a0"/>
    <w:link w:val="a5"/>
    <w:uiPriority w:val="99"/>
    <w:rsid w:val="00E20495"/>
  </w:style>
  <w:style w:type="paragraph" w:styleId="a6">
    <w:name w:val="List Paragraph"/>
    <w:basedOn w:val="a"/>
    <w:uiPriority w:val="34"/>
    <w:qFormat/>
    <w:rsid w:val="00E20495"/>
    <w:pPr>
      <w:ind w:left="720"/>
      <w:contextualSpacing/>
    </w:pPr>
  </w:style>
  <w:style w:type="paragraph" w:styleId="a7">
    <w:name w:val="Balloon Text"/>
    <w:basedOn w:val="a"/>
    <w:link w:val="Char1"/>
    <w:uiPriority w:val="99"/>
    <w:semiHidden/>
    <w:unhideWhenUsed/>
    <w:rsid w:val="00E20495"/>
    <w:pPr>
      <w:spacing w:after="0" w:line="240" w:lineRule="auto"/>
    </w:pPr>
    <w:rPr>
      <w:rFonts w:ascii="Times New Roman" w:hAnsi="Times New Roman" w:cs="Times New Roman"/>
      <w:sz w:val="18"/>
      <w:szCs w:val="18"/>
    </w:rPr>
  </w:style>
  <w:style w:type="character" w:customStyle="1" w:styleId="Char1">
    <w:name w:val="批注框文本 Char"/>
    <w:basedOn w:val="a0"/>
    <w:link w:val="a7"/>
    <w:uiPriority w:val="99"/>
    <w:semiHidden/>
    <w:rsid w:val="00E20495"/>
    <w:rPr>
      <w:rFonts w:ascii="Times New Roman" w:hAnsi="Times New Roman" w:cs="Times New Roman"/>
      <w:sz w:val="18"/>
      <w:szCs w:val="18"/>
    </w:rPr>
  </w:style>
  <w:style w:type="paragraph" w:customStyle="1" w:styleId="Body">
    <w:name w:val="Body"/>
    <w:rsid w:val="00E20495"/>
    <w:pPr>
      <w:pBdr>
        <w:top w:val="nil"/>
        <w:left w:val="nil"/>
        <w:bottom w:val="nil"/>
        <w:right w:val="nil"/>
        <w:between w:val="nil"/>
        <w:bar w:val="nil"/>
      </w:pBdr>
      <w:spacing w:after="0" w:line="240" w:lineRule="auto"/>
    </w:pPr>
    <w:rPr>
      <w:rFonts w:ascii="Helvetica" w:eastAsia="Arial Unicode MS" w:hAnsi="Arial Unicode MS" w:cs="Arial Unicode MS"/>
      <w:color w:val="000000"/>
      <w:bdr w:val="nil"/>
    </w:rPr>
  </w:style>
  <w:style w:type="paragraph" w:styleId="a8">
    <w:name w:val="Revision"/>
    <w:hidden/>
    <w:uiPriority w:val="99"/>
    <w:semiHidden/>
    <w:rsid w:val="00E20495"/>
    <w:pPr>
      <w:spacing w:after="0" w:line="240" w:lineRule="auto"/>
    </w:pPr>
  </w:style>
  <w:style w:type="character" w:customStyle="1" w:styleId="UnresolvedMention2">
    <w:name w:val="Unresolved Mention2"/>
    <w:basedOn w:val="a0"/>
    <w:uiPriority w:val="99"/>
    <w:semiHidden/>
    <w:unhideWhenUsed/>
    <w:rsid w:val="00E20495"/>
    <w:rPr>
      <w:color w:val="605E5C"/>
      <w:shd w:val="clear" w:color="auto" w:fill="E1DFDD"/>
    </w:rPr>
  </w:style>
  <w:style w:type="paragraph" w:customStyle="1" w:styleId="EndNoteBibliographyTitle">
    <w:name w:val="EndNote Bibliography Title"/>
    <w:basedOn w:val="a"/>
    <w:rsid w:val="00E20495"/>
    <w:pPr>
      <w:spacing w:after="0"/>
      <w:jc w:val="center"/>
    </w:pPr>
    <w:rPr>
      <w:rFonts w:ascii="Book Antiqua" w:hAnsi="Book Antiqua"/>
      <w:sz w:val="24"/>
    </w:rPr>
  </w:style>
  <w:style w:type="paragraph" w:customStyle="1" w:styleId="EndNoteBibliography">
    <w:name w:val="EndNote Bibliography"/>
    <w:basedOn w:val="a"/>
    <w:rsid w:val="00E20495"/>
    <w:pPr>
      <w:spacing w:line="480" w:lineRule="auto"/>
    </w:pPr>
    <w:rPr>
      <w:rFonts w:ascii="Book Antiqua" w:hAnsi="Book Antiqua"/>
      <w:sz w:val="24"/>
    </w:rPr>
  </w:style>
  <w:style w:type="character" w:styleId="a9">
    <w:name w:val="annotation reference"/>
    <w:basedOn w:val="a0"/>
    <w:uiPriority w:val="99"/>
    <w:semiHidden/>
    <w:unhideWhenUsed/>
    <w:rsid w:val="00E20495"/>
    <w:rPr>
      <w:sz w:val="16"/>
      <w:szCs w:val="16"/>
    </w:rPr>
  </w:style>
  <w:style w:type="paragraph" w:styleId="aa">
    <w:name w:val="annotation text"/>
    <w:basedOn w:val="a"/>
    <w:link w:val="Char2"/>
    <w:uiPriority w:val="99"/>
    <w:unhideWhenUsed/>
    <w:rsid w:val="00E20495"/>
    <w:pPr>
      <w:spacing w:line="240" w:lineRule="auto"/>
    </w:pPr>
    <w:rPr>
      <w:sz w:val="20"/>
      <w:szCs w:val="20"/>
    </w:rPr>
  </w:style>
  <w:style w:type="character" w:customStyle="1" w:styleId="Char2">
    <w:name w:val="批注文字 Char"/>
    <w:basedOn w:val="a0"/>
    <w:link w:val="aa"/>
    <w:uiPriority w:val="99"/>
    <w:rsid w:val="00E20495"/>
    <w:rPr>
      <w:sz w:val="20"/>
      <w:szCs w:val="20"/>
    </w:rPr>
  </w:style>
  <w:style w:type="paragraph" w:styleId="ab">
    <w:name w:val="annotation subject"/>
    <w:basedOn w:val="aa"/>
    <w:next w:val="aa"/>
    <w:link w:val="Char3"/>
    <w:uiPriority w:val="99"/>
    <w:semiHidden/>
    <w:unhideWhenUsed/>
    <w:rsid w:val="00E20495"/>
    <w:rPr>
      <w:b/>
      <w:bCs/>
    </w:rPr>
  </w:style>
  <w:style w:type="character" w:customStyle="1" w:styleId="Char3">
    <w:name w:val="批注主题 Char"/>
    <w:basedOn w:val="Char2"/>
    <w:link w:val="ab"/>
    <w:uiPriority w:val="99"/>
    <w:semiHidden/>
    <w:rsid w:val="00E20495"/>
    <w:rPr>
      <w:b/>
      <w:bCs/>
      <w:sz w:val="20"/>
      <w:szCs w:val="20"/>
    </w:rPr>
  </w:style>
  <w:style w:type="character" w:customStyle="1" w:styleId="UnresolvedMention3">
    <w:name w:val="Unresolved Mention3"/>
    <w:basedOn w:val="a0"/>
    <w:uiPriority w:val="99"/>
    <w:rsid w:val="00E20495"/>
    <w:rPr>
      <w:color w:val="605E5C"/>
      <w:shd w:val="clear" w:color="auto" w:fill="E1DFDD"/>
    </w:rPr>
  </w:style>
  <w:style w:type="character" w:customStyle="1" w:styleId="UnresolvedMention4">
    <w:name w:val="Unresolved Mention4"/>
    <w:basedOn w:val="a0"/>
    <w:uiPriority w:val="99"/>
    <w:rsid w:val="00E20495"/>
    <w:rPr>
      <w:color w:val="605E5C"/>
      <w:shd w:val="clear" w:color="auto" w:fill="E1DFDD"/>
    </w:rPr>
  </w:style>
  <w:style w:type="character" w:customStyle="1" w:styleId="UnresolvedMention5">
    <w:name w:val="Unresolved Mention5"/>
    <w:basedOn w:val="a0"/>
    <w:uiPriority w:val="99"/>
    <w:rsid w:val="00E20495"/>
    <w:rPr>
      <w:color w:val="808080"/>
      <w:shd w:val="clear" w:color="auto" w:fill="E6E6E6"/>
    </w:rPr>
  </w:style>
  <w:style w:type="character" w:styleId="ac">
    <w:name w:val="FollowedHyperlink"/>
    <w:basedOn w:val="a0"/>
    <w:uiPriority w:val="99"/>
    <w:semiHidden/>
    <w:unhideWhenUsed/>
    <w:rsid w:val="00F67887"/>
    <w:rPr>
      <w:color w:val="954F72" w:themeColor="followedHyperlink"/>
      <w:u w:val="single"/>
    </w:rPr>
  </w:style>
  <w:style w:type="paragraph" w:customStyle="1" w:styleId="1">
    <w:name w:val="正文1"/>
    <w:uiPriority w:val="99"/>
    <w:rsid w:val="00563A78"/>
    <w:pPr>
      <w:spacing w:after="0" w:line="276" w:lineRule="auto"/>
    </w:pPr>
    <w:rPr>
      <w:rFonts w:ascii="Arial" w:eastAsia="宋体" w:hAnsi="Arial" w:cs="Arial"/>
      <w:color w:val="000000"/>
      <w:kern w:val="0"/>
      <w:szCs w:val="20"/>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44433">
      <w:bodyDiv w:val="1"/>
      <w:marLeft w:val="0"/>
      <w:marRight w:val="0"/>
      <w:marTop w:val="0"/>
      <w:marBottom w:val="0"/>
      <w:divBdr>
        <w:top w:val="none" w:sz="0" w:space="0" w:color="auto"/>
        <w:left w:val="none" w:sz="0" w:space="0" w:color="auto"/>
        <w:bottom w:val="none" w:sz="0" w:space="0" w:color="auto"/>
        <w:right w:val="none" w:sz="0" w:space="0" w:color="auto"/>
      </w:divBdr>
    </w:div>
    <w:div w:id="8026130">
      <w:bodyDiv w:val="1"/>
      <w:marLeft w:val="0"/>
      <w:marRight w:val="0"/>
      <w:marTop w:val="0"/>
      <w:marBottom w:val="0"/>
      <w:divBdr>
        <w:top w:val="none" w:sz="0" w:space="0" w:color="auto"/>
        <w:left w:val="none" w:sz="0" w:space="0" w:color="auto"/>
        <w:bottom w:val="none" w:sz="0" w:space="0" w:color="auto"/>
        <w:right w:val="none" w:sz="0" w:space="0" w:color="auto"/>
      </w:divBdr>
    </w:div>
    <w:div w:id="68043455">
      <w:bodyDiv w:val="1"/>
      <w:marLeft w:val="0"/>
      <w:marRight w:val="0"/>
      <w:marTop w:val="0"/>
      <w:marBottom w:val="0"/>
      <w:divBdr>
        <w:top w:val="none" w:sz="0" w:space="0" w:color="auto"/>
        <w:left w:val="none" w:sz="0" w:space="0" w:color="auto"/>
        <w:bottom w:val="none" w:sz="0" w:space="0" w:color="auto"/>
        <w:right w:val="none" w:sz="0" w:space="0" w:color="auto"/>
      </w:divBdr>
    </w:div>
    <w:div w:id="158426274">
      <w:bodyDiv w:val="1"/>
      <w:marLeft w:val="0"/>
      <w:marRight w:val="0"/>
      <w:marTop w:val="0"/>
      <w:marBottom w:val="0"/>
      <w:divBdr>
        <w:top w:val="none" w:sz="0" w:space="0" w:color="auto"/>
        <w:left w:val="none" w:sz="0" w:space="0" w:color="auto"/>
        <w:bottom w:val="none" w:sz="0" w:space="0" w:color="auto"/>
        <w:right w:val="none" w:sz="0" w:space="0" w:color="auto"/>
      </w:divBdr>
    </w:div>
    <w:div w:id="161314296">
      <w:bodyDiv w:val="1"/>
      <w:marLeft w:val="0"/>
      <w:marRight w:val="0"/>
      <w:marTop w:val="0"/>
      <w:marBottom w:val="0"/>
      <w:divBdr>
        <w:top w:val="none" w:sz="0" w:space="0" w:color="auto"/>
        <w:left w:val="none" w:sz="0" w:space="0" w:color="auto"/>
        <w:bottom w:val="none" w:sz="0" w:space="0" w:color="auto"/>
        <w:right w:val="none" w:sz="0" w:space="0" w:color="auto"/>
      </w:divBdr>
    </w:div>
    <w:div w:id="207256136">
      <w:bodyDiv w:val="1"/>
      <w:marLeft w:val="0"/>
      <w:marRight w:val="0"/>
      <w:marTop w:val="0"/>
      <w:marBottom w:val="0"/>
      <w:divBdr>
        <w:top w:val="none" w:sz="0" w:space="0" w:color="auto"/>
        <w:left w:val="none" w:sz="0" w:space="0" w:color="auto"/>
        <w:bottom w:val="none" w:sz="0" w:space="0" w:color="auto"/>
        <w:right w:val="none" w:sz="0" w:space="0" w:color="auto"/>
      </w:divBdr>
    </w:div>
    <w:div w:id="293753997">
      <w:bodyDiv w:val="1"/>
      <w:marLeft w:val="0"/>
      <w:marRight w:val="0"/>
      <w:marTop w:val="0"/>
      <w:marBottom w:val="0"/>
      <w:divBdr>
        <w:top w:val="none" w:sz="0" w:space="0" w:color="auto"/>
        <w:left w:val="none" w:sz="0" w:space="0" w:color="auto"/>
        <w:bottom w:val="none" w:sz="0" w:space="0" w:color="auto"/>
        <w:right w:val="none" w:sz="0" w:space="0" w:color="auto"/>
      </w:divBdr>
    </w:div>
    <w:div w:id="378287765">
      <w:bodyDiv w:val="1"/>
      <w:marLeft w:val="0"/>
      <w:marRight w:val="0"/>
      <w:marTop w:val="0"/>
      <w:marBottom w:val="0"/>
      <w:divBdr>
        <w:top w:val="none" w:sz="0" w:space="0" w:color="auto"/>
        <w:left w:val="none" w:sz="0" w:space="0" w:color="auto"/>
        <w:bottom w:val="none" w:sz="0" w:space="0" w:color="auto"/>
        <w:right w:val="none" w:sz="0" w:space="0" w:color="auto"/>
      </w:divBdr>
    </w:div>
    <w:div w:id="518541293">
      <w:bodyDiv w:val="1"/>
      <w:marLeft w:val="0"/>
      <w:marRight w:val="0"/>
      <w:marTop w:val="0"/>
      <w:marBottom w:val="0"/>
      <w:divBdr>
        <w:top w:val="none" w:sz="0" w:space="0" w:color="auto"/>
        <w:left w:val="none" w:sz="0" w:space="0" w:color="auto"/>
        <w:bottom w:val="none" w:sz="0" w:space="0" w:color="auto"/>
        <w:right w:val="none" w:sz="0" w:space="0" w:color="auto"/>
      </w:divBdr>
    </w:div>
    <w:div w:id="539511721">
      <w:bodyDiv w:val="1"/>
      <w:marLeft w:val="0"/>
      <w:marRight w:val="0"/>
      <w:marTop w:val="0"/>
      <w:marBottom w:val="0"/>
      <w:divBdr>
        <w:top w:val="none" w:sz="0" w:space="0" w:color="auto"/>
        <w:left w:val="none" w:sz="0" w:space="0" w:color="auto"/>
        <w:bottom w:val="none" w:sz="0" w:space="0" w:color="auto"/>
        <w:right w:val="none" w:sz="0" w:space="0" w:color="auto"/>
      </w:divBdr>
    </w:div>
    <w:div w:id="547299362">
      <w:bodyDiv w:val="1"/>
      <w:marLeft w:val="0"/>
      <w:marRight w:val="0"/>
      <w:marTop w:val="0"/>
      <w:marBottom w:val="0"/>
      <w:divBdr>
        <w:top w:val="none" w:sz="0" w:space="0" w:color="auto"/>
        <w:left w:val="none" w:sz="0" w:space="0" w:color="auto"/>
        <w:bottom w:val="none" w:sz="0" w:space="0" w:color="auto"/>
        <w:right w:val="none" w:sz="0" w:space="0" w:color="auto"/>
      </w:divBdr>
    </w:div>
    <w:div w:id="686255035">
      <w:bodyDiv w:val="1"/>
      <w:marLeft w:val="0"/>
      <w:marRight w:val="0"/>
      <w:marTop w:val="0"/>
      <w:marBottom w:val="0"/>
      <w:divBdr>
        <w:top w:val="none" w:sz="0" w:space="0" w:color="auto"/>
        <w:left w:val="none" w:sz="0" w:space="0" w:color="auto"/>
        <w:bottom w:val="none" w:sz="0" w:space="0" w:color="auto"/>
        <w:right w:val="none" w:sz="0" w:space="0" w:color="auto"/>
      </w:divBdr>
    </w:div>
    <w:div w:id="744836778">
      <w:bodyDiv w:val="1"/>
      <w:marLeft w:val="0"/>
      <w:marRight w:val="0"/>
      <w:marTop w:val="0"/>
      <w:marBottom w:val="0"/>
      <w:divBdr>
        <w:top w:val="none" w:sz="0" w:space="0" w:color="auto"/>
        <w:left w:val="none" w:sz="0" w:space="0" w:color="auto"/>
        <w:bottom w:val="none" w:sz="0" w:space="0" w:color="auto"/>
        <w:right w:val="none" w:sz="0" w:space="0" w:color="auto"/>
      </w:divBdr>
    </w:div>
    <w:div w:id="763301702">
      <w:bodyDiv w:val="1"/>
      <w:marLeft w:val="0"/>
      <w:marRight w:val="0"/>
      <w:marTop w:val="0"/>
      <w:marBottom w:val="0"/>
      <w:divBdr>
        <w:top w:val="none" w:sz="0" w:space="0" w:color="auto"/>
        <w:left w:val="none" w:sz="0" w:space="0" w:color="auto"/>
        <w:bottom w:val="none" w:sz="0" w:space="0" w:color="auto"/>
        <w:right w:val="none" w:sz="0" w:space="0" w:color="auto"/>
      </w:divBdr>
    </w:div>
    <w:div w:id="1100687399">
      <w:bodyDiv w:val="1"/>
      <w:marLeft w:val="0"/>
      <w:marRight w:val="0"/>
      <w:marTop w:val="0"/>
      <w:marBottom w:val="0"/>
      <w:divBdr>
        <w:top w:val="none" w:sz="0" w:space="0" w:color="auto"/>
        <w:left w:val="none" w:sz="0" w:space="0" w:color="auto"/>
        <w:bottom w:val="none" w:sz="0" w:space="0" w:color="auto"/>
        <w:right w:val="none" w:sz="0" w:space="0" w:color="auto"/>
      </w:divBdr>
    </w:div>
    <w:div w:id="1407680020">
      <w:bodyDiv w:val="1"/>
      <w:marLeft w:val="0"/>
      <w:marRight w:val="0"/>
      <w:marTop w:val="0"/>
      <w:marBottom w:val="0"/>
      <w:divBdr>
        <w:top w:val="none" w:sz="0" w:space="0" w:color="auto"/>
        <w:left w:val="none" w:sz="0" w:space="0" w:color="auto"/>
        <w:bottom w:val="none" w:sz="0" w:space="0" w:color="auto"/>
        <w:right w:val="none" w:sz="0" w:space="0" w:color="auto"/>
      </w:divBdr>
    </w:div>
    <w:div w:id="1465466123">
      <w:bodyDiv w:val="1"/>
      <w:marLeft w:val="0"/>
      <w:marRight w:val="0"/>
      <w:marTop w:val="0"/>
      <w:marBottom w:val="0"/>
      <w:divBdr>
        <w:top w:val="none" w:sz="0" w:space="0" w:color="auto"/>
        <w:left w:val="none" w:sz="0" w:space="0" w:color="auto"/>
        <w:bottom w:val="none" w:sz="0" w:space="0" w:color="auto"/>
        <w:right w:val="none" w:sz="0" w:space="0" w:color="auto"/>
      </w:divBdr>
    </w:div>
    <w:div w:id="1512917944">
      <w:bodyDiv w:val="1"/>
      <w:marLeft w:val="0"/>
      <w:marRight w:val="0"/>
      <w:marTop w:val="0"/>
      <w:marBottom w:val="0"/>
      <w:divBdr>
        <w:top w:val="none" w:sz="0" w:space="0" w:color="auto"/>
        <w:left w:val="none" w:sz="0" w:space="0" w:color="auto"/>
        <w:bottom w:val="none" w:sz="0" w:space="0" w:color="auto"/>
        <w:right w:val="none" w:sz="0" w:space="0" w:color="auto"/>
      </w:divBdr>
    </w:div>
    <w:div w:id="1539245085">
      <w:bodyDiv w:val="1"/>
      <w:marLeft w:val="0"/>
      <w:marRight w:val="0"/>
      <w:marTop w:val="0"/>
      <w:marBottom w:val="0"/>
      <w:divBdr>
        <w:top w:val="none" w:sz="0" w:space="0" w:color="auto"/>
        <w:left w:val="none" w:sz="0" w:space="0" w:color="auto"/>
        <w:bottom w:val="none" w:sz="0" w:space="0" w:color="auto"/>
        <w:right w:val="none" w:sz="0" w:space="0" w:color="auto"/>
      </w:divBdr>
    </w:div>
    <w:div w:id="1563522391">
      <w:bodyDiv w:val="1"/>
      <w:marLeft w:val="0"/>
      <w:marRight w:val="0"/>
      <w:marTop w:val="0"/>
      <w:marBottom w:val="0"/>
      <w:divBdr>
        <w:top w:val="none" w:sz="0" w:space="0" w:color="auto"/>
        <w:left w:val="none" w:sz="0" w:space="0" w:color="auto"/>
        <w:bottom w:val="none" w:sz="0" w:space="0" w:color="auto"/>
        <w:right w:val="none" w:sz="0" w:space="0" w:color="auto"/>
      </w:divBdr>
    </w:div>
    <w:div w:id="1729761688">
      <w:bodyDiv w:val="1"/>
      <w:marLeft w:val="0"/>
      <w:marRight w:val="0"/>
      <w:marTop w:val="0"/>
      <w:marBottom w:val="0"/>
      <w:divBdr>
        <w:top w:val="none" w:sz="0" w:space="0" w:color="auto"/>
        <w:left w:val="none" w:sz="0" w:space="0" w:color="auto"/>
        <w:bottom w:val="none" w:sz="0" w:space="0" w:color="auto"/>
        <w:right w:val="none" w:sz="0" w:space="0" w:color="auto"/>
      </w:divBdr>
    </w:div>
    <w:div w:id="1764373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tiff"/><Relationship Id="rId39" Type="http://schemas.openxmlformats.org/officeDocument/2006/relationships/image" Target="media/image30.tiff"/><Relationship Id="rId3" Type="http://schemas.microsoft.com/office/2007/relationships/stylesWithEffects" Target="stylesWithEffects.xml"/><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tiff"/><Relationship Id="rId33" Type="http://schemas.openxmlformats.org/officeDocument/2006/relationships/image" Target="media/image24.jpeg"/><Relationship Id="rId38" Type="http://schemas.openxmlformats.org/officeDocument/2006/relationships/image" Target="media/image29.tiff"/><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tiff"/><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tiff"/><Relationship Id="rId24" Type="http://schemas.openxmlformats.org/officeDocument/2006/relationships/image" Target="media/image15.png"/><Relationship Id="rId32" Type="http://schemas.openxmlformats.org/officeDocument/2006/relationships/image" Target="media/image23.jpg"/><Relationship Id="rId37" Type="http://schemas.openxmlformats.org/officeDocument/2006/relationships/image" Target="media/image28.tiff"/><Relationship Id="rId40" Type="http://schemas.openxmlformats.org/officeDocument/2006/relationships/footer" Target="footer1.xml"/><Relationship Id="rId45" Type="http://schemas.microsoft.com/office/2016/09/relationships/commentsIds" Target="commentsIds.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tiff"/><Relationship Id="rId36" Type="http://schemas.openxmlformats.org/officeDocument/2006/relationships/image" Target="media/image27.jpeg"/><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22.tiff"/><Relationship Id="rId4" Type="http://schemas.openxmlformats.org/officeDocument/2006/relationships/settings" Target="settings.xml"/><Relationship Id="rId9" Type="http://schemas.openxmlformats.org/officeDocument/2006/relationships/hyperlink" Target="https://www.ncbi.nlm.nih.gov/pubmed/26482711"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tif"/><Relationship Id="rId30" Type="http://schemas.openxmlformats.org/officeDocument/2006/relationships/image" Target="media/image21.png"/><Relationship Id="rId35"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TotalTime>
  <Pages>104</Pages>
  <Words>25117</Words>
  <Characters>143173</Characters>
  <Application>Microsoft Office Word</Application>
  <DocSecurity>0</DocSecurity>
  <Lines>1193</Lines>
  <Paragraphs>335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167955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Ahluwalia, Amrita</dc:creator>
  <cp:keywords/>
  <dc:description/>
  <cp:lastModifiedBy>Administrator</cp:lastModifiedBy>
  <cp:revision>23</cp:revision>
  <cp:lastPrinted>2018-11-27T18:01:00Z</cp:lastPrinted>
  <dcterms:created xsi:type="dcterms:W3CDTF">2018-12-13T21:16:00Z</dcterms:created>
  <dcterms:modified xsi:type="dcterms:W3CDTF">2018-12-14T09:34:00Z</dcterms:modified>
</cp:coreProperties>
</file>