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D2FA51" w14:textId="77777777" w:rsidR="00F318B2" w:rsidRPr="00F318B2" w:rsidRDefault="00F318B2" w:rsidP="008E1EBB">
      <w:pPr>
        <w:pStyle w:val="1"/>
        <w:adjustRightInd w:val="0"/>
        <w:snapToGrid w:val="0"/>
        <w:spacing w:line="360" w:lineRule="auto"/>
        <w:jc w:val="both"/>
        <w:outlineLvl w:val="0"/>
        <w:rPr>
          <w:rFonts w:ascii="Book Antiqua" w:hAnsi="Book Antiqua" w:cs="Times New Roman"/>
          <w:b/>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r w:rsidRPr="00F318B2">
        <w:rPr>
          <w:rFonts w:ascii="Book Antiqua" w:hAnsi="Book Antiqua" w:cs="Times New Roman"/>
          <w:b/>
          <w:sz w:val="24"/>
          <w:szCs w:val="24"/>
          <w:highlight w:val="white"/>
          <w:lang w:val="en-US" w:eastAsia="zh-CN"/>
        </w:rPr>
        <w:t xml:space="preserve">Name of </w:t>
      </w:r>
      <w:r w:rsidRPr="00F318B2">
        <w:rPr>
          <w:rFonts w:ascii="Book Antiqua" w:hAnsi="Book Antiqua" w:cs="Times New Roman"/>
          <w:b/>
          <w:caps/>
          <w:sz w:val="24"/>
          <w:szCs w:val="24"/>
          <w:highlight w:val="white"/>
          <w:lang w:val="en-US" w:eastAsia="zh-CN"/>
        </w:rPr>
        <w:t>j</w:t>
      </w:r>
      <w:r w:rsidRPr="00F318B2">
        <w:rPr>
          <w:rFonts w:ascii="Book Antiqua" w:hAnsi="Book Antiqua" w:cs="Times New Roman"/>
          <w:b/>
          <w:sz w:val="24"/>
          <w:szCs w:val="24"/>
          <w:highlight w:val="white"/>
          <w:lang w:val="en-US" w:eastAsia="zh-CN"/>
        </w:rPr>
        <w:t xml:space="preserve">ournal: </w:t>
      </w:r>
      <w:bookmarkStart w:id="11" w:name="OLE_LINK718"/>
      <w:bookmarkStart w:id="12" w:name="OLE_LINK719"/>
      <w:r w:rsidRPr="00F318B2">
        <w:rPr>
          <w:rFonts w:ascii="Book Antiqua" w:hAnsi="Book Antiqua" w:cs="Times New Roman"/>
          <w:b/>
          <w:i/>
          <w:sz w:val="24"/>
          <w:szCs w:val="24"/>
          <w:highlight w:val="white"/>
          <w:lang w:val="en-US" w:eastAsia="zh-CN"/>
        </w:rPr>
        <w:t>World Journal of Gastroenterology</w:t>
      </w:r>
      <w:bookmarkEnd w:id="11"/>
      <w:bookmarkEnd w:id="12"/>
    </w:p>
    <w:p w14:paraId="5CD9FE3E" w14:textId="5DC34740" w:rsidR="00F318B2" w:rsidRPr="00F318B2" w:rsidRDefault="00F318B2" w:rsidP="008E1EBB">
      <w:pPr>
        <w:pStyle w:val="1"/>
        <w:adjustRightInd w:val="0"/>
        <w:snapToGrid w:val="0"/>
        <w:spacing w:line="360" w:lineRule="auto"/>
        <w:jc w:val="both"/>
        <w:outlineLvl w:val="0"/>
        <w:rPr>
          <w:rFonts w:ascii="Book Antiqua" w:hAnsi="Book Antiqua" w:cs="Times New Roman"/>
          <w:b/>
          <w:i/>
          <w:sz w:val="24"/>
          <w:szCs w:val="24"/>
          <w:highlight w:val="white"/>
          <w:lang w:val="en-US" w:eastAsia="zh-CN"/>
        </w:rPr>
      </w:pPr>
      <w:bookmarkStart w:id="13" w:name="OLE_LINK485"/>
      <w:bookmarkStart w:id="14" w:name="OLE_LINK486"/>
      <w:bookmarkStart w:id="15" w:name="OLE_LINK661"/>
      <w:bookmarkStart w:id="16" w:name="OLE_LINK768"/>
      <w:bookmarkStart w:id="17" w:name="OLE_LINK514"/>
      <w:bookmarkStart w:id="18" w:name="OLE_LINK515"/>
      <w:r w:rsidRPr="00F318B2">
        <w:rPr>
          <w:rFonts w:ascii="Book Antiqua" w:hAnsi="Book Antiqua" w:cs="Times New Roman"/>
          <w:b/>
          <w:sz w:val="24"/>
          <w:szCs w:val="24"/>
          <w:highlight w:val="white"/>
          <w:lang w:val="en-US" w:eastAsia="zh-CN"/>
        </w:rPr>
        <w:t>Manuscript NO:</w:t>
      </w:r>
      <w:bookmarkEnd w:id="13"/>
      <w:bookmarkEnd w:id="14"/>
      <w:bookmarkEnd w:id="15"/>
      <w:bookmarkEnd w:id="16"/>
      <w:r w:rsidRPr="00F318B2">
        <w:rPr>
          <w:rFonts w:ascii="Book Antiqua" w:hAnsi="Book Antiqua" w:cs="Times New Roman"/>
          <w:b/>
          <w:sz w:val="24"/>
          <w:szCs w:val="24"/>
          <w:highlight w:val="white"/>
          <w:lang w:val="en-US" w:eastAsia="zh-CN"/>
        </w:rPr>
        <w:t xml:space="preserve"> </w:t>
      </w:r>
      <w:r>
        <w:rPr>
          <w:rFonts w:ascii="Book Antiqua" w:hAnsi="Book Antiqua" w:cs="Times New Roman"/>
          <w:b/>
          <w:sz w:val="24"/>
          <w:szCs w:val="24"/>
          <w:lang w:val="en-US" w:eastAsia="zh-CN"/>
        </w:rPr>
        <w:t>44891</w:t>
      </w:r>
    </w:p>
    <w:bookmarkEnd w:id="17"/>
    <w:bookmarkEnd w:id="18"/>
    <w:p w14:paraId="267515D3" w14:textId="56A91FD2" w:rsidR="00F318B2" w:rsidRDefault="00F318B2" w:rsidP="008E1EBB">
      <w:pPr>
        <w:adjustRightInd w:val="0"/>
        <w:snapToGrid w:val="0"/>
        <w:spacing w:after="0" w:line="360" w:lineRule="auto"/>
        <w:jc w:val="both"/>
        <w:outlineLvl w:val="0"/>
        <w:rPr>
          <w:rFonts w:ascii="Book Antiqua" w:hAnsi="Book Antiqua"/>
          <w:b/>
          <w:color w:val="000000"/>
          <w:sz w:val="24"/>
          <w:szCs w:val="24"/>
          <w:lang w:val="en-US"/>
        </w:rPr>
      </w:pPr>
      <w:r w:rsidRPr="00F318B2">
        <w:rPr>
          <w:rFonts w:ascii="Book Antiqua" w:hAnsi="Book Antiqua"/>
          <w:b/>
          <w:color w:val="000000"/>
          <w:sz w:val="24"/>
          <w:szCs w:val="24"/>
          <w:highlight w:val="white"/>
          <w:lang w:val="en-US"/>
        </w:rPr>
        <w:t xml:space="preserve">Manuscript </w:t>
      </w:r>
      <w:r w:rsidRPr="00F318B2">
        <w:rPr>
          <w:rFonts w:ascii="Book Antiqua" w:hAnsi="Book Antiqua"/>
          <w:b/>
          <w:caps/>
          <w:color w:val="000000"/>
          <w:sz w:val="24"/>
          <w:szCs w:val="24"/>
          <w:highlight w:val="white"/>
          <w:lang w:val="en-US"/>
        </w:rPr>
        <w:t>t</w:t>
      </w:r>
      <w:r w:rsidRPr="00F318B2">
        <w:rPr>
          <w:rFonts w:ascii="Book Antiqua" w:hAnsi="Book Antiqua"/>
          <w:b/>
          <w:color w:val="000000"/>
          <w:sz w:val="24"/>
          <w:szCs w:val="24"/>
          <w:highlight w:val="white"/>
          <w:lang w:val="en-US"/>
        </w:rPr>
        <w:t>ype</w:t>
      </w:r>
      <w:r w:rsidRPr="00F318B2">
        <w:rPr>
          <w:rFonts w:ascii="Book Antiqua" w:hAnsi="Book Antiqua"/>
          <w:b/>
          <w:color w:val="000000"/>
          <w:sz w:val="24"/>
          <w:szCs w:val="24"/>
          <w:lang w:val="en-US"/>
        </w:rPr>
        <w:t>:</w:t>
      </w:r>
      <w:bookmarkEnd w:id="0"/>
      <w:bookmarkEnd w:id="1"/>
      <w:bookmarkEnd w:id="2"/>
      <w:bookmarkEnd w:id="3"/>
      <w:bookmarkEnd w:id="4"/>
      <w:bookmarkEnd w:id="5"/>
      <w:bookmarkEnd w:id="6"/>
      <w:bookmarkEnd w:id="7"/>
      <w:bookmarkEnd w:id="8"/>
      <w:bookmarkEnd w:id="9"/>
      <w:bookmarkEnd w:id="10"/>
      <w:r w:rsidRPr="00F318B2">
        <w:rPr>
          <w:rFonts w:ascii="Book Antiqua" w:hAnsi="Book Antiqua"/>
          <w:b/>
          <w:color w:val="000000"/>
          <w:sz w:val="24"/>
          <w:szCs w:val="24"/>
          <w:lang w:val="en-US"/>
        </w:rPr>
        <w:t xml:space="preserve"> </w:t>
      </w:r>
      <w:r>
        <w:rPr>
          <w:rFonts w:ascii="Book Antiqua" w:hAnsi="Book Antiqua"/>
          <w:b/>
          <w:color w:val="000000"/>
          <w:sz w:val="24"/>
          <w:szCs w:val="24"/>
          <w:lang w:val="en-US"/>
        </w:rPr>
        <w:t>REVIEW</w:t>
      </w:r>
    </w:p>
    <w:p w14:paraId="09BDEFE7" w14:textId="77777777" w:rsidR="00F318B2" w:rsidRPr="00F318B2" w:rsidRDefault="00F318B2" w:rsidP="00F318B2">
      <w:pPr>
        <w:adjustRightInd w:val="0"/>
        <w:snapToGrid w:val="0"/>
        <w:spacing w:after="0" w:line="360" w:lineRule="auto"/>
        <w:jc w:val="both"/>
        <w:rPr>
          <w:rFonts w:ascii="Book Antiqua" w:hAnsi="Book Antiqua" w:cs="Arial"/>
          <w:b/>
          <w:sz w:val="24"/>
          <w:szCs w:val="24"/>
          <w:lang w:val="en-US"/>
        </w:rPr>
      </w:pPr>
    </w:p>
    <w:p w14:paraId="7FAB30FE" w14:textId="13A61C20" w:rsidR="00B8403E" w:rsidRDefault="005B73FA" w:rsidP="008E1EBB">
      <w:pPr>
        <w:adjustRightInd w:val="0"/>
        <w:snapToGrid w:val="0"/>
        <w:spacing w:after="0" w:line="360" w:lineRule="auto"/>
        <w:jc w:val="both"/>
        <w:outlineLvl w:val="0"/>
        <w:rPr>
          <w:rFonts w:ascii="Book Antiqua" w:hAnsi="Book Antiqua" w:cs="Arial"/>
          <w:b/>
          <w:sz w:val="24"/>
          <w:szCs w:val="24"/>
          <w:lang w:val="en-US"/>
        </w:rPr>
      </w:pPr>
      <w:r w:rsidRPr="007F5A49">
        <w:rPr>
          <w:rFonts w:ascii="Book Antiqua" w:hAnsi="Book Antiqua" w:cs="Arial"/>
          <w:b/>
          <w:sz w:val="24"/>
          <w:szCs w:val="24"/>
          <w:lang w:val="en-US"/>
        </w:rPr>
        <w:t>Iron and liver fibrosis</w:t>
      </w:r>
      <w:r w:rsidR="000517C0">
        <w:rPr>
          <w:rFonts w:ascii="Book Antiqua" w:hAnsi="Book Antiqua" w:cs="Arial"/>
          <w:b/>
          <w:sz w:val="24"/>
          <w:szCs w:val="24"/>
          <w:lang w:val="en-US"/>
        </w:rPr>
        <w:t>: M</w:t>
      </w:r>
      <w:r w:rsidR="00DE7A6A">
        <w:rPr>
          <w:rFonts w:ascii="Book Antiqua" w:hAnsi="Book Antiqua" w:cs="Arial"/>
          <w:b/>
          <w:sz w:val="24"/>
          <w:szCs w:val="24"/>
          <w:lang w:val="en-US"/>
        </w:rPr>
        <w:t>echanistic and clinical aspects</w:t>
      </w:r>
    </w:p>
    <w:p w14:paraId="425A0CB4" w14:textId="77777777" w:rsidR="00DE7A6A" w:rsidRPr="007F5A49" w:rsidRDefault="00DE7A6A" w:rsidP="007F5A49">
      <w:pPr>
        <w:adjustRightInd w:val="0"/>
        <w:snapToGrid w:val="0"/>
        <w:spacing w:after="0" w:line="360" w:lineRule="auto"/>
        <w:jc w:val="both"/>
        <w:rPr>
          <w:rFonts w:ascii="Book Antiqua" w:hAnsi="Book Antiqua" w:cs="Arial"/>
          <w:b/>
          <w:sz w:val="24"/>
          <w:szCs w:val="24"/>
          <w:lang w:val="en-US"/>
        </w:rPr>
      </w:pPr>
    </w:p>
    <w:p w14:paraId="4707E2B6" w14:textId="246F90B8" w:rsidR="00DA6E35" w:rsidRDefault="00DA6E35" w:rsidP="008E1EBB">
      <w:pPr>
        <w:shd w:val="clear" w:color="auto" w:fill="FFFFFF"/>
        <w:adjustRightInd w:val="0"/>
        <w:snapToGrid w:val="0"/>
        <w:spacing w:after="0" w:line="360" w:lineRule="auto"/>
        <w:jc w:val="both"/>
        <w:outlineLvl w:val="0"/>
        <w:rPr>
          <w:rFonts w:ascii="Book Antiqua" w:eastAsia="Times New Roman" w:hAnsi="Book Antiqua" w:cs="Arial"/>
          <w:sz w:val="24"/>
          <w:szCs w:val="24"/>
          <w:lang w:val="en-US"/>
        </w:rPr>
      </w:pPr>
      <w:r w:rsidRPr="007F5A49">
        <w:rPr>
          <w:rFonts w:ascii="Book Antiqua" w:eastAsia="Times New Roman" w:hAnsi="Book Antiqua" w:cs="Arial"/>
          <w:sz w:val="24"/>
          <w:szCs w:val="24"/>
          <w:lang w:val="en-US"/>
        </w:rPr>
        <w:t xml:space="preserve">Mehta </w:t>
      </w:r>
      <w:r w:rsidR="00DE7A6A">
        <w:rPr>
          <w:rFonts w:ascii="Book Antiqua" w:eastAsia="Times New Roman" w:hAnsi="Book Antiqua" w:cs="Arial"/>
          <w:sz w:val="24"/>
          <w:szCs w:val="24"/>
          <w:lang w:val="en-US"/>
        </w:rPr>
        <w:t xml:space="preserve">KJ </w:t>
      </w:r>
      <w:r w:rsidRPr="007F5A49">
        <w:rPr>
          <w:rFonts w:ascii="Book Antiqua" w:eastAsia="Times New Roman" w:hAnsi="Book Antiqua" w:cs="Arial"/>
          <w:i/>
          <w:sz w:val="24"/>
          <w:szCs w:val="24"/>
          <w:lang w:val="en-US"/>
        </w:rPr>
        <w:t>et a</w:t>
      </w:r>
      <w:r w:rsidRPr="00DE7A6A">
        <w:rPr>
          <w:rFonts w:ascii="Book Antiqua" w:eastAsia="Times New Roman" w:hAnsi="Book Antiqua" w:cs="Arial"/>
          <w:i/>
          <w:sz w:val="24"/>
          <w:szCs w:val="24"/>
          <w:lang w:val="en-US"/>
        </w:rPr>
        <w:t>l.</w:t>
      </w:r>
      <w:r w:rsidR="001765DB">
        <w:rPr>
          <w:rFonts w:ascii="Book Antiqua" w:eastAsia="Times New Roman" w:hAnsi="Book Antiqua" w:cs="Arial"/>
          <w:sz w:val="24"/>
          <w:szCs w:val="24"/>
          <w:lang w:val="en-US"/>
        </w:rPr>
        <w:t xml:space="preserve"> </w:t>
      </w:r>
      <w:r w:rsidR="00DE7A6A">
        <w:rPr>
          <w:rFonts w:ascii="Book Antiqua" w:eastAsia="Times New Roman" w:hAnsi="Book Antiqua" w:cs="Arial"/>
          <w:sz w:val="24"/>
          <w:szCs w:val="24"/>
          <w:lang w:val="en-US"/>
        </w:rPr>
        <w:t>Iron in liver fibrosis</w:t>
      </w:r>
    </w:p>
    <w:p w14:paraId="1A826949" w14:textId="77777777" w:rsidR="00DE7A6A" w:rsidRPr="007F5A49" w:rsidRDefault="00DE7A6A" w:rsidP="007F5A49">
      <w:pPr>
        <w:shd w:val="clear" w:color="auto" w:fill="FFFFFF"/>
        <w:adjustRightInd w:val="0"/>
        <w:snapToGrid w:val="0"/>
        <w:spacing w:after="0" w:line="360" w:lineRule="auto"/>
        <w:jc w:val="both"/>
        <w:rPr>
          <w:rFonts w:ascii="Book Antiqua" w:eastAsia="Times New Roman" w:hAnsi="Book Antiqua" w:cs="Arial"/>
          <w:sz w:val="24"/>
          <w:szCs w:val="24"/>
          <w:lang w:val="en-US"/>
        </w:rPr>
      </w:pPr>
    </w:p>
    <w:p w14:paraId="36123479" w14:textId="60AFF74D" w:rsidR="00FF068E" w:rsidRPr="007F5A49" w:rsidRDefault="00FF068E" w:rsidP="008E1EBB">
      <w:pPr>
        <w:adjustRightInd w:val="0"/>
        <w:snapToGrid w:val="0"/>
        <w:spacing w:after="0" w:line="360" w:lineRule="auto"/>
        <w:jc w:val="both"/>
        <w:outlineLvl w:val="0"/>
        <w:rPr>
          <w:rFonts w:ascii="Book Antiqua" w:hAnsi="Book Antiqua" w:cs="Arial"/>
          <w:sz w:val="24"/>
          <w:szCs w:val="24"/>
          <w:lang w:val="en-US"/>
        </w:rPr>
      </w:pPr>
      <w:bookmarkStart w:id="19" w:name="_Hlk531149724"/>
      <w:r w:rsidRPr="007F5A49">
        <w:rPr>
          <w:rFonts w:ascii="Book Antiqua" w:hAnsi="Book Antiqua" w:cs="Arial"/>
          <w:sz w:val="24"/>
          <w:szCs w:val="24"/>
          <w:lang w:val="en-US"/>
        </w:rPr>
        <w:t>Kosha J Mehta</w:t>
      </w:r>
      <w:bookmarkEnd w:id="19"/>
      <w:r w:rsidRPr="007F5A49">
        <w:rPr>
          <w:rFonts w:ascii="Book Antiqua" w:hAnsi="Book Antiqua" w:cs="Arial"/>
          <w:sz w:val="24"/>
          <w:szCs w:val="24"/>
          <w:lang w:val="en-US"/>
        </w:rPr>
        <w:t xml:space="preserve">, Sebastien Je </w:t>
      </w:r>
      <w:proofErr w:type="spellStart"/>
      <w:r w:rsidRPr="007F5A49">
        <w:rPr>
          <w:rFonts w:ascii="Book Antiqua" w:hAnsi="Book Antiqua" w:cs="Arial"/>
          <w:sz w:val="24"/>
          <w:szCs w:val="24"/>
          <w:lang w:val="en-US"/>
        </w:rPr>
        <w:t>Farnaud</w:t>
      </w:r>
      <w:proofErr w:type="spellEnd"/>
      <w:r w:rsidR="00DE7A6A">
        <w:rPr>
          <w:rFonts w:ascii="Book Antiqua" w:hAnsi="Book Antiqua" w:cs="Arial"/>
          <w:sz w:val="24"/>
          <w:szCs w:val="24"/>
          <w:lang w:val="en-US"/>
        </w:rPr>
        <w:t>,</w:t>
      </w:r>
      <w:r w:rsidRPr="007F5A49">
        <w:rPr>
          <w:rFonts w:ascii="Book Antiqua" w:hAnsi="Book Antiqua" w:cs="Arial"/>
          <w:sz w:val="24"/>
          <w:szCs w:val="24"/>
          <w:lang w:val="en-US"/>
        </w:rPr>
        <w:t xml:space="preserve"> Paul A Sharp</w:t>
      </w:r>
    </w:p>
    <w:p w14:paraId="2D350961" w14:textId="77777777" w:rsidR="00377DC8" w:rsidRPr="007F5A49" w:rsidRDefault="00377DC8" w:rsidP="007F5A49">
      <w:pPr>
        <w:adjustRightInd w:val="0"/>
        <w:snapToGrid w:val="0"/>
        <w:spacing w:after="0" w:line="360" w:lineRule="auto"/>
        <w:jc w:val="both"/>
        <w:rPr>
          <w:rFonts w:ascii="Book Antiqua" w:hAnsi="Book Antiqua" w:cs="Arial"/>
          <w:sz w:val="24"/>
          <w:szCs w:val="24"/>
          <w:lang w:val="en-US"/>
        </w:rPr>
      </w:pPr>
    </w:p>
    <w:p w14:paraId="163ED38A" w14:textId="16C091AA" w:rsidR="00A301C6" w:rsidRPr="007F5A49" w:rsidRDefault="00DE7A6A" w:rsidP="007F5A49">
      <w:pPr>
        <w:adjustRightInd w:val="0"/>
        <w:snapToGrid w:val="0"/>
        <w:spacing w:after="0" w:line="360" w:lineRule="auto"/>
        <w:jc w:val="both"/>
        <w:rPr>
          <w:rFonts w:ascii="Book Antiqua" w:hAnsi="Book Antiqua" w:cs="Arial"/>
          <w:sz w:val="24"/>
          <w:szCs w:val="24"/>
          <w:lang w:val="en-US"/>
        </w:rPr>
      </w:pPr>
      <w:r w:rsidRPr="00DE7A6A">
        <w:rPr>
          <w:rFonts w:ascii="Book Antiqua" w:hAnsi="Book Antiqua" w:cs="Arial"/>
          <w:b/>
          <w:sz w:val="24"/>
          <w:szCs w:val="24"/>
          <w:lang w:val="en-US"/>
        </w:rPr>
        <w:t>Kosha J Mehta</w:t>
      </w:r>
      <w:r w:rsidR="00377DC8" w:rsidRPr="00DE7A6A">
        <w:rPr>
          <w:rFonts w:ascii="Book Antiqua" w:hAnsi="Book Antiqua" w:cs="Arial"/>
          <w:b/>
          <w:sz w:val="24"/>
          <w:szCs w:val="24"/>
          <w:lang w:val="en-US"/>
        </w:rPr>
        <w:t xml:space="preserve">, </w:t>
      </w:r>
      <w:r>
        <w:rPr>
          <w:rFonts w:ascii="Book Antiqua" w:hAnsi="Book Antiqua" w:cs="Arial"/>
          <w:sz w:val="24"/>
          <w:szCs w:val="24"/>
          <w:lang w:val="en-US"/>
        </w:rPr>
        <w:t>School of Population Health and</w:t>
      </w:r>
      <w:r w:rsidR="00A301C6" w:rsidRPr="007F5A49">
        <w:rPr>
          <w:rFonts w:ascii="Book Antiqua" w:hAnsi="Book Antiqua" w:cs="Arial"/>
          <w:sz w:val="24"/>
          <w:szCs w:val="24"/>
          <w:lang w:val="en-US"/>
        </w:rPr>
        <w:t xml:space="preserve"> Environmental Scie</w:t>
      </w:r>
      <w:r>
        <w:rPr>
          <w:rFonts w:ascii="Book Antiqua" w:hAnsi="Book Antiqua" w:cs="Arial"/>
          <w:sz w:val="24"/>
          <w:szCs w:val="24"/>
          <w:lang w:val="en-US"/>
        </w:rPr>
        <w:t>nces, Faculty of Life Sciences and</w:t>
      </w:r>
      <w:r w:rsidR="00A301C6" w:rsidRPr="007F5A49">
        <w:rPr>
          <w:rFonts w:ascii="Book Antiqua" w:hAnsi="Book Antiqua" w:cs="Arial"/>
          <w:sz w:val="24"/>
          <w:szCs w:val="24"/>
          <w:lang w:val="en-US"/>
        </w:rPr>
        <w:t xml:space="preserve"> Medicine, King’s College London, </w:t>
      </w:r>
      <w:r>
        <w:rPr>
          <w:rFonts w:ascii="Book Antiqua" w:hAnsi="Book Antiqua" w:cs="Arial"/>
          <w:sz w:val="24"/>
          <w:szCs w:val="24"/>
          <w:lang w:val="en-US"/>
        </w:rPr>
        <w:t xml:space="preserve">London </w:t>
      </w:r>
      <w:r w:rsidR="00CD3F20" w:rsidRPr="007F5A49">
        <w:rPr>
          <w:rFonts w:ascii="Book Antiqua" w:hAnsi="Book Antiqua" w:cs="Arial"/>
          <w:sz w:val="24"/>
          <w:szCs w:val="24"/>
          <w:lang w:val="en-US"/>
        </w:rPr>
        <w:t>SE1 1UL,</w:t>
      </w:r>
      <w:r w:rsidR="007B5775" w:rsidRPr="007F5A49">
        <w:rPr>
          <w:rFonts w:ascii="Book Antiqua" w:hAnsi="Book Antiqua" w:cs="Arial"/>
          <w:sz w:val="24"/>
          <w:szCs w:val="24"/>
          <w:lang w:val="en-US"/>
        </w:rPr>
        <w:t xml:space="preserve"> </w:t>
      </w:r>
      <w:bookmarkStart w:id="20" w:name="OLE_LINK62"/>
      <w:bookmarkStart w:id="21" w:name="OLE_LINK63"/>
      <w:r w:rsidR="009705F3" w:rsidRPr="007F5A49">
        <w:rPr>
          <w:rFonts w:ascii="Book Antiqua" w:hAnsi="Book Antiqua" w:cs="Arial"/>
          <w:sz w:val="24"/>
          <w:szCs w:val="24"/>
          <w:lang w:val="en-US"/>
        </w:rPr>
        <w:t>United Kingdom</w:t>
      </w:r>
      <w:bookmarkEnd w:id="20"/>
      <w:bookmarkEnd w:id="21"/>
    </w:p>
    <w:p w14:paraId="0B1759CA" w14:textId="77777777" w:rsidR="00377DC8" w:rsidRPr="007F5A49" w:rsidRDefault="00377DC8" w:rsidP="007F5A49">
      <w:pPr>
        <w:adjustRightInd w:val="0"/>
        <w:snapToGrid w:val="0"/>
        <w:spacing w:after="0" w:line="360" w:lineRule="auto"/>
        <w:jc w:val="both"/>
        <w:rPr>
          <w:rFonts w:ascii="Book Antiqua" w:hAnsi="Book Antiqua" w:cs="Arial"/>
          <w:sz w:val="24"/>
          <w:szCs w:val="24"/>
          <w:lang w:val="en-US"/>
        </w:rPr>
      </w:pPr>
    </w:p>
    <w:p w14:paraId="5A88950E" w14:textId="6DDD3DE5" w:rsidR="003B29A8" w:rsidRPr="007F5A49" w:rsidRDefault="00377DC8" w:rsidP="007F5A49">
      <w:pPr>
        <w:adjustRightInd w:val="0"/>
        <w:snapToGrid w:val="0"/>
        <w:spacing w:after="0" w:line="360" w:lineRule="auto"/>
        <w:jc w:val="both"/>
        <w:rPr>
          <w:rStyle w:val="Strong"/>
          <w:rFonts w:ascii="Book Antiqua" w:hAnsi="Book Antiqua" w:cs="Arial"/>
          <w:b w:val="0"/>
          <w:bCs w:val="0"/>
          <w:sz w:val="24"/>
          <w:szCs w:val="24"/>
          <w:lang w:val="en-US"/>
        </w:rPr>
      </w:pPr>
      <w:r w:rsidRPr="00DE7A6A">
        <w:rPr>
          <w:rFonts w:ascii="Book Antiqua" w:hAnsi="Book Antiqua" w:cs="Arial"/>
          <w:b/>
          <w:sz w:val="24"/>
          <w:szCs w:val="24"/>
          <w:lang w:val="en-US"/>
        </w:rPr>
        <w:t>Kosha J Mehta</w:t>
      </w:r>
      <w:r w:rsidRPr="00DE7A6A">
        <w:rPr>
          <w:rStyle w:val="Strong"/>
          <w:rFonts w:ascii="Book Antiqua" w:hAnsi="Book Antiqua" w:cs="Arial"/>
          <w:b w:val="0"/>
          <w:bCs w:val="0"/>
          <w:sz w:val="24"/>
          <w:szCs w:val="24"/>
          <w:lang w:val="en-US"/>
        </w:rPr>
        <w:t xml:space="preserve">, </w:t>
      </w:r>
      <w:r w:rsidR="003B29A8" w:rsidRPr="007F5A49">
        <w:rPr>
          <w:rStyle w:val="Strong"/>
          <w:rFonts w:ascii="Book Antiqua" w:hAnsi="Book Antiqua" w:cs="Arial"/>
          <w:b w:val="0"/>
          <w:bCs w:val="0"/>
          <w:sz w:val="24"/>
          <w:szCs w:val="24"/>
          <w:lang w:val="en-US"/>
        </w:rPr>
        <w:t xml:space="preserve">Division of Human Sciences, School of Applied Sciences, London South Bank University, </w:t>
      </w:r>
      <w:r w:rsidR="00DE7A6A">
        <w:rPr>
          <w:rStyle w:val="Strong"/>
          <w:rFonts w:ascii="Book Antiqua" w:hAnsi="Book Antiqua" w:cs="Arial"/>
          <w:b w:val="0"/>
          <w:bCs w:val="0"/>
          <w:sz w:val="24"/>
          <w:szCs w:val="24"/>
          <w:lang w:val="en-US"/>
        </w:rPr>
        <w:t xml:space="preserve">London </w:t>
      </w:r>
      <w:r w:rsidR="00CD3F20" w:rsidRPr="007F5A49">
        <w:rPr>
          <w:rStyle w:val="lrzxr"/>
          <w:rFonts w:ascii="Book Antiqua" w:hAnsi="Book Antiqua"/>
          <w:sz w:val="24"/>
          <w:szCs w:val="24"/>
          <w:lang w:val="en-US"/>
        </w:rPr>
        <w:t>SE1 0AA</w:t>
      </w:r>
      <w:r w:rsidR="00CD3F20" w:rsidRPr="007F5A49">
        <w:rPr>
          <w:rFonts w:ascii="Book Antiqua" w:hAnsi="Book Antiqua" w:cs="Arial"/>
          <w:sz w:val="24"/>
          <w:szCs w:val="24"/>
          <w:lang w:val="en-US"/>
        </w:rPr>
        <w:t xml:space="preserve">, </w:t>
      </w:r>
      <w:r w:rsidR="00DE7A6A" w:rsidRPr="007F5A49">
        <w:rPr>
          <w:rFonts w:ascii="Book Antiqua" w:hAnsi="Book Antiqua" w:cs="Arial"/>
          <w:sz w:val="24"/>
          <w:szCs w:val="24"/>
          <w:lang w:val="en-US"/>
        </w:rPr>
        <w:t>United Kingdom</w:t>
      </w:r>
    </w:p>
    <w:p w14:paraId="34365C00" w14:textId="77777777" w:rsidR="00377DC8" w:rsidRPr="007F5A49" w:rsidRDefault="00377DC8" w:rsidP="007F5A49">
      <w:pPr>
        <w:adjustRightInd w:val="0"/>
        <w:snapToGrid w:val="0"/>
        <w:spacing w:after="0" w:line="360" w:lineRule="auto"/>
        <w:jc w:val="both"/>
        <w:rPr>
          <w:rFonts w:ascii="Book Antiqua" w:hAnsi="Book Antiqua" w:cs="Arial"/>
          <w:sz w:val="24"/>
          <w:szCs w:val="24"/>
          <w:lang w:val="en-US"/>
        </w:rPr>
      </w:pPr>
    </w:p>
    <w:p w14:paraId="0090B08E" w14:textId="33BC06A9" w:rsidR="00326D41" w:rsidRPr="007F5A49" w:rsidRDefault="00377DC8" w:rsidP="007F5A49">
      <w:pPr>
        <w:pStyle w:val="xmsonormal"/>
        <w:shd w:val="clear" w:color="auto" w:fill="FFFFFF"/>
        <w:adjustRightInd w:val="0"/>
        <w:snapToGrid w:val="0"/>
        <w:spacing w:before="0" w:beforeAutospacing="0" w:after="0" w:afterAutospacing="0" w:line="360" w:lineRule="auto"/>
        <w:jc w:val="both"/>
        <w:rPr>
          <w:rFonts w:ascii="Book Antiqua" w:hAnsi="Book Antiqua"/>
          <w:color w:val="212121"/>
          <w:lang w:val="en-US"/>
        </w:rPr>
      </w:pPr>
      <w:r w:rsidRPr="00DE7A6A">
        <w:rPr>
          <w:rFonts w:ascii="Book Antiqua" w:hAnsi="Book Antiqua" w:cs="Arial"/>
          <w:b/>
          <w:lang w:val="en-US"/>
        </w:rPr>
        <w:t xml:space="preserve">Sebastien Je </w:t>
      </w:r>
      <w:proofErr w:type="spellStart"/>
      <w:r w:rsidRPr="00DE7A6A">
        <w:rPr>
          <w:rFonts w:ascii="Book Antiqua" w:hAnsi="Book Antiqua" w:cs="Arial"/>
          <w:b/>
          <w:lang w:val="en-US"/>
        </w:rPr>
        <w:t>Farnaud</w:t>
      </w:r>
      <w:proofErr w:type="spellEnd"/>
      <w:r w:rsidRPr="00DE7A6A">
        <w:rPr>
          <w:rFonts w:ascii="Book Antiqua" w:hAnsi="Book Antiqua" w:cs="Arial"/>
          <w:b/>
          <w:lang w:val="en-US"/>
        </w:rPr>
        <w:t xml:space="preserve">, </w:t>
      </w:r>
      <w:hyperlink r:id="rId8" w:history="1">
        <w:r w:rsidR="00F27E7B" w:rsidRPr="007F5A49">
          <w:rPr>
            <w:rFonts w:ascii="Book Antiqua" w:hAnsi="Book Antiqua" w:cs="Arial"/>
            <w:lang w:val="en-US"/>
          </w:rPr>
          <w:t>Faculty Research Centre for Sport, Exercise and Life Sciences</w:t>
        </w:r>
      </w:hyperlink>
      <w:r w:rsidR="00F27E7B" w:rsidRPr="007F5A49">
        <w:rPr>
          <w:rFonts w:ascii="Book Antiqua" w:hAnsi="Book Antiqua" w:cs="Arial"/>
          <w:lang w:val="en-US"/>
        </w:rPr>
        <w:t xml:space="preserve">, </w:t>
      </w:r>
      <w:r w:rsidR="00DE7A6A">
        <w:rPr>
          <w:rFonts w:ascii="Book Antiqua" w:hAnsi="Book Antiqua" w:cs="Arial"/>
          <w:lang w:val="en-US"/>
        </w:rPr>
        <w:t>Coventry University, Coventry</w:t>
      </w:r>
      <w:r w:rsidR="00326D41" w:rsidRPr="007F5A49">
        <w:rPr>
          <w:rFonts w:ascii="Book Antiqua" w:hAnsi="Book Antiqua" w:cs="Arial"/>
          <w:lang w:val="en-US"/>
        </w:rPr>
        <w:t xml:space="preserve"> </w:t>
      </w:r>
      <w:r w:rsidR="00934EC3" w:rsidRPr="007F5A49">
        <w:rPr>
          <w:rFonts w:ascii="Book Antiqua" w:hAnsi="Book Antiqua"/>
          <w:color w:val="212121"/>
          <w:lang w:val="en-US"/>
        </w:rPr>
        <w:t xml:space="preserve">CV1 2DS, </w:t>
      </w:r>
      <w:r w:rsidR="00DE7A6A" w:rsidRPr="007F5A49">
        <w:rPr>
          <w:rFonts w:ascii="Book Antiqua" w:hAnsi="Book Antiqua" w:cs="Arial"/>
          <w:lang w:val="en-US"/>
        </w:rPr>
        <w:t>United Kingdom</w:t>
      </w:r>
    </w:p>
    <w:p w14:paraId="18D69B3E" w14:textId="77777777" w:rsidR="00377DC8" w:rsidRPr="007F5A49" w:rsidRDefault="00377DC8" w:rsidP="007F5A49">
      <w:pPr>
        <w:adjustRightInd w:val="0"/>
        <w:snapToGrid w:val="0"/>
        <w:spacing w:after="0" w:line="360" w:lineRule="auto"/>
        <w:jc w:val="both"/>
        <w:rPr>
          <w:rFonts w:ascii="Book Antiqua" w:hAnsi="Book Antiqua" w:cs="Arial"/>
          <w:sz w:val="24"/>
          <w:szCs w:val="24"/>
          <w:lang w:val="en-US"/>
        </w:rPr>
      </w:pPr>
    </w:p>
    <w:p w14:paraId="49D1DD6D" w14:textId="4CBBF9CF" w:rsidR="008E6327" w:rsidRPr="007F5A49" w:rsidRDefault="00377DC8" w:rsidP="007F5A49">
      <w:pPr>
        <w:adjustRightInd w:val="0"/>
        <w:snapToGrid w:val="0"/>
        <w:spacing w:after="0" w:line="360" w:lineRule="auto"/>
        <w:jc w:val="both"/>
        <w:rPr>
          <w:rFonts w:ascii="Book Antiqua" w:eastAsia="Times New Roman" w:hAnsi="Book Antiqua" w:cs="Arial"/>
          <w:sz w:val="24"/>
          <w:szCs w:val="24"/>
          <w:lang w:val="en-US"/>
        </w:rPr>
      </w:pPr>
      <w:r w:rsidRPr="00DE7A6A">
        <w:rPr>
          <w:rFonts w:ascii="Book Antiqua" w:hAnsi="Book Antiqua" w:cs="Arial"/>
          <w:b/>
          <w:sz w:val="24"/>
          <w:szCs w:val="24"/>
          <w:lang w:val="en-US"/>
        </w:rPr>
        <w:t xml:space="preserve">Paul A Sharp, </w:t>
      </w:r>
      <w:r w:rsidR="002C7FE0" w:rsidRPr="007F5A49">
        <w:rPr>
          <w:rFonts w:ascii="Book Antiqua" w:eastAsia="Times New Roman" w:hAnsi="Book Antiqua" w:cs="Arial"/>
          <w:sz w:val="24"/>
          <w:szCs w:val="24"/>
          <w:lang w:val="en-US"/>
        </w:rPr>
        <w:t>Department of Nutrition</w:t>
      </w:r>
      <w:r w:rsidR="00F531EC" w:rsidRPr="007F5A49">
        <w:rPr>
          <w:rFonts w:ascii="Book Antiqua" w:eastAsia="Times New Roman" w:hAnsi="Book Antiqua" w:cs="Arial"/>
          <w:sz w:val="24"/>
          <w:szCs w:val="24"/>
          <w:lang w:val="en-US"/>
        </w:rPr>
        <w:t>al Sciences</w:t>
      </w:r>
      <w:r w:rsidR="002C7FE0" w:rsidRPr="007F5A49">
        <w:rPr>
          <w:rFonts w:ascii="Book Antiqua" w:eastAsia="Times New Roman" w:hAnsi="Book Antiqua" w:cs="Arial"/>
          <w:sz w:val="24"/>
          <w:szCs w:val="24"/>
          <w:lang w:val="en-US"/>
        </w:rPr>
        <w:t>,</w:t>
      </w:r>
      <w:r w:rsidR="00E45764" w:rsidRPr="007F5A49">
        <w:rPr>
          <w:rFonts w:ascii="Book Antiqua" w:hAnsi="Book Antiqua" w:cs="Arial"/>
          <w:sz w:val="24"/>
          <w:szCs w:val="24"/>
          <w:lang w:val="en-US"/>
        </w:rPr>
        <w:t xml:space="preserve"> School of Life Course Sciences, Faculty </w:t>
      </w:r>
      <w:r w:rsidR="00DE7A6A">
        <w:rPr>
          <w:rFonts w:ascii="Book Antiqua" w:hAnsi="Book Antiqua" w:cs="Arial"/>
          <w:sz w:val="24"/>
          <w:szCs w:val="24"/>
          <w:lang w:val="en-US"/>
        </w:rPr>
        <w:t>of Life Sciences and</w:t>
      </w:r>
      <w:r w:rsidR="00E45764" w:rsidRPr="007F5A49">
        <w:rPr>
          <w:rFonts w:ascii="Book Antiqua" w:hAnsi="Book Antiqua" w:cs="Arial"/>
          <w:sz w:val="24"/>
          <w:szCs w:val="24"/>
          <w:lang w:val="en-US"/>
        </w:rPr>
        <w:t xml:space="preserve"> Medicine</w:t>
      </w:r>
      <w:r w:rsidR="002C7FE0" w:rsidRPr="007F5A49">
        <w:rPr>
          <w:rFonts w:ascii="Book Antiqua" w:eastAsia="Times New Roman" w:hAnsi="Book Antiqua" w:cs="Arial"/>
          <w:sz w:val="24"/>
          <w:szCs w:val="24"/>
          <w:lang w:val="en-US"/>
        </w:rPr>
        <w:t xml:space="preserve">, King's College London, </w:t>
      </w:r>
      <w:r w:rsidR="00DE7A6A">
        <w:rPr>
          <w:rFonts w:ascii="Book Antiqua" w:eastAsia="Times New Roman" w:hAnsi="Book Antiqua" w:cs="Arial"/>
          <w:sz w:val="24"/>
          <w:szCs w:val="24"/>
          <w:lang w:val="en-US"/>
        </w:rPr>
        <w:t xml:space="preserve">London </w:t>
      </w:r>
      <w:r w:rsidR="00003220" w:rsidRPr="007F5A49">
        <w:rPr>
          <w:rStyle w:val="lrzxr"/>
          <w:rFonts w:ascii="Book Antiqua" w:hAnsi="Book Antiqua"/>
          <w:sz w:val="24"/>
          <w:szCs w:val="24"/>
          <w:lang w:val="en-US"/>
        </w:rPr>
        <w:t>SE1 9NH</w:t>
      </w:r>
      <w:r w:rsidR="00003220" w:rsidRPr="007F5A49">
        <w:rPr>
          <w:rFonts w:ascii="Book Antiqua" w:hAnsi="Book Antiqua" w:cs="Arial"/>
          <w:sz w:val="24"/>
          <w:szCs w:val="24"/>
          <w:lang w:val="en-US"/>
        </w:rPr>
        <w:t xml:space="preserve">, </w:t>
      </w:r>
      <w:r w:rsidR="00DE7A6A" w:rsidRPr="007F5A49">
        <w:rPr>
          <w:rFonts w:ascii="Book Antiqua" w:hAnsi="Book Antiqua" w:cs="Arial"/>
          <w:sz w:val="24"/>
          <w:szCs w:val="24"/>
          <w:lang w:val="en-US"/>
        </w:rPr>
        <w:t>United Kingdom</w:t>
      </w:r>
    </w:p>
    <w:p w14:paraId="7A35D42E" w14:textId="77777777" w:rsidR="00901F91" w:rsidRPr="007F5A49" w:rsidRDefault="00901F91" w:rsidP="007F5A49">
      <w:pPr>
        <w:adjustRightInd w:val="0"/>
        <w:snapToGrid w:val="0"/>
        <w:spacing w:after="0" w:line="360" w:lineRule="auto"/>
        <w:jc w:val="both"/>
        <w:rPr>
          <w:rFonts w:ascii="Book Antiqua" w:hAnsi="Book Antiqua" w:cs="Arial"/>
          <w:b/>
          <w:sz w:val="24"/>
          <w:szCs w:val="24"/>
          <w:lang w:val="en-US"/>
        </w:rPr>
      </w:pPr>
    </w:p>
    <w:p w14:paraId="06B10C9C" w14:textId="71A28EC6" w:rsidR="00377DC8" w:rsidRPr="007F5A49" w:rsidRDefault="00DE7A6A" w:rsidP="007F5A49">
      <w:pPr>
        <w:adjustRightInd w:val="0"/>
        <w:snapToGrid w:val="0"/>
        <w:spacing w:after="0" w:line="360" w:lineRule="auto"/>
        <w:jc w:val="both"/>
        <w:rPr>
          <w:rFonts w:ascii="Book Antiqua" w:eastAsia="Times New Roman" w:hAnsi="Book Antiqua" w:cs="Times New Roman"/>
          <w:sz w:val="24"/>
          <w:szCs w:val="24"/>
          <w:lang w:val="en-US"/>
        </w:rPr>
      </w:pPr>
      <w:r>
        <w:rPr>
          <w:rFonts w:ascii="Book Antiqua" w:hAnsi="Book Antiqua" w:cs="Arial"/>
          <w:b/>
          <w:sz w:val="24"/>
          <w:szCs w:val="24"/>
          <w:lang w:val="en-US"/>
        </w:rPr>
        <w:t>ORC</w:t>
      </w:r>
      <w:r w:rsidR="000264C4" w:rsidRPr="007F5A49">
        <w:rPr>
          <w:rFonts w:ascii="Book Antiqua" w:hAnsi="Book Antiqua" w:cs="Arial"/>
          <w:b/>
          <w:sz w:val="24"/>
          <w:szCs w:val="24"/>
          <w:lang w:val="en-US"/>
        </w:rPr>
        <w:t xml:space="preserve">ID number: </w:t>
      </w:r>
      <w:r w:rsidR="00377DC8" w:rsidRPr="007F5A49">
        <w:rPr>
          <w:rFonts w:ascii="Book Antiqua" w:hAnsi="Book Antiqua" w:cs="Arial"/>
          <w:sz w:val="24"/>
          <w:szCs w:val="24"/>
          <w:lang w:val="en-US"/>
        </w:rPr>
        <w:t>Kosha J Mehta (</w:t>
      </w:r>
      <w:r w:rsidR="00CD3F20" w:rsidRPr="007F5A49">
        <w:rPr>
          <w:rFonts w:ascii="Book Antiqua" w:eastAsia="Times New Roman" w:hAnsi="Book Antiqua" w:cs="Times New Roman"/>
          <w:sz w:val="24"/>
          <w:szCs w:val="24"/>
          <w:lang w:val="en-US"/>
        </w:rPr>
        <w:t>0000-0002-0716-5081</w:t>
      </w:r>
      <w:r w:rsidR="00377DC8" w:rsidRPr="007F5A49">
        <w:rPr>
          <w:rFonts w:ascii="Book Antiqua" w:hAnsi="Book Antiqua" w:cs="Arial"/>
          <w:sz w:val="24"/>
          <w:szCs w:val="24"/>
          <w:lang w:val="en-US"/>
        </w:rPr>
        <w:t>)</w:t>
      </w:r>
      <w:r w:rsidR="000264C4" w:rsidRPr="007F5A49">
        <w:rPr>
          <w:rFonts w:ascii="Book Antiqua" w:hAnsi="Book Antiqua" w:cs="Arial"/>
          <w:sz w:val="24"/>
          <w:szCs w:val="24"/>
          <w:lang w:val="en-US"/>
        </w:rPr>
        <w:t xml:space="preserve">; </w:t>
      </w:r>
      <w:r w:rsidR="00377DC8" w:rsidRPr="007F5A49">
        <w:rPr>
          <w:rFonts w:ascii="Book Antiqua" w:hAnsi="Book Antiqua" w:cs="Arial"/>
          <w:sz w:val="24"/>
          <w:szCs w:val="24"/>
          <w:lang w:val="en-US"/>
        </w:rPr>
        <w:t xml:space="preserve">Sebastien Je </w:t>
      </w:r>
      <w:proofErr w:type="spellStart"/>
      <w:r w:rsidR="00377DC8" w:rsidRPr="007F5A49">
        <w:rPr>
          <w:rFonts w:ascii="Book Antiqua" w:hAnsi="Book Antiqua" w:cs="Arial"/>
          <w:sz w:val="24"/>
          <w:szCs w:val="24"/>
          <w:lang w:val="en-US"/>
        </w:rPr>
        <w:t>Farnaud</w:t>
      </w:r>
      <w:proofErr w:type="spellEnd"/>
      <w:r w:rsidR="00377DC8" w:rsidRPr="007F5A49">
        <w:rPr>
          <w:rFonts w:ascii="Book Antiqua" w:hAnsi="Book Antiqua" w:cs="Arial"/>
          <w:sz w:val="24"/>
          <w:szCs w:val="24"/>
          <w:lang w:val="en-US"/>
        </w:rPr>
        <w:t xml:space="preserve"> (</w:t>
      </w:r>
      <w:r w:rsidR="00CD3F20" w:rsidRPr="007F5A49">
        <w:rPr>
          <w:rStyle w:val="orcid-id-https"/>
          <w:rFonts w:ascii="Book Antiqua" w:hAnsi="Book Antiqua"/>
          <w:sz w:val="24"/>
          <w:szCs w:val="24"/>
          <w:lang w:val="en-US"/>
        </w:rPr>
        <w:t>0000-0003-2077-5797</w:t>
      </w:r>
      <w:r w:rsidR="00377DC8" w:rsidRPr="007F5A49">
        <w:rPr>
          <w:rFonts w:ascii="Book Antiqua" w:hAnsi="Book Antiqua" w:cs="Arial"/>
          <w:sz w:val="24"/>
          <w:szCs w:val="24"/>
          <w:lang w:val="en-US"/>
        </w:rPr>
        <w:t>)</w:t>
      </w:r>
      <w:r w:rsidR="000264C4" w:rsidRPr="007F5A49">
        <w:rPr>
          <w:rFonts w:ascii="Book Antiqua" w:hAnsi="Book Antiqua" w:cs="Arial"/>
          <w:sz w:val="24"/>
          <w:szCs w:val="24"/>
          <w:lang w:val="en-US"/>
        </w:rPr>
        <w:t xml:space="preserve">; </w:t>
      </w:r>
      <w:r w:rsidR="00377DC8" w:rsidRPr="007F5A49">
        <w:rPr>
          <w:rFonts w:ascii="Book Antiqua" w:hAnsi="Book Antiqua" w:cs="Arial"/>
          <w:sz w:val="24"/>
          <w:szCs w:val="24"/>
          <w:lang w:val="en-US"/>
        </w:rPr>
        <w:t>Paul A Sharp (</w:t>
      </w:r>
      <w:r w:rsidR="00B41C61" w:rsidRPr="007F5A49">
        <w:rPr>
          <w:rStyle w:val="orcid-id-https"/>
          <w:rFonts w:ascii="Book Antiqua" w:hAnsi="Book Antiqua"/>
          <w:sz w:val="24"/>
          <w:szCs w:val="24"/>
          <w:lang w:val="en-US"/>
        </w:rPr>
        <w:t>0000-0003-3400-6702</w:t>
      </w:r>
      <w:r w:rsidR="00377DC8" w:rsidRPr="007F5A49">
        <w:rPr>
          <w:rFonts w:ascii="Book Antiqua" w:hAnsi="Book Antiqua" w:cs="Arial"/>
          <w:sz w:val="24"/>
          <w:szCs w:val="24"/>
          <w:lang w:val="en-US"/>
        </w:rPr>
        <w:t>)</w:t>
      </w:r>
      <w:r>
        <w:rPr>
          <w:rFonts w:ascii="Book Antiqua" w:hAnsi="Book Antiqua" w:cs="Arial"/>
          <w:sz w:val="24"/>
          <w:szCs w:val="24"/>
          <w:lang w:val="en-US"/>
        </w:rPr>
        <w:t>.</w:t>
      </w:r>
    </w:p>
    <w:p w14:paraId="2878D372" w14:textId="77777777" w:rsidR="00196AA1" w:rsidRPr="007F5A49" w:rsidRDefault="00196AA1" w:rsidP="007F5A49">
      <w:pPr>
        <w:adjustRightInd w:val="0"/>
        <w:snapToGrid w:val="0"/>
        <w:spacing w:after="0" w:line="360" w:lineRule="auto"/>
        <w:jc w:val="both"/>
        <w:rPr>
          <w:rFonts w:ascii="Book Antiqua" w:hAnsi="Book Antiqua" w:cs="Arial"/>
          <w:b/>
          <w:sz w:val="24"/>
          <w:szCs w:val="24"/>
          <w:lang w:val="en-US"/>
        </w:rPr>
      </w:pPr>
    </w:p>
    <w:p w14:paraId="6A458E73" w14:textId="6E15E098" w:rsidR="000A15B1" w:rsidRPr="007F5A49" w:rsidRDefault="00196AA1" w:rsidP="007F5A49">
      <w:pPr>
        <w:adjustRightInd w:val="0"/>
        <w:snapToGrid w:val="0"/>
        <w:spacing w:after="0" w:line="360" w:lineRule="auto"/>
        <w:jc w:val="both"/>
        <w:rPr>
          <w:rFonts w:ascii="Book Antiqua" w:hAnsi="Book Antiqua" w:cs="Arial"/>
          <w:b/>
          <w:sz w:val="24"/>
          <w:szCs w:val="24"/>
          <w:lang w:val="en-US"/>
        </w:rPr>
      </w:pPr>
      <w:r w:rsidRPr="007F5A49">
        <w:rPr>
          <w:rFonts w:ascii="Book Antiqua" w:hAnsi="Book Antiqua" w:cs="Arial"/>
          <w:b/>
          <w:sz w:val="24"/>
          <w:szCs w:val="24"/>
          <w:lang w:val="en-US"/>
        </w:rPr>
        <w:t>Author contributions:</w:t>
      </w:r>
      <w:r w:rsidR="000A15B1" w:rsidRPr="007F5A49">
        <w:rPr>
          <w:rFonts w:ascii="Book Antiqua" w:hAnsi="Book Antiqua" w:cs="Arial"/>
          <w:b/>
          <w:sz w:val="24"/>
          <w:szCs w:val="24"/>
          <w:lang w:val="en-US"/>
        </w:rPr>
        <w:t xml:space="preserve"> </w:t>
      </w:r>
      <w:r w:rsidR="003F0F82" w:rsidRPr="007F5A49">
        <w:rPr>
          <w:rFonts w:ascii="Book Antiqua" w:hAnsi="Book Antiqua" w:cs="Arial"/>
          <w:sz w:val="24"/>
          <w:szCs w:val="24"/>
          <w:lang w:val="en-US"/>
        </w:rPr>
        <w:t>Mehta K</w:t>
      </w:r>
      <w:r w:rsidR="00DE7A6A">
        <w:rPr>
          <w:rFonts w:ascii="Book Antiqua" w:hAnsi="Book Antiqua" w:cs="Arial"/>
          <w:sz w:val="24"/>
          <w:szCs w:val="24"/>
          <w:lang w:val="en-US"/>
        </w:rPr>
        <w:t xml:space="preserve">J contributed to </w:t>
      </w:r>
      <w:r w:rsidR="000A15B1" w:rsidRPr="007F5A49">
        <w:rPr>
          <w:rFonts w:ascii="Book Antiqua" w:hAnsi="Book Antiqua" w:cs="Arial"/>
          <w:sz w:val="24"/>
          <w:szCs w:val="24"/>
          <w:lang w:val="en-US"/>
        </w:rPr>
        <w:t>conception, design, literature re</w:t>
      </w:r>
      <w:r w:rsidR="003F0F82" w:rsidRPr="007F5A49">
        <w:rPr>
          <w:rFonts w:ascii="Book Antiqua" w:hAnsi="Book Antiqua" w:cs="Arial"/>
          <w:sz w:val="24"/>
          <w:szCs w:val="24"/>
          <w:lang w:val="en-US"/>
        </w:rPr>
        <w:t xml:space="preserve">view, analysis and drafting; </w:t>
      </w:r>
      <w:proofErr w:type="spellStart"/>
      <w:r w:rsidR="003F0F82" w:rsidRPr="007F5A49">
        <w:rPr>
          <w:rFonts w:ascii="Book Antiqua" w:hAnsi="Book Antiqua" w:cs="Arial"/>
          <w:sz w:val="24"/>
          <w:szCs w:val="24"/>
          <w:lang w:val="en-US"/>
        </w:rPr>
        <w:t>Farnaud</w:t>
      </w:r>
      <w:proofErr w:type="spellEnd"/>
      <w:r w:rsidR="003F0F82" w:rsidRPr="007F5A49">
        <w:rPr>
          <w:rFonts w:ascii="Book Antiqua" w:hAnsi="Book Antiqua" w:cs="Arial"/>
          <w:sz w:val="24"/>
          <w:szCs w:val="24"/>
          <w:lang w:val="en-US"/>
        </w:rPr>
        <w:t xml:space="preserve"> S</w:t>
      </w:r>
      <w:r w:rsidR="00DE7A6A">
        <w:rPr>
          <w:rFonts w:ascii="Book Antiqua" w:hAnsi="Book Antiqua" w:cs="Arial"/>
          <w:sz w:val="24"/>
          <w:szCs w:val="24"/>
          <w:lang w:val="en-US"/>
        </w:rPr>
        <w:t>J contributed to</w:t>
      </w:r>
      <w:r w:rsidR="000A15B1" w:rsidRPr="007F5A49">
        <w:rPr>
          <w:rFonts w:ascii="Book Antiqua" w:hAnsi="Book Antiqua" w:cs="Arial"/>
          <w:sz w:val="24"/>
          <w:szCs w:val="24"/>
          <w:lang w:val="en-US"/>
        </w:rPr>
        <w:t xml:space="preserve"> intellectual</w:t>
      </w:r>
      <w:r w:rsidR="003F0F82" w:rsidRPr="007F5A49">
        <w:rPr>
          <w:rFonts w:ascii="Book Antiqua" w:hAnsi="Book Antiqua" w:cs="Arial"/>
          <w:sz w:val="24"/>
          <w:szCs w:val="24"/>
          <w:lang w:val="en-US"/>
        </w:rPr>
        <w:t xml:space="preserve"> input; Sharp P</w:t>
      </w:r>
      <w:r w:rsidR="00DE7A6A">
        <w:rPr>
          <w:rFonts w:ascii="Book Antiqua" w:hAnsi="Book Antiqua" w:cs="Arial"/>
          <w:sz w:val="24"/>
          <w:szCs w:val="24"/>
          <w:lang w:val="en-US"/>
        </w:rPr>
        <w:t>A contributed to</w:t>
      </w:r>
      <w:r w:rsidR="000A15B1" w:rsidRPr="007F5A49">
        <w:rPr>
          <w:rFonts w:ascii="Book Antiqua" w:hAnsi="Book Antiqua" w:cs="Arial"/>
          <w:sz w:val="24"/>
          <w:szCs w:val="24"/>
          <w:lang w:val="en-US"/>
        </w:rPr>
        <w:t xml:space="preserve"> critical revision, editing and final approval of version</w:t>
      </w:r>
      <w:r w:rsidR="00A60E02" w:rsidRPr="007F5A49">
        <w:rPr>
          <w:rFonts w:ascii="Book Antiqua" w:hAnsi="Book Antiqua" w:cs="Arial"/>
          <w:sz w:val="24"/>
          <w:szCs w:val="24"/>
          <w:lang w:val="en-US"/>
        </w:rPr>
        <w:t xml:space="preserve"> to be published</w:t>
      </w:r>
      <w:r w:rsidR="000A15B1" w:rsidRPr="007F5A49">
        <w:rPr>
          <w:rFonts w:ascii="Book Antiqua" w:hAnsi="Book Antiqua" w:cs="Arial"/>
          <w:sz w:val="24"/>
          <w:szCs w:val="24"/>
          <w:lang w:val="en-US"/>
        </w:rPr>
        <w:t xml:space="preserve">. </w:t>
      </w:r>
    </w:p>
    <w:p w14:paraId="61207329" w14:textId="77777777" w:rsidR="007411DB" w:rsidRPr="007F5A49" w:rsidRDefault="007411DB" w:rsidP="007F5A49">
      <w:pPr>
        <w:adjustRightInd w:val="0"/>
        <w:snapToGrid w:val="0"/>
        <w:spacing w:after="0" w:line="360" w:lineRule="auto"/>
        <w:jc w:val="both"/>
        <w:rPr>
          <w:rFonts w:ascii="Book Antiqua" w:hAnsi="Book Antiqua" w:cs="Arial"/>
          <w:b/>
          <w:sz w:val="24"/>
          <w:szCs w:val="24"/>
          <w:lang w:val="en-US"/>
        </w:rPr>
      </w:pPr>
    </w:p>
    <w:p w14:paraId="0A6E1C9C" w14:textId="16A07209" w:rsidR="00347A3C" w:rsidRPr="007F5A49" w:rsidRDefault="009705F3" w:rsidP="008E1EBB">
      <w:pPr>
        <w:adjustRightInd w:val="0"/>
        <w:snapToGrid w:val="0"/>
        <w:spacing w:after="0" w:line="360" w:lineRule="auto"/>
        <w:jc w:val="both"/>
        <w:outlineLvl w:val="0"/>
        <w:rPr>
          <w:rFonts w:ascii="Book Antiqua" w:hAnsi="Book Antiqua" w:cs="Arial"/>
          <w:sz w:val="24"/>
          <w:szCs w:val="24"/>
          <w:lang w:val="en-US"/>
        </w:rPr>
      </w:pPr>
      <w:r w:rsidRPr="007F5A49">
        <w:rPr>
          <w:rFonts w:ascii="Book Antiqua" w:hAnsi="Book Antiqua" w:cs="Times New Roman"/>
          <w:b/>
          <w:bCs/>
          <w:iCs/>
          <w:sz w:val="24"/>
          <w:szCs w:val="24"/>
          <w:lang w:val="en-US" w:eastAsia="zh-CN"/>
        </w:rPr>
        <w:lastRenderedPageBreak/>
        <w:t>Conflict-of-interest</w:t>
      </w:r>
      <w:r w:rsidR="00196AA1" w:rsidRPr="007F5A49">
        <w:rPr>
          <w:rFonts w:ascii="Book Antiqua" w:hAnsi="Book Antiqua" w:cs="Arial"/>
          <w:b/>
          <w:sz w:val="24"/>
          <w:szCs w:val="24"/>
          <w:lang w:val="en-US"/>
        </w:rPr>
        <w:t xml:space="preserve"> statement</w:t>
      </w:r>
      <w:r w:rsidR="00347A3C" w:rsidRPr="007F5A49">
        <w:rPr>
          <w:rFonts w:ascii="Book Antiqua" w:hAnsi="Book Antiqua" w:cs="Arial"/>
          <w:b/>
          <w:sz w:val="24"/>
          <w:szCs w:val="24"/>
          <w:lang w:val="en-US"/>
        </w:rPr>
        <w:t xml:space="preserve">: </w:t>
      </w:r>
      <w:r w:rsidR="00347A3C" w:rsidRPr="007F5A49">
        <w:rPr>
          <w:rFonts w:ascii="Book Antiqua" w:hAnsi="Book Antiqua" w:cs="Arial"/>
          <w:sz w:val="24"/>
          <w:szCs w:val="24"/>
          <w:lang w:val="en-US"/>
        </w:rPr>
        <w:t xml:space="preserve">All authors declare no conflict of interest. </w:t>
      </w:r>
    </w:p>
    <w:p w14:paraId="004068B8" w14:textId="77777777" w:rsidR="00143582" w:rsidRPr="00FD703C" w:rsidRDefault="00143582" w:rsidP="00FD703C">
      <w:pPr>
        <w:adjustRightInd w:val="0"/>
        <w:snapToGrid w:val="0"/>
        <w:spacing w:after="0" w:line="360" w:lineRule="auto"/>
        <w:jc w:val="both"/>
        <w:rPr>
          <w:rFonts w:ascii="Book Antiqua" w:hAnsi="Book Antiqua" w:cs="Arial"/>
          <w:b/>
          <w:sz w:val="24"/>
          <w:szCs w:val="24"/>
          <w:lang w:val="en-US"/>
        </w:rPr>
      </w:pPr>
    </w:p>
    <w:p w14:paraId="736DF326" w14:textId="77777777" w:rsidR="00FD703C" w:rsidRPr="00FD703C" w:rsidRDefault="00FD703C" w:rsidP="00FD703C">
      <w:pPr>
        <w:adjustRightInd w:val="0"/>
        <w:snapToGrid w:val="0"/>
        <w:spacing w:after="0" w:line="360" w:lineRule="auto"/>
        <w:jc w:val="both"/>
        <w:rPr>
          <w:rFonts w:ascii="Book Antiqua" w:hAnsi="Book Antiqua"/>
          <w:sz w:val="24"/>
          <w:szCs w:val="24"/>
        </w:rPr>
      </w:pPr>
      <w:bookmarkStart w:id="22" w:name="OLE_LINK25"/>
      <w:bookmarkStart w:id="23" w:name="OLE_LINK26"/>
      <w:bookmarkStart w:id="24" w:name="OLE_LINK375"/>
      <w:bookmarkStart w:id="25" w:name="OLE_LINK32"/>
      <w:bookmarkStart w:id="26" w:name="OLE_LINK381"/>
      <w:bookmarkStart w:id="27" w:name="OLE_LINK413"/>
      <w:r w:rsidRPr="00FD703C">
        <w:rPr>
          <w:rFonts w:ascii="Book Antiqua" w:hAnsi="Book Antiqua"/>
          <w:b/>
          <w:color w:val="000000"/>
          <w:sz w:val="24"/>
          <w:szCs w:val="24"/>
        </w:rPr>
        <w:t xml:space="preserve">Open-Access: </w:t>
      </w:r>
      <w:r w:rsidRPr="00FD703C">
        <w:rPr>
          <w:rFonts w:ascii="Book Antiqua" w:hAnsi="Book Antiqua"/>
          <w:color w:val="000000"/>
          <w:sz w:val="24"/>
          <w:szCs w:val="24"/>
        </w:rPr>
        <w:t xml:space="preserve">This is an </w:t>
      </w:r>
      <w:r w:rsidRPr="00FD703C">
        <w:rPr>
          <w:rFonts w:ascii="Book Antiqua" w:hAnsi="Book Antiqua" w:cs="SimSun"/>
          <w:sz w:val="24"/>
          <w:szCs w:val="24"/>
        </w:rPr>
        <w:t xml:space="preserve">open-access article that was </w:t>
      </w:r>
      <w:r w:rsidRPr="00FD703C">
        <w:rPr>
          <w:rFonts w:ascii="Book Antiqua" w:hAnsi="Book Antiqua"/>
          <w:sz w:val="24"/>
          <w:szCs w:val="24"/>
        </w:rPr>
        <w:t xml:space="preserve">selected by an in-house editor and fully peer-reviewed by external reviewers. It is </w:t>
      </w:r>
      <w:r w:rsidRPr="00FD703C">
        <w:rPr>
          <w:rFonts w:ascii="Book Antiqua" w:hAnsi="Book Antiqua" w:cs="SimSun"/>
          <w:sz w:val="24"/>
          <w:szCs w:val="24"/>
        </w:rPr>
        <w:t xml:space="preserve">distributed in accordance with </w:t>
      </w:r>
      <w:r w:rsidRPr="00FD703C">
        <w:rPr>
          <w:rFonts w:ascii="Book Antiqua" w:hAnsi="Book Antiqua"/>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FD703C">
          <w:rPr>
            <w:rStyle w:val="Hyperlink"/>
            <w:rFonts w:ascii="Book Antiqua" w:hAnsi="Book Antiqua"/>
            <w:sz w:val="24"/>
            <w:szCs w:val="24"/>
          </w:rPr>
          <w:t>http://creativecommons.org/licenses/by-nc/4.0/</w:t>
        </w:r>
      </w:hyperlink>
    </w:p>
    <w:p w14:paraId="5C15FAF4" w14:textId="77777777" w:rsidR="00FD703C" w:rsidRPr="00FD703C" w:rsidRDefault="00FD703C" w:rsidP="00FD703C">
      <w:pPr>
        <w:adjustRightInd w:val="0"/>
        <w:snapToGrid w:val="0"/>
        <w:spacing w:after="0" w:line="360" w:lineRule="auto"/>
        <w:jc w:val="both"/>
        <w:rPr>
          <w:rFonts w:ascii="Book Antiqua" w:hAnsi="Book Antiqua"/>
          <w:sz w:val="24"/>
          <w:szCs w:val="24"/>
        </w:rPr>
      </w:pPr>
    </w:p>
    <w:p w14:paraId="22355797" w14:textId="5249501C" w:rsidR="00FD703C" w:rsidRDefault="00FD703C" w:rsidP="008E1EBB">
      <w:pPr>
        <w:adjustRightInd w:val="0"/>
        <w:snapToGrid w:val="0"/>
        <w:spacing w:after="0" w:line="360" w:lineRule="auto"/>
        <w:jc w:val="both"/>
        <w:outlineLvl w:val="0"/>
        <w:rPr>
          <w:rFonts w:ascii="Book Antiqua" w:hAnsi="Book Antiqua" w:cs="Times New Roman"/>
          <w:bCs/>
          <w:sz w:val="24"/>
          <w:szCs w:val="24"/>
          <w:lang w:val="en-US"/>
        </w:rPr>
      </w:pPr>
      <w:bookmarkStart w:id="28" w:name="OLE_LINK11"/>
      <w:r w:rsidRPr="00FD703C">
        <w:rPr>
          <w:rFonts w:ascii="Book Antiqua" w:hAnsi="Book Antiqua" w:cs="Times New Roman"/>
          <w:b/>
          <w:bCs/>
          <w:sz w:val="24"/>
          <w:szCs w:val="24"/>
          <w:highlight w:val="white"/>
          <w:lang w:val="en-US"/>
        </w:rPr>
        <w:t>Manuscript source:</w:t>
      </w:r>
      <w:r w:rsidRPr="00FD703C">
        <w:rPr>
          <w:rFonts w:ascii="Book Antiqua" w:hAnsi="Book Antiqua" w:cs="Times New Roman" w:hint="eastAsia"/>
          <w:b/>
          <w:bCs/>
          <w:sz w:val="24"/>
          <w:szCs w:val="24"/>
          <w:highlight w:val="white"/>
          <w:lang w:val="en-US" w:eastAsia="zh-CN"/>
        </w:rPr>
        <w:t xml:space="preserve"> </w:t>
      </w:r>
      <w:r w:rsidRPr="00FD703C">
        <w:rPr>
          <w:rFonts w:ascii="Book Antiqua" w:hAnsi="Book Antiqua" w:cs="Times New Roman"/>
          <w:bCs/>
          <w:sz w:val="24"/>
          <w:szCs w:val="24"/>
          <w:highlight w:val="white"/>
          <w:lang w:val="en-US"/>
        </w:rPr>
        <w:t>Unsolicited manuscript</w:t>
      </w:r>
      <w:bookmarkEnd w:id="22"/>
      <w:bookmarkEnd w:id="23"/>
      <w:bookmarkEnd w:id="24"/>
      <w:bookmarkEnd w:id="25"/>
      <w:bookmarkEnd w:id="26"/>
      <w:bookmarkEnd w:id="27"/>
      <w:bookmarkEnd w:id="28"/>
    </w:p>
    <w:p w14:paraId="27DDB65A" w14:textId="77777777" w:rsidR="00832AA8" w:rsidRPr="00FD703C" w:rsidRDefault="00832AA8" w:rsidP="00FD703C">
      <w:pPr>
        <w:adjustRightInd w:val="0"/>
        <w:snapToGrid w:val="0"/>
        <w:spacing w:after="0" w:line="360" w:lineRule="auto"/>
        <w:jc w:val="both"/>
        <w:rPr>
          <w:rFonts w:ascii="Book Antiqua" w:hAnsi="Book Antiqua" w:cs="Arial"/>
          <w:b/>
          <w:sz w:val="24"/>
          <w:szCs w:val="24"/>
          <w:lang w:val="en-US"/>
        </w:rPr>
      </w:pPr>
    </w:p>
    <w:p w14:paraId="5AD334CF" w14:textId="5E81DCE1" w:rsidR="005661DE" w:rsidRPr="00FD703C" w:rsidRDefault="009705F3" w:rsidP="00FD703C">
      <w:pPr>
        <w:adjustRightInd w:val="0"/>
        <w:snapToGrid w:val="0"/>
        <w:spacing w:after="0" w:line="360" w:lineRule="auto"/>
        <w:jc w:val="both"/>
        <w:rPr>
          <w:rFonts w:ascii="Book Antiqua" w:hAnsi="Book Antiqua" w:cs="Arial"/>
          <w:sz w:val="24"/>
          <w:szCs w:val="24"/>
          <w:lang w:val="en-US"/>
        </w:rPr>
      </w:pPr>
      <w:bookmarkStart w:id="29" w:name="OLE_LINK294"/>
      <w:bookmarkStart w:id="30" w:name="OLE_LINK295"/>
      <w:bookmarkStart w:id="31" w:name="OLE_LINK15"/>
      <w:bookmarkStart w:id="32" w:name="OLE_LINK16"/>
      <w:bookmarkStart w:id="33" w:name="OLE_LINK56"/>
      <w:bookmarkStart w:id="34" w:name="OLE_LINK152"/>
      <w:bookmarkStart w:id="35" w:name="OLE_LINK153"/>
      <w:r w:rsidRPr="00FD703C">
        <w:rPr>
          <w:rFonts w:ascii="Book Antiqua" w:hAnsi="Book Antiqua" w:cs="Times New Roman"/>
          <w:b/>
          <w:bCs/>
          <w:sz w:val="24"/>
          <w:szCs w:val="24"/>
          <w:lang w:val="en-US" w:eastAsia="zh-CN"/>
        </w:rPr>
        <w:t>Corresponding author:</w:t>
      </w:r>
      <w:bookmarkEnd w:id="29"/>
      <w:bookmarkEnd w:id="30"/>
      <w:bookmarkEnd w:id="31"/>
      <w:bookmarkEnd w:id="32"/>
      <w:bookmarkEnd w:id="33"/>
      <w:bookmarkEnd w:id="34"/>
      <w:bookmarkEnd w:id="35"/>
      <w:r w:rsidR="001765DB">
        <w:rPr>
          <w:rFonts w:ascii="Book Antiqua" w:hAnsi="Book Antiqua" w:cs="Times New Roman"/>
          <w:b/>
          <w:bCs/>
          <w:sz w:val="24"/>
          <w:szCs w:val="24"/>
          <w:lang w:val="en-US" w:eastAsia="zh-CN"/>
        </w:rPr>
        <w:t xml:space="preserve"> </w:t>
      </w:r>
      <w:r w:rsidR="00925961" w:rsidRPr="00FD703C">
        <w:rPr>
          <w:rFonts w:ascii="Book Antiqua" w:hAnsi="Book Antiqua" w:cs="Arial"/>
          <w:b/>
          <w:sz w:val="24"/>
          <w:szCs w:val="24"/>
          <w:lang w:val="en-US"/>
        </w:rPr>
        <w:t xml:space="preserve">Kosha J Mehta, </w:t>
      </w:r>
      <w:r w:rsidR="00B27864" w:rsidRPr="00FD703C">
        <w:rPr>
          <w:rFonts w:ascii="Book Antiqua" w:hAnsi="Book Antiqua" w:cs="Arial"/>
          <w:b/>
          <w:sz w:val="24"/>
          <w:szCs w:val="24"/>
          <w:lang w:val="en-US"/>
        </w:rPr>
        <w:t>PhD</w:t>
      </w:r>
      <w:r w:rsidR="00B27864" w:rsidRPr="00832AA8">
        <w:rPr>
          <w:rFonts w:ascii="Book Antiqua" w:hAnsi="Book Antiqua" w:cs="Arial"/>
          <w:b/>
          <w:sz w:val="24"/>
          <w:szCs w:val="24"/>
          <w:lang w:val="en-US"/>
        </w:rPr>
        <w:t>,</w:t>
      </w:r>
      <w:r w:rsidR="00925961" w:rsidRPr="00832AA8">
        <w:rPr>
          <w:rFonts w:ascii="Book Antiqua" w:hAnsi="Book Antiqua" w:cs="Arial"/>
          <w:b/>
          <w:sz w:val="24"/>
          <w:szCs w:val="24"/>
          <w:lang w:val="en-US"/>
        </w:rPr>
        <w:t xml:space="preserve"> </w:t>
      </w:r>
      <w:r w:rsidR="00832AA8" w:rsidRPr="00832AA8">
        <w:rPr>
          <w:rFonts w:ascii="Book Antiqua" w:hAnsi="Book Antiqua" w:cs="Arial"/>
          <w:b/>
          <w:sz w:val="24"/>
          <w:szCs w:val="24"/>
          <w:lang w:val="en-US"/>
        </w:rPr>
        <w:t xml:space="preserve">Senior Lecturer, </w:t>
      </w:r>
      <w:r w:rsidR="005661DE" w:rsidRPr="00FD703C">
        <w:rPr>
          <w:rStyle w:val="Strong"/>
          <w:rFonts w:ascii="Book Antiqua" w:hAnsi="Book Antiqua" w:cs="Arial"/>
          <w:b w:val="0"/>
          <w:bCs w:val="0"/>
          <w:sz w:val="24"/>
          <w:szCs w:val="24"/>
          <w:lang w:val="en-US"/>
        </w:rPr>
        <w:t xml:space="preserve">Division of Human Sciences, School of Applied Sciences, London South Bank University, </w:t>
      </w:r>
      <w:r w:rsidR="005D2962" w:rsidRPr="005D2962">
        <w:rPr>
          <w:rStyle w:val="Strong"/>
          <w:rFonts w:ascii="Book Antiqua" w:hAnsi="Book Antiqua" w:cs="Arial"/>
          <w:b w:val="0"/>
          <w:bCs w:val="0"/>
          <w:sz w:val="24"/>
          <w:szCs w:val="24"/>
          <w:lang w:val="en-US"/>
        </w:rPr>
        <w:t>103 Borough Rd</w:t>
      </w:r>
      <w:r w:rsidR="005D2962">
        <w:rPr>
          <w:rStyle w:val="Strong"/>
          <w:rFonts w:ascii="Book Antiqua" w:hAnsi="Book Antiqua" w:cs="Arial"/>
          <w:b w:val="0"/>
          <w:bCs w:val="0"/>
          <w:sz w:val="24"/>
          <w:szCs w:val="24"/>
          <w:lang w:val="en-US"/>
        </w:rPr>
        <w:t>,</w:t>
      </w:r>
      <w:r w:rsidR="005D2962" w:rsidRPr="005D2962">
        <w:rPr>
          <w:rStyle w:val="Strong"/>
          <w:rFonts w:ascii="Book Antiqua" w:hAnsi="Book Antiqua" w:cs="Arial"/>
          <w:b w:val="0"/>
          <w:bCs w:val="0"/>
          <w:sz w:val="24"/>
          <w:szCs w:val="24"/>
          <w:lang w:val="en-US"/>
        </w:rPr>
        <w:t xml:space="preserve"> </w:t>
      </w:r>
      <w:r w:rsidR="005D2962">
        <w:rPr>
          <w:rStyle w:val="Strong"/>
          <w:rFonts w:ascii="Book Antiqua" w:hAnsi="Book Antiqua" w:cs="Arial"/>
          <w:b w:val="0"/>
          <w:bCs w:val="0"/>
          <w:sz w:val="24"/>
          <w:szCs w:val="24"/>
          <w:lang w:val="en-US"/>
        </w:rPr>
        <w:t xml:space="preserve">London </w:t>
      </w:r>
      <w:r w:rsidR="001A254E" w:rsidRPr="00FD703C">
        <w:rPr>
          <w:rStyle w:val="lrzxr"/>
          <w:rFonts w:ascii="Book Antiqua" w:hAnsi="Book Antiqua"/>
          <w:sz w:val="24"/>
          <w:szCs w:val="24"/>
          <w:lang w:val="en-US"/>
        </w:rPr>
        <w:t>SE1 0AA</w:t>
      </w:r>
      <w:r w:rsidR="001A254E" w:rsidRPr="00FD703C">
        <w:rPr>
          <w:rFonts w:ascii="Book Antiqua" w:hAnsi="Book Antiqua" w:cs="Arial"/>
          <w:sz w:val="24"/>
          <w:szCs w:val="24"/>
          <w:lang w:val="en-US"/>
        </w:rPr>
        <w:t xml:space="preserve">, </w:t>
      </w:r>
      <w:r w:rsidR="005D2962" w:rsidRPr="007F5A49">
        <w:rPr>
          <w:rFonts w:ascii="Book Antiqua" w:hAnsi="Book Antiqua" w:cs="Arial"/>
          <w:sz w:val="24"/>
          <w:szCs w:val="24"/>
          <w:lang w:val="en-US"/>
        </w:rPr>
        <w:t>United Kingdom</w:t>
      </w:r>
      <w:r w:rsidR="005661DE" w:rsidRPr="00FD703C">
        <w:rPr>
          <w:rFonts w:ascii="Book Antiqua" w:hAnsi="Book Antiqua" w:cs="Arial"/>
          <w:sz w:val="24"/>
          <w:szCs w:val="24"/>
          <w:lang w:val="en-US"/>
        </w:rPr>
        <w:t xml:space="preserve">. </w:t>
      </w:r>
      <w:r w:rsidR="0029004F" w:rsidRPr="00FD703C">
        <w:rPr>
          <w:rFonts w:ascii="Book Antiqua" w:hAnsi="Book Antiqua" w:cs="Arial"/>
          <w:sz w:val="24"/>
          <w:szCs w:val="24"/>
          <w:lang w:val="en-US"/>
        </w:rPr>
        <w:t>kosha.mehta@lsbu.ac.uk</w:t>
      </w:r>
    </w:p>
    <w:p w14:paraId="71362A5C" w14:textId="6BB32432" w:rsidR="009705F3" w:rsidRDefault="0029004F" w:rsidP="00FD703C">
      <w:pPr>
        <w:adjustRightInd w:val="0"/>
        <w:snapToGrid w:val="0"/>
        <w:spacing w:after="0" w:line="360" w:lineRule="auto"/>
        <w:jc w:val="both"/>
        <w:rPr>
          <w:rFonts w:ascii="Book Antiqua" w:hAnsi="Book Antiqua" w:cs="Arial"/>
          <w:sz w:val="24"/>
          <w:szCs w:val="24"/>
          <w:lang w:val="en-US"/>
        </w:rPr>
      </w:pPr>
      <w:r w:rsidRPr="005D2962">
        <w:rPr>
          <w:rFonts w:ascii="Book Antiqua" w:hAnsi="Book Antiqua" w:cs="Arial"/>
          <w:b/>
          <w:sz w:val="24"/>
          <w:szCs w:val="24"/>
          <w:lang w:val="en-US"/>
        </w:rPr>
        <w:t>Telephone:</w:t>
      </w:r>
      <w:r w:rsidR="005D2962">
        <w:rPr>
          <w:rFonts w:ascii="Book Antiqua" w:hAnsi="Book Antiqua" w:cs="Arial"/>
          <w:sz w:val="24"/>
          <w:szCs w:val="24"/>
          <w:lang w:val="en-US"/>
        </w:rPr>
        <w:t xml:space="preserve"> +44-207-815</w:t>
      </w:r>
      <w:r w:rsidR="001A254E" w:rsidRPr="00FD703C">
        <w:rPr>
          <w:rFonts w:ascii="Book Antiqua" w:hAnsi="Book Antiqua" w:cs="Arial"/>
          <w:sz w:val="24"/>
          <w:szCs w:val="24"/>
          <w:lang w:val="en-US"/>
        </w:rPr>
        <w:t>7949</w:t>
      </w:r>
    </w:p>
    <w:p w14:paraId="528077FE" w14:textId="77777777" w:rsidR="005D2962" w:rsidRPr="005D2962" w:rsidRDefault="005D2962" w:rsidP="005D2962">
      <w:pPr>
        <w:adjustRightInd w:val="0"/>
        <w:snapToGrid w:val="0"/>
        <w:spacing w:after="0" w:line="360" w:lineRule="auto"/>
        <w:jc w:val="both"/>
        <w:rPr>
          <w:rFonts w:ascii="Book Antiqua" w:hAnsi="Book Antiqua" w:cs="Arial"/>
          <w:sz w:val="24"/>
          <w:szCs w:val="24"/>
          <w:lang w:val="en-US"/>
        </w:rPr>
      </w:pPr>
    </w:p>
    <w:p w14:paraId="602B7DBA" w14:textId="1D627804" w:rsidR="005D2962" w:rsidRPr="005D2962" w:rsidRDefault="005D2962" w:rsidP="008E1EBB">
      <w:pPr>
        <w:adjustRightInd w:val="0"/>
        <w:snapToGrid w:val="0"/>
        <w:spacing w:after="0" w:line="360" w:lineRule="auto"/>
        <w:jc w:val="both"/>
        <w:outlineLvl w:val="0"/>
        <w:rPr>
          <w:rFonts w:ascii="Book Antiqua" w:hAnsi="Book Antiqua"/>
          <w:b/>
          <w:sz w:val="24"/>
          <w:szCs w:val="24"/>
        </w:rPr>
      </w:pPr>
      <w:bookmarkStart w:id="36" w:name="OLE_LINK14"/>
      <w:bookmarkStart w:id="37" w:name="OLE_LINK51"/>
      <w:bookmarkStart w:id="38" w:name="OLE_LINK27"/>
      <w:bookmarkStart w:id="39" w:name="OLE_LINK382"/>
      <w:r w:rsidRPr="005D2962">
        <w:rPr>
          <w:rFonts w:ascii="Book Antiqua" w:hAnsi="Book Antiqua"/>
          <w:b/>
          <w:sz w:val="24"/>
          <w:szCs w:val="24"/>
        </w:rPr>
        <w:t xml:space="preserve">Received: </w:t>
      </w:r>
      <w:r>
        <w:rPr>
          <w:rFonts w:ascii="Book Antiqua" w:hAnsi="Book Antiqua"/>
          <w:sz w:val="24"/>
          <w:szCs w:val="24"/>
        </w:rPr>
        <w:t>December</w:t>
      </w:r>
      <w:r>
        <w:rPr>
          <w:rFonts w:ascii="Book Antiqua" w:eastAsia="DengXian" w:hAnsi="Book Antiqua"/>
          <w:sz w:val="24"/>
          <w:szCs w:val="24"/>
        </w:rPr>
        <w:t xml:space="preserve"> 2</w:t>
      </w:r>
      <w:r w:rsidRPr="005D2962">
        <w:rPr>
          <w:rFonts w:ascii="Book Antiqua" w:eastAsia="DengXian" w:hAnsi="Book Antiqua"/>
          <w:sz w:val="24"/>
          <w:szCs w:val="24"/>
        </w:rPr>
        <w:t>, 2018</w:t>
      </w:r>
      <w:r w:rsidR="001765DB">
        <w:rPr>
          <w:rFonts w:ascii="Book Antiqua" w:hAnsi="Book Antiqua"/>
          <w:b/>
          <w:sz w:val="24"/>
          <w:szCs w:val="24"/>
        </w:rPr>
        <w:t xml:space="preserve"> </w:t>
      </w:r>
    </w:p>
    <w:p w14:paraId="7F832973" w14:textId="617170EC" w:rsidR="005D2962" w:rsidRPr="005D2962" w:rsidRDefault="005D2962" w:rsidP="008E1EBB">
      <w:pPr>
        <w:adjustRightInd w:val="0"/>
        <w:snapToGrid w:val="0"/>
        <w:spacing w:after="0" w:line="360" w:lineRule="auto"/>
        <w:jc w:val="both"/>
        <w:outlineLvl w:val="0"/>
        <w:rPr>
          <w:rFonts w:ascii="Book Antiqua" w:eastAsia="DengXian" w:hAnsi="Book Antiqua"/>
          <w:b/>
          <w:sz w:val="24"/>
          <w:szCs w:val="24"/>
        </w:rPr>
      </w:pPr>
      <w:r w:rsidRPr="005D2962">
        <w:rPr>
          <w:rFonts w:ascii="Book Antiqua" w:hAnsi="Book Antiqua"/>
          <w:b/>
          <w:sz w:val="24"/>
          <w:szCs w:val="24"/>
        </w:rPr>
        <w:t>Peer-review started:</w:t>
      </w:r>
      <w:r w:rsidRPr="005D2962">
        <w:rPr>
          <w:rFonts w:ascii="Book Antiqua" w:eastAsia="DengXian" w:hAnsi="Book Antiqua"/>
          <w:b/>
          <w:sz w:val="24"/>
          <w:szCs w:val="24"/>
        </w:rPr>
        <w:t xml:space="preserve"> </w:t>
      </w:r>
      <w:r>
        <w:rPr>
          <w:rFonts w:ascii="Book Antiqua" w:hAnsi="Book Antiqua"/>
          <w:sz w:val="24"/>
          <w:szCs w:val="24"/>
        </w:rPr>
        <w:t>December</w:t>
      </w:r>
      <w:r>
        <w:rPr>
          <w:rFonts w:ascii="Book Antiqua" w:eastAsia="DengXian" w:hAnsi="Book Antiqua"/>
          <w:sz w:val="24"/>
          <w:szCs w:val="24"/>
        </w:rPr>
        <w:t xml:space="preserve"> 3</w:t>
      </w:r>
      <w:r w:rsidRPr="005D2962">
        <w:rPr>
          <w:rFonts w:ascii="Book Antiqua" w:eastAsia="DengXian" w:hAnsi="Book Antiqua"/>
          <w:sz w:val="24"/>
          <w:szCs w:val="24"/>
        </w:rPr>
        <w:t>, 2018</w:t>
      </w:r>
    </w:p>
    <w:p w14:paraId="65DA1BA8" w14:textId="04A49D92" w:rsidR="005D2962" w:rsidRPr="005D2962" w:rsidRDefault="005D2962" w:rsidP="008E1EBB">
      <w:pPr>
        <w:adjustRightInd w:val="0"/>
        <w:snapToGrid w:val="0"/>
        <w:spacing w:after="0" w:line="360" w:lineRule="auto"/>
        <w:jc w:val="both"/>
        <w:outlineLvl w:val="0"/>
        <w:rPr>
          <w:rFonts w:ascii="Book Antiqua" w:eastAsia="DengXian" w:hAnsi="Book Antiqua"/>
          <w:b/>
          <w:sz w:val="24"/>
          <w:szCs w:val="24"/>
        </w:rPr>
      </w:pPr>
      <w:r w:rsidRPr="005D2962">
        <w:rPr>
          <w:rFonts w:ascii="Book Antiqua" w:hAnsi="Book Antiqua"/>
          <w:b/>
          <w:sz w:val="24"/>
          <w:szCs w:val="24"/>
        </w:rPr>
        <w:t>First decision:</w:t>
      </w:r>
      <w:r w:rsidRPr="005D2962">
        <w:rPr>
          <w:rFonts w:ascii="Book Antiqua" w:eastAsia="DengXian" w:hAnsi="Book Antiqua"/>
          <w:b/>
          <w:sz w:val="24"/>
          <w:szCs w:val="24"/>
        </w:rPr>
        <w:t xml:space="preserve"> </w:t>
      </w:r>
      <w:r>
        <w:rPr>
          <w:rFonts w:ascii="Book Antiqua" w:hAnsi="Book Antiqua"/>
          <w:sz w:val="24"/>
          <w:szCs w:val="24"/>
        </w:rPr>
        <w:t>December</w:t>
      </w:r>
      <w:r>
        <w:rPr>
          <w:rFonts w:ascii="Book Antiqua" w:eastAsia="DengXian" w:hAnsi="Book Antiqua"/>
          <w:sz w:val="24"/>
          <w:szCs w:val="24"/>
        </w:rPr>
        <w:t xml:space="preserve"> 28</w:t>
      </w:r>
      <w:r w:rsidRPr="005D2962">
        <w:rPr>
          <w:rFonts w:ascii="Book Antiqua" w:eastAsia="DengXian" w:hAnsi="Book Antiqua"/>
          <w:sz w:val="24"/>
          <w:szCs w:val="24"/>
        </w:rPr>
        <w:t>, 2018</w:t>
      </w:r>
    </w:p>
    <w:p w14:paraId="7B63F809" w14:textId="050E7CFD" w:rsidR="005D2962" w:rsidRPr="005D2962" w:rsidRDefault="005D2962" w:rsidP="005D2962">
      <w:pPr>
        <w:adjustRightInd w:val="0"/>
        <w:snapToGrid w:val="0"/>
        <w:spacing w:after="0" w:line="360" w:lineRule="auto"/>
        <w:jc w:val="both"/>
        <w:rPr>
          <w:rFonts w:ascii="Book Antiqua" w:hAnsi="Book Antiqua"/>
          <w:b/>
          <w:sz w:val="24"/>
          <w:szCs w:val="24"/>
        </w:rPr>
      </w:pPr>
      <w:r w:rsidRPr="005D2962">
        <w:rPr>
          <w:rFonts w:ascii="Book Antiqua" w:hAnsi="Book Antiqua"/>
          <w:b/>
          <w:sz w:val="24"/>
          <w:szCs w:val="24"/>
        </w:rPr>
        <w:t xml:space="preserve">Revised: </w:t>
      </w:r>
      <w:r>
        <w:rPr>
          <w:rFonts w:ascii="Book Antiqua" w:hAnsi="Book Antiqua"/>
          <w:sz w:val="24"/>
          <w:szCs w:val="24"/>
        </w:rPr>
        <w:t>January 2, 2019</w:t>
      </w:r>
      <w:r w:rsidRPr="005D2962">
        <w:rPr>
          <w:rFonts w:ascii="Book Antiqua" w:hAnsi="Book Antiqua"/>
          <w:sz w:val="24"/>
          <w:szCs w:val="24"/>
        </w:rPr>
        <w:t xml:space="preserve"> </w:t>
      </w:r>
    </w:p>
    <w:p w14:paraId="452F62B6" w14:textId="29D0F9CA" w:rsidR="005D2962" w:rsidRPr="005D2962" w:rsidRDefault="005D2962" w:rsidP="008E1EBB">
      <w:pPr>
        <w:adjustRightInd w:val="0"/>
        <w:snapToGrid w:val="0"/>
        <w:spacing w:after="0" w:line="360" w:lineRule="auto"/>
        <w:jc w:val="both"/>
        <w:outlineLvl w:val="0"/>
        <w:rPr>
          <w:rFonts w:ascii="Book Antiqua" w:hAnsi="Book Antiqua"/>
          <w:b/>
          <w:sz w:val="24"/>
          <w:szCs w:val="24"/>
        </w:rPr>
      </w:pPr>
      <w:r w:rsidRPr="005D2962">
        <w:rPr>
          <w:rFonts w:ascii="Book Antiqua" w:hAnsi="Book Antiqua"/>
          <w:b/>
          <w:sz w:val="24"/>
          <w:szCs w:val="24"/>
        </w:rPr>
        <w:t>Accepted:</w:t>
      </w:r>
      <w:r w:rsidR="0025306B" w:rsidRPr="0025306B">
        <w:t xml:space="preserve"> </w:t>
      </w:r>
      <w:r w:rsidR="0025306B" w:rsidRPr="0025306B">
        <w:rPr>
          <w:rFonts w:ascii="Book Antiqua" w:hAnsi="Book Antiqua"/>
          <w:sz w:val="24"/>
          <w:szCs w:val="24"/>
        </w:rPr>
        <w:t>January 9, 2019</w:t>
      </w:r>
      <w:r w:rsidR="0025306B" w:rsidRPr="0025306B">
        <w:rPr>
          <w:rFonts w:ascii="Book Antiqua" w:hAnsi="Book Antiqua"/>
          <w:b/>
          <w:sz w:val="24"/>
          <w:szCs w:val="24"/>
        </w:rPr>
        <w:t xml:space="preserve"> </w:t>
      </w:r>
      <w:r w:rsidRPr="005D2962">
        <w:rPr>
          <w:rFonts w:ascii="Book Antiqua" w:hAnsi="Book Antiqua"/>
          <w:b/>
          <w:sz w:val="24"/>
          <w:szCs w:val="24"/>
        </w:rPr>
        <w:t xml:space="preserve"> </w:t>
      </w:r>
    </w:p>
    <w:p w14:paraId="45EABA42" w14:textId="77777777" w:rsidR="005D2962" w:rsidRPr="005D2962" w:rsidRDefault="005D2962" w:rsidP="008E1EBB">
      <w:pPr>
        <w:adjustRightInd w:val="0"/>
        <w:snapToGrid w:val="0"/>
        <w:spacing w:after="0" w:line="360" w:lineRule="auto"/>
        <w:jc w:val="both"/>
        <w:outlineLvl w:val="0"/>
        <w:rPr>
          <w:rFonts w:ascii="Book Antiqua" w:hAnsi="Book Antiqua"/>
          <w:b/>
          <w:sz w:val="24"/>
          <w:szCs w:val="24"/>
        </w:rPr>
      </w:pPr>
      <w:r w:rsidRPr="005D2962">
        <w:rPr>
          <w:rFonts w:ascii="Book Antiqua" w:hAnsi="Book Antiqua"/>
          <w:b/>
          <w:sz w:val="24"/>
          <w:szCs w:val="24"/>
        </w:rPr>
        <w:t>Article in press:</w:t>
      </w:r>
    </w:p>
    <w:p w14:paraId="25881F6B" w14:textId="58F83D28" w:rsidR="005D2962" w:rsidRPr="005D2962" w:rsidRDefault="005D2962" w:rsidP="008E1EBB">
      <w:pPr>
        <w:adjustRightInd w:val="0"/>
        <w:snapToGrid w:val="0"/>
        <w:spacing w:after="0" w:line="360" w:lineRule="auto"/>
        <w:jc w:val="both"/>
        <w:outlineLvl w:val="0"/>
        <w:rPr>
          <w:rFonts w:ascii="Book Antiqua" w:hAnsi="Book Antiqua" w:cs="Arial"/>
          <w:sz w:val="24"/>
          <w:szCs w:val="24"/>
          <w:lang w:val="en-US"/>
        </w:rPr>
      </w:pPr>
      <w:r w:rsidRPr="005D2962">
        <w:rPr>
          <w:rFonts w:ascii="Book Antiqua" w:hAnsi="Book Antiqua"/>
          <w:b/>
          <w:sz w:val="24"/>
          <w:szCs w:val="24"/>
        </w:rPr>
        <w:t>Published online:</w:t>
      </w:r>
      <w:bookmarkEnd w:id="36"/>
      <w:bookmarkEnd w:id="37"/>
      <w:bookmarkEnd w:id="38"/>
      <w:bookmarkEnd w:id="39"/>
    </w:p>
    <w:p w14:paraId="2E870354" w14:textId="77777777" w:rsidR="005D2962" w:rsidRDefault="005D2962">
      <w:pPr>
        <w:rPr>
          <w:rFonts w:ascii="Book Antiqua" w:hAnsi="Book Antiqua"/>
          <w:b/>
          <w:sz w:val="24"/>
          <w:szCs w:val="24"/>
          <w:lang w:val="en-US"/>
        </w:rPr>
      </w:pPr>
      <w:r>
        <w:rPr>
          <w:rFonts w:ascii="Book Antiqua" w:hAnsi="Book Antiqua"/>
          <w:b/>
          <w:sz w:val="24"/>
          <w:szCs w:val="24"/>
          <w:lang w:val="en-US"/>
        </w:rPr>
        <w:br w:type="page"/>
      </w:r>
    </w:p>
    <w:p w14:paraId="41889524" w14:textId="3732193E" w:rsidR="00670E20" w:rsidRPr="005D2962" w:rsidRDefault="009705F3" w:rsidP="008E1EBB">
      <w:pPr>
        <w:adjustRightInd w:val="0"/>
        <w:snapToGrid w:val="0"/>
        <w:spacing w:after="0" w:line="360" w:lineRule="auto"/>
        <w:jc w:val="both"/>
        <w:outlineLvl w:val="0"/>
        <w:rPr>
          <w:rFonts w:ascii="Book Antiqua" w:hAnsi="Book Antiqua" w:cs="Arial"/>
          <w:b/>
          <w:sz w:val="24"/>
          <w:szCs w:val="24"/>
          <w:lang w:val="en-US"/>
        </w:rPr>
      </w:pPr>
      <w:r w:rsidRPr="005D2962">
        <w:rPr>
          <w:rFonts w:ascii="Book Antiqua" w:hAnsi="Book Antiqua"/>
          <w:b/>
          <w:sz w:val="24"/>
          <w:szCs w:val="24"/>
          <w:lang w:val="en-US"/>
        </w:rPr>
        <w:lastRenderedPageBreak/>
        <w:t>Abstract</w:t>
      </w:r>
      <w:r w:rsidR="001765DB">
        <w:rPr>
          <w:rFonts w:ascii="Book Antiqua" w:hAnsi="Book Antiqua" w:cs="Arial"/>
          <w:b/>
          <w:sz w:val="24"/>
          <w:szCs w:val="24"/>
          <w:lang w:val="en-US"/>
        </w:rPr>
        <w:t xml:space="preserve"> </w:t>
      </w:r>
    </w:p>
    <w:p w14:paraId="2FCE5188" w14:textId="4165A5D9" w:rsidR="00550D29" w:rsidRPr="007F5A49" w:rsidRDefault="00670E20" w:rsidP="005D2962">
      <w:pPr>
        <w:adjustRightInd w:val="0"/>
        <w:snapToGrid w:val="0"/>
        <w:spacing w:after="0" w:line="360" w:lineRule="auto"/>
        <w:jc w:val="both"/>
        <w:rPr>
          <w:rFonts w:ascii="Book Antiqua" w:hAnsi="Book Antiqua" w:cs="Arial"/>
          <w:b/>
          <w:sz w:val="24"/>
          <w:szCs w:val="24"/>
          <w:lang w:val="en-US"/>
        </w:rPr>
      </w:pPr>
      <w:r w:rsidRPr="005D2962">
        <w:rPr>
          <w:rFonts w:ascii="Book Antiqua" w:hAnsi="Book Antiqua" w:cs="Arial"/>
          <w:sz w:val="24"/>
          <w:szCs w:val="24"/>
          <w:lang w:val="en-US"/>
        </w:rPr>
        <w:t>L</w:t>
      </w:r>
      <w:r w:rsidR="007B534A" w:rsidRPr="005D2962">
        <w:rPr>
          <w:rFonts w:ascii="Book Antiqua" w:hAnsi="Book Antiqua" w:cs="Arial"/>
          <w:sz w:val="24"/>
          <w:szCs w:val="24"/>
          <w:lang w:val="en-US"/>
        </w:rPr>
        <w:t>iver fibrosis</w:t>
      </w:r>
      <w:r w:rsidR="006E7F3F" w:rsidRPr="005D2962">
        <w:rPr>
          <w:rFonts w:ascii="Book Antiqua" w:hAnsi="Book Antiqua" w:cs="Arial"/>
          <w:sz w:val="24"/>
          <w:szCs w:val="24"/>
          <w:lang w:val="en-US"/>
        </w:rPr>
        <w:t xml:space="preserve"> is</w:t>
      </w:r>
      <w:r w:rsidR="00BC224B" w:rsidRPr="005D2962">
        <w:rPr>
          <w:rFonts w:ascii="Book Antiqua" w:hAnsi="Book Antiqua" w:cs="Arial"/>
          <w:sz w:val="24"/>
          <w:szCs w:val="24"/>
          <w:lang w:val="en-US"/>
        </w:rPr>
        <w:t xml:space="preserve"> </w:t>
      </w:r>
      <w:proofErr w:type="spellStart"/>
      <w:r w:rsidR="00BC224B" w:rsidRPr="005D2962">
        <w:rPr>
          <w:rFonts w:ascii="Book Antiqua" w:hAnsi="Book Antiqua" w:cs="Arial"/>
          <w:sz w:val="24"/>
          <w:szCs w:val="24"/>
          <w:lang w:val="en-US"/>
        </w:rPr>
        <w:t>characterised</w:t>
      </w:r>
      <w:proofErr w:type="spellEnd"/>
      <w:r w:rsidR="00BC224B" w:rsidRPr="005D2962">
        <w:rPr>
          <w:rFonts w:ascii="Book Antiqua" w:hAnsi="Book Antiqua" w:cs="Arial"/>
          <w:sz w:val="24"/>
          <w:szCs w:val="24"/>
          <w:lang w:val="en-US"/>
        </w:rPr>
        <w:t xml:space="preserve"> by excessive deposition of extracellular matrix</w:t>
      </w:r>
      <w:r w:rsidR="005B1D71" w:rsidRPr="005D2962">
        <w:rPr>
          <w:rFonts w:ascii="Book Antiqua" w:hAnsi="Book Antiqua" w:cs="Arial"/>
          <w:sz w:val="24"/>
          <w:szCs w:val="24"/>
          <w:lang w:val="en-US"/>
        </w:rPr>
        <w:t xml:space="preserve"> </w:t>
      </w:r>
      <w:r w:rsidR="00BC224B" w:rsidRPr="005D2962">
        <w:rPr>
          <w:rFonts w:ascii="Book Antiqua" w:hAnsi="Book Antiqua" w:cs="Arial"/>
          <w:sz w:val="24"/>
          <w:szCs w:val="24"/>
          <w:lang w:val="en-US"/>
        </w:rPr>
        <w:t xml:space="preserve">that </w:t>
      </w:r>
      <w:r w:rsidR="00A17A14" w:rsidRPr="005D2962">
        <w:rPr>
          <w:rFonts w:ascii="Book Antiqua" w:hAnsi="Book Antiqua" w:cs="Arial"/>
          <w:sz w:val="24"/>
          <w:szCs w:val="24"/>
          <w:lang w:val="en-US"/>
        </w:rPr>
        <w:t>interrupts</w:t>
      </w:r>
      <w:r w:rsidR="00BC224B" w:rsidRPr="005D2962">
        <w:rPr>
          <w:rFonts w:ascii="Book Antiqua" w:hAnsi="Book Antiqua" w:cs="Arial"/>
          <w:sz w:val="24"/>
          <w:szCs w:val="24"/>
          <w:lang w:val="en-US"/>
        </w:rPr>
        <w:t xml:space="preserve"> </w:t>
      </w:r>
      <w:r w:rsidR="00FA49BA" w:rsidRPr="005D2962">
        <w:rPr>
          <w:rFonts w:ascii="Book Antiqua" w:hAnsi="Book Antiqua" w:cs="Arial"/>
          <w:sz w:val="24"/>
          <w:szCs w:val="24"/>
          <w:lang w:val="en-US"/>
        </w:rPr>
        <w:t>normal</w:t>
      </w:r>
      <w:r w:rsidR="00F15579" w:rsidRPr="005D2962">
        <w:rPr>
          <w:rFonts w:ascii="Book Antiqua" w:hAnsi="Book Antiqua" w:cs="Arial"/>
          <w:sz w:val="24"/>
          <w:szCs w:val="24"/>
          <w:lang w:val="en-US"/>
        </w:rPr>
        <w:t xml:space="preserve"> liver</w:t>
      </w:r>
      <w:r w:rsidR="00FA49BA" w:rsidRPr="005D2962">
        <w:rPr>
          <w:rFonts w:ascii="Book Antiqua" w:hAnsi="Book Antiqua" w:cs="Arial"/>
          <w:sz w:val="24"/>
          <w:szCs w:val="24"/>
          <w:lang w:val="en-US"/>
        </w:rPr>
        <w:t xml:space="preserve"> functionality. It is a </w:t>
      </w:r>
      <w:r w:rsidR="00885240" w:rsidRPr="005D2962">
        <w:rPr>
          <w:rFonts w:ascii="Book Antiqua" w:hAnsi="Book Antiqua" w:cs="Arial"/>
          <w:sz w:val="24"/>
          <w:szCs w:val="24"/>
          <w:lang w:val="en-US"/>
        </w:rPr>
        <w:t xml:space="preserve">pathological stage </w:t>
      </w:r>
      <w:r w:rsidR="00752234" w:rsidRPr="005D2962">
        <w:rPr>
          <w:rFonts w:ascii="Book Antiqua" w:hAnsi="Book Antiqua" w:cs="Arial"/>
          <w:sz w:val="24"/>
          <w:szCs w:val="24"/>
          <w:lang w:val="en-US"/>
        </w:rPr>
        <w:t xml:space="preserve">in </w:t>
      </w:r>
      <w:r w:rsidR="00F52C8C" w:rsidRPr="005D2962">
        <w:rPr>
          <w:rFonts w:ascii="Book Antiqua" w:hAnsi="Book Antiqua" w:cs="Arial"/>
          <w:sz w:val="24"/>
          <w:szCs w:val="24"/>
          <w:lang w:val="en-US"/>
        </w:rPr>
        <w:t>several</w:t>
      </w:r>
      <w:r w:rsidR="00D82C8E" w:rsidRPr="005D2962">
        <w:rPr>
          <w:rFonts w:ascii="Book Antiqua" w:hAnsi="Book Antiqua" w:cs="Arial"/>
          <w:sz w:val="24"/>
          <w:szCs w:val="24"/>
          <w:lang w:val="en-US"/>
        </w:rPr>
        <w:t xml:space="preserve"> untreated</w:t>
      </w:r>
      <w:r w:rsidR="00F52C8C" w:rsidRPr="005D2962">
        <w:rPr>
          <w:rFonts w:ascii="Book Antiqua" w:hAnsi="Book Antiqua" w:cs="Arial"/>
          <w:sz w:val="24"/>
          <w:szCs w:val="24"/>
          <w:lang w:val="en-US"/>
        </w:rPr>
        <w:t xml:space="preserve"> </w:t>
      </w:r>
      <w:r w:rsidR="00CD6BAA" w:rsidRPr="005D2962">
        <w:rPr>
          <w:rFonts w:ascii="Book Antiqua" w:hAnsi="Book Antiqua" w:cs="Arial"/>
          <w:sz w:val="24"/>
          <w:szCs w:val="24"/>
          <w:lang w:val="en-US"/>
        </w:rPr>
        <w:t>chronic liver diseases</w:t>
      </w:r>
      <w:r w:rsidR="00BC224B" w:rsidRPr="005D2962">
        <w:rPr>
          <w:rFonts w:ascii="Book Antiqua" w:hAnsi="Book Antiqua" w:cs="Arial"/>
          <w:bCs/>
          <w:sz w:val="24"/>
          <w:szCs w:val="24"/>
          <w:lang w:val="en-US"/>
        </w:rPr>
        <w:t xml:space="preserve"> such as the iron overload syndrome hereditary </w:t>
      </w:r>
      <w:r w:rsidR="007B5113" w:rsidRPr="005D2962">
        <w:rPr>
          <w:rFonts w:ascii="Book Antiqua" w:hAnsi="Book Antiqua" w:cs="Arial"/>
          <w:bCs/>
          <w:sz w:val="24"/>
          <w:szCs w:val="24"/>
          <w:lang w:val="en-US"/>
        </w:rPr>
        <w:t>haemochromatosis</w:t>
      </w:r>
      <w:r w:rsidR="00BC224B" w:rsidRPr="005D2962">
        <w:rPr>
          <w:rFonts w:ascii="Book Antiqua" w:hAnsi="Book Antiqua" w:cs="Arial"/>
          <w:bCs/>
          <w:sz w:val="24"/>
          <w:szCs w:val="24"/>
          <w:lang w:val="en-US"/>
        </w:rPr>
        <w:t>, viral hepatitis, alcoholic liver disease, non-alcoholic fatty liver disease, non-alcoholic steatohepatitis and diabetes</w:t>
      </w:r>
      <w:r w:rsidR="00717354" w:rsidRPr="005D2962">
        <w:rPr>
          <w:rFonts w:ascii="Book Antiqua" w:hAnsi="Book Antiqua" w:cs="Arial"/>
          <w:sz w:val="24"/>
          <w:szCs w:val="24"/>
          <w:lang w:val="en-US"/>
        </w:rPr>
        <w:t xml:space="preserve">. </w:t>
      </w:r>
      <w:r w:rsidR="00154D69" w:rsidRPr="005D2962">
        <w:rPr>
          <w:rFonts w:ascii="Book Antiqua" w:hAnsi="Book Antiqua" w:cs="Arial"/>
          <w:sz w:val="24"/>
          <w:szCs w:val="24"/>
          <w:lang w:val="en-US"/>
        </w:rPr>
        <w:t>Interestingly, r</w:t>
      </w:r>
      <w:r w:rsidR="00FF4064" w:rsidRPr="005D2962">
        <w:rPr>
          <w:rFonts w:ascii="Book Antiqua" w:hAnsi="Book Antiqua" w:cs="Arial"/>
          <w:sz w:val="24"/>
          <w:szCs w:val="24"/>
          <w:lang w:val="en-US"/>
        </w:rPr>
        <w:t xml:space="preserve">egardless of the </w:t>
      </w:r>
      <w:proofErr w:type="spellStart"/>
      <w:r w:rsidR="00272E4D" w:rsidRPr="005D2962">
        <w:rPr>
          <w:rFonts w:ascii="Book Antiqua" w:hAnsi="Book Antiqua" w:cs="Arial"/>
          <w:sz w:val="24"/>
          <w:szCs w:val="24"/>
          <w:lang w:val="en-US"/>
        </w:rPr>
        <w:t>a</w:t>
      </w:r>
      <w:r w:rsidR="00FF4064" w:rsidRPr="005D2962">
        <w:rPr>
          <w:rFonts w:ascii="Book Antiqua" w:hAnsi="Book Antiqua" w:cs="Arial"/>
          <w:sz w:val="24"/>
          <w:szCs w:val="24"/>
          <w:lang w:val="en-US"/>
        </w:rPr>
        <w:t>etiology</w:t>
      </w:r>
      <w:proofErr w:type="spellEnd"/>
      <w:r w:rsidR="00FF4064" w:rsidRPr="005D2962">
        <w:rPr>
          <w:rFonts w:ascii="Book Antiqua" w:hAnsi="Book Antiqua" w:cs="Arial"/>
          <w:sz w:val="24"/>
          <w:szCs w:val="24"/>
          <w:lang w:val="en-US"/>
        </w:rPr>
        <w:t xml:space="preserve">, </w:t>
      </w:r>
      <w:r w:rsidR="005978F1" w:rsidRPr="005D2962">
        <w:rPr>
          <w:rFonts w:ascii="Book Antiqua" w:hAnsi="Book Antiqua" w:cs="Arial"/>
          <w:sz w:val="24"/>
          <w:szCs w:val="24"/>
          <w:lang w:val="en-US"/>
        </w:rPr>
        <w:t>iron-loading</w:t>
      </w:r>
      <w:r w:rsidR="004F4820" w:rsidRPr="005D2962">
        <w:rPr>
          <w:rFonts w:ascii="Book Antiqua" w:hAnsi="Book Antiqua" w:cs="Arial"/>
          <w:sz w:val="24"/>
          <w:szCs w:val="24"/>
          <w:lang w:val="en-US"/>
        </w:rPr>
        <w:t xml:space="preserve"> </w:t>
      </w:r>
      <w:r w:rsidR="000D019D" w:rsidRPr="005D2962">
        <w:rPr>
          <w:rFonts w:ascii="Book Antiqua" w:hAnsi="Book Antiqua" w:cs="Arial"/>
          <w:sz w:val="24"/>
          <w:szCs w:val="24"/>
          <w:lang w:val="en-US"/>
        </w:rPr>
        <w:t xml:space="preserve">is </w:t>
      </w:r>
      <w:r w:rsidR="00FA49BA" w:rsidRPr="005D2962">
        <w:rPr>
          <w:rFonts w:ascii="Book Antiqua" w:hAnsi="Book Antiqua" w:cs="Arial"/>
          <w:sz w:val="24"/>
          <w:szCs w:val="24"/>
          <w:lang w:val="en-US"/>
        </w:rPr>
        <w:t>frequently</w:t>
      </w:r>
      <w:r w:rsidR="00333D0A" w:rsidRPr="005D2962">
        <w:rPr>
          <w:rFonts w:ascii="Book Antiqua" w:hAnsi="Book Antiqua" w:cs="Arial"/>
          <w:sz w:val="24"/>
          <w:szCs w:val="24"/>
          <w:lang w:val="en-US"/>
        </w:rPr>
        <w:t xml:space="preserve"> observed </w:t>
      </w:r>
      <w:r w:rsidR="00FF4064" w:rsidRPr="005D2962">
        <w:rPr>
          <w:rFonts w:ascii="Book Antiqua" w:hAnsi="Book Antiqua" w:cs="Arial"/>
          <w:sz w:val="24"/>
          <w:szCs w:val="24"/>
          <w:lang w:val="en-US"/>
        </w:rPr>
        <w:t>in</w:t>
      </w:r>
      <w:r w:rsidR="00160ED6" w:rsidRPr="005D2962">
        <w:rPr>
          <w:rFonts w:ascii="Book Antiqua" w:hAnsi="Book Antiqua" w:cs="Arial"/>
          <w:sz w:val="24"/>
          <w:szCs w:val="24"/>
          <w:lang w:val="en-US"/>
        </w:rPr>
        <w:t xml:space="preserve"> </w:t>
      </w:r>
      <w:r w:rsidR="003033EA" w:rsidRPr="005D2962">
        <w:rPr>
          <w:rFonts w:ascii="Book Antiqua" w:hAnsi="Book Antiqua" w:cs="Arial"/>
          <w:sz w:val="24"/>
          <w:szCs w:val="24"/>
          <w:lang w:val="en-US"/>
        </w:rPr>
        <w:t>chronic</w:t>
      </w:r>
      <w:r w:rsidR="00885240" w:rsidRPr="005D2962">
        <w:rPr>
          <w:rFonts w:ascii="Book Antiqua" w:hAnsi="Book Antiqua" w:cs="Arial"/>
          <w:sz w:val="24"/>
          <w:szCs w:val="24"/>
          <w:lang w:val="en-US"/>
        </w:rPr>
        <w:t xml:space="preserve"> liver </w:t>
      </w:r>
      <w:r w:rsidR="003033EA" w:rsidRPr="005D2962">
        <w:rPr>
          <w:rFonts w:ascii="Book Antiqua" w:hAnsi="Book Antiqua" w:cs="Arial"/>
          <w:sz w:val="24"/>
          <w:szCs w:val="24"/>
          <w:lang w:val="en-US"/>
        </w:rPr>
        <w:t>diseases</w:t>
      </w:r>
      <w:r w:rsidR="00FF4064" w:rsidRPr="005D2962">
        <w:rPr>
          <w:rFonts w:ascii="Book Antiqua" w:hAnsi="Book Antiqua" w:cs="Arial"/>
          <w:sz w:val="24"/>
          <w:szCs w:val="24"/>
          <w:lang w:val="en-US"/>
        </w:rPr>
        <w:t>.</w:t>
      </w:r>
      <w:r w:rsidR="001076F0" w:rsidRPr="005D2962">
        <w:rPr>
          <w:rFonts w:ascii="Book Antiqua" w:hAnsi="Book Antiqua" w:cs="Arial"/>
          <w:sz w:val="24"/>
          <w:szCs w:val="24"/>
          <w:lang w:val="en-US"/>
        </w:rPr>
        <w:t xml:space="preserve"> </w:t>
      </w:r>
      <w:r w:rsidR="00F268FE" w:rsidRPr="005D2962">
        <w:rPr>
          <w:rFonts w:ascii="Book Antiqua" w:hAnsi="Book Antiqua" w:cs="Arial"/>
          <w:sz w:val="24"/>
          <w:szCs w:val="24"/>
          <w:lang w:val="en-US"/>
        </w:rPr>
        <w:t xml:space="preserve">Excess </w:t>
      </w:r>
      <w:r w:rsidR="00CD6BAA" w:rsidRPr="005D2962">
        <w:rPr>
          <w:rFonts w:ascii="Book Antiqua" w:hAnsi="Book Antiqua" w:cs="Arial"/>
          <w:sz w:val="24"/>
          <w:szCs w:val="24"/>
          <w:lang w:val="en-US"/>
        </w:rPr>
        <w:t xml:space="preserve">iron </w:t>
      </w:r>
      <w:r w:rsidR="00885240" w:rsidRPr="005D2962">
        <w:rPr>
          <w:rFonts w:ascii="Book Antiqua" w:hAnsi="Book Antiqua" w:cs="Arial"/>
          <w:sz w:val="24"/>
          <w:szCs w:val="24"/>
          <w:lang w:val="en-US"/>
        </w:rPr>
        <w:t>ca</w:t>
      </w:r>
      <w:r w:rsidR="000D019D" w:rsidRPr="005D2962">
        <w:rPr>
          <w:rFonts w:ascii="Book Antiqua" w:hAnsi="Book Antiqua" w:cs="Arial"/>
          <w:sz w:val="24"/>
          <w:szCs w:val="24"/>
          <w:lang w:val="en-US"/>
        </w:rPr>
        <w:t xml:space="preserve">n </w:t>
      </w:r>
      <w:r w:rsidR="00F15579" w:rsidRPr="005D2962">
        <w:rPr>
          <w:rFonts w:ascii="Book Antiqua" w:hAnsi="Book Antiqua" w:cs="Arial"/>
          <w:sz w:val="24"/>
          <w:szCs w:val="24"/>
          <w:lang w:val="en-US"/>
        </w:rPr>
        <w:t xml:space="preserve">feed </w:t>
      </w:r>
      <w:r w:rsidR="00812A5A" w:rsidRPr="005D2962">
        <w:rPr>
          <w:rFonts w:ascii="Book Antiqua" w:hAnsi="Book Antiqua" w:cs="Arial"/>
          <w:sz w:val="24"/>
          <w:szCs w:val="24"/>
          <w:lang w:val="en-US"/>
        </w:rPr>
        <w:t xml:space="preserve">the Fenton </w:t>
      </w:r>
      <w:r w:rsidR="00EC57AC" w:rsidRPr="005D2962">
        <w:rPr>
          <w:rFonts w:ascii="Book Antiqua" w:hAnsi="Book Antiqua" w:cs="Arial"/>
          <w:sz w:val="24"/>
          <w:szCs w:val="24"/>
          <w:lang w:val="en-US"/>
        </w:rPr>
        <w:t>reaction</w:t>
      </w:r>
      <w:r w:rsidR="00812A5A" w:rsidRPr="007F5A49">
        <w:rPr>
          <w:rFonts w:ascii="Book Antiqua" w:hAnsi="Book Antiqua" w:cs="Arial"/>
          <w:sz w:val="24"/>
          <w:szCs w:val="24"/>
          <w:lang w:val="en-US"/>
        </w:rPr>
        <w:t xml:space="preserve"> to generate </w:t>
      </w:r>
      <w:r w:rsidR="00EC57AC" w:rsidRPr="007F5A49">
        <w:rPr>
          <w:rFonts w:ascii="Book Antiqua" w:hAnsi="Book Antiqua" w:cs="Arial"/>
          <w:sz w:val="24"/>
          <w:szCs w:val="24"/>
          <w:lang w:val="en-US"/>
        </w:rPr>
        <w:t>unquenchable</w:t>
      </w:r>
      <w:r w:rsidR="00812A5A" w:rsidRPr="007F5A49">
        <w:rPr>
          <w:rFonts w:ascii="Book Antiqua" w:hAnsi="Book Antiqua" w:cs="Arial"/>
          <w:sz w:val="24"/>
          <w:szCs w:val="24"/>
          <w:lang w:val="en-US"/>
        </w:rPr>
        <w:t xml:space="preserve"> </w:t>
      </w:r>
      <w:r w:rsidR="00EC57AC" w:rsidRPr="007F5A49">
        <w:rPr>
          <w:rFonts w:ascii="Book Antiqua" w:hAnsi="Book Antiqua" w:cs="Arial"/>
          <w:sz w:val="24"/>
          <w:szCs w:val="24"/>
          <w:lang w:val="en-US"/>
        </w:rPr>
        <w:t>amounts</w:t>
      </w:r>
      <w:r w:rsidR="00812A5A" w:rsidRPr="007F5A49">
        <w:rPr>
          <w:rFonts w:ascii="Book Antiqua" w:hAnsi="Book Antiqua" w:cs="Arial"/>
          <w:sz w:val="24"/>
          <w:szCs w:val="24"/>
          <w:lang w:val="en-US"/>
        </w:rPr>
        <w:t xml:space="preserve"> of f</w:t>
      </w:r>
      <w:r w:rsidR="00EC57AC" w:rsidRPr="007F5A49">
        <w:rPr>
          <w:rFonts w:ascii="Book Antiqua" w:hAnsi="Book Antiqua" w:cs="Arial"/>
          <w:sz w:val="24"/>
          <w:szCs w:val="24"/>
          <w:lang w:val="en-US"/>
        </w:rPr>
        <w:t>ree</w:t>
      </w:r>
      <w:r w:rsidR="00812A5A" w:rsidRPr="007F5A49">
        <w:rPr>
          <w:rFonts w:ascii="Book Antiqua" w:hAnsi="Book Antiqua" w:cs="Arial"/>
          <w:sz w:val="24"/>
          <w:szCs w:val="24"/>
          <w:lang w:val="en-US"/>
        </w:rPr>
        <w:t xml:space="preserve"> radicals</w:t>
      </w:r>
      <w:r w:rsidR="00885240" w:rsidRPr="007F5A49">
        <w:rPr>
          <w:rFonts w:ascii="Book Antiqua" w:hAnsi="Book Antiqua" w:cs="Arial"/>
          <w:sz w:val="24"/>
          <w:szCs w:val="24"/>
          <w:lang w:val="en-US"/>
        </w:rPr>
        <w:t xml:space="preserve"> that cause </w:t>
      </w:r>
      <w:r w:rsidR="004A7E30" w:rsidRPr="007F5A49">
        <w:rPr>
          <w:rFonts w:ascii="Book Antiqua" w:hAnsi="Book Antiqua" w:cs="Arial"/>
          <w:sz w:val="24"/>
          <w:szCs w:val="24"/>
          <w:lang w:val="en-US"/>
        </w:rPr>
        <w:t>grave cellular and tissue damage</w:t>
      </w:r>
      <w:r w:rsidR="00002F11" w:rsidRPr="007F5A49">
        <w:rPr>
          <w:rFonts w:ascii="Book Antiqua" w:hAnsi="Book Antiqua" w:cs="Arial"/>
          <w:sz w:val="24"/>
          <w:szCs w:val="24"/>
          <w:lang w:val="en-US"/>
        </w:rPr>
        <w:t xml:space="preserve"> and thereby contribute to fibrosis</w:t>
      </w:r>
      <w:r w:rsidR="00F52C8C" w:rsidRPr="007F5A49">
        <w:rPr>
          <w:rFonts w:ascii="Book Antiqua" w:hAnsi="Book Antiqua" w:cs="Arial"/>
          <w:sz w:val="24"/>
          <w:szCs w:val="24"/>
          <w:lang w:val="en-US"/>
        </w:rPr>
        <w:t xml:space="preserve">. </w:t>
      </w:r>
      <w:r w:rsidR="0044068E" w:rsidRPr="007F5A49">
        <w:rPr>
          <w:rFonts w:ascii="Book Antiqua" w:hAnsi="Book Antiqua" w:cs="Arial"/>
          <w:sz w:val="24"/>
          <w:szCs w:val="24"/>
          <w:lang w:val="en-US"/>
        </w:rPr>
        <w:t xml:space="preserve">Moreover, </w:t>
      </w:r>
      <w:r w:rsidR="005475F0" w:rsidRPr="007F5A49">
        <w:rPr>
          <w:rFonts w:ascii="Book Antiqua" w:hAnsi="Book Antiqua" w:cs="Arial"/>
          <w:sz w:val="24"/>
          <w:szCs w:val="24"/>
          <w:lang w:val="en-US"/>
        </w:rPr>
        <w:t xml:space="preserve">excess </w:t>
      </w:r>
      <w:r w:rsidR="004A7E30" w:rsidRPr="007F5A49">
        <w:rPr>
          <w:rFonts w:ascii="Book Antiqua" w:hAnsi="Book Antiqua" w:cs="Arial"/>
          <w:sz w:val="24"/>
          <w:szCs w:val="24"/>
          <w:lang w:val="en-US"/>
        </w:rPr>
        <w:t>iron</w:t>
      </w:r>
      <w:r w:rsidR="00BC224B" w:rsidRPr="007F5A49">
        <w:rPr>
          <w:rFonts w:ascii="Book Antiqua" w:hAnsi="Book Antiqua" w:cs="Arial"/>
          <w:sz w:val="24"/>
          <w:szCs w:val="24"/>
          <w:lang w:val="en-US"/>
        </w:rPr>
        <w:t xml:space="preserve"> </w:t>
      </w:r>
      <w:r w:rsidR="00F268FE" w:rsidRPr="007F5A49">
        <w:rPr>
          <w:rFonts w:ascii="Book Antiqua" w:hAnsi="Book Antiqua" w:cs="Arial"/>
          <w:sz w:val="24"/>
          <w:szCs w:val="24"/>
          <w:lang w:val="en-US"/>
        </w:rPr>
        <w:t xml:space="preserve">can </w:t>
      </w:r>
      <w:r w:rsidR="00BC224B" w:rsidRPr="007F5A49">
        <w:rPr>
          <w:rFonts w:ascii="Book Antiqua" w:hAnsi="Book Antiqua" w:cs="Arial"/>
          <w:sz w:val="24"/>
          <w:szCs w:val="24"/>
          <w:lang w:val="en-US"/>
        </w:rPr>
        <w:t>i</w:t>
      </w:r>
      <w:r w:rsidR="004A7E30" w:rsidRPr="007F5A49">
        <w:rPr>
          <w:rFonts w:ascii="Book Antiqua" w:hAnsi="Book Antiqua" w:cs="Arial"/>
          <w:sz w:val="24"/>
          <w:szCs w:val="24"/>
          <w:lang w:val="en-US"/>
        </w:rPr>
        <w:t xml:space="preserve">nduce </w:t>
      </w:r>
      <w:r w:rsidR="0044068E" w:rsidRPr="007F5A49">
        <w:rPr>
          <w:rFonts w:ascii="Book Antiqua" w:hAnsi="Book Antiqua" w:cs="Arial"/>
          <w:sz w:val="24"/>
          <w:szCs w:val="24"/>
          <w:lang w:val="en-US"/>
        </w:rPr>
        <w:t xml:space="preserve">fibrosis-promoting </w:t>
      </w:r>
      <w:r w:rsidR="004A7E30" w:rsidRPr="007F5A49">
        <w:rPr>
          <w:rFonts w:ascii="Book Antiqua" w:hAnsi="Book Antiqua" w:cs="Arial"/>
          <w:sz w:val="24"/>
          <w:szCs w:val="24"/>
          <w:lang w:val="en-US"/>
        </w:rPr>
        <w:t>signal</w:t>
      </w:r>
      <w:r w:rsidR="00333D0A" w:rsidRPr="007F5A49">
        <w:rPr>
          <w:rFonts w:ascii="Book Antiqua" w:hAnsi="Book Antiqua" w:cs="Arial"/>
          <w:sz w:val="24"/>
          <w:szCs w:val="24"/>
          <w:lang w:val="en-US"/>
        </w:rPr>
        <w:t xml:space="preserve">s </w:t>
      </w:r>
      <w:r w:rsidR="005C0FC7" w:rsidRPr="007F5A49">
        <w:rPr>
          <w:rFonts w:ascii="Book Antiqua" w:hAnsi="Book Antiqua" w:cs="Arial"/>
          <w:sz w:val="24"/>
          <w:szCs w:val="24"/>
          <w:lang w:val="en-US"/>
        </w:rPr>
        <w:t>in the parenchymal and non-parenchymal cells</w:t>
      </w:r>
      <w:r w:rsidR="00BC224B" w:rsidRPr="007F5A49">
        <w:rPr>
          <w:rFonts w:ascii="Book Antiqua" w:hAnsi="Book Antiqua" w:cs="Arial"/>
          <w:sz w:val="24"/>
          <w:szCs w:val="24"/>
          <w:lang w:val="en-US"/>
        </w:rPr>
        <w:t xml:space="preserve">, which </w:t>
      </w:r>
      <w:r w:rsidR="0006357D" w:rsidRPr="007F5A49">
        <w:rPr>
          <w:rFonts w:ascii="Book Antiqua" w:hAnsi="Book Antiqua" w:cs="Arial"/>
          <w:sz w:val="24"/>
          <w:szCs w:val="24"/>
          <w:lang w:val="en-US"/>
        </w:rPr>
        <w:t xml:space="preserve">accelerate </w:t>
      </w:r>
      <w:r w:rsidR="00BC224B" w:rsidRPr="007F5A49">
        <w:rPr>
          <w:rFonts w:ascii="Book Antiqua" w:hAnsi="Book Antiqua" w:cs="Arial"/>
          <w:sz w:val="24"/>
          <w:szCs w:val="24"/>
          <w:lang w:val="en-US"/>
        </w:rPr>
        <w:t xml:space="preserve">disease </w:t>
      </w:r>
      <w:r w:rsidR="005C0FC7" w:rsidRPr="007F5A49">
        <w:rPr>
          <w:rFonts w:ascii="Book Antiqua" w:hAnsi="Book Antiqua" w:cs="Arial"/>
          <w:sz w:val="24"/>
          <w:szCs w:val="24"/>
          <w:lang w:val="en-US"/>
        </w:rPr>
        <w:t xml:space="preserve">progression </w:t>
      </w:r>
      <w:r w:rsidR="00885240" w:rsidRPr="007F5A49">
        <w:rPr>
          <w:rFonts w:ascii="Book Antiqua" w:hAnsi="Book Antiqua" w:cs="Arial"/>
          <w:sz w:val="24"/>
          <w:szCs w:val="24"/>
          <w:lang w:val="en-US"/>
        </w:rPr>
        <w:t>and</w:t>
      </w:r>
      <w:r w:rsidR="00F52C8C" w:rsidRPr="007F5A49">
        <w:rPr>
          <w:rFonts w:ascii="Book Antiqua" w:hAnsi="Book Antiqua" w:cs="Arial"/>
          <w:sz w:val="24"/>
          <w:szCs w:val="24"/>
          <w:lang w:val="en-US"/>
        </w:rPr>
        <w:t xml:space="preserve"> </w:t>
      </w:r>
      <w:r w:rsidR="00885240" w:rsidRPr="007F5A49">
        <w:rPr>
          <w:rFonts w:ascii="Book Antiqua" w:hAnsi="Book Antiqua" w:cs="Arial"/>
          <w:sz w:val="24"/>
          <w:szCs w:val="24"/>
          <w:lang w:val="en-US"/>
        </w:rPr>
        <w:t>exacerbate</w:t>
      </w:r>
      <w:r w:rsidR="00B66F77" w:rsidRPr="007F5A49">
        <w:rPr>
          <w:rFonts w:ascii="Book Antiqua" w:hAnsi="Book Antiqua" w:cs="Arial"/>
          <w:sz w:val="24"/>
          <w:szCs w:val="24"/>
          <w:lang w:val="en-US"/>
        </w:rPr>
        <w:t xml:space="preserve"> liver</w:t>
      </w:r>
      <w:r w:rsidR="00885240" w:rsidRPr="007F5A49">
        <w:rPr>
          <w:rFonts w:ascii="Book Antiqua" w:hAnsi="Book Antiqua" w:cs="Arial"/>
          <w:sz w:val="24"/>
          <w:szCs w:val="24"/>
          <w:lang w:val="en-US"/>
        </w:rPr>
        <w:t xml:space="preserve"> </w:t>
      </w:r>
      <w:r w:rsidR="0006357D" w:rsidRPr="007F5A49">
        <w:rPr>
          <w:rFonts w:ascii="Book Antiqua" w:hAnsi="Book Antiqua" w:cs="Arial"/>
          <w:sz w:val="24"/>
          <w:szCs w:val="24"/>
          <w:lang w:val="en-US"/>
        </w:rPr>
        <w:t>pathology</w:t>
      </w:r>
      <w:r w:rsidR="00A76461" w:rsidRPr="007F5A49">
        <w:rPr>
          <w:rFonts w:ascii="Book Antiqua" w:hAnsi="Book Antiqua" w:cs="Arial"/>
          <w:sz w:val="24"/>
          <w:szCs w:val="24"/>
          <w:lang w:val="en-US"/>
        </w:rPr>
        <w:t>.</w:t>
      </w:r>
      <w:r w:rsidR="00F52C8C" w:rsidRPr="007F5A49">
        <w:rPr>
          <w:rFonts w:ascii="Book Antiqua" w:hAnsi="Book Antiqua" w:cs="Arial"/>
          <w:sz w:val="24"/>
          <w:szCs w:val="24"/>
          <w:lang w:val="en-US"/>
        </w:rPr>
        <w:t xml:space="preserve"> F</w:t>
      </w:r>
      <w:r w:rsidR="00EA317A" w:rsidRPr="007F5A49">
        <w:rPr>
          <w:rFonts w:ascii="Book Antiqua" w:hAnsi="Book Antiqua" w:cs="Arial"/>
          <w:sz w:val="24"/>
          <w:szCs w:val="24"/>
          <w:lang w:val="en-US"/>
        </w:rPr>
        <w:t xml:space="preserve">ibrosis regression </w:t>
      </w:r>
      <w:r w:rsidR="00F52C8C" w:rsidRPr="007F5A49">
        <w:rPr>
          <w:rFonts w:ascii="Book Antiqua" w:hAnsi="Book Antiqua" w:cs="Arial"/>
          <w:sz w:val="24"/>
          <w:szCs w:val="24"/>
          <w:lang w:val="en-US"/>
        </w:rPr>
        <w:t>is achievable following treatment</w:t>
      </w:r>
      <w:r w:rsidR="00EA317A" w:rsidRPr="007F5A49">
        <w:rPr>
          <w:rFonts w:ascii="Book Antiqua" w:hAnsi="Book Antiqua" w:cs="Arial"/>
          <w:sz w:val="24"/>
          <w:szCs w:val="24"/>
          <w:lang w:val="en-US"/>
        </w:rPr>
        <w:t xml:space="preserve">, but if </w:t>
      </w:r>
      <w:r w:rsidR="00A76461" w:rsidRPr="007F5A49">
        <w:rPr>
          <w:rFonts w:ascii="Book Antiqua" w:hAnsi="Book Antiqua" w:cs="Arial"/>
          <w:sz w:val="24"/>
          <w:szCs w:val="24"/>
          <w:lang w:val="en-US"/>
        </w:rPr>
        <w:t>untreated</w:t>
      </w:r>
      <w:r w:rsidR="00F268FE" w:rsidRPr="007F5A49">
        <w:rPr>
          <w:rFonts w:ascii="Book Antiqua" w:hAnsi="Book Antiqua" w:cs="Arial"/>
          <w:sz w:val="24"/>
          <w:szCs w:val="24"/>
          <w:lang w:val="en-US"/>
        </w:rPr>
        <w:t xml:space="preserve"> or unsuccessful</w:t>
      </w:r>
      <w:r w:rsidR="00A76461" w:rsidRPr="007F5A49">
        <w:rPr>
          <w:rFonts w:ascii="Book Antiqua" w:hAnsi="Book Antiqua" w:cs="Arial"/>
          <w:sz w:val="24"/>
          <w:szCs w:val="24"/>
          <w:lang w:val="en-US"/>
        </w:rPr>
        <w:t xml:space="preserve">, </w:t>
      </w:r>
      <w:r w:rsidR="00EA317A" w:rsidRPr="007F5A49">
        <w:rPr>
          <w:rFonts w:ascii="Book Antiqua" w:hAnsi="Book Antiqua" w:cs="Arial"/>
          <w:sz w:val="24"/>
          <w:szCs w:val="24"/>
          <w:lang w:val="en-US"/>
        </w:rPr>
        <w:t xml:space="preserve">it </w:t>
      </w:r>
      <w:r w:rsidR="00A76461" w:rsidRPr="007F5A49">
        <w:rPr>
          <w:rFonts w:ascii="Book Antiqua" w:hAnsi="Book Antiqua" w:cs="Arial"/>
          <w:sz w:val="24"/>
          <w:szCs w:val="24"/>
          <w:lang w:val="en-US"/>
        </w:rPr>
        <w:t xml:space="preserve">can progress to </w:t>
      </w:r>
      <w:r w:rsidR="00550D29" w:rsidRPr="007F5A49">
        <w:rPr>
          <w:rFonts w:ascii="Book Antiqua" w:hAnsi="Book Antiqua" w:cs="Arial"/>
          <w:sz w:val="24"/>
          <w:szCs w:val="24"/>
          <w:lang w:val="en-US"/>
        </w:rPr>
        <w:t xml:space="preserve">the irreversible </w:t>
      </w:r>
      <w:r w:rsidR="00A76461" w:rsidRPr="007F5A49">
        <w:rPr>
          <w:rFonts w:ascii="Book Antiqua" w:hAnsi="Book Antiqua" w:cs="Arial"/>
          <w:sz w:val="24"/>
          <w:szCs w:val="24"/>
          <w:lang w:val="en-US"/>
        </w:rPr>
        <w:t>cirrho</w:t>
      </w:r>
      <w:r w:rsidR="00F52C8C" w:rsidRPr="007F5A49">
        <w:rPr>
          <w:rFonts w:ascii="Book Antiqua" w:hAnsi="Book Antiqua" w:cs="Arial"/>
          <w:sz w:val="24"/>
          <w:szCs w:val="24"/>
          <w:lang w:val="en-US"/>
        </w:rPr>
        <w:t>tic</w:t>
      </w:r>
      <w:r w:rsidR="00550D29" w:rsidRPr="007F5A49">
        <w:rPr>
          <w:rFonts w:ascii="Book Antiqua" w:hAnsi="Book Antiqua" w:cs="Arial"/>
          <w:sz w:val="24"/>
          <w:szCs w:val="24"/>
          <w:lang w:val="en-US"/>
        </w:rPr>
        <w:t xml:space="preserve"> stage </w:t>
      </w:r>
      <w:r w:rsidR="00A76461" w:rsidRPr="007F5A49">
        <w:rPr>
          <w:rFonts w:ascii="Book Antiqua" w:hAnsi="Book Antiqua" w:cs="Arial"/>
          <w:sz w:val="24"/>
          <w:szCs w:val="24"/>
          <w:lang w:val="en-US"/>
        </w:rPr>
        <w:t>leading to organ failur</w:t>
      </w:r>
      <w:r w:rsidR="00550D29" w:rsidRPr="007F5A49">
        <w:rPr>
          <w:rFonts w:ascii="Book Antiqua" w:hAnsi="Book Antiqua" w:cs="Arial"/>
          <w:sz w:val="24"/>
          <w:szCs w:val="24"/>
          <w:lang w:val="en-US"/>
        </w:rPr>
        <w:t>e and hepatocellular carcinoma</w:t>
      </w:r>
      <w:r w:rsidR="00EA317A" w:rsidRPr="007F5A49">
        <w:rPr>
          <w:rFonts w:ascii="Book Antiqua" w:hAnsi="Book Antiqua" w:cs="Arial"/>
          <w:sz w:val="24"/>
          <w:szCs w:val="24"/>
          <w:lang w:val="en-US"/>
        </w:rPr>
        <w:t xml:space="preserve">, where </w:t>
      </w:r>
      <w:r w:rsidR="007F427B" w:rsidRPr="007F5A49">
        <w:rPr>
          <w:rFonts w:ascii="Book Antiqua" w:hAnsi="Book Antiqua" w:cs="Arial"/>
          <w:sz w:val="24"/>
          <w:szCs w:val="24"/>
          <w:lang w:val="en-US"/>
        </w:rPr>
        <w:t xml:space="preserve">resection </w:t>
      </w:r>
      <w:r w:rsidR="00333D0A" w:rsidRPr="007F5A49">
        <w:rPr>
          <w:rFonts w:ascii="Book Antiqua" w:hAnsi="Book Antiqua" w:cs="Arial"/>
          <w:sz w:val="24"/>
          <w:szCs w:val="24"/>
          <w:lang w:val="en-US"/>
        </w:rPr>
        <w:t>or</w:t>
      </w:r>
      <w:r w:rsidR="007F427B" w:rsidRPr="007F5A49">
        <w:rPr>
          <w:rFonts w:ascii="Book Antiqua" w:hAnsi="Book Antiqua" w:cs="Arial"/>
          <w:sz w:val="24"/>
          <w:szCs w:val="24"/>
          <w:lang w:val="en-US"/>
        </w:rPr>
        <w:t xml:space="preserve"> </w:t>
      </w:r>
      <w:r w:rsidR="00550D29" w:rsidRPr="007F5A49">
        <w:rPr>
          <w:rFonts w:ascii="Book Antiqua" w:hAnsi="Book Antiqua" w:cs="Arial"/>
          <w:sz w:val="24"/>
          <w:szCs w:val="24"/>
          <w:lang w:val="en-US"/>
        </w:rPr>
        <w:t xml:space="preserve">transplantation </w:t>
      </w:r>
      <w:r w:rsidR="00F52C8C" w:rsidRPr="007F5A49">
        <w:rPr>
          <w:rFonts w:ascii="Book Antiqua" w:hAnsi="Book Antiqua" w:cs="Arial"/>
          <w:sz w:val="24"/>
          <w:szCs w:val="24"/>
          <w:lang w:val="en-US"/>
        </w:rPr>
        <w:t xml:space="preserve">remain </w:t>
      </w:r>
      <w:r w:rsidR="00550D29" w:rsidRPr="007F5A49">
        <w:rPr>
          <w:rFonts w:ascii="Book Antiqua" w:hAnsi="Book Antiqua" w:cs="Arial"/>
          <w:sz w:val="24"/>
          <w:szCs w:val="24"/>
          <w:lang w:val="en-US"/>
        </w:rPr>
        <w:t>the only curative option</w:t>
      </w:r>
      <w:r w:rsidR="00221709" w:rsidRPr="007F5A49">
        <w:rPr>
          <w:rFonts w:ascii="Book Antiqua" w:hAnsi="Book Antiqua" w:cs="Arial"/>
          <w:sz w:val="24"/>
          <w:szCs w:val="24"/>
          <w:lang w:val="en-US"/>
        </w:rPr>
        <w:t>s</w:t>
      </w:r>
      <w:r w:rsidR="00550D29" w:rsidRPr="007F5A49">
        <w:rPr>
          <w:rFonts w:ascii="Book Antiqua" w:hAnsi="Book Antiqua" w:cs="Arial"/>
          <w:sz w:val="24"/>
          <w:szCs w:val="24"/>
          <w:lang w:val="en-US"/>
        </w:rPr>
        <w:t xml:space="preserve">. </w:t>
      </w:r>
      <w:r w:rsidR="0044068E" w:rsidRPr="007F5A49">
        <w:rPr>
          <w:rFonts w:ascii="Book Antiqua" w:hAnsi="Book Antiqua" w:cs="Arial"/>
          <w:sz w:val="24"/>
          <w:szCs w:val="24"/>
          <w:lang w:val="en-US"/>
        </w:rPr>
        <w:t>Therefore,</w:t>
      </w:r>
      <w:r w:rsidR="00F1141D" w:rsidRPr="007F5A49">
        <w:rPr>
          <w:rFonts w:ascii="Book Antiqua" w:hAnsi="Book Antiqua" w:cs="Arial"/>
          <w:sz w:val="24"/>
          <w:szCs w:val="24"/>
          <w:lang w:val="en-US"/>
        </w:rPr>
        <w:t xml:space="preserve"> </w:t>
      </w:r>
      <w:r w:rsidR="0044068E" w:rsidRPr="007F5A49">
        <w:rPr>
          <w:rFonts w:ascii="Book Antiqua" w:hAnsi="Book Antiqua" w:cs="Arial"/>
          <w:sz w:val="24"/>
          <w:szCs w:val="24"/>
          <w:lang w:val="en-US"/>
        </w:rPr>
        <w:t>u</w:t>
      </w:r>
      <w:r w:rsidR="005B1617" w:rsidRPr="007F5A49">
        <w:rPr>
          <w:rFonts w:ascii="Book Antiqua" w:hAnsi="Book Antiqua" w:cs="Arial"/>
          <w:sz w:val="24"/>
          <w:szCs w:val="24"/>
          <w:lang w:val="en-US"/>
        </w:rPr>
        <w:t>nderstand</w:t>
      </w:r>
      <w:r w:rsidR="008E6500" w:rsidRPr="007F5A49">
        <w:rPr>
          <w:rFonts w:ascii="Book Antiqua" w:hAnsi="Book Antiqua" w:cs="Arial"/>
          <w:sz w:val="24"/>
          <w:szCs w:val="24"/>
          <w:lang w:val="en-US"/>
        </w:rPr>
        <w:t>ing</w:t>
      </w:r>
      <w:r w:rsidR="005B1617" w:rsidRPr="007F5A49">
        <w:rPr>
          <w:rFonts w:ascii="Book Antiqua" w:hAnsi="Book Antiqua" w:cs="Arial"/>
          <w:sz w:val="24"/>
          <w:szCs w:val="24"/>
          <w:lang w:val="en-US"/>
        </w:rPr>
        <w:t xml:space="preserve"> </w:t>
      </w:r>
      <w:r w:rsidR="00A76461" w:rsidRPr="007F5A49">
        <w:rPr>
          <w:rFonts w:ascii="Book Antiqua" w:hAnsi="Book Antiqua" w:cs="Arial"/>
          <w:sz w:val="24"/>
          <w:szCs w:val="24"/>
          <w:lang w:val="en-US"/>
        </w:rPr>
        <w:t xml:space="preserve">the role of iron in liver fibrosis </w:t>
      </w:r>
      <w:r w:rsidR="009D24E9" w:rsidRPr="007F5A49">
        <w:rPr>
          <w:rFonts w:ascii="Book Antiqua" w:hAnsi="Book Antiqua" w:cs="Arial"/>
          <w:sz w:val="24"/>
          <w:szCs w:val="24"/>
          <w:lang w:val="en-US"/>
        </w:rPr>
        <w:t xml:space="preserve">is </w:t>
      </w:r>
      <w:r w:rsidR="00F15579" w:rsidRPr="007F5A49">
        <w:rPr>
          <w:rFonts w:ascii="Book Antiqua" w:hAnsi="Book Antiqua" w:cs="Arial"/>
          <w:sz w:val="24"/>
          <w:szCs w:val="24"/>
          <w:lang w:val="en-US"/>
        </w:rPr>
        <w:t xml:space="preserve">extremely </w:t>
      </w:r>
      <w:r w:rsidR="009D24E9" w:rsidRPr="007F5A49">
        <w:rPr>
          <w:rFonts w:ascii="Book Antiqua" w:hAnsi="Book Antiqua" w:cs="Arial"/>
          <w:sz w:val="24"/>
          <w:szCs w:val="24"/>
          <w:lang w:val="en-US"/>
        </w:rPr>
        <w:t xml:space="preserve">essential as it </w:t>
      </w:r>
      <w:r w:rsidR="00720EA5" w:rsidRPr="007F5A49">
        <w:rPr>
          <w:rFonts w:ascii="Book Antiqua" w:hAnsi="Book Antiqua" w:cs="Arial"/>
          <w:sz w:val="24"/>
          <w:szCs w:val="24"/>
          <w:lang w:val="en-US"/>
        </w:rPr>
        <w:t>can help</w:t>
      </w:r>
      <w:r w:rsidR="00F268FE" w:rsidRPr="007F5A49">
        <w:rPr>
          <w:rFonts w:ascii="Book Antiqua" w:hAnsi="Book Antiqua" w:cs="Arial"/>
          <w:sz w:val="24"/>
          <w:szCs w:val="24"/>
          <w:lang w:val="en-US"/>
        </w:rPr>
        <w:t xml:space="preserve"> in </w:t>
      </w:r>
      <w:r w:rsidR="008E6500" w:rsidRPr="007F5A49">
        <w:rPr>
          <w:rFonts w:ascii="Book Antiqua" w:hAnsi="Book Antiqua" w:cs="Arial"/>
          <w:sz w:val="24"/>
          <w:szCs w:val="24"/>
          <w:lang w:val="en-US"/>
        </w:rPr>
        <w:t>formulat</w:t>
      </w:r>
      <w:r w:rsidR="00F268FE" w:rsidRPr="007F5A49">
        <w:rPr>
          <w:rFonts w:ascii="Book Antiqua" w:hAnsi="Book Antiqua" w:cs="Arial"/>
          <w:sz w:val="24"/>
          <w:szCs w:val="24"/>
          <w:lang w:val="en-US"/>
        </w:rPr>
        <w:t>ing i</w:t>
      </w:r>
      <w:r w:rsidR="00550D29" w:rsidRPr="007F5A49">
        <w:rPr>
          <w:rFonts w:ascii="Book Antiqua" w:hAnsi="Book Antiqua" w:cs="Arial"/>
          <w:sz w:val="24"/>
          <w:szCs w:val="24"/>
          <w:lang w:val="en-US"/>
        </w:rPr>
        <w:t xml:space="preserve">ron-related </w:t>
      </w:r>
      <w:r w:rsidR="005B1617" w:rsidRPr="007F5A49">
        <w:rPr>
          <w:rFonts w:ascii="Book Antiqua" w:hAnsi="Book Antiqua" w:cs="Arial"/>
          <w:sz w:val="24"/>
          <w:szCs w:val="24"/>
          <w:lang w:val="en-US"/>
        </w:rPr>
        <w:t>diagnostic</w:t>
      </w:r>
      <w:r w:rsidR="0044068E" w:rsidRPr="007F5A49">
        <w:rPr>
          <w:rFonts w:ascii="Book Antiqua" w:hAnsi="Book Antiqua" w:cs="Arial"/>
          <w:sz w:val="24"/>
          <w:szCs w:val="24"/>
          <w:lang w:val="en-US"/>
        </w:rPr>
        <w:t xml:space="preserve">, prognostic </w:t>
      </w:r>
      <w:r w:rsidR="00550D29" w:rsidRPr="007F5A49">
        <w:rPr>
          <w:rFonts w:ascii="Book Antiqua" w:hAnsi="Book Antiqua" w:cs="Arial"/>
          <w:sz w:val="24"/>
          <w:szCs w:val="24"/>
          <w:lang w:val="en-US"/>
        </w:rPr>
        <w:t>and treatment strategies</w:t>
      </w:r>
      <w:r w:rsidR="00F15579" w:rsidRPr="007F5A49">
        <w:rPr>
          <w:rFonts w:ascii="Book Antiqua" w:hAnsi="Book Antiqua" w:cs="Arial"/>
          <w:sz w:val="24"/>
          <w:szCs w:val="24"/>
          <w:lang w:val="en-US"/>
        </w:rPr>
        <w:t xml:space="preserve">. These </w:t>
      </w:r>
      <w:r w:rsidR="00720EA5" w:rsidRPr="007F5A49">
        <w:rPr>
          <w:rFonts w:ascii="Book Antiqua" w:hAnsi="Book Antiqua" w:cs="Arial"/>
          <w:sz w:val="24"/>
          <w:szCs w:val="24"/>
          <w:lang w:val="en-US"/>
        </w:rPr>
        <w:t xml:space="preserve">can </w:t>
      </w:r>
      <w:r w:rsidR="005C0FC7" w:rsidRPr="007F5A49">
        <w:rPr>
          <w:rFonts w:ascii="Book Antiqua" w:hAnsi="Book Antiqua" w:cs="Arial"/>
          <w:sz w:val="24"/>
          <w:szCs w:val="24"/>
          <w:lang w:val="en-US"/>
        </w:rPr>
        <w:t xml:space="preserve">be </w:t>
      </w:r>
      <w:r w:rsidR="0044068E" w:rsidRPr="007F5A49">
        <w:rPr>
          <w:rFonts w:ascii="Book Antiqua" w:hAnsi="Book Antiqua" w:cs="Arial"/>
          <w:sz w:val="24"/>
          <w:szCs w:val="24"/>
          <w:lang w:val="en-US"/>
        </w:rPr>
        <w:t>implemented</w:t>
      </w:r>
      <w:r w:rsidR="005C0FC7" w:rsidRPr="007F5A49">
        <w:rPr>
          <w:rFonts w:ascii="Book Antiqua" w:hAnsi="Book Antiqua" w:cs="Arial"/>
          <w:sz w:val="24"/>
          <w:szCs w:val="24"/>
          <w:lang w:val="en-US"/>
        </w:rPr>
        <w:t xml:space="preserve"> </w:t>
      </w:r>
      <w:r w:rsidR="00514E06" w:rsidRPr="007F5A49">
        <w:rPr>
          <w:rFonts w:ascii="Book Antiqua" w:hAnsi="Book Antiqua" w:cs="Arial"/>
          <w:sz w:val="24"/>
          <w:szCs w:val="24"/>
          <w:lang w:val="en-US"/>
        </w:rPr>
        <w:t>in isolation</w:t>
      </w:r>
      <w:r w:rsidR="005C0FC7" w:rsidRPr="007F5A49">
        <w:rPr>
          <w:rFonts w:ascii="Book Antiqua" w:hAnsi="Book Antiqua" w:cs="Arial"/>
          <w:sz w:val="24"/>
          <w:szCs w:val="24"/>
          <w:lang w:val="en-US"/>
        </w:rPr>
        <w:t xml:space="preserve"> or in combination with the </w:t>
      </w:r>
      <w:r w:rsidR="0044068E" w:rsidRPr="007F5A49">
        <w:rPr>
          <w:rFonts w:ascii="Book Antiqua" w:hAnsi="Book Antiqua" w:cs="Arial"/>
          <w:sz w:val="24"/>
          <w:szCs w:val="24"/>
          <w:lang w:val="en-US"/>
        </w:rPr>
        <w:t>current</w:t>
      </w:r>
      <w:r w:rsidR="008E6500" w:rsidRPr="007F5A49">
        <w:rPr>
          <w:rFonts w:ascii="Book Antiqua" w:hAnsi="Book Antiqua" w:cs="Arial"/>
          <w:sz w:val="24"/>
          <w:szCs w:val="24"/>
          <w:lang w:val="en-US"/>
        </w:rPr>
        <w:t xml:space="preserve"> </w:t>
      </w:r>
      <w:r w:rsidR="00CD1453" w:rsidRPr="007F5A49">
        <w:rPr>
          <w:rFonts w:ascii="Book Antiqua" w:hAnsi="Book Antiqua" w:cs="Arial"/>
          <w:sz w:val="24"/>
          <w:szCs w:val="24"/>
          <w:lang w:val="en-US"/>
        </w:rPr>
        <w:t xml:space="preserve">approaches to </w:t>
      </w:r>
      <w:r w:rsidR="008E6500" w:rsidRPr="007F5A49">
        <w:rPr>
          <w:rFonts w:ascii="Book Antiqua" w:hAnsi="Book Antiqua" w:cs="Arial"/>
          <w:sz w:val="24"/>
          <w:szCs w:val="24"/>
          <w:lang w:val="en-US"/>
        </w:rPr>
        <w:t>prepone detection</w:t>
      </w:r>
      <w:r w:rsidR="0044068E" w:rsidRPr="007F5A49">
        <w:rPr>
          <w:rFonts w:ascii="Book Antiqua" w:hAnsi="Book Antiqua" w:cs="Arial"/>
          <w:sz w:val="24"/>
          <w:szCs w:val="24"/>
          <w:lang w:val="en-US"/>
        </w:rPr>
        <w:t xml:space="preserve">, </w:t>
      </w:r>
      <w:r w:rsidR="005418B8" w:rsidRPr="007F5A49">
        <w:rPr>
          <w:rFonts w:ascii="Book Antiqua" w:hAnsi="Book Antiqua" w:cs="Arial"/>
          <w:sz w:val="24"/>
          <w:szCs w:val="24"/>
          <w:lang w:val="en-US"/>
        </w:rPr>
        <w:t xml:space="preserve">and </w:t>
      </w:r>
      <w:r w:rsidR="008E6500" w:rsidRPr="007F5A49">
        <w:rPr>
          <w:rFonts w:ascii="Book Antiqua" w:hAnsi="Book Antiqua" w:cs="Arial"/>
          <w:sz w:val="24"/>
          <w:szCs w:val="24"/>
          <w:lang w:val="en-US"/>
        </w:rPr>
        <w:t>halt</w:t>
      </w:r>
      <w:r w:rsidR="00F041FE" w:rsidRPr="007F5A49">
        <w:rPr>
          <w:rFonts w:ascii="Book Antiqua" w:hAnsi="Book Antiqua" w:cs="Arial"/>
          <w:sz w:val="24"/>
          <w:szCs w:val="24"/>
          <w:lang w:val="en-US"/>
        </w:rPr>
        <w:t xml:space="preserve"> </w:t>
      </w:r>
      <w:r w:rsidR="00063BD5" w:rsidRPr="007F5A49">
        <w:rPr>
          <w:rFonts w:ascii="Book Antiqua" w:hAnsi="Book Antiqua" w:cs="Arial"/>
          <w:sz w:val="24"/>
          <w:szCs w:val="24"/>
          <w:lang w:val="en-US"/>
        </w:rPr>
        <w:t>or</w:t>
      </w:r>
      <w:r w:rsidR="008E6500" w:rsidRPr="007F5A49">
        <w:rPr>
          <w:rFonts w:ascii="Book Antiqua" w:hAnsi="Book Antiqua" w:cs="Arial"/>
          <w:sz w:val="24"/>
          <w:szCs w:val="24"/>
          <w:lang w:val="en-US"/>
        </w:rPr>
        <w:t xml:space="preserve"> </w:t>
      </w:r>
      <w:r w:rsidR="00550D29" w:rsidRPr="007F5A49">
        <w:rPr>
          <w:rFonts w:ascii="Book Antiqua" w:hAnsi="Book Antiqua" w:cs="Arial"/>
          <w:sz w:val="24"/>
          <w:szCs w:val="24"/>
          <w:lang w:val="en-US"/>
        </w:rPr>
        <w:t xml:space="preserve">decelerate </w:t>
      </w:r>
      <w:r w:rsidR="00CD1453" w:rsidRPr="007F5A49">
        <w:rPr>
          <w:rFonts w:ascii="Book Antiqua" w:hAnsi="Book Antiqua" w:cs="Arial"/>
          <w:sz w:val="24"/>
          <w:szCs w:val="24"/>
          <w:lang w:val="en-US"/>
        </w:rPr>
        <w:t xml:space="preserve">fibrosis </w:t>
      </w:r>
      <w:r w:rsidR="00550D29" w:rsidRPr="007F5A49">
        <w:rPr>
          <w:rFonts w:ascii="Book Antiqua" w:hAnsi="Book Antiqua" w:cs="Arial"/>
          <w:sz w:val="24"/>
          <w:szCs w:val="24"/>
          <w:lang w:val="en-US"/>
        </w:rPr>
        <w:t>p</w:t>
      </w:r>
      <w:r w:rsidR="00D82C8E" w:rsidRPr="007F5A49">
        <w:rPr>
          <w:rFonts w:ascii="Book Antiqua" w:hAnsi="Book Antiqua" w:cs="Arial"/>
          <w:sz w:val="24"/>
          <w:szCs w:val="24"/>
          <w:lang w:val="en-US"/>
        </w:rPr>
        <w:t>rogression before it reaches the</w:t>
      </w:r>
      <w:r w:rsidR="00550D29" w:rsidRPr="007F5A49">
        <w:rPr>
          <w:rFonts w:ascii="Book Antiqua" w:hAnsi="Book Antiqua" w:cs="Arial"/>
          <w:sz w:val="24"/>
          <w:szCs w:val="24"/>
          <w:lang w:val="en-US"/>
        </w:rPr>
        <w:t xml:space="preserve"> </w:t>
      </w:r>
      <w:r w:rsidR="005418B8" w:rsidRPr="007F5A49">
        <w:rPr>
          <w:rFonts w:ascii="Book Antiqua" w:hAnsi="Book Antiqua" w:cs="Arial"/>
          <w:sz w:val="24"/>
          <w:szCs w:val="24"/>
          <w:lang w:val="en-US"/>
        </w:rPr>
        <w:t>irreparable</w:t>
      </w:r>
      <w:r w:rsidR="00550D29" w:rsidRPr="007F5A49">
        <w:rPr>
          <w:rFonts w:ascii="Book Antiqua" w:hAnsi="Book Antiqua" w:cs="Arial"/>
          <w:sz w:val="24"/>
          <w:szCs w:val="24"/>
          <w:lang w:val="en-US"/>
        </w:rPr>
        <w:t xml:space="preserve"> stage.</w:t>
      </w:r>
      <w:r w:rsidR="00F15579" w:rsidRPr="007F5A49">
        <w:rPr>
          <w:rFonts w:ascii="Book Antiqua" w:hAnsi="Book Antiqua" w:cs="Arial"/>
          <w:sz w:val="24"/>
          <w:szCs w:val="24"/>
          <w:lang w:val="en-US"/>
        </w:rPr>
        <w:t xml:space="preserve"> Thus, t</w:t>
      </w:r>
      <w:r w:rsidR="00550D29" w:rsidRPr="007F5A49">
        <w:rPr>
          <w:rFonts w:ascii="Book Antiqua" w:hAnsi="Book Antiqua" w:cs="Arial"/>
          <w:sz w:val="24"/>
          <w:szCs w:val="24"/>
          <w:lang w:val="en-US"/>
        </w:rPr>
        <w:t xml:space="preserve">his </w:t>
      </w:r>
      <w:r w:rsidR="00885240" w:rsidRPr="007F5A49">
        <w:rPr>
          <w:rFonts w:ascii="Book Antiqua" w:hAnsi="Book Antiqua" w:cs="Arial"/>
          <w:sz w:val="24"/>
          <w:szCs w:val="24"/>
          <w:lang w:val="en-US"/>
        </w:rPr>
        <w:t xml:space="preserve">review </w:t>
      </w:r>
      <w:r w:rsidR="00764B18" w:rsidRPr="007F5A49">
        <w:rPr>
          <w:rFonts w:ascii="Book Antiqua" w:hAnsi="Book Antiqua" w:cs="Arial"/>
          <w:sz w:val="24"/>
          <w:szCs w:val="24"/>
          <w:lang w:val="en-US"/>
        </w:rPr>
        <w:t xml:space="preserve">narrates </w:t>
      </w:r>
      <w:r w:rsidR="00885240" w:rsidRPr="007F5A49">
        <w:rPr>
          <w:rFonts w:ascii="Book Antiqua" w:hAnsi="Book Antiqua" w:cs="Arial"/>
          <w:sz w:val="24"/>
          <w:szCs w:val="24"/>
          <w:lang w:val="en-US"/>
        </w:rPr>
        <w:t xml:space="preserve">the </w:t>
      </w:r>
      <w:r w:rsidR="00720EA5" w:rsidRPr="007F5A49">
        <w:rPr>
          <w:rFonts w:ascii="Book Antiqua" w:hAnsi="Book Antiqua" w:cs="Arial"/>
          <w:sz w:val="24"/>
          <w:szCs w:val="24"/>
          <w:lang w:val="en-US"/>
        </w:rPr>
        <w:t xml:space="preserve">role </w:t>
      </w:r>
      <w:r w:rsidR="000B1D72" w:rsidRPr="007F5A49">
        <w:rPr>
          <w:rFonts w:ascii="Book Antiqua" w:hAnsi="Book Antiqua" w:cs="Arial"/>
          <w:sz w:val="24"/>
          <w:szCs w:val="24"/>
          <w:lang w:val="en-US"/>
        </w:rPr>
        <w:t xml:space="preserve">of iron in </w:t>
      </w:r>
      <w:r w:rsidR="00A52E74" w:rsidRPr="007F5A49">
        <w:rPr>
          <w:rFonts w:ascii="Book Antiqua" w:hAnsi="Book Antiqua" w:cs="Arial"/>
          <w:sz w:val="24"/>
          <w:szCs w:val="24"/>
          <w:lang w:val="en-US"/>
        </w:rPr>
        <w:t xml:space="preserve">liver </w:t>
      </w:r>
      <w:r w:rsidR="000B1D72" w:rsidRPr="007F5A49">
        <w:rPr>
          <w:rFonts w:ascii="Book Antiqua" w:hAnsi="Book Antiqua" w:cs="Arial"/>
          <w:sz w:val="24"/>
          <w:szCs w:val="24"/>
          <w:lang w:val="en-US"/>
        </w:rPr>
        <w:t>fibrosis</w:t>
      </w:r>
      <w:r w:rsidR="00550D29" w:rsidRPr="007F5A49">
        <w:rPr>
          <w:rFonts w:ascii="Book Antiqua" w:hAnsi="Book Antiqua" w:cs="Arial"/>
          <w:sz w:val="24"/>
          <w:szCs w:val="24"/>
          <w:lang w:val="en-US"/>
        </w:rPr>
        <w:t>. It</w:t>
      </w:r>
      <w:r w:rsidR="00720EA5" w:rsidRPr="007F5A49">
        <w:rPr>
          <w:rFonts w:ascii="Book Antiqua" w:hAnsi="Book Antiqua" w:cs="Arial"/>
          <w:sz w:val="24"/>
          <w:szCs w:val="24"/>
          <w:lang w:val="en-US"/>
        </w:rPr>
        <w:t xml:space="preserve"> </w:t>
      </w:r>
      <w:r w:rsidR="000D7CFE" w:rsidRPr="007F5A49">
        <w:rPr>
          <w:rFonts w:ascii="Book Antiqua" w:hAnsi="Book Antiqua" w:cs="Arial"/>
          <w:sz w:val="24"/>
          <w:szCs w:val="24"/>
          <w:lang w:val="en-US"/>
        </w:rPr>
        <w:t>examines</w:t>
      </w:r>
      <w:r w:rsidR="00B02F99" w:rsidRPr="007F5A49">
        <w:rPr>
          <w:rFonts w:ascii="Book Antiqua" w:hAnsi="Book Antiqua" w:cs="Arial"/>
          <w:sz w:val="24"/>
          <w:szCs w:val="24"/>
          <w:lang w:val="en-US"/>
        </w:rPr>
        <w:t xml:space="preserve"> </w:t>
      </w:r>
      <w:r w:rsidR="0028734F" w:rsidRPr="007F5A49">
        <w:rPr>
          <w:rFonts w:ascii="Book Antiqua" w:hAnsi="Book Antiqua" w:cs="Arial"/>
          <w:sz w:val="24"/>
          <w:szCs w:val="24"/>
          <w:lang w:val="en-US"/>
        </w:rPr>
        <w:t>the underlying mechanisms by which e</w:t>
      </w:r>
      <w:r w:rsidR="004A7E30" w:rsidRPr="007F5A49">
        <w:rPr>
          <w:rFonts w:ascii="Book Antiqua" w:hAnsi="Book Antiqua" w:cs="Arial"/>
          <w:sz w:val="24"/>
          <w:szCs w:val="24"/>
          <w:lang w:val="en-US"/>
        </w:rPr>
        <w:t xml:space="preserve">xcess </w:t>
      </w:r>
      <w:r w:rsidR="00B31F87" w:rsidRPr="007F5A49">
        <w:rPr>
          <w:rFonts w:ascii="Book Antiqua" w:hAnsi="Book Antiqua" w:cs="Arial"/>
          <w:sz w:val="24"/>
          <w:szCs w:val="24"/>
          <w:lang w:val="en-US"/>
        </w:rPr>
        <w:t xml:space="preserve">iron </w:t>
      </w:r>
      <w:r w:rsidR="005475F0" w:rsidRPr="007F5A49">
        <w:rPr>
          <w:rFonts w:ascii="Book Antiqua" w:hAnsi="Book Antiqua" w:cs="Arial"/>
          <w:sz w:val="24"/>
          <w:szCs w:val="24"/>
          <w:lang w:val="en-US"/>
        </w:rPr>
        <w:t xml:space="preserve">can </w:t>
      </w:r>
      <w:r w:rsidR="00453DB8" w:rsidRPr="007F5A49">
        <w:rPr>
          <w:rFonts w:ascii="Book Antiqua" w:hAnsi="Book Antiqua" w:cs="Arial"/>
          <w:sz w:val="24"/>
          <w:szCs w:val="24"/>
          <w:lang w:val="en-US"/>
        </w:rPr>
        <w:t>facilitate</w:t>
      </w:r>
      <w:r w:rsidR="005B1D71" w:rsidRPr="007F5A49">
        <w:rPr>
          <w:rFonts w:ascii="Book Antiqua" w:hAnsi="Book Antiqua" w:cs="Arial"/>
          <w:sz w:val="24"/>
          <w:szCs w:val="24"/>
          <w:lang w:val="en-US"/>
        </w:rPr>
        <w:t xml:space="preserve"> </w:t>
      </w:r>
      <w:r w:rsidR="00B31F87" w:rsidRPr="007F5A49">
        <w:rPr>
          <w:rFonts w:ascii="Book Antiqua" w:hAnsi="Book Antiqua" w:cs="Arial"/>
          <w:sz w:val="24"/>
          <w:szCs w:val="24"/>
          <w:lang w:val="en-US"/>
        </w:rPr>
        <w:t>fibro</w:t>
      </w:r>
      <w:r w:rsidR="005B1D71" w:rsidRPr="007F5A49">
        <w:rPr>
          <w:rFonts w:ascii="Book Antiqua" w:hAnsi="Book Antiqua" w:cs="Arial"/>
          <w:sz w:val="24"/>
          <w:szCs w:val="24"/>
          <w:lang w:val="en-US"/>
        </w:rPr>
        <w:t>tic</w:t>
      </w:r>
      <w:r w:rsidR="00B31F87" w:rsidRPr="007F5A49">
        <w:rPr>
          <w:rFonts w:ascii="Book Antiqua" w:hAnsi="Book Antiqua" w:cs="Arial"/>
          <w:sz w:val="24"/>
          <w:szCs w:val="24"/>
          <w:lang w:val="en-US"/>
        </w:rPr>
        <w:t xml:space="preserve"> </w:t>
      </w:r>
      <w:r w:rsidR="005B3723" w:rsidRPr="007F5A49">
        <w:rPr>
          <w:rFonts w:ascii="Book Antiqua" w:hAnsi="Book Antiqua" w:cs="Arial"/>
          <w:sz w:val="24"/>
          <w:szCs w:val="24"/>
          <w:lang w:val="en-US"/>
        </w:rPr>
        <w:t>responses</w:t>
      </w:r>
      <w:r w:rsidR="00B02F99" w:rsidRPr="007F5A49">
        <w:rPr>
          <w:rFonts w:ascii="Book Antiqua" w:hAnsi="Book Antiqua" w:cs="Arial"/>
          <w:sz w:val="24"/>
          <w:szCs w:val="24"/>
          <w:lang w:val="en-US"/>
        </w:rPr>
        <w:t xml:space="preserve">. </w:t>
      </w:r>
      <w:r w:rsidR="000D7CFE" w:rsidRPr="007F5A49">
        <w:rPr>
          <w:rFonts w:ascii="Book Antiqua" w:hAnsi="Book Antiqua" w:cs="Arial"/>
          <w:sz w:val="24"/>
          <w:szCs w:val="24"/>
          <w:lang w:val="en-US"/>
        </w:rPr>
        <w:t>It describes</w:t>
      </w:r>
      <w:r w:rsidR="005D7F48" w:rsidRPr="007F5A49">
        <w:rPr>
          <w:rFonts w:ascii="Book Antiqua" w:hAnsi="Book Antiqua" w:cs="Arial"/>
          <w:sz w:val="24"/>
          <w:szCs w:val="24"/>
          <w:lang w:val="en-US"/>
        </w:rPr>
        <w:t xml:space="preserve"> </w:t>
      </w:r>
      <w:r w:rsidR="00F041FE" w:rsidRPr="007F5A49">
        <w:rPr>
          <w:rFonts w:ascii="Book Antiqua" w:hAnsi="Book Antiqua" w:cs="Arial"/>
          <w:sz w:val="24"/>
          <w:szCs w:val="24"/>
          <w:lang w:val="en-US"/>
        </w:rPr>
        <w:t xml:space="preserve">the role of iron in </w:t>
      </w:r>
      <w:r w:rsidR="005D7F48" w:rsidRPr="007F5A49">
        <w:rPr>
          <w:rFonts w:ascii="Book Antiqua" w:eastAsia="Times New Roman" w:hAnsi="Book Antiqua" w:cs="Arial"/>
          <w:sz w:val="24"/>
          <w:szCs w:val="24"/>
          <w:lang w:val="en-US"/>
        </w:rPr>
        <w:t>various clinical pathologies</w:t>
      </w:r>
      <w:r w:rsidR="005D7F48" w:rsidRPr="007F5A49">
        <w:rPr>
          <w:rFonts w:ascii="Book Antiqua" w:hAnsi="Book Antiqua" w:cs="Arial"/>
          <w:b/>
          <w:sz w:val="24"/>
          <w:szCs w:val="24"/>
          <w:lang w:val="en-US"/>
        </w:rPr>
        <w:t xml:space="preserve"> </w:t>
      </w:r>
      <w:r w:rsidR="00F041FE" w:rsidRPr="007F5A49">
        <w:rPr>
          <w:rFonts w:ascii="Book Antiqua" w:hAnsi="Book Antiqua" w:cs="Arial"/>
          <w:sz w:val="24"/>
          <w:szCs w:val="24"/>
          <w:lang w:val="en-US"/>
        </w:rPr>
        <w:t xml:space="preserve">and lastly, </w:t>
      </w:r>
      <w:r w:rsidR="005418B8" w:rsidRPr="007F5A49">
        <w:rPr>
          <w:rFonts w:ascii="Book Antiqua" w:hAnsi="Book Antiqua" w:cs="Arial"/>
          <w:sz w:val="24"/>
          <w:szCs w:val="24"/>
          <w:lang w:val="en-US"/>
        </w:rPr>
        <w:t>highlights the</w:t>
      </w:r>
      <w:r w:rsidR="00E1510C" w:rsidRPr="007F5A49">
        <w:rPr>
          <w:rFonts w:ascii="Book Antiqua" w:hAnsi="Book Antiqua" w:cs="Arial"/>
          <w:sz w:val="24"/>
          <w:szCs w:val="24"/>
          <w:lang w:val="en-US"/>
        </w:rPr>
        <w:t xml:space="preserve"> significance </w:t>
      </w:r>
      <w:r w:rsidR="00CD1453" w:rsidRPr="007F5A49">
        <w:rPr>
          <w:rFonts w:ascii="Book Antiqua" w:hAnsi="Book Antiqua" w:cs="Arial"/>
          <w:sz w:val="24"/>
          <w:szCs w:val="24"/>
          <w:lang w:val="en-US"/>
        </w:rPr>
        <w:t xml:space="preserve">and potential </w:t>
      </w:r>
      <w:r w:rsidR="00E1510C" w:rsidRPr="007F5A49">
        <w:rPr>
          <w:rFonts w:ascii="Book Antiqua" w:hAnsi="Book Antiqua" w:cs="Arial"/>
          <w:sz w:val="24"/>
          <w:szCs w:val="24"/>
          <w:lang w:val="en-US"/>
        </w:rPr>
        <w:t>of iron-related proteins in the diagnosis and therapeutics of liver fibrosis</w:t>
      </w:r>
      <w:r w:rsidR="00F15579" w:rsidRPr="007F5A49">
        <w:rPr>
          <w:rFonts w:ascii="Book Antiqua" w:hAnsi="Book Antiqua" w:cs="Arial"/>
          <w:sz w:val="24"/>
          <w:szCs w:val="24"/>
          <w:lang w:val="en-US"/>
        </w:rPr>
        <w:t xml:space="preserve">. </w:t>
      </w:r>
    </w:p>
    <w:p w14:paraId="191AA4E0" w14:textId="5CBE8568" w:rsidR="00E009D2" w:rsidRPr="007F5A49" w:rsidRDefault="00E009D2" w:rsidP="007F5A49">
      <w:pPr>
        <w:adjustRightInd w:val="0"/>
        <w:snapToGrid w:val="0"/>
        <w:spacing w:after="0" w:line="360" w:lineRule="auto"/>
        <w:jc w:val="both"/>
        <w:rPr>
          <w:rFonts w:ascii="Book Antiqua" w:hAnsi="Book Antiqua" w:cs="Arial"/>
          <w:b/>
          <w:sz w:val="24"/>
          <w:szCs w:val="24"/>
          <w:lang w:val="en-US"/>
        </w:rPr>
      </w:pPr>
    </w:p>
    <w:p w14:paraId="0B38FBDC" w14:textId="34C0CB42" w:rsidR="00C6171F" w:rsidRPr="007F5A49" w:rsidRDefault="00A563E6" w:rsidP="008E1EBB">
      <w:pPr>
        <w:adjustRightInd w:val="0"/>
        <w:snapToGrid w:val="0"/>
        <w:spacing w:after="0" w:line="360" w:lineRule="auto"/>
        <w:jc w:val="both"/>
        <w:outlineLvl w:val="0"/>
        <w:rPr>
          <w:rFonts w:ascii="Book Antiqua" w:hAnsi="Book Antiqua" w:cs="Arial"/>
          <w:sz w:val="24"/>
          <w:szCs w:val="24"/>
          <w:lang w:val="en-US"/>
        </w:rPr>
      </w:pPr>
      <w:r w:rsidRPr="007F5A49">
        <w:rPr>
          <w:rFonts w:ascii="Book Antiqua" w:hAnsi="Book Antiqua" w:cs="Arial"/>
          <w:b/>
          <w:sz w:val="24"/>
          <w:szCs w:val="24"/>
          <w:lang w:val="en-US"/>
        </w:rPr>
        <w:t>K</w:t>
      </w:r>
      <w:r w:rsidR="009700E6" w:rsidRPr="007F5A49">
        <w:rPr>
          <w:rFonts w:ascii="Book Antiqua" w:hAnsi="Book Antiqua" w:cs="Arial"/>
          <w:b/>
          <w:sz w:val="24"/>
          <w:szCs w:val="24"/>
          <w:lang w:val="en-US"/>
        </w:rPr>
        <w:t>ey words</w:t>
      </w:r>
      <w:r w:rsidRPr="007F5A49">
        <w:rPr>
          <w:rFonts w:ascii="Book Antiqua" w:hAnsi="Book Antiqua" w:cs="Arial"/>
          <w:b/>
          <w:sz w:val="24"/>
          <w:szCs w:val="24"/>
          <w:lang w:val="en-US"/>
        </w:rPr>
        <w:t xml:space="preserve">: </w:t>
      </w:r>
      <w:r w:rsidR="009C6878" w:rsidRPr="007F5A49">
        <w:rPr>
          <w:rFonts w:ascii="Book Antiqua" w:hAnsi="Book Antiqua" w:cs="Arial"/>
          <w:sz w:val="24"/>
          <w:szCs w:val="24"/>
          <w:lang w:val="en-US"/>
        </w:rPr>
        <w:t>Iron; Liver pathologies; Liver fibrosis; H</w:t>
      </w:r>
      <w:r w:rsidR="006270F6" w:rsidRPr="007F5A49">
        <w:rPr>
          <w:rFonts w:ascii="Book Antiqua" w:hAnsi="Book Antiqua" w:cs="Arial"/>
          <w:sz w:val="24"/>
          <w:szCs w:val="24"/>
          <w:lang w:val="en-US"/>
        </w:rPr>
        <w:t>epatic stellate cells</w:t>
      </w:r>
      <w:r w:rsidR="0029004F" w:rsidRPr="007F5A49">
        <w:rPr>
          <w:rFonts w:ascii="Book Antiqua" w:hAnsi="Book Antiqua" w:cs="Arial"/>
          <w:sz w:val="24"/>
          <w:szCs w:val="24"/>
          <w:lang w:val="en-US"/>
        </w:rPr>
        <w:t>; C</w:t>
      </w:r>
      <w:r w:rsidR="009C6878" w:rsidRPr="007F5A49">
        <w:rPr>
          <w:rFonts w:ascii="Book Antiqua" w:hAnsi="Book Antiqua" w:cs="Arial"/>
          <w:sz w:val="24"/>
          <w:szCs w:val="24"/>
          <w:lang w:val="en-US"/>
        </w:rPr>
        <w:t>irrhosis</w:t>
      </w:r>
    </w:p>
    <w:p w14:paraId="1CB05FB8" w14:textId="77777777" w:rsidR="00C960E0" w:rsidRPr="009700E6" w:rsidRDefault="00C960E0" w:rsidP="009700E6">
      <w:pPr>
        <w:adjustRightInd w:val="0"/>
        <w:snapToGrid w:val="0"/>
        <w:spacing w:after="0" w:line="360" w:lineRule="auto"/>
        <w:jc w:val="both"/>
        <w:rPr>
          <w:rFonts w:ascii="Book Antiqua" w:hAnsi="Book Antiqua" w:cs="Arial"/>
          <w:b/>
          <w:sz w:val="24"/>
          <w:szCs w:val="24"/>
          <w:lang w:val="en-US"/>
        </w:rPr>
      </w:pPr>
    </w:p>
    <w:p w14:paraId="0A1B650E" w14:textId="1FA1107D" w:rsidR="009700E6" w:rsidRPr="009700E6" w:rsidRDefault="009700E6" w:rsidP="009700E6">
      <w:pPr>
        <w:adjustRightInd w:val="0"/>
        <w:snapToGrid w:val="0"/>
        <w:spacing w:after="0" w:line="360" w:lineRule="auto"/>
        <w:jc w:val="both"/>
        <w:rPr>
          <w:rFonts w:ascii="Book Antiqua" w:hAnsi="Book Antiqua" w:cs="Arial"/>
          <w:b/>
          <w:sz w:val="24"/>
          <w:szCs w:val="24"/>
          <w:lang w:val="en-US" w:eastAsia="zh-CN"/>
        </w:rPr>
      </w:pPr>
      <w:r w:rsidRPr="009700E6">
        <w:rPr>
          <w:rFonts w:ascii="Book Antiqua" w:hAnsi="Book Antiqua"/>
          <w:b/>
          <w:sz w:val="24"/>
          <w:szCs w:val="24"/>
        </w:rPr>
        <w:t>© The Author(s) 201</w:t>
      </w:r>
      <w:r w:rsidRPr="009700E6">
        <w:rPr>
          <w:rFonts w:ascii="Book Antiqua" w:hAnsi="Book Antiqua" w:hint="eastAsia"/>
          <w:b/>
          <w:sz w:val="24"/>
          <w:szCs w:val="24"/>
        </w:rPr>
        <w:t>9</w:t>
      </w:r>
      <w:r w:rsidRPr="009700E6">
        <w:rPr>
          <w:rFonts w:ascii="Book Antiqua" w:hAnsi="Book Antiqua"/>
          <w:b/>
          <w:sz w:val="24"/>
          <w:szCs w:val="24"/>
        </w:rPr>
        <w:t xml:space="preserve">. </w:t>
      </w:r>
      <w:r w:rsidRPr="009700E6">
        <w:rPr>
          <w:rFonts w:ascii="Book Antiqua" w:hAnsi="Book Antiqua"/>
          <w:sz w:val="24"/>
          <w:szCs w:val="24"/>
        </w:rPr>
        <w:t xml:space="preserve">Published by </w:t>
      </w:r>
      <w:proofErr w:type="spellStart"/>
      <w:r w:rsidRPr="009700E6">
        <w:rPr>
          <w:rFonts w:ascii="Book Antiqua" w:hAnsi="Book Antiqua"/>
          <w:sz w:val="24"/>
          <w:szCs w:val="24"/>
        </w:rPr>
        <w:t>Baishideng</w:t>
      </w:r>
      <w:proofErr w:type="spellEnd"/>
      <w:r w:rsidRPr="009700E6">
        <w:rPr>
          <w:rFonts w:ascii="Book Antiqua" w:hAnsi="Book Antiqua"/>
          <w:sz w:val="24"/>
          <w:szCs w:val="24"/>
        </w:rPr>
        <w:t xml:space="preserve"> Publishing Group Inc. All rights reserved</w:t>
      </w:r>
      <w:r w:rsidR="00183254">
        <w:rPr>
          <w:rFonts w:ascii="Book Antiqua" w:hAnsi="Book Antiqua" w:hint="eastAsia"/>
          <w:sz w:val="24"/>
          <w:szCs w:val="24"/>
          <w:lang w:eastAsia="zh-CN"/>
        </w:rPr>
        <w:t>.</w:t>
      </w:r>
    </w:p>
    <w:p w14:paraId="4508DBB1" w14:textId="77777777" w:rsidR="000A15B1" w:rsidRPr="009700E6" w:rsidRDefault="000A15B1" w:rsidP="009700E6">
      <w:pPr>
        <w:adjustRightInd w:val="0"/>
        <w:snapToGrid w:val="0"/>
        <w:spacing w:after="0" w:line="360" w:lineRule="auto"/>
        <w:jc w:val="both"/>
        <w:rPr>
          <w:rFonts w:ascii="Book Antiqua" w:hAnsi="Book Antiqua" w:cs="Arial"/>
          <w:b/>
          <w:sz w:val="24"/>
          <w:szCs w:val="24"/>
          <w:lang w:val="en-US"/>
        </w:rPr>
      </w:pPr>
    </w:p>
    <w:p w14:paraId="25633481" w14:textId="1B78C13E" w:rsidR="004F548D" w:rsidRPr="009700E6" w:rsidRDefault="009700E6" w:rsidP="007F5A49">
      <w:pPr>
        <w:adjustRightInd w:val="0"/>
        <w:snapToGrid w:val="0"/>
        <w:spacing w:after="0" w:line="360" w:lineRule="auto"/>
        <w:jc w:val="both"/>
        <w:rPr>
          <w:rFonts w:ascii="Book Antiqua" w:hAnsi="Book Antiqua" w:cs="Arial"/>
          <w:b/>
          <w:sz w:val="24"/>
          <w:szCs w:val="24"/>
          <w:lang w:val="en-US"/>
        </w:rPr>
      </w:pPr>
      <w:r w:rsidRPr="009700E6">
        <w:rPr>
          <w:rFonts w:ascii="Book Antiqua" w:hAnsi="Book Antiqua" w:cs="Arial"/>
          <w:b/>
          <w:sz w:val="24"/>
          <w:szCs w:val="24"/>
          <w:lang w:val="en-US"/>
        </w:rPr>
        <w:t>Core tip:</w:t>
      </w:r>
      <w:r>
        <w:rPr>
          <w:rFonts w:ascii="Book Antiqua" w:hAnsi="Book Antiqua" w:cs="Arial"/>
          <w:b/>
          <w:sz w:val="24"/>
          <w:szCs w:val="24"/>
          <w:lang w:val="en-US"/>
        </w:rPr>
        <w:t xml:space="preserve"> </w:t>
      </w:r>
      <w:r w:rsidR="001D5C5D" w:rsidRPr="007F5A49">
        <w:rPr>
          <w:rFonts w:ascii="Book Antiqua" w:hAnsi="Book Antiqua" w:cs="Arial"/>
          <w:sz w:val="24"/>
          <w:szCs w:val="24"/>
          <w:lang w:val="en-US"/>
        </w:rPr>
        <w:t>Excess iron is observed in several liver pathologies</w:t>
      </w:r>
      <w:r w:rsidR="00580A37" w:rsidRPr="007F5A49">
        <w:rPr>
          <w:rFonts w:ascii="Book Antiqua" w:hAnsi="Book Antiqua" w:cs="Arial"/>
          <w:sz w:val="24"/>
          <w:szCs w:val="24"/>
          <w:lang w:val="en-US"/>
        </w:rPr>
        <w:t>, where i</w:t>
      </w:r>
      <w:r w:rsidR="00BC6FDD" w:rsidRPr="007F5A49">
        <w:rPr>
          <w:rFonts w:ascii="Book Antiqua" w:hAnsi="Book Antiqua" w:cs="Arial"/>
          <w:sz w:val="24"/>
          <w:szCs w:val="24"/>
          <w:lang w:val="en-US"/>
        </w:rPr>
        <w:t xml:space="preserve">t </w:t>
      </w:r>
      <w:r w:rsidR="001D5C5D" w:rsidRPr="007F5A49">
        <w:rPr>
          <w:rFonts w:ascii="Book Antiqua" w:hAnsi="Book Antiqua" w:cs="Arial"/>
          <w:sz w:val="24"/>
          <w:szCs w:val="24"/>
          <w:lang w:val="en-US"/>
        </w:rPr>
        <w:t xml:space="preserve">can accelerate the progression of liver fibrosis to cirrhosis and hepatocellular carcinoma, regardless </w:t>
      </w:r>
      <w:r w:rsidR="001D5C5D" w:rsidRPr="007F5A49">
        <w:rPr>
          <w:rFonts w:ascii="Book Antiqua" w:hAnsi="Book Antiqua" w:cs="Arial"/>
          <w:sz w:val="24"/>
          <w:szCs w:val="24"/>
          <w:lang w:val="en-US"/>
        </w:rPr>
        <w:lastRenderedPageBreak/>
        <w:t xml:space="preserve">of disease </w:t>
      </w:r>
      <w:proofErr w:type="spellStart"/>
      <w:r w:rsidR="001D5C5D" w:rsidRPr="007F5A49">
        <w:rPr>
          <w:rFonts w:ascii="Book Antiqua" w:hAnsi="Book Antiqua" w:cs="Arial"/>
          <w:sz w:val="24"/>
          <w:szCs w:val="24"/>
          <w:lang w:val="en-US"/>
        </w:rPr>
        <w:t>aetiology</w:t>
      </w:r>
      <w:proofErr w:type="spellEnd"/>
      <w:r w:rsidR="001D5C5D" w:rsidRPr="007F5A49">
        <w:rPr>
          <w:rFonts w:ascii="Book Antiqua" w:hAnsi="Book Antiqua" w:cs="Arial"/>
          <w:sz w:val="24"/>
          <w:szCs w:val="24"/>
          <w:lang w:val="en-US"/>
        </w:rPr>
        <w:t xml:space="preserve">. </w:t>
      </w:r>
      <w:r w:rsidR="004F548D" w:rsidRPr="007F5A49">
        <w:rPr>
          <w:rFonts w:ascii="Book Antiqua" w:eastAsia="Times New Roman" w:hAnsi="Book Antiqua" w:cs="Arial"/>
          <w:sz w:val="24"/>
          <w:szCs w:val="24"/>
          <w:lang w:val="en-US"/>
        </w:rPr>
        <w:t xml:space="preserve">This review narrates the role of excess iron in liver fibrosis. It examines the mechanisms by which iron enhances </w:t>
      </w:r>
      <w:proofErr w:type="spellStart"/>
      <w:r w:rsidR="004F548D" w:rsidRPr="007F5A49">
        <w:rPr>
          <w:rFonts w:ascii="Book Antiqua" w:eastAsia="Times New Roman" w:hAnsi="Book Antiqua" w:cs="Arial"/>
          <w:sz w:val="24"/>
          <w:szCs w:val="24"/>
          <w:lang w:val="en-US"/>
        </w:rPr>
        <w:t>fibrogenic</w:t>
      </w:r>
      <w:proofErr w:type="spellEnd"/>
      <w:r w:rsidR="004F548D" w:rsidRPr="007F5A49">
        <w:rPr>
          <w:rFonts w:ascii="Book Antiqua" w:eastAsia="Times New Roman" w:hAnsi="Book Antiqua" w:cs="Arial"/>
          <w:sz w:val="24"/>
          <w:szCs w:val="24"/>
          <w:lang w:val="en-US"/>
        </w:rPr>
        <w:t xml:space="preserve"> responses and describes various </w:t>
      </w:r>
      <w:r w:rsidR="00BC6FDD" w:rsidRPr="007F5A49">
        <w:rPr>
          <w:rFonts w:ascii="Book Antiqua" w:eastAsia="Times New Roman" w:hAnsi="Book Antiqua" w:cs="Arial"/>
          <w:sz w:val="24"/>
          <w:szCs w:val="24"/>
          <w:lang w:val="en-US"/>
        </w:rPr>
        <w:t>iron-related clinical pathologies. Furthermore</w:t>
      </w:r>
      <w:r w:rsidR="004F548D" w:rsidRPr="007F5A49">
        <w:rPr>
          <w:rFonts w:ascii="Book Antiqua" w:eastAsia="Times New Roman" w:hAnsi="Book Antiqua" w:cs="Arial"/>
          <w:sz w:val="24"/>
          <w:szCs w:val="24"/>
          <w:lang w:val="en-US"/>
        </w:rPr>
        <w:t>, it evaluates the significance of iron and iron-related proteins in the diagnosis and therapeutics of liver fibrosis. The review is unique in that it includes both, cellular mechanisms and clinical aspects of liver fibrosis pertaining to iron. This makes it distinct from previous published reviews.</w:t>
      </w:r>
    </w:p>
    <w:p w14:paraId="7C38CDBA" w14:textId="77777777" w:rsidR="004F548D" w:rsidRPr="007F5A49" w:rsidRDefault="004F548D" w:rsidP="007F5A49">
      <w:pPr>
        <w:adjustRightInd w:val="0"/>
        <w:snapToGrid w:val="0"/>
        <w:spacing w:after="0" w:line="360" w:lineRule="auto"/>
        <w:jc w:val="both"/>
        <w:rPr>
          <w:rFonts w:ascii="Book Antiqua" w:hAnsi="Book Antiqua" w:cs="Arial"/>
          <w:sz w:val="24"/>
          <w:szCs w:val="24"/>
          <w:lang w:val="en-US"/>
        </w:rPr>
      </w:pPr>
    </w:p>
    <w:p w14:paraId="09707286" w14:textId="3DE72D04" w:rsidR="004E35C6" w:rsidRPr="009700E6" w:rsidRDefault="004E35C6" w:rsidP="007F5A49">
      <w:pPr>
        <w:adjustRightInd w:val="0"/>
        <w:snapToGrid w:val="0"/>
        <w:spacing w:after="0" w:line="360" w:lineRule="auto"/>
        <w:jc w:val="both"/>
        <w:rPr>
          <w:rFonts w:ascii="Book Antiqua" w:hAnsi="Book Antiqua" w:cs="Arial"/>
          <w:sz w:val="24"/>
          <w:szCs w:val="24"/>
          <w:lang w:val="en-US"/>
        </w:rPr>
      </w:pPr>
      <w:r w:rsidRPr="007F5A49">
        <w:rPr>
          <w:rFonts w:ascii="Book Antiqua" w:hAnsi="Book Antiqua" w:cs="Arial"/>
          <w:sz w:val="24"/>
          <w:szCs w:val="24"/>
          <w:lang w:val="en-US"/>
        </w:rPr>
        <w:t>Mehta</w:t>
      </w:r>
      <w:r w:rsidR="009700E6">
        <w:rPr>
          <w:rFonts w:ascii="Book Antiqua" w:hAnsi="Book Antiqua" w:cs="Arial"/>
          <w:sz w:val="24"/>
          <w:szCs w:val="24"/>
          <w:lang w:val="en-US"/>
        </w:rPr>
        <w:t xml:space="preserve"> KJ</w:t>
      </w:r>
      <w:r w:rsidR="0068722A" w:rsidRPr="007F5A49">
        <w:rPr>
          <w:rFonts w:ascii="Book Antiqua" w:hAnsi="Book Antiqua" w:cs="Arial"/>
          <w:sz w:val="24"/>
          <w:szCs w:val="24"/>
          <w:lang w:val="en-US"/>
        </w:rPr>
        <w:t xml:space="preserve">, </w:t>
      </w:r>
      <w:proofErr w:type="spellStart"/>
      <w:r w:rsidRPr="007F5A49">
        <w:rPr>
          <w:rFonts w:ascii="Book Antiqua" w:hAnsi="Book Antiqua" w:cs="Arial"/>
          <w:sz w:val="24"/>
          <w:szCs w:val="24"/>
          <w:lang w:val="en-US"/>
        </w:rPr>
        <w:t>Farnaud</w:t>
      </w:r>
      <w:proofErr w:type="spellEnd"/>
      <w:r w:rsidRPr="007F5A49">
        <w:rPr>
          <w:rFonts w:ascii="Book Antiqua" w:hAnsi="Book Antiqua" w:cs="Arial"/>
          <w:sz w:val="24"/>
          <w:szCs w:val="24"/>
          <w:lang w:val="en-US"/>
        </w:rPr>
        <w:t xml:space="preserve"> </w:t>
      </w:r>
      <w:r w:rsidR="0068722A" w:rsidRPr="007F5A49">
        <w:rPr>
          <w:rFonts w:ascii="Book Antiqua" w:hAnsi="Book Antiqua" w:cs="Arial"/>
          <w:sz w:val="24"/>
          <w:szCs w:val="24"/>
          <w:lang w:val="en-US"/>
        </w:rPr>
        <w:t>S</w:t>
      </w:r>
      <w:r w:rsidR="009700E6">
        <w:rPr>
          <w:rFonts w:ascii="Book Antiqua" w:hAnsi="Book Antiqua" w:cs="Arial"/>
          <w:sz w:val="24"/>
          <w:szCs w:val="24"/>
          <w:lang w:val="en-US"/>
        </w:rPr>
        <w:t>J</w:t>
      </w:r>
      <w:r w:rsidR="0068722A" w:rsidRPr="007F5A49">
        <w:rPr>
          <w:rFonts w:ascii="Book Antiqua" w:hAnsi="Book Antiqua" w:cs="Arial"/>
          <w:sz w:val="24"/>
          <w:szCs w:val="24"/>
          <w:lang w:val="en-US"/>
        </w:rPr>
        <w:t xml:space="preserve">, </w:t>
      </w:r>
      <w:r w:rsidRPr="007F5A49">
        <w:rPr>
          <w:rFonts w:ascii="Book Antiqua" w:hAnsi="Book Antiqua" w:cs="Arial"/>
          <w:sz w:val="24"/>
          <w:szCs w:val="24"/>
          <w:lang w:val="en-US"/>
        </w:rPr>
        <w:t>Sharp</w:t>
      </w:r>
      <w:r w:rsidRPr="007F5A49">
        <w:rPr>
          <w:rFonts w:ascii="Book Antiqua" w:hAnsi="Book Antiqua" w:cs="Arial"/>
          <w:b/>
          <w:sz w:val="24"/>
          <w:szCs w:val="24"/>
          <w:lang w:val="en-US"/>
        </w:rPr>
        <w:t xml:space="preserve"> </w:t>
      </w:r>
      <w:r w:rsidR="0068722A" w:rsidRPr="007F5A49">
        <w:rPr>
          <w:rFonts w:ascii="Book Antiqua" w:hAnsi="Book Antiqua" w:cs="Arial"/>
          <w:sz w:val="24"/>
          <w:szCs w:val="24"/>
          <w:lang w:val="en-US"/>
        </w:rPr>
        <w:t>P</w:t>
      </w:r>
      <w:r w:rsidR="009700E6">
        <w:rPr>
          <w:rFonts w:ascii="Book Antiqua" w:hAnsi="Book Antiqua" w:cs="Arial"/>
          <w:sz w:val="24"/>
          <w:szCs w:val="24"/>
          <w:lang w:val="en-US"/>
        </w:rPr>
        <w:t>A</w:t>
      </w:r>
      <w:r w:rsidR="0068722A" w:rsidRPr="007F5A49">
        <w:rPr>
          <w:rFonts w:ascii="Book Antiqua" w:hAnsi="Book Antiqua" w:cs="Arial"/>
          <w:sz w:val="24"/>
          <w:szCs w:val="24"/>
          <w:lang w:val="en-US"/>
        </w:rPr>
        <w:t>.</w:t>
      </w:r>
      <w:r w:rsidR="0068722A" w:rsidRPr="007F5A49">
        <w:rPr>
          <w:rFonts w:ascii="Book Antiqua" w:hAnsi="Book Antiqua" w:cs="Arial"/>
          <w:b/>
          <w:sz w:val="24"/>
          <w:szCs w:val="24"/>
          <w:lang w:val="en-US"/>
        </w:rPr>
        <w:t xml:space="preserve"> </w:t>
      </w:r>
      <w:r w:rsidR="009700E6" w:rsidRPr="009700E6">
        <w:rPr>
          <w:rFonts w:ascii="Book Antiqua" w:hAnsi="Book Antiqua" w:cs="Arial"/>
          <w:sz w:val="24"/>
          <w:szCs w:val="24"/>
          <w:lang w:val="en-US"/>
        </w:rPr>
        <w:t>Iron and liver fibrosis: Mechanistic and clinical aspects</w:t>
      </w:r>
      <w:r w:rsidR="009700E6">
        <w:rPr>
          <w:rFonts w:ascii="Book Antiqua" w:hAnsi="Book Antiqua" w:cs="Arial"/>
          <w:sz w:val="24"/>
          <w:szCs w:val="24"/>
          <w:lang w:val="en-US"/>
        </w:rPr>
        <w:t>.</w:t>
      </w:r>
      <w:r w:rsidRPr="007F5A49">
        <w:rPr>
          <w:rFonts w:ascii="Book Antiqua" w:hAnsi="Book Antiqua" w:cs="Arial"/>
          <w:sz w:val="24"/>
          <w:szCs w:val="24"/>
          <w:lang w:val="en-US"/>
        </w:rPr>
        <w:t xml:space="preserve"> </w:t>
      </w:r>
      <w:bookmarkStart w:id="40" w:name="OLE_LINK1105"/>
      <w:bookmarkStart w:id="41" w:name="OLE_LINK1107"/>
      <w:bookmarkStart w:id="42" w:name="OLE_LINK380"/>
      <w:r w:rsidR="009700E6" w:rsidRPr="009700E6">
        <w:rPr>
          <w:rFonts w:ascii="Book Antiqua" w:hAnsi="Book Antiqua"/>
          <w:i/>
          <w:color w:val="000000"/>
          <w:sz w:val="24"/>
          <w:szCs w:val="24"/>
        </w:rPr>
        <w:t xml:space="preserve">World J Gastroenterol </w:t>
      </w:r>
      <w:r w:rsidR="009700E6" w:rsidRPr="009700E6">
        <w:rPr>
          <w:rFonts w:ascii="Book Antiqua" w:hAnsi="Book Antiqua"/>
          <w:color w:val="000000"/>
          <w:sz w:val="24"/>
          <w:szCs w:val="24"/>
        </w:rPr>
        <w:t>2019; In press</w:t>
      </w:r>
      <w:bookmarkEnd w:id="40"/>
      <w:bookmarkEnd w:id="41"/>
      <w:bookmarkEnd w:id="42"/>
    </w:p>
    <w:p w14:paraId="6F4E750A" w14:textId="77777777" w:rsidR="005B691F" w:rsidRDefault="005B691F">
      <w:pPr>
        <w:rPr>
          <w:rFonts w:ascii="Book Antiqua" w:hAnsi="Book Antiqua" w:cs="Arial"/>
          <w:sz w:val="24"/>
          <w:szCs w:val="24"/>
          <w:lang w:val="en-US"/>
        </w:rPr>
      </w:pPr>
      <w:r>
        <w:rPr>
          <w:rFonts w:ascii="Book Antiqua" w:hAnsi="Book Antiqua" w:cs="Arial"/>
          <w:sz w:val="24"/>
          <w:szCs w:val="24"/>
          <w:lang w:val="en-US"/>
        </w:rPr>
        <w:br w:type="page"/>
      </w:r>
    </w:p>
    <w:p w14:paraId="44920CF5" w14:textId="19D72FB8" w:rsidR="007453CB" w:rsidRPr="007F5A49" w:rsidRDefault="00CF46AE" w:rsidP="008E1EBB">
      <w:pPr>
        <w:adjustRightInd w:val="0"/>
        <w:snapToGrid w:val="0"/>
        <w:spacing w:after="0" w:line="360" w:lineRule="auto"/>
        <w:jc w:val="both"/>
        <w:outlineLvl w:val="0"/>
        <w:rPr>
          <w:rFonts w:ascii="Book Antiqua" w:hAnsi="Book Antiqua" w:cs="Arial"/>
          <w:b/>
          <w:sz w:val="24"/>
          <w:szCs w:val="24"/>
          <w:lang w:val="en-US"/>
        </w:rPr>
      </w:pPr>
      <w:r w:rsidRPr="007F5A49">
        <w:rPr>
          <w:rFonts w:ascii="Book Antiqua" w:hAnsi="Book Antiqua" w:cs="Arial"/>
          <w:b/>
          <w:sz w:val="24"/>
          <w:szCs w:val="24"/>
          <w:lang w:val="en-US"/>
        </w:rPr>
        <w:lastRenderedPageBreak/>
        <w:t>INTRODUCTION</w:t>
      </w:r>
    </w:p>
    <w:p w14:paraId="3207EA12" w14:textId="0AAC71FC" w:rsidR="00613973" w:rsidRPr="007F5A49" w:rsidRDefault="00661597" w:rsidP="007F5A49">
      <w:pPr>
        <w:adjustRightInd w:val="0"/>
        <w:snapToGrid w:val="0"/>
        <w:spacing w:after="0" w:line="360" w:lineRule="auto"/>
        <w:jc w:val="both"/>
        <w:rPr>
          <w:rFonts w:ascii="Book Antiqua" w:hAnsi="Book Antiqua" w:cs="Arial"/>
          <w:bCs/>
          <w:sz w:val="24"/>
          <w:szCs w:val="24"/>
          <w:lang w:val="en-US"/>
        </w:rPr>
      </w:pPr>
      <w:r w:rsidRPr="007F5A49">
        <w:rPr>
          <w:rFonts w:ascii="Book Antiqua" w:hAnsi="Book Antiqua" w:cs="Arial"/>
          <w:sz w:val="24"/>
          <w:szCs w:val="24"/>
          <w:lang w:val="en-US"/>
        </w:rPr>
        <w:t xml:space="preserve">Liver fibrosis </w:t>
      </w:r>
      <w:r w:rsidR="000D6FC6" w:rsidRPr="007F5A49">
        <w:rPr>
          <w:rFonts w:ascii="Book Antiqua" w:hAnsi="Book Antiqua" w:cs="Arial"/>
          <w:sz w:val="24"/>
          <w:szCs w:val="24"/>
          <w:lang w:val="en-US"/>
        </w:rPr>
        <w:t xml:space="preserve">is </w:t>
      </w:r>
      <w:r w:rsidRPr="007F5A49">
        <w:rPr>
          <w:rFonts w:ascii="Book Antiqua" w:hAnsi="Book Antiqua" w:cs="Arial"/>
          <w:sz w:val="24"/>
          <w:szCs w:val="24"/>
          <w:lang w:val="en-US"/>
        </w:rPr>
        <w:t xml:space="preserve">a pathological </w:t>
      </w:r>
      <w:r w:rsidR="00740A6B" w:rsidRPr="007F5A49">
        <w:rPr>
          <w:rFonts w:ascii="Book Antiqua" w:hAnsi="Book Antiqua" w:cs="Arial"/>
          <w:sz w:val="24"/>
          <w:szCs w:val="24"/>
          <w:lang w:val="en-US"/>
        </w:rPr>
        <w:t>state</w:t>
      </w:r>
      <w:r w:rsidR="005C665A" w:rsidRPr="007F5A49">
        <w:rPr>
          <w:rFonts w:ascii="Book Antiqua" w:hAnsi="Book Antiqua" w:cs="Arial"/>
          <w:sz w:val="24"/>
          <w:szCs w:val="24"/>
          <w:lang w:val="en-US"/>
        </w:rPr>
        <w:t xml:space="preserve">, which is </w:t>
      </w:r>
      <w:r w:rsidRPr="007F5A49">
        <w:rPr>
          <w:rFonts w:ascii="Book Antiqua" w:hAnsi="Book Antiqua" w:cs="Arial"/>
          <w:sz w:val="24"/>
          <w:szCs w:val="24"/>
          <w:lang w:val="en-US"/>
        </w:rPr>
        <w:t xml:space="preserve">attained due to </w:t>
      </w:r>
      <w:r w:rsidR="005C665A" w:rsidRPr="007F5A49">
        <w:rPr>
          <w:rFonts w:ascii="Book Antiqua" w:hAnsi="Book Antiqua" w:cs="Arial"/>
          <w:sz w:val="24"/>
          <w:szCs w:val="24"/>
          <w:lang w:val="en-US"/>
        </w:rPr>
        <w:t xml:space="preserve">an </w:t>
      </w:r>
      <w:r w:rsidR="005C665A" w:rsidRPr="007F5A49">
        <w:rPr>
          <w:rFonts w:ascii="Book Antiqua" w:hAnsi="Book Antiqua" w:cs="Arial"/>
          <w:bCs/>
          <w:sz w:val="24"/>
          <w:szCs w:val="24"/>
          <w:lang w:val="en-US"/>
        </w:rPr>
        <w:t xml:space="preserve">overactive wound healing </w:t>
      </w:r>
      <w:r w:rsidR="00C05C1B" w:rsidRPr="007F5A49">
        <w:rPr>
          <w:rFonts w:ascii="Book Antiqua" w:hAnsi="Book Antiqua" w:cs="Arial"/>
          <w:bCs/>
          <w:sz w:val="24"/>
          <w:szCs w:val="24"/>
          <w:lang w:val="en-US"/>
        </w:rPr>
        <w:t xml:space="preserve">response to </w:t>
      </w:r>
      <w:r w:rsidR="0060727D" w:rsidRPr="007F5A49">
        <w:rPr>
          <w:rFonts w:ascii="Book Antiqua" w:hAnsi="Book Antiqua" w:cs="Arial"/>
          <w:sz w:val="24"/>
          <w:szCs w:val="24"/>
          <w:lang w:val="en-US"/>
        </w:rPr>
        <w:t xml:space="preserve">persistent </w:t>
      </w:r>
      <w:r w:rsidRPr="007F5A49">
        <w:rPr>
          <w:rFonts w:ascii="Book Antiqua" w:hAnsi="Book Antiqua" w:cs="Arial"/>
          <w:sz w:val="24"/>
          <w:szCs w:val="24"/>
          <w:lang w:val="en-US"/>
        </w:rPr>
        <w:t>liver injury</w:t>
      </w:r>
      <w:r w:rsidR="0060727D" w:rsidRPr="007F5A49">
        <w:rPr>
          <w:rFonts w:ascii="Book Antiqua" w:hAnsi="Book Antiqua" w:cs="Arial"/>
          <w:sz w:val="24"/>
          <w:szCs w:val="24"/>
          <w:lang w:val="en-US"/>
        </w:rPr>
        <w:t xml:space="preserve">. This </w:t>
      </w:r>
      <w:r w:rsidRPr="007F5A49">
        <w:rPr>
          <w:rFonts w:ascii="Book Antiqua" w:hAnsi="Book Antiqua" w:cs="Arial"/>
          <w:sz w:val="24"/>
          <w:szCs w:val="24"/>
          <w:lang w:val="en-US"/>
        </w:rPr>
        <w:t xml:space="preserve">subsequently disrupts </w:t>
      </w:r>
      <w:r w:rsidR="00CC3883" w:rsidRPr="007F5A49">
        <w:rPr>
          <w:rFonts w:ascii="Book Antiqua" w:hAnsi="Book Antiqua" w:cs="Arial"/>
          <w:sz w:val="24"/>
          <w:szCs w:val="24"/>
          <w:lang w:val="en-US"/>
        </w:rPr>
        <w:t xml:space="preserve">liver </w:t>
      </w:r>
      <w:r w:rsidRPr="007F5A49">
        <w:rPr>
          <w:rFonts w:ascii="Book Antiqua" w:hAnsi="Book Antiqua" w:cs="Arial"/>
          <w:sz w:val="24"/>
          <w:szCs w:val="24"/>
          <w:lang w:val="en-US"/>
        </w:rPr>
        <w:t xml:space="preserve">architecture and </w:t>
      </w:r>
      <w:r w:rsidR="0060727D" w:rsidRPr="007F5A49">
        <w:rPr>
          <w:rFonts w:ascii="Book Antiqua" w:hAnsi="Book Antiqua" w:cs="Arial"/>
          <w:sz w:val="24"/>
          <w:szCs w:val="24"/>
          <w:lang w:val="en-US"/>
        </w:rPr>
        <w:t xml:space="preserve">hinders its </w:t>
      </w:r>
      <w:r w:rsidRPr="007F5A49">
        <w:rPr>
          <w:rFonts w:ascii="Book Antiqua" w:hAnsi="Book Antiqua" w:cs="Arial"/>
          <w:sz w:val="24"/>
          <w:szCs w:val="24"/>
          <w:lang w:val="en-US"/>
        </w:rPr>
        <w:t>functions</w:t>
      </w:r>
      <w:r w:rsidR="00CC3883" w:rsidRPr="007F5A49">
        <w:rPr>
          <w:rFonts w:ascii="Book Antiqua" w:hAnsi="Book Antiqua" w:cs="Arial"/>
          <w:sz w:val="24"/>
          <w:szCs w:val="24"/>
          <w:lang w:val="en-US"/>
        </w:rPr>
        <w:t xml:space="preserve"> leading </w:t>
      </w:r>
      <w:r w:rsidRPr="007F5A49">
        <w:rPr>
          <w:rFonts w:ascii="Book Antiqua" w:hAnsi="Book Antiqua" w:cs="Arial"/>
          <w:sz w:val="24"/>
          <w:szCs w:val="24"/>
          <w:lang w:val="en-US"/>
        </w:rPr>
        <w:t>to organ failure and death</w:t>
      </w:r>
      <w:r w:rsidR="00765F29" w:rsidRPr="007F5A49">
        <w:rPr>
          <w:rFonts w:ascii="Book Antiqua" w:hAnsi="Book Antiqua" w:cs="Arial"/>
          <w:sz w:val="24"/>
          <w:szCs w:val="24"/>
          <w:vertAlign w:val="superscript"/>
          <w:lang w:val="en-US"/>
        </w:rPr>
        <w:t>[</w:t>
      </w:r>
      <w:r w:rsidR="00DF5E3B"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pqqbdfp6n","properties":{"formattedCitation":"(1)","plainCitation":"(1)","noteIndex":0},"citationItems":[{"id":34,"uris":["http://zotero.org/users/2804724/items/A5X8IU3N"],"uri":["http://zotero.org/users/2804724/items/A5X8IU3N"],"itemData":{"id":34,"type":"article-journal","title":"Mechanisms of Hepatic Fibrogenesis","container-title":"Best practice &amp; research. Clinical gastroenterology","page":"195-206","volume":"25","issue":"2","source":"PubMed Central","abstract":"Multiple etiologies of liver disease lead to liver fibrosis through integrated signaling networks that regulate the deposition of extracellular matrix. This cascade of responses drives the activation of hepatic stellate cell (HSC) into a myofibroblast like phenotype that is contractile, proliferative and fibrogenic. Collagen and other extracellular matrix (ECM) components are deposited as the liver generates a wound healing response to encapsulate injury. Sustained fibrogenesis leads to cirrhosis, characterized by a distortion of the liver parenchyma and vascular architecture. Uncovering the intricate mechanisms that underlie liver fibrogenesis forms the basis for efforts to develop targeted therapies to reverse the fibrotic response and improve the outcomes of patients with chronic liver disease.","DOI":"10.1016/j.bpg.2011.02.005","ISSN":"1521-6918","note":"PMID: 21497738\nPMCID: PMC3079877","journalAbbreviation":"Best Pract Res Clin Gastroenterol","author":[{"family":"Lee","given":"Ursula E."},{"family":"Friedman","given":"Scott L."}],"issued":{"date-parts":[["2011",4]]}}}],"schema":"https://github.com/citation-style-language/schema/raw/master/csl-citation.json"} </w:instrText>
      </w:r>
      <w:r w:rsidR="00DF5E3B" w:rsidRPr="007F5A49">
        <w:rPr>
          <w:rFonts w:ascii="Book Antiqua" w:hAnsi="Book Antiqua" w:cs="Arial"/>
          <w:sz w:val="24"/>
          <w:szCs w:val="24"/>
          <w:vertAlign w:val="superscript"/>
          <w:lang w:val="en-US"/>
        </w:rPr>
        <w:fldChar w:fldCharType="separate"/>
      </w:r>
      <w:r w:rsidR="00D2645C" w:rsidRPr="007F5A49">
        <w:rPr>
          <w:rFonts w:ascii="Book Antiqua" w:hAnsi="Book Antiqua"/>
          <w:sz w:val="24"/>
          <w:szCs w:val="24"/>
          <w:vertAlign w:val="superscript"/>
          <w:lang w:val="en-US"/>
        </w:rPr>
        <w:t>1</w:t>
      </w:r>
      <w:r w:rsidR="00DF5E3B" w:rsidRPr="007F5A49">
        <w:rPr>
          <w:rFonts w:ascii="Book Antiqua" w:hAnsi="Book Antiqua" w:cs="Arial"/>
          <w:sz w:val="24"/>
          <w:szCs w:val="24"/>
          <w:vertAlign w:val="superscript"/>
          <w:lang w:val="en-US"/>
        </w:rPr>
        <w:fldChar w:fldCharType="end"/>
      </w:r>
      <w:r w:rsidR="00765F29" w:rsidRPr="007F5A49">
        <w:rPr>
          <w:rFonts w:ascii="Book Antiqua" w:hAnsi="Book Antiqua" w:cs="Arial"/>
          <w:sz w:val="24"/>
          <w:szCs w:val="24"/>
          <w:vertAlign w:val="superscript"/>
          <w:lang w:val="en-US"/>
        </w:rPr>
        <w:t>]</w:t>
      </w:r>
      <w:r w:rsidR="005475F0" w:rsidRPr="007F5A49">
        <w:rPr>
          <w:rFonts w:ascii="Book Antiqua" w:hAnsi="Book Antiqua" w:cs="Arial"/>
          <w:sz w:val="24"/>
          <w:szCs w:val="24"/>
          <w:lang w:val="en-US"/>
        </w:rPr>
        <w:t xml:space="preserve">. </w:t>
      </w:r>
      <w:r w:rsidR="00CC3883" w:rsidRPr="007F5A49">
        <w:rPr>
          <w:rFonts w:ascii="Book Antiqua" w:hAnsi="Book Antiqua" w:cs="Arial"/>
          <w:sz w:val="24"/>
          <w:szCs w:val="24"/>
          <w:lang w:val="en-US"/>
        </w:rPr>
        <w:t xml:space="preserve">Fibrotic liver is </w:t>
      </w:r>
      <w:r w:rsidR="00CB2585" w:rsidRPr="007F5A49">
        <w:rPr>
          <w:rFonts w:ascii="Book Antiqua" w:hAnsi="Book Antiqua" w:cs="Arial"/>
          <w:sz w:val="24"/>
          <w:szCs w:val="24"/>
          <w:lang w:val="en-US"/>
        </w:rPr>
        <w:t xml:space="preserve">frequently </w:t>
      </w:r>
      <w:r w:rsidR="00CC3883" w:rsidRPr="007F5A49">
        <w:rPr>
          <w:rFonts w:ascii="Book Antiqua" w:hAnsi="Book Antiqua" w:cs="Arial"/>
          <w:sz w:val="24"/>
          <w:szCs w:val="24"/>
          <w:lang w:val="en-US"/>
        </w:rPr>
        <w:t xml:space="preserve">observed in </w:t>
      </w:r>
      <w:r w:rsidR="009A0948" w:rsidRPr="007F5A49">
        <w:rPr>
          <w:rFonts w:ascii="Book Antiqua" w:hAnsi="Book Antiqua" w:cs="Arial"/>
          <w:bCs/>
          <w:sz w:val="24"/>
          <w:szCs w:val="24"/>
          <w:lang w:val="en-US"/>
        </w:rPr>
        <w:t xml:space="preserve">several </w:t>
      </w:r>
      <w:r w:rsidR="009E7A1D" w:rsidRPr="007F5A49">
        <w:rPr>
          <w:rFonts w:ascii="Book Antiqua" w:hAnsi="Book Antiqua" w:cs="Arial"/>
          <w:bCs/>
          <w:sz w:val="24"/>
          <w:szCs w:val="24"/>
          <w:lang w:val="en-US"/>
        </w:rPr>
        <w:t xml:space="preserve">untreated </w:t>
      </w:r>
      <w:r w:rsidR="009A0948" w:rsidRPr="007F5A49">
        <w:rPr>
          <w:rFonts w:ascii="Book Antiqua" w:hAnsi="Book Antiqua" w:cs="Arial"/>
          <w:bCs/>
          <w:sz w:val="24"/>
          <w:szCs w:val="24"/>
          <w:lang w:val="en-US"/>
        </w:rPr>
        <w:t>chronic liver diseases</w:t>
      </w:r>
      <w:r w:rsidR="00C05C1B" w:rsidRPr="007F5A49">
        <w:rPr>
          <w:rFonts w:ascii="Book Antiqua" w:hAnsi="Book Antiqua" w:cs="Arial"/>
          <w:bCs/>
          <w:sz w:val="24"/>
          <w:szCs w:val="24"/>
          <w:lang w:val="en-US"/>
        </w:rPr>
        <w:t xml:space="preserve"> </w:t>
      </w:r>
      <w:r w:rsidR="00CC3883" w:rsidRPr="007F5A49">
        <w:rPr>
          <w:rFonts w:ascii="Book Antiqua" w:hAnsi="Book Antiqua" w:cs="Arial"/>
          <w:bCs/>
          <w:sz w:val="24"/>
          <w:szCs w:val="24"/>
          <w:lang w:val="en-US"/>
        </w:rPr>
        <w:t>(CLD</w:t>
      </w:r>
      <w:r w:rsidR="00CB2585" w:rsidRPr="007F5A49">
        <w:rPr>
          <w:rFonts w:ascii="Book Antiqua" w:hAnsi="Book Antiqua" w:cs="Arial"/>
          <w:bCs/>
          <w:sz w:val="24"/>
          <w:szCs w:val="24"/>
          <w:lang w:val="en-US"/>
        </w:rPr>
        <w:t>s</w:t>
      </w:r>
      <w:r w:rsidR="00CC3883" w:rsidRPr="007F5A49">
        <w:rPr>
          <w:rFonts w:ascii="Book Antiqua" w:hAnsi="Book Antiqua" w:cs="Arial"/>
          <w:bCs/>
          <w:sz w:val="24"/>
          <w:szCs w:val="24"/>
          <w:lang w:val="en-US"/>
        </w:rPr>
        <w:t xml:space="preserve">) </w:t>
      </w:r>
      <w:r w:rsidR="00C05C1B" w:rsidRPr="007F5A49">
        <w:rPr>
          <w:rFonts w:ascii="Book Antiqua" w:hAnsi="Book Antiqua" w:cs="Arial"/>
          <w:bCs/>
          <w:sz w:val="24"/>
          <w:szCs w:val="24"/>
          <w:lang w:val="en-US"/>
        </w:rPr>
        <w:t>such as</w:t>
      </w:r>
      <w:r w:rsidR="00DE2C12" w:rsidRPr="007F5A49">
        <w:rPr>
          <w:rFonts w:ascii="Book Antiqua" w:hAnsi="Book Antiqua" w:cs="Arial"/>
          <w:bCs/>
          <w:sz w:val="24"/>
          <w:szCs w:val="24"/>
          <w:lang w:val="en-US"/>
        </w:rPr>
        <w:t xml:space="preserve"> </w:t>
      </w:r>
      <w:r w:rsidR="007B5113" w:rsidRPr="007F5A49">
        <w:rPr>
          <w:rFonts w:ascii="Book Antiqua" w:hAnsi="Book Antiqua" w:cs="Arial"/>
          <w:bCs/>
          <w:sz w:val="24"/>
          <w:szCs w:val="24"/>
          <w:lang w:val="en-US"/>
        </w:rPr>
        <w:t>haemochromatosis</w:t>
      </w:r>
      <w:r w:rsidR="008B343A" w:rsidRPr="007F5A49">
        <w:rPr>
          <w:rFonts w:ascii="Book Antiqua" w:hAnsi="Book Antiqua" w:cs="Arial"/>
          <w:bCs/>
          <w:sz w:val="24"/>
          <w:szCs w:val="24"/>
          <w:lang w:val="en-US"/>
        </w:rPr>
        <w:t xml:space="preserve">, </w:t>
      </w:r>
      <w:r w:rsidR="00E46E5A" w:rsidRPr="007F5A49">
        <w:rPr>
          <w:rFonts w:ascii="Book Antiqua" w:hAnsi="Book Antiqua" w:cs="Arial"/>
          <w:bCs/>
          <w:sz w:val="24"/>
          <w:szCs w:val="24"/>
          <w:lang w:val="en-US"/>
        </w:rPr>
        <w:t xml:space="preserve">viral hepatitis (hepatitis B and hepatitis C infections), alcoholic liver disease (ALD), </w:t>
      </w:r>
      <w:r w:rsidR="008B343A" w:rsidRPr="007F5A49">
        <w:rPr>
          <w:rFonts w:ascii="Book Antiqua" w:hAnsi="Book Antiqua" w:cs="Arial"/>
          <w:bCs/>
          <w:sz w:val="24"/>
          <w:szCs w:val="24"/>
          <w:lang w:val="en-US"/>
        </w:rPr>
        <w:t xml:space="preserve">non-alcoholic fatty liver disease (NAFLD), non-alcoholic steatohepatitis (NASH) and diabetes. </w:t>
      </w:r>
      <w:r w:rsidR="009E7A1D" w:rsidRPr="007F5A49">
        <w:rPr>
          <w:rFonts w:ascii="Book Antiqua" w:hAnsi="Book Antiqua" w:cs="Arial"/>
          <w:bCs/>
          <w:sz w:val="24"/>
          <w:szCs w:val="24"/>
          <w:lang w:val="en-US"/>
        </w:rPr>
        <w:t xml:space="preserve">Elevated </w:t>
      </w:r>
      <w:r w:rsidR="009E7A1D" w:rsidRPr="007F5A49">
        <w:rPr>
          <w:rFonts w:ascii="Book Antiqua" w:hAnsi="Book Antiqua" w:cs="Arial"/>
          <w:sz w:val="24"/>
          <w:szCs w:val="24"/>
          <w:lang w:val="en-US"/>
        </w:rPr>
        <w:t xml:space="preserve">iron level is a </w:t>
      </w:r>
      <w:r w:rsidR="00A561E7" w:rsidRPr="007F5A49">
        <w:rPr>
          <w:rFonts w:ascii="Book Antiqua" w:hAnsi="Book Antiqua" w:cs="Arial"/>
          <w:bCs/>
          <w:sz w:val="24"/>
          <w:szCs w:val="24"/>
          <w:lang w:val="en-US"/>
        </w:rPr>
        <w:t xml:space="preserve">common </w:t>
      </w:r>
      <w:r w:rsidR="008B343A" w:rsidRPr="007F5A49">
        <w:rPr>
          <w:rFonts w:ascii="Book Antiqua" w:hAnsi="Book Antiqua" w:cs="Arial"/>
          <w:bCs/>
          <w:sz w:val="24"/>
          <w:szCs w:val="24"/>
          <w:lang w:val="en-US"/>
        </w:rPr>
        <w:t xml:space="preserve">feature of </w:t>
      </w:r>
      <w:r w:rsidR="00E46E5A" w:rsidRPr="007F5A49">
        <w:rPr>
          <w:rFonts w:ascii="Book Antiqua" w:hAnsi="Book Antiqua" w:cs="Arial"/>
          <w:bCs/>
          <w:sz w:val="24"/>
          <w:szCs w:val="24"/>
          <w:lang w:val="en-US"/>
        </w:rPr>
        <w:t xml:space="preserve">all </w:t>
      </w:r>
      <w:r w:rsidR="008B343A" w:rsidRPr="007F5A49">
        <w:rPr>
          <w:rFonts w:ascii="Book Antiqua" w:hAnsi="Book Antiqua" w:cs="Arial"/>
          <w:bCs/>
          <w:sz w:val="24"/>
          <w:szCs w:val="24"/>
          <w:lang w:val="en-US"/>
        </w:rPr>
        <w:t>the</w:t>
      </w:r>
      <w:r w:rsidR="00E46E5A" w:rsidRPr="007F5A49">
        <w:rPr>
          <w:rFonts w:ascii="Book Antiqua" w:hAnsi="Book Antiqua" w:cs="Arial"/>
          <w:bCs/>
          <w:sz w:val="24"/>
          <w:szCs w:val="24"/>
          <w:lang w:val="en-US"/>
        </w:rPr>
        <w:t xml:space="preserve">se </w:t>
      </w:r>
      <w:r w:rsidR="00A561E7" w:rsidRPr="007F5A49">
        <w:rPr>
          <w:rFonts w:ascii="Book Antiqua" w:hAnsi="Book Antiqua" w:cs="Arial"/>
          <w:bCs/>
          <w:sz w:val="24"/>
          <w:szCs w:val="24"/>
          <w:lang w:val="en-US"/>
        </w:rPr>
        <w:t xml:space="preserve">fibrosis-promoting </w:t>
      </w:r>
      <w:r w:rsidR="008B343A" w:rsidRPr="007F5A49">
        <w:rPr>
          <w:rFonts w:ascii="Book Antiqua" w:hAnsi="Book Antiqua" w:cs="Arial"/>
          <w:bCs/>
          <w:sz w:val="24"/>
          <w:szCs w:val="24"/>
          <w:lang w:val="en-US"/>
        </w:rPr>
        <w:t>conditions</w:t>
      </w:r>
      <w:r w:rsidR="000F149E" w:rsidRPr="007F5A49">
        <w:rPr>
          <w:rFonts w:ascii="Book Antiqua" w:hAnsi="Book Antiqua" w:cs="Arial"/>
          <w:bCs/>
          <w:sz w:val="24"/>
          <w:szCs w:val="24"/>
          <w:vertAlign w:val="superscript"/>
          <w:lang w:val="en-US"/>
        </w:rPr>
        <w:fldChar w:fldCharType="begin"/>
      </w:r>
      <w:r w:rsidR="00D2645C" w:rsidRPr="007F5A49">
        <w:rPr>
          <w:rFonts w:ascii="Book Antiqua" w:hAnsi="Book Antiqua" w:cs="Arial"/>
          <w:bCs/>
          <w:sz w:val="24"/>
          <w:szCs w:val="24"/>
          <w:vertAlign w:val="superscript"/>
          <w:lang w:val="en-US"/>
        </w:rPr>
        <w:instrText xml:space="preserve"> ADDIN ZOTERO_ITEM CSL_CITATION {"citationID":"a2i95v4vvij","properties":{"formattedCitation":"(2)","plainCitation":"(2)","noteIndex":0},"citationItems":[{"id":"z1PZoHrb/AG6ANrHo","uris":["http://zotero.org/users/4222068/items/B4ILEK6N"],"uri":["http://zotero.org/users/4222068/items/B4ILEK6N"],"itemData":{"id":1732,"type":"article-journal","title":"Iron Overload in Patients With Chronic Liver Disease","container-title":"Gastroenterology &amp; Hepatology","page":"695-698","volume":"12","issue":"11","source":"PubMed Central","ISSN":"1554-7914","note":"PMID: 28035198\nPMCID: PMC5193089","journalAbbreviation":"Gastroenterol Hepatol (N Y)","author":[{"family":"Kowdley","given":"Kris V."}],"issued":{"date-parts":[["2016",11]]}}}],"schema":"https://github.com/citation-style-language/schema/raw/master/csl-citation.json"} </w:instrText>
      </w:r>
      <w:r w:rsidR="000F149E" w:rsidRPr="007F5A49">
        <w:rPr>
          <w:rFonts w:ascii="Book Antiqua" w:hAnsi="Book Antiqua" w:cs="Arial"/>
          <w:bCs/>
          <w:sz w:val="24"/>
          <w:szCs w:val="24"/>
          <w:vertAlign w:val="superscript"/>
          <w:lang w:val="en-US"/>
        </w:rPr>
        <w:fldChar w:fldCharType="separate"/>
      </w:r>
      <w:r w:rsidR="00765F29"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2</w:t>
      </w:r>
      <w:r w:rsidR="000F149E" w:rsidRPr="007F5A49">
        <w:rPr>
          <w:rFonts w:ascii="Book Antiqua" w:hAnsi="Book Antiqua" w:cs="Arial"/>
          <w:bCs/>
          <w:sz w:val="24"/>
          <w:szCs w:val="24"/>
          <w:vertAlign w:val="superscript"/>
          <w:lang w:val="en-US"/>
        </w:rPr>
        <w:fldChar w:fldCharType="end"/>
      </w:r>
      <w:r w:rsidR="00765F29" w:rsidRPr="007F5A49">
        <w:rPr>
          <w:rFonts w:ascii="Book Antiqua" w:hAnsi="Book Antiqua" w:cs="Arial"/>
          <w:bCs/>
          <w:sz w:val="24"/>
          <w:szCs w:val="24"/>
          <w:vertAlign w:val="superscript"/>
          <w:lang w:val="en-US"/>
        </w:rPr>
        <w:t>]</w:t>
      </w:r>
      <w:r w:rsidR="00694535" w:rsidRPr="007F5A49">
        <w:rPr>
          <w:rFonts w:ascii="Book Antiqua" w:hAnsi="Book Antiqua" w:cs="Arial"/>
          <w:sz w:val="24"/>
          <w:szCs w:val="24"/>
          <w:lang w:val="en-US"/>
        </w:rPr>
        <w:t xml:space="preserve">, </w:t>
      </w:r>
      <w:r w:rsidR="00B60E01" w:rsidRPr="007F5A49">
        <w:rPr>
          <w:rFonts w:ascii="Book Antiqua" w:hAnsi="Book Antiqua" w:cs="Arial"/>
          <w:sz w:val="24"/>
          <w:szCs w:val="24"/>
          <w:lang w:val="en-US"/>
        </w:rPr>
        <w:t>suggesting that iron loading may pose a risk for disease progression and aggravate liver pathology</w:t>
      </w:r>
      <w:r w:rsidR="005011D2">
        <w:rPr>
          <w:rFonts w:ascii="Book Antiqua" w:hAnsi="Book Antiqua" w:cs="Arial"/>
          <w:sz w:val="24"/>
          <w:szCs w:val="24"/>
          <w:lang w:val="en-US"/>
        </w:rPr>
        <w:t>.</w:t>
      </w:r>
    </w:p>
    <w:p w14:paraId="57F54C52" w14:textId="5266FC31" w:rsidR="009C4221" w:rsidRDefault="006C239E" w:rsidP="005011D2">
      <w:pPr>
        <w:adjustRightInd w:val="0"/>
        <w:snapToGrid w:val="0"/>
        <w:spacing w:after="0" w:line="360" w:lineRule="auto"/>
        <w:ind w:firstLine="120"/>
        <w:jc w:val="both"/>
        <w:rPr>
          <w:rFonts w:ascii="Book Antiqua" w:hAnsi="Book Antiqua" w:cs="Arial"/>
          <w:bCs/>
          <w:sz w:val="24"/>
          <w:szCs w:val="24"/>
          <w:lang w:val="en-US"/>
        </w:rPr>
      </w:pPr>
      <w:r w:rsidRPr="007F5A49">
        <w:rPr>
          <w:rFonts w:ascii="Book Antiqua" w:hAnsi="Book Antiqua" w:cs="Arial"/>
          <w:sz w:val="24"/>
          <w:szCs w:val="24"/>
          <w:lang w:val="en-US"/>
        </w:rPr>
        <w:t>While i</w:t>
      </w:r>
      <w:r w:rsidR="00D71D40" w:rsidRPr="007F5A49">
        <w:rPr>
          <w:rFonts w:ascii="Book Antiqua" w:hAnsi="Book Antiqua" w:cs="Arial"/>
          <w:sz w:val="24"/>
          <w:szCs w:val="24"/>
          <w:lang w:val="en-US"/>
        </w:rPr>
        <w:t>ron is</w:t>
      </w:r>
      <w:r w:rsidR="006B4734" w:rsidRPr="007F5A49">
        <w:rPr>
          <w:rFonts w:ascii="Book Antiqua" w:hAnsi="Book Antiqua" w:cs="Arial"/>
          <w:sz w:val="24"/>
          <w:szCs w:val="24"/>
          <w:lang w:val="en-US"/>
        </w:rPr>
        <w:t xml:space="preserve"> </w:t>
      </w:r>
      <w:r w:rsidR="0020148A" w:rsidRPr="007F5A49">
        <w:rPr>
          <w:rFonts w:ascii="Book Antiqua" w:hAnsi="Book Antiqua" w:cs="Arial"/>
          <w:sz w:val="24"/>
          <w:szCs w:val="24"/>
          <w:lang w:val="en-US"/>
        </w:rPr>
        <w:t xml:space="preserve">essential </w:t>
      </w:r>
      <w:r w:rsidR="007011BA" w:rsidRPr="007F5A49">
        <w:rPr>
          <w:rFonts w:ascii="Book Antiqua" w:hAnsi="Book Antiqua" w:cs="Arial"/>
          <w:sz w:val="24"/>
          <w:szCs w:val="24"/>
          <w:lang w:val="en-US"/>
        </w:rPr>
        <w:t>for normal physiology</w:t>
      </w:r>
      <w:r w:rsidRPr="007F5A49">
        <w:rPr>
          <w:rFonts w:ascii="Book Antiqua" w:hAnsi="Book Antiqua" w:cs="Arial"/>
          <w:sz w:val="24"/>
          <w:szCs w:val="24"/>
          <w:lang w:val="en-US"/>
        </w:rPr>
        <w:t xml:space="preserve">, </w:t>
      </w:r>
      <w:r w:rsidR="003A6234" w:rsidRPr="007F5A49">
        <w:rPr>
          <w:rFonts w:ascii="Book Antiqua" w:hAnsi="Book Antiqua" w:cs="Arial"/>
          <w:sz w:val="24"/>
          <w:szCs w:val="24"/>
          <w:lang w:val="en-US"/>
        </w:rPr>
        <w:t>excess iron is</w:t>
      </w:r>
      <w:r w:rsidR="006C54DF" w:rsidRPr="007F5A49">
        <w:rPr>
          <w:rFonts w:ascii="Book Antiqua" w:hAnsi="Book Antiqua" w:cs="Arial"/>
          <w:sz w:val="24"/>
          <w:szCs w:val="24"/>
          <w:lang w:val="en-US"/>
        </w:rPr>
        <w:t xml:space="preserve"> </w:t>
      </w:r>
      <w:r w:rsidR="003A6234" w:rsidRPr="007F5A49">
        <w:rPr>
          <w:rFonts w:ascii="Book Antiqua" w:hAnsi="Book Antiqua" w:cs="Arial"/>
          <w:sz w:val="24"/>
          <w:szCs w:val="24"/>
          <w:lang w:val="en-US"/>
        </w:rPr>
        <w:t xml:space="preserve">toxic as it can accelerate the </w:t>
      </w:r>
      <w:r w:rsidR="007028AF" w:rsidRPr="007F5A49">
        <w:rPr>
          <w:rFonts w:ascii="Book Antiqua" w:hAnsi="Book Antiqua" w:cs="Arial"/>
          <w:sz w:val="24"/>
          <w:szCs w:val="24"/>
          <w:lang w:val="en-US"/>
        </w:rPr>
        <w:t>Fenton reaction</w:t>
      </w:r>
      <w:r w:rsidR="008C3138" w:rsidRPr="007F5A49">
        <w:rPr>
          <w:rFonts w:ascii="Book Antiqua" w:hAnsi="Book Antiqua" w:cs="Arial"/>
          <w:sz w:val="24"/>
          <w:szCs w:val="24"/>
          <w:lang w:val="en-US"/>
        </w:rPr>
        <w:t xml:space="preserve"> that </w:t>
      </w:r>
      <w:r w:rsidR="00D71D40" w:rsidRPr="007F5A49">
        <w:rPr>
          <w:rFonts w:ascii="Book Antiqua" w:hAnsi="Book Antiqua" w:cs="Arial"/>
          <w:sz w:val="24"/>
          <w:szCs w:val="24"/>
          <w:lang w:val="en-US"/>
        </w:rPr>
        <w:t>generate</w:t>
      </w:r>
      <w:r w:rsidR="008C3138" w:rsidRPr="007F5A49">
        <w:rPr>
          <w:rFonts w:ascii="Book Antiqua" w:hAnsi="Book Antiqua" w:cs="Arial"/>
          <w:sz w:val="24"/>
          <w:szCs w:val="24"/>
          <w:lang w:val="en-US"/>
        </w:rPr>
        <w:t>s</w:t>
      </w:r>
      <w:r w:rsidR="00101F8A" w:rsidRPr="007F5A49">
        <w:rPr>
          <w:rFonts w:ascii="Book Antiqua" w:hAnsi="Book Antiqua" w:cs="Arial"/>
          <w:sz w:val="24"/>
          <w:szCs w:val="24"/>
          <w:lang w:val="en-US"/>
        </w:rPr>
        <w:t xml:space="preserve"> noxious </w:t>
      </w:r>
      <w:r w:rsidR="00D71D40" w:rsidRPr="007F5A49">
        <w:rPr>
          <w:rFonts w:ascii="Book Antiqua" w:hAnsi="Book Antiqua" w:cs="Arial"/>
          <w:sz w:val="24"/>
          <w:szCs w:val="24"/>
          <w:lang w:val="en-US"/>
        </w:rPr>
        <w:t>reactive oxygen species (ROS)</w:t>
      </w:r>
      <w:r w:rsidR="00AB6C1F" w:rsidRPr="007F5A49">
        <w:rPr>
          <w:rFonts w:ascii="Book Antiqua" w:hAnsi="Book Antiqua" w:cs="Arial"/>
          <w:sz w:val="24"/>
          <w:szCs w:val="24"/>
          <w:lang w:val="en-US"/>
        </w:rPr>
        <w:t xml:space="preserve"> </w:t>
      </w:r>
      <w:r w:rsidR="00E46E5A" w:rsidRPr="007F5A49">
        <w:rPr>
          <w:rFonts w:ascii="Book Antiqua" w:hAnsi="Book Antiqua" w:cs="Arial"/>
          <w:sz w:val="24"/>
          <w:szCs w:val="24"/>
          <w:lang w:val="en-US"/>
        </w:rPr>
        <w:t xml:space="preserve">and </w:t>
      </w:r>
      <w:r w:rsidR="00F97E84" w:rsidRPr="007F5A49">
        <w:rPr>
          <w:rFonts w:ascii="Book Antiqua" w:hAnsi="Book Antiqua" w:cs="Arial"/>
          <w:sz w:val="24"/>
          <w:szCs w:val="24"/>
          <w:lang w:val="en-US"/>
        </w:rPr>
        <w:t>severely damage cells and tissues.</w:t>
      </w:r>
      <w:r w:rsidR="002266E0" w:rsidRPr="007F5A49">
        <w:rPr>
          <w:rFonts w:ascii="Book Antiqua" w:hAnsi="Book Antiqua" w:cs="Arial"/>
          <w:sz w:val="24"/>
          <w:szCs w:val="24"/>
          <w:lang w:val="en-US"/>
        </w:rPr>
        <w:t xml:space="preserve"> </w:t>
      </w:r>
      <w:r w:rsidR="00193A87" w:rsidRPr="007F5A49">
        <w:rPr>
          <w:rFonts w:ascii="Book Antiqua" w:hAnsi="Book Antiqua" w:cs="Arial"/>
          <w:sz w:val="24"/>
          <w:szCs w:val="24"/>
          <w:lang w:val="en-US"/>
        </w:rPr>
        <w:t>Thus,</w:t>
      </w:r>
      <w:r w:rsidR="00973C64" w:rsidRPr="007F5A49">
        <w:rPr>
          <w:rFonts w:ascii="Book Antiqua" w:hAnsi="Book Antiqua" w:cs="Arial"/>
          <w:sz w:val="24"/>
          <w:szCs w:val="24"/>
          <w:lang w:val="en-US"/>
        </w:rPr>
        <w:t xml:space="preserve"> maintenance</w:t>
      </w:r>
      <w:r w:rsidR="00A031AA" w:rsidRPr="007F5A49">
        <w:rPr>
          <w:rFonts w:ascii="Book Antiqua" w:hAnsi="Book Antiqua" w:cs="Arial"/>
          <w:sz w:val="24"/>
          <w:szCs w:val="24"/>
          <w:lang w:val="en-US"/>
        </w:rPr>
        <w:t xml:space="preserve"> of</w:t>
      </w:r>
      <w:r w:rsidR="006446D4" w:rsidRPr="007F5A49">
        <w:rPr>
          <w:rFonts w:ascii="Book Antiqua" w:hAnsi="Book Antiqua" w:cs="Arial"/>
          <w:sz w:val="24"/>
          <w:szCs w:val="24"/>
          <w:lang w:val="en-US"/>
        </w:rPr>
        <w:t xml:space="preserve"> body </w:t>
      </w:r>
      <w:r w:rsidR="00A031AA" w:rsidRPr="007F5A49">
        <w:rPr>
          <w:rFonts w:ascii="Book Antiqua" w:hAnsi="Book Antiqua" w:cs="Arial"/>
          <w:sz w:val="24"/>
          <w:szCs w:val="24"/>
          <w:lang w:val="en-US"/>
        </w:rPr>
        <w:t>i</w:t>
      </w:r>
      <w:r w:rsidR="004665A2" w:rsidRPr="007F5A49">
        <w:rPr>
          <w:rFonts w:ascii="Book Antiqua" w:hAnsi="Book Antiqua" w:cs="Arial"/>
          <w:sz w:val="24"/>
          <w:szCs w:val="24"/>
          <w:lang w:val="en-US"/>
        </w:rPr>
        <w:t xml:space="preserve">ron homeostasis </w:t>
      </w:r>
      <w:r w:rsidR="00A031AA" w:rsidRPr="007F5A49">
        <w:rPr>
          <w:rFonts w:ascii="Book Antiqua" w:hAnsi="Book Antiqua" w:cs="Arial"/>
          <w:sz w:val="24"/>
          <w:szCs w:val="24"/>
          <w:lang w:val="en-US"/>
        </w:rPr>
        <w:t xml:space="preserve">is </w:t>
      </w:r>
      <w:r w:rsidR="004665A2" w:rsidRPr="007F5A49">
        <w:rPr>
          <w:rFonts w:ascii="Book Antiqua" w:hAnsi="Book Antiqua" w:cs="Arial"/>
          <w:sz w:val="24"/>
          <w:szCs w:val="24"/>
          <w:lang w:val="en-US"/>
        </w:rPr>
        <w:t>crucial</w:t>
      </w:r>
      <w:r w:rsidR="00C02D61" w:rsidRPr="007F5A49">
        <w:rPr>
          <w:rFonts w:ascii="Book Antiqua" w:hAnsi="Book Antiqua" w:cs="Arial"/>
          <w:sz w:val="24"/>
          <w:szCs w:val="24"/>
          <w:lang w:val="en-US"/>
        </w:rPr>
        <w:t xml:space="preserve">, </w:t>
      </w:r>
      <w:r w:rsidR="004665A2" w:rsidRPr="007F5A49">
        <w:rPr>
          <w:rFonts w:ascii="Book Antiqua" w:hAnsi="Book Antiqua" w:cs="Arial"/>
          <w:sz w:val="24"/>
          <w:szCs w:val="24"/>
          <w:lang w:val="en-US"/>
        </w:rPr>
        <w:t xml:space="preserve">particularly </w:t>
      </w:r>
      <w:r w:rsidR="00FA0147" w:rsidRPr="007F5A49">
        <w:rPr>
          <w:rFonts w:ascii="Book Antiqua" w:hAnsi="Book Antiqua" w:cs="Arial"/>
          <w:sz w:val="24"/>
          <w:szCs w:val="24"/>
          <w:lang w:val="en-US"/>
        </w:rPr>
        <w:t xml:space="preserve">because there is no physiological </w:t>
      </w:r>
      <w:r w:rsidR="004665A2" w:rsidRPr="007F5A49">
        <w:rPr>
          <w:rFonts w:ascii="Book Antiqua" w:hAnsi="Book Antiqua" w:cs="Arial"/>
          <w:sz w:val="24"/>
          <w:szCs w:val="24"/>
          <w:lang w:val="en-US"/>
        </w:rPr>
        <w:t>pathway for removal of excess iron</w:t>
      </w:r>
      <w:r w:rsidR="00DF4B6D" w:rsidRPr="007F5A49">
        <w:rPr>
          <w:rFonts w:ascii="Book Antiqua" w:hAnsi="Book Antiqua" w:cs="Arial"/>
          <w:sz w:val="24"/>
          <w:szCs w:val="24"/>
          <w:lang w:val="en-US"/>
        </w:rPr>
        <w:t xml:space="preserve"> from the body</w:t>
      </w:r>
      <w:r w:rsidR="00FA137F"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107buo5c1v","properties":{"formattedCitation":"(3)","plainCitation":"(3)","noteIndex":0},"citationItems":[{"id":47,"uris":["http://zotero.org/users/2804724/items/NQC5D2CG"],"uri":["http://zotero.org/users/2804724/items/NQC5D2CG"],"itemData":{"id":47,"type":"article-journal","title":"Molecular mechanisms involved in intestinal iron absorption","container-title":"World Journal of Gastroenterology","page":"4716-4724","volume":"13","issue":"35","source":"PubMed","abstract":"Iron is an essential trace metal in the human diet due to its obligate role in a number of metabolic processes. In the diet, iron is present in a number of different forms, generally described as haem (from haemoglobin and myoglobin in animal tissue) and non-haem iron (including ferric oxides and salts, ferritin and lactoferrin). This review describes the molecular mechanisms that co-ordinate the absorption of iron from the diet and its release into the circulation. While many components of the iron transport pathway have been elucidated, a number of key issues still remain to be resolved. Future work in this area will provide a clearer picture regarding the transcellular flux of iron and its regulation by dietary and humoral factors.","ISSN":"1007-9327","note":"PMID: 17729393\nPMCID: PMC4611193","journalAbbreviation":"World J. Gastroenterol.","language":"eng","author":[{"family":"Sharp","given":"Paul"},{"family":"Srai","given":"Surjit-Kaila"}],"issued":{"date-parts":[["2007",9,21]]}}}],"schema":"https://github.com/citation-style-language/schema/raw/master/csl-citation.json"} </w:instrText>
      </w:r>
      <w:r w:rsidR="00FA137F" w:rsidRPr="007F5A49">
        <w:rPr>
          <w:rFonts w:ascii="Book Antiqua" w:hAnsi="Book Antiqua" w:cs="Arial"/>
          <w:sz w:val="24"/>
          <w:szCs w:val="24"/>
          <w:vertAlign w:val="superscript"/>
          <w:lang w:val="en-US"/>
        </w:rPr>
        <w:fldChar w:fldCharType="separate"/>
      </w:r>
      <w:r w:rsidR="00765F29"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3</w:t>
      </w:r>
      <w:r w:rsidR="00FA137F" w:rsidRPr="007F5A49">
        <w:rPr>
          <w:rFonts w:ascii="Book Antiqua" w:hAnsi="Book Antiqua" w:cs="Arial"/>
          <w:sz w:val="24"/>
          <w:szCs w:val="24"/>
          <w:vertAlign w:val="superscript"/>
          <w:lang w:val="en-US"/>
        </w:rPr>
        <w:fldChar w:fldCharType="end"/>
      </w:r>
      <w:r w:rsidR="00765F29" w:rsidRPr="007F5A49">
        <w:rPr>
          <w:rFonts w:ascii="Book Antiqua" w:hAnsi="Book Antiqua" w:cs="Arial"/>
          <w:sz w:val="24"/>
          <w:szCs w:val="24"/>
          <w:vertAlign w:val="superscript"/>
          <w:lang w:val="en-US"/>
        </w:rPr>
        <w:t>]</w:t>
      </w:r>
      <w:r w:rsidR="00411968" w:rsidRPr="007F5A49">
        <w:rPr>
          <w:rFonts w:ascii="Book Antiqua" w:hAnsi="Book Antiqua" w:cs="Arial"/>
          <w:sz w:val="24"/>
          <w:szCs w:val="24"/>
          <w:lang w:val="en-US"/>
        </w:rPr>
        <w:t>.</w:t>
      </w:r>
      <w:r w:rsidR="000522AC" w:rsidRPr="007F5A49">
        <w:rPr>
          <w:rFonts w:ascii="Book Antiqua" w:hAnsi="Book Antiqua" w:cs="Arial"/>
          <w:sz w:val="24"/>
          <w:szCs w:val="24"/>
          <w:lang w:val="en-US"/>
        </w:rPr>
        <w:t xml:space="preserve"> Under normal physiological conditions</w:t>
      </w:r>
      <w:r w:rsidR="00915699" w:rsidRPr="007F5A49">
        <w:rPr>
          <w:rFonts w:ascii="Book Antiqua" w:hAnsi="Book Antiqua" w:cs="Arial"/>
          <w:sz w:val="24"/>
          <w:szCs w:val="24"/>
          <w:lang w:val="en-US"/>
        </w:rPr>
        <w:t>, s</w:t>
      </w:r>
      <w:r w:rsidR="007011BA" w:rsidRPr="007F5A49">
        <w:rPr>
          <w:rFonts w:ascii="Book Antiqua" w:hAnsi="Book Antiqua" w:cs="Arial"/>
          <w:sz w:val="24"/>
          <w:szCs w:val="24"/>
          <w:lang w:val="en-US"/>
        </w:rPr>
        <w:t xml:space="preserve">ystemic iron regulation is mediated </w:t>
      </w:r>
      <w:r w:rsidR="007011BA" w:rsidRPr="005011D2">
        <w:rPr>
          <w:rFonts w:ascii="Book Antiqua" w:hAnsi="Book Antiqua" w:cs="Arial"/>
          <w:i/>
          <w:sz w:val="24"/>
          <w:szCs w:val="24"/>
          <w:lang w:val="en-US"/>
        </w:rPr>
        <w:t>via</w:t>
      </w:r>
      <w:r w:rsidR="007011BA" w:rsidRPr="007F5A49">
        <w:rPr>
          <w:rFonts w:ascii="Book Antiqua" w:hAnsi="Book Antiqua" w:cs="Arial"/>
          <w:sz w:val="24"/>
          <w:szCs w:val="24"/>
          <w:lang w:val="en-US"/>
        </w:rPr>
        <w:t xml:space="preserve"> the </w:t>
      </w:r>
      <w:r w:rsidR="00813BA0" w:rsidRPr="007F5A49">
        <w:rPr>
          <w:rFonts w:ascii="Book Antiqua" w:hAnsi="Book Antiqua" w:cs="Arial"/>
          <w:sz w:val="24"/>
          <w:szCs w:val="24"/>
          <w:lang w:val="en-US"/>
        </w:rPr>
        <w:t>liver-secreted iron hormone hepcidin</w:t>
      </w:r>
      <w:r w:rsidR="002A44D6" w:rsidRPr="007F5A49">
        <w:rPr>
          <w:rFonts w:ascii="Book Antiqua" w:hAnsi="Book Antiqua" w:cs="Arial"/>
          <w:bCs/>
          <w:sz w:val="24"/>
          <w:szCs w:val="24"/>
          <w:vertAlign w:val="superscript"/>
          <w:lang w:val="en-US"/>
        </w:rPr>
        <w:fldChar w:fldCharType="begin"/>
      </w:r>
      <w:r w:rsidR="00D2645C" w:rsidRPr="007F5A49">
        <w:rPr>
          <w:rFonts w:ascii="Book Antiqua" w:hAnsi="Book Antiqua" w:cs="Arial"/>
          <w:bCs/>
          <w:sz w:val="24"/>
          <w:szCs w:val="24"/>
          <w:vertAlign w:val="superscript"/>
          <w:lang w:val="en-US"/>
        </w:rPr>
        <w:instrText xml:space="preserve"> ADDIN ZOTERO_ITEM CSL_CITATION {"citationID":"0qPphvBY","properties":{"formattedCitation":"(4)","plainCitation":"(4)","noteIndex":0},"citationItems":[{"id":405,"uris":["http://zotero.org/users/2804724/items/NZW4KK5W"],"uri":["http://zotero.org/users/2804724/items/NZW4KK5W"],"itemData":{"id":405,"type":"article-journal","title":"A new mouse liver-specific gene, encoding a protein homologous to human antimicrobial peptide hepcidin, is overexpressed during iron overload","container-title":"The Journal of Biological Chemistry","page":"7811-7819","volume":"276","issue":"11","source":"PubMed","abstract":"Considering that the development of hepatic lesions related to iron overload diseases might be a result of abnormally expressed hepatic genes, we searched for new genes up-regulated under the condition of iron excess. By suppressive subtractive hybridization performed between livers from carbonyl iron-overloaded and control mice, we isolated a 225-base pair cDNA. By Northern blot analysis, the corresponding mRNA was confirmed to be overexpressed in livers of experimentally (carbonyl iron and iron-dextran-treated mice) and spontaneously (beta(2)-microglobulin knockout mice) iron-overloaded mice. In addition, beta(2)-microglobulin knockout mice fed with a low iron content diet exhibited a decrease of hepatic mRNA expression. The murine full-length cDNA was isolated and was found to encode an 83-amino acid protein presenting a strong homology in its C-terminal region to the human antimicrobial peptide hepcidin. In addition, we cloned the corresponding rat and human orthologue cDNAs. Both mouse and human genes named HEPC are constituted of 3 exons and 2 introns and are located on chromosome 7 and 19, respectively, in close proximity to USF2 gene. In mouse and human, HEPC mRNA was predominantly expressed in the liver. During both in vivo and in vitro studies, HEPC mRNA expression was enhanced in mouse hepatocytes under the effect of lipopolysaccharide. Finally, to analyze the intracellular localization of the predicted protein, we used the green fluorescent protein chimera expression vectors. The murine green fluorescent protein-prohepcidin protein was exclusively localized in the nucleus. When the putative nuclear localization signal was deleted, the resulting protein was addressed to the cytoplasm. Taken together, our data strongly suggest that the product of the new liver-specific gene HEPC might play a specific role during iron overload and exhibit additional functions distinct from its antimicrobial activity.","DOI":"10.1074/jbc.M008923200","ISSN":"0021-9258","note":"PMID: 11113132","journalAbbreviation":"J. Biol. Chem.","language":"eng","author":[{"family":"Pigeon","given":"C."},{"family":"Ilyin","given":"G."},{"family":"Courselaud","given":"B."},{"family":"Leroyer","given":"P."},{"family":"Turlin","given":"B."},{"family":"Brissot","given":"P."},{"family":"Loréal","given":"O."}],"issued":{"date-parts":[["2001",3,16]]}}}],"schema":"https://github.com/citation-style-language/schema/raw/master/csl-citation.json"} </w:instrText>
      </w:r>
      <w:r w:rsidR="002A44D6" w:rsidRPr="007F5A49">
        <w:rPr>
          <w:rFonts w:ascii="Book Antiqua" w:hAnsi="Book Antiqua" w:cs="Arial"/>
          <w:bCs/>
          <w:sz w:val="24"/>
          <w:szCs w:val="24"/>
          <w:vertAlign w:val="superscript"/>
          <w:lang w:val="en-US"/>
        </w:rPr>
        <w:fldChar w:fldCharType="separate"/>
      </w:r>
      <w:r w:rsidR="00765F29"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4</w:t>
      </w:r>
      <w:r w:rsidR="002A44D6" w:rsidRPr="007F5A49">
        <w:rPr>
          <w:rFonts w:ascii="Book Antiqua" w:hAnsi="Book Antiqua" w:cs="Arial"/>
          <w:bCs/>
          <w:sz w:val="24"/>
          <w:szCs w:val="24"/>
          <w:vertAlign w:val="superscript"/>
          <w:lang w:val="en-US"/>
        </w:rPr>
        <w:fldChar w:fldCharType="end"/>
      </w:r>
      <w:r w:rsidR="00765F29" w:rsidRPr="007F5A49">
        <w:rPr>
          <w:rFonts w:ascii="Book Antiqua" w:hAnsi="Book Antiqua" w:cs="Arial"/>
          <w:bCs/>
          <w:sz w:val="24"/>
          <w:szCs w:val="24"/>
          <w:vertAlign w:val="superscript"/>
          <w:lang w:val="en-US"/>
        </w:rPr>
        <w:t>]</w:t>
      </w:r>
      <w:r w:rsidR="00411968" w:rsidRPr="007F5A49">
        <w:rPr>
          <w:rFonts w:ascii="Book Antiqua" w:hAnsi="Book Antiqua" w:cs="Arial"/>
          <w:bCs/>
          <w:sz w:val="24"/>
          <w:szCs w:val="24"/>
          <w:lang w:val="en-US"/>
        </w:rPr>
        <w:t xml:space="preserve">. </w:t>
      </w:r>
      <w:r w:rsidR="007011BA" w:rsidRPr="007F5A49">
        <w:rPr>
          <w:rFonts w:ascii="Book Antiqua" w:hAnsi="Book Antiqua" w:cs="Arial"/>
          <w:bCs/>
          <w:sz w:val="24"/>
          <w:szCs w:val="24"/>
          <w:lang w:val="en-US"/>
        </w:rPr>
        <w:t xml:space="preserve">Hepcidin </w:t>
      </w:r>
      <w:r w:rsidR="009E6936" w:rsidRPr="007F5A49">
        <w:rPr>
          <w:rFonts w:ascii="Book Antiqua" w:hAnsi="Book Antiqua" w:cs="Arial"/>
          <w:bCs/>
          <w:sz w:val="24"/>
          <w:szCs w:val="24"/>
          <w:lang w:val="en-US"/>
        </w:rPr>
        <w:t xml:space="preserve">binds to </w:t>
      </w:r>
      <w:proofErr w:type="spellStart"/>
      <w:r w:rsidR="001A54E2" w:rsidRPr="007F5A49">
        <w:rPr>
          <w:rFonts w:ascii="Book Antiqua" w:hAnsi="Book Antiqua" w:cs="Arial"/>
          <w:bCs/>
          <w:sz w:val="24"/>
          <w:szCs w:val="24"/>
          <w:lang w:val="en-US"/>
        </w:rPr>
        <w:t>ferroportin</w:t>
      </w:r>
      <w:proofErr w:type="spellEnd"/>
      <w:r w:rsidR="001A54E2" w:rsidRPr="007F5A49">
        <w:rPr>
          <w:rFonts w:ascii="Book Antiqua" w:hAnsi="Book Antiqua" w:cs="Arial"/>
          <w:bCs/>
          <w:sz w:val="24"/>
          <w:szCs w:val="24"/>
          <w:lang w:val="en-US"/>
        </w:rPr>
        <w:t xml:space="preserve"> (</w:t>
      </w:r>
      <w:r w:rsidR="00D135B9" w:rsidRPr="007F5A49">
        <w:rPr>
          <w:rFonts w:ascii="Book Antiqua" w:hAnsi="Book Antiqua" w:cs="Arial"/>
          <w:bCs/>
          <w:sz w:val="24"/>
          <w:szCs w:val="24"/>
          <w:lang w:val="en-US"/>
        </w:rPr>
        <w:t xml:space="preserve">transmembrane </w:t>
      </w:r>
      <w:r w:rsidR="00613973" w:rsidRPr="007F5A49">
        <w:rPr>
          <w:rFonts w:ascii="Book Antiqua" w:hAnsi="Book Antiqua" w:cs="Arial"/>
          <w:bCs/>
          <w:sz w:val="24"/>
          <w:szCs w:val="24"/>
          <w:lang w:val="en-US"/>
        </w:rPr>
        <w:t>iron</w:t>
      </w:r>
      <w:r w:rsidR="009E6936" w:rsidRPr="007F5A49">
        <w:rPr>
          <w:rFonts w:ascii="Book Antiqua" w:hAnsi="Book Antiqua" w:cs="Arial"/>
          <w:bCs/>
          <w:sz w:val="24"/>
          <w:szCs w:val="24"/>
          <w:lang w:val="en-US"/>
        </w:rPr>
        <w:t>-exporter protein</w:t>
      </w:r>
      <w:r w:rsidR="001A54E2" w:rsidRPr="007F5A49">
        <w:rPr>
          <w:rFonts w:ascii="Book Antiqua" w:hAnsi="Book Antiqua" w:cs="Arial"/>
          <w:bCs/>
          <w:sz w:val="24"/>
          <w:szCs w:val="24"/>
          <w:lang w:val="en-US"/>
        </w:rPr>
        <w:t>)</w:t>
      </w:r>
      <w:r w:rsidR="009E6936" w:rsidRPr="007F5A49">
        <w:rPr>
          <w:rFonts w:ascii="Book Antiqua" w:hAnsi="Book Antiqua" w:cs="Arial"/>
          <w:bCs/>
          <w:sz w:val="24"/>
          <w:szCs w:val="24"/>
          <w:lang w:val="en-US"/>
        </w:rPr>
        <w:t xml:space="preserve"> on </w:t>
      </w:r>
      <w:r w:rsidR="00D135B9" w:rsidRPr="007F5A49">
        <w:rPr>
          <w:rFonts w:ascii="Book Antiqua" w:hAnsi="Book Antiqua" w:cs="Arial"/>
          <w:bCs/>
          <w:sz w:val="24"/>
          <w:szCs w:val="24"/>
          <w:lang w:val="en-US"/>
        </w:rPr>
        <w:t xml:space="preserve">the </w:t>
      </w:r>
      <w:r w:rsidR="00BD0240" w:rsidRPr="007F5A49">
        <w:rPr>
          <w:rFonts w:ascii="Book Antiqua" w:hAnsi="Book Antiqua" w:cs="Arial"/>
          <w:bCs/>
          <w:sz w:val="24"/>
          <w:szCs w:val="24"/>
          <w:lang w:val="en-US"/>
        </w:rPr>
        <w:t xml:space="preserve">iron-storing </w:t>
      </w:r>
      <w:r w:rsidR="009E6936" w:rsidRPr="007F5A49">
        <w:rPr>
          <w:rFonts w:ascii="Book Antiqua" w:hAnsi="Book Antiqua" w:cs="Arial"/>
          <w:bCs/>
          <w:sz w:val="24"/>
          <w:szCs w:val="24"/>
          <w:lang w:val="en-US"/>
        </w:rPr>
        <w:t>macrophages</w:t>
      </w:r>
      <w:r w:rsidR="00F236FA" w:rsidRPr="007F5A49">
        <w:rPr>
          <w:rFonts w:ascii="Book Antiqua" w:hAnsi="Book Antiqua" w:cs="Arial"/>
          <w:bCs/>
          <w:sz w:val="24"/>
          <w:szCs w:val="24"/>
          <w:lang w:val="en-US"/>
        </w:rPr>
        <w:t xml:space="preserve"> and </w:t>
      </w:r>
      <w:r w:rsidR="009E6936" w:rsidRPr="007F5A49">
        <w:rPr>
          <w:rFonts w:ascii="Book Antiqua" w:hAnsi="Book Antiqua" w:cs="Arial"/>
          <w:bCs/>
          <w:sz w:val="24"/>
          <w:szCs w:val="24"/>
          <w:lang w:val="en-US"/>
        </w:rPr>
        <w:t>hepatocytes</w:t>
      </w:r>
      <w:r w:rsidR="000522AC" w:rsidRPr="007F5A49">
        <w:rPr>
          <w:rFonts w:ascii="Book Antiqua" w:hAnsi="Book Antiqua" w:cs="Arial"/>
          <w:bCs/>
          <w:sz w:val="24"/>
          <w:szCs w:val="24"/>
          <w:lang w:val="en-US"/>
        </w:rPr>
        <w:t xml:space="preserve">, </w:t>
      </w:r>
      <w:r w:rsidR="009E6936" w:rsidRPr="007F5A49">
        <w:rPr>
          <w:rFonts w:ascii="Book Antiqua" w:hAnsi="Book Antiqua" w:cs="Arial"/>
          <w:bCs/>
          <w:sz w:val="24"/>
          <w:szCs w:val="24"/>
          <w:lang w:val="en-US"/>
        </w:rPr>
        <w:t>d</w:t>
      </w:r>
      <w:r w:rsidR="001A54E2" w:rsidRPr="007F5A49">
        <w:rPr>
          <w:rFonts w:ascii="Book Antiqua" w:hAnsi="Book Antiqua" w:cs="Arial"/>
          <w:bCs/>
          <w:sz w:val="24"/>
          <w:szCs w:val="24"/>
          <w:lang w:val="en-US"/>
        </w:rPr>
        <w:t xml:space="preserve">egrades </w:t>
      </w:r>
      <w:proofErr w:type="spellStart"/>
      <w:r w:rsidR="001A54E2" w:rsidRPr="007F5A49">
        <w:rPr>
          <w:rFonts w:ascii="Book Antiqua" w:hAnsi="Book Antiqua" w:cs="Arial"/>
          <w:bCs/>
          <w:sz w:val="24"/>
          <w:szCs w:val="24"/>
          <w:lang w:val="en-US"/>
        </w:rPr>
        <w:t>ferroportin</w:t>
      </w:r>
      <w:proofErr w:type="spellEnd"/>
      <w:r w:rsidR="001A54E2" w:rsidRPr="007F5A49">
        <w:rPr>
          <w:rFonts w:ascii="Book Antiqua" w:hAnsi="Book Antiqua" w:cs="Arial"/>
          <w:bCs/>
          <w:sz w:val="24"/>
          <w:szCs w:val="24"/>
          <w:lang w:val="en-US"/>
        </w:rPr>
        <w:t xml:space="preserve"> </w:t>
      </w:r>
      <w:r w:rsidR="009E6936" w:rsidRPr="007F5A49">
        <w:rPr>
          <w:rFonts w:ascii="Book Antiqua" w:hAnsi="Book Antiqua" w:cs="Arial"/>
          <w:bCs/>
          <w:sz w:val="24"/>
          <w:szCs w:val="24"/>
          <w:lang w:val="en-US"/>
        </w:rPr>
        <w:t xml:space="preserve">and </w:t>
      </w:r>
      <w:r w:rsidR="002A1678" w:rsidRPr="007F5A49">
        <w:rPr>
          <w:rFonts w:ascii="Book Antiqua" w:hAnsi="Book Antiqua" w:cs="Arial"/>
          <w:bCs/>
          <w:sz w:val="24"/>
          <w:szCs w:val="24"/>
          <w:lang w:val="en-US"/>
        </w:rPr>
        <w:t xml:space="preserve">thereby </w:t>
      </w:r>
      <w:r w:rsidR="00013603" w:rsidRPr="007F5A49">
        <w:rPr>
          <w:rFonts w:ascii="Book Antiqua" w:hAnsi="Book Antiqua" w:cs="Arial"/>
          <w:bCs/>
          <w:sz w:val="24"/>
          <w:szCs w:val="24"/>
          <w:lang w:val="en-US"/>
        </w:rPr>
        <w:t>hinders</w:t>
      </w:r>
      <w:r w:rsidR="009E6936" w:rsidRPr="007F5A49">
        <w:rPr>
          <w:rFonts w:ascii="Book Antiqua" w:hAnsi="Book Antiqua" w:cs="Arial"/>
          <w:bCs/>
          <w:sz w:val="24"/>
          <w:szCs w:val="24"/>
          <w:lang w:val="en-US"/>
        </w:rPr>
        <w:t xml:space="preserve"> </w:t>
      </w:r>
      <w:r w:rsidR="000522AC" w:rsidRPr="007F5A49">
        <w:rPr>
          <w:rFonts w:ascii="Book Antiqua" w:hAnsi="Book Antiqua" w:cs="Arial"/>
          <w:bCs/>
          <w:sz w:val="24"/>
          <w:szCs w:val="24"/>
          <w:lang w:val="en-US"/>
        </w:rPr>
        <w:t>iron-</w:t>
      </w:r>
      <w:r w:rsidRPr="007F5A49">
        <w:rPr>
          <w:rFonts w:ascii="Book Antiqua" w:hAnsi="Book Antiqua" w:cs="Arial"/>
          <w:bCs/>
          <w:sz w:val="24"/>
          <w:szCs w:val="24"/>
          <w:lang w:val="en-US"/>
        </w:rPr>
        <w:t>entry into the circulation</w:t>
      </w:r>
      <w:r w:rsidR="00D5352D" w:rsidRPr="007F5A49">
        <w:rPr>
          <w:rFonts w:ascii="Book Antiqua" w:hAnsi="Book Antiqua" w:cs="Arial"/>
          <w:bCs/>
          <w:sz w:val="24"/>
          <w:szCs w:val="24"/>
          <w:vertAlign w:val="superscript"/>
          <w:lang w:val="en-US"/>
        </w:rPr>
        <w:fldChar w:fldCharType="begin"/>
      </w:r>
      <w:r w:rsidR="00D2645C" w:rsidRPr="007F5A49">
        <w:rPr>
          <w:rFonts w:ascii="Book Antiqua" w:hAnsi="Book Antiqua" w:cs="Arial"/>
          <w:bCs/>
          <w:sz w:val="24"/>
          <w:szCs w:val="24"/>
          <w:vertAlign w:val="superscript"/>
          <w:lang w:val="en-US"/>
        </w:rPr>
        <w:instrText xml:space="preserve"> ADDIN ZOTERO_ITEM CSL_CITATION {"citationID":"FJntwxG4","properties":{"formattedCitation":"(5)","plainCitation":"(5)","noteIndex":0},"citationItems":[{"id":40,"uris":["http://zotero.org/users/2804724/items/XFZ8BNEZ"],"uri":["http://zotero.org/users/2804724/items/XFZ8BNEZ"],"itemData":{"id":40,"type":"article-journal","title":"Hepcidin regulates cellular iron efflux by binding to ferroportin and inducing its internalization","container-title":"Science (New York, N.Y.)","page":"2090-2093","volume":"306","issue":"5704","source":"PubMed","abstract":"Hepcidin is a peptide hormone secreted by the liver in response to iron loading and inflammation. Decreased hepcidin leads to tissue iron overload, whereas hepcidin overproduction leads to hypoferremia and the anemia of inflammation. Ferroportin is an iron exporter present on the surface of absorptive enterocytes, macrophages, hepatocytes, and placental cells. Here we report that hepcidin bound to ferroportin in tissue culture cells. After binding, ferroportin was internalized and degraded, leading to decreased export of cellular iron. The posttranslational regulation of ferroportin by hepcidin may thus complete a homeostatic loop: Iron regulates the secretion of hepcidin, which in turn controls the concentration of ferroportin on the cell surface.","DOI":"10.1126/science.1104742","ISSN":"1095-9203","note":"PMID: 15514116","journalAbbreviation":"Science","language":"eng","author":[{"family":"Nemeth","given":"Elizabeta"},{"family":"Tuttle","given":"Marie S."},{"family":"Powelson","given":"Julie"},{"family":"Vaughn","given":"Michael B."},{"family":"Donovan","given":"Adriana"},{"family":"Ward","given":"Diane McVey"},{"family":"Ganz","given":"Tomas"},{"family":"Kaplan","given":"Jerry"}],"issued":{"date-parts":[["2004",12,17]]}}}],"schema":"https://github.com/citation-style-language/schema/raw/master/csl-citation.json"} </w:instrText>
      </w:r>
      <w:r w:rsidR="00D5352D" w:rsidRPr="007F5A49">
        <w:rPr>
          <w:rFonts w:ascii="Book Antiqua" w:hAnsi="Book Antiqua" w:cs="Arial"/>
          <w:bCs/>
          <w:sz w:val="24"/>
          <w:szCs w:val="24"/>
          <w:vertAlign w:val="superscript"/>
          <w:lang w:val="en-US"/>
        </w:rPr>
        <w:fldChar w:fldCharType="separate"/>
      </w:r>
      <w:r w:rsidR="00765F29"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5</w:t>
      </w:r>
      <w:r w:rsidR="00D5352D" w:rsidRPr="007F5A49">
        <w:rPr>
          <w:rFonts w:ascii="Book Antiqua" w:hAnsi="Book Antiqua" w:cs="Arial"/>
          <w:bCs/>
          <w:sz w:val="24"/>
          <w:szCs w:val="24"/>
          <w:vertAlign w:val="superscript"/>
          <w:lang w:val="en-US"/>
        </w:rPr>
        <w:fldChar w:fldCharType="end"/>
      </w:r>
      <w:r w:rsidR="00765F29" w:rsidRPr="007F5A49">
        <w:rPr>
          <w:rFonts w:ascii="Book Antiqua" w:hAnsi="Book Antiqua" w:cs="Arial"/>
          <w:bCs/>
          <w:sz w:val="24"/>
          <w:szCs w:val="24"/>
          <w:vertAlign w:val="superscript"/>
          <w:lang w:val="en-US"/>
        </w:rPr>
        <w:t>]</w:t>
      </w:r>
      <w:r w:rsidR="00411968" w:rsidRPr="007F5A49">
        <w:rPr>
          <w:rFonts w:ascii="Book Antiqua" w:hAnsi="Book Antiqua" w:cs="Arial"/>
          <w:bCs/>
          <w:sz w:val="24"/>
          <w:szCs w:val="24"/>
          <w:lang w:val="en-US"/>
        </w:rPr>
        <w:t xml:space="preserve">. </w:t>
      </w:r>
      <w:r w:rsidR="000522AC" w:rsidRPr="007F5A49">
        <w:rPr>
          <w:rFonts w:ascii="Book Antiqua" w:hAnsi="Book Antiqua" w:cs="Arial"/>
          <w:bCs/>
          <w:sz w:val="24"/>
          <w:szCs w:val="24"/>
          <w:lang w:val="en-US"/>
        </w:rPr>
        <w:t xml:space="preserve">Hepcidin also binds to </w:t>
      </w:r>
      <w:proofErr w:type="spellStart"/>
      <w:r w:rsidR="000522AC" w:rsidRPr="007F5A49">
        <w:rPr>
          <w:rFonts w:ascii="Book Antiqua" w:hAnsi="Book Antiqua" w:cs="Arial"/>
          <w:bCs/>
          <w:sz w:val="24"/>
          <w:szCs w:val="24"/>
          <w:lang w:val="en-US"/>
        </w:rPr>
        <w:t>ferroportin</w:t>
      </w:r>
      <w:proofErr w:type="spellEnd"/>
      <w:r w:rsidR="000522AC" w:rsidRPr="007F5A49">
        <w:rPr>
          <w:rFonts w:ascii="Book Antiqua" w:hAnsi="Book Antiqua" w:cs="Arial"/>
          <w:bCs/>
          <w:sz w:val="24"/>
          <w:szCs w:val="24"/>
          <w:lang w:val="en-US"/>
        </w:rPr>
        <w:t xml:space="preserve"> on the enterocytes</w:t>
      </w:r>
      <w:r w:rsidR="009A0669" w:rsidRPr="007F5A49">
        <w:rPr>
          <w:rFonts w:ascii="Book Antiqua" w:hAnsi="Book Antiqua" w:cs="Arial"/>
          <w:bCs/>
          <w:sz w:val="24"/>
          <w:szCs w:val="24"/>
          <w:lang w:val="en-US"/>
        </w:rPr>
        <w:t xml:space="preserve"> and decreases the </w:t>
      </w:r>
      <w:r w:rsidR="009A0669" w:rsidRPr="007F5A49">
        <w:rPr>
          <w:rFonts w:ascii="Book Antiqua" w:hAnsi="Book Antiqua" w:cs="Arial"/>
          <w:sz w:val="24"/>
          <w:szCs w:val="24"/>
          <w:lang w:val="en-US"/>
        </w:rPr>
        <w:t>expression of divalent metal transporter (DMT)-1 protein on the apical surface of enterocytes that mediates non-</w:t>
      </w:r>
      <w:proofErr w:type="spellStart"/>
      <w:r w:rsidR="009A0669" w:rsidRPr="007F5A49">
        <w:rPr>
          <w:rFonts w:ascii="Book Antiqua" w:hAnsi="Book Antiqua" w:cs="Arial"/>
          <w:sz w:val="24"/>
          <w:szCs w:val="24"/>
          <w:lang w:val="en-US"/>
        </w:rPr>
        <w:t>hae</w:t>
      </w:r>
      <w:r w:rsidR="005011D2">
        <w:rPr>
          <w:rFonts w:ascii="Book Antiqua" w:hAnsi="Book Antiqua" w:cs="Arial"/>
          <w:sz w:val="24"/>
          <w:szCs w:val="24"/>
          <w:lang w:val="en-US"/>
        </w:rPr>
        <w:t>m</w:t>
      </w:r>
      <w:proofErr w:type="spellEnd"/>
      <w:r w:rsidR="005011D2">
        <w:rPr>
          <w:rFonts w:ascii="Book Antiqua" w:hAnsi="Book Antiqua" w:cs="Arial"/>
          <w:sz w:val="24"/>
          <w:szCs w:val="24"/>
          <w:lang w:val="en-US"/>
        </w:rPr>
        <w:t xml:space="preserve"> iron uptake, and thus reduces</w:t>
      </w:r>
      <w:r w:rsidR="005011D2">
        <w:rPr>
          <w:rFonts w:ascii="Book Antiqua" w:hAnsi="Book Antiqua" w:cs="Arial"/>
          <w:bCs/>
          <w:sz w:val="24"/>
          <w:szCs w:val="24"/>
          <w:lang w:val="en-US"/>
        </w:rPr>
        <w:t xml:space="preserve"> </w:t>
      </w:r>
      <w:r w:rsidR="00AD1964" w:rsidRPr="007F5A49">
        <w:rPr>
          <w:rFonts w:ascii="Book Antiqua" w:hAnsi="Book Antiqua" w:cs="Arial"/>
          <w:bCs/>
          <w:sz w:val="24"/>
          <w:szCs w:val="24"/>
          <w:lang w:val="en-US"/>
        </w:rPr>
        <w:t>intestinal iron absorption</w:t>
      </w:r>
      <w:r w:rsidR="009A0669"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km59ad7ci","properties":{"formattedCitation":"(6)","plainCitation":"(6)","noteIndex":0},"citationItems":[{"id":"z1PZoHrb/asTkrwoc","uris":["http://zotero.org/users/4222068/items/6B7CM255"],"uri":["http://zotero.org/users/4222068/items/6B7CM255"],"itemData":{"id":1309,"type":"article-journal","title":"Intestinal DMT1 cotransporter is down-regulated by hepcidin via proteasome internalization and degradation","container-title":"Gastroenterology","page":"1261-1271.e1","volume":"140","issue":"4","source":"PubMed","abstract":"BACKGROUNDS &amp; AIMS: The mechanism by which hepcidin regulates iron export from macrophages has been well established and is believed to involve degradation of ferroportin. However, in the small intestine, hepcidin's mechanisms of action are not known. We studied human polarized intestinal (Caco-2/TC7) cells and mouse duodenal segments, ex vivo, to investigate the molecular mechanisms by which hepcidin down-regulates intestinal transepithelial iron transport.\nMETHODS: Iron transport was analyzed using </w:instrText>
      </w:r>
      <w:r w:rsidR="00D2645C" w:rsidRPr="007F5A49">
        <w:rPr>
          <w:rFonts w:ascii="Calibri" w:eastAsia="Calibri" w:hAnsi="Calibri" w:cs="Calibri"/>
          <w:sz w:val="24"/>
          <w:szCs w:val="24"/>
          <w:vertAlign w:val="superscript"/>
          <w:lang w:val="en-US"/>
        </w:rPr>
        <w:instrText>⁵⁵</w:instrText>
      </w:r>
      <w:r w:rsidR="00D2645C" w:rsidRPr="007F5A49">
        <w:rPr>
          <w:rFonts w:ascii="Book Antiqua" w:hAnsi="Book Antiqua" w:cs="Arial"/>
          <w:sz w:val="24"/>
          <w:szCs w:val="24"/>
          <w:vertAlign w:val="superscript"/>
          <w:lang w:val="en-US"/>
        </w:rPr>
        <w:instrText xml:space="preserve">FeNTA. Expression of Divalent Metal Transporter 1 (DMT1) and ferroportin was evaluated by reverse-transcription quantitative polymerase chain reaction and immunoblotting. Videomicroscopy analysis was performed on live cells that expressed either DMT1 or ferroportin fused to green fluorescent protein.\nRESULTS: In Caco-2/TC7 cells, physiologic doses of hepcidin (50-1000 nmol/L) inhibited transport of </w:instrText>
      </w:r>
      <w:r w:rsidR="00D2645C" w:rsidRPr="007F5A49">
        <w:rPr>
          <w:rFonts w:ascii="Calibri" w:eastAsia="Calibri" w:hAnsi="Calibri" w:cs="Calibri"/>
          <w:sz w:val="24"/>
          <w:szCs w:val="24"/>
          <w:vertAlign w:val="superscript"/>
          <w:lang w:val="en-US"/>
        </w:rPr>
        <w:instrText>⁵⁵</w:instrText>
      </w:r>
      <w:r w:rsidR="00D2645C" w:rsidRPr="007F5A49">
        <w:rPr>
          <w:rFonts w:ascii="Book Antiqua" w:hAnsi="Book Antiqua" w:cs="Arial"/>
          <w:sz w:val="24"/>
          <w:szCs w:val="24"/>
          <w:vertAlign w:val="superscript"/>
          <w:lang w:val="en-US"/>
        </w:rPr>
        <w:instrText xml:space="preserve">Fe in a dose-dependent manner; a half-maximum effect was observed at 75-100 nmol/L. However, 200 nmol/L hepcidin induced a significant decrease in DMT1 protein expression but no change in ferroportin protein levels, unlike macrophages. This result was confirmed ex vivo in isolated duodenal segments: 200 nmol/L hepcidin induced a significant reduction in iron transport and DMT1 protein levels but no change in ferroportin levels. In Caco-2/TC7 cells, the effect of hepcidin on the DMT1 protein level was completely abolished in the presence of a proteasome inhibitor (MG-132); DMT1 ubiquitination was induced by the addition of hepcidin.\nCONCLUSIONS: An acute increase in hepcidin concentration reduces intestinal iron absorption through ubiquitin-dependent proteasome degradation of DMT1.","DOI":"10.1053/j.gastro.2010.12.037","ISSN":"1528-0012","note":"PMID: 21199652","journalAbbreviation":"Gastroenterology","language":"eng","author":[{"family":"Brasse-Lagnel","given":"Carole"},{"family":"Karim","given":"Zoubida"},{"family":"Letteron","given":"Philippe"},{"family":"Bekri","given":"Soumeya"},{"family":"Bado","given":"André"},{"family":"Beaumont","given":"Carole"}],"issued":{"date-parts":[["2011",4]]}}}],"schema":"https://github.com/citation-style-language/schema/raw/master/csl-citation.json"} </w:instrText>
      </w:r>
      <w:r w:rsidR="009A0669" w:rsidRPr="007F5A49">
        <w:rPr>
          <w:rFonts w:ascii="Book Antiqua" w:hAnsi="Book Antiqua" w:cs="Arial"/>
          <w:sz w:val="24"/>
          <w:szCs w:val="24"/>
          <w:vertAlign w:val="superscript"/>
          <w:lang w:val="en-US"/>
        </w:rPr>
        <w:fldChar w:fldCharType="separate"/>
      </w:r>
      <w:r w:rsidR="00765F29"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6</w:t>
      </w:r>
      <w:r w:rsidR="009A0669" w:rsidRPr="007F5A49">
        <w:rPr>
          <w:rFonts w:ascii="Book Antiqua" w:hAnsi="Book Antiqua" w:cs="Arial"/>
          <w:sz w:val="24"/>
          <w:szCs w:val="24"/>
          <w:vertAlign w:val="superscript"/>
          <w:lang w:val="en-US"/>
        </w:rPr>
        <w:fldChar w:fldCharType="end"/>
      </w:r>
      <w:r w:rsidR="00765F29" w:rsidRPr="007F5A49">
        <w:rPr>
          <w:rFonts w:ascii="Book Antiqua" w:hAnsi="Book Antiqua" w:cs="Arial"/>
          <w:sz w:val="24"/>
          <w:szCs w:val="24"/>
          <w:vertAlign w:val="superscript"/>
          <w:lang w:val="en-US"/>
        </w:rPr>
        <w:t>]</w:t>
      </w:r>
      <w:r w:rsidR="009A0669" w:rsidRPr="007F5A49">
        <w:rPr>
          <w:rFonts w:ascii="Book Antiqua" w:hAnsi="Book Antiqua" w:cs="Arial"/>
          <w:sz w:val="24"/>
          <w:szCs w:val="24"/>
          <w:lang w:val="en-US"/>
        </w:rPr>
        <w:t xml:space="preserve">. </w:t>
      </w:r>
      <w:r w:rsidR="004A6BDE" w:rsidRPr="007F5A49">
        <w:rPr>
          <w:rFonts w:ascii="Book Antiqua" w:hAnsi="Book Antiqua" w:cs="Arial"/>
          <w:sz w:val="24"/>
          <w:szCs w:val="24"/>
          <w:lang w:val="en-US"/>
        </w:rPr>
        <w:t>L</w:t>
      </w:r>
      <w:r w:rsidR="008314EF" w:rsidRPr="007F5A49">
        <w:rPr>
          <w:rFonts w:ascii="Book Antiqua" w:hAnsi="Book Antiqua" w:cs="Arial"/>
          <w:bCs/>
          <w:sz w:val="24"/>
          <w:szCs w:val="24"/>
          <w:lang w:val="en-US"/>
        </w:rPr>
        <w:t>ack of</w:t>
      </w:r>
      <w:r w:rsidR="00DF4B6D" w:rsidRPr="007F5A49">
        <w:rPr>
          <w:rFonts w:ascii="Book Antiqua" w:hAnsi="Book Antiqua" w:cs="Arial"/>
          <w:bCs/>
          <w:sz w:val="24"/>
          <w:szCs w:val="24"/>
          <w:lang w:val="en-US"/>
        </w:rPr>
        <w:t xml:space="preserve">, </w:t>
      </w:r>
      <w:r w:rsidR="008314EF" w:rsidRPr="007F5A49">
        <w:rPr>
          <w:rFonts w:ascii="Book Antiqua" w:hAnsi="Book Antiqua" w:cs="Arial"/>
          <w:bCs/>
          <w:sz w:val="24"/>
          <w:szCs w:val="24"/>
          <w:lang w:val="en-US"/>
        </w:rPr>
        <w:t xml:space="preserve">or </w:t>
      </w:r>
      <w:r w:rsidR="006C468D" w:rsidRPr="007F5A49">
        <w:rPr>
          <w:rFonts w:ascii="Book Antiqua" w:hAnsi="Book Antiqua" w:cs="Arial"/>
          <w:bCs/>
          <w:sz w:val="24"/>
          <w:szCs w:val="24"/>
          <w:lang w:val="en-US"/>
        </w:rPr>
        <w:t>resistance</w:t>
      </w:r>
      <w:r w:rsidR="008314EF" w:rsidRPr="007F5A49">
        <w:rPr>
          <w:rFonts w:ascii="Book Antiqua" w:hAnsi="Book Antiqua" w:cs="Arial"/>
          <w:bCs/>
          <w:sz w:val="24"/>
          <w:szCs w:val="24"/>
          <w:lang w:val="en-US"/>
        </w:rPr>
        <w:t xml:space="preserve"> to</w:t>
      </w:r>
      <w:r w:rsidR="00CF7F8F" w:rsidRPr="007F5A49">
        <w:rPr>
          <w:rFonts w:ascii="Book Antiqua" w:hAnsi="Book Antiqua" w:cs="Arial"/>
          <w:bCs/>
          <w:sz w:val="24"/>
          <w:szCs w:val="24"/>
          <w:lang w:val="en-US"/>
        </w:rPr>
        <w:t xml:space="preserve"> </w:t>
      </w:r>
      <w:r w:rsidR="006C468D" w:rsidRPr="007F5A49">
        <w:rPr>
          <w:rFonts w:ascii="Book Antiqua" w:hAnsi="Book Antiqua" w:cs="Arial"/>
          <w:bCs/>
          <w:sz w:val="24"/>
          <w:szCs w:val="24"/>
          <w:lang w:val="en-US"/>
        </w:rPr>
        <w:t>hepcidin</w:t>
      </w:r>
      <w:r w:rsidR="004A725B" w:rsidRPr="007F5A49">
        <w:rPr>
          <w:rFonts w:ascii="Book Antiqua" w:hAnsi="Book Antiqua" w:cs="Arial"/>
          <w:bCs/>
          <w:sz w:val="24"/>
          <w:szCs w:val="24"/>
          <w:lang w:val="en-US"/>
        </w:rPr>
        <w:t xml:space="preserve"> </w:t>
      </w:r>
      <w:r w:rsidR="00CF7F8F" w:rsidRPr="007F5A49">
        <w:rPr>
          <w:rFonts w:ascii="Book Antiqua" w:hAnsi="Book Antiqua" w:cs="Arial"/>
          <w:bCs/>
          <w:sz w:val="24"/>
          <w:szCs w:val="24"/>
          <w:lang w:val="en-US"/>
        </w:rPr>
        <w:t xml:space="preserve">due to mutations </w:t>
      </w:r>
      <w:r w:rsidR="006C468D" w:rsidRPr="007F5A49">
        <w:rPr>
          <w:rFonts w:ascii="Book Antiqua" w:hAnsi="Book Antiqua" w:cs="Arial"/>
          <w:bCs/>
          <w:sz w:val="24"/>
          <w:szCs w:val="24"/>
          <w:lang w:val="en-US"/>
        </w:rPr>
        <w:t>leads to excessive iron absorption f</w:t>
      </w:r>
      <w:r w:rsidR="00A45BAC" w:rsidRPr="007F5A49">
        <w:rPr>
          <w:rFonts w:ascii="Book Antiqua" w:hAnsi="Book Antiqua" w:cs="Arial"/>
          <w:bCs/>
          <w:sz w:val="24"/>
          <w:szCs w:val="24"/>
          <w:lang w:val="en-US"/>
        </w:rPr>
        <w:t>rom</w:t>
      </w:r>
      <w:r w:rsidR="006C468D" w:rsidRPr="007F5A49">
        <w:rPr>
          <w:rFonts w:ascii="Book Antiqua" w:hAnsi="Book Antiqua" w:cs="Arial"/>
          <w:bCs/>
          <w:sz w:val="24"/>
          <w:szCs w:val="24"/>
          <w:lang w:val="en-US"/>
        </w:rPr>
        <w:t xml:space="preserve"> the</w:t>
      </w:r>
      <w:r w:rsidR="00EB1DEC" w:rsidRPr="007F5A49">
        <w:rPr>
          <w:rFonts w:ascii="Book Antiqua" w:hAnsi="Book Antiqua" w:cs="Arial"/>
          <w:bCs/>
          <w:sz w:val="24"/>
          <w:szCs w:val="24"/>
          <w:lang w:val="en-US"/>
        </w:rPr>
        <w:t xml:space="preserve"> duodenum</w:t>
      </w:r>
      <w:r w:rsidR="00C02D61" w:rsidRPr="007F5A49">
        <w:rPr>
          <w:rFonts w:ascii="Book Antiqua" w:hAnsi="Book Antiqua" w:cs="Arial"/>
          <w:bCs/>
          <w:sz w:val="24"/>
          <w:szCs w:val="24"/>
          <w:lang w:val="en-US"/>
        </w:rPr>
        <w:t xml:space="preserve">, </w:t>
      </w:r>
      <w:r w:rsidR="006C468D" w:rsidRPr="007F5A49">
        <w:rPr>
          <w:rFonts w:ascii="Book Antiqua" w:hAnsi="Book Antiqua" w:cs="Arial"/>
          <w:bCs/>
          <w:sz w:val="24"/>
          <w:szCs w:val="24"/>
          <w:lang w:val="en-US"/>
        </w:rPr>
        <w:t xml:space="preserve">unregulated iron release </w:t>
      </w:r>
      <w:r w:rsidR="005F2207" w:rsidRPr="007F5A49">
        <w:rPr>
          <w:rFonts w:ascii="Book Antiqua" w:hAnsi="Book Antiqua" w:cs="Arial"/>
          <w:bCs/>
          <w:sz w:val="24"/>
          <w:szCs w:val="24"/>
          <w:lang w:val="en-US"/>
        </w:rPr>
        <w:t xml:space="preserve">from the </w:t>
      </w:r>
      <w:r w:rsidR="00CF0EB7" w:rsidRPr="007F5A49">
        <w:rPr>
          <w:rFonts w:ascii="Book Antiqua" w:hAnsi="Book Antiqua" w:cs="Arial"/>
          <w:bCs/>
          <w:sz w:val="24"/>
          <w:szCs w:val="24"/>
          <w:lang w:val="en-US"/>
        </w:rPr>
        <w:t>macrophages</w:t>
      </w:r>
      <w:r w:rsidR="004A725B" w:rsidRPr="007F5A49">
        <w:rPr>
          <w:rFonts w:ascii="Book Antiqua" w:hAnsi="Book Antiqua" w:cs="Arial"/>
          <w:bCs/>
          <w:sz w:val="24"/>
          <w:szCs w:val="24"/>
          <w:lang w:val="en-US"/>
        </w:rPr>
        <w:t xml:space="preserve"> </w:t>
      </w:r>
      <w:r w:rsidR="006C468D" w:rsidRPr="007F5A49">
        <w:rPr>
          <w:rFonts w:ascii="Book Antiqua" w:hAnsi="Book Antiqua" w:cs="Arial"/>
          <w:bCs/>
          <w:sz w:val="24"/>
          <w:szCs w:val="24"/>
          <w:lang w:val="en-US"/>
        </w:rPr>
        <w:t>into the circulation</w:t>
      </w:r>
      <w:r w:rsidR="00C02D61" w:rsidRPr="007F5A49">
        <w:rPr>
          <w:rFonts w:ascii="Book Antiqua" w:hAnsi="Book Antiqua" w:cs="Arial"/>
          <w:bCs/>
          <w:sz w:val="24"/>
          <w:szCs w:val="24"/>
          <w:lang w:val="en-US"/>
        </w:rPr>
        <w:t xml:space="preserve"> and excessive </w:t>
      </w:r>
      <w:r w:rsidR="00A45BAC" w:rsidRPr="007F5A49">
        <w:rPr>
          <w:rFonts w:ascii="Book Antiqua" w:hAnsi="Book Antiqua" w:cs="Arial"/>
          <w:bCs/>
          <w:sz w:val="24"/>
          <w:szCs w:val="24"/>
          <w:lang w:val="en-US"/>
        </w:rPr>
        <w:t>iron deposition in various organs</w:t>
      </w:r>
      <w:r w:rsidR="00CF0EB7" w:rsidRPr="007F5A49">
        <w:rPr>
          <w:rFonts w:ascii="Book Antiqua" w:hAnsi="Book Antiqua" w:cs="Arial"/>
          <w:bCs/>
          <w:sz w:val="24"/>
          <w:szCs w:val="24"/>
          <w:lang w:val="en-US"/>
        </w:rPr>
        <w:t>. These features manifest as</w:t>
      </w:r>
      <w:r w:rsidR="00C02D61" w:rsidRPr="007F5A49">
        <w:rPr>
          <w:rFonts w:ascii="Book Antiqua" w:hAnsi="Book Antiqua" w:cs="Arial"/>
          <w:bCs/>
          <w:sz w:val="24"/>
          <w:szCs w:val="24"/>
          <w:lang w:val="en-US"/>
        </w:rPr>
        <w:t xml:space="preserve"> hereditary </w:t>
      </w:r>
      <w:r w:rsidR="007B5113" w:rsidRPr="007F5A49">
        <w:rPr>
          <w:rFonts w:ascii="Book Antiqua" w:hAnsi="Book Antiqua" w:cs="Arial"/>
          <w:bCs/>
          <w:sz w:val="24"/>
          <w:szCs w:val="24"/>
          <w:lang w:val="en-US"/>
        </w:rPr>
        <w:t>haemochromatosis</w:t>
      </w:r>
      <w:r w:rsidR="00D5352D" w:rsidRPr="007F5A49">
        <w:rPr>
          <w:rFonts w:ascii="Book Antiqua" w:hAnsi="Book Antiqua" w:cs="Arial"/>
          <w:bCs/>
          <w:sz w:val="24"/>
          <w:szCs w:val="24"/>
          <w:vertAlign w:val="superscript"/>
          <w:lang w:val="en-US"/>
        </w:rPr>
        <w:fldChar w:fldCharType="begin"/>
      </w:r>
      <w:r w:rsidR="00D2645C" w:rsidRPr="007F5A49">
        <w:rPr>
          <w:rFonts w:ascii="Book Antiqua" w:hAnsi="Book Antiqua" w:cs="Arial"/>
          <w:bCs/>
          <w:sz w:val="24"/>
          <w:szCs w:val="24"/>
          <w:vertAlign w:val="superscript"/>
          <w:lang w:val="en-US"/>
        </w:rPr>
        <w:instrText xml:space="preserve"> ADDIN ZOTERO_ITEM CSL_CITATION {"citationID":"a1oprnimdhn","properties":{"formattedCitation":"(7)","plainCitation":"(7)","noteIndex":0},"citationItems":[{"id":107,"uris":["http://zotero.org/users/2804724/items/TK5HVEM3"],"uri":["http://zotero.org/users/2804724/items/TK5HVEM3"],"itemData":{"id":107,"type":"article-journal","title":"Iron and the liver","container-title":"Liver International: Official Journal of the International Association for the Study of the Liver","page":"116-123","volume":"36 Suppl 1","source":"PubMed","abstract":"Humans have evolved to retain iron in the body and are exposed to a high risk of iron overload and iron-related toxicity. Excess iron in the blood, in the absence of increased erythropoietic needs, can saturate the buffering capacity of serum transferrin and result in non-transferrin-bound highly reactive forms of iron that can cause damage, as well as promote fibrogenesis and carcinogenesis in the parenchymatous organs. A number of hereditary or acquired diseases are associated with systemic or local iron deposition or iron misdistribution in organs or cells. Two of these, the HFE- and non-HFE hemochromatosis syndromes represent the paradigms of genetic iron overload. They share common clinical features and the same pathogenic basis, in particular, a lack of synthesis or activity of hepcidin, the iron hormone. Before hepcidin was discovered, the liver was simply regarded as the main site of iron storage and, as such, the main target of iron toxicity. Now, as the main source of hepcidin, it appears that the loss of the hepcidin-producing liver mass or genetic and acquired factors that repress hepcidin synthesis in the liver may also lead to iron overload. Usually, there is low-grade excess iron which, through oxidative stress, is sufficient to worsen the course of the underlying liver disease or other chronic diseases that are apparently unrelated to iron, such as chronic metabolic and cardiovascular diseases. In the future, modulation of hepcidin synthesis and activity or hepcidin hormone-replacing strategies may become therapeutic options to cure iron-related disorders.","DOI":"10.1111/liv.13020","ISSN":"1478-3231","note":"PMID: 26725908","journalAbbreviation":"Liver Int.","language":"eng","author":[{"family":"Pietrangelo","given":"Antonello"}],"issued":{"date-parts":[["2016",1]]}}}],"schema":"https://github.com/citation-style-language/schema/raw/master/csl-citation.json"} </w:instrText>
      </w:r>
      <w:r w:rsidR="00D5352D" w:rsidRPr="007F5A49">
        <w:rPr>
          <w:rFonts w:ascii="Book Antiqua" w:hAnsi="Book Antiqua" w:cs="Arial"/>
          <w:bCs/>
          <w:sz w:val="24"/>
          <w:szCs w:val="24"/>
          <w:vertAlign w:val="superscript"/>
          <w:lang w:val="en-US"/>
        </w:rPr>
        <w:fldChar w:fldCharType="separate"/>
      </w:r>
      <w:r w:rsidR="00765F29"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7</w:t>
      </w:r>
      <w:r w:rsidR="00D5352D" w:rsidRPr="007F5A49">
        <w:rPr>
          <w:rFonts w:ascii="Book Antiqua" w:hAnsi="Book Antiqua" w:cs="Arial"/>
          <w:bCs/>
          <w:sz w:val="24"/>
          <w:szCs w:val="24"/>
          <w:vertAlign w:val="superscript"/>
          <w:lang w:val="en-US"/>
        </w:rPr>
        <w:fldChar w:fldCharType="end"/>
      </w:r>
      <w:r w:rsidR="00765F29" w:rsidRPr="007F5A49">
        <w:rPr>
          <w:rFonts w:ascii="Book Antiqua" w:hAnsi="Book Antiqua" w:cs="Arial"/>
          <w:bCs/>
          <w:sz w:val="24"/>
          <w:szCs w:val="24"/>
          <w:vertAlign w:val="superscript"/>
          <w:lang w:val="en-US"/>
        </w:rPr>
        <w:t>]</w:t>
      </w:r>
      <w:r w:rsidR="00411968" w:rsidRPr="007F5A49">
        <w:rPr>
          <w:rFonts w:ascii="Book Antiqua" w:hAnsi="Book Antiqua" w:cs="Arial"/>
          <w:bCs/>
          <w:sz w:val="24"/>
          <w:szCs w:val="24"/>
          <w:lang w:val="en-US"/>
        </w:rPr>
        <w:t xml:space="preserve">. </w:t>
      </w:r>
      <w:r w:rsidR="00E522CC" w:rsidRPr="007F5A49">
        <w:rPr>
          <w:rFonts w:ascii="Book Antiqua" w:hAnsi="Book Antiqua" w:cs="Arial"/>
          <w:bCs/>
          <w:sz w:val="24"/>
          <w:szCs w:val="24"/>
          <w:lang w:val="en-US"/>
        </w:rPr>
        <w:t>However,</w:t>
      </w:r>
      <w:r w:rsidR="003B438E" w:rsidRPr="007F5A49">
        <w:rPr>
          <w:rFonts w:ascii="Book Antiqua" w:hAnsi="Book Antiqua" w:cs="Arial"/>
          <w:bCs/>
          <w:sz w:val="24"/>
          <w:szCs w:val="24"/>
          <w:lang w:val="en-US"/>
        </w:rPr>
        <w:t xml:space="preserve"> </w:t>
      </w:r>
      <w:r w:rsidR="00C02D61" w:rsidRPr="007F5A49">
        <w:rPr>
          <w:rFonts w:ascii="Book Antiqua" w:hAnsi="Book Antiqua" w:cs="Arial"/>
          <w:bCs/>
          <w:sz w:val="24"/>
          <w:szCs w:val="24"/>
          <w:lang w:val="en-US"/>
        </w:rPr>
        <w:t xml:space="preserve">in </w:t>
      </w:r>
      <w:r w:rsidR="00336CE3" w:rsidRPr="007F5A49">
        <w:rPr>
          <w:rFonts w:ascii="Book Antiqua" w:hAnsi="Book Antiqua" w:cs="Arial"/>
          <w:bCs/>
          <w:sz w:val="24"/>
          <w:szCs w:val="24"/>
          <w:lang w:val="en-US"/>
        </w:rPr>
        <w:t xml:space="preserve">non-hereditary </w:t>
      </w:r>
      <w:r w:rsidR="00C02D61" w:rsidRPr="007F5A49">
        <w:rPr>
          <w:rFonts w:ascii="Book Antiqua" w:hAnsi="Book Antiqua" w:cs="Arial"/>
          <w:bCs/>
          <w:sz w:val="24"/>
          <w:szCs w:val="24"/>
          <w:lang w:val="en-US"/>
        </w:rPr>
        <w:t>fibrotic CLDs</w:t>
      </w:r>
      <w:r w:rsidR="00336CE3" w:rsidRPr="007F5A49">
        <w:rPr>
          <w:rFonts w:ascii="Book Antiqua" w:hAnsi="Book Antiqua" w:cs="Arial"/>
          <w:bCs/>
          <w:sz w:val="24"/>
          <w:szCs w:val="24"/>
          <w:lang w:val="en-US"/>
        </w:rPr>
        <w:t xml:space="preserve">, </w:t>
      </w:r>
      <w:r w:rsidR="00C02D61" w:rsidRPr="007F5A49">
        <w:rPr>
          <w:rFonts w:ascii="Book Antiqua" w:hAnsi="Book Antiqua" w:cs="Arial"/>
          <w:bCs/>
          <w:sz w:val="24"/>
          <w:szCs w:val="24"/>
          <w:lang w:val="en-US"/>
        </w:rPr>
        <w:t xml:space="preserve">the </w:t>
      </w:r>
      <w:r w:rsidR="00CF0EB7" w:rsidRPr="007F5A49">
        <w:rPr>
          <w:rFonts w:ascii="Book Antiqua" w:hAnsi="Book Antiqua" w:cs="Arial"/>
          <w:bCs/>
          <w:sz w:val="24"/>
          <w:szCs w:val="24"/>
          <w:lang w:val="en-US"/>
        </w:rPr>
        <w:t>basis</w:t>
      </w:r>
      <w:r w:rsidR="00C02D61" w:rsidRPr="007F5A49">
        <w:rPr>
          <w:rFonts w:ascii="Book Antiqua" w:hAnsi="Book Antiqua" w:cs="Arial"/>
          <w:bCs/>
          <w:sz w:val="24"/>
          <w:szCs w:val="24"/>
          <w:lang w:val="en-US"/>
        </w:rPr>
        <w:t xml:space="preserve"> for </w:t>
      </w:r>
      <w:r w:rsidR="005978F1" w:rsidRPr="007F5A49">
        <w:rPr>
          <w:rFonts w:ascii="Book Antiqua" w:hAnsi="Book Antiqua" w:cs="Arial"/>
          <w:bCs/>
          <w:sz w:val="24"/>
          <w:szCs w:val="24"/>
          <w:lang w:val="en-US"/>
        </w:rPr>
        <w:t>iron-loading</w:t>
      </w:r>
      <w:r w:rsidR="00C02D61" w:rsidRPr="007F5A49">
        <w:rPr>
          <w:rFonts w:ascii="Book Antiqua" w:hAnsi="Book Antiqua" w:cs="Arial"/>
          <w:bCs/>
          <w:sz w:val="24"/>
          <w:szCs w:val="24"/>
          <w:lang w:val="en-US"/>
        </w:rPr>
        <w:t xml:space="preserve"> </w:t>
      </w:r>
      <w:r w:rsidR="005B60D6" w:rsidRPr="007F5A49">
        <w:rPr>
          <w:rFonts w:ascii="Book Antiqua" w:hAnsi="Book Antiqua" w:cs="Arial"/>
          <w:bCs/>
          <w:sz w:val="24"/>
          <w:szCs w:val="24"/>
          <w:lang w:val="en-US"/>
        </w:rPr>
        <w:t xml:space="preserve">is </w:t>
      </w:r>
      <w:r w:rsidR="00C02D61" w:rsidRPr="007F5A49">
        <w:rPr>
          <w:rFonts w:ascii="Book Antiqua" w:hAnsi="Book Antiqua" w:cs="Arial"/>
          <w:bCs/>
          <w:sz w:val="24"/>
          <w:szCs w:val="24"/>
          <w:lang w:val="en-US"/>
        </w:rPr>
        <w:t xml:space="preserve">not fully understood and </w:t>
      </w:r>
      <w:r w:rsidR="00121C6B" w:rsidRPr="007F5A49">
        <w:rPr>
          <w:rFonts w:ascii="Book Antiqua" w:hAnsi="Book Antiqua" w:cs="Arial"/>
          <w:bCs/>
          <w:sz w:val="24"/>
          <w:szCs w:val="24"/>
          <w:lang w:val="en-US"/>
        </w:rPr>
        <w:t>w</w:t>
      </w:r>
      <w:r w:rsidR="00992CF8" w:rsidRPr="007F5A49">
        <w:rPr>
          <w:rFonts w:ascii="Book Antiqua" w:hAnsi="Book Antiqua" w:cs="Arial"/>
          <w:bCs/>
          <w:sz w:val="24"/>
          <w:szCs w:val="24"/>
          <w:lang w:val="en-US"/>
        </w:rPr>
        <w:t>het</w:t>
      </w:r>
      <w:r w:rsidR="00547A30" w:rsidRPr="007F5A49">
        <w:rPr>
          <w:rFonts w:ascii="Book Antiqua" w:hAnsi="Book Antiqua" w:cs="Arial"/>
          <w:bCs/>
          <w:sz w:val="24"/>
          <w:szCs w:val="24"/>
          <w:lang w:val="en-US"/>
        </w:rPr>
        <w:t>her iron</w:t>
      </w:r>
      <w:r w:rsidR="009E0125" w:rsidRPr="007F5A49">
        <w:rPr>
          <w:rFonts w:ascii="Book Antiqua" w:hAnsi="Book Antiqua" w:cs="Arial"/>
          <w:bCs/>
          <w:sz w:val="24"/>
          <w:szCs w:val="24"/>
          <w:lang w:val="en-US"/>
        </w:rPr>
        <w:t xml:space="preserve">-excess is </w:t>
      </w:r>
      <w:r w:rsidR="00547A30" w:rsidRPr="007F5A49">
        <w:rPr>
          <w:rFonts w:ascii="Book Antiqua" w:hAnsi="Book Antiqua" w:cs="Arial"/>
          <w:bCs/>
          <w:sz w:val="24"/>
          <w:szCs w:val="24"/>
          <w:lang w:val="en-US"/>
        </w:rPr>
        <w:t xml:space="preserve">the </w:t>
      </w:r>
      <w:r w:rsidR="006C468D" w:rsidRPr="007F5A49">
        <w:rPr>
          <w:rFonts w:ascii="Book Antiqua" w:hAnsi="Book Antiqua" w:cs="Arial"/>
          <w:bCs/>
          <w:sz w:val="24"/>
          <w:szCs w:val="24"/>
          <w:lang w:val="en-US"/>
        </w:rPr>
        <w:t>cause,</w:t>
      </w:r>
      <w:r w:rsidR="005B60D6" w:rsidRPr="007F5A49">
        <w:rPr>
          <w:rFonts w:ascii="Book Antiqua" w:hAnsi="Book Antiqua" w:cs="Arial"/>
          <w:bCs/>
          <w:sz w:val="24"/>
          <w:szCs w:val="24"/>
          <w:lang w:val="en-US"/>
        </w:rPr>
        <w:t xml:space="preserve"> a</w:t>
      </w:r>
      <w:r w:rsidR="006C468D" w:rsidRPr="007F5A49">
        <w:rPr>
          <w:rFonts w:ascii="Book Antiqua" w:hAnsi="Book Antiqua" w:cs="Arial"/>
          <w:bCs/>
          <w:sz w:val="24"/>
          <w:szCs w:val="24"/>
          <w:lang w:val="en-US"/>
        </w:rPr>
        <w:t xml:space="preserve"> consequence,</w:t>
      </w:r>
      <w:r w:rsidR="00992CF8" w:rsidRPr="007F5A49">
        <w:rPr>
          <w:rFonts w:ascii="Book Antiqua" w:hAnsi="Book Antiqua" w:cs="Arial"/>
          <w:bCs/>
          <w:sz w:val="24"/>
          <w:szCs w:val="24"/>
          <w:lang w:val="en-US"/>
        </w:rPr>
        <w:t xml:space="preserve"> or</w:t>
      </w:r>
      <w:r w:rsidR="005B60D6" w:rsidRPr="007F5A49">
        <w:rPr>
          <w:rFonts w:ascii="Book Antiqua" w:hAnsi="Book Antiqua" w:cs="Arial"/>
          <w:bCs/>
          <w:sz w:val="24"/>
          <w:szCs w:val="24"/>
          <w:lang w:val="en-US"/>
        </w:rPr>
        <w:t xml:space="preserve"> a</w:t>
      </w:r>
      <w:r w:rsidR="00992CF8" w:rsidRPr="007F5A49">
        <w:rPr>
          <w:rFonts w:ascii="Book Antiqua" w:hAnsi="Book Antiqua" w:cs="Arial"/>
          <w:bCs/>
          <w:sz w:val="24"/>
          <w:szCs w:val="24"/>
          <w:lang w:val="en-US"/>
        </w:rPr>
        <w:t xml:space="preserve"> mediator of pathological progress</w:t>
      </w:r>
      <w:r w:rsidR="00B04A0E" w:rsidRPr="007F5A49">
        <w:rPr>
          <w:rFonts w:ascii="Book Antiqua" w:hAnsi="Book Antiqua" w:cs="Arial"/>
          <w:bCs/>
          <w:sz w:val="24"/>
          <w:szCs w:val="24"/>
          <w:lang w:val="en-US"/>
        </w:rPr>
        <w:t>ion remain</w:t>
      </w:r>
      <w:r w:rsidR="009E0125" w:rsidRPr="007F5A49">
        <w:rPr>
          <w:rFonts w:ascii="Book Antiqua" w:hAnsi="Book Antiqua" w:cs="Arial"/>
          <w:bCs/>
          <w:sz w:val="24"/>
          <w:szCs w:val="24"/>
          <w:lang w:val="en-US"/>
        </w:rPr>
        <w:t>s</w:t>
      </w:r>
      <w:r w:rsidR="00B04A0E" w:rsidRPr="007F5A49">
        <w:rPr>
          <w:rFonts w:ascii="Book Antiqua" w:hAnsi="Book Antiqua" w:cs="Arial"/>
          <w:bCs/>
          <w:sz w:val="24"/>
          <w:szCs w:val="24"/>
          <w:lang w:val="en-US"/>
        </w:rPr>
        <w:t xml:space="preserve"> unknown.</w:t>
      </w:r>
      <w:r w:rsidR="00E54513" w:rsidRPr="007F5A49">
        <w:rPr>
          <w:rFonts w:ascii="Book Antiqua" w:hAnsi="Book Antiqua" w:cs="Arial"/>
          <w:bCs/>
          <w:sz w:val="24"/>
          <w:szCs w:val="24"/>
          <w:lang w:val="en-US"/>
        </w:rPr>
        <w:t xml:space="preserve"> </w:t>
      </w:r>
      <w:r w:rsidR="008E6FFC" w:rsidRPr="007F5A49">
        <w:rPr>
          <w:rFonts w:ascii="Book Antiqua" w:hAnsi="Book Antiqua" w:cs="Arial"/>
          <w:bCs/>
          <w:sz w:val="24"/>
          <w:szCs w:val="24"/>
          <w:lang w:val="en-US"/>
        </w:rPr>
        <w:t xml:space="preserve">Therefore, it is </w:t>
      </w:r>
      <w:r w:rsidR="006B4734" w:rsidRPr="007F5A49">
        <w:rPr>
          <w:rFonts w:ascii="Book Antiqua" w:hAnsi="Book Antiqua" w:cs="Arial"/>
          <w:bCs/>
          <w:sz w:val="24"/>
          <w:szCs w:val="24"/>
          <w:lang w:val="en-US"/>
        </w:rPr>
        <w:t>imperative</w:t>
      </w:r>
      <w:r w:rsidR="00BD0240" w:rsidRPr="007F5A49">
        <w:rPr>
          <w:rFonts w:ascii="Book Antiqua" w:hAnsi="Book Antiqua" w:cs="Arial"/>
          <w:bCs/>
          <w:sz w:val="24"/>
          <w:szCs w:val="24"/>
          <w:lang w:val="en-US"/>
        </w:rPr>
        <w:t xml:space="preserve"> to understand the role of iron in liver fibrosis and </w:t>
      </w:r>
      <w:r w:rsidR="008E6FFC" w:rsidRPr="007F5A49">
        <w:rPr>
          <w:rFonts w:ascii="Book Antiqua" w:hAnsi="Book Antiqua" w:cs="Arial"/>
          <w:bCs/>
          <w:sz w:val="24"/>
          <w:szCs w:val="24"/>
          <w:lang w:val="en-US"/>
        </w:rPr>
        <w:t xml:space="preserve">study </w:t>
      </w:r>
      <w:r w:rsidR="00BD0240" w:rsidRPr="007F5A49">
        <w:rPr>
          <w:rFonts w:ascii="Book Antiqua" w:hAnsi="Book Antiqua" w:cs="Arial"/>
          <w:bCs/>
          <w:sz w:val="24"/>
          <w:szCs w:val="24"/>
          <w:lang w:val="en-US"/>
        </w:rPr>
        <w:t xml:space="preserve">its mechanism of action to </w:t>
      </w:r>
      <w:r w:rsidR="000C743E" w:rsidRPr="007F5A49">
        <w:rPr>
          <w:rFonts w:ascii="Book Antiqua" w:hAnsi="Book Antiqua" w:cs="Arial"/>
          <w:bCs/>
          <w:sz w:val="24"/>
          <w:szCs w:val="24"/>
          <w:lang w:val="en-US"/>
        </w:rPr>
        <w:t xml:space="preserve">aid in the </w:t>
      </w:r>
      <w:r w:rsidR="00BD0240" w:rsidRPr="007F5A49">
        <w:rPr>
          <w:rFonts w:ascii="Book Antiqua" w:hAnsi="Book Antiqua" w:cs="Arial"/>
          <w:bCs/>
          <w:sz w:val="24"/>
          <w:szCs w:val="24"/>
          <w:lang w:val="en-US"/>
        </w:rPr>
        <w:t>early diagnosis and therapeu</w:t>
      </w:r>
      <w:r w:rsidR="009E0125" w:rsidRPr="007F5A49">
        <w:rPr>
          <w:rFonts w:ascii="Book Antiqua" w:hAnsi="Book Antiqua" w:cs="Arial"/>
          <w:bCs/>
          <w:sz w:val="24"/>
          <w:szCs w:val="24"/>
          <w:lang w:val="en-US"/>
        </w:rPr>
        <w:t>tics</w:t>
      </w:r>
      <w:r w:rsidR="007A1249" w:rsidRPr="007F5A49">
        <w:rPr>
          <w:rFonts w:ascii="Book Antiqua" w:hAnsi="Book Antiqua" w:cs="Arial"/>
          <w:bCs/>
          <w:sz w:val="24"/>
          <w:szCs w:val="24"/>
          <w:lang w:val="en-US"/>
        </w:rPr>
        <w:t xml:space="preserve"> </w:t>
      </w:r>
      <w:r w:rsidR="00CF3826" w:rsidRPr="007F5A49">
        <w:rPr>
          <w:rFonts w:ascii="Book Antiqua" w:hAnsi="Book Antiqua" w:cs="Arial"/>
          <w:bCs/>
          <w:sz w:val="24"/>
          <w:szCs w:val="24"/>
          <w:lang w:val="en-US"/>
        </w:rPr>
        <w:t xml:space="preserve">of myriad of </w:t>
      </w:r>
      <w:r w:rsidR="007A1249" w:rsidRPr="007F5A49">
        <w:rPr>
          <w:rFonts w:ascii="Book Antiqua" w:hAnsi="Book Antiqua" w:cs="Arial"/>
          <w:bCs/>
          <w:sz w:val="24"/>
          <w:szCs w:val="24"/>
          <w:lang w:val="en-US"/>
        </w:rPr>
        <w:t>non-</w:t>
      </w:r>
      <w:r w:rsidR="00CF3826" w:rsidRPr="007F5A49">
        <w:rPr>
          <w:rFonts w:ascii="Book Antiqua" w:hAnsi="Book Antiqua" w:cs="Arial"/>
          <w:bCs/>
          <w:sz w:val="24"/>
          <w:szCs w:val="24"/>
          <w:lang w:val="en-US"/>
        </w:rPr>
        <w:t xml:space="preserve">hereditary iron-loading </w:t>
      </w:r>
      <w:r w:rsidR="005011D2">
        <w:rPr>
          <w:rFonts w:ascii="Book Antiqua" w:hAnsi="Book Antiqua" w:cs="Arial"/>
          <w:bCs/>
          <w:sz w:val="24"/>
          <w:szCs w:val="24"/>
          <w:lang w:val="en-US"/>
        </w:rPr>
        <w:t>CLDs.</w:t>
      </w:r>
    </w:p>
    <w:p w14:paraId="3E9D11A4" w14:textId="77777777" w:rsidR="005011D2" w:rsidRPr="005011D2" w:rsidRDefault="005011D2" w:rsidP="005011D2">
      <w:pPr>
        <w:adjustRightInd w:val="0"/>
        <w:snapToGrid w:val="0"/>
        <w:spacing w:after="0" w:line="360" w:lineRule="auto"/>
        <w:ind w:firstLine="120"/>
        <w:jc w:val="both"/>
        <w:rPr>
          <w:rFonts w:ascii="Book Antiqua" w:hAnsi="Book Antiqua" w:cs="Arial"/>
          <w:bCs/>
          <w:sz w:val="24"/>
          <w:szCs w:val="24"/>
          <w:lang w:val="en-US"/>
        </w:rPr>
      </w:pPr>
    </w:p>
    <w:p w14:paraId="7AD87276" w14:textId="4CFB18DA" w:rsidR="00084760" w:rsidRPr="007F5A49" w:rsidRDefault="00CF46AE" w:rsidP="008E1EBB">
      <w:pPr>
        <w:adjustRightInd w:val="0"/>
        <w:snapToGrid w:val="0"/>
        <w:spacing w:after="0" w:line="360" w:lineRule="auto"/>
        <w:jc w:val="both"/>
        <w:outlineLvl w:val="0"/>
        <w:rPr>
          <w:rFonts w:ascii="Book Antiqua" w:hAnsi="Book Antiqua" w:cs="Arial"/>
          <w:sz w:val="24"/>
          <w:szCs w:val="24"/>
          <w:lang w:val="en-US"/>
        </w:rPr>
      </w:pPr>
      <w:r w:rsidRPr="007F5A49">
        <w:rPr>
          <w:rFonts w:ascii="Book Antiqua" w:hAnsi="Book Antiqua" w:cs="Arial"/>
          <w:b/>
          <w:sz w:val="24"/>
          <w:szCs w:val="24"/>
          <w:lang w:val="en-US"/>
        </w:rPr>
        <w:lastRenderedPageBreak/>
        <w:t>HEALTHY FIBROGENESIS TO PATHOLOGICAL FIBROSIS: LOSE CONTROL</w:t>
      </w:r>
    </w:p>
    <w:p w14:paraId="1198D6B7" w14:textId="17FF3864" w:rsidR="006C71A1" w:rsidRPr="007F5A49" w:rsidRDefault="00D40BB4" w:rsidP="007F5A49">
      <w:pPr>
        <w:adjustRightInd w:val="0"/>
        <w:snapToGrid w:val="0"/>
        <w:spacing w:after="0" w:line="360" w:lineRule="auto"/>
        <w:jc w:val="both"/>
        <w:rPr>
          <w:rFonts w:ascii="Book Antiqua" w:hAnsi="Book Antiqua" w:cs="Arial"/>
          <w:sz w:val="24"/>
          <w:szCs w:val="24"/>
          <w:lang w:val="en-US"/>
        </w:rPr>
      </w:pPr>
      <w:r w:rsidRPr="007F5A49">
        <w:rPr>
          <w:rFonts w:ascii="Book Antiqua" w:hAnsi="Book Antiqua" w:cs="Arial"/>
          <w:bCs/>
          <w:sz w:val="24"/>
          <w:szCs w:val="24"/>
          <w:lang w:val="en-US"/>
        </w:rPr>
        <w:t>Liver f</w:t>
      </w:r>
      <w:r w:rsidR="002D1273" w:rsidRPr="007F5A49">
        <w:rPr>
          <w:rFonts w:ascii="Book Antiqua" w:hAnsi="Book Antiqua" w:cs="Arial"/>
          <w:bCs/>
          <w:sz w:val="24"/>
          <w:szCs w:val="24"/>
          <w:lang w:val="en-US"/>
        </w:rPr>
        <w:t xml:space="preserve">ibrogenesis is </w:t>
      </w:r>
      <w:r w:rsidR="00EB5409" w:rsidRPr="007F5A49">
        <w:rPr>
          <w:rFonts w:ascii="Book Antiqua" w:hAnsi="Book Antiqua" w:cs="Arial"/>
          <w:bCs/>
          <w:sz w:val="24"/>
          <w:szCs w:val="24"/>
          <w:lang w:val="en-US"/>
        </w:rPr>
        <w:t xml:space="preserve">a </w:t>
      </w:r>
      <w:r w:rsidR="002D1273" w:rsidRPr="007F5A49">
        <w:rPr>
          <w:rFonts w:ascii="Book Antiqua" w:hAnsi="Book Antiqua" w:cs="Arial"/>
          <w:bCs/>
          <w:sz w:val="24"/>
          <w:szCs w:val="24"/>
          <w:lang w:val="en-US"/>
        </w:rPr>
        <w:t xml:space="preserve">normal process </w:t>
      </w:r>
      <w:r w:rsidR="001777DA" w:rsidRPr="007F5A49">
        <w:rPr>
          <w:rFonts w:ascii="Book Antiqua" w:hAnsi="Book Antiqua" w:cs="Arial"/>
          <w:bCs/>
          <w:sz w:val="24"/>
          <w:szCs w:val="24"/>
          <w:lang w:val="en-US"/>
        </w:rPr>
        <w:t xml:space="preserve">of </w:t>
      </w:r>
      <w:r w:rsidR="002D1273" w:rsidRPr="007F5A49">
        <w:rPr>
          <w:rFonts w:ascii="Book Antiqua" w:hAnsi="Book Antiqua" w:cs="Arial"/>
          <w:bCs/>
          <w:sz w:val="24"/>
          <w:szCs w:val="24"/>
          <w:lang w:val="en-US"/>
        </w:rPr>
        <w:t>tissue repair</w:t>
      </w:r>
      <w:r w:rsidR="009A0781" w:rsidRPr="007F5A49">
        <w:rPr>
          <w:rFonts w:ascii="Book Antiqua" w:hAnsi="Book Antiqua" w:cs="Arial"/>
          <w:bCs/>
          <w:sz w:val="24"/>
          <w:szCs w:val="24"/>
          <w:lang w:val="en-US"/>
        </w:rPr>
        <w:t xml:space="preserve">. </w:t>
      </w:r>
      <w:r w:rsidR="002D1273" w:rsidRPr="007F5A49">
        <w:rPr>
          <w:rFonts w:ascii="Book Antiqua" w:hAnsi="Book Antiqua" w:cs="Arial"/>
          <w:sz w:val="24"/>
          <w:szCs w:val="24"/>
          <w:lang w:val="en-US"/>
        </w:rPr>
        <w:t xml:space="preserve">It is </w:t>
      </w:r>
      <w:r w:rsidR="00E54513" w:rsidRPr="007F5A49">
        <w:rPr>
          <w:rFonts w:ascii="Book Antiqua" w:hAnsi="Book Antiqua" w:cs="Arial"/>
          <w:sz w:val="24"/>
          <w:szCs w:val="24"/>
          <w:lang w:val="en-US"/>
        </w:rPr>
        <w:t xml:space="preserve">mediated </w:t>
      </w:r>
      <w:r w:rsidR="002D1273" w:rsidRPr="00854014">
        <w:rPr>
          <w:rFonts w:ascii="Book Antiqua" w:hAnsi="Book Antiqua" w:cs="Arial"/>
          <w:i/>
          <w:sz w:val="24"/>
          <w:szCs w:val="24"/>
          <w:lang w:val="en-US"/>
        </w:rPr>
        <w:t>via</w:t>
      </w:r>
      <w:r w:rsidR="002D1273" w:rsidRPr="007F5A49">
        <w:rPr>
          <w:rFonts w:ascii="Book Antiqua" w:hAnsi="Book Antiqua" w:cs="Arial"/>
          <w:sz w:val="24"/>
          <w:szCs w:val="24"/>
          <w:lang w:val="en-US"/>
        </w:rPr>
        <w:t xml:space="preserve"> a complex </w:t>
      </w:r>
      <w:r w:rsidR="00E54513" w:rsidRPr="007F5A49">
        <w:rPr>
          <w:rFonts w:ascii="Book Antiqua" w:hAnsi="Book Antiqua" w:cs="Arial"/>
          <w:sz w:val="24"/>
          <w:szCs w:val="24"/>
          <w:lang w:val="en-US"/>
        </w:rPr>
        <w:t xml:space="preserve">network </w:t>
      </w:r>
      <w:r w:rsidR="002D1273" w:rsidRPr="007F5A49">
        <w:rPr>
          <w:rFonts w:ascii="Book Antiqua" w:hAnsi="Book Antiqua" w:cs="Arial"/>
          <w:sz w:val="24"/>
          <w:szCs w:val="24"/>
          <w:lang w:val="en-US"/>
        </w:rPr>
        <w:t xml:space="preserve">of interrelated </w:t>
      </w:r>
      <w:r w:rsidR="001777DA" w:rsidRPr="007F5A49">
        <w:rPr>
          <w:rFonts w:ascii="Book Antiqua" w:hAnsi="Book Antiqua" w:cs="Arial"/>
          <w:sz w:val="24"/>
          <w:szCs w:val="24"/>
          <w:lang w:val="en-US"/>
        </w:rPr>
        <w:t xml:space="preserve">and regulated </w:t>
      </w:r>
      <w:proofErr w:type="spellStart"/>
      <w:r w:rsidR="002D1273" w:rsidRPr="007F5A49">
        <w:rPr>
          <w:rFonts w:ascii="Book Antiqua" w:hAnsi="Book Antiqua" w:cs="Arial"/>
          <w:sz w:val="24"/>
          <w:szCs w:val="24"/>
          <w:lang w:val="en-US"/>
        </w:rPr>
        <w:t>signalling</w:t>
      </w:r>
      <w:proofErr w:type="spellEnd"/>
      <w:r w:rsidR="002D1273" w:rsidRPr="007F5A49">
        <w:rPr>
          <w:rFonts w:ascii="Book Antiqua" w:hAnsi="Book Antiqua" w:cs="Arial"/>
          <w:sz w:val="24"/>
          <w:szCs w:val="24"/>
          <w:lang w:val="en-US"/>
        </w:rPr>
        <w:t xml:space="preserve"> </w:t>
      </w:r>
      <w:r w:rsidR="003979C4" w:rsidRPr="007F5A49">
        <w:rPr>
          <w:rFonts w:ascii="Book Antiqua" w:hAnsi="Book Antiqua" w:cs="Arial"/>
          <w:sz w:val="24"/>
          <w:szCs w:val="24"/>
          <w:lang w:val="en-US"/>
        </w:rPr>
        <w:t xml:space="preserve">interactions </w:t>
      </w:r>
      <w:r w:rsidR="002D1273" w:rsidRPr="007F5A49">
        <w:rPr>
          <w:rFonts w:ascii="Book Antiqua" w:hAnsi="Book Antiqua" w:cs="Arial"/>
          <w:sz w:val="24"/>
          <w:szCs w:val="24"/>
          <w:lang w:val="en-US"/>
        </w:rPr>
        <w:t xml:space="preserve">between the resident parenchymal </w:t>
      </w:r>
      <w:r w:rsidR="00E54513" w:rsidRPr="007F5A49">
        <w:rPr>
          <w:rFonts w:ascii="Book Antiqua" w:hAnsi="Book Antiqua" w:cs="Arial"/>
          <w:sz w:val="24"/>
          <w:szCs w:val="24"/>
          <w:lang w:val="en-US"/>
        </w:rPr>
        <w:t xml:space="preserve">cells </w:t>
      </w:r>
      <w:r w:rsidR="002D1273" w:rsidRPr="007F5A49">
        <w:rPr>
          <w:rFonts w:ascii="Book Antiqua" w:hAnsi="Book Antiqua" w:cs="Arial"/>
          <w:sz w:val="24"/>
          <w:szCs w:val="24"/>
          <w:lang w:val="en-US"/>
        </w:rPr>
        <w:t>(hepatocytes)</w:t>
      </w:r>
      <w:r w:rsidR="009A0781" w:rsidRPr="007F5A49">
        <w:rPr>
          <w:rFonts w:ascii="Book Antiqua" w:hAnsi="Book Antiqua" w:cs="Arial"/>
          <w:sz w:val="24"/>
          <w:szCs w:val="24"/>
          <w:lang w:val="en-US"/>
        </w:rPr>
        <w:t xml:space="preserve">, </w:t>
      </w:r>
      <w:bookmarkStart w:id="43" w:name="_Hlk519048474"/>
      <w:r w:rsidR="002D1273" w:rsidRPr="007F5A49">
        <w:rPr>
          <w:rFonts w:ascii="Book Antiqua" w:hAnsi="Book Antiqua" w:cs="Arial"/>
          <w:sz w:val="24"/>
          <w:szCs w:val="24"/>
          <w:lang w:val="en-US"/>
        </w:rPr>
        <w:t>non-parenchyma</w:t>
      </w:r>
      <w:r w:rsidR="00084780" w:rsidRPr="007F5A49">
        <w:rPr>
          <w:rFonts w:ascii="Book Antiqua" w:hAnsi="Book Antiqua" w:cs="Arial"/>
          <w:sz w:val="24"/>
          <w:szCs w:val="24"/>
          <w:lang w:val="en-US"/>
        </w:rPr>
        <w:t>l</w:t>
      </w:r>
      <w:r w:rsidR="00E54513" w:rsidRPr="007F5A49">
        <w:rPr>
          <w:rFonts w:ascii="Book Antiqua" w:hAnsi="Book Antiqua" w:cs="Arial"/>
          <w:sz w:val="24"/>
          <w:szCs w:val="24"/>
          <w:lang w:val="en-US"/>
        </w:rPr>
        <w:t xml:space="preserve"> cells</w:t>
      </w:r>
      <w:r w:rsidR="00512AEC" w:rsidRPr="007F5A49">
        <w:rPr>
          <w:rFonts w:ascii="Book Antiqua" w:hAnsi="Book Antiqua" w:cs="Arial"/>
          <w:sz w:val="24"/>
          <w:szCs w:val="24"/>
          <w:lang w:val="en-US"/>
        </w:rPr>
        <w:t xml:space="preserve"> </w:t>
      </w:r>
      <w:bookmarkEnd w:id="43"/>
      <w:r w:rsidR="00854014">
        <w:rPr>
          <w:rFonts w:ascii="Book Antiqua" w:hAnsi="Book Antiqua" w:cs="Arial"/>
          <w:sz w:val="24"/>
          <w:szCs w:val="24"/>
          <w:lang w:val="en-US"/>
        </w:rPr>
        <w:t>[</w:t>
      </w:r>
      <w:r w:rsidR="002D1273" w:rsidRPr="007F5A49">
        <w:rPr>
          <w:rFonts w:ascii="Book Antiqua" w:hAnsi="Book Antiqua" w:cs="Arial"/>
          <w:sz w:val="24"/>
          <w:szCs w:val="24"/>
          <w:lang w:val="en-US"/>
        </w:rPr>
        <w:t>hepatic stellate cells</w:t>
      </w:r>
      <w:r w:rsidR="00854014">
        <w:rPr>
          <w:rFonts w:ascii="Book Antiqua" w:hAnsi="Book Antiqua" w:cs="Arial"/>
          <w:sz w:val="24"/>
          <w:szCs w:val="24"/>
          <w:lang w:val="en-US"/>
        </w:rPr>
        <w:t xml:space="preserve"> (HSCs)</w:t>
      </w:r>
      <w:r w:rsidR="004E465D" w:rsidRPr="007F5A49">
        <w:rPr>
          <w:rFonts w:ascii="Book Antiqua" w:hAnsi="Book Antiqua" w:cs="Arial"/>
          <w:sz w:val="24"/>
          <w:szCs w:val="24"/>
          <w:lang w:val="en-US"/>
        </w:rPr>
        <w:t>, liver sinusoidal endothelial cells, Kupffer cells, biliary epithelial cells,</w:t>
      </w:r>
      <w:r w:rsidR="009A0781" w:rsidRPr="007F5A49">
        <w:rPr>
          <w:rFonts w:ascii="Book Antiqua" w:hAnsi="Book Antiqua" w:cs="Arial"/>
          <w:sz w:val="24"/>
          <w:szCs w:val="24"/>
          <w:lang w:val="en-US"/>
        </w:rPr>
        <w:t xml:space="preserve"> </w:t>
      </w:r>
      <w:r w:rsidR="004E465D" w:rsidRPr="007F5A49">
        <w:rPr>
          <w:rFonts w:ascii="Book Antiqua" w:hAnsi="Book Antiqua" w:cs="Arial"/>
          <w:sz w:val="24"/>
          <w:szCs w:val="24"/>
          <w:lang w:val="en-US"/>
        </w:rPr>
        <w:t>liver associated l</w:t>
      </w:r>
      <w:r w:rsidR="00854014">
        <w:rPr>
          <w:rFonts w:ascii="Book Antiqua" w:hAnsi="Book Antiqua" w:cs="Arial"/>
          <w:sz w:val="24"/>
          <w:szCs w:val="24"/>
          <w:lang w:val="en-US"/>
        </w:rPr>
        <w:t>ymphocytes]</w:t>
      </w:r>
      <w:r w:rsidR="00E54513" w:rsidRPr="007F5A49">
        <w:rPr>
          <w:rFonts w:ascii="Book Antiqua" w:hAnsi="Book Antiqua" w:cs="Arial"/>
          <w:sz w:val="24"/>
          <w:szCs w:val="24"/>
          <w:lang w:val="en-US"/>
        </w:rPr>
        <w:t>,</w:t>
      </w:r>
      <w:r w:rsidR="009A0781" w:rsidRPr="007F5A49">
        <w:rPr>
          <w:rFonts w:ascii="Book Antiqua" w:hAnsi="Book Antiqua" w:cs="Arial"/>
          <w:sz w:val="24"/>
          <w:szCs w:val="24"/>
          <w:lang w:val="en-US"/>
        </w:rPr>
        <w:t xml:space="preserve"> and </w:t>
      </w:r>
      <w:r w:rsidR="002D1273" w:rsidRPr="007F5A49">
        <w:rPr>
          <w:rFonts w:ascii="Book Antiqua" w:hAnsi="Book Antiqua" w:cs="Arial"/>
          <w:sz w:val="24"/>
          <w:szCs w:val="24"/>
          <w:lang w:val="en-US"/>
        </w:rPr>
        <w:t>the non-resident infiltrating immune cells</w:t>
      </w:r>
      <w:r w:rsidR="00EF1F0E" w:rsidRPr="007F5A49">
        <w:rPr>
          <w:rFonts w:ascii="Book Antiqua" w:hAnsi="Book Antiqua" w:cs="Arial"/>
          <w:sz w:val="24"/>
          <w:szCs w:val="24"/>
          <w:lang w:val="en-US"/>
        </w:rPr>
        <w:t xml:space="preserve">. </w:t>
      </w:r>
      <w:r w:rsidR="00E54513" w:rsidRPr="007F5A49">
        <w:rPr>
          <w:rFonts w:ascii="Book Antiqua" w:hAnsi="Book Antiqua" w:cs="Arial"/>
          <w:bCs/>
          <w:sz w:val="24"/>
          <w:szCs w:val="24"/>
          <w:lang w:val="en-US"/>
        </w:rPr>
        <w:t xml:space="preserve">The </w:t>
      </w:r>
      <w:r w:rsidR="00832DB1" w:rsidRPr="007F5A49">
        <w:rPr>
          <w:rFonts w:ascii="Book Antiqua" w:hAnsi="Book Antiqua" w:cs="Arial"/>
          <w:bCs/>
          <w:sz w:val="24"/>
          <w:szCs w:val="24"/>
          <w:lang w:val="en-US"/>
        </w:rPr>
        <w:t>HSCs</w:t>
      </w:r>
      <w:r w:rsidR="00E54513" w:rsidRPr="007F5A49">
        <w:rPr>
          <w:rFonts w:ascii="Book Antiqua" w:hAnsi="Book Antiqua" w:cs="Arial"/>
          <w:sz w:val="24"/>
          <w:szCs w:val="24"/>
          <w:lang w:val="en-US"/>
        </w:rPr>
        <w:t xml:space="preserve"> located </w:t>
      </w:r>
      <w:r w:rsidRPr="007F5A49">
        <w:rPr>
          <w:rFonts w:ascii="Book Antiqua" w:hAnsi="Book Antiqua" w:cs="Arial"/>
          <w:bCs/>
          <w:sz w:val="24"/>
          <w:szCs w:val="24"/>
          <w:lang w:val="en-US"/>
        </w:rPr>
        <w:t>in</w:t>
      </w:r>
      <w:r w:rsidRPr="007F5A49">
        <w:rPr>
          <w:rFonts w:ascii="Book Antiqua" w:hAnsi="Book Antiqua" w:cs="Arial"/>
          <w:sz w:val="24"/>
          <w:szCs w:val="24"/>
          <w:lang w:val="en-US"/>
        </w:rPr>
        <w:t xml:space="preserve"> the space of </w:t>
      </w:r>
      <w:proofErr w:type="spellStart"/>
      <w:r w:rsidRPr="007F5A49">
        <w:rPr>
          <w:rFonts w:ascii="Book Antiqua" w:hAnsi="Book Antiqua" w:cs="Arial"/>
          <w:sz w:val="24"/>
          <w:szCs w:val="24"/>
          <w:lang w:val="en-US"/>
        </w:rPr>
        <w:t>Disse</w:t>
      </w:r>
      <w:proofErr w:type="spellEnd"/>
      <w:r w:rsidRPr="007F5A49">
        <w:rPr>
          <w:rFonts w:ascii="Book Antiqua" w:hAnsi="Book Antiqua" w:cs="Arial"/>
          <w:sz w:val="24"/>
          <w:szCs w:val="24"/>
          <w:lang w:val="en-US"/>
        </w:rPr>
        <w:t xml:space="preserve"> between the hepatocytes and the liver sinusoids</w:t>
      </w:r>
      <w:r w:rsidR="00EA7F7C" w:rsidRPr="007F5A49">
        <w:rPr>
          <w:rFonts w:ascii="Book Antiqua" w:hAnsi="Book Antiqua" w:cs="Arial"/>
          <w:sz w:val="24"/>
          <w:szCs w:val="24"/>
          <w:lang w:val="en-US"/>
        </w:rPr>
        <w:t xml:space="preserve"> </w:t>
      </w:r>
      <w:r w:rsidR="006D7E99" w:rsidRPr="007F5A49">
        <w:rPr>
          <w:rFonts w:ascii="Book Antiqua" w:hAnsi="Book Antiqua" w:cs="Arial"/>
          <w:sz w:val="24"/>
          <w:szCs w:val="24"/>
          <w:lang w:val="en-US"/>
        </w:rPr>
        <w:t xml:space="preserve">play a </w:t>
      </w:r>
      <w:r w:rsidRPr="007F5A49">
        <w:rPr>
          <w:rFonts w:ascii="Book Antiqua" w:hAnsi="Book Antiqua" w:cs="Arial"/>
          <w:sz w:val="24"/>
          <w:szCs w:val="24"/>
          <w:lang w:val="en-US"/>
        </w:rPr>
        <w:t>pivotal</w:t>
      </w:r>
      <w:r w:rsidR="00EA7F7C" w:rsidRPr="007F5A49">
        <w:rPr>
          <w:rFonts w:ascii="Book Antiqua" w:hAnsi="Book Antiqua" w:cs="Arial"/>
          <w:sz w:val="24"/>
          <w:szCs w:val="24"/>
          <w:lang w:val="en-US"/>
        </w:rPr>
        <w:t xml:space="preserve"> </w:t>
      </w:r>
      <w:r w:rsidR="006D7E99" w:rsidRPr="007F5A49">
        <w:rPr>
          <w:rFonts w:ascii="Book Antiqua" w:hAnsi="Book Antiqua" w:cs="Arial"/>
          <w:sz w:val="24"/>
          <w:szCs w:val="24"/>
          <w:lang w:val="en-US"/>
        </w:rPr>
        <w:t xml:space="preserve">role in </w:t>
      </w:r>
      <w:r w:rsidRPr="007F5A49">
        <w:rPr>
          <w:rFonts w:ascii="Book Antiqua" w:hAnsi="Book Antiqua" w:cs="Arial"/>
          <w:sz w:val="24"/>
          <w:szCs w:val="24"/>
          <w:lang w:val="en-US"/>
        </w:rPr>
        <w:t xml:space="preserve">liver development and regeneration </w:t>
      </w:r>
      <w:r w:rsidRPr="00854014">
        <w:rPr>
          <w:rFonts w:ascii="Book Antiqua" w:hAnsi="Book Antiqua" w:cs="Arial"/>
          <w:i/>
          <w:sz w:val="24"/>
          <w:szCs w:val="24"/>
          <w:lang w:val="en-US"/>
        </w:rPr>
        <w:t xml:space="preserve">via </w:t>
      </w:r>
      <w:r w:rsidRPr="007F5A49">
        <w:rPr>
          <w:rFonts w:ascii="Book Antiqua" w:hAnsi="Book Antiqua" w:cs="Arial"/>
          <w:sz w:val="24"/>
          <w:szCs w:val="24"/>
          <w:lang w:val="en-US"/>
        </w:rPr>
        <w:t>fibrogenesis</w:t>
      </w:r>
      <w:r w:rsidR="00EF1F0E"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217gd452sc","properties":{"formattedCitation":"(1)","plainCitation":"(1)","noteIndex":0},"citationItems":[{"id":34,"uris":["http://zotero.org/users/2804724/items/A5X8IU3N"],"uri":["http://zotero.org/users/2804724/items/A5X8IU3N"],"itemData":{"id":34,"type":"article-journal","title":"Mechanisms of Hepatic Fibrogenesis","container-title":"Best practice &amp; research. Clinical gastroenterology","page":"195-206","volume":"25","issue":"2","source":"PubMed Central","abstract":"Multiple etiologies of liver disease lead to liver fibrosis through integrated signaling networks that regulate the deposition of extracellular matrix. This cascade of responses drives the activation of hepatic stellate cell (HSC) into a myofibroblast like phenotype that is contractile, proliferative and fibrogenic. Collagen and other extracellular matrix (ECM) components are deposited as the liver generates a wound healing response to encapsulate injury. Sustained fibrogenesis leads to cirrhosis, characterized by a distortion of the liver parenchyma and vascular architecture. Uncovering the intricate mechanisms that underlie liver fibrogenesis forms the basis for efforts to develop targeted therapies to reverse the fibrotic response and improve the outcomes of patients with chronic liver disease.","DOI":"10.1016/j.bpg.2011.02.005","ISSN":"1521-6918","note":"PMID: 21497738\nPMCID: PMC3079877","journalAbbreviation":"Best Pract Res Clin Gastroenterol","author":[{"family":"Lee","given":"Ursula E."},{"family":"Friedman","given":"Scott L."}],"issued":{"date-parts":[["2011",4]]}}}],"schema":"https://github.com/citation-style-language/schema/raw/master/csl-citation.json"} </w:instrText>
      </w:r>
      <w:r w:rsidR="00EF1F0E" w:rsidRPr="007F5A49">
        <w:rPr>
          <w:rFonts w:ascii="Book Antiqua" w:hAnsi="Book Antiqua" w:cs="Arial"/>
          <w:sz w:val="24"/>
          <w:szCs w:val="24"/>
          <w:vertAlign w:val="superscript"/>
          <w:lang w:val="en-US"/>
        </w:rPr>
        <w:fldChar w:fldCharType="separate"/>
      </w:r>
      <w:r w:rsidR="002D72E8"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1</w:t>
      </w:r>
      <w:r w:rsidR="00EF1F0E" w:rsidRPr="007F5A49">
        <w:rPr>
          <w:rFonts w:ascii="Book Antiqua" w:hAnsi="Book Antiqua" w:cs="Arial"/>
          <w:sz w:val="24"/>
          <w:szCs w:val="24"/>
          <w:vertAlign w:val="superscript"/>
          <w:lang w:val="en-US"/>
        </w:rPr>
        <w:fldChar w:fldCharType="end"/>
      </w:r>
      <w:r w:rsidR="002D72E8" w:rsidRPr="007F5A49">
        <w:rPr>
          <w:rFonts w:ascii="Book Antiqua" w:hAnsi="Book Antiqua" w:cs="Arial"/>
          <w:sz w:val="24"/>
          <w:szCs w:val="24"/>
          <w:vertAlign w:val="superscript"/>
          <w:lang w:val="en-US"/>
        </w:rPr>
        <w:t>]</w:t>
      </w:r>
      <w:r w:rsidR="00EF1F0E" w:rsidRPr="007F5A49">
        <w:rPr>
          <w:rFonts w:ascii="Book Antiqua" w:hAnsi="Book Antiqua" w:cs="Arial"/>
          <w:sz w:val="24"/>
          <w:szCs w:val="24"/>
          <w:lang w:val="en-US"/>
        </w:rPr>
        <w:t>.</w:t>
      </w:r>
      <w:r w:rsidR="008207D9" w:rsidRPr="007F5A49">
        <w:rPr>
          <w:rFonts w:ascii="Book Antiqua" w:hAnsi="Book Antiqua" w:cs="Arial"/>
          <w:sz w:val="24"/>
          <w:szCs w:val="24"/>
          <w:lang w:val="en-US"/>
        </w:rPr>
        <w:t xml:space="preserve"> In addition</w:t>
      </w:r>
      <w:r w:rsidR="000F0210" w:rsidRPr="007F5A49">
        <w:rPr>
          <w:rFonts w:ascii="Book Antiqua" w:hAnsi="Book Antiqua" w:cs="Arial"/>
          <w:sz w:val="24"/>
          <w:szCs w:val="24"/>
          <w:lang w:val="en-US"/>
        </w:rPr>
        <w:t xml:space="preserve">, </w:t>
      </w:r>
      <w:r w:rsidR="008207D9" w:rsidRPr="007F5A49">
        <w:rPr>
          <w:rFonts w:ascii="Book Antiqua" w:hAnsi="Book Antiqua" w:cs="Arial"/>
          <w:sz w:val="24"/>
          <w:szCs w:val="24"/>
          <w:lang w:val="en-US"/>
        </w:rPr>
        <w:t xml:space="preserve">the </w:t>
      </w:r>
      <w:r w:rsidR="000F0210" w:rsidRPr="007F5A49">
        <w:rPr>
          <w:rFonts w:ascii="Book Antiqua" w:hAnsi="Book Antiqua" w:cs="Arial"/>
          <w:sz w:val="24"/>
          <w:szCs w:val="24"/>
          <w:lang w:val="en-US"/>
        </w:rPr>
        <w:t>q</w:t>
      </w:r>
      <w:r w:rsidR="00A9218B" w:rsidRPr="007F5A49">
        <w:rPr>
          <w:rFonts w:ascii="Book Antiqua" w:hAnsi="Book Antiqua" w:cs="Arial"/>
          <w:sz w:val="24"/>
          <w:szCs w:val="24"/>
          <w:lang w:val="en-US"/>
        </w:rPr>
        <w:t>uiescent</w:t>
      </w:r>
      <w:r w:rsidR="00483887" w:rsidRPr="007F5A49">
        <w:rPr>
          <w:rFonts w:ascii="Book Antiqua" w:hAnsi="Book Antiqua" w:cs="Arial"/>
          <w:sz w:val="24"/>
          <w:szCs w:val="24"/>
          <w:lang w:val="en-US"/>
        </w:rPr>
        <w:t xml:space="preserve"> </w:t>
      </w:r>
      <w:r w:rsidR="00724E98" w:rsidRPr="007F5A49">
        <w:rPr>
          <w:rFonts w:ascii="Book Antiqua" w:hAnsi="Book Antiqua" w:cs="Arial"/>
          <w:sz w:val="24"/>
          <w:szCs w:val="24"/>
          <w:lang w:val="en-US"/>
        </w:rPr>
        <w:t>HSCs</w:t>
      </w:r>
      <w:r w:rsidR="007215E2" w:rsidRPr="007F5A49">
        <w:rPr>
          <w:rFonts w:ascii="Book Antiqua" w:hAnsi="Book Antiqua" w:cs="Arial"/>
          <w:sz w:val="24"/>
          <w:szCs w:val="24"/>
          <w:lang w:val="en-US"/>
        </w:rPr>
        <w:t xml:space="preserve"> </w:t>
      </w:r>
      <w:r w:rsidR="000F0210" w:rsidRPr="007F5A49">
        <w:rPr>
          <w:rFonts w:ascii="Book Antiqua" w:hAnsi="Book Antiqua" w:cs="Arial"/>
          <w:sz w:val="24"/>
          <w:szCs w:val="24"/>
          <w:lang w:val="en-US"/>
        </w:rPr>
        <w:t xml:space="preserve">store </w:t>
      </w:r>
      <w:r w:rsidR="00A329CF" w:rsidRPr="007F5A49">
        <w:rPr>
          <w:rFonts w:ascii="Book Antiqua" w:hAnsi="Book Antiqua" w:cs="Arial"/>
          <w:sz w:val="24"/>
          <w:szCs w:val="24"/>
          <w:lang w:val="en-US"/>
        </w:rPr>
        <w:t>50</w:t>
      </w:r>
      <w:r w:rsidR="00854014">
        <w:rPr>
          <w:rFonts w:ascii="Book Antiqua" w:hAnsi="Book Antiqua" w:cs="Arial"/>
          <w:sz w:val="24"/>
          <w:szCs w:val="24"/>
          <w:lang w:val="en-US"/>
        </w:rPr>
        <w:t>%</w:t>
      </w:r>
      <w:r w:rsidR="00A329CF" w:rsidRPr="007F5A49">
        <w:rPr>
          <w:rFonts w:ascii="Book Antiqua" w:hAnsi="Book Antiqua" w:cs="Arial"/>
          <w:sz w:val="24"/>
          <w:szCs w:val="24"/>
          <w:lang w:val="en-US"/>
        </w:rPr>
        <w:t xml:space="preserve">-80% of total </w:t>
      </w:r>
      <w:r w:rsidR="00A9218B" w:rsidRPr="007F5A49">
        <w:rPr>
          <w:rFonts w:ascii="Book Antiqua" w:hAnsi="Book Antiqua" w:cs="Arial"/>
          <w:sz w:val="24"/>
          <w:szCs w:val="24"/>
          <w:lang w:val="en-US"/>
        </w:rPr>
        <w:t>vitamin A</w:t>
      </w:r>
      <w:r w:rsidR="00A329CF" w:rsidRPr="007F5A49">
        <w:rPr>
          <w:rFonts w:ascii="Book Antiqua" w:hAnsi="Book Antiqua" w:cs="Arial"/>
          <w:sz w:val="24"/>
          <w:szCs w:val="24"/>
          <w:lang w:val="en-US"/>
        </w:rPr>
        <w:t xml:space="preserve"> in the body</w:t>
      </w:r>
      <w:r w:rsidR="00A329CF"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vqpo3ghhc","properties":{"formattedCitation":"(8)","plainCitation":"(8)","noteIndex":0},"citationItems":[{"id":"z1PZoHrb/DJm20MU1","uris":["http://zotero.org/users/4222068/items/DJLG459K"],"uri":["http://zotero.org/users/4222068/items/DJLG459K"],"itemData":{"id":1688,"type":"article-journal","title":"Hepatic stellate cell (vitamin A-storing cell) and its relative--past, present and future","container-title":"Cell Biology International","page":"1247-1272","volume":"34","issue":"12","source":"PubMed","abstract":"HSCs (hepatic stellate cells) (also called vitamin A-storing cells, lipocytes, interstitial cells, fat-storing cells or Ito cells) exist in the space between parenchymal cells and liver sinusoidal endothelial cells of the hepatic lobule and store 50-80% of vitamin A in the whole body as retinyl palmitate in lipid droplets in the cytoplasm. In physiological conditions, these cells play pivotal roles in the regulation of vitamin A homoeostasis. In pathological conditions, such as hepatic fibrosis or liver cirrhosis, HSCs lose vitamin A and synthesize a large amount of extracellular matrix components including collagen, proteoglycan, glycosaminoglycan and adhesive glycoproteins. Morphology of these cells also changes from the star-shaped SCs (stellate cells) to that of fibroblasts or myofibroblasts. The hepatic SCs are now considered to be targets of therapy of hepatic fibrosis or liver cirrhosis. HSCs are activated by adhering to the parenchymal cells and lose stored vitamin A during hepatic regeneration. Vitamin A-storing cells exist in extrahepatic organs such as the pancreas, lungs, kidneys and intestines. Vitamin A-storing cells in the liver and extrahepatic organs form a cellular system. The research of the vitamin A-storing cells has developed and expanded vigorously. The past, present and future of the research of the vitamin A-storing cells (SCs) will be summarized and discussed in this review.","DOI":"10.1042/CBI20100321","ISSN":"1095-8355","note":"PMID: 21067523","journalAbbreviation":"Cell Biol. Int.","language":"eng","author":[{"family":"Senoo","given":"Haruki"},{"family":"Yoshikawa","given":"Kiwamu"},{"family":"Morii","given":"Mayako"},{"family":"Miura","given":"Mitsutaka"},{"family":"Imai","given":"Katsuyuki"},{"family":"Mezaki","given":"Yoshihiro"}],"issued":{"date-parts":[["2010",12]]}}}],"schema":"https://github.com/citation-style-language/schema/raw/master/csl-citation.json"} </w:instrText>
      </w:r>
      <w:r w:rsidR="00A329CF" w:rsidRPr="007F5A49">
        <w:rPr>
          <w:rFonts w:ascii="Book Antiqua" w:hAnsi="Book Antiqua" w:cs="Arial"/>
          <w:sz w:val="24"/>
          <w:szCs w:val="24"/>
          <w:vertAlign w:val="superscript"/>
          <w:lang w:val="en-US"/>
        </w:rPr>
        <w:fldChar w:fldCharType="separate"/>
      </w:r>
      <w:r w:rsidR="002D72E8"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8</w:t>
      </w:r>
      <w:r w:rsidR="00A329CF" w:rsidRPr="007F5A49">
        <w:rPr>
          <w:rFonts w:ascii="Book Antiqua" w:hAnsi="Book Antiqua" w:cs="Arial"/>
          <w:sz w:val="24"/>
          <w:szCs w:val="24"/>
          <w:vertAlign w:val="superscript"/>
          <w:lang w:val="en-US"/>
        </w:rPr>
        <w:fldChar w:fldCharType="end"/>
      </w:r>
      <w:r w:rsidR="002D72E8" w:rsidRPr="007F5A49">
        <w:rPr>
          <w:rFonts w:ascii="Book Antiqua" w:hAnsi="Book Antiqua" w:cs="Arial"/>
          <w:sz w:val="24"/>
          <w:szCs w:val="24"/>
          <w:vertAlign w:val="superscript"/>
          <w:lang w:val="en-US"/>
        </w:rPr>
        <w:t>]</w:t>
      </w:r>
      <w:r w:rsidR="00A9218B" w:rsidRPr="007F5A49">
        <w:rPr>
          <w:rFonts w:ascii="Book Antiqua" w:hAnsi="Book Antiqua" w:cs="Arial"/>
          <w:sz w:val="24"/>
          <w:szCs w:val="24"/>
          <w:lang w:val="en-US"/>
        </w:rPr>
        <w:t>.</w:t>
      </w:r>
    </w:p>
    <w:p w14:paraId="5CAC0D4E" w14:textId="76DACE3A" w:rsidR="004E465D" w:rsidRPr="007F5A49" w:rsidRDefault="00854014" w:rsidP="007F5A49">
      <w:pPr>
        <w:adjustRightInd w:val="0"/>
        <w:snapToGrid w:val="0"/>
        <w:spacing w:after="0" w:line="360" w:lineRule="auto"/>
        <w:jc w:val="both"/>
        <w:rPr>
          <w:rFonts w:ascii="Book Antiqua" w:hAnsi="Book Antiqua" w:cs="Arial"/>
          <w:sz w:val="24"/>
          <w:szCs w:val="24"/>
          <w:lang w:val="en-US"/>
        </w:rPr>
      </w:pPr>
      <w:r>
        <w:rPr>
          <w:rFonts w:ascii="Book Antiqua" w:hAnsi="Book Antiqua" w:cs="Arial"/>
          <w:bCs/>
          <w:sz w:val="24"/>
          <w:szCs w:val="24"/>
          <w:lang w:val="en-US"/>
        </w:rPr>
        <w:t xml:space="preserve">  </w:t>
      </w:r>
      <w:r w:rsidR="00955F7D" w:rsidRPr="007F5A49">
        <w:rPr>
          <w:rFonts w:ascii="Book Antiqua" w:hAnsi="Book Antiqua" w:cs="Arial"/>
          <w:bCs/>
          <w:sz w:val="24"/>
          <w:szCs w:val="24"/>
          <w:lang w:val="en-US"/>
        </w:rPr>
        <w:t xml:space="preserve">Acute liver </w:t>
      </w:r>
      <w:r w:rsidR="00AE2AE3" w:rsidRPr="007F5A49">
        <w:rPr>
          <w:rFonts w:ascii="Book Antiqua" w:hAnsi="Book Antiqua" w:cs="Arial"/>
          <w:bCs/>
          <w:sz w:val="24"/>
          <w:szCs w:val="24"/>
          <w:lang w:val="en-US"/>
        </w:rPr>
        <w:t xml:space="preserve">injury </w:t>
      </w:r>
      <w:r w:rsidR="008C2F71" w:rsidRPr="007F5A49">
        <w:rPr>
          <w:rFonts w:ascii="Book Antiqua" w:hAnsi="Book Antiqua" w:cs="Arial"/>
          <w:bCs/>
          <w:sz w:val="24"/>
          <w:szCs w:val="24"/>
          <w:lang w:val="en-US"/>
        </w:rPr>
        <w:t xml:space="preserve">stimulates the </w:t>
      </w:r>
      <w:r w:rsidR="00417763" w:rsidRPr="007F5A49">
        <w:rPr>
          <w:rFonts w:ascii="Book Antiqua" w:hAnsi="Book Antiqua" w:cs="Arial"/>
          <w:sz w:val="24"/>
          <w:szCs w:val="24"/>
          <w:lang w:val="en-US"/>
        </w:rPr>
        <w:t xml:space="preserve">non-parenchymal </w:t>
      </w:r>
      <w:r w:rsidR="008C2F71" w:rsidRPr="007F5A49">
        <w:rPr>
          <w:rFonts w:ascii="Book Antiqua" w:hAnsi="Book Antiqua" w:cs="Arial"/>
          <w:sz w:val="24"/>
          <w:szCs w:val="24"/>
          <w:lang w:val="en-US"/>
        </w:rPr>
        <w:t>cells</w:t>
      </w:r>
      <w:r w:rsidR="00417763" w:rsidRPr="007F5A49">
        <w:rPr>
          <w:rFonts w:ascii="Book Antiqua" w:hAnsi="Book Antiqua" w:cs="Arial"/>
          <w:sz w:val="24"/>
          <w:szCs w:val="24"/>
          <w:lang w:val="en-US"/>
        </w:rPr>
        <w:t xml:space="preserve"> </w:t>
      </w:r>
      <w:r w:rsidR="008C2F71" w:rsidRPr="007F5A49">
        <w:rPr>
          <w:rFonts w:ascii="Book Antiqua" w:hAnsi="Book Antiqua" w:cs="Arial"/>
          <w:sz w:val="24"/>
          <w:szCs w:val="24"/>
          <w:lang w:val="en-US"/>
        </w:rPr>
        <w:t xml:space="preserve">to secrete </w:t>
      </w:r>
      <w:r w:rsidR="001936A1" w:rsidRPr="007F5A49">
        <w:rPr>
          <w:rFonts w:ascii="Book Antiqua" w:hAnsi="Book Antiqua" w:cs="Arial"/>
          <w:bCs/>
          <w:sz w:val="24"/>
          <w:szCs w:val="24"/>
          <w:lang w:val="en-US"/>
        </w:rPr>
        <w:t>several pro-</w:t>
      </w:r>
      <w:proofErr w:type="spellStart"/>
      <w:r w:rsidR="001936A1" w:rsidRPr="007F5A49">
        <w:rPr>
          <w:rFonts w:ascii="Book Antiqua" w:hAnsi="Book Antiqua" w:cs="Arial"/>
          <w:bCs/>
          <w:sz w:val="24"/>
          <w:szCs w:val="24"/>
          <w:lang w:val="en-US"/>
        </w:rPr>
        <w:t>fibrogenic</w:t>
      </w:r>
      <w:proofErr w:type="spellEnd"/>
      <w:r w:rsidR="001936A1" w:rsidRPr="007F5A49">
        <w:rPr>
          <w:rFonts w:ascii="Book Antiqua" w:hAnsi="Book Antiqua" w:cs="Arial"/>
          <w:bCs/>
          <w:sz w:val="24"/>
          <w:szCs w:val="24"/>
          <w:lang w:val="en-US"/>
        </w:rPr>
        <w:t xml:space="preserve"> cytokines </w:t>
      </w:r>
      <w:r w:rsidR="009A0781" w:rsidRPr="007F5A49">
        <w:rPr>
          <w:rFonts w:ascii="Book Antiqua" w:hAnsi="Book Antiqua" w:cs="Arial"/>
          <w:bCs/>
          <w:sz w:val="24"/>
          <w:szCs w:val="24"/>
          <w:lang w:val="en-US"/>
        </w:rPr>
        <w:t xml:space="preserve">including </w:t>
      </w:r>
      <w:r w:rsidR="001936A1" w:rsidRPr="007F5A49">
        <w:rPr>
          <w:rFonts w:ascii="Book Antiqua" w:hAnsi="Book Antiqua" w:cs="Arial"/>
          <w:bCs/>
          <w:sz w:val="24"/>
          <w:szCs w:val="24"/>
          <w:lang w:val="en-US"/>
        </w:rPr>
        <w:t>the most potent</w:t>
      </w:r>
      <w:r w:rsidR="007215E2" w:rsidRPr="007F5A49">
        <w:rPr>
          <w:rFonts w:ascii="Book Antiqua" w:hAnsi="Book Antiqua" w:cs="Arial"/>
          <w:bCs/>
          <w:sz w:val="24"/>
          <w:szCs w:val="24"/>
          <w:lang w:val="en-US"/>
        </w:rPr>
        <w:t xml:space="preserve"> activator of fibrosis</w:t>
      </w:r>
      <w:r w:rsidR="003A296D" w:rsidRPr="007F5A49">
        <w:rPr>
          <w:rFonts w:ascii="Book Antiqua" w:hAnsi="Book Antiqua" w:cs="Arial"/>
          <w:bCs/>
          <w:sz w:val="24"/>
          <w:szCs w:val="24"/>
          <w:lang w:val="en-US"/>
        </w:rPr>
        <w:t>,</w:t>
      </w:r>
      <w:r w:rsidR="00AD5111" w:rsidRPr="007F5A49">
        <w:rPr>
          <w:rFonts w:ascii="Book Antiqua" w:hAnsi="Book Antiqua" w:cs="Arial"/>
          <w:sz w:val="24"/>
          <w:szCs w:val="24"/>
          <w:lang w:val="en-US"/>
        </w:rPr>
        <w:t xml:space="preserve"> transforming growth factor beta (</w:t>
      </w:r>
      <w:r w:rsidR="001936A1" w:rsidRPr="007F5A49">
        <w:rPr>
          <w:rFonts w:ascii="Book Antiqua" w:hAnsi="Book Antiqua" w:cs="Arial"/>
          <w:sz w:val="24"/>
          <w:szCs w:val="24"/>
          <w:lang w:val="en-US"/>
        </w:rPr>
        <w:t>TGF-β</w:t>
      </w:r>
      <w:r w:rsidR="00AD5111" w:rsidRPr="007F5A49">
        <w:rPr>
          <w:rFonts w:ascii="Book Antiqua" w:hAnsi="Book Antiqua" w:cs="Arial"/>
          <w:sz w:val="24"/>
          <w:szCs w:val="24"/>
          <w:lang w:val="en-US"/>
        </w:rPr>
        <w:t>)</w:t>
      </w:r>
      <w:r w:rsidR="00F81D58"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mvkcj39f9","properties":{"formattedCitation":"(9)","plainCitation":"(9)","noteIndex":0},"citationItems":[{"id":"z1PZoHrb/HAoblToR","uris":["http://zotero.org/users/4222068/items/6UFGCMHN"],"uri":["http://zotero.org/users/4222068/items/6UFGCMHN"],"itemData":{"id":1361,"type":"article-journal","title":"TGFβ signalling in context","container-title":"Nature Reviews. Molecular Cell Biology","page":"616-630","volume":"13","issue":"10","source":"PubMed","abstract":"The basic elements of the transforming growth factor-β (TGFβ) pathway were revealed more than a decade ago. Since then, the concept of how the TGFβ signal travels from the membrane to the nucleus has been enriched with additional findings, and its multifunctional nature and medical relevance have relentlessly come to light. However, an old mystery has endured: how does the context determine the cellular response to TGFβ? Solving this question is key to understanding TGFβ biology and its many malfunctions. Recent progress is pointing at answers.","DOI":"10.1038/nrm3434","ISSN":"1471-0080","note":"PMID: 22992590\nPMCID: PMC4027049","journalAbbreviation":"Nat. Rev. Mol. Cell Biol.","language":"eng","author":[{"family":"Massagué","given":"Joan"}],"issued":{"date-parts":[["2012",10]]}}}],"schema":"https://github.com/citation-style-language/schema/raw/master/csl-citation.json"} </w:instrText>
      </w:r>
      <w:r w:rsidR="00F81D58" w:rsidRPr="007F5A49">
        <w:rPr>
          <w:rFonts w:ascii="Book Antiqua" w:hAnsi="Book Antiqua" w:cs="Arial"/>
          <w:sz w:val="24"/>
          <w:szCs w:val="24"/>
          <w:vertAlign w:val="superscript"/>
          <w:lang w:val="en-US"/>
        </w:rPr>
        <w:fldChar w:fldCharType="separate"/>
      </w:r>
      <w:r w:rsidR="002D72E8"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9</w:t>
      </w:r>
      <w:r w:rsidR="00F81D58" w:rsidRPr="007F5A49">
        <w:rPr>
          <w:rFonts w:ascii="Book Antiqua" w:hAnsi="Book Antiqua" w:cs="Arial"/>
          <w:sz w:val="24"/>
          <w:szCs w:val="24"/>
          <w:vertAlign w:val="superscript"/>
          <w:lang w:val="en-US"/>
        </w:rPr>
        <w:fldChar w:fldCharType="end"/>
      </w:r>
      <w:r w:rsidR="002D72E8" w:rsidRPr="007F5A49">
        <w:rPr>
          <w:rFonts w:ascii="Book Antiqua" w:hAnsi="Book Antiqua" w:cs="Arial"/>
          <w:sz w:val="24"/>
          <w:szCs w:val="24"/>
          <w:vertAlign w:val="superscript"/>
          <w:lang w:val="en-US"/>
        </w:rPr>
        <w:t>]</w:t>
      </w:r>
      <w:r w:rsidR="009C7407" w:rsidRPr="007F5A49">
        <w:rPr>
          <w:rFonts w:ascii="Book Antiqua" w:hAnsi="Book Antiqua" w:cs="Arial"/>
          <w:sz w:val="24"/>
          <w:szCs w:val="24"/>
          <w:lang w:val="en-US"/>
        </w:rPr>
        <w:t xml:space="preserve">. </w:t>
      </w:r>
      <w:r>
        <w:rPr>
          <w:rFonts w:ascii="Book Antiqua" w:hAnsi="Book Antiqua" w:cs="Arial"/>
          <w:sz w:val="24"/>
          <w:szCs w:val="24"/>
          <w:lang w:val="en-US"/>
        </w:rPr>
        <w:t>The</w:t>
      </w:r>
      <w:r w:rsidR="001936A1" w:rsidRPr="007F5A49">
        <w:rPr>
          <w:rFonts w:ascii="Book Antiqua" w:hAnsi="Book Antiqua" w:cs="Arial"/>
          <w:sz w:val="24"/>
          <w:szCs w:val="24"/>
          <w:lang w:val="en-US"/>
        </w:rPr>
        <w:t>s</w:t>
      </w:r>
      <w:r>
        <w:rPr>
          <w:rFonts w:ascii="Book Antiqua" w:hAnsi="Book Antiqua" w:cs="Arial"/>
          <w:sz w:val="24"/>
          <w:szCs w:val="24"/>
          <w:lang w:val="en-US"/>
        </w:rPr>
        <w:t>e</w:t>
      </w:r>
      <w:r w:rsidR="001936A1" w:rsidRPr="007F5A49">
        <w:rPr>
          <w:rFonts w:ascii="Book Antiqua" w:hAnsi="Book Antiqua" w:cs="Arial"/>
          <w:sz w:val="24"/>
          <w:szCs w:val="24"/>
          <w:lang w:val="en-US"/>
        </w:rPr>
        <w:t xml:space="preserve"> </w:t>
      </w:r>
      <w:r w:rsidR="007215E2" w:rsidRPr="007F5A49">
        <w:rPr>
          <w:rFonts w:ascii="Book Antiqua" w:hAnsi="Book Antiqua" w:cs="Arial"/>
          <w:bCs/>
          <w:sz w:val="24"/>
          <w:szCs w:val="24"/>
          <w:lang w:val="en-US"/>
        </w:rPr>
        <w:t xml:space="preserve">signals </w:t>
      </w:r>
      <w:r w:rsidR="00955F7D" w:rsidRPr="007F5A49">
        <w:rPr>
          <w:rFonts w:ascii="Book Antiqua" w:hAnsi="Book Antiqua" w:cs="Arial"/>
          <w:bCs/>
          <w:sz w:val="24"/>
          <w:szCs w:val="24"/>
          <w:lang w:val="en-US"/>
        </w:rPr>
        <w:t xml:space="preserve">the quiescent </w:t>
      </w:r>
      <w:r w:rsidR="004900AF" w:rsidRPr="007F5A49">
        <w:rPr>
          <w:rFonts w:ascii="Book Antiqua" w:hAnsi="Book Antiqua" w:cs="Arial"/>
          <w:bCs/>
          <w:sz w:val="24"/>
          <w:szCs w:val="24"/>
          <w:lang w:val="en-US"/>
        </w:rPr>
        <w:t xml:space="preserve">HSCs </w:t>
      </w:r>
      <w:r w:rsidR="00955F7D" w:rsidRPr="007F5A49">
        <w:rPr>
          <w:rFonts w:ascii="Book Antiqua" w:hAnsi="Book Antiqua" w:cs="Arial"/>
          <w:bCs/>
          <w:sz w:val="24"/>
          <w:szCs w:val="24"/>
          <w:lang w:val="en-US"/>
        </w:rPr>
        <w:t>to differentiate into myofibroblasts</w:t>
      </w:r>
      <w:r w:rsidR="00C324A9" w:rsidRPr="007F5A49">
        <w:rPr>
          <w:rFonts w:ascii="Book Antiqua" w:hAnsi="Book Antiqua" w:cs="Arial"/>
          <w:bCs/>
          <w:sz w:val="24"/>
          <w:szCs w:val="24"/>
          <w:lang w:val="en-US"/>
        </w:rPr>
        <w:t>-like cells</w:t>
      </w:r>
      <w:r w:rsidR="001936A1" w:rsidRPr="007F5A49">
        <w:rPr>
          <w:rFonts w:ascii="Book Antiqua" w:hAnsi="Book Antiqua" w:cs="Arial"/>
          <w:bCs/>
          <w:sz w:val="24"/>
          <w:szCs w:val="24"/>
          <w:lang w:val="en-US"/>
        </w:rPr>
        <w:t xml:space="preserve"> to </w:t>
      </w:r>
      <w:r w:rsidR="00C324A9" w:rsidRPr="007F5A49">
        <w:rPr>
          <w:rFonts w:ascii="Book Antiqua" w:hAnsi="Book Antiqua" w:cs="Arial"/>
          <w:bCs/>
          <w:sz w:val="24"/>
          <w:szCs w:val="24"/>
          <w:lang w:val="en-US"/>
        </w:rPr>
        <w:t>p</w:t>
      </w:r>
      <w:r w:rsidR="00955F7D" w:rsidRPr="007F5A49">
        <w:rPr>
          <w:rFonts w:ascii="Book Antiqua" w:hAnsi="Book Antiqua" w:cs="Arial"/>
          <w:bCs/>
          <w:sz w:val="24"/>
          <w:szCs w:val="24"/>
          <w:lang w:val="en-US"/>
        </w:rPr>
        <w:t>roduce components of extracellular matrix (ECM)</w:t>
      </w:r>
      <w:r w:rsidR="00547A30" w:rsidRPr="007F5A49">
        <w:rPr>
          <w:rFonts w:ascii="Book Antiqua" w:hAnsi="Book Antiqua" w:cs="Arial"/>
          <w:bCs/>
          <w:sz w:val="24"/>
          <w:szCs w:val="24"/>
          <w:lang w:val="en-US"/>
        </w:rPr>
        <w:t xml:space="preserve"> </w:t>
      </w:r>
      <w:r w:rsidR="00955F7D" w:rsidRPr="007F5A49">
        <w:rPr>
          <w:rFonts w:ascii="Book Antiqua" w:hAnsi="Book Antiqua" w:cs="Arial"/>
          <w:bCs/>
          <w:sz w:val="24"/>
          <w:szCs w:val="24"/>
          <w:lang w:val="en-US"/>
        </w:rPr>
        <w:t xml:space="preserve">such as </w:t>
      </w:r>
      <w:r w:rsidR="004900AF" w:rsidRPr="007F5A49">
        <w:rPr>
          <w:rFonts w:ascii="Book Antiqua" w:hAnsi="Book Antiqua" w:cs="Arial"/>
          <w:sz w:val="24"/>
          <w:szCs w:val="24"/>
          <w:lang w:val="en-US"/>
        </w:rPr>
        <w:t>pro-collagen-1 α-1</w:t>
      </w:r>
      <w:r w:rsidR="00310D9D" w:rsidRPr="007F5A49">
        <w:rPr>
          <w:rFonts w:ascii="Book Antiqua" w:hAnsi="Book Antiqua" w:cs="Arial"/>
          <w:sz w:val="24"/>
          <w:szCs w:val="24"/>
          <w:lang w:val="en-US"/>
        </w:rPr>
        <w:t xml:space="preserve">, </w:t>
      </w:r>
      <w:r w:rsidR="004900AF" w:rsidRPr="007F5A49">
        <w:rPr>
          <w:rFonts w:ascii="Book Antiqua" w:hAnsi="Book Antiqua" w:cs="Arial"/>
          <w:bCs/>
          <w:sz w:val="24"/>
          <w:szCs w:val="24"/>
          <w:lang w:val="en-US"/>
        </w:rPr>
        <w:t xml:space="preserve">alpha smooth muscle actin </w:t>
      </w:r>
      <w:r w:rsidR="00310D9D" w:rsidRPr="007F5A49">
        <w:rPr>
          <w:rFonts w:ascii="Book Antiqua" w:hAnsi="Book Antiqua" w:cs="Arial"/>
          <w:bCs/>
          <w:sz w:val="24"/>
          <w:szCs w:val="24"/>
          <w:lang w:val="en-US"/>
        </w:rPr>
        <w:t>(</w:t>
      </w:r>
      <w:r w:rsidR="004900AF" w:rsidRPr="007F5A49">
        <w:rPr>
          <w:rFonts w:ascii="Book Antiqua" w:hAnsi="Book Antiqua" w:cs="Arial"/>
          <w:sz w:val="24"/>
          <w:szCs w:val="24"/>
          <w:lang w:val="en-US"/>
        </w:rPr>
        <w:t>α-SMA</w:t>
      </w:r>
      <w:r w:rsidR="00310D9D" w:rsidRPr="007F5A49">
        <w:rPr>
          <w:rFonts w:ascii="Book Antiqua" w:hAnsi="Book Antiqua" w:cs="Arial"/>
          <w:sz w:val="24"/>
          <w:szCs w:val="24"/>
          <w:lang w:val="en-US"/>
        </w:rPr>
        <w:t xml:space="preserve">), </w:t>
      </w:r>
      <w:r w:rsidR="00F35C1D" w:rsidRPr="007F5A49">
        <w:rPr>
          <w:rFonts w:ascii="Book Antiqua" w:hAnsi="Book Antiqua" w:cs="Arial"/>
          <w:sz w:val="24"/>
          <w:szCs w:val="24"/>
          <w:lang w:val="en-US"/>
        </w:rPr>
        <w:t xml:space="preserve">fibronectin, laminin, elastin and </w:t>
      </w:r>
      <w:r w:rsidR="007F7A43" w:rsidRPr="007F5A49">
        <w:rPr>
          <w:rFonts w:ascii="Book Antiqua" w:hAnsi="Book Antiqua" w:cs="Arial"/>
          <w:sz w:val="24"/>
          <w:szCs w:val="24"/>
          <w:lang w:val="en-US"/>
        </w:rPr>
        <w:t>proteoglycans</w:t>
      </w:r>
      <w:r w:rsidR="00F35C1D" w:rsidRPr="007F5A49">
        <w:rPr>
          <w:rFonts w:ascii="Book Antiqua" w:hAnsi="Book Antiqua" w:cs="Arial"/>
          <w:sz w:val="24"/>
          <w:szCs w:val="24"/>
          <w:lang w:val="en-US"/>
        </w:rPr>
        <w:t xml:space="preserve"> along with </w:t>
      </w:r>
      <w:r w:rsidR="00F35C1D" w:rsidRPr="007F5A49">
        <w:rPr>
          <w:rFonts w:ascii="Book Antiqua" w:hAnsi="Book Antiqua" w:cs="Arial"/>
          <w:bCs/>
          <w:sz w:val="24"/>
          <w:szCs w:val="24"/>
          <w:lang w:val="en-US"/>
        </w:rPr>
        <w:t xml:space="preserve">mesenchymal proteins </w:t>
      </w:r>
      <w:r w:rsidR="00E27FEC" w:rsidRPr="007F5A49">
        <w:rPr>
          <w:rFonts w:ascii="Book Antiqua" w:hAnsi="Book Antiqua" w:cs="Arial"/>
          <w:bCs/>
          <w:sz w:val="24"/>
          <w:szCs w:val="24"/>
          <w:lang w:val="en-US"/>
        </w:rPr>
        <w:t xml:space="preserve">like </w:t>
      </w:r>
      <w:r w:rsidR="004900AF" w:rsidRPr="007F5A49">
        <w:rPr>
          <w:rFonts w:ascii="Book Antiqua" w:hAnsi="Book Antiqua" w:cs="Arial"/>
          <w:sz w:val="24"/>
          <w:szCs w:val="24"/>
          <w:lang w:val="en-US"/>
        </w:rPr>
        <w:t>vimentin</w:t>
      </w:r>
      <w:r w:rsidR="00EB5409" w:rsidRPr="007F5A49">
        <w:rPr>
          <w:rFonts w:ascii="Book Antiqua" w:hAnsi="Book Antiqua" w:cs="Arial"/>
          <w:sz w:val="24"/>
          <w:szCs w:val="24"/>
          <w:lang w:val="en-US"/>
        </w:rPr>
        <w:t xml:space="preserve"> and </w:t>
      </w:r>
      <w:proofErr w:type="spellStart"/>
      <w:r w:rsidR="009028D2" w:rsidRPr="007F5A49">
        <w:rPr>
          <w:rFonts w:ascii="Book Antiqua" w:hAnsi="Book Antiqua" w:cs="Arial"/>
          <w:sz w:val="24"/>
          <w:szCs w:val="24"/>
          <w:lang w:val="en-US"/>
        </w:rPr>
        <w:t>desmin</w:t>
      </w:r>
      <w:proofErr w:type="spellEnd"/>
      <w:r w:rsidR="009028D2" w:rsidRPr="007F5A49">
        <w:rPr>
          <w:rFonts w:ascii="Book Antiqua" w:hAnsi="Book Antiqua" w:cs="Arial"/>
          <w:sz w:val="24"/>
          <w:szCs w:val="24"/>
          <w:lang w:val="en-US"/>
        </w:rPr>
        <w:t>,</w:t>
      </w:r>
      <w:r w:rsidR="00F35C1D" w:rsidRPr="007F5A49">
        <w:rPr>
          <w:rFonts w:ascii="Book Antiqua" w:hAnsi="Book Antiqua" w:cs="Arial"/>
          <w:sz w:val="24"/>
          <w:szCs w:val="24"/>
          <w:lang w:val="en-US"/>
        </w:rPr>
        <w:t xml:space="preserve"> and </w:t>
      </w:r>
      <w:r w:rsidR="00507ED4" w:rsidRPr="007F5A49">
        <w:rPr>
          <w:rFonts w:ascii="Book Antiqua" w:hAnsi="Book Antiqua" w:cs="Arial"/>
          <w:sz w:val="24"/>
          <w:szCs w:val="24"/>
          <w:lang w:val="en-US"/>
        </w:rPr>
        <w:t xml:space="preserve">cause tissue </w:t>
      </w:r>
      <w:r w:rsidR="00073754" w:rsidRPr="007F5A49">
        <w:rPr>
          <w:rFonts w:ascii="Book Antiqua" w:hAnsi="Book Antiqua" w:cs="Arial"/>
          <w:bCs/>
          <w:sz w:val="24"/>
          <w:szCs w:val="24"/>
          <w:lang w:val="en-US"/>
        </w:rPr>
        <w:t>scar</w:t>
      </w:r>
      <w:r w:rsidR="00507ED4" w:rsidRPr="007F5A49">
        <w:rPr>
          <w:rFonts w:ascii="Book Antiqua" w:hAnsi="Book Antiqua" w:cs="Arial"/>
          <w:bCs/>
          <w:sz w:val="24"/>
          <w:szCs w:val="24"/>
          <w:lang w:val="en-US"/>
        </w:rPr>
        <w:t>ing</w:t>
      </w:r>
      <w:r w:rsidR="00073754" w:rsidRPr="007F5A49">
        <w:rPr>
          <w:rFonts w:ascii="Book Antiqua" w:hAnsi="Book Antiqua" w:cs="Arial"/>
          <w:bCs/>
          <w:sz w:val="24"/>
          <w:szCs w:val="24"/>
          <w:lang w:val="en-US"/>
        </w:rPr>
        <w:t xml:space="preserve">. </w:t>
      </w:r>
      <w:r w:rsidR="005E0BE3" w:rsidRPr="007F5A49">
        <w:rPr>
          <w:rFonts w:ascii="Book Antiqua" w:hAnsi="Book Antiqua" w:cs="Arial"/>
          <w:bCs/>
          <w:sz w:val="24"/>
          <w:szCs w:val="24"/>
          <w:lang w:val="en-US"/>
        </w:rPr>
        <w:t>Upon</w:t>
      </w:r>
      <w:r w:rsidR="004900AF" w:rsidRPr="007F5A49">
        <w:rPr>
          <w:rFonts w:ascii="Book Antiqua" w:hAnsi="Book Antiqua" w:cs="Arial"/>
          <w:sz w:val="24"/>
          <w:szCs w:val="24"/>
          <w:lang w:val="en-US"/>
        </w:rPr>
        <w:t xml:space="preserve"> removal of the </w:t>
      </w:r>
      <w:r w:rsidR="005E0BE3" w:rsidRPr="007F5A49">
        <w:rPr>
          <w:rFonts w:ascii="Book Antiqua" w:hAnsi="Book Antiqua" w:cs="Arial"/>
          <w:sz w:val="24"/>
          <w:szCs w:val="24"/>
          <w:lang w:val="en-US"/>
        </w:rPr>
        <w:t>stimul</w:t>
      </w:r>
      <w:r w:rsidR="007215E2" w:rsidRPr="007F5A49">
        <w:rPr>
          <w:rFonts w:ascii="Book Antiqua" w:hAnsi="Book Antiqua" w:cs="Arial"/>
          <w:sz w:val="24"/>
          <w:szCs w:val="24"/>
          <w:lang w:val="en-US"/>
        </w:rPr>
        <w:t>us</w:t>
      </w:r>
      <w:r w:rsidR="00D970EB" w:rsidRPr="007F5A49">
        <w:rPr>
          <w:rFonts w:ascii="Book Antiqua" w:hAnsi="Book Antiqua" w:cs="Arial"/>
          <w:sz w:val="24"/>
          <w:szCs w:val="24"/>
          <w:lang w:val="en-US"/>
        </w:rPr>
        <w:t xml:space="preserve"> (</w:t>
      </w:r>
      <w:r w:rsidR="00FD1458" w:rsidRPr="007F5A49">
        <w:rPr>
          <w:rFonts w:ascii="Book Antiqua" w:hAnsi="Book Antiqua" w:cs="Arial"/>
          <w:sz w:val="24"/>
          <w:szCs w:val="24"/>
          <w:lang w:val="en-US"/>
        </w:rPr>
        <w:t xml:space="preserve">during </w:t>
      </w:r>
      <w:r w:rsidR="00E54513" w:rsidRPr="007F5A49">
        <w:rPr>
          <w:rFonts w:ascii="Book Antiqua" w:hAnsi="Book Antiqua" w:cs="Arial"/>
          <w:sz w:val="24"/>
          <w:szCs w:val="24"/>
          <w:lang w:val="en-US"/>
        </w:rPr>
        <w:t>r</w:t>
      </w:r>
      <w:r w:rsidR="00955F7D" w:rsidRPr="007F5A49">
        <w:rPr>
          <w:rFonts w:ascii="Book Antiqua" w:hAnsi="Book Antiqua" w:cs="Arial"/>
          <w:bCs/>
          <w:sz w:val="24"/>
          <w:szCs w:val="24"/>
          <w:lang w:val="en-US"/>
        </w:rPr>
        <w:t>ecovery</w:t>
      </w:r>
      <w:r w:rsidR="00D970EB" w:rsidRPr="007F5A49">
        <w:rPr>
          <w:rFonts w:ascii="Book Antiqua" w:hAnsi="Book Antiqua" w:cs="Arial"/>
          <w:bCs/>
          <w:sz w:val="24"/>
          <w:szCs w:val="24"/>
          <w:lang w:val="en-US"/>
        </w:rPr>
        <w:t>)</w:t>
      </w:r>
      <w:r w:rsidR="00955F7D" w:rsidRPr="007F5A49">
        <w:rPr>
          <w:rFonts w:ascii="Book Antiqua" w:hAnsi="Book Antiqua" w:cs="Arial"/>
          <w:bCs/>
          <w:sz w:val="24"/>
          <w:szCs w:val="24"/>
          <w:lang w:val="en-US"/>
        </w:rPr>
        <w:t xml:space="preserve">, excess ECM is degraded </w:t>
      </w:r>
      <w:r w:rsidR="004900AF" w:rsidRPr="007F5A49">
        <w:rPr>
          <w:rFonts w:ascii="Book Antiqua" w:hAnsi="Book Antiqua" w:cs="Arial"/>
          <w:sz w:val="24"/>
          <w:szCs w:val="24"/>
          <w:lang w:val="en-US"/>
        </w:rPr>
        <w:t xml:space="preserve">by </w:t>
      </w:r>
      <w:r w:rsidR="00DC76D5" w:rsidRPr="007F5A49">
        <w:rPr>
          <w:rFonts w:ascii="Book Antiqua" w:hAnsi="Book Antiqua" w:cs="Arial"/>
          <w:sz w:val="24"/>
          <w:szCs w:val="24"/>
          <w:lang w:val="en-US"/>
        </w:rPr>
        <w:t>matrix</w:t>
      </w:r>
      <w:r w:rsidR="00D45983" w:rsidRPr="007F5A49">
        <w:rPr>
          <w:rFonts w:ascii="Book Antiqua" w:hAnsi="Book Antiqua" w:cs="Arial"/>
          <w:sz w:val="24"/>
          <w:szCs w:val="24"/>
          <w:lang w:val="en-US"/>
        </w:rPr>
        <w:t xml:space="preserve"> </w:t>
      </w:r>
      <w:r w:rsidR="005E0BE3" w:rsidRPr="007F5A49">
        <w:rPr>
          <w:rFonts w:ascii="Book Antiqua" w:hAnsi="Book Antiqua" w:cs="Arial"/>
          <w:sz w:val="24"/>
          <w:szCs w:val="24"/>
          <w:lang w:val="en-US"/>
        </w:rPr>
        <w:t>metalloproteinases</w:t>
      </w:r>
      <w:r w:rsidR="004A7515" w:rsidRPr="007F5A49">
        <w:rPr>
          <w:rFonts w:ascii="Book Antiqua" w:hAnsi="Book Antiqua" w:cs="Arial"/>
          <w:sz w:val="24"/>
          <w:szCs w:val="24"/>
          <w:lang w:val="en-US"/>
        </w:rPr>
        <w:t xml:space="preserve"> (</w:t>
      </w:r>
      <w:r w:rsidR="00DC76D5" w:rsidRPr="007F5A49">
        <w:rPr>
          <w:rFonts w:ascii="Book Antiqua" w:hAnsi="Book Antiqua" w:cs="Arial"/>
          <w:sz w:val="24"/>
          <w:szCs w:val="24"/>
          <w:lang w:val="en-US"/>
        </w:rPr>
        <w:t>MMPs</w:t>
      </w:r>
      <w:r w:rsidR="004A7515" w:rsidRPr="007F5A49">
        <w:rPr>
          <w:rFonts w:ascii="Book Antiqua" w:hAnsi="Book Antiqua" w:cs="Arial"/>
          <w:sz w:val="24"/>
          <w:szCs w:val="24"/>
          <w:lang w:val="en-US"/>
        </w:rPr>
        <w:t>)</w:t>
      </w:r>
      <w:r w:rsidR="00DC76D5" w:rsidRPr="007F5A49">
        <w:rPr>
          <w:rFonts w:ascii="Book Antiqua" w:hAnsi="Book Antiqua" w:cs="Arial"/>
          <w:sz w:val="24"/>
          <w:szCs w:val="24"/>
          <w:lang w:val="en-US"/>
        </w:rPr>
        <w:t xml:space="preserve">. </w:t>
      </w:r>
      <w:r w:rsidR="00507ED4" w:rsidRPr="007F5A49">
        <w:rPr>
          <w:rFonts w:ascii="Book Antiqua" w:hAnsi="Book Antiqua" w:cs="Arial"/>
          <w:sz w:val="24"/>
          <w:szCs w:val="24"/>
          <w:lang w:val="en-US"/>
        </w:rPr>
        <w:t xml:space="preserve">In turn, </w:t>
      </w:r>
      <w:r w:rsidR="00D970EB" w:rsidRPr="007F5A49">
        <w:rPr>
          <w:rFonts w:ascii="Book Antiqua" w:hAnsi="Book Antiqua" w:cs="Arial"/>
          <w:sz w:val="24"/>
          <w:szCs w:val="24"/>
          <w:lang w:val="en-US"/>
        </w:rPr>
        <w:t xml:space="preserve">MMP-activity </w:t>
      </w:r>
      <w:r w:rsidR="008D3F08" w:rsidRPr="007F5A49">
        <w:rPr>
          <w:rFonts w:ascii="Book Antiqua" w:hAnsi="Book Antiqua" w:cs="Arial"/>
          <w:sz w:val="24"/>
          <w:szCs w:val="24"/>
          <w:lang w:val="en-US"/>
        </w:rPr>
        <w:t xml:space="preserve">is inhibited and modulated by tissue inhibitors of metalloproteinase (TIMPs) produced by the </w:t>
      </w:r>
      <w:r w:rsidR="00DC76D5" w:rsidRPr="007F5A49">
        <w:rPr>
          <w:rFonts w:ascii="Book Antiqua" w:hAnsi="Book Antiqua" w:cs="Arial"/>
          <w:sz w:val="24"/>
          <w:szCs w:val="24"/>
          <w:lang w:val="en-US"/>
        </w:rPr>
        <w:t>activated HSCs</w:t>
      </w:r>
      <w:r w:rsidR="00310D9D" w:rsidRPr="007F5A49">
        <w:rPr>
          <w:rFonts w:ascii="Book Antiqua" w:hAnsi="Book Antiqua" w:cs="Arial"/>
          <w:sz w:val="24"/>
          <w:szCs w:val="24"/>
          <w:lang w:val="en-US"/>
        </w:rPr>
        <w:t xml:space="preserve">. </w:t>
      </w:r>
      <w:r w:rsidR="004E465D" w:rsidRPr="007F5A49">
        <w:rPr>
          <w:rFonts w:ascii="Book Antiqua" w:hAnsi="Book Antiqua" w:cs="Arial"/>
          <w:bCs/>
          <w:sz w:val="24"/>
          <w:szCs w:val="24"/>
          <w:lang w:val="en-US"/>
        </w:rPr>
        <w:t>Subsequently</w:t>
      </w:r>
      <w:r w:rsidR="005E0BE3" w:rsidRPr="007F5A49">
        <w:rPr>
          <w:rFonts w:ascii="Book Antiqua" w:hAnsi="Book Antiqua" w:cs="Arial"/>
          <w:bCs/>
          <w:sz w:val="24"/>
          <w:szCs w:val="24"/>
          <w:lang w:val="en-US"/>
        </w:rPr>
        <w:t>, the</w:t>
      </w:r>
      <w:r w:rsidR="004900AF" w:rsidRPr="007F5A49">
        <w:rPr>
          <w:rFonts w:ascii="Book Antiqua" w:hAnsi="Book Antiqua" w:cs="Arial"/>
          <w:bCs/>
          <w:sz w:val="24"/>
          <w:szCs w:val="24"/>
          <w:lang w:val="en-US"/>
        </w:rPr>
        <w:t xml:space="preserve"> activated </w:t>
      </w:r>
      <w:r w:rsidR="003E7A6A" w:rsidRPr="007F5A49">
        <w:rPr>
          <w:rFonts w:ascii="Book Antiqua" w:hAnsi="Book Antiqua" w:cs="Arial"/>
          <w:bCs/>
          <w:sz w:val="24"/>
          <w:szCs w:val="24"/>
          <w:lang w:val="en-US"/>
        </w:rPr>
        <w:t xml:space="preserve">HSCs </w:t>
      </w:r>
      <w:r w:rsidR="004900AF" w:rsidRPr="007F5A49">
        <w:rPr>
          <w:rFonts w:ascii="Book Antiqua" w:hAnsi="Book Antiqua" w:cs="Arial"/>
          <w:bCs/>
          <w:sz w:val="24"/>
          <w:szCs w:val="24"/>
          <w:lang w:val="en-US"/>
        </w:rPr>
        <w:t>either undergo apoptosis</w:t>
      </w:r>
      <w:r w:rsidR="00AC33CF" w:rsidRPr="007F5A49">
        <w:rPr>
          <w:rFonts w:ascii="Book Antiqua" w:hAnsi="Book Antiqua" w:cs="Arial"/>
          <w:bCs/>
          <w:sz w:val="24"/>
          <w:szCs w:val="24"/>
          <w:lang w:val="en-US"/>
        </w:rPr>
        <w:t xml:space="preserve"> and/</w:t>
      </w:r>
      <w:r w:rsidR="004900AF" w:rsidRPr="007F5A49">
        <w:rPr>
          <w:rFonts w:ascii="Book Antiqua" w:hAnsi="Book Antiqua" w:cs="Arial"/>
          <w:bCs/>
          <w:sz w:val="24"/>
          <w:szCs w:val="24"/>
          <w:lang w:val="en-US"/>
        </w:rPr>
        <w:t xml:space="preserve">or revert to their original </w:t>
      </w:r>
      <w:r w:rsidR="007215E2" w:rsidRPr="007F5A49">
        <w:rPr>
          <w:rFonts w:ascii="Book Antiqua" w:hAnsi="Book Antiqua" w:cs="Arial"/>
          <w:bCs/>
          <w:sz w:val="24"/>
          <w:szCs w:val="24"/>
          <w:lang w:val="en-US"/>
        </w:rPr>
        <w:t xml:space="preserve">quiescent </w:t>
      </w:r>
      <w:r w:rsidR="004900AF" w:rsidRPr="007F5A49">
        <w:rPr>
          <w:rFonts w:ascii="Book Antiqua" w:hAnsi="Book Antiqua" w:cs="Arial"/>
          <w:bCs/>
          <w:sz w:val="24"/>
          <w:szCs w:val="24"/>
          <w:lang w:val="en-US"/>
        </w:rPr>
        <w:t>phenotype</w:t>
      </w:r>
      <w:r w:rsidR="00E54513" w:rsidRPr="007F5A49">
        <w:rPr>
          <w:rFonts w:ascii="Book Antiqua" w:hAnsi="Book Antiqua" w:cs="Arial"/>
          <w:bCs/>
          <w:sz w:val="24"/>
          <w:szCs w:val="24"/>
          <w:lang w:val="en-US"/>
        </w:rPr>
        <w:t xml:space="preserve">, </w:t>
      </w:r>
      <w:r w:rsidR="009A0781" w:rsidRPr="007F5A49">
        <w:rPr>
          <w:rFonts w:ascii="Book Antiqua" w:hAnsi="Book Antiqua" w:cs="Arial"/>
          <w:bCs/>
          <w:sz w:val="24"/>
          <w:szCs w:val="24"/>
          <w:lang w:val="en-US"/>
        </w:rPr>
        <w:t xml:space="preserve">thereby </w:t>
      </w:r>
      <w:r w:rsidR="00E54513" w:rsidRPr="007F5A49">
        <w:rPr>
          <w:rFonts w:ascii="Book Antiqua" w:hAnsi="Book Antiqua" w:cs="Arial"/>
          <w:bCs/>
          <w:sz w:val="24"/>
          <w:szCs w:val="24"/>
          <w:lang w:val="en-US"/>
        </w:rPr>
        <w:t xml:space="preserve">terminating </w:t>
      </w:r>
      <w:r w:rsidR="004900AF" w:rsidRPr="007F5A49">
        <w:rPr>
          <w:rFonts w:ascii="Book Antiqua" w:hAnsi="Book Antiqua" w:cs="Arial"/>
          <w:bCs/>
          <w:sz w:val="24"/>
          <w:szCs w:val="24"/>
          <w:lang w:val="en-US"/>
        </w:rPr>
        <w:t>a</w:t>
      </w:r>
      <w:r w:rsidR="005E0BE3" w:rsidRPr="007F5A49">
        <w:rPr>
          <w:rFonts w:ascii="Book Antiqua" w:hAnsi="Book Antiqua" w:cs="Arial"/>
          <w:bCs/>
          <w:sz w:val="24"/>
          <w:szCs w:val="24"/>
          <w:lang w:val="en-US"/>
        </w:rPr>
        <w:t xml:space="preserve"> well-</w:t>
      </w:r>
      <w:r w:rsidR="004900AF" w:rsidRPr="007F5A49">
        <w:rPr>
          <w:rFonts w:ascii="Book Antiqua" w:hAnsi="Book Antiqua" w:cs="Arial"/>
          <w:bCs/>
          <w:sz w:val="24"/>
          <w:szCs w:val="24"/>
          <w:lang w:val="en-US"/>
        </w:rPr>
        <w:t>regulated and reversible healing process</w:t>
      </w:r>
      <w:r w:rsidR="00DF15BC" w:rsidRPr="007F5A49">
        <w:rPr>
          <w:rFonts w:ascii="Book Antiqua" w:hAnsi="Book Antiqua" w:cs="Arial"/>
          <w:bCs/>
          <w:sz w:val="24"/>
          <w:szCs w:val="24"/>
          <w:vertAlign w:val="superscript"/>
          <w:lang w:val="en-US"/>
        </w:rPr>
        <w:fldChar w:fldCharType="begin"/>
      </w:r>
      <w:r w:rsidR="00D2645C" w:rsidRPr="007F5A49">
        <w:rPr>
          <w:rFonts w:ascii="Book Antiqua" w:hAnsi="Book Antiqua" w:cs="Arial"/>
          <w:bCs/>
          <w:sz w:val="24"/>
          <w:szCs w:val="24"/>
          <w:vertAlign w:val="superscript"/>
          <w:lang w:val="en-US"/>
        </w:rPr>
        <w:instrText xml:space="preserve"> ADDIN ZOTERO_ITEM CSL_CITATION {"citationID":"Z8P75RqA","properties":{"formattedCitation":"(10)","plainCitation":"(10)","noteIndex":0},"citationItems":[{"id":"z1PZoHrb/YD6gvCXE","uris":["http://zotero.org/users/4222068/items/KZAHK9BV"],"uri":["http://zotero.org/users/4222068/items/KZAHK9BV"],"itemData":{"id":1260,"type":"article-journal","title":"Liver fibrosis","container-title":"The Journal of Clinical Investigation","page":"209-218","volume":"115","issue":"2","source":"PubMed","abstract":"Liver fibrosis is the excessive accumulation of extracellular matrix proteins including collagen that occurs in most types of chronic liver diseases. Advanced liver fibrosis results in cirrhosis, liver failure, and portal hypertension and often requires liver transplantation. Our knowledge of the cellular and molecular mechanisms of liver fibrosis has greatly advanced. Activated hepatic stellate cells, portal fibroblasts, and myofibroblasts of bone marrow origin have been identified as major collagen-producing cells in the injured liver. These cells are activated by fibrogenic cytokines such as TGF-beta1, angiotensin II, and leptin. Reversibility of advanced liver fibrosis in patients has been recently documented, which has stimulated researchers to develop antifibrotic drugs. Emerging antifibrotic therapies are aimed at inhibiting the accumulation of fibrogenic cells and/or preventing the deposition of extracellular matrix proteins. Although many therapeutic interventions are effective in experimental models of liver fibrosis, their efficacy and safety in humans is unknown. This review summarizes recent progress in the study of the pathogenesis and diagnosis of liver fibrosis and discusses current antifibrotic strategies.","DOI":"10.1172/JCI24282","ISSN":"0021-9738","note":"PMID: 15690074\nPMCID: PMC546435","journalAbbreviation":"J. Clin. Invest.","language":"eng","author":[{"family":"Bataller","given":"Ramón"},{"family":"Brenner","given":"David A."}],"issued":{"date-parts":[["2005",2]]}}}],"schema":"https://github.com/citation-style-language/schema/raw/master/csl-citation.json"} </w:instrText>
      </w:r>
      <w:r w:rsidR="00DF15BC" w:rsidRPr="007F5A49">
        <w:rPr>
          <w:rFonts w:ascii="Book Antiqua" w:hAnsi="Book Antiqua" w:cs="Arial"/>
          <w:bCs/>
          <w:sz w:val="24"/>
          <w:szCs w:val="24"/>
          <w:vertAlign w:val="superscript"/>
          <w:lang w:val="en-US"/>
        </w:rPr>
        <w:fldChar w:fldCharType="separate"/>
      </w:r>
      <w:r w:rsidR="002D72E8"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10</w:t>
      </w:r>
      <w:r w:rsidR="00DF15BC" w:rsidRPr="007F5A49">
        <w:rPr>
          <w:rFonts w:ascii="Book Antiqua" w:hAnsi="Book Antiqua" w:cs="Arial"/>
          <w:bCs/>
          <w:sz w:val="24"/>
          <w:szCs w:val="24"/>
          <w:vertAlign w:val="superscript"/>
          <w:lang w:val="en-US"/>
        </w:rPr>
        <w:fldChar w:fldCharType="end"/>
      </w:r>
      <w:r w:rsidR="002D72E8" w:rsidRPr="007F5A49">
        <w:rPr>
          <w:rFonts w:ascii="Book Antiqua" w:hAnsi="Book Antiqua" w:cs="Arial"/>
          <w:bCs/>
          <w:sz w:val="24"/>
          <w:szCs w:val="24"/>
          <w:vertAlign w:val="superscript"/>
          <w:lang w:val="en-US"/>
        </w:rPr>
        <w:t>]</w:t>
      </w:r>
      <w:r w:rsidR="00E47CFA">
        <w:rPr>
          <w:rFonts w:ascii="Book Antiqua" w:hAnsi="Book Antiqua" w:cs="Arial"/>
          <w:bCs/>
          <w:sz w:val="24"/>
          <w:szCs w:val="24"/>
          <w:lang w:val="en-US"/>
        </w:rPr>
        <w:t>.</w:t>
      </w:r>
    </w:p>
    <w:p w14:paraId="7DDFC94C" w14:textId="47903A73" w:rsidR="009C4221" w:rsidRPr="007F5A49" w:rsidRDefault="00E47CFA" w:rsidP="007F5A49">
      <w:pPr>
        <w:adjustRightInd w:val="0"/>
        <w:snapToGrid w:val="0"/>
        <w:spacing w:after="0" w:line="360" w:lineRule="auto"/>
        <w:jc w:val="both"/>
        <w:rPr>
          <w:rFonts w:ascii="Book Antiqua" w:hAnsi="Book Antiqua" w:cs="Arial"/>
          <w:bCs/>
          <w:sz w:val="24"/>
          <w:szCs w:val="24"/>
          <w:lang w:val="en-US"/>
        </w:rPr>
      </w:pPr>
      <w:r>
        <w:rPr>
          <w:rFonts w:ascii="Book Antiqua" w:hAnsi="Book Antiqua" w:cs="Arial"/>
          <w:bCs/>
          <w:sz w:val="24"/>
          <w:szCs w:val="24"/>
          <w:lang w:val="en-US"/>
        </w:rPr>
        <w:t xml:space="preserve">  </w:t>
      </w:r>
      <w:r w:rsidR="00AF09AE" w:rsidRPr="007F5A49">
        <w:rPr>
          <w:rFonts w:ascii="Book Antiqua" w:hAnsi="Book Antiqua" w:cs="Arial"/>
          <w:bCs/>
          <w:sz w:val="24"/>
          <w:szCs w:val="24"/>
          <w:lang w:val="en-US"/>
        </w:rPr>
        <w:t>P</w:t>
      </w:r>
      <w:r w:rsidR="00965D4A" w:rsidRPr="007F5A49">
        <w:rPr>
          <w:rFonts w:ascii="Book Antiqua" w:hAnsi="Book Antiqua" w:cs="Arial"/>
          <w:bCs/>
          <w:sz w:val="24"/>
          <w:szCs w:val="24"/>
          <w:lang w:val="en-US"/>
        </w:rPr>
        <w:t xml:space="preserve">rolonged </w:t>
      </w:r>
      <w:r w:rsidR="00955F7D" w:rsidRPr="007F5A49">
        <w:rPr>
          <w:rFonts w:ascii="Book Antiqua" w:hAnsi="Book Antiqua" w:cs="Arial"/>
          <w:bCs/>
          <w:sz w:val="24"/>
          <w:szCs w:val="24"/>
          <w:lang w:val="en-US"/>
        </w:rPr>
        <w:t>liver injury</w:t>
      </w:r>
      <w:r w:rsidR="00280E15" w:rsidRPr="007F5A49">
        <w:rPr>
          <w:rFonts w:ascii="Book Antiqua" w:hAnsi="Book Antiqua" w:cs="Arial"/>
          <w:bCs/>
          <w:sz w:val="24"/>
          <w:szCs w:val="24"/>
          <w:lang w:val="en-US"/>
        </w:rPr>
        <w:t xml:space="preserve"> </w:t>
      </w:r>
      <w:r w:rsidR="00280E15" w:rsidRPr="006778E4">
        <w:rPr>
          <w:rFonts w:ascii="Book Antiqua" w:hAnsi="Book Antiqua" w:cs="Arial"/>
          <w:bCs/>
          <w:i/>
          <w:sz w:val="24"/>
          <w:szCs w:val="24"/>
          <w:lang w:val="en-US"/>
        </w:rPr>
        <w:t>via</w:t>
      </w:r>
      <w:r w:rsidR="00280E15" w:rsidRPr="007F5A49">
        <w:rPr>
          <w:rFonts w:ascii="Book Antiqua" w:hAnsi="Book Antiqua" w:cs="Arial"/>
          <w:bCs/>
          <w:sz w:val="24"/>
          <w:szCs w:val="24"/>
          <w:lang w:val="en-US"/>
        </w:rPr>
        <w:t xml:space="preserve"> </w:t>
      </w:r>
      <w:r w:rsidR="00955F7D" w:rsidRPr="007F5A49">
        <w:rPr>
          <w:rFonts w:ascii="Book Antiqua" w:hAnsi="Book Antiqua" w:cs="Arial"/>
          <w:bCs/>
          <w:sz w:val="24"/>
          <w:szCs w:val="24"/>
          <w:lang w:val="en-US"/>
        </w:rPr>
        <w:t>chronic inflammation, infection and/or oxidative stress</w:t>
      </w:r>
      <w:r w:rsidR="00280E15" w:rsidRPr="007F5A49">
        <w:rPr>
          <w:rFonts w:ascii="Book Antiqua" w:hAnsi="Book Antiqua" w:cs="Arial"/>
          <w:bCs/>
          <w:sz w:val="24"/>
          <w:szCs w:val="24"/>
          <w:lang w:val="en-US"/>
        </w:rPr>
        <w:t xml:space="preserve"> </w:t>
      </w:r>
      <w:r w:rsidR="00965D4A" w:rsidRPr="007F5A49">
        <w:rPr>
          <w:rFonts w:ascii="Book Antiqua" w:hAnsi="Book Antiqua" w:cs="Arial"/>
          <w:bCs/>
          <w:sz w:val="24"/>
          <w:szCs w:val="24"/>
          <w:lang w:val="en-US"/>
        </w:rPr>
        <w:t xml:space="preserve">leads to </w:t>
      </w:r>
      <w:r w:rsidR="00E86F0F" w:rsidRPr="007F5A49">
        <w:rPr>
          <w:rFonts w:ascii="Book Antiqua" w:hAnsi="Book Antiqua" w:cs="Arial"/>
          <w:bCs/>
          <w:sz w:val="24"/>
          <w:szCs w:val="24"/>
          <w:lang w:val="en-US"/>
        </w:rPr>
        <w:t xml:space="preserve">continuous </w:t>
      </w:r>
      <w:r w:rsidR="009B7626" w:rsidRPr="007F5A49">
        <w:rPr>
          <w:rFonts w:ascii="Book Antiqua" w:hAnsi="Book Antiqua" w:cs="Arial"/>
          <w:bCs/>
          <w:sz w:val="24"/>
          <w:szCs w:val="24"/>
          <w:lang w:val="en-US"/>
        </w:rPr>
        <w:t xml:space="preserve">stimulation </w:t>
      </w:r>
      <w:r w:rsidR="00E86F0F" w:rsidRPr="007F5A49">
        <w:rPr>
          <w:rFonts w:ascii="Book Antiqua" w:hAnsi="Book Antiqua" w:cs="Arial"/>
          <w:bCs/>
          <w:sz w:val="24"/>
          <w:szCs w:val="24"/>
          <w:lang w:val="en-US"/>
        </w:rPr>
        <w:t>of the wound healing mechanism whereby the HSCs remain persistently activated</w:t>
      </w:r>
      <w:r w:rsidR="00965D4A" w:rsidRPr="007F5A49">
        <w:rPr>
          <w:rFonts w:ascii="Book Antiqua" w:hAnsi="Book Antiqua" w:cs="Arial"/>
          <w:bCs/>
          <w:sz w:val="24"/>
          <w:szCs w:val="24"/>
          <w:lang w:val="en-US"/>
        </w:rPr>
        <w:t xml:space="preserve">. </w:t>
      </w:r>
      <w:r w:rsidR="007215E2" w:rsidRPr="007F5A49">
        <w:rPr>
          <w:rFonts w:ascii="Book Antiqua" w:hAnsi="Book Antiqua" w:cs="Arial"/>
          <w:sz w:val="24"/>
          <w:szCs w:val="24"/>
          <w:lang w:val="en-US"/>
        </w:rPr>
        <w:t>T</w:t>
      </w:r>
      <w:r w:rsidR="003D2373" w:rsidRPr="007F5A49">
        <w:rPr>
          <w:rFonts w:ascii="Book Antiqua" w:hAnsi="Book Antiqua" w:cs="Arial"/>
          <w:sz w:val="24"/>
          <w:szCs w:val="24"/>
          <w:lang w:val="en-US"/>
        </w:rPr>
        <w:t>he</w:t>
      </w:r>
      <w:r w:rsidR="007215E2" w:rsidRPr="007F5A49">
        <w:rPr>
          <w:rFonts w:ascii="Book Antiqua" w:hAnsi="Book Antiqua" w:cs="Arial"/>
          <w:sz w:val="24"/>
          <w:szCs w:val="24"/>
          <w:lang w:val="en-US"/>
        </w:rPr>
        <w:t>se</w:t>
      </w:r>
      <w:r w:rsidR="003D2373" w:rsidRPr="007F5A49">
        <w:rPr>
          <w:rFonts w:ascii="Book Antiqua" w:hAnsi="Book Antiqua" w:cs="Arial"/>
          <w:sz w:val="24"/>
          <w:szCs w:val="24"/>
          <w:lang w:val="en-US"/>
        </w:rPr>
        <w:t xml:space="preserve"> activated HSCs become the</w:t>
      </w:r>
      <w:r w:rsidR="008D7F49" w:rsidRPr="007F5A49">
        <w:rPr>
          <w:rFonts w:ascii="Book Antiqua" w:hAnsi="Book Antiqua" w:cs="Arial"/>
          <w:sz w:val="24"/>
          <w:szCs w:val="24"/>
          <w:lang w:val="en-US"/>
        </w:rPr>
        <w:t xml:space="preserve"> main </w:t>
      </w:r>
      <w:r w:rsidR="003D2373" w:rsidRPr="007F5A49">
        <w:rPr>
          <w:rFonts w:ascii="Book Antiqua" w:hAnsi="Book Antiqua" w:cs="Arial"/>
          <w:sz w:val="24"/>
          <w:szCs w:val="24"/>
          <w:lang w:val="en-US"/>
        </w:rPr>
        <w:t>source and target of TGF-β</w:t>
      </w:r>
      <w:r w:rsidR="00554A20" w:rsidRPr="007F5A49">
        <w:rPr>
          <w:rFonts w:ascii="Book Antiqua" w:hAnsi="Book Antiqua" w:cs="Arial"/>
          <w:sz w:val="24"/>
          <w:szCs w:val="24"/>
          <w:lang w:val="en-US"/>
        </w:rPr>
        <w:t xml:space="preserve">, which greatly increases the </w:t>
      </w:r>
      <w:r w:rsidR="003D2373" w:rsidRPr="007F5A49">
        <w:rPr>
          <w:rFonts w:ascii="Book Antiqua" w:hAnsi="Book Antiqua" w:cs="Arial"/>
          <w:sz w:val="24"/>
          <w:szCs w:val="24"/>
          <w:lang w:val="en-US"/>
        </w:rPr>
        <w:t xml:space="preserve">proliferation and dedifferentiation of HSCs into </w:t>
      </w:r>
      <w:r w:rsidR="009B7626" w:rsidRPr="007F5A49">
        <w:rPr>
          <w:rFonts w:ascii="Book Antiqua" w:hAnsi="Book Antiqua" w:cs="Arial"/>
          <w:sz w:val="24"/>
          <w:szCs w:val="24"/>
          <w:lang w:val="en-US"/>
        </w:rPr>
        <w:t xml:space="preserve">ECM-producing </w:t>
      </w:r>
      <w:r w:rsidR="003D2373" w:rsidRPr="007F5A49">
        <w:rPr>
          <w:rFonts w:ascii="Book Antiqua" w:hAnsi="Book Antiqua" w:cs="Arial"/>
          <w:sz w:val="24"/>
          <w:szCs w:val="24"/>
          <w:lang w:val="en-US"/>
        </w:rPr>
        <w:t>myofibroblast</w:t>
      </w:r>
      <w:r w:rsidR="00554A20" w:rsidRPr="007F5A49">
        <w:rPr>
          <w:rFonts w:ascii="Book Antiqua" w:hAnsi="Book Antiqua" w:cs="Arial"/>
          <w:sz w:val="24"/>
          <w:szCs w:val="24"/>
          <w:lang w:val="en-US"/>
        </w:rPr>
        <w:t>s</w:t>
      </w:r>
      <w:r w:rsidR="003D2373" w:rsidRPr="007F5A49">
        <w:rPr>
          <w:rFonts w:ascii="Book Antiqua" w:hAnsi="Book Antiqua" w:cs="Arial"/>
          <w:sz w:val="24"/>
          <w:szCs w:val="24"/>
          <w:lang w:val="en-US"/>
        </w:rPr>
        <w:t>.</w:t>
      </w:r>
      <w:r w:rsidR="002054FE" w:rsidRPr="007F5A49">
        <w:rPr>
          <w:rFonts w:ascii="Book Antiqua" w:hAnsi="Book Antiqua" w:cs="Arial"/>
          <w:sz w:val="24"/>
          <w:szCs w:val="24"/>
          <w:lang w:val="en-US"/>
        </w:rPr>
        <w:t xml:space="preserve"> </w:t>
      </w:r>
      <w:r w:rsidR="00BC0F3E" w:rsidRPr="007F5A49">
        <w:rPr>
          <w:rFonts w:ascii="Book Antiqua" w:hAnsi="Book Antiqua" w:cs="Arial"/>
          <w:sz w:val="24"/>
          <w:szCs w:val="24"/>
          <w:lang w:val="en-US"/>
        </w:rPr>
        <w:t>R</w:t>
      </w:r>
      <w:r w:rsidR="00554A20" w:rsidRPr="007F5A49">
        <w:rPr>
          <w:rFonts w:ascii="Book Antiqua" w:hAnsi="Book Antiqua" w:cs="Arial"/>
          <w:bCs/>
          <w:sz w:val="24"/>
          <w:szCs w:val="24"/>
          <w:lang w:val="en-US"/>
        </w:rPr>
        <w:t>egulatory processes are disregarded</w:t>
      </w:r>
      <w:r w:rsidR="0047714C" w:rsidRPr="007F5A49">
        <w:rPr>
          <w:rFonts w:ascii="Book Antiqua" w:hAnsi="Book Antiqua" w:cs="Arial"/>
          <w:bCs/>
          <w:sz w:val="24"/>
          <w:szCs w:val="24"/>
          <w:lang w:val="en-US"/>
        </w:rPr>
        <w:t xml:space="preserve"> leading to </w:t>
      </w:r>
      <w:r w:rsidR="00554A20" w:rsidRPr="007F5A49">
        <w:rPr>
          <w:rFonts w:ascii="Book Antiqua" w:hAnsi="Book Antiqua" w:cs="Arial"/>
          <w:bCs/>
          <w:sz w:val="24"/>
          <w:szCs w:val="24"/>
          <w:lang w:val="en-US"/>
        </w:rPr>
        <w:t xml:space="preserve">excessive deposition of ECM that can </w:t>
      </w:r>
      <w:r w:rsidR="002A6AAB" w:rsidRPr="007F5A49">
        <w:rPr>
          <w:rFonts w:ascii="Book Antiqua" w:hAnsi="Book Antiqua" w:cs="Arial"/>
          <w:bCs/>
          <w:sz w:val="24"/>
          <w:szCs w:val="24"/>
          <w:lang w:val="en-US"/>
        </w:rPr>
        <w:t xml:space="preserve">rise </w:t>
      </w:r>
      <w:r w:rsidR="00554A20" w:rsidRPr="007F5A49">
        <w:rPr>
          <w:rFonts w:ascii="Book Antiqua" w:hAnsi="Book Antiqua" w:cs="Arial"/>
          <w:bCs/>
          <w:sz w:val="24"/>
          <w:szCs w:val="24"/>
          <w:lang w:val="en-US"/>
        </w:rPr>
        <w:t>up to 8-fold higher than normal</w:t>
      </w:r>
      <w:r w:rsidR="00554A20" w:rsidRPr="007F5A49">
        <w:rPr>
          <w:rFonts w:ascii="Book Antiqua" w:hAnsi="Book Antiqua" w:cs="Arial"/>
          <w:bCs/>
          <w:sz w:val="24"/>
          <w:szCs w:val="24"/>
          <w:vertAlign w:val="superscript"/>
          <w:lang w:val="en-US"/>
        </w:rPr>
        <w:fldChar w:fldCharType="begin"/>
      </w:r>
      <w:r w:rsidR="00D2645C" w:rsidRPr="007F5A49">
        <w:rPr>
          <w:rFonts w:ascii="Book Antiqua" w:hAnsi="Book Antiqua" w:cs="Arial"/>
          <w:bCs/>
          <w:sz w:val="24"/>
          <w:szCs w:val="24"/>
          <w:vertAlign w:val="superscript"/>
          <w:lang w:val="en-US"/>
        </w:rPr>
        <w:instrText xml:space="preserve"> ADDIN ZOTERO_ITEM CSL_CITATION {"citationID":"a1aqruuq7mq","properties":{"formattedCitation":"(11)","plainCitation":"(11)","noteIndex":0},"citationItems":[{"id":"z1PZoHrb/ZrApgtQI","uris":["http://zotero.org/users/4222068/items/TDASX5N5"],"uri":["http://zotero.org/users/4222068/items/TDASX5N5"],"itemData":{"id":1265,"type":"article-journal","title":"Cellular Sources of Extracellular Matrix in Hepatic Fibrosis","container-title":"Clinics in liver disease","page":"759-viii","volume":"12","issue":"4","source":"PubMed Central","abstract":"The deposition of increased and abnormal extracellular matrix is the hallmark of liver fibrosis. Hepatic stellate cells are well known as the major source of the fibrillar collagens and other components of the liver scar, but it is now appreciated that they are only one of many potentially fibrogenic cell populations in the diseased liver. Portal fibroblasts as well as circulating mesenchymal cells derived from the bone marrow are also important sources of matrix proteins in fibrosis. Recent data suggest that hepatocytes and biliary epithelial cells undergo an epithelial to mesenchymal transition, similarly assuming a fibrogenic phenotype. Sinusoidal endothelial cells and hepatocytes both produce specific matrix proteins important in liver health and disease. The challenge of the future will be to define more explicitly the roles of these different fibrogenic cell populations in fibrosis in a disease-specific way.","DOI":"10.1016/j.cld.2008.07.008","ISSN":"1089-3261","note":"PMID: 18984465\nPMCID: PMC2617723","journalAbbreviation":"Clin Liver Dis","author":[{"family":"Wells","given":"Rebecca G."}],"issued":{"date-parts":[["2008",11]]}}}],"schema":"https://github.com/citation-style-language/schema/raw/master/csl-citation.json"} </w:instrText>
      </w:r>
      <w:r w:rsidR="00554A20" w:rsidRPr="007F5A49">
        <w:rPr>
          <w:rFonts w:ascii="Book Antiqua" w:hAnsi="Book Antiqua" w:cs="Arial"/>
          <w:bCs/>
          <w:sz w:val="24"/>
          <w:szCs w:val="24"/>
          <w:vertAlign w:val="superscript"/>
          <w:lang w:val="en-US"/>
        </w:rPr>
        <w:fldChar w:fldCharType="separate"/>
      </w:r>
      <w:r w:rsidR="002D72E8"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11</w:t>
      </w:r>
      <w:r w:rsidR="00554A20" w:rsidRPr="007F5A49">
        <w:rPr>
          <w:rFonts w:ascii="Book Antiqua" w:hAnsi="Book Antiqua" w:cs="Arial"/>
          <w:bCs/>
          <w:sz w:val="24"/>
          <w:szCs w:val="24"/>
          <w:vertAlign w:val="superscript"/>
          <w:lang w:val="en-US"/>
        </w:rPr>
        <w:fldChar w:fldCharType="end"/>
      </w:r>
      <w:r w:rsidR="002D72E8" w:rsidRPr="007F5A49">
        <w:rPr>
          <w:rFonts w:ascii="Book Antiqua" w:hAnsi="Book Antiqua" w:cs="Arial"/>
          <w:bCs/>
          <w:sz w:val="24"/>
          <w:szCs w:val="24"/>
          <w:vertAlign w:val="superscript"/>
          <w:lang w:val="en-US"/>
        </w:rPr>
        <w:t>]</w:t>
      </w:r>
      <w:r w:rsidR="009C7407" w:rsidRPr="007F5A49">
        <w:rPr>
          <w:rFonts w:ascii="Book Antiqua" w:hAnsi="Book Antiqua" w:cs="Arial"/>
          <w:bCs/>
          <w:sz w:val="24"/>
          <w:szCs w:val="24"/>
          <w:lang w:val="en-US"/>
        </w:rPr>
        <w:t xml:space="preserve">. </w:t>
      </w:r>
      <w:r w:rsidR="00554A20" w:rsidRPr="007F5A49">
        <w:rPr>
          <w:rFonts w:ascii="Book Antiqua" w:hAnsi="Book Antiqua" w:cs="Arial"/>
          <w:bCs/>
          <w:sz w:val="24"/>
          <w:szCs w:val="24"/>
          <w:lang w:val="en-US"/>
        </w:rPr>
        <w:t>This, along with insufficient degradation of ECM gradually distorts the normal architecture of the liver</w:t>
      </w:r>
      <w:r w:rsidR="009B7626" w:rsidRPr="007F5A49">
        <w:rPr>
          <w:rFonts w:ascii="Book Antiqua" w:hAnsi="Book Antiqua" w:cs="Arial"/>
          <w:bCs/>
          <w:sz w:val="24"/>
          <w:szCs w:val="24"/>
          <w:lang w:val="en-US"/>
        </w:rPr>
        <w:t>,</w:t>
      </w:r>
      <w:r w:rsidR="00554A20" w:rsidRPr="007F5A49">
        <w:rPr>
          <w:rFonts w:ascii="Book Antiqua" w:hAnsi="Book Antiqua" w:cs="Arial"/>
          <w:bCs/>
          <w:sz w:val="24"/>
          <w:szCs w:val="24"/>
          <w:lang w:val="en-US"/>
        </w:rPr>
        <w:t xml:space="preserve"> </w:t>
      </w:r>
      <w:r w:rsidR="007215E2" w:rsidRPr="007F5A49">
        <w:rPr>
          <w:rFonts w:ascii="Book Antiqua" w:hAnsi="Book Antiqua" w:cs="Arial"/>
          <w:bCs/>
          <w:sz w:val="24"/>
          <w:szCs w:val="24"/>
          <w:lang w:val="en-US"/>
        </w:rPr>
        <w:t>t</w:t>
      </w:r>
      <w:r w:rsidR="00554A20" w:rsidRPr="007F5A49">
        <w:rPr>
          <w:rFonts w:ascii="Book Antiqua" w:hAnsi="Book Antiqua" w:cs="Arial"/>
          <w:bCs/>
          <w:sz w:val="24"/>
          <w:szCs w:val="24"/>
          <w:lang w:val="en-US"/>
        </w:rPr>
        <w:t xml:space="preserve">hereby </w:t>
      </w:r>
      <w:r w:rsidR="00B33B02" w:rsidRPr="007F5A49">
        <w:rPr>
          <w:rFonts w:ascii="Book Antiqua" w:hAnsi="Book Antiqua" w:cs="Arial"/>
          <w:bCs/>
          <w:sz w:val="24"/>
          <w:szCs w:val="24"/>
          <w:lang w:val="en-US"/>
        </w:rPr>
        <w:t>entering</w:t>
      </w:r>
      <w:r w:rsidR="00CE58BF" w:rsidRPr="007F5A49">
        <w:rPr>
          <w:rFonts w:ascii="Book Antiqua" w:hAnsi="Book Antiqua" w:cs="Arial"/>
          <w:bCs/>
          <w:sz w:val="24"/>
          <w:szCs w:val="24"/>
          <w:lang w:val="en-US"/>
        </w:rPr>
        <w:t xml:space="preserve"> </w:t>
      </w:r>
      <w:r w:rsidR="009B7626" w:rsidRPr="007F5A49">
        <w:rPr>
          <w:rFonts w:ascii="Book Antiqua" w:hAnsi="Book Antiqua" w:cs="Arial"/>
          <w:bCs/>
          <w:sz w:val="24"/>
          <w:szCs w:val="24"/>
          <w:lang w:val="en-US"/>
        </w:rPr>
        <w:t xml:space="preserve">the </w:t>
      </w:r>
      <w:r w:rsidR="00554A20" w:rsidRPr="007F5A49">
        <w:rPr>
          <w:rFonts w:ascii="Book Antiqua" w:hAnsi="Book Antiqua" w:cs="Arial"/>
          <w:bCs/>
          <w:sz w:val="24"/>
          <w:szCs w:val="24"/>
          <w:lang w:val="en-US"/>
        </w:rPr>
        <w:t>pathological fibr</w:t>
      </w:r>
      <w:r w:rsidR="009B7626" w:rsidRPr="007F5A49">
        <w:rPr>
          <w:rFonts w:ascii="Book Antiqua" w:hAnsi="Book Antiqua" w:cs="Arial"/>
          <w:bCs/>
          <w:sz w:val="24"/>
          <w:szCs w:val="24"/>
          <w:lang w:val="en-US"/>
        </w:rPr>
        <w:t xml:space="preserve">otic </w:t>
      </w:r>
      <w:r w:rsidR="006778E4">
        <w:rPr>
          <w:rFonts w:ascii="Book Antiqua" w:hAnsi="Book Antiqua" w:cs="Arial"/>
          <w:bCs/>
          <w:sz w:val="24"/>
          <w:szCs w:val="24"/>
          <w:lang w:val="en-US"/>
        </w:rPr>
        <w:t>stage.</w:t>
      </w:r>
    </w:p>
    <w:p w14:paraId="2B3FDBC1" w14:textId="7B143B2E" w:rsidR="009E0B27" w:rsidRPr="007F5A49" w:rsidRDefault="006778E4" w:rsidP="007F5A49">
      <w:pPr>
        <w:adjustRightInd w:val="0"/>
        <w:snapToGrid w:val="0"/>
        <w:spacing w:after="0" w:line="360" w:lineRule="auto"/>
        <w:jc w:val="both"/>
        <w:rPr>
          <w:rFonts w:ascii="Book Antiqua" w:hAnsi="Book Antiqua" w:cs="Arial"/>
          <w:bCs/>
          <w:sz w:val="24"/>
          <w:szCs w:val="24"/>
          <w:lang w:val="en-US"/>
        </w:rPr>
      </w:pPr>
      <w:r>
        <w:rPr>
          <w:rFonts w:ascii="Book Antiqua" w:hAnsi="Book Antiqua" w:cs="Arial"/>
          <w:sz w:val="24"/>
          <w:szCs w:val="24"/>
          <w:lang w:val="en-US"/>
        </w:rPr>
        <w:t xml:space="preserve">  </w:t>
      </w:r>
      <w:r w:rsidR="007B772E" w:rsidRPr="007F5A49">
        <w:rPr>
          <w:rFonts w:ascii="Book Antiqua" w:hAnsi="Book Antiqua" w:cs="Arial"/>
          <w:sz w:val="24"/>
          <w:szCs w:val="24"/>
          <w:lang w:val="en-US"/>
        </w:rPr>
        <w:t>R</w:t>
      </w:r>
      <w:r w:rsidR="00C549DD" w:rsidRPr="007F5A49">
        <w:rPr>
          <w:rFonts w:ascii="Book Antiqua" w:hAnsi="Book Antiqua" w:cs="Arial"/>
          <w:sz w:val="24"/>
          <w:szCs w:val="24"/>
          <w:lang w:val="en-US"/>
        </w:rPr>
        <w:t xml:space="preserve">emoval of </w:t>
      </w:r>
      <w:r w:rsidR="00583053" w:rsidRPr="007F5A49">
        <w:rPr>
          <w:rFonts w:ascii="Book Antiqua" w:hAnsi="Book Antiqua" w:cs="Arial"/>
          <w:sz w:val="24"/>
          <w:szCs w:val="24"/>
          <w:lang w:val="en-US"/>
        </w:rPr>
        <w:t>stimulus</w:t>
      </w:r>
      <w:r w:rsidR="00D03D5F" w:rsidRPr="007F5A49">
        <w:rPr>
          <w:rFonts w:ascii="Book Antiqua" w:hAnsi="Book Antiqua" w:cs="Arial"/>
          <w:sz w:val="24"/>
          <w:szCs w:val="24"/>
          <w:lang w:val="en-US"/>
        </w:rPr>
        <w:t xml:space="preserve">, followed by sufficient time for recovery and </w:t>
      </w:r>
      <w:r w:rsidR="00C549DD" w:rsidRPr="007F5A49">
        <w:rPr>
          <w:rFonts w:ascii="Book Antiqua" w:hAnsi="Book Antiqua" w:cs="Arial"/>
          <w:sz w:val="24"/>
          <w:szCs w:val="24"/>
          <w:lang w:val="en-US"/>
        </w:rPr>
        <w:t xml:space="preserve">treatment can </w:t>
      </w:r>
      <w:r w:rsidR="002E7E34" w:rsidRPr="007F5A49">
        <w:rPr>
          <w:rFonts w:ascii="Book Antiqua" w:hAnsi="Book Antiqua" w:cs="Arial"/>
          <w:sz w:val="24"/>
          <w:szCs w:val="24"/>
          <w:lang w:val="en-US"/>
        </w:rPr>
        <w:t xml:space="preserve">revert the myofibroblasts to an inactive state, </w:t>
      </w:r>
      <w:r w:rsidR="00C549DD" w:rsidRPr="007F5A49">
        <w:rPr>
          <w:rFonts w:ascii="Book Antiqua" w:hAnsi="Book Antiqua" w:cs="Arial"/>
          <w:sz w:val="24"/>
          <w:szCs w:val="24"/>
          <w:lang w:val="en-US"/>
        </w:rPr>
        <w:t xml:space="preserve">reverse fibrosis and restore normal </w:t>
      </w:r>
      <w:r w:rsidR="00C549DD" w:rsidRPr="007F5A49">
        <w:rPr>
          <w:rFonts w:ascii="Book Antiqua" w:hAnsi="Book Antiqua" w:cs="Arial"/>
          <w:sz w:val="24"/>
          <w:szCs w:val="24"/>
          <w:lang w:val="en-US"/>
        </w:rPr>
        <w:lastRenderedPageBreak/>
        <w:t>liver functionality</w:t>
      </w:r>
      <w:r w:rsidR="00DE748C"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GGkWG07L","properties":{"formattedCitation":"(12\\uc0\\u8211{}14)","plainCitation":"(12–14)","noteIndex":0},"citationItems":[{"id":132,"uris":["http://zotero.org/users/2804724/items/UG9HR2A7"],"uri":["http://zotero.org/users/2804724/items/UG9HR2A7"],"itemData":{"id":132,"type":"article-journal","title":"Seminars in medicine of the Beth Israel Hospital, Boston. The cellular basis of hepatic fibrosis. Mechanisms and treatment strategies","container-title":"The New England Journal of Medicine","page":"1828-1835","volume":"328","issue":"25","source":"PubMed","DOI":"10.1056/NEJM199306243282508","ISSN":"0028-4793","note":"PMID: 8502273","journalAbbreviation":"N. Engl. J. Med.","language":"eng","author":[{"family":"Friedman","given":"S. L."}],"issued":{"date-parts":[["1993",6,24]]}}},{"id":365,"uris":["http://zotero.org/users/2804724/items/U8ZVNW2C"],"uri":["http://zotero.org/users/2804724/items/U8ZVNW2C"],"itemData":{"id":365,"type":"article-journal","title":"Myofibroblasts revert to an inactive phenotype during regression of liver fibrosis","container-title":"Proceedings of the National Academy of Sciences","page":"9448-9453","volume":"109","issue":"24","source":"www.pnas.org","abstract":"Myofibroblasts produce the fibrous scar in hepatic fibrosis. In the carbon tetrachloride (CCl4) model of liver fibrosis, quiescent hepatic stellate cells (HSC) are activated to become myofibroblasts. When the underlying etiological agent is removed, clinical and experimental fibrosis undergoes a remarkable regression with complete disappearance of these myofibroblasts. Although some myofibroblasts apoptose, it is unknown whether other myofibroblasts may revert to an inactive phenotype during regression of fibrosis. We elucidated the fate of HSCs/myofibroblasts during recovery from CCl4- and alcohol-induced liver fibrosis using Cre-LoxP–based genetic labeling of myofibroblasts. Here we demonstrate that half of the myofibroblasts escape apoptosis during regression of liver fibrosis, down-regulate fibrogenic genes, and acquire a phenotype similar to, but distinct from, quiescent HSCs in their ability to more rapidly reactivate into myofibroblasts in response to fibrogenic stimuli and strongly contribute to liver fibrosis. Inactivation of HSCs was associated with up-regulation of the anti-apoptotic genes Hspa1a/b, which participate in the survival of HSCs in culture and in vivo.","DOI":"10.1073/pnas.1201840109","ISSN":"0027-8424, 1091-6490","note":"PMID: 22566629","journalAbbreviation":"PNAS","language":"en","author":[{"family":"Kisseleva","given":"Tatiana"},{"family":"Cong","given":"Min"},{"family":"Paik","given":"YongHan"},{"family":"Scholten","given":"David"},{"family":"Jiang","given":"Chunyan"},{"family":"Benner","given":"Chris"},{"family":"Iwaisako","given":"Keiko"},{"family":"Moore-Morris","given":"Thomas"},{"family":"Scott","given":"Brian"},{"family":"Tsukamoto","given":"Hidekazu"},{"family":"Evans","given":"Sylvia M."},{"family":"Dillmann","given":"Wolfgang"},{"family":"Glass","given":"Christopher K."},{"family":"Brenner","given":"David A."}],"issued":{"date-parts":[["2012",6,12]]}}},{"id":351,"uris":["http://zotero.org/users/2804724/items/TJAVIJBI"],"uri":["http://zotero.org/users/2804724/items/TJAVIJBI"],"itemData":{"id":351,"type":"article-journal","title":"Reversibility of hepatic fibrosis in treated genetic hemochromatosis: a study of 36 cases","container-title":"Hepatology (Baltimore, Md.)","page":"472-477","volume":"44","issue":"2","source":"PubMed","abstract":"The current study was undertaken to assess whether fibrosis could regress under venesection therapy in patients with C282Y homozygous genetic hemochromatosis. The 36 patients studied were recruited from a subfile of our database consisting of 125 C282Y homozygotes with either severe fibrosis or cirrhosis (F3 or F4 fibrosis stage, respectively, according to the METAVIR grading system). The second liver biopsy was performed for management of liver cancer, extrahepatic surgery, or assessment of liver fibrosis. All paired biopsies were reviewed by two pathologists without knowledge of clinical data. Among the 13 patients who had F3 fibrosis on their initial liver biopsy, 3 had F0, 6 had F1, and 2 had F2 on their second liver biopsy. Among the 23 patients with cirrhosis on their initial liver biopsy, 1 had F0, 4 had F1, 3 had F2, and 2 had F3 on their second liver biopsy. When defining regression of fibrosis as a decrease of at least 2 METAVIR units, fibrosis regressed in 9 of 13 (69%) F3 and in 8 of 23 (35%) F4. When the ratio of gammaglobulins (g/L) to (platelets [n/mm(3)] x prothrombin activity [%]) was greater than 7.5, fibrosis never regressed. In conclusion, these data extend the concept of regression of fibrosis to patients with treated genetic hemochromatosis and suggest that some simple biochemical tests would be predictive of further regression of fibrosis as a result of venesection therapy. If confirmed on larger series, this could modify the ultrasound screening policy of hepatocellular carcinoma in genetic hemochromatosis.","DOI":"10.1002/hep.21260","ISSN":"0270-9139","note":"PMID: 16871557","shortTitle":"Reversibility of hepatic fibrosis in treated genetic hemochromatosis","journalAbbreviation":"Hepatology","language":"eng","author":[{"family":"Falize","given":"Ludivine"},{"family":"Guillygomarc'h","given":"Anne"},{"family":"Perrin","given":"Michele"},{"family":"Lainé","given":"Fabrice"},{"family":"Guyader","given":"Dominique"},{"family":"Brissot","given":"Pierre"},{"family":"Turlin","given":"Bruno"},{"family":"Deugnier","given":"Yves"}],"issued":{"date-parts":[["2006",8]]}}}],"schema":"https://github.com/citation-style-language/schema/raw/master/csl-citation.json"} </w:instrText>
      </w:r>
      <w:r w:rsidR="00DE748C" w:rsidRPr="007F5A49">
        <w:rPr>
          <w:rFonts w:ascii="Book Antiqua" w:hAnsi="Book Antiqua" w:cs="Arial"/>
          <w:sz w:val="24"/>
          <w:szCs w:val="24"/>
          <w:vertAlign w:val="superscript"/>
          <w:lang w:val="en-US"/>
        </w:rPr>
        <w:fldChar w:fldCharType="separate"/>
      </w:r>
      <w:r w:rsidR="004C5A97" w:rsidRPr="007F5A49">
        <w:rPr>
          <w:rFonts w:ascii="Book Antiqua" w:hAnsi="Book Antiqua" w:cs="Times New Roman"/>
          <w:sz w:val="24"/>
          <w:szCs w:val="24"/>
          <w:vertAlign w:val="superscript"/>
          <w:lang w:val="en-US"/>
        </w:rPr>
        <w:t>[</w:t>
      </w:r>
      <w:r w:rsidR="00D2645C" w:rsidRPr="007F5A49">
        <w:rPr>
          <w:rFonts w:ascii="Book Antiqua" w:hAnsi="Book Antiqua" w:cs="Times New Roman"/>
          <w:sz w:val="24"/>
          <w:szCs w:val="24"/>
          <w:vertAlign w:val="superscript"/>
          <w:lang w:val="en-US"/>
        </w:rPr>
        <w:t>12</w:t>
      </w:r>
      <w:r w:rsidR="00C04BB2">
        <w:rPr>
          <w:rFonts w:ascii="Book Antiqua" w:hAnsi="Book Antiqua" w:cs="Times New Roman"/>
          <w:sz w:val="24"/>
          <w:szCs w:val="24"/>
          <w:vertAlign w:val="superscript"/>
          <w:lang w:val="en-US"/>
        </w:rPr>
        <w:t>-</w:t>
      </w:r>
      <w:r w:rsidR="00D2645C" w:rsidRPr="007F5A49">
        <w:rPr>
          <w:rFonts w:ascii="Book Antiqua" w:hAnsi="Book Antiqua" w:cs="Times New Roman"/>
          <w:sz w:val="24"/>
          <w:szCs w:val="24"/>
          <w:vertAlign w:val="superscript"/>
          <w:lang w:val="en-US"/>
        </w:rPr>
        <w:t>14</w:t>
      </w:r>
      <w:r w:rsidR="00DE748C" w:rsidRPr="007F5A49">
        <w:rPr>
          <w:rFonts w:ascii="Book Antiqua" w:hAnsi="Book Antiqua" w:cs="Arial"/>
          <w:sz w:val="24"/>
          <w:szCs w:val="24"/>
          <w:vertAlign w:val="superscript"/>
          <w:lang w:val="en-US"/>
        </w:rPr>
        <w:fldChar w:fldCharType="end"/>
      </w:r>
      <w:r w:rsidR="004C5A97" w:rsidRPr="007F5A49">
        <w:rPr>
          <w:rFonts w:ascii="Book Antiqua" w:hAnsi="Book Antiqua" w:cs="Arial"/>
          <w:sz w:val="24"/>
          <w:szCs w:val="24"/>
          <w:vertAlign w:val="superscript"/>
          <w:lang w:val="en-US"/>
        </w:rPr>
        <w:t>]</w:t>
      </w:r>
      <w:r w:rsidR="00DE748C" w:rsidRPr="007F5A49">
        <w:rPr>
          <w:rFonts w:ascii="Book Antiqua" w:hAnsi="Book Antiqua" w:cs="Arial"/>
          <w:sz w:val="24"/>
          <w:szCs w:val="24"/>
          <w:lang w:val="en-US"/>
        </w:rPr>
        <w:t xml:space="preserve"> </w:t>
      </w:r>
      <w:r w:rsidR="00A31779" w:rsidRPr="007F5A49">
        <w:rPr>
          <w:rFonts w:ascii="Book Antiqua" w:hAnsi="Book Antiqua" w:cs="Arial"/>
          <w:sz w:val="24"/>
          <w:szCs w:val="24"/>
          <w:lang w:val="en-US"/>
        </w:rPr>
        <w:t>However, u</w:t>
      </w:r>
      <w:r w:rsidR="00C20807" w:rsidRPr="007F5A49">
        <w:rPr>
          <w:rFonts w:ascii="Book Antiqua" w:hAnsi="Book Antiqua" w:cs="Arial"/>
          <w:bCs/>
          <w:sz w:val="24"/>
          <w:szCs w:val="24"/>
          <w:lang w:val="en-US"/>
        </w:rPr>
        <w:t>ntreated fibrosis</w:t>
      </w:r>
      <w:r w:rsidR="00965D4A" w:rsidRPr="007F5A49">
        <w:rPr>
          <w:rFonts w:ascii="Book Antiqua" w:hAnsi="Book Antiqua" w:cs="Arial"/>
          <w:bCs/>
          <w:sz w:val="24"/>
          <w:szCs w:val="24"/>
          <w:lang w:val="en-US"/>
        </w:rPr>
        <w:t xml:space="preserve"> </w:t>
      </w:r>
      <w:r w:rsidR="00C20807" w:rsidRPr="007F5A49">
        <w:rPr>
          <w:rFonts w:ascii="Book Antiqua" w:hAnsi="Book Antiqua" w:cs="Arial"/>
          <w:bCs/>
          <w:sz w:val="24"/>
          <w:szCs w:val="24"/>
          <w:lang w:val="en-US"/>
        </w:rPr>
        <w:t xml:space="preserve">often progresses to </w:t>
      </w:r>
      <w:r w:rsidR="00E917F9" w:rsidRPr="007F5A49">
        <w:rPr>
          <w:rFonts w:ascii="Book Antiqua" w:hAnsi="Book Antiqua" w:cs="Arial"/>
          <w:bCs/>
          <w:sz w:val="24"/>
          <w:szCs w:val="24"/>
          <w:lang w:val="en-US"/>
        </w:rPr>
        <w:t xml:space="preserve">cirrhosis, </w:t>
      </w:r>
      <w:r w:rsidR="002E7E34" w:rsidRPr="007F5A49">
        <w:rPr>
          <w:rFonts w:ascii="Book Antiqua" w:hAnsi="Book Antiqua" w:cs="Arial"/>
          <w:bCs/>
          <w:sz w:val="24"/>
          <w:szCs w:val="24"/>
          <w:lang w:val="en-US"/>
        </w:rPr>
        <w:t xml:space="preserve">which is </w:t>
      </w:r>
      <w:proofErr w:type="spellStart"/>
      <w:r w:rsidR="00E917F9" w:rsidRPr="007F5A49">
        <w:rPr>
          <w:rFonts w:ascii="Book Antiqua" w:hAnsi="Book Antiqua" w:cs="Arial"/>
          <w:bCs/>
          <w:sz w:val="24"/>
          <w:szCs w:val="24"/>
          <w:lang w:val="en-US"/>
        </w:rPr>
        <w:t>characterised</w:t>
      </w:r>
      <w:proofErr w:type="spellEnd"/>
      <w:r w:rsidR="00E917F9" w:rsidRPr="007F5A49">
        <w:rPr>
          <w:rFonts w:ascii="Book Antiqua" w:hAnsi="Book Antiqua" w:cs="Arial"/>
          <w:bCs/>
          <w:sz w:val="24"/>
          <w:szCs w:val="24"/>
          <w:lang w:val="en-US"/>
        </w:rPr>
        <w:t xml:space="preserve"> by </w:t>
      </w:r>
      <w:r w:rsidR="00E917F9" w:rsidRPr="007F5A49">
        <w:rPr>
          <w:rFonts w:ascii="Book Antiqua" w:hAnsi="Book Antiqua" w:cs="Arial"/>
          <w:sz w:val="24"/>
          <w:szCs w:val="24"/>
          <w:lang w:val="en-US"/>
        </w:rPr>
        <w:t>further deposition of collagen, nodule formations and restricted blood supply (hypoxia)</w:t>
      </w:r>
      <w:r w:rsidR="00642D09" w:rsidRPr="007F5A49">
        <w:rPr>
          <w:rFonts w:ascii="Book Antiqua" w:hAnsi="Book Antiqua" w:cs="Arial"/>
          <w:sz w:val="24"/>
          <w:szCs w:val="24"/>
          <w:lang w:val="en-US"/>
        </w:rPr>
        <w:t xml:space="preserve">. This </w:t>
      </w:r>
      <w:r w:rsidR="007B772E" w:rsidRPr="007F5A49">
        <w:rPr>
          <w:rFonts w:ascii="Book Antiqua" w:hAnsi="Book Antiqua" w:cs="Arial"/>
          <w:sz w:val="24"/>
          <w:szCs w:val="24"/>
          <w:lang w:val="en-US"/>
        </w:rPr>
        <w:t>increase</w:t>
      </w:r>
      <w:r w:rsidR="00642D09" w:rsidRPr="007F5A49">
        <w:rPr>
          <w:rFonts w:ascii="Book Antiqua" w:hAnsi="Book Antiqua" w:cs="Arial"/>
          <w:sz w:val="24"/>
          <w:szCs w:val="24"/>
          <w:lang w:val="en-US"/>
        </w:rPr>
        <w:t>s</w:t>
      </w:r>
      <w:r w:rsidR="007B772E" w:rsidRPr="007F5A49">
        <w:rPr>
          <w:rFonts w:ascii="Book Antiqua" w:hAnsi="Book Antiqua" w:cs="Arial"/>
          <w:sz w:val="24"/>
          <w:szCs w:val="24"/>
          <w:lang w:val="en-US"/>
        </w:rPr>
        <w:t xml:space="preserve"> liver stiffness</w:t>
      </w:r>
      <w:r w:rsidR="00C52962" w:rsidRPr="007F5A49">
        <w:rPr>
          <w:rFonts w:ascii="Book Antiqua" w:hAnsi="Book Antiqua" w:cs="Arial"/>
          <w:sz w:val="24"/>
          <w:szCs w:val="24"/>
          <w:lang w:val="en-US"/>
        </w:rPr>
        <w:t xml:space="preserve"> and </w:t>
      </w:r>
      <w:r w:rsidR="00E917F9" w:rsidRPr="007F5A49">
        <w:rPr>
          <w:rFonts w:ascii="Book Antiqua" w:hAnsi="Book Antiqua" w:cs="Arial"/>
          <w:sz w:val="24"/>
          <w:szCs w:val="24"/>
          <w:lang w:val="en-US"/>
        </w:rPr>
        <w:t>portal</w:t>
      </w:r>
      <w:r w:rsidR="00C92814" w:rsidRPr="007F5A49">
        <w:rPr>
          <w:rFonts w:ascii="Book Antiqua" w:hAnsi="Book Antiqua" w:cs="Arial"/>
          <w:sz w:val="24"/>
          <w:szCs w:val="24"/>
          <w:lang w:val="en-US"/>
        </w:rPr>
        <w:t xml:space="preserve"> </w:t>
      </w:r>
      <w:r w:rsidR="00E917F9" w:rsidRPr="007F5A49">
        <w:rPr>
          <w:rFonts w:ascii="Book Antiqua" w:hAnsi="Book Antiqua" w:cs="Arial"/>
          <w:sz w:val="24"/>
          <w:szCs w:val="24"/>
          <w:lang w:val="en-US"/>
        </w:rPr>
        <w:t>hypertension</w:t>
      </w:r>
      <w:r w:rsidR="00C52962" w:rsidRPr="007F5A49">
        <w:rPr>
          <w:rFonts w:ascii="Book Antiqua" w:hAnsi="Book Antiqua" w:cs="Arial"/>
          <w:sz w:val="24"/>
          <w:szCs w:val="24"/>
          <w:lang w:val="en-US"/>
        </w:rPr>
        <w:t xml:space="preserve">, and </w:t>
      </w:r>
      <w:r w:rsidR="00F16B15" w:rsidRPr="007F5A49">
        <w:rPr>
          <w:rFonts w:ascii="Book Antiqua" w:hAnsi="Book Antiqua" w:cs="Arial"/>
          <w:sz w:val="24"/>
          <w:szCs w:val="24"/>
          <w:lang w:val="en-US"/>
        </w:rPr>
        <w:t xml:space="preserve">further </w:t>
      </w:r>
      <w:r w:rsidR="00E917F9" w:rsidRPr="007F5A49">
        <w:rPr>
          <w:rFonts w:ascii="Book Antiqua" w:hAnsi="Book Antiqua" w:cs="Arial"/>
          <w:sz w:val="24"/>
          <w:szCs w:val="24"/>
          <w:lang w:val="en-US"/>
        </w:rPr>
        <w:t>distort</w:t>
      </w:r>
      <w:r w:rsidR="00642D09" w:rsidRPr="007F5A49">
        <w:rPr>
          <w:rFonts w:ascii="Book Antiqua" w:hAnsi="Book Antiqua" w:cs="Arial"/>
          <w:sz w:val="24"/>
          <w:szCs w:val="24"/>
          <w:lang w:val="en-US"/>
        </w:rPr>
        <w:t>s</w:t>
      </w:r>
      <w:r w:rsidR="001B2002" w:rsidRPr="007F5A49">
        <w:rPr>
          <w:rFonts w:ascii="Book Antiqua" w:hAnsi="Book Antiqua" w:cs="Arial"/>
          <w:sz w:val="24"/>
          <w:szCs w:val="24"/>
          <w:lang w:val="en-US"/>
        </w:rPr>
        <w:t xml:space="preserve"> </w:t>
      </w:r>
      <w:r w:rsidR="00E917F9" w:rsidRPr="007F5A49">
        <w:rPr>
          <w:rFonts w:ascii="Book Antiqua" w:hAnsi="Book Antiqua" w:cs="Arial"/>
          <w:sz w:val="24"/>
          <w:szCs w:val="24"/>
          <w:lang w:val="en-US"/>
        </w:rPr>
        <w:t>hepatic architecture</w:t>
      </w:r>
      <w:r w:rsidR="00D220F5"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23pjmectdt","properties":{"formattedCitation":"(15)","plainCitation":"(15)","noteIndex":0},"citationItems":[{"id":"z1PZoHrb/qIdtHSpz","uris":["http://zotero.org/users/4222068/items/2GBH9PMY"],"uri":["http://zotero.org/users/4222068/items/2GBH9PMY"],"itemData":{"id":1690,"type":"article-journal","title":"Pathophysiology of Portal Hypertension","container-title":"Clinics in liver disease","page":"281-291","volume":"18","issue":"2","source":"PubMed Central","abstract":"Portal hypertension is a major complication of liver disease, which results from a variety of pathological conditions that increase the resistance to the portal blood flow into the liver. The primary cause of portal hypertension in cirrhosis is an increase in intrahepatic vascular resistance due to massive structural changes associated with fibrosis and increased vascular tone in the hepatic microcirculation. As portal hypertension develops, the formation of collateral vessels and arterial vasodilation progress, which results in increased blood flow to the portal circulation. Eventually the hyperdynamic circulatory syndrome develops, leading to esophageal varices or ascites. This review article will summarize the factors that increase 1) intrahepatic vascular resistance and 2) the blood flow in the splanchnic and systemic circulations in liver cirrhosis. Finally, the future directions of basic/clinical research in portal hypertension will be discussed.","DOI":"10.1016/j.cld.2013.12.001","ISSN":"1089-3261","note":"PMID: 24679494\nPMCID: PMC3971388","journalAbbreviation":"Clin Liver Dis","author":[{"family":"Iwakiri","given":"Yasuko"}],"issued":{"date-parts":[["2014",5]]}}}],"schema":"https://github.com/citation-style-language/schema/raw/master/csl-citation.json"} </w:instrText>
      </w:r>
      <w:r w:rsidR="00D220F5" w:rsidRPr="007F5A49">
        <w:rPr>
          <w:rFonts w:ascii="Book Antiqua" w:hAnsi="Book Antiqua" w:cs="Arial"/>
          <w:sz w:val="24"/>
          <w:szCs w:val="24"/>
          <w:vertAlign w:val="superscript"/>
          <w:lang w:val="en-US"/>
        </w:rPr>
        <w:fldChar w:fldCharType="separate"/>
      </w:r>
      <w:r w:rsidR="004C5A97"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15</w:t>
      </w:r>
      <w:r w:rsidR="00D220F5" w:rsidRPr="007F5A49">
        <w:rPr>
          <w:rFonts w:ascii="Book Antiqua" w:hAnsi="Book Antiqua" w:cs="Arial"/>
          <w:sz w:val="24"/>
          <w:szCs w:val="24"/>
          <w:vertAlign w:val="superscript"/>
          <w:lang w:val="en-US"/>
        </w:rPr>
        <w:fldChar w:fldCharType="end"/>
      </w:r>
      <w:r w:rsidR="004C5A97" w:rsidRPr="007F5A49">
        <w:rPr>
          <w:rFonts w:ascii="Book Antiqua" w:hAnsi="Book Antiqua" w:cs="Arial"/>
          <w:sz w:val="24"/>
          <w:szCs w:val="24"/>
          <w:vertAlign w:val="superscript"/>
          <w:lang w:val="en-US"/>
        </w:rPr>
        <w:t>]</w:t>
      </w:r>
      <w:r w:rsidR="00C90D9D" w:rsidRPr="007F5A49">
        <w:rPr>
          <w:rFonts w:ascii="Book Antiqua" w:hAnsi="Book Antiqua" w:cs="Arial"/>
          <w:sz w:val="24"/>
          <w:szCs w:val="24"/>
          <w:lang w:val="en-US"/>
        </w:rPr>
        <w:t>.</w:t>
      </w:r>
      <w:r w:rsidR="00202473" w:rsidRPr="007F5A49">
        <w:rPr>
          <w:rFonts w:ascii="Book Antiqua" w:hAnsi="Book Antiqua" w:cs="Arial"/>
          <w:sz w:val="24"/>
          <w:szCs w:val="24"/>
          <w:lang w:val="en-US"/>
        </w:rPr>
        <w:t xml:space="preserve"> Unattended, it leads to organ failure and death. </w:t>
      </w:r>
      <w:r w:rsidR="005A7089" w:rsidRPr="007F5A49">
        <w:rPr>
          <w:rFonts w:ascii="Book Antiqua" w:hAnsi="Book Antiqua" w:cs="Arial"/>
          <w:sz w:val="24"/>
          <w:szCs w:val="24"/>
          <w:lang w:val="en-US"/>
        </w:rPr>
        <w:t>As the pathology progresses to</w:t>
      </w:r>
      <w:r w:rsidR="00863224" w:rsidRPr="007F5A49">
        <w:rPr>
          <w:rFonts w:ascii="Book Antiqua" w:hAnsi="Book Antiqua" w:cs="Arial"/>
          <w:sz w:val="24"/>
          <w:szCs w:val="24"/>
          <w:lang w:val="en-US"/>
        </w:rPr>
        <w:t xml:space="preserve"> </w:t>
      </w:r>
      <w:r w:rsidR="00D605F2" w:rsidRPr="007F5A49">
        <w:rPr>
          <w:rFonts w:ascii="Book Antiqua" w:hAnsi="Book Antiqua" w:cs="Arial"/>
          <w:sz w:val="24"/>
          <w:szCs w:val="24"/>
          <w:lang w:val="en-US"/>
        </w:rPr>
        <w:t>cirrhosis, regression</w:t>
      </w:r>
      <w:r w:rsidR="00B92F91" w:rsidRPr="007F5A49">
        <w:rPr>
          <w:rFonts w:ascii="Book Antiqua" w:hAnsi="Book Antiqua" w:cs="Arial"/>
          <w:sz w:val="24"/>
          <w:szCs w:val="24"/>
          <w:lang w:val="en-US"/>
        </w:rPr>
        <w:t xml:space="preserve"> </w:t>
      </w:r>
      <w:r w:rsidR="00D605F2" w:rsidRPr="007F5A49">
        <w:rPr>
          <w:rFonts w:ascii="Book Antiqua" w:hAnsi="Book Antiqua" w:cs="Arial"/>
          <w:sz w:val="24"/>
          <w:szCs w:val="24"/>
          <w:lang w:val="en-US"/>
        </w:rPr>
        <w:t>becomes increasingly difficult</w:t>
      </w:r>
      <w:r w:rsidR="00B92F91" w:rsidRPr="007F5A49">
        <w:rPr>
          <w:rFonts w:ascii="Book Antiqua" w:hAnsi="Book Antiqua" w:cs="Arial"/>
          <w:sz w:val="24"/>
          <w:szCs w:val="24"/>
          <w:lang w:val="en-US"/>
        </w:rPr>
        <w:t>, although possible</w:t>
      </w:r>
      <w:r w:rsidR="007B772E" w:rsidRPr="007F5A49">
        <w:rPr>
          <w:rFonts w:ascii="Book Antiqua" w:hAnsi="Book Antiqua" w:cs="Arial"/>
          <w:sz w:val="24"/>
          <w:szCs w:val="24"/>
          <w:lang w:val="en-US"/>
        </w:rPr>
        <w:t>.</w:t>
      </w:r>
      <w:r w:rsidR="00202473" w:rsidRPr="007F5A49">
        <w:rPr>
          <w:rFonts w:ascii="Book Antiqua" w:hAnsi="Book Antiqua" w:cs="Arial"/>
          <w:sz w:val="24"/>
          <w:szCs w:val="24"/>
          <w:lang w:val="en-US"/>
        </w:rPr>
        <w:t xml:space="preserve"> </w:t>
      </w:r>
      <w:r w:rsidR="007B772E" w:rsidRPr="007F5A49">
        <w:rPr>
          <w:rFonts w:ascii="Book Antiqua" w:hAnsi="Book Antiqua" w:cs="Arial"/>
          <w:sz w:val="24"/>
          <w:szCs w:val="24"/>
          <w:lang w:val="en-US"/>
        </w:rPr>
        <w:t>A</w:t>
      </w:r>
      <w:r w:rsidR="00613854" w:rsidRPr="007F5A49">
        <w:rPr>
          <w:rFonts w:ascii="Book Antiqua" w:hAnsi="Book Antiqua" w:cs="Arial"/>
          <w:sz w:val="24"/>
          <w:szCs w:val="24"/>
          <w:lang w:val="en-US"/>
        </w:rPr>
        <w:t xml:space="preserve">dvanced </w:t>
      </w:r>
      <w:r w:rsidR="00F16B15" w:rsidRPr="007F5A49">
        <w:rPr>
          <w:rFonts w:ascii="Book Antiqua" w:hAnsi="Book Antiqua" w:cs="Arial"/>
          <w:sz w:val="24"/>
          <w:szCs w:val="24"/>
          <w:lang w:val="en-US"/>
        </w:rPr>
        <w:t xml:space="preserve">cirrhosis may </w:t>
      </w:r>
      <w:r w:rsidR="00F16B15" w:rsidRPr="007F5A49">
        <w:rPr>
          <w:rFonts w:ascii="Book Antiqua" w:hAnsi="Book Antiqua" w:cs="Arial"/>
          <w:bCs/>
          <w:sz w:val="24"/>
          <w:szCs w:val="24"/>
          <w:lang w:val="en-US"/>
        </w:rPr>
        <w:t>terminate</w:t>
      </w:r>
      <w:r w:rsidR="00C20807" w:rsidRPr="007F5A49">
        <w:rPr>
          <w:rFonts w:ascii="Book Antiqua" w:hAnsi="Book Antiqua" w:cs="Arial"/>
          <w:bCs/>
          <w:sz w:val="24"/>
          <w:szCs w:val="24"/>
          <w:lang w:val="en-US"/>
        </w:rPr>
        <w:t xml:space="preserve"> in hepatocellular carcinoma</w:t>
      </w:r>
      <w:r w:rsidR="00CA27F0" w:rsidRPr="007F5A49">
        <w:rPr>
          <w:rFonts w:ascii="Book Antiqua" w:hAnsi="Book Antiqua" w:cs="Arial"/>
          <w:bCs/>
          <w:sz w:val="24"/>
          <w:szCs w:val="24"/>
          <w:lang w:val="en-US"/>
        </w:rPr>
        <w:t xml:space="preserve">, where </w:t>
      </w:r>
      <w:r w:rsidR="00D220F5" w:rsidRPr="007F5A49">
        <w:rPr>
          <w:rFonts w:ascii="Book Antiqua" w:hAnsi="Book Antiqua" w:cs="Arial"/>
          <w:bCs/>
          <w:sz w:val="24"/>
          <w:szCs w:val="24"/>
          <w:lang w:val="en-US"/>
        </w:rPr>
        <w:t xml:space="preserve">resection or </w:t>
      </w:r>
      <w:r w:rsidR="00CA27F0" w:rsidRPr="007F5A49">
        <w:rPr>
          <w:rFonts w:ascii="Book Antiqua" w:hAnsi="Book Antiqua" w:cs="Arial"/>
          <w:bCs/>
          <w:sz w:val="24"/>
          <w:szCs w:val="24"/>
          <w:lang w:val="en-US"/>
        </w:rPr>
        <w:t>transplantation remain the only curative option</w:t>
      </w:r>
      <w:r w:rsidR="00D220F5" w:rsidRPr="007F5A49">
        <w:rPr>
          <w:rFonts w:ascii="Book Antiqua" w:hAnsi="Book Antiqua" w:cs="Arial"/>
          <w:bCs/>
          <w:sz w:val="24"/>
          <w:szCs w:val="24"/>
          <w:lang w:val="en-US"/>
        </w:rPr>
        <w:t>s</w:t>
      </w:r>
      <w:r w:rsidR="00613854" w:rsidRPr="007F5A49">
        <w:rPr>
          <w:rFonts w:ascii="Book Antiqua" w:hAnsi="Book Antiqua" w:cs="Arial"/>
          <w:sz w:val="24"/>
          <w:szCs w:val="24"/>
          <w:lang w:val="en-US"/>
        </w:rPr>
        <w:t>.</w:t>
      </w:r>
    </w:p>
    <w:p w14:paraId="2B1AD9FA" w14:textId="77777777" w:rsidR="009C4221" w:rsidRPr="007F5A49" w:rsidRDefault="009C4221" w:rsidP="007F5A49">
      <w:pPr>
        <w:adjustRightInd w:val="0"/>
        <w:snapToGrid w:val="0"/>
        <w:spacing w:after="0" w:line="360" w:lineRule="auto"/>
        <w:jc w:val="both"/>
        <w:rPr>
          <w:rFonts w:ascii="Book Antiqua" w:hAnsi="Book Antiqua" w:cs="Arial"/>
          <w:b/>
          <w:color w:val="00B050"/>
          <w:sz w:val="24"/>
          <w:szCs w:val="24"/>
          <w:lang w:val="en-US"/>
        </w:rPr>
      </w:pPr>
    </w:p>
    <w:p w14:paraId="27C30494" w14:textId="14696A2C" w:rsidR="00143DD0" w:rsidRPr="007F5A49" w:rsidRDefault="00CF46AE" w:rsidP="008E1EBB">
      <w:pPr>
        <w:adjustRightInd w:val="0"/>
        <w:snapToGrid w:val="0"/>
        <w:spacing w:after="0" w:line="360" w:lineRule="auto"/>
        <w:jc w:val="both"/>
        <w:outlineLvl w:val="0"/>
        <w:rPr>
          <w:rFonts w:ascii="Book Antiqua" w:hAnsi="Book Antiqua" w:cs="Arial"/>
          <w:sz w:val="24"/>
          <w:szCs w:val="24"/>
          <w:lang w:val="en-US"/>
        </w:rPr>
      </w:pPr>
      <w:r w:rsidRPr="007F5A49">
        <w:rPr>
          <w:rFonts w:ascii="Book Antiqua" w:hAnsi="Book Antiqua" w:cs="Arial"/>
          <w:b/>
          <w:sz w:val="24"/>
          <w:szCs w:val="24"/>
          <w:lang w:val="en-US"/>
        </w:rPr>
        <w:t>EXCESS IRON PROMOTES LIVER FIBROSIS</w:t>
      </w:r>
    </w:p>
    <w:p w14:paraId="3FC37868" w14:textId="352C3016" w:rsidR="001C3B00" w:rsidRPr="007F5A49" w:rsidRDefault="00ED41D7" w:rsidP="008E1EBB">
      <w:pPr>
        <w:pStyle w:val="NormalWeb"/>
        <w:adjustRightInd w:val="0"/>
        <w:snapToGrid w:val="0"/>
        <w:spacing w:before="0" w:beforeAutospacing="0" w:after="0" w:afterAutospacing="0" w:line="360" w:lineRule="auto"/>
        <w:jc w:val="both"/>
        <w:outlineLvl w:val="0"/>
        <w:rPr>
          <w:rFonts w:ascii="Book Antiqua" w:hAnsi="Book Antiqua" w:cs="Arial"/>
          <w:b/>
          <w:bCs/>
          <w:i/>
          <w:lang w:val="en-US"/>
        </w:rPr>
      </w:pPr>
      <w:r w:rsidRPr="007F5A49">
        <w:rPr>
          <w:rFonts w:ascii="Book Antiqua" w:hAnsi="Book Antiqua" w:cs="Arial"/>
          <w:b/>
          <w:bCs/>
          <w:i/>
          <w:lang w:val="en-US"/>
        </w:rPr>
        <w:t>The HSCs</w:t>
      </w:r>
    </w:p>
    <w:p w14:paraId="47787015" w14:textId="158C51FC" w:rsidR="00441476" w:rsidRPr="007F5A49" w:rsidRDefault="00E73F97" w:rsidP="007F5A49">
      <w:pPr>
        <w:pStyle w:val="NormalWeb"/>
        <w:adjustRightInd w:val="0"/>
        <w:snapToGrid w:val="0"/>
        <w:spacing w:before="0" w:beforeAutospacing="0" w:after="0" w:afterAutospacing="0" w:line="360" w:lineRule="auto"/>
        <w:jc w:val="both"/>
        <w:rPr>
          <w:rFonts w:ascii="Book Antiqua" w:hAnsi="Book Antiqua" w:cs="Arial"/>
          <w:lang w:val="en-US"/>
        </w:rPr>
      </w:pPr>
      <w:r w:rsidRPr="007F5A49">
        <w:rPr>
          <w:rFonts w:ascii="Book Antiqua" w:hAnsi="Book Antiqua" w:cs="Arial"/>
          <w:bCs/>
          <w:lang w:val="en-US"/>
        </w:rPr>
        <w:t>Persistent HSC-activation is the early and key event in fibrosis</w:t>
      </w:r>
      <w:r w:rsidR="001C3B00" w:rsidRPr="007F5A49">
        <w:rPr>
          <w:rFonts w:ascii="Book Antiqua" w:hAnsi="Book Antiqua" w:cs="Arial"/>
          <w:bCs/>
          <w:lang w:val="en-US"/>
        </w:rPr>
        <w:t>, and t</w:t>
      </w:r>
      <w:r w:rsidRPr="007F5A49">
        <w:rPr>
          <w:rFonts w:ascii="Book Antiqua" w:hAnsi="Book Antiqua" w:cs="Arial"/>
          <w:bCs/>
          <w:lang w:val="en-US"/>
        </w:rPr>
        <w:t xml:space="preserve">he progression from fibrosis to cirrhosis is a crucial step in determining the fate of liver. </w:t>
      </w:r>
      <w:r w:rsidRPr="007F5A49">
        <w:rPr>
          <w:rFonts w:ascii="Book Antiqua" w:hAnsi="Book Antiqua" w:cs="Arial"/>
          <w:lang w:val="en-US"/>
        </w:rPr>
        <w:t xml:space="preserve">In iron loading pathologies, </w:t>
      </w:r>
      <w:r w:rsidRPr="007F5A49">
        <w:rPr>
          <w:rFonts w:ascii="Book Antiqua" w:hAnsi="Book Antiqua" w:cs="Arial"/>
          <w:bCs/>
          <w:lang w:val="en-US"/>
        </w:rPr>
        <w:t xml:space="preserve">HSC-activation and </w:t>
      </w:r>
      <w:r w:rsidRPr="007F5A49">
        <w:rPr>
          <w:rFonts w:ascii="Book Antiqua" w:hAnsi="Book Antiqua" w:cs="Arial"/>
          <w:lang w:val="en-US"/>
        </w:rPr>
        <w:t>excessive ECM deposition are cumulative consequences of direct and indirect effect of iron on the HSCs. Firs</w:t>
      </w:r>
      <w:r w:rsidR="00BA46DA" w:rsidRPr="007F5A49">
        <w:rPr>
          <w:rFonts w:ascii="Book Antiqua" w:hAnsi="Book Antiqua" w:cs="Arial"/>
          <w:lang w:val="en-US"/>
        </w:rPr>
        <w:t>t, we review the direct effect o</w:t>
      </w:r>
      <w:r w:rsidRPr="007F5A49">
        <w:rPr>
          <w:rFonts w:ascii="Book Antiqua" w:hAnsi="Book Antiqua" w:cs="Arial"/>
          <w:lang w:val="en-US"/>
        </w:rPr>
        <w:t xml:space="preserve">f iron on HSCs. </w:t>
      </w:r>
      <w:r w:rsidR="006F6678" w:rsidRPr="007F5A49">
        <w:rPr>
          <w:rFonts w:ascii="Book Antiqua" w:hAnsi="Book Antiqua" w:cs="Arial"/>
          <w:lang w:val="en-US"/>
        </w:rPr>
        <w:t>Normal liver iron concentration (LIC</w:t>
      </w:r>
      <w:r w:rsidR="006F6678" w:rsidRPr="007F5A49">
        <w:rPr>
          <w:rStyle w:val="st"/>
          <w:rFonts w:ascii="Book Antiqua" w:hAnsi="Book Antiqua" w:cs="Arial"/>
          <w:lang w:val="en-US"/>
        </w:rPr>
        <w:t xml:space="preserve">) is lower than 35 </w:t>
      </w:r>
      <w:proofErr w:type="spellStart"/>
      <w:r w:rsidR="006F6678" w:rsidRPr="007F5A49">
        <w:rPr>
          <w:rStyle w:val="st"/>
          <w:rFonts w:ascii="Book Antiqua" w:hAnsi="Book Antiqua" w:cs="Arial"/>
          <w:lang w:val="en-US"/>
        </w:rPr>
        <w:t>μmol</w:t>
      </w:r>
      <w:proofErr w:type="spellEnd"/>
      <w:r w:rsidR="006F6678" w:rsidRPr="007F5A49">
        <w:rPr>
          <w:rStyle w:val="st"/>
          <w:rFonts w:ascii="Book Antiqua" w:hAnsi="Book Antiqua" w:cs="Arial"/>
          <w:lang w:val="en-US"/>
        </w:rPr>
        <w:t>/g of dry weight</w:t>
      </w:r>
      <w:r w:rsidR="006F6678" w:rsidRPr="007F5A49">
        <w:rPr>
          <w:rStyle w:val="st"/>
          <w:rFonts w:ascii="Book Antiqua" w:hAnsi="Book Antiqua" w:cs="Arial"/>
          <w:vertAlign w:val="superscript"/>
          <w:lang w:val="en-US"/>
        </w:rPr>
        <w:fldChar w:fldCharType="begin"/>
      </w:r>
      <w:r w:rsidR="00D2645C" w:rsidRPr="007F5A49">
        <w:rPr>
          <w:rStyle w:val="st"/>
          <w:rFonts w:ascii="Book Antiqua" w:hAnsi="Book Antiqua" w:cs="Arial"/>
          <w:vertAlign w:val="superscript"/>
          <w:lang w:val="en-US"/>
        </w:rPr>
        <w:instrText xml:space="preserve"> ADDIN ZOTERO_ITEM CSL_CITATION {"citationID":"EbH2gV45","properties":{"formattedCitation":"(16)","plainCitation":"(16)","noteIndex":0},"citationItems":[{"id":"z1PZoHrb/YnXwucgS","uris":["http://zotero.org/users/4222068/items/DZL8HF6S"],"uri":["http://zotero.org/users/4222068/items/DZL8HF6S"],"itemData":{"id":1573,"type":"article-journal","title":"Iron in NASH, chronic liver diseases and HCC: how much iron is too much?","container-title":"Journal of Hepatology","page":"249-251","volume":"50","issue":"2","source":"PubMed","DOI":"10.1016/j.jhep.2008.11.011","ISSN":"0168-8278","note":"PMID: 19070915","shortTitle":"Iron in NASH, chronic liver diseases and HCC","journalAbbreviation":"J. Hepatol.","language":"eng","author":[{"family":"Pietrangelo","given":"Antonello"}],"issued":{"date-parts":[["2009",2]]}}}],"schema":"https://github.com/citation-style-language/schema/raw/master/csl-citation.json"} </w:instrText>
      </w:r>
      <w:r w:rsidR="006F6678" w:rsidRPr="007F5A49">
        <w:rPr>
          <w:rStyle w:val="st"/>
          <w:rFonts w:ascii="Book Antiqua" w:hAnsi="Book Antiqua" w:cs="Arial"/>
          <w:vertAlign w:val="superscript"/>
          <w:lang w:val="en-US"/>
        </w:rPr>
        <w:fldChar w:fldCharType="separate"/>
      </w:r>
      <w:r w:rsidR="007B3608" w:rsidRPr="007F5A49">
        <w:rPr>
          <w:rFonts w:ascii="Book Antiqua" w:hAnsi="Book Antiqua"/>
          <w:vertAlign w:val="superscript"/>
          <w:lang w:val="en-US"/>
        </w:rPr>
        <w:t>[</w:t>
      </w:r>
      <w:r w:rsidR="00D2645C" w:rsidRPr="007F5A49">
        <w:rPr>
          <w:rFonts w:ascii="Book Antiqua" w:hAnsi="Book Antiqua"/>
          <w:vertAlign w:val="superscript"/>
          <w:lang w:val="en-US"/>
        </w:rPr>
        <w:t>16</w:t>
      </w:r>
      <w:r w:rsidR="006F6678" w:rsidRPr="007F5A49">
        <w:rPr>
          <w:rStyle w:val="st"/>
          <w:rFonts w:ascii="Book Antiqua" w:hAnsi="Book Antiqua" w:cs="Arial"/>
          <w:vertAlign w:val="superscript"/>
          <w:lang w:val="en-US"/>
        </w:rPr>
        <w:fldChar w:fldCharType="end"/>
      </w:r>
      <w:r w:rsidR="007B3608" w:rsidRPr="007F5A49">
        <w:rPr>
          <w:rStyle w:val="st"/>
          <w:rFonts w:ascii="Book Antiqua" w:hAnsi="Book Antiqua" w:cs="Arial"/>
          <w:vertAlign w:val="superscript"/>
          <w:lang w:val="en-US"/>
        </w:rPr>
        <w:t>]</w:t>
      </w:r>
      <w:r w:rsidR="00642D09" w:rsidRPr="007F5A49">
        <w:rPr>
          <w:rStyle w:val="st"/>
          <w:rFonts w:ascii="Book Antiqua" w:hAnsi="Book Antiqua" w:cs="Arial"/>
          <w:lang w:val="en-US"/>
        </w:rPr>
        <w:t xml:space="preserve">. </w:t>
      </w:r>
      <w:r w:rsidR="005D1F2E" w:rsidRPr="007F5A49">
        <w:rPr>
          <w:rFonts w:ascii="Book Antiqua" w:hAnsi="Book Antiqua" w:cs="Arial"/>
          <w:lang w:val="en-US"/>
        </w:rPr>
        <w:t>When LIC crosses a threshold of 60 µmol/g, H</w:t>
      </w:r>
      <w:r w:rsidR="006F6678" w:rsidRPr="007F5A49">
        <w:rPr>
          <w:rFonts w:ascii="Book Antiqua" w:hAnsi="Book Antiqua" w:cs="Arial"/>
          <w:lang w:val="en-US"/>
        </w:rPr>
        <w:t xml:space="preserve">SC-functionality begins to derail, and </w:t>
      </w:r>
      <w:r w:rsidR="005D1F2E" w:rsidRPr="007F5A49">
        <w:rPr>
          <w:rFonts w:ascii="Book Antiqua" w:hAnsi="Book Antiqua" w:cs="Arial"/>
          <w:lang w:val="en-US"/>
        </w:rPr>
        <w:t xml:space="preserve">when it exceeds 250 µmol/g, </w:t>
      </w:r>
      <w:r w:rsidR="006F6678" w:rsidRPr="007F5A49">
        <w:rPr>
          <w:rFonts w:ascii="Book Antiqua" w:hAnsi="Book Antiqua" w:cs="Arial"/>
          <w:lang w:val="en-US"/>
        </w:rPr>
        <w:t xml:space="preserve">cirrhosis becomes </w:t>
      </w:r>
      <w:proofErr w:type="gramStart"/>
      <w:r w:rsidR="006F6678" w:rsidRPr="007F5A49">
        <w:rPr>
          <w:rFonts w:ascii="Book Antiqua" w:hAnsi="Book Antiqua" w:cs="Arial"/>
          <w:lang w:val="en-US"/>
        </w:rPr>
        <w:t>inevitable</w:t>
      </w:r>
      <w:r w:rsidR="00B82E1E">
        <w:rPr>
          <w:rFonts w:ascii="Book Antiqua" w:hAnsi="Book Antiqua" w:cs="Arial"/>
          <w:vertAlign w:val="superscript"/>
          <w:lang w:val="en-US"/>
        </w:rPr>
        <w:t>[</w:t>
      </w:r>
      <w:proofErr w:type="gramEnd"/>
      <w:r w:rsidR="004E0774">
        <w:rPr>
          <w:rFonts w:ascii="Book Antiqua" w:hAnsi="Book Antiqua" w:cs="Arial"/>
          <w:vertAlign w:val="superscript"/>
          <w:lang w:val="en-US"/>
        </w:rPr>
        <w:t>17</w:t>
      </w:r>
      <w:r w:rsidR="007B3608" w:rsidRPr="007F5A49">
        <w:rPr>
          <w:rFonts w:ascii="Book Antiqua" w:hAnsi="Book Antiqua" w:cs="Arial"/>
          <w:vertAlign w:val="superscript"/>
          <w:lang w:val="en-US"/>
        </w:rPr>
        <w:t>]</w:t>
      </w:r>
      <w:r w:rsidR="005D1F2E" w:rsidRPr="007F5A49">
        <w:rPr>
          <w:rFonts w:ascii="Book Antiqua" w:hAnsi="Book Antiqua" w:cs="Arial"/>
          <w:lang w:val="en-US"/>
        </w:rPr>
        <w:t xml:space="preserve">. </w:t>
      </w:r>
      <w:r w:rsidR="006F6678" w:rsidRPr="007F5A49">
        <w:rPr>
          <w:rFonts w:ascii="Book Antiqua" w:hAnsi="Book Antiqua" w:cs="Arial"/>
          <w:lang w:val="en-US"/>
        </w:rPr>
        <w:t xml:space="preserve">Several studies have reported the fibrosis-enhancing effects of iron. For example, iron elevated collagen gene expression in HSCs and increased </w:t>
      </w:r>
      <w:r w:rsidR="006F6678" w:rsidRPr="007F5A49">
        <w:rPr>
          <w:rFonts w:ascii="Book Antiqua" w:hAnsi="Book Antiqua" w:cs="Arial"/>
          <w:i/>
          <w:lang w:val="en-US"/>
        </w:rPr>
        <w:t>TGF-β</w:t>
      </w:r>
      <w:r w:rsidR="006F6678" w:rsidRPr="007F5A49">
        <w:rPr>
          <w:rFonts w:ascii="Book Antiqua" w:hAnsi="Book Antiqua" w:cs="Arial"/>
          <w:lang w:val="en-US"/>
        </w:rPr>
        <w:t xml:space="preserve"> expression in rats</w:t>
      </w:r>
      <w:r w:rsidR="006F6678" w:rsidRPr="007F5A49">
        <w:rPr>
          <w:rFonts w:ascii="Book Antiqua" w:hAnsi="Book Antiqua" w:cs="Arial"/>
          <w:vertAlign w:val="superscript"/>
          <w:lang w:val="en-US"/>
        </w:rPr>
        <w:fldChar w:fldCharType="begin"/>
      </w:r>
      <w:r w:rsidR="00D2645C" w:rsidRPr="007F5A49">
        <w:rPr>
          <w:rFonts w:ascii="Book Antiqua" w:hAnsi="Book Antiqua" w:cs="Arial"/>
          <w:vertAlign w:val="superscript"/>
          <w:lang w:val="en-US"/>
        </w:rPr>
        <w:instrText xml:space="preserve"> ADDIN ZOTERO_ITEM CSL_CITATION {"citationID":"GL2P42FJ","properties":{"formattedCitation":"(18)","plainCitation":"(18)","noteIndex":0},"citationItems":[{"id":95,"uris":["http://zotero.org/users/2804724/items/C8M4ET7P"],"uri":["http://zotero.org/users/2804724/items/C8M4ET7P"],"itemData":{"id":95,"type":"article-journal","title":"TGF-beta and collagen-alpha 1 (I) gene expression are increased in hepatic acinar zone 1 of rats with iron overload","container-title":"The American Journal of Physiology","page":"G908-913","volume":"267","issue":"5 Pt 1","source":"PubMed","abstract":"We have shown that lipid peroxidation stimulates collagen-alpha 1 (I) gene transcription in cultured cells. Because iron is a transitional metal known to induce lipid peroxidation, we investigated whether hepatic lipid peroxidation modulates collagen gene expression in iron-overloaded rats. In this animal model of hemochromatosis, we show colocalization with iron in the hepatic acinar zone 1 of both lipid peroxidation and increased collagen-alpha 1 (I) transcripts, using immunohistochemistry for malondialdehyde-protein adducts and in situ hybridization, respectively. Iron overload stimulated the expression of the cytokine transforming growth factor-beta (TGF-beta) in acinar zone 1, in spite of the minor degree of hepatocellular necrosis and inflammation. The formation of reactive aldehydes and TGF-beta, both inducers of collagen gene expression, may play a role in the stimulation of hepatic collagen production in iron overload. These mechanisms could be a link between iron overload and fibrosis in genetic hemochromatosis.","ISSN":"0002-9513","note":"PMID: 7977754","journalAbbreviation":"Am. J. Physiol.","language":"eng","author":[{"family":"Houglum","given":"K."},{"family":"Bedossa","given":"P."},{"family":"Chojkier","given":"M."}],"issued":{"date-parts":[["1994",11]]}}}],"schema":"https://github.com/citation-style-language/schema/raw/master/csl-citation.json"} </w:instrText>
      </w:r>
      <w:r w:rsidR="006F6678" w:rsidRPr="007F5A49">
        <w:rPr>
          <w:rFonts w:ascii="Book Antiqua" w:hAnsi="Book Antiqua" w:cs="Arial"/>
          <w:vertAlign w:val="superscript"/>
          <w:lang w:val="en-US"/>
        </w:rPr>
        <w:fldChar w:fldCharType="separate"/>
      </w:r>
      <w:r w:rsidR="007B3608" w:rsidRPr="007F5A49">
        <w:rPr>
          <w:rFonts w:ascii="Book Antiqua" w:hAnsi="Book Antiqua"/>
          <w:vertAlign w:val="superscript"/>
          <w:lang w:val="en-US"/>
        </w:rPr>
        <w:t>[</w:t>
      </w:r>
      <w:r w:rsidR="00D2645C" w:rsidRPr="007F5A49">
        <w:rPr>
          <w:rFonts w:ascii="Book Antiqua" w:hAnsi="Book Antiqua"/>
          <w:vertAlign w:val="superscript"/>
          <w:lang w:val="en-US"/>
        </w:rPr>
        <w:t>18</w:t>
      </w:r>
      <w:r w:rsidR="006F6678" w:rsidRPr="007F5A49">
        <w:rPr>
          <w:rFonts w:ascii="Book Antiqua" w:hAnsi="Book Antiqua" w:cs="Arial"/>
          <w:vertAlign w:val="superscript"/>
          <w:lang w:val="en-US"/>
        </w:rPr>
        <w:fldChar w:fldCharType="end"/>
      </w:r>
      <w:r w:rsidR="007B3608" w:rsidRPr="007F5A49">
        <w:rPr>
          <w:rFonts w:ascii="Book Antiqua" w:hAnsi="Book Antiqua" w:cs="Arial"/>
          <w:vertAlign w:val="superscript"/>
          <w:lang w:val="en-US"/>
        </w:rPr>
        <w:t>]</w:t>
      </w:r>
      <w:r w:rsidR="009E0B27" w:rsidRPr="007F5A49">
        <w:rPr>
          <w:rFonts w:ascii="Book Antiqua" w:hAnsi="Book Antiqua" w:cs="Arial"/>
          <w:lang w:val="en-US"/>
        </w:rPr>
        <w:t xml:space="preserve">, </w:t>
      </w:r>
      <w:r w:rsidR="006F6678" w:rsidRPr="007F5A49">
        <w:rPr>
          <w:rFonts w:ascii="Book Antiqua" w:hAnsi="Book Antiqua" w:cs="Arial"/>
          <w:lang w:val="en-US"/>
        </w:rPr>
        <w:t>induced collagen deposition in gerbil</w:t>
      </w:r>
      <w:r w:rsidR="000D5B16" w:rsidRPr="007F5A49">
        <w:rPr>
          <w:rFonts w:ascii="Book Antiqua" w:hAnsi="Book Antiqua" w:cs="Arial"/>
          <w:vertAlign w:val="superscript"/>
          <w:lang w:val="en-US"/>
        </w:rPr>
        <w:fldChar w:fldCharType="begin"/>
      </w:r>
      <w:r w:rsidR="00D2645C" w:rsidRPr="007F5A49">
        <w:rPr>
          <w:rFonts w:ascii="Book Antiqua" w:hAnsi="Book Antiqua" w:cs="Arial"/>
          <w:vertAlign w:val="superscript"/>
          <w:lang w:val="en-US"/>
        </w:rPr>
        <w:instrText xml:space="preserve"> ADDIN ZOTERO_ITEM CSL_CITATION {"citationID":"a1q5ra4icb6","properties":{"formattedCitation":"(19)","plainCitation":"(19)","noteIndex":0},"citationItems":[{"id":"z1PZoHrb/qRY9Iamh","uris":["http://zotero.org/users/4222068/items/78WPR9PS"],"uri":["http://zotero.org/users/4222068/items/78WPR9PS"],"itemData":{"id":1463,"type":"article-journal","title":"Rapid induction of hepatic fibrosis in the gerbil after the parenteral administration of iron-dextran complex","container-title":"Hepatology (Baltimore, Md.)","page":"534-539","volume":"13","issue":"3","source":"PubMed","abstract":"The parenteral administration of iron-dextran complex to gerbils caused hepatic hemosiderosis and fibrosis after 6 wk. Type I and III collagen synthesis in the liver developed from perisinusoidal stellate cells that are often referred to as myofibroblasts. Immunohistologically these cells were shown to have large intracellular deposits of ferritin. The hepatic fibrosis appeared to be associated with aggregates of these cells rather than the aggregates of Kupffer cells, which also occur in hemosiderosis in the liver. No appreciable necrosis of hepatocytes to trigger the fibrotic response was found, so that the fibrosis appeared to be related to the accumulation of ferritin in the perisinusoidal stellate cells. In contrast, rats and mice did not accumulate ferritin in their perisinusoidal cells or develop hepatic fibrosis in response to parenterally administered iron, although they accumulated similar or greater amounts of total iron in their livers. The rapid induction of hepatic fibrosis in gerbils in response to parenterally administered iron will provide a model to investigate the mechanism of induction of collagen deposition in response to iron overload and a means of quickly evaluating therapeutic treatments for iron overload-induced fibrosis in vivo using iron-chelating drugs.","ISSN":"0270-9139","note":"PMID: 1999322","journalAbbreviation":"Hepatology","language":"eng","author":[{"family":"Carthew","given":"P."},{"family":"Edwards","given":"R. E."},{"family":"Smith","given":"A. G."},{"family":"Dorman","given":"B."},{"family":"Francis","given":"J. E."}],"issued":{"date-parts":[["1991",3]]}}}],"schema":"https://github.com/citation-style-language/schema/raw/master/csl-citation.json"} </w:instrText>
      </w:r>
      <w:r w:rsidR="000D5B16" w:rsidRPr="007F5A49">
        <w:rPr>
          <w:rFonts w:ascii="Book Antiqua" w:hAnsi="Book Antiqua" w:cs="Arial"/>
          <w:vertAlign w:val="superscript"/>
          <w:lang w:val="en-US"/>
        </w:rPr>
        <w:fldChar w:fldCharType="separate"/>
      </w:r>
      <w:r w:rsidR="007B3608" w:rsidRPr="007F5A49">
        <w:rPr>
          <w:rFonts w:ascii="Book Antiqua" w:hAnsi="Book Antiqua"/>
          <w:vertAlign w:val="superscript"/>
          <w:lang w:val="en-US"/>
        </w:rPr>
        <w:t>[</w:t>
      </w:r>
      <w:r w:rsidR="00D2645C" w:rsidRPr="007F5A49">
        <w:rPr>
          <w:rFonts w:ascii="Book Antiqua" w:hAnsi="Book Antiqua"/>
          <w:vertAlign w:val="superscript"/>
          <w:lang w:val="en-US"/>
        </w:rPr>
        <w:t>19</w:t>
      </w:r>
      <w:r w:rsidR="000D5B16" w:rsidRPr="007F5A49">
        <w:rPr>
          <w:rFonts w:ascii="Book Antiqua" w:hAnsi="Book Antiqua" w:cs="Arial"/>
          <w:vertAlign w:val="superscript"/>
          <w:lang w:val="en-US"/>
        </w:rPr>
        <w:fldChar w:fldCharType="end"/>
      </w:r>
      <w:r w:rsidR="007B3608" w:rsidRPr="007F5A49">
        <w:rPr>
          <w:rFonts w:ascii="Book Antiqua" w:hAnsi="Book Antiqua" w:cs="Arial"/>
          <w:vertAlign w:val="superscript"/>
          <w:lang w:val="en-US"/>
        </w:rPr>
        <w:t>]</w:t>
      </w:r>
      <w:r w:rsidR="006F6678" w:rsidRPr="007F5A49">
        <w:rPr>
          <w:rFonts w:ascii="Book Antiqua" w:hAnsi="Book Antiqua" w:cs="Arial"/>
          <w:lang w:val="en-US"/>
        </w:rPr>
        <w:t xml:space="preserve"> and promoted cirrhosis in mice</w:t>
      </w:r>
      <w:r w:rsidR="000D5B16" w:rsidRPr="007F5A49">
        <w:rPr>
          <w:rFonts w:ascii="Book Antiqua" w:hAnsi="Book Antiqua" w:cs="Arial"/>
          <w:vertAlign w:val="superscript"/>
          <w:lang w:val="en-US"/>
        </w:rPr>
        <w:fldChar w:fldCharType="begin"/>
      </w:r>
      <w:r w:rsidR="00D2645C" w:rsidRPr="007F5A49">
        <w:rPr>
          <w:rFonts w:ascii="Book Antiqua" w:hAnsi="Book Antiqua" w:cs="Arial"/>
          <w:vertAlign w:val="superscript"/>
          <w:lang w:val="en-US"/>
        </w:rPr>
        <w:instrText xml:space="preserve"> ADDIN ZOTERO_ITEM CSL_CITATION {"citationID":"a12ccqce6l3","properties":{"formattedCitation":"(20)","plainCitation":"(20)","noteIndex":0},"citationItems":[{"id":"z1PZoHrb/wEo29L18","uris":["http://zotero.org/users/4222068/items/66X6ZRIP"],"uri":["http://zotero.org/users/4222068/items/66X6ZRIP"],"itemData":{"id":1441,"type":"article-journal","title":"Iron overload enhances the development of experimental liver cirrhosis in mice","container-title":"The International Journal of Biochemistry &amp; Cell Biology","page":"486-495","volume":"35","issue":"4","source":"PubMed","abstract":"The role of iron in initiating liver fibrosis in iron overload diseases is not clearly established. Partly, this is due to the lack of suitable animal models that can produce the full liver pathology seen in genetic hemochromatosis. Recent advances in this field have demonstrated that iron may be interacting with other potential liver-damaging agents. The aim of this study was to investigate if feeding with carbonyl iron (CI) facilitates the development of carbon tetrachloride (CCl4)-induced liver fibrosis in the mouse. Mice were given a diet containing 3% CI and treated with CCl4 intraperitoneally twice weekly and 5% alcohol added to the drinking water for 12 weeks. Hepatic iron content increased 15- and 22-fold in animals receiving CI and CI + CCl4. At histological examination, iron-laden hepatocytes were found in CI treated animals, whereas these were absent in animals not exposed to CI. Mice receiving iron-enriched diet alone showed a mild fibrosis. Conversely, a marked collagen deposition was observed in CCl4 and CI + CCl4 groups. In particular, in this latter group, there was evidence of liver cirrhosis. Biochemical evaluation of collagen content substantiated histologic analysis. These results demonstrate that the addition of iron facilitates the development of cirrhosis in animals exposed to subtoxic doses of CCl4. This model may be useful in exploring the pathogenesis of liver cirrhosis. Moreover, its use in genetically altered mouse strains might provide new insight on the role of iron in fibrosis.","ISSN":"1357-2725","note":"PMID: 12565710","journalAbbreviation":"Int. J. Biochem. Cell Biol.","language":"eng","author":[{"family":"Arezzini","given":"Beatrice"},{"family":"Lunghi","given":"Benedetta"},{"family":"Lungarella","given":"Giuseppe"},{"family":"Gardi","given":"Concetta"}],"issued":{"date-parts":[["2003",4]]}}}],"schema":"https://github.com/citation-style-language/schema/raw/master/csl-citation.json"} </w:instrText>
      </w:r>
      <w:r w:rsidR="000D5B16" w:rsidRPr="007F5A49">
        <w:rPr>
          <w:rFonts w:ascii="Book Antiqua" w:hAnsi="Book Antiqua" w:cs="Arial"/>
          <w:vertAlign w:val="superscript"/>
          <w:lang w:val="en-US"/>
        </w:rPr>
        <w:fldChar w:fldCharType="separate"/>
      </w:r>
      <w:r w:rsidR="007B3608" w:rsidRPr="007F5A49">
        <w:rPr>
          <w:rFonts w:ascii="Book Antiqua" w:hAnsi="Book Antiqua"/>
          <w:vertAlign w:val="superscript"/>
          <w:lang w:val="en-US"/>
        </w:rPr>
        <w:t>[</w:t>
      </w:r>
      <w:r w:rsidR="00D2645C" w:rsidRPr="007F5A49">
        <w:rPr>
          <w:rFonts w:ascii="Book Antiqua" w:hAnsi="Book Antiqua"/>
          <w:vertAlign w:val="superscript"/>
          <w:lang w:val="en-US"/>
        </w:rPr>
        <w:t>20</w:t>
      </w:r>
      <w:r w:rsidR="000D5B16" w:rsidRPr="007F5A49">
        <w:rPr>
          <w:rFonts w:ascii="Book Antiqua" w:hAnsi="Book Antiqua" w:cs="Arial"/>
          <w:vertAlign w:val="superscript"/>
          <w:lang w:val="en-US"/>
        </w:rPr>
        <w:fldChar w:fldCharType="end"/>
      </w:r>
      <w:r w:rsidR="007B3608" w:rsidRPr="007F5A49">
        <w:rPr>
          <w:rFonts w:ascii="Book Antiqua" w:hAnsi="Book Antiqua" w:cs="Arial"/>
          <w:vertAlign w:val="superscript"/>
          <w:lang w:val="en-US"/>
        </w:rPr>
        <w:t>]</w:t>
      </w:r>
      <w:r w:rsidR="000D5B16" w:rsidRPr="007F5A49">
        <w:rPr>
          <w:rFonts w:ascii="Book Antiqua" w:hAnsi="Book Antiqua" w:cs="Arial"/>
          <w:lang w:val="en-US"/>
        </w:rPr>
        <w:t xml:space="preserve">. </w:t>
      </w:r>
      <w:r w:rsidR="0041450B" w:rsidRPr="007F5A49">
        <w:rPr>
          <w:rFonts w:ascii="Book Antiqua" w:hAnsi="Book Antiqua" w:cs="Arial"/>
          <w:lang w:val="en-US"/>
        </w:rPr>
        <w:t xml:space="preserve">For the first time, </w:t>
      </w:r>
      <w:r w:rsidR="006F6678" w:rsidRPr="007F5A49">
        <w:rPr>
          <w:rFonts w:ascii="Book Antiqua" w:hAnsi="Book Antiqua" w:cs="Arial"/>
          <w:lang w:val="en-US"/>
        </w:rPr>
        <w:t xml:space="preserve">Ramm </w:t>
      </w:r>
      <w:r w:rsidR="006F6678" w:rsidRPr="005F3CEF">
        <w:rPr>
          <w:rFonts w:ascii="Book Antiqua" w:hAnsi="Book Antiqua" w:cs="Arial"/>
          <w:i/>
          <w:lang w:val="en-US"/>
        </w:rPr>
        <w:t>et al</w:t>
      </w:r>
      <w:r w:rsidR="005F3CEF" w:rsidRPr="007F5A49">
        <w:rPr>
          <w:rFonts w:ascii="Book Antiqua" w:hAnsi="Book Antiqua" w:cs="Arial"/>
          <w:vertAlign w:val="superscript"/>
          <w:lang w:val="en-US"/>
        </w:rPr>
        <w:fldChar w:fldCharType="begin"/>
      </w:r>
      <w:r w:rsidR="005F3CEF" w:rsidRPr="007F5A49">
        <w:rPr>
          <w:rFonts w:ascii="Book Antiqua" w:hAnsi="Book Antiqua" w:cs="Arial"/>
          <w:vertAlign w:val="superscript"/>
          <w:lang w:val="en-US"/>
        </w:rPr>
        <w:instrText xml:space="preserve"> ADDIN ZOTERO_ITEM CSL_CITATION {"citationID":"a2h6tbc2v7l","properties":{"formattedCitation":"(21)","plainCitation":"(21)","noteIndex":0},"citationItems":[{"id":"z1PZoHrb/AG5fgrnf","uris":["http://zotero.org/users/4222068/items/83RTUIF4"],"uri":["http://zotero.org/users/4222068/items/83RTUIF4"],"itemData":{"id":1172,"type":"article-journal","title":"Hepatic stellate cell activation in genetic haemochromatosis. Lobular distribution, effect of increasing hepatic iron and response to phlebotomy","container-title":"Journal of Hepatology","page":"584-592","volume":"26","issue":"3","source":"PubMed","abstract":"BACKGROUND/AIMS: Activated hepatic stellate cells produce increased levels of collagen in animal models of chronic iron overload; however, their role in human genetic haemochromatosis is unknown. This study examined the relationship between hepatic iron concentration and hepatic stellate cell activation in genetic haemochromatosis.\nMETHODS: Liver biopsies from 75 patients (55 with haemochromatosis, 14 haemochromatosis patients both pre- and post-phlebotomy and six non iron-loaded disease control subjects) were stained for iron using Perls' Prussian Blue. Thirty biopsies in which there was no evidence of either steatosis or inflammation were subjected to immunohistochemistry for alpha-smooth muscle actin and desmin and counterstained for iron. Forty-five biopsies demonstrated either steatosis or inflammation, in addition to excess iron.\nRESULTS: Stellate cells were identified by light microscopy as perisinusoidal cells containing numerous intracellular fat droplets. alpha-Smooth muscle actin was detected in biopsies with an hepatic iron concentration &gt;60 micromol/g dry weight. Increasing hepatic iron concentration and hepatic iron index correlated with an increase in alpha-smooth muscle actin expression (r=0.81 and 0.72, respectively). Phlebotomy resulted in a significant decrease in alpha-smooth muscle actin expression. In early disease prior to histological evidence of collagen deposition, whilst activated stellate cells were located in Zone 1, greater numbers were found in Zones 2 and 3 distal to the region of heaviest iron overload.\nCONCLUSIONS: This study has demonstrated for the first time in humans a correlation between hepatic iron concentration and stellate cell activation in haemochromatosis, which is reversed by iron removal. Humoral factors from either iron-loaded hepatocytes or activated Kupffer cells may be responsible for early stellate cell activation in areas of the liver remote from heavy iron loading.","ISSN":"0168-8278","note":"PMID: 9075666","journalAbbreviation":"J. Hepatol.","language":"eng","author":[{"family":"Ramm","given":"G. A."},{"family":"Crawford","given":"D. H."},{"family":"Powell","given":"L. W."},{"family":"Walker","given":"N. I."},{"family":"Fletcher","given":"L. M."},{"family":"Halliday","given":"J. W."}],"issued":{"date-parts":[["1997",3]]}}}],"schema":"https://github.com/citation-style-language/schema/raw/master/csl-citation.json"} </w:instrText>
      </w:r>
      <w:r w:rsidR="005F3CEF" w:rsidRPr="007F5A49">
        <w:rPr>
          <w:rFonts w:ascii="Book Antiqua" w:hAnsi="Book Antiqua" w:cs="Arial"/>
          <w:vertAlign w:val="superscript"/>
          <w:lang w:val="en-US"/>
        </w:rPr>
        <w:fldChar w:fldCharType="separate"/>
      </w:r>
      <w:r w:rsidR="005F3CEF" w:rsidRPr="007F5A49">
        <w:rPr>
          <w:rFonts w:ascii="Book Antiqua" w:hAnsi="Book Antiqua"/>
          <w:vertAlign w:val="superscript"/>
          <w:lang w:val="en-US"/>
        </w:rPr>
        <w:t>[21</w:t>
      </w:r>
      <w:r w:rsidR="005F3CEF" w:rsidRPr="007F5A49">
        <w:rPr>
          <w:rFonts w:ascii="Book Antiqua" w:hAnsi="Book Antiqua" w:cs="Arial"/>
          <w:vertAlign w:val="superscript"/>
          <w:lang w:val="en-US"/>
        </w:rPr>
        <w:fldChar w:fldCharType="end"/>
      </w:r>
      <w:r w:rsidR="005F3CEF" w:rsidRPr="007F5A49">
        <w:rPr>
          <w:rFonts w:ascii="Book Antiqua" w:hAnsi="Book Antiqua" w:cs="Arial"/>
          <w:vertAlign w:val="superscript"/>
          <w:lang w:val="en-US"/>
        </w:rPr>
        <w:t>]</w:t>
      </w:r>
      <w:r w:rsidR="0041450B" w:rsidRPr="007F5A49">
        <w:rPr>
          <w:rFonts w:ascii="Book Antiqua" w:hAnsi="Book Antiqua" w:cs="Arial"/>
          <w:lang w:val="en-US"/>
        </w:rPr>
        <w:t xml:space="preserve">, </w:t>
      </w:r>
      <w:r w:rsidR="006F6678" w:rsidRPr="007F5A49">
        <w:rPr>
          <w:rFonts w:ascii="Book Antiqua" w:hAnsi="Book Antiqua" w:cs="Arial"/>
          <w:lang w:val="en-US"/>
        </w:rPr>
        <w:t>demonstrated a correlation between LIC and HSC-activation in humans, resulting in increased expression of α-SMA and collagen deposition in patients with haemochromatosis</w:t>
      </w:r>
      <w:r w:rsidR="00642D09" w:rsidRPr="007F5A49">
        <w:rPr>
          <w:rFonts w:ascii="Book Antiqua" w:hAnsi="Book Antiqua" w:cs="Arial"/>
          <w:lang w:val="en-US"/>
        </w:rPr>
        <w:t xml:space="preserve">. </w:t>
      </w:r>
      <w:r w:rsidR="006F6678" w:rsidRPr="007F5A49">
        <w:rPr>
          <w:rFonts w:ascii="Book Antiqua" w:hAnsi="Book Antiqua" w:cs="Arial"/>
          <w:lang w:val="en-US"/>
        </w:rPr>
        <w:t>Similar results were observed in rat HSCs, where iron increased HSC-cell proliferation, selectively increased collagen synthesis without affecting non-collagen proteins</w:t>
      </w:r>
      <w:r w:rsidR="006F6678" w:rsidRPr="007F5A49">
        <w:rPr>
          <w:rFonts w:ascii="Book Antiqua" w:hAnsi="Book Antiqua" w:cs="Arial"/>
          <w:vertAlign w:val="superscript"/>
          <w:lang w:val="en-US"/>
        </w:rPr>
        <w:fldChar w:fldCharType="begin"/>
      </w:r>
      <w:r w:rsidR="00D2645C" w:rsidRPr="007F5A49">
        <w:rPr>
          <w:rFonts w:ascii="Book Antiqua" w:hAnsi="Book Antiqua" w:cs="Arial"/>
          <w:vertAlign w:val="superscript"/>
          <w:lang w:val="en-US"/>
        </w:rPr>
        <w:instrText xml:space="preserve"> ADDIN ZOTERO_ITEM CSL_CITATION {"citationID":"a1si9nnugo7","properties":{"formattedCitation":"(22)","plainCitation":"(22)","noteIndex":0},"citationItems":[{"id":431,"uris":["http://zotero.org/users/2804724/items/QGDEC7JH"],"uri":["http://zotero.org/users/2804724/items/QGDEC7JH"],"itemData":{"id":431,"type":"article-journal","title":"Effect of free iron on collagen synthesis, cell proliferation and MMP-2 expression in rat hepatic stellate cells","container-title":"Biochemical Pharmacology","page":"1139-1145","volume":"64","issue":"7","source":"PubMed","abstract":"Various studies on hepatic fibrosis occurring in iron overload suggest that excess of tissue iron may be involved in the stimulation of collagen synthesis. Anyway, up to date, direct evidence on the role of iron in hepatic fibrosis is lacking. Moreover, it is not clear whether iron acts as direct initiator of fibrogenesis or as mediator of hepatocellular necrosis. In the present study, we investigated the effect of nontoxic doses of iron on collagen metabolism and proliferation, key features of liver fibrosis, by means of cultures of hepatic stellate cells, the liver cells responsible for collagen production. Iron treatment increased collagen synthesis without affecting noncollagen proteins. The maximum effect was observed at 5 microM iron (+132%). At this dose, no cell damage or proliferation was detected. Conversely, higher doses of iron (10 and 25 microM) induced cell proliferation and a lower increase in collagen synthesis, suggesting the prevalence of proliferative effect on the synthetic one. These effects occurred without the intervention of serum factors and were not mediated by lipid peroxidation. Our results strongly support the hypothesis that iron \"per sé\" may act as a profibrogenic agent. Finally, we provide evidence that iron plays a role also in matrix degradation, by stimulating some metalloprotease activities. Iron treatment increased metalloprotease-2 activity in hepatic stellate cells, while no changes were observed for interstitial collagenase activity suggesting that, in these conditions, a pathological accumulation of hepatic extracellular matrix may occur.","ISSN":"0006-2952","note":"PMID: 12234617","journalAbbreviation":"Biochem. Pharmacol.","language":"eng","author":[{"family":"Gardi","given":"Concetta"},{"family":"Arezzini","given":"Beatrice"},{"family":"Fortino","given":"Vittoria"},{"family":"Comporti","given":"Mario"}],"issued":{"date-parts":[["2002",10,1]]}}}],"schema":"https://github.com/citation-style-language/schema/raw/master/csl-citation.json"} </w:instrText>
      </w:r>
      <w:r w:rsidR="006F6678" w:rsidRPr="007F5A49">
        <w:rPr>
          <w:rFonts w:ascii="Book Antiqua" w:hAnsi="Book Antiqua" w:cs="Arial"/>
          <w:vertAlign w:val="superscript"/>
          <w:lang w:val="en-US"/>
        </w:rPr>
        <w:fldChar w:fldCharType="separate"/>
      </w:r>
      <w:r w:rsidR="007B3608" w:rsidRPr="007F5A49">
        <w:rPr>
          <w:rFonts w:ascii="Book Antiqua" w:hAnsi="Book Antiqua"/>
          <w:vertAlign w:val="superscript"/>
          <w:lang w:val="en-US"/>
        </w:rPr>
        <w:t>[</w:t>
      </w:r>
      <w:r w:rsidR="00D2645C" w:rsidRPr="007F5A49">
        <w:rPr>
          <w:rFonts w:ascii="Book Antiqua" w:hAnsi="Book Antiqua"/>
          <w:vertAlign w:val="superscript"/>
          <w:lang w:val="en-US"/>
        </w:rPr>
        <w:t>22</w:t>
      </w:r>
      <w:r w:rsidR="006F6678" w:rsidRPr="007F5A49">
        <w:rPr>
          <w:rFonts w:ascii="Book Antiqua" w:hAnsi="Book Antiqua" w:cs="Arial"/>
          <w:vertAlign w:val="superscript"/>
          <w:lang w:val="en-US"/>
        </w:rPr>
        <w:fldChar w:fldCharType="end"/>
      </w:r>
      <w:r w:rsidR="007B3608" w:rsidRPr="007F5A49">
        <w:rPr>
          <w:rFonts w:ascii="Book Antiqua" w:hAnsi="Book Antiqua" w:cs="Arial"/>
          <w:vertAlign w:val="superscript"/>
          <w:lang w:val="en-US"/>
        </w:rPr>
        <w:t>]</w:t>
      </w:r>
      <w:r w:rsidR="009E0B27" w:rsidRPr="007F5A49">
        <w:rPr>
          <w:rFonts w:ascii="Book Antiqua" w:hAnsi="Book Antiqua" w:cs="Arial"/>
          <w:lang w:val="en-US"/>
        </w:rPr>
        <w:t xml:space="preserve">, </w:t>
      </w:r>
      <w:r w:rsidR="006F6678" w:rsidRPr="007F5A49">
        <w:rPr>
          <w:rFonts w:ascii="Book Antiqua" w:hAnsi="Book Antiqua" w:cs="Arial"/>
          <w:lang w:val="en-US"/>
        </w:rPr>
        <w:t xml:space="preserve">and increased expression of </w:t>
      </w:r>
      <w:r w:rsidR="006F6678" w:rsidRPr="007F5A49">
        <w:rPr>
          <w:rFonts w:ascii="Book Antiqua" w:hAnsi="Book Antiqua" w:cs="Arial"/>
          <w:i/>
          <w:lang w:val="en-US"/>
        </w:rPr>
        <w:t>α-</w:t>
      </w:r>
      <w:proofErr w:type="spellStart"/>
      <w:r w:rsidR="006F6678" w:rsidRPr="007F5A49">
        <w:rPr>
          <w:rFonts w:ascii="Book Antiqua" w:hAnsi="Book Antiqua" w:cs="Arial"/>
          <w:i/>
          <w:lang w:val="en-US"/>
        </w:rPr>
        <w:t>sma</w:t>
      </w:r>
      <w:proofErr w:type="spellEnd"/>
      <w:r w:rsidR="006F6678" w:rsidRPr="007F5A49">
        <w:rPr>
          <w:rFonts w:ascii="Book Antiqua" w:hAnsi="Book Antiqua" w:cs="Arial"/>
          <w:i/>
          <w:lang w:val="en-US"/>
        </w:rPr>
        <w:t xml:space="preserve"> </w:t>
      </w:r>
      <w:r w:rsidR="006F6678" w:rsidRPr="007F5A49">
        <w:rPr>
          <w:rFonts w:ascii="Book Antiqua" w:hAnsi="Book Antiqua" w:cs="Arial"/>
          <w:lang w:val="en-US"/>
        </w:rPr>
        <w:t xml:space="preserve">and </w:t>
      </w:r>
      <w:r w:rsidR="006F6678" w:rsidRPr="007F5A49">
        <w:rPr>
          <w:rFonts w:ascii="Book Antiqua" w:hAnsi="Book Antiqua" w:cs="Arial"/>
          <w:i/>
          <w:lang w:val="en-US"/>
        </w:rPr>
        <w:t>col-1 α-1</w:t>
      </w:r>
      <w:r w:rsidR="006F6678" w:rsidRPr="007F5A49">
        <w:rPr>
          <w:rFonts w:ascii="Book Antiqua" w:hAnsi="Book Antiqua" w:cs="Arial"/>
          <w:vertAlign w:val="superscript"/>
          <w:lang w:val="en-US"/>
        </w:rPr>
        <w:fldChar w:fldCharType="begin"/>
      </w:r>
      <w:r w:rsidR="00D2645C" w:rsidRPr="007F5A49">
        <w:rPr>
          <w:rFonts w:ascii="Book Antiqua" w:hAnsi="Book Antiqua" w:cs="Arial"/>
          <w:vertAlign w:val="superscript"/>
          <w:lang w:val="en-US"/>
        </w:rPr>
        <w:instrText xml:space="preserve"> ADDIN ZOTERO_ITEM CSL_CITATION {"citationID":"apdl485t8n","properties":{"formattedCitation":"(23)","plainCitation":"(23)","noteIndex":0},"citationItems":[{"id":134,"uris":["http://zotero.org/users/2804724/items/JMZQD2QJ"],"uri":["http://zotero.org/users/2804724/items/JMZQD2QJ"],"itemData":{"id":134,"type":"article-journal","title":"Identification and characterization of the hepatic stellate cell transferrin receptor","container-title":"The American Journal of Pathology","page":"1661-1667","volume":"162","issue":"5","source":"PubMed","abstract":"Activated hepatic stellate cells have been implicated in the fibrogenic process associated with iron overload, both in animal models and in human hemochromatosis. Previous studies have evaluated the role of ferritin/ferritin receptor interactions in the activation of stellate cells and subsequent fibrogenesis; however, the role of transferrin in hepatic stellate cell biology is unknown. This study was designed to identify and characterize the stellate cell transferrin receptor and to evaluate the influence of transferrin on stellate cell activation. Identification and characterization of the stellate cell transferrin receptor was determined by competitive displacement assays. The effect of transferrin on stellate cell activation was assessed using western blot analysis for alpha-smooth muscle actin expression, [(3)H]Thymidine incorporation, and real-time RT-PCR for procollagen alpha1(I) mRNA expression. A specific receptor for rat transferrin was observed on activated but not quiescent stellate cells. Transferrin significantly increased the expression of alpha-smooth muscle actin, but caused a decrease in proliferation. Transferrin induced a significant increase in procollagen alpha1(I) mRNA expression. In conclusion, this study has demonstrated for the first time a specific, high affinity receptor for rat transferrin on activated hepatic stellate cells, which via interaction with transferrin regulates stellate cell activation. This suggests that transferrin may be an important factor in the activation of hepatic stellate cells in conditions of iron overload.","DOI":"10.1016/S0002-9440(10)64300-3","ISSN":"0002-9440","note":"PMID: 12707050\nPMCID: PMC1851195","journalAbbreviation":"Am. J. Pathol.","language":"eng","author":[{"family":"Bridle","given":"Kim R."},{"family":"Crawford","given":"Darrell H. G."},{"family":"Ramm","given":"Grant A."}],"issued":{"date-parts":[["2003",5]]}}}],"schema":"https://github.com/citation-style-language/schema/raw/master/csl-citation.json"} </w:instrText>
      </w:r>
      <w:r w:rsidR="006F6678" w:rsidRPr="007F5A49">
        <w:rPr>
          <w:rFonts w:ascii="Book Antiqua" w:hAnsi="Book Antiqua" w:cs="Arial"/>
          <w:vertAlign w:val="superscript"/>
          <w:lang w:val="en-US"/>
        </w:rPr>
        <w:fldChar w:fldCharType="separate"/>
      </w:r>
      <w:r w:rsidR="007B3608" w:rsidRPr="007F5A49">
        <w:rPr>
          <w:rFonts w:ascii="Book Antiqua" w:hAnsi="Book Antiqua"/>
          <w:vertAlign w:val="superscript"/>
          <w:lang w:val="en-US"/>
        </w:rPr>
        <w:t>[</w:t>
      </w:r>
      <w:r w:rsidR="00D2645C" w:rsidRPr="007F5A49">
        <w:rPr>
          <w:rFonts w:ascii="Book Antiqua" w:hAnsi="Book Antiqua"/>
          <w:vertAlign w:val="superscript"/>
          <w:lang w:val="en-US"/>
        </w:rPr>
        <w:t>23</w:t>
      </w:r>
      <w:r w:rsidR="006F6678" w:rsidRPr="007F5A49">
        <w:rPr>
          <w:rFonts w:ascii="Book Antiqua" w:hAnsi="Book Antiqua" w:cs="Arial"/>
          <w:vertAlign w:val="superscript"/>
          <w:lang w:val="en-US"/>
        </w:rPr>
        <w:fldChar w:fldCharType="end"/>
      </w:r>
      <w:r w:rsidR="007B3608" w:rsidRPr="007F5A49">
        <w:rPr>
          <w:rFonts w:ascii="Book Antiqua" w:hAnsi="Book Antiqua" w:cs="Arial"/>
          <w:vertAlign w:val="superscript"/>
          <w:lang w:val="en-US"/>
        </w:rPr>
        <w:t>]</w:t>
      </w:r>
      <w:r w:rsidR="00642D09" w:rsidRPr="007F5A49">
        <w:rPr>
          <w:rFonts w:ascii="Book Antiqua" w:hAnsi="Book Antiqua" w:cs="Arial"/>
          <w:lang w:val="en-US"/>
        </w:rPr>
        <w:t xml:space="preserve">. </w:t>
      </w:r>
      <w:r w:rsidR="00680266" w:rsidRPr="007F5A49">
        <w:rPr>
          <w:rFonts w:ascii="Book Antiqua" w:hAnsi="Book Antiqua" w:cs="Arial"/>
          <w:lang w:val="en-US"/>
        </w:rPr>
        <w:t>Rat HSCs, when treated with ferritin, demonstrated a pro-inflammatory cascade by nuclear factor kappa</w:t>
      </w:r>
      <w:r w:rsidR="000E4D2B" w:rsidRPr="007F5A49">
        <w:rPr>
          <w:rFonts w:ascii="Book Antiqua" w:hAnsi="Book Antiqua" w:cs="Arial"/>
          <w:lang w:val="en-US"/>
        </w:rPr>
        <w:t>-</w:t>
      </w:r>
      <w:r w:rsidR="00680266" w:rsidRPr="007F5A49">
        <w:rPr>
          <w:rFonts w:ascii="Book Antiqua" w:hAnsi="Book Antiqua" w:cs="Arial"/>
          <w:lang w:val="en-US"/>
        </w:rPr>
        <w:t xml:space="preserve">B </w:t>
      </w:r>
      <w:proofErr w:type="spellStart"/>
      <w:r w:rsidR="00680266" w:rsidRPr="007F5A49">
        <w:rPr>
          <w:rFonts w:ascii="Book Antiqua" w:hAnsi="Book Antiqua" w:cs="Arial"/>
          <w:lang w:val="en-US"/>
        </w:rPr>
        <w:t>signalling</w:t>
      </w:r>
      <w:proofErr w:type="spellEnd"/>
      <w:r w:rsidR="00C31355" w:rsidRPr="007F5A49">
        <w:rPr>
          <w:rFonts w:ascii="Book Antiqua" w:hAnsi="Book Antiqua" w:cs="Arial"/>
          <w:lang w:val="en-US"/>
        </w:rPr>
        <w:t xml:space="preserve"> (NF-k)-B</w:t>
      </w:r>
      <w:r w:rsidR="00680266" w:rsidRPr="007F5A49">
        <w:rPr>
          <w:rFonts w:ascii="Book Antiqua" w:hAnsi="Book Antiqua" w:cs="Arial"/>
          <w:vertAlign w:val="superscript"/>
          <w:lang w:val="en-US"/>
        </w:rPr>
        <w:fldChar w:fldCharType="begin"/>
      </w:r>
      <w:r w:rsidR="00D2645C" w:rsidRPr="007F5A49">
        <w:rPr>
          <w:rFonts w:ascii="Book Antiqua" w:hAnsi="Book Antiqua" w:cs="Arial"/>
          <w:vertAlign w:val="superscript"/>
          <w:lang w:val="en-US"/>
        </w:rPr>
        <w:instrText xml:space="preserve"> ADDIN ZOTERO_ITEM CSL_CITATION {"citationID":"a19nunu0tep","properties":{"formattedCitation":"(24)","plainCitation":"(24)","noteIndex":0},"citationItems":[{"id":"z1PZoHrb/SpUGCwi8","uris":["http://zotero.org/users/4222068/items/3VJVJVFI"],"uri":["http://zotero.org/users/4222068/items/3VJVJVFI"],"itemData":{"id":1327,"type":"article-journal","title":"Ferritin functions as a proinflammatory cytokine via iron-independent PKC-ζ/NFκB-regulated signalling in rat hepatic stellate cells","container-title":"Hepatology (Baltimore, Md.)","page":"887-900","volume":"49","issue":"3","source":"PubMed Central","abstract":"Circulating ferritin levels reflect body iron stores and are elevated with inflammation in chronic liver injury. H-ferritin exhibits a number of extrahepatic immunomodulatory properties although its role in hepatic inflammation and fibrogenesis is unknown. Hepatic stellate cells respond to liver injury through production of proinflammatory mediators which drive fibrogenesis. A specific receptor for ferritin has been demonstrated on activated hepatic stellate cells although its identity and its role in stellate cell activation is unclear. We propose that ferritin acts as a cytokine regulating proinflammatory function via NFκB-regulated signaling in hepatic stellate cell biology. Hepatic stellate cells were treated with tissue ferritin, and iron-free apoferritin, recombinant H- and L-ferritins to assess the role of ferritin versus ferritin-bound iron in the production of proinflammatory mediators of fibrogenesis, and to determine whether signalling pathways elicited act via a proposed H-ferritin endocytosis receptor, T cell immunoglobulin-domain and mucin-domain 2 (Tim-2). This study demonstrated that ferritin activates an iron-independent signaling cascade, involving Tim-2-independent PI3-kinase phosphorylation, PKCζ and p44/p42-MAP-kinase resulting in p50/p65-NFκB activation and markedly enhanced expression of hepatic proinflammatory mediators IL-1β, iNOS, RANTES, IκBα and ICAM1.","DOI":"10.1002/hep.22716","ISSN":"0270-9139","note":"PMID: 19241483\nPMCID: PMC2701483","journalAbbreviation":"Hepatology","author":[{"family":"Ruddell","given":"Richard G"},{"family":"Hoang-Le","given":"Diem"},{"family":"Barwood","given":"Joanne M"},{"family":"Rutherford","given":"Paul S"},{"family":"Piva","given":"Terrance J"},{"family":"Watters","given":"Dianne J"},{"family":"Santambrogio","given":"Paolo"},{"family":"Arosio","given":"Paolo"},{"family":"Ramm","given":"Grant A"}],"issued":{"date-parts":[["2009",3]]}}}],"schema":"https://github.com/citation-style-language/schema/raw/master/csl-citation.json"} </w:instrText>
      </w:r>
      <w:r w:rsidR="00680266" w:rsidRPr="007F5A49">
        <w:rPr>
          <w:rFonts w:ascii="Book Antiqua" w:hAnsi="Book Antiqua" w:cs="Arial"/>
          <w:vertAlign w:val="superscript"/>
          <w:lang w:val="en-US"/>
        </w:rPr>
        <w:fldChar w:fldCharType="separate"/>
      </w:r>
      <w:r w:rsidR="00ED7DAB" w:rsidRPr="007F5A49">
        <w:rPr>
          <w:rFonts w:ascii="Book Antiqua" w:hAnsi="Book Antiqua"/>
          <w:vertAlign w:val="superscript"/>
          <w:lang w:val="en-US"/>
        </w:rPr>
        <w:t>[</w:t>
      </w:r>
      <w:r w:rsidR="00D2645C" w:rsidRPr="007F5A49">
        <w:rPr>
          <w:rFonts w:ascii="Book Antiqua" w:hAnsi="Book Antiqua"/>
          <w:vertAlign w:val="superscript"/>
          <w:lang w:val="en-US"/>
        </w:rPr>
        <w:t>24</w:t>
      </w:r>
      <w:r w:rsidR="00680266" w:rsidRPr="007F5A49">
        <w:rPr>
          <w:rFonts w:ascii="Book Antiqua" w:hAnsi="Book Antiqua" w:cs="Arial"/>
          <w:vertAlign w:val="superscript"/>
          <w:lang w:val="en-US"/>
        </w:rPr>
        <w:fldChar w:fldCharType="end"/>
      </w:r>
      <w:r w:rsidR="00ED7DAB" w:rsidRPr="007F5A49">
        <w:rPr>
          <w:rFonts w:ascii="Book Antiqua" w:hAnsi="Book Antiqua" w:cs="Arial"/>
          <w:vertAlign w:val="superscript"/>
          <w:lang w:val="en-US"/>
        </w:rPr>
        <w:t>]</w:t>
      </w:r>
      <w:r w:rsidR="00642D09" w:rsidRPr="007F5A49">
        <w:rPr>
          <w:rFonts w:ascii="Book Antiqua" w:hAnsi="Book Antiqua" w:cs="Arial"/>
          <w:lang w:val="en-US"/>
        </w:rPr>
        <w:t xml:space="preserve">. </w:t>
      </w:r>
      <w:r w:rsidR="006F6678" w:rsidRPr="007F5A49">
        <w:rPr>
          <w:rFonts w:ascii="Book Antiqua" w:hAnsi="Book Antiqua" w:cs="Arial"/>
          <w:lang w:val="en-US"/>
        </w:rPr>
        <w:t xml:space="preserve">Likewise, recent studies in murine HSCs showed transferrin-induced elevations in </w:t>
      </w:r>
      <w:r w:rsidR="006F6678" w:rsidRPr="007F5A49">
        <w:rPr>
          <w:rFonts w:ascii="Book Antiqua" w:hAnsi="Book Antiqua" w:cs="Arial"/>
          <w:i/>
          <w:lang w:val="en-US"/>
        </w:rPr>
        <w:t>α-</w:t>
      </w:r>
      <w:proofErr w:type="spellStart"/>
      <w:r w:rsidR="006F6678" w:rsidRPr="007F5A49">
        <w:rPr>
          <w:rFonts w:ascii="Book Antiqua" w:hAnsi="Book Antiqua" w:cs="Arial"/>
          <w:i/>
          <w:lang w:val="en-US"/>
        </w:rPr>
        <w:t>sma</w:t>
      </w:r>
      <w:proofErr w:type="spellEnd"/>
      <w:r w:rsidR="006F6678" w:rsidRPr="007F5A49">
        <w:rPr>
          <w:rFonts w:ascii="Book Antiqua" w:hAnsi="Book Antiqua" w:cs="Arial"/>
          <w:lang w:val="en-US"/>
        </w:rPr>
        <w:t>, collagen secretion and vimentin</w:t>
      </w:r>
      <w:r w:rsidR="006F6678" w:rsidRPr="007F5A49">
        <w:rPr>
          <w:rFonts w:ascii="Book Antiqua" w:hAnsi="Book Antiqua" w:cs="Arial"/>
          <w:vertAlign w:val="superscript"/>
          <w:lang w:val="en-US"/>
        </w:rPr>
        <w:fldChar w:fldCharType="begin"/>
      </w:r>
      <w:r w:rsidR="00D2645C" w:rsidRPr="007F5A49">
        <w:rPr>
          <w:rFonts w:ascii="Book Antiqua" w:hAnsi="Book Antiqua" w:cs="Arial"/>
          <w:vertAlign w:val="superscript"/>
          <w:lang w:val="en-US"/>
        </w:rPr>
        <w:instrText xml:space="preserve"> ADDIN ZOTERO_ITEM CSL_CITATION {"citationID":"a1bsue0nbcb","properties":{"formattedCitation":"(25)","plainCitation":"(25)","noteIndex":0},"citationItems":[{"id":"z1PZoHrb/VUwAvnjk","uris":["http://zotero.org/users/4222068/items/9AUI4U2L"],"uri":["http://zotero.org/users/4222068/items/9AUI4U2L"],"itemData":{"id":1666,"type":"article-journal","title":"Iron Enhances Hepatic Fibrogenesis and Activates Transforming Growth Factor-β Signaling in Murine Hepatic Stellate Cells","container-title":"The American Journal of the Medical Sciences","page":"183-190","volume":"355","issue":"2","source":"PubMed","abstract":"BACKGROUND: Although excess iron induces oxidative stress in the liver, it is unclear whether it directly activates the hepatic stellate cells (HSC).\nMATERIALS AND METHODS: We evaluated the effects of excess iron on fibrogenesis and transforming growth factor beta (TGF-β) signaling in murine HSC. Cells were treated with holotransferrin (0.005-5g/L) for 24 hours, with or without the iron chelator deferoxamine (10µM). Gene expressions (α-SMA, Col1-α1, Serpine-1, TGF-β, Hif1-α, Tfrc and Slc40a1) were analyzed by quantitative real time-polymerase chain reaction, whereas TfR1, ferroportin, ferritin, vimentin, collagen, TGF-β RII and phospho-Smad2 proteins were evaluated by immunofluorescence, Western blot and enzyme-linked immunosorbent assay.\nRESULTS: HSC expressed the iron-uptake protein transferrin receptor 1 (TfR1) and the iron-export protein ferroportin. Holotransferrin upregulated TfR1 expression by 1.8-fold (P &lt; 0.03) and ferritin accumulation (iron storage) by 2-fold (P &lt; 0.01), and activated HSC with 2-fold elevations (P &lt; 0.03) in α-SMA messenger RNA and collagen secretion, and a 1.6-fold increase (P &lt; 0.01) in vimentin protein. Moreover, holotransferrin activated the TGF-β pathway with TGF-β messenger RNA elevated 1.6-fold (P = 0.05), and protein levels of TGF-β RII and phospho-Smad2 increased by 1.8-fold (P &lt; 0.01) and 1.6-fold (P &lt; 0.01), respectively. In contrast, iron chelation decreased ferritin levels by 30% (P &lt; 0.03), inhibited collagen secretion by 60% (P &lt; 0.01), repressed fibrogenic genes α-SMA (0.2-fold; P &lt; 0.05) and TGF-β (0.4-fold; P &lt; 0.01) and reduced levels of TGF-β RII and phospho-Smad2 proteins.\nCONCLUSIONS: HSC express iron-transport proteins. Holotransferrin (iron) activates HSC fibrogenesis and the TGF-β pathway, whereas iron depletion by chelation reverses this, suggesting that this could be a useful adjunct therapy for patients with fibrosis. Further studies in primary human HSC and animal models are necessary to confirm this.","DOI":"10.1016/j.amjms.2017.08.012","ISSN":"1538-2990","note":"PMID: 29406047","journalAbbreviation":"Am. J. Med. Sci.","language":"eng","author":[{"family":"Mehta","given":"Kosha J."},{"family":"Coombes","given":"Jason D."},{"family":"Briones-Orta","given":"Marco"},{"family":"Manka","given":"Paul P."},{"family":"Williams","given":"Roger"},{"family":"Patel","given":"Vinood B."},{"family":"Syn","given":"Wing-Kin"}],"issued":{"date-parts":[["2018"]]}}}],"schema":"https://github.com/citation-style-language/schema/raw/master/csl-citation.json"} </w:instrText>
      </w:r>
      <w:r w:rsidR="006F6678" w:rsidRPr="007F5A49">
        <w:rPr>
          <w:rFonts w:ascii="Book Antiqua" w:hAnsi="Book Antiqua" w:cs="Arial"/>
          <w:vertAlign w:val="superscript"/>
          <w:lang w:val="en-US"/>
        </w:rPr>
        <w:fldChar w:fldCharType="separate"/>
      </w:r>
      <w:r w:rsidR="00ED7DAB" w:rsidRPr="007F5A49">
        <w:rPr>
          <w:rFonts w:ascii="Book Antiqua" w:hAnsi="Book Antiqua"/>
          <w:vertAlign w:val="superscript"/>
          <w:lang w:val="en-US"/>
        </w:rPr>
        <w:t>[</w:t>
      </w:r>
      <w:r w:rsidR="00D2645C" w:rsidRPr="007F5A49">
        <w:rPr>
          <w:rFonts w:ascii="Book Antiqua" w:hAnsi="Book Antiqua"/>
          <w:vertAlign w:val="superscript"/>
          <w:lang w:val="en-US"/>
        </w:rPr>
        <w:t>25</w:t>
      </w:r>
      <w:r w:rsidR="006F6678" w:rsidRPr="007F5A49">
        <w:rPr>
          <w:rFonts w:ascii="Book Antiqua" w:hAnsi="Book Antiqua" w:cs="Arial"/>
          <w:vertAlign w:val="superscript"/>
          <w:lang w:val="en-US"/>
        </w:rPr>
        <w:fldChar w:fldCharType="end"/>
      </w:r>
      <w:r w:rsidR="00ED7DAB" w:rsidRPr="007F5A49">
        <w:rPr>
          <w:rFonts w:ascii="Book Antiqua" w:hAnsi="Book Antiqua" w:cs="Arial"/>
          <w:vertAlign w:val="superscript"/>
          <w:lang w:val="en-US"/>
        </w:rPr>
        <w:t>]</w:t>
      </w:r>
      <w:r w:rsidR="005D1F2E" w:rsidRPr="007F5A49">
        <w:rPr>
          <w:rFonts w:ascii="Book Antiqua" w:hAnsi="Book Antiqua" w:cs="Arial"/>
          <w:lang w:val="en-US"/>
        </w:rPr>
        <w:t xml:space="preserve">. </w:t>
      </w:r>
    </w:p>
    <w:p w14:paraId="67403D8C" w14:textId="77777777" w:rsidR="00A563E6" w:rsidRPr="007F5A49" w:rsidRDefault="00A563E6" w:rsidP="007F5A49">
      <w:pPr>
        <w:adjustRightInd w:val="0"/>
        <w:snapToGrid w:val="0"/>
        <w:spacing w:after="0" w:line="360" w:lineRule="auto"/>
        <w:jc w:val="both"/>
        <w:rPr>
          <w:rFonts w:ascii="Book Antiqua" w:hAnsi="Book Antiqua" w:cs="Arial"/>
          <w:i/>
          <w:sz w:val="24"/>
          <w:szCs w:val="24"/>
          <w:u w:val="single"/>
          <w:lang w:val="en-US"/>
        </w:rPr>
      </w:pPr>
    </w:p>
    <w:p w14:paraId="2B23D986" w14:textId="7BF7A9F6" w:rsidR="006F6678" w:rsidRPr="007F5A49" w:rsidRDefault="00EA1DF1" w:rsidP="008E1EBB">
      <w:pPr>
        <w:adjustRightInd w:val="0"/>
        <w:snapToGrid w:val="0"/>
        <w:spacing w:after="0" w:line="360" w:lineRule="auto"/>
        <w:jc w:val="both"/>
        <w:outlineLvl w:val="0"/>
        <w:rPr>
          <w:rFonts w:ascii="Book Antiqua" w:hAnsi="Book Antiqua" w:cs="Arial"/>
          <w:b/>
          <w:i/>
          <w:sz w:val="24"/>
          <w:szCs w:val="24"/>
          <w:lang w:val="en-US"/>
        </w:rPr>
      </w:pPr>
      <w:r w:rsidRPr="007F5A49">
        <w:rPr>
          <w:rFonts w:ascii="Book Antiqua" w:hAnsi="Book Antiqua" w:cs="Arial"/>
          <w:b/>
          <w:i/>
          <w:sz w:val="24"/>
          <w:szCs w:val="24"/>
          <w:lang w:val="en-US"/>
        </w:rPr>
        <w:lastRenderedPageBreak/>
        <w:t>H</w:t>
      </w:r>
      <w:r w:rsidR="006F6678" w:rsidRPr="007F5A49">
        <w:rPr>
          <w:rFonts w:ascii="Book Antiqua" w:hAnsi="Book Antiqua" w:cs="Arial"/>
          <w:b/>
          <w:i/>
          <w:sz w:val="24"/>
          <w:szCs w:val="24"/>
          <w:lang w:val="en-US"/>
        </w:rPr>
        <w:t xml:space="preserve">epatocytes and macrophages </w:t>
      </w:r>
    </w:p>
    <w:p w14:paraId="28931CD3" w14:textId="09916B3F" w:rsidR="009C08AD" w:rsidRPr="007F5A49" w:rsidRDefault="00AF3AC6" w:rsidP="007F5A49">
      <w:pPr>
        <w:adjustRightInd w:val="0"/>
        <w:snapToGrid w:val="0"/>
        <w:spacing w:after="0" w:line="360" w:lineRule="auto"/>
        <w:jc w:val="both"/>
        <w:rPr>
          <w:rFonts w:ascii="Book Antiqua" w:hAnsi="Book Antiqua" w:cs="Arial"/>
          <w:sz w:val="24"/>
          <w:szCs w:val="24"/>
          <w:lang w:val="en-US"/>
        </w:rPr>
      </w:pPr>
      <w:r w:rsidRPr="007F5A49">
        <w:rPr>
          <w:rFonts w:ascii="Book Antiqua" w:hAnsi="Book Antiqua" w:cs="Arial"/>
          <w:sz w:val="24"/>
          <w:szCs w:val="24"/>
          <w:lang w:val="en-US"/>
        </w:rPr>
        <w:t>The</w:t>
      </w:r>
      <w:r w:rsidR="000061BD" w:rsidRPr="007F5A49">
        <w:rPr>
          <w:rFonts w:ascii="Book Antiqua" w:hAnsi="Book Antiqua" w:cs="Arial"/>
          <w:sz w:val="24"/>
          <w:szCs w:val="24"/>
          <w:lang w:val="en-US"/>
        </w:rPr>
        <w:t xml:space="preserve"> HSCs do not function independently. Their </w:t>
      </w:r>
      <w:r w:rsidR="009D7A2A" w:rsidRPr="007F5A49">
        <w:rPr>
          <w:rFonts w:ascii="Book Antiqua" w:hAnsi="Book Antiqua" w:cs="Arial"/>
          <w:sz w:val="24"/>
          <w:szCs w:val="24"/>
          <w:lang w:val="en-US"/>
        </w:rPr>
        <w:t xml:space="preserve">role </w:t>
      </w:r>
      <w:r w:rsidRPr="007F5A49">
        <w:rPr>
          <w:rFonts w:ascii="Book Antiqua" w:hAnsi="Book Antiqua" w:cs="Arial"/>
          <w:sz w:val="24"/>
          <w:szCs w:val="24"/>
          <w:lang w:val="en-US"/>
        </w:rPr>
        <w:t>in fibrosis is</w:t>
      </w:r>
      <w:r w:rsidR="009D7A2A" w:rsidRPr="007F5A49">
        <w:rPr>
          <w:rFonts w:ascii="Book Antiqua" w:hAnsi="Book Antiqua" w:cs="Arial"/>
          <w:sz w:val="24"/>
          <w:szCs w:val="24"/>
          <w:lang w:val="en-US"/>
        </w:rPr>
        <w:t xml:space="preserve"> informed by a network of events</w:t>
      </w:r>
      <w:r w:rsidR="00432BF2" w:rsidRPr="007F5A49">
        <w:rPr>
          <w:rFonts w:ascii="Book Antiqua" w:hAnsi="Book Antiqua" w:cs="Arial"/>
          <w:sz w:val="24"/>
          <w:szCs w:val="24"/>
          <w:lang w:val="en-US"/>
        </w:rPr>
        <w:t xml:space="preserve"> between other non-parenchymal cells and hepatocytes</w:t>
      </w:r>
      <w:r w:rsidR="009C08AD" w:rsidRPr="007F5A49">
        <w:rPr>
          <w:rFonts w:ascii="Book Antiqua" w:hAnsi="Book Antiqua" w:cs="Arial"/>
          <w:sz w:val="24"/>
          <w:szCs w:val="24"/>
          <w:lang w:val="en-US"/>
        </w:rPr>
        <w:t xml:space="preserve">. Iron-loading in CLDs predominantly occurs in the hepatocytes and Kupffer cells, and this </w:t>
      </w:r>
      <w:r w:rsidR="000061BD" w:rsidRPr="007F5A49">
        <w:rPr>
          <w:rFonts w:ascii="Book Antiqua" w:hAnsi="Book Antiqua" w:cs="Arial"/>
          <w:sz w:val="24"/>
          <w:szCs w:val="24"/>
          <w:lang w:val="en-US"/>
        </w:rPr>
        <w:t xml:space="preserve">underpins the indirect effect of iron on HSCs whereby iron-damaged hepatocytes and macrophages release humoral factors that activate the HSCs. </w:t>
      </w:r>
    </w:p>
    <w:p w14:paraId="3C9108D5" w14:textId="0F450057" w:rsidR="00DD5AF8" w:rsidRPr="007F5A49" w:rsidRDefault="008E1EBB" w:rsidP="007F5A49">
      <w:pPr>
        <w:adjustRightInd w:val="0"/>
        <w:snapToGrid w:val="0"/>
        <w:spacing w:after="0" w:line="360" w:lineRule="auto"/>
        <w:jc w:val="both"/>
        <w:rPr>
          <w:rFonts w:ascii="Book Antiqua" w:hAnsi="Book Antiqua" w:cs="Arial"/>
          <w:sz w:val="24"/>
          <w:szCs w:val="24"/>
          <w:lang w:val="en-US"/>
        </w:rPr>
      </w:pPr>
      <w:r>
        <w:rPr>
          <w:rFonts w:ascii="Book Antiqua" w:hAnsi="Book Antiqua" w:cs="Arial"/>
          <w:sz w:val="24"/>
          <w:szCs w:val="24"/>
          <w:lang w:val="en-US"/>
        </w:rPr>
        <w:t xml:space="preserve">  </w:t>
      </w:r>
      <w:r w:rsidR="00143DD0" w:rsidRPr="007F5A49">
        <w:rPr>
          <w:rFonts w:ascii="Book Antiqua" w:hAnsi="Book Antiqua" w:cs="Arial"/>
          <w:sz w:val="24"/>
          <w:szCs w:val="24"/>
          <w:lang w:val="en-US"/>
        </w:rPr>
        <w:t>Loading begins in the hepatocytes located in Rappaport zone 1 and progresses towards the hepatocytes in zones 2 and 3. Subsequently, when iron is co-loaded in the Kupffer cells, it is believed to trigger fibrosis</w:t>
      </w:r>
      <w:r w:rsidR="00143DD0"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2odvunmsch","properties":{"formattedCitation":"(17)","plainCitation":"(17)","noteIndex":0},"citationItems":[{"id":427,"uris":["http://zotero.org/users/2804724/items/DU3KQ5EH"],"uri":["http://zotero.org/users/2804724/items/DU3KQ5EH"],"itemData":{"id":427,"type":"article-journal","title":"Role of iron in hepatic fibrosis: one piece in the puzzle","container-title":"World Journal of Gastroenterology","page":"4746-4754","volume":"13","issue":"35","source":"PubMed","abstract":"Iron is an essential element involved in various biological pathways. When present in excess within the cell, iron can be toxic due to its ability to catalyse the formation of damaging radicals, which promote cellular injury and cell death. Within the liver, iron related oxidative stress can lead to fibrosis and ultimately to cirrhosis. Here we review the role of excessive iron in the pathologies associated with various chronic diseases of the liver. We also describe the molecular mechanism by which iron contributes to the development of hepatic fibrosis.","ISSN":"1007-9327","note":"PMID: 17729396\nPMCID: PMC4611196","shortTitle":"Role of iron in hepatic fibrosis","journalAbbreviation":"World J. Gastroenterol.","language":"eng","author":[{"family":"Philippe","given":"Marie-A."},{"family":"Ruddell","given":"Richard-G."},{"family":"Ramm","given":"Grant-A."}],"issued":{"date-parts":[["2007",9,21]]}}}],"schema":"https://github.com/citation-style-language/schema/raw/master/csl-citation.json"} </w:instrText>
      </w:r>
      <w:r w:rsidR="00143DD0" w:rsidRPr="007F5A49">
        <w:rPr>
          <w:rFonts w:ascii="Book Antiqua" w:hAnsi="Book Antiqua" w:cs="Arial"/>
          <w:sz w:val="24"/>
          <w:szCs w:val="24"/>
          <w:vertAlign w:val="superscript"/>
          <w:lang w:val="en-US"/>
        </w:rPr>
        <w:fldChar w:fldCharType="separate"/>
      </w:r>
      <w:r w:rsidR="008B672A"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17</w:t>
      </w:r>
      <w:r w:rsidR="00143DD0" w:rsidRPr="007F5A49">
        <w:rPr>
          <w:rFonts w:ascii="Book Antiqua" w:hAnsi="Book Antiqua" w:cs="Arial"/>
          <w:sz w:val="24"/>
          <w:szCs w:val="24"/>
          <w:vertAlign w:val="superscript"/>
          <w:lang w:val="en-US"/>
        </w:rPr>
        <w:fldChar w:fldCharType="end"/>
      </w:r>
      <w:r w:rsidR="008B672A" w:rsidRPr="007F5A49">
        <w:rPr>
          <w:rFonts w:ascii="Book Antiqua" w:hAnsi="Book Antiqua" w:cs="Arial"/>
          <w:sz w:val="24"/>
          <w:szCs w:val="24"/>
          <w:vertAlign w:val="superscript"/>
          <w:lang w:val="en-US"/>
        </w:rPr>
        <w:t>]</w:t>
      </w:r>
      <w:r w:rsidR="00143DD0" w:rsidRPr="007F5A49">
        <w:rPr>
          <w:rFonts w:ascii="Book Antiqua" w:hAnsi="Book Antiqua" w:cs="Arial"/>
          <w:sz w:val="24"/>
          <w:szCs w:val="24"/>
          <w:lang w:val="en-US"/>
        </w:rPr>
        <w:t xml:space="preserve">. </w:t>
      </w:r>
      <w:r w:rsidR="009C08AD" w:rsidRPr="007F5A49">
        <w:rPr>
          <w:rFonts w:ascii="Book Antiqua" w:hAnsi="Book Antiqua" w:cs="Arial"/>
          <w:sz w:val="24"/>
          <w:szCs w:val="24"/>
          <w:lang w:val="en-US"/>
        </w:rPr>
        <w:t>The h</w:t>
      </w:r>
      <w:r w:rsidR="00DD5AF8" w:rsidRPr="007F5A49">
        <w:rPr>
          <w:rFonts w:ascii="Book Antiqua" w:eastAsia="Times New Roman" w:hAnsi="Book Antiqua" w:cs="Arial"/>
          <w:sz w:val="24"/>
          <w:szCs w:val="24"/>
          <w:lang w:val="en-US"/>
        </w:rPr>
        <w:t>epatocytes make majority of the liver mass, therefore, iron-loaded hepatocytes substantially affect fibrosis initiation and progression</w:t>
      </w:r>
      <w:r w:rsidR="00DD5AF8" w:rsidRPr="007F5A49">
        <w:rPr>
          <w:rFonts w:ascii="Book Antiqua" w:eastAsia="Times New Roman" w:hAnsi="Book Antiqua" w:cs="Arial"/>
          <w:sz w:val="24"/>
          <w:szCs w:val="24"/>
          <w:vertAlign w:val="superscript"/>
          <w:lang w:val="en-US"/>
        </w:rPr>
        <w:fldChar w:fldCharType="begin"/>
      </w:r>
      <w:r w:rsidR="00D2645C" w:rsidRPr="007F5A49">
        <w:rPr>
          <w:rFonts w:ascii="Book Antiqua" w:eastAsia="Times New Roman" w:hAnsi="Book Antiqua" w:cs="Arial"/>
          <w:sz w:val="24"/>
          <w:szCs w:val="24"/>
          <w:vertAlign w:val="superscript"/>
          <w:lang w:val="en-US"/>
        </w:rPr>
        <w:instrText xml:space="preserve"> ADDIN ZOTERO_ITEM CSL_CITATION {"citationID":"ahchh3sh5j","properties":{"formattedCitation":"(26)","plainCitation":"(26)","noteIndex":0},"citationItems":[{"id":"z1PZoHrb/mXChyqkI","uris":["http://zotero.org/users/4222068/items/D9628B73"],"uri":["http://zotero.org/users/4222068/items/D9628B73"],"itemData":{"id":1292,"type":"article-journal","title":"Ductular reaction in hereditary hemochromatosis: the link between hepatocyte senescence and fibrosis progression","container-title":"Hepatology (Baltimore, Md.)","page":"848-857","volume":"59","issue":"3","source":"PubMed","abstract":"The development of portal fibrosis following the iron loading of hepatocytes is the first stage of fibrogenesis in hereditary hemochromatosis. In other chronic liver diseases it has been shown that a ductular reaction (DR) appears early, correlates with fibrosis progression, and is a consequence of activation of an alternative pathway of hepatocyte replication. This study was designed to investigate the presence of the DR in hemochromatosis and describe its associations. Liver biopsies from 63 C282Y homozygous patients were assessed for hepatic iron concentration (HIC) and graded for iron loading, fibrosis stage, steatosis, and inflammation. Immunostaining allowed quantification of the DR, hepatocyte senescence and proliferation, and analysis incorporated clinical data. Hepatocyte senescence was positively correlated with HIC, serum ferritin, and oxidative stress. A DR was demonstrated and occurred prior to histological fibrosis. HIC, age, hepatocyte senescence and proliferation, portal inflammation, and excessive alcohol consumption all had significant associations with the extent of the DR. In multivariate analysis, iron loading, hepatocyte replicative arrest, and portal inflammation remained independently and significantly associated with the DR. Of factors associated with fibrosis progression, the DR (odds ratio [OR] 10.86 P&lt;0.0001) and the presence of portal inflammation (OR 4.31, P=0.028) remained significant after adjustment for cofactors. The extent of the DR regressed following therapeutic venesection.\nCONCLUSION: Iron loading of hepatocytes leads to impaired replication, stimulating the development of the DR in hemochromatosis and this correlates strongly with hepatic fibrosis. Portal inflammation occurs in hemochromatosis and is independently associated with the DR and fibrosis, and thus its role in this disease should be evaluated further.","DOI":"10.1002/hep.26706","ISSN":"1527-3350","note":"PMID: 24037895","shortTitle":"Ductular reaction in hereditary hemochromatosis","journalAbbreviation":"Hepatology","language":"eng","author":[{"family":"Wood","given":"Marnie J."},{"family":"Gadd","given":"Victoria L."},{"family":"Powell","given":"Lawrie W."},{"family":"Ramm","given":"Grant A."},{"family":"Clouston","given":"Andrew D."}],"issued":{"date-parts":[["2014",3]]}}}],"schema":"https://github.com/citation-style-language/schema/raw/master/csl-citation.json"} </w:instrText>
      </w:r>
      <w:r w:rsidR="00DD5AF8" w:rsidRPr="007F5A49">
        <w:rPr>
          <w:rFonts w:ascii="Book Antiqua" w:eastAsia="Times New Roman" w:hAnsi="Book Antiqua" w:cs="Arial"/>
          <w:sz w:val="24"/>
          <w:szCs w:val="24"/>
          <w:vertAlign w:val="superscript"/>
          <w:lang w:val="en-US"/>
        </w:rPr>
        <w:fldChar w:fldCharType="separate"/>
      </w:r>
      <w:r w:rsidR="008B672A"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26</w:t>
      </w:r>
      <w:r w:rsidR="00DD5AF8" w:rsidRPr="007F5A49">
        <w:rPr>
          <w:rFonts w:ascii="Book Antiqua" w:eastAsia="Times New Roman" w:hAnsi="Book Antiqua" w:cs="Arial"/>
          <w:sz w:val="24"/>
          <w:szCs w:val="24"/>
          <w:vertAlign w:val="superscript"/>
          <w:lang w:val="en-US"/>
        </w:rPr>
        <w:fldChar w:fldCharType="end"/>
      </w:r>
      <w:r w:rsidR="008B672A" w:rsidRPr="007F5A49">
        <w:rPr>
          <w:rFonts w:ascii="Book Antiqua" w:eastAsia="Times New Roman" w:hAnsi="Book Antiqua" w:cs="Arial"/>
          <w:sz w:val="24"/>
          <w:szCs w:val="24"/>
          <w:vertAlign w:val="superscript"/>
          <w:lang w:val="en-US"/>
        </w:rPr>
        <w:t>]</w:t>
      </w:r>
      <w:r>
        <w:rPr>
          <w:rFonts w:ascii="Book Antiqua" w:eastAsia="Times New Roman" w:hAnsi="Book Antiqua" w:cs="Arial"/>
          <w:sz w:val="24"/>
          <w:szCs w:val="24"/>
          <w:lang w:val="en-US"/>
        </w:rPr>
        <w:t xml:space="preserve">. Wood </w:t>
      </w:r>
      <w:r w:rsidRPr="008E1EBB">
        <w:rPr>
          <w:rFonts w:ascii="Book Antiqua" w:eastAsia="Times New Roman" w:hAnsi="Book Antiqua" w:cs="Arial"/>
          <w:i/>
          <w:sz w:val="24"/>
          <w:szCs w:val="24"/>
          <w:lang w:val="en-US"/>
        </w:rPr>
        <w:t xml:space="preserve">et </w:t>
      </w:r>
      <w:r w:rsidR="00DD5AF8" w:rsidRPr="008E1EBB">
        <w:rPr>
          <w:rFonts w:ascii="Book Antiqua" w:eastAsia="Times New Roman" w:hAnsi="Book Antiqua" w:cs="Arial"/>
          <w:i/>
          <w:sz w:val="24"/>
          <w:szCs w:val="24"/>
          <w:lang w:val="en-US"/>
        </w:rPr>
        <w:t>al</w:t>
      </w:r>
      <w:r w:rsidRPr="007F5A49">
        <w:rPr>
          <w:rFonts w:ascii="Book Antiqua" w:hAnsi="Book Antiqua" w:cs="Arial"/>
          <w:sz w:val="24"/>
          <w:szCs w:val="24"/>
          <w:vertAlign w:val="superscript"/>
          <w:lang w:val="en-US"/>
        </w:rPr>
        <w:fldChar w:fldCharType="begin"/>
      </w:r>
      <w:r w:rsidRPr="007F5A49">
        <w:rPr>
          <w:rFonts w:ascii="Book Antiqua" w:hAnsi="Book Antiqua" w:cs="Arial"/>
          <w:sz w:val="24"/>
          <w:szCs w:val="24"/>
          <w:vertAlign w:val="superscript"/>
          <w:lang w:val="en-US"/>
        </w:rPr>
        <w:instrText xml:space="preserve"> ADDIN ZOTERO_ITEM CSL_CITATION {"citationID":"apcuhn45lr","properties":{"formattedCitation":"(27)","plainCitation":"(27)","noteIndex":0},"citationItems":[{"id":"z1PZoHrb/Kb12MN0t","uris":["http://zotero.org/users/4222068/items/QCPTLXI7"],"uri":["http://zotero.org/users/4222068/items/QCPTLXI7"],"itemData":{"id":1694,"type":"article-journal","title":"Hepatic macrophages in liver fibrosis: pathogenesis and potential therapeutic targets","container-title":"BMJ open gastroenterology","page":"e000079","volume":"3","issue":"1","source":"PubMed","abstract":"Hepatic macrophages account for the largest non-parenchymal cell population in the liver. Recent studies have found that hepatic macrophages have different functions in different stages of experimental liver fibrosis. Some studies found that there are different types of hepatic macrophages in the liver, although others have suggested that hepatic macrophages could switch to different phenotypes in different environments. Many studies demonstrated that while hepatic macrophages promoted fibrosis through the recruitment of proinflammatory immune cells, and the secretion of proinflammatory cytokines and chemokines in the early stages, these also promoted the resolution of hepatic fibrosis through the secretion of matrix metalloproteinases in the late stages. This article will review the current role played by hepatic macrophages in liver fibrosis and the potential therapeutic targets that modulate hepatic macrophages.","DOI":"10.1136/bmjgast-2016-000079","ISSN":"2054-4774","note":"PMID: 27252881\nPMCID: PMC4885270","shortTitle":"Hepatic macrophages in liver fibrosis","journalAbbreviation":"BMJ Open Gastroenterol","language":"eng","author":[{"family":"Li","given":"Hai"},{"family":"You","given":"Hong"},{"family":"Fan","given":"Xu"},{"family":"Jia","given":"Jidong"}],"issued":{"date-parts":[["2016"]]}}}],"schema":"https://github.com/citation-style-language/schema/raw/master/csl-citation.json"} </w:instrText>
      </w:r>
      <w:r w:rsidRPr="007F5A49">
        <w:rPr>
          <w:rFonts w:ascii="Book Antiqua" w:hAnsi="Book Antiqua" w:cs="Arial"/>
          <w:sz w:val="24"/>
          <w:szCs w:val="24"/>
          <w:vertAlign w:val="superscript"/>
          <w:lang w:val="en-US"/>
        </w:rPr>
        <w:fldChar w:fldCharType="separate"/>
      </w:r>
      <w:r w:rsidRPr="007F5A49">
        <w:rPr>
          <w:rFonts w:ascii="Book Antiqua" w:hAnsi="Book Antiqua"/>
          <w:sz w:val="24"/>
          <w:szCs w:val="24"/>
          <w:vertAlign w:val="superscript"/>
          <w:lang w:val="en-US"/>
        </w:rPr>
        <w:t>[27</w:t>
      </w:r>
      <w:r w:rsidRPr="007F5A49">
        <w:rPr>
          <w:rFonts w:ascii="Book Antiqua" w:hAnsi="Book Antiqua" w:cs="Arial"/>
          <w:sz w:val="24"/>
          <w:szCs w:val="24"/>
          <w:vertAlign w:val="superscript"/>
          <w:lang w:val="en-US"/>
        </w:rPr>
        <w:fldChar w:fldCharType="end"/>
      </w:r>
      <w:r w:rsidRPr="007F5A49">
        <w:rPr>
          <w:rFonts w:ascii="Book Antiqua" w:hAnsi="Book Antiqua" w:cs="Arial"/>
          <w:sz w:val="24"/>
          <w:szCs w:val="24"/>
          <w:vertAlign w:val="superscript"/>
          <w:lang w:val="en-US"/>
        </w:rPr>
        <w:t>]</w:t>
      </w:r>
      <w:r w:rsidR="00DD5AF8" w:rsidRPr="007F5A49">
        <w:rPr>
          <w:rFonts w:ascii="Book Antiqua" w:eastAsia="Times New Roman" w:hAnsi="Book Antiqua" w:cs="Arial"/>
          <w:sz w:val="24"/>
          <w:szCs w:val="24"/>
          <w:lang w:val="en-US"/>
        </w:rPr>
        <w:t xml:space="preserve"> observed that in hereditary haemochromatosis, hepatocyte senescence positively correlated with LIC, serum ferritin and oxidative stress. In the </w:t>
      </w:r>
      <w:r w:rsidR="00DD5AF8" w:rsidRPr="007F5A49">
        <w:rPr>
          <w:rFonts w:ascii="Book Antiqua" w:hAnsi="Book Antiqua" w:cs="Arial"/>
          <w:sz w:val="24"/>
          <w:szCs w:val="24"/>
          <w:lang w:val="en-US"/>
        </w:rPr>
        <w:t>Kupffer cells (largest non-parenchymal cell population in liver), iron deposition causes the secretion of proinflammatory cytokines and thereby promotes fibrosis. Interestingly, phagocytosis of necrotic hepatocytes promotes a pro-inflammatory/pro-fibrotic environment, whereas phagocytosis of collagen-producing cells promotes anti-inflammatory/anti-fibrotic environment. Thus, Kupffer cells play opposing roles; in the progression and regression of liver fibrosis, likely in the early and later stages of fibrosis, respectively</w:t>
      </w:r>
      <w:r w:rsidR="00DD5AF8" w:rsidRPr="007F5A49">
        <w:rPr>
          <w:rFonts w:ascii="Book Antiqua" w:eastAsia="Times New Roman" w:hAnsi="Book Antiqua" w:cs="Arial"/>
          <w:sz w:val="24"/>
          <w:szCs w:val="24"/>
          <w:lang w:val="en-US"/>
        </w:rPr>
        <w:t>.</w:t>
      </w:r>
    </w:p>
    <w:p w14:paraId="4F455747" w14:textId="57B6F292" w:rsidR="002B7BBC" w:rsidRPr="007F5A49" w:rsidRDefault="008E1EBB" w:rsidP="007F5A49">
      <w:pPr>
        <w:adjustRightInd w:val="0"/>
        <w:snapToGrid w:val="0"/>
        <w:spacing w:after="0" w:line="360" w:lineRule="auto"/>
        <w:jc w:val="both"/>
        <w:rPr>
          <w:rFonts w:ascii="Book Antiqua" w:hAnsi="Book Antiqua" w:cs="Arial"/>
          <w:sz w:val="24"/>
          <w:szCs w:val="24"/>
          <w:lang w:val="en-US"/>
        </w:rPr>
      </w:pPr>
      <w:r>
        <w:rPr>
          <w:rFonts w:ascii="Book Antiqua" w:hAnsi="Book Antiqua" w:cs="Arial"/>
          <w:sz w:val="24"/>
          <w:szCs w:val="24"/>
          <w:lang w:val="en-US"/>
        </w:rPr>
        <w:t xml:space="preserve">  </w:t>
      </w:r>
      <w:r w:rsidR="00F46B51" w:rsidRPr="007F5A49">
        <w:rPr>
          <w:rFonts w:ascii="Book Antiqua" w:hAnsi="Book Antiqua" w:cs="Arial"/>
          <w:sz w:val="24"/>
          <w:szCs w:val="24"/>
          <w:lang w:val="en-US"/>
        </w:rPr>
        <w:t>Essentially, t</w:t>
      </w:r>
      <w:r w:rsidR="007B5ABF" w:rsidRPr="007F5A49">
        <w:rPr>
          <w:rFonts w:ascii="Book Antiqua" w:hAnsi="Book Antiqua" w:cs="Arial"/>
          <w:sz w:val="24"/>
          <w:szCs w:val="24"/>
          <w:lang w:val="en-US"/>
        </w:rPr>
        <w:t xml:space="preserve">hese cells collectively produce a pool of </w:t>
      </w:r>
      <w:r w:rsidR="00106590" w:rsidRPr="007F5A49">
        <w:rPr>
          <w:rFonts w:ascii="Book Antiqua" w:hAnsi="Book Antiqua" w:cs="Arial"/>
          <w:sz w:val="24"/>
          <w:szCs w:val="24"/>
          <w:lang w:val="en-US"/>
        </w:rPr>
        <w:t xml:space="preserve">elevated levels of </w:t>
      </w:r>
      <w:r w:rsidR="004C0491" w:rsidRPr="007F5A49">
        <w:rPr>
          <w:rFonts w:ascii="Book Antiqua" w:hAnsi="Book Antiqua" w:cs="Arial"/>
          <w:sz w:val="24"/>
          <w:szCs w:val="24"/>
          <w:lang w:val="en-US"/>
        </w:rPr>
        <w:t xml:space="preserve">proliferative, </w:t>
      </w:r>
      <w:r w:rsidR="007B5ABF" w:rsidRPr="007F5A49">
        <w:rPr>
          <w:rFonts w:ascii="Book Antiqua" w:eastAsia="Times New Roman" w:hAnsi="Book Antiqua" w:cs="Arial"/>
          <w:sz w:val="24"/>
          <w:szCs w:val="24"/>
          <w:lang w:val="en-US"/>
        </w:rPr>
        <w:t>proinflammatory</w:t>
      </w:r>
      <w:r w:rsidR="00C50DD3" w:rsidRPr="007F5A49">
        <w:rPr>
          <w:rFonts w:ascii="Book Antiqua" w:eastAsia="Times New Roman" w:hAnsi="Book Antiqua" w:cs="Arial"/>
          <w:sz w:val="24"/>
          <w:szCs w:val="24"/>
          <w:lang w:val="en-US"/>
        </w:rPr>
        <w:t xml:space="preserve"> and </w:t>
      </w:r>
      <w:r w:rsidR="00C50DD3" w:rsidRPr="007F5A49">
        <w:rPr>
          <w:rFonts w:ascii="Book Antiqua" w:hAnsi="Book Antiqua" w:cs="Arial"/>
          <w:sz w:val="24"/>
          <w:szCs w:val="24"/>
          <w:lang w:val="en-US"/>
        </w:rPr>
        <w:t xml:space="preserve">profibrogenic </w:t>
      </w:r>
      <w:r w:rsidR="007B5ABF" w:rsidRPr="007F5A49">
        <w:rPr>
          <w:rFonts w:ascii="Book Antiqua" w:eastAsia="Times New Roman" w:hAnsi="Book Antiqua" w:cs="Arial"/>
          <w:sz w:val="24"/>
          <w:szCs w:val="24"/>
          <w:lang w:val="en-US"/>
        </w:rPr>
        <w:t xml:space="preserve">mediators including </w:t>
      </w:r>
      <w:r w:rsidR="007B5ABF" w:rsidRPr="007F5A49">
        <w:rPr>
          <w:rFonts w:ascii="Book Antiqua" w:hAnsi="Book Antiqua" w:cs="Arial"/>
          <w:sz w:val="24"/>
          <w:szCs w:val="24"/>
          <w:lang w:val="en-US"/>
        </w:rPr>
        <w:t>TGF-β</w:t>
      </w:r>
      <w:r w:rsidR="007B5ABF"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XJkuqLz0","properties":{"formattedCitation":"(1,28)","plainCitation":"(1,28)","noteIndex":0},"citationItems":[{"id":33,"uris":["http://zotero.org/users/2804724/items/UC5NJTTQ"],"uri":["http://zotero.org/users/2804724/items/UC5NJTTQ"],"itemData":{"id":33,"type":"article-journal","title":"TGF-β in progression of liver disease","container-title":"Cell and Tissue Research","page":"245-256","volume":"347","issue":"1","source":"PubMed Central","abstract":"Transforming growth factor-β (TGF-β) is a central regulator in chronic liver disease contributing to all stages of disease progression from initial liver injury through inflammation and fibrosis to cirrhosis and hepatocellular carcinoma. Liver-damage-induced levels of active TGF-β enhance hepatocyte destruction and mediate hepatic stellate cell and fibroblast activation resulting in a wound-healing response, including myofibroblast generation and extracellular matrix deposition. Being recognised as a major profibrogenic cytokine, the targeting of the TGF-β signalling pathway has been explored with respect to the inhibition of liver disease progression. Whereas interference with TGF-β signalling in various short-term animal models has provided promising results, liver disease progression in humans is a process of decades with different phases in which TGF-β or its targeting might have both beneficial and adverse outcomes. Based on recent literature, we summarise the cell-type-directed double-edged role of TGF-β in various liver disease stages. We emphasise that, in order to achieve therapeutic effects, we need to target TGF-β signalling in the right cell type at the right time.","DOI":"10.1007/s00441-011-1246-y","ISSN":"0302-766X","note":"PMID: 22006249\nPMCID: PMC3250614","journalAbbreviation":"Cell Tissue Res","author":[{"family":"Dooley","given":"Steven"},{"family":"Dijke","given":"Peter","non-dropping-particle":"ten"}],"issued":{"date-parts":[["2012",1]]}}},{"id":34,"uris":["http://zotero.org/users/2804724/items/A5X8IU3N"],"uri":["http://zotero.org/users/2804724/items/A5X8IU3N"],"itemData":{"id":34,"type":"article-journal","title":"Mechanisms of Hepatic Fibrogenesis","container-title":"Best practice &amp; research. Clinical gastroenterology","page":"195-206","volume":"25","issue":"2","source":"PubMed Central","abstract":"Multiple etiologies of liver disease lead to liver fibrosis through integrated signaling networks that regulate the deposition of extracellular matrix. This cascade of responses drives the activation of hepatic stellate cell (HSC) into a myofibroblast like phenotype that is contractile, proliferative and fibrogenic. Collagen and other extracellular matrix (ECM) components are deposited as the liver generates a wound healing response to encapsulate injury. Sustained fibrogenesis leads to cirrhosis, characterized by a distortion of the liver parenchyma and vascular architecture. Uncovering the intricate mechanisms that underlie liver fibrogenesis forms the basis for efforts to develop targeted therapies to reverse the fibrotic response and improve the outcomes of patients with chronic liver disease.","DOI":"10.1016/j.bpg.2011.02.005","ISSN":"1521-6918","note":"PMID: 21497738\nPMCID: PMC3079877","journalAbbreviation":"Best Pract Res Clin Gastroenterol","author":[{"family":"Lee","given":"Ursula E."},{"family":"Friedman","given":"Scott L."}],"issued":{"date-parts":[["2011",4]]}}}],"schema":"https://github.com/citation-style-language/schema/raw/master/csl-citation.json"} </w:instrText>
      </w:r>
      <w:r w:rsidR="007B5ABF" w:rsidRPr="007F5A49">
        <w:rPr>
          <w:rFonts w:ascii="Book Antiqua" w:hAnsi="Book Antiqua" w:cs="Arial"/>
          <w:sz w:val="24"/>
          <w:szCs w:val="24"/>
          <w:vertAlign w:val="superscript"/>
          <w:lang w:val="en-US"/>
        </w:rPr>
        <w:fldChar w:fldCharType="separate"/>
      </w:r>
      <w:r w:rsidR="00B32923"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1,28</w:t>
      </w:r>
      <w:r w:rsidR="007B5ABF" w:rsidRPr="007F5A49">
        <w:rPr>
          <w:rFonts w:ascii="Book Antiqua" w:hAnsi="Book Antiqua" w:cs="Arial"/>
          <w:sz w:val="24"/>
          <w:szCs w:val="24"/>
          <w:vertAlign w:val="superscript"/>
          <w:lang w:val="en-US"/>
        </w:rPr>
        <w:fldChar w:fldCharType="end"/>
      </w:r>
      <w:r w:rsidR="00B32923" w:rsidRPr="007F5A49">
        <w:rPr>
          <w:rFonts w:ascii="Book Antiqua" w:hAnsi="Book Antiqua" w:cs="Arial"/>
          <w:sz w:val="24"/>
          <w:szCs w:val="24"/>
          <w:vertAlign w:val="superscript"/>
          <w:lang w:val="en-US"/>
        </w:rPr>
        <w:t>]</w:t>
      </w:r>
      <w:r w:rsidR="00E67CF4" w:rsidRPr="007F5A49">
        <w:rPr>
          <w:rFonts w:ascii="Book Antiqua" w:hAnsi="Book Antiqua" w:cs="Arial"/>
          <w:sz w:val="24"/>
          <w:szCs w:val="24"/>
          <w:lang w:val="en-US"/>
        </w:rPr>
        <w:t xml:space="preserve"> (</w:t>
      </w:r>
      <w:r>
        <w:rPr>
          <w:rFonts w:ascii="Book Antiqua" w:hAnsi="Book Antiqua" w:cs="Arial"/>
          <w:sz w:val="24"/>
          <w:szCs w:val="24"/>
          <w:lang w:val="en-US"/>
        </w:rPr>
        <w:t>Figure</w:t>
      </w:r>
      <w:r w:rsidR="00E67CF4" w:rsidRPr="007F5A49">
        <w:rPr>
          <w:rFonts w:ascii="Book Antiqua" w:hAnsi="Book Antiqua" w:cs="Arial"/>
          <w:sz w:val="24"/>
          <w:szCs w:val="24"/>
          <w:lang w:val="en-US"/>
        </w:rPr>
        <w:t xml:space="preserve"> 1)</w:t>
      </w:r>
      <w:r w:rsidR="00961075" w:rsidRPr="007F5A49">
        <w:rPr>
          <w:rFonts w:ascii="Book Antiqua" w:hAnsi="Book Antiqua" w:cs="Arial"/>
          <w:sz w:val="24"/>
          <w:szCs w:val="24"/>
          <w:lang w:val="en-US"/>
        </w:rPr>
        <w:t>.</w:t>
      </w:r>
      <w:r w:rsidR="004D03DF" w:rsidRPr="007F5A49">
        <w:rPr>
          <w:rFonts w:ascii="Book Antiqua" w:hAnsi="Book Antiqua" w:cs="Arial"/>
          <w:sz w:val="24"/>
          <w:szCs w:val="24"/>
          <w:lang w:val="en-US"/>
        </w:rPr>
        <w:t xml:space="preserve"> </w:t>
      </w:r>
      <w:r w:rsidR="00254FD4" w:rsidRPr="007F5A49">
        <w:rPr>
          <w:rFonts w:ascii="Book Antiqua" w:hAnsi="Book Antiqua" w:cs="Arial"/>
          <w:sz w:val="24"/>
          <w:szCs w:val="24"/>
          <w:lang w:val="en-US"/>
        </w:rPr>
        <w:t xml:space="preserve">While </w:t>
      </w:r>
      <w:r w:rsidR="004D03DF" w:rsidRPr="007F5A49">
        <w:rPr>
          <w:rFonts w:ascii="Book Antiqua" w:hAnsi="Book Antiqua" w:cs="Arial"/>
          <w:sz w:val="24"/>
          <w:szCs w:val="24"/>
          <w:lang w:val="en-US"/>
        </w:rPr>
        <w:t xml:space="preserve">TGF-β </w:t>
      </w:r>
      <w:r w:rsidR="007B5ABF" w:rsidRPr="007F5A49">
        <w:rPr>
          <w:rFonts w:ascii="Book Antiqua" w:hAnsi="Book Antiqua" w:cs="Arial"/>
          <w:sz w:val="24"/>
          <w:szCs w:val="24"/>
          <w:lang w:val="en-US"/>
        </w:rPr>
        <w:t>ensures a self-sustained HSC-alteration to ECM-producing myofibroblasts</w:t>
      </w:r>
      <w:r w:rsidR="007B5ABF"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2fq4vgrab9","properties":{"formattedCitation":"(17)","plainCitation":"(17)","noteIndex":0},"citationItems":[{"id":427,"uris":["http://zotero.org/users/2804724/items/DU3KQ5EH"],"uri":["http://zotero.org/users/2804724/items/DU3KQ5EH"],"itemData":{"id":427,"type":"article-journal","title":"Role of iron in hepatic fibrosis: one piece in the puzzle","container-title":"World Journal of Gastroenterology","page":"4746-4754","volume":"13","issue":"35","source":"PubMed","abstract":"Iron is an essential element involved in various biological pathways. When present in excess within the cell, iron can be toxic due to its ability to catalyse the formation of damaging radicals, which promote cellular injury and cell death. Within the liver, iron related oxidative stress can lead to fibrosis and ultimately to cirrhosis. Here we review the role of excessive iron in the pathologies associated with various chronic diseases of the liver. We also describe the molecular mechanism by which iron contributes to the development of hepatic fibrosis.","ISSN":"1007-9327","note":"PMID: 17729396\nPMCID: PMC4611196","shortTitle":"Role of iron in hepatic fibrosis","journalAbbreviation":"World J. Gastroenterol.","language":"eng","author":[{"family":"Philippe","given":"Marie-A."},{"family":"Ruddell","given":"Richard-G."},{"family":"Ramm","given":"Grant-A."}],"issued":{"date-parts":[["2007",9,21]]}}}],"schema":"https://github.com/citation-style-language/schema/raw/master/csl-citation.json"} </w:instrText>
      </w:r>
      <w:r w:rsidR="007B5ABF" w:rsidRPr="007F5A49">
        <w:rPr>
          <w:rFonts w:ascii="Book Antiqua" w:hAnsi="Book Antiqua" w:cs="Arial"/>
          <w:sz w:val="24"/>
          <w:szCs w:val="24"/>
          <w:vertAlign w:val="superscript"/>
          <w:lang w:val="en-US"/>
        </w:rPr>
        <w:fldChar w:fldCharType="separate"/>
      </w:r>
      <w:r w:rsidR="00B32923"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17</w:t>
      </w:r>
      <w:r w:rsidR="007B5ABF" w:rsidRPr="007F5A49">
        <w:rPr>
          <w:rFonts w:ascii="Book Antiqua" w:hAnsi="Book Antiqua" w:cs="Arial"/>
          <w:sz w:val="24"/>
          <w:szCs w:val="24"/>
          <w:vertAlign w:val="superscript"/>
          <w:lang w:val="en-US"/>
        </w:rPr>
        <w:fldChar w:fldCharType="end"/>
      </w:r>
      <w:r w:rsidR="00B32923" w:rsidRPr="007F5A49">
        <w:rPr>
          <w:rFonts w:ascii="Book Antiqua" w:hAnsi="Book Antiqua" w:cs="Arial"/>
          <w:sz w:val="24"/>
          <w:szCs w:val="24"/>
          <w:vertAlign w:val="superscript"/>
          <w:lang w:val="en-US"/>
        </w:rPr>
        <w:t>]</w:t>
      </w:r>
      <w:r w:rsidR="00254FD4" w:rsidRPr="007F5A49">
        <w:rPr>
          <w:rFonts w:ascii="Book Antiqua" w:hAnsi="Book Antiqua" w:cs="Arial"/>
          <w:sz w:val="24"/>
          <w:szCs w:val="24"/>
          <w:lang w:val="en-US"/>
        </w:rPr>
        <w:t xml:space="preserve">, </w:t>
      </w:r>
      <w:r w:rsidR="00961075" w:rsidRPr="007F5A49">
        <w:rPr>
          <w:rFonts w:ascii="Book Antiqua" w:hAnsi="Book Antiqua" w:cs="Arial"/>
          <w:sz w:val="24"/>
          <w:szCs w:val="24"/>
          <w:lang w:val="en-US"/>
        </w:rPr>
        <w:t xml:space="preserve">other </w:t>
      </w:r>
      <w:r w:rsidR="007B5ABF" w:rsidRPr="007F5A49">
        <w:rPr>
          <w:rFonts w:ascii="Book Antiqua" w:hAnsi="Book Antiqua" w:cs="Arial"/>
          <w:sz w:val="24"/>
          <w:szCs w:val="24"/>
          <w:lang w:val="en-US"/>
        </w:rPr>
        <w:t xml:space="preserve">factors </w:t>
      </w:r>
      <w:r w:rsidR="00106590" w:rsidRPr="007F5A49">
        <w:rPr>
          <w:rFonts w:ascii="Book Antiqua" w:hAnsi="Book Antiqua" w:cs="Arial"/>
          <w:sz w:val="24"/>
          <w:szCs w:val="24"/>
          <w:lang w:val="en-US"/>
        </w:rPr>
        <w:t>sensitize</w:t>
      </w:r>
      <w:r w:rsidR="007B5ABF" w:rsidRPr="007F5A49">
        <w:rPr>
          <w:rFonts w:ascii="Book Antiqua" w:hAnsi="Book Antiqua" w:cs="Arial"/>
          <w:sz w:val="24"/>
          <w:szCs w:val="24"/>
          <w:lang w:val="en-US"/>
        </w:rPr>
        <w:t xml:space="preserve"> the hepatocytes to produce more proinflammatory factors causing </w:t>
      </w:r>
      <w:r w:rsidR="007E40E5" w:rsidRPr="007F5A49">
        <w:rPr>
          <w:rFonts w:ascii="Book Antiqua" w:hAnsi="Book Antiqua" w:cs="Arial"/>
          <w:sz w:val="24"/>
          <w:szCs w:val="24"/>
          <w:lang w:val="en-US"/>
        </w:rPr>
        <w:t xml:space="preserve">liver inflammation, as </w:t>
      </w:r>
      <w:r w:rsidR="007B5ABF" w:rsidRPr="007F5A49">
        <w:rPr>
          <w:rFonts w:ascii="Book Antiqua" w:hAnsi="Book Antiqua" w:cs="Arial"/>
          <w:sz w:val="24"/>
          <w:szCs w:val="24"/>
          <w:lang w:val="en-US"/>
        </w:rPr>
        <w:t>seen in haemochromatosis patients</w:t>
      </w:r>
      <w:r w:rsidR="007B5ABF"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EQWJhPUA","properties":{"formattedCitation":"(29)","plainCitation":"(29)","noteIndex":0},"citationItems":[{"id":73,"uris":["http://zotero.org/users/2804724/items/6MQWQWT2"],"uri":["http://zotero.org/users/2804724/items/6MQWQWT2"],"itemData":{"id":73,"type":"article-journal","title":"Excess iron induces hepatic oxidative stress and transforming growth factor β1 in genetic hemochromatosis","container-title":"Hepatology","page":"605-610","volume":"26","issue":"3","source":"onlinelibrary.wiley.com","DOI":"10.1002/hep.510260311","ISSN":"1527-3350","language":"en","author":[{"family":"Houglum","given":"K."},{"family":"Ramm","given":"G. A."},{"family":"Crawford","given":"D. H."},{"family":"Witztum","given":"J. L."},{"family":"Powell","given":"L. W."},{"family":"Chojkier","given":"M."}],"issued":{"date-parts":[["1997",9,1]]}}}],"schema":"https://github.com/citation-style-language/schema/raw/master/csl-citation.json"} </w:instrText>
      </w:r>
      <w:r w:rsidR="007B5ABF" w:rsidRPr="007F5A49">
        <w:rPr>
          <w:rFonts w:ascii="Book Antiqua" w:hAnsi="Book Antiqua" w:cs="Arial"/>
          <w:sz w:val="24"/>
          <w:szCs w:val="24"/>
          <w:vertAlign w:val="superscript"/>
          <w:lang w:val="en-US"/>
        </w:rPr>
        <w:fldChar w:fldCharType="separate"/>
      </w:r>
      <w:r w:rsidR="00B32923"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29</w:t>
      </w:r>
      <w:r w:rsidR="007B5ABF" w:rsidRPr="007F5A49">
        <w:rPr>
          <w:rFonts w:ascii="Book Antiqua" w:hAnsi="Book Antiqua" w:cs="Arial"/>
          <w:sz w:val="24"/>
          <w:szCs w:val="24"/>
          <w:vertAlign w:val="superscript"/>
          <w:lang w:val="en-US"/>
        </w:rPr>
        <w:fldChar w:fldCharType="end"/>
      </w:r>
      <w:r w:rsidR="00B32923" w:rsidRPr="007F5A49">
        <w:rPr>
          <w:rFonts w:ascii="Book Antiqua" w:hAnsi="Book Antiqua" w:cs="Arial"/>
          <w:sz w:val="24"/>
          <w:szCs w:val="24"/>
          <w:vertAlign w:val="superscript"/>
          <w:lang w:val="en-US"/>
        </w:rPr>
        <w:t>]</w:t>
      </w:r>
      <w:r w:rsidR="007E40E5" w:rsidRPr="007F5A49">
        <w:rPr>
          <w:rFonts w:ascii="Book Antiqua" w:hAnsi="Book Antiqua" w:cs="Arial"/>
          <w:sz w:val="24"/>
          <w:szCs w:val="24"/>
          <w:lang w:val="en-US"/>
        </w:rPr>
        <w:t xml:space="preserve">. This provokes </w:t>
      </w:r>
      <w:r w:rsidR="006F6678" w:rsidRPr="007F5A49">
        <w:rPr>
          <w:rFonts w:ascii="Book Antiqua" w:hAnsi="Book Antiqua" w:cs="Arial"/>
          <w:sz w:val="24"/>
          <w:szCs w:val="24"/>
          <w:lang w:val="en-US"/>
        </w:rPr>
        <w:t>early HSC-activation in areas of liver that are remote from regions of heavy iron-loading</w:t>
      </w:r>
      <w:r w:rsidR="006F6678"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ggerdj2d8","properties":{"formattedCitation":"(21)","plainCitation":"(21)","noteIndex":0},"citationItems":[{"id":"z1PZoHrb/AG5fgrnf","uris":["http://zotero.org/users/4222068/items/83RTUIF4"],"uri":["http://zotero.org/users/4222068/items/83RTUIF4"],"itemData":{"id":1172,"type":"article-journal","title":"Hepatic stellate cell activation in genetic haemochromatosis. Lobular distribution, effect of increasing hepatic iron and response to phlebotomy","container-title":"Journal of Hepatology","page":"584-592","volume":"26","issue":"3","source":"PubMed","abstract":"BACKGROUND/AIMS: Activated hepatic stellate cells produce increased levels of collagen in animal models of chronic iron overload; however, their role in human genetic haemochromatosis is unknown. This study examined the relationship between hepatic iron concentration and hepatic stellate cell activation in genetic haemochromatosis.\nMETHODS: Liver biopsies from 75 patients (55 with haemochromatosis, 14 haemochromatosis patients both pre- and post-phlebotomy and six non iron-loaded disease control subjects) were stained for iron using Perls' Prussian Blue. Thirty biopsies in which there was no evidence of either steatosis or inflammation were subjected to immunohistochemistry for alpha-smooth muscle actin and desmin and counterstained for iron. Forty-five biopsies demonstrated either steatosis or inflammation, in addition to excess iron.\nRESULTS: Stellate cells were identified by light microscopy as perisinusoidal cells containing numerous intracellular fat droplets. alpha-Smooth muscle actin was detected in biopsies with an hepatic iron concentration &gt;60 micromol/g dry weight. Increasing hepatic iron concentration and hepatic iron index correlated with an increase in alpha-smooth muscle actin expression (r=0.81 and 0.72, respectively). Phlebotomy resulted in a significant decrease in alpha-smooth muscle actin expression. In early disease prior to histological evidence of collagen deposition, whilst activated stellate cells were located in Zone 1, greater numbers were found in Zones 2 and 3 distal to the region of heaviest iron overload.\nCONCLUSIONS: This study has demonstrated for the first time in humans a correlation between hepatic iron concentration and stellate cell activation in haemochromatosis, which is reversed by iron removal. Humoral factors from either iron-loaded hepatocytes or activated Kupffer cells may be responsible for early stellate cell activation in areas of the liver remote from heavy iron loading.","ISSN":"0168-8278","note":"PMID: 9075666","journalAbbreviation":"J. Hepatol.","language":"eng","author":[{"family":"Ramm","given":"G. A."},{"family":"Crawford","given":"D. H."},{"family":"Powell","given":"L. W."},{"family":"Walker","given":"N. I."},{"family":"Fletcher","given":"L. M."},{"family":"Halliday","given":"J. W."}],"issued":{"date-parts":[["1997",3]]}}}],"schema":"https://github.com/citation-style-language/schema/raw/master/csl-citation.json"} </w:instrText>
      </w:r>
      <w:r w:rsidR="006F6678" w:rsidRPr="007F5A49">
        <w:rPr>
          <w:rFonts w:ascii="Book Antiqua" w:hAnsi="Book Antiqua" w:cs="Arial"/>
          <w:sz w:val="24"/>
          <w:szCs w:val="24"/>
          <w:vertAlign w:val="superscript"/>
          <w:lang w:val="en-US"/>
        </w:rPr>
        <w:fldChar w:fldCharType="separate"/>
      </w:r>
      <w:r w:rsidR="00B32923"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21</w:t>
      </w:r>
      <w:r w:rsidR="006F6678" w:rsidRPr="007F5A49">
        <w:rPr>
          <w:rFonts w:ascii="Book Antiqua" w:hAnsi="Book Antiqua" w:cs="Arial"/>
          <w:sz w:val="24"/>
          <w:szCs w:val="24"/>
          <w:vertAlign w:val="superscript"/>
          <w:lang w:val="en-US"/>
        </w:rPr>
        <w:fldChar w:fldCharType="end"/>
      </w:r>
      <w:r w:rsidR="00B32923" w:rsidRPr="007F5A49">
        <w:rPr>
          <w:rFonts w:ascii="Book Antiqua" w:hAnsi="Book Antiqua" w:cs="Arial"/>
          <w:sz w:val="24"/>
          <w:szCs w:val="24"/>
          <w:vertAlign w:val="superscript"/>
          <w:lang w:val="en-US"/>
        </w:rPr>
        <w:t>]</w:t>
      </w:r>
      <w:r w:rsidR="007B5ABF" w:rsidRPr="007F5A49">
        <w:rPr>
          <w:rFonts w:ascii="Book Antiqua" w:hAnsi="Book Antiqua" w:cs="Arial"/>
          <w:sz w:val="24"/>
          <w:szCs w:val="24"/>
          <w:lang w:val="en-US"/>
        </w:rPr>
        <w:t xml:space="preserve"> </w:t>
      </w:r>
      <w:r w:rsidR="00961075" w:rsidRPr="007F5A49">
        <w:rPr>
          <w:rFonts w:ascii="Book Antiqua" w:hAnsi="Book Antiqua" w:cs="Arial"/>
          <w:sz w:val="24"/>
          <w:szCs w:val="24"/>
          <w:lang w:val="en-US"/>
        </w:rPr>
        <w:t xml:space="preserve">and </w:t>
      </w:r>
      <w:r w:rsidR="002B7BBC" w:rsidRPr="007F5A49">
        <w:rPr>
          <w:rFonts w:ascii="Book Antiqua" w:eastAsia="Times New Roman" w:hAnsi="Book Antiqua" w:cs="Arial"/>
          <w:sz w:val="24"/>
          <w:szCs w:val="24"/>
          <w:lang w:val="en-US"/>
        </w:rPr>
        <w:t xml:space="preserve">cause infiltration of circulating </w:t>
      </w:r>
      <w:r w:rsidR="002B7BBC" w:rsidRPr="007F5A49">
        <w:rPr>
          <w:rFonts w:ascii="Book Antiqua" w:hAnsi="Book Antiqua" w:cs="Arial"/>
          <w:sz w:val="24"/>
          <w:szCs w:val="24"/>
          <w:lang w:val="en-US"/>
        </w:rPr>
        <w:t>immune cells</w:t>
      </w:r>
      <w:r w:rsidR="007E40E5" w:rsidRPr="007F5A49">
        <w:rPr>
          <w:rFonts w:ascii="Book Antiqua" w:hAnsi="Book Antiqua" w:cs="Arial"/>
          <w:sz w:val="24"/>
          <w:szCs w:val="24"/>
          <w:lang w:val="en-US"/>
        </w:rPr>
        <w:t xml:space="preserve">, thereby </w:t>
      </w:r>
      <w:r w:rsidR="00052B30" w:rsidRPr="007F5A49">
        <w:rPr>
          <w:rFonts w:ascii="Book Antiqua" w:hAnsi="Book Antiqua" w:cs="Arial"/>
          <w:sz w:val="24"/>
          <w:szCs w:val="24"/>
          <w:lang w:val="en-US"/>
        </w:rPr>
        <w:t xml:space="preserve">upholding </w:t>
      </w:r>
      <w:r w:rsidR="00254FD4" w:rsidRPr="007F5A49">
        <w:rPr>
          <w:rFonts w:ascii="Book Antiqua" w:hAnsi="Book Antiqua" w:cs="Arial"/>
          <w:sz w:val="24"/>
          <w:szCs w:val="24"/>
          <w:lang w:val="en-US"/>
        </w:rPr>
        <w:t xml:space="preserve">an inflammatory </w:t>
      </w:r>
      <w:r w:rsidR="00052B30" w:rsidRPr="007F5A49">
        <w:rPr>
          <w:rFonts w:ascii="Book Antiqua" w:hAnsi="Book Antiqua" w:cs="Arial"/>
          <w:sz w:val="24"/>
          <w:szCs w:val="24"/>
          <w:lang w:val="en-US"/>
        </w:rPr>
        <w:t>state</w:t>
      </w:r>
      <w:r w:rsidR="002B7BBC" w:rsidRPr="007F5A49">
        <w:rPr>
          <w:rFonts w:ascii="Book Antiqua" w:hAnsi="Book Antiqua" w:cs="Arial"/>
          <w:sz w:val="24"/>
          <w:szCs w:val="24"/>
          <w:lang w:val="en-US"/>
        </w:rPr>
        <w:t>. Such an inflammatory liver microenvironment and overexpression of TGF-β is commonly observed in fibrotic livers</w:t>
      </w:r>
      <w:r w:rsidR="002B7BBC"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T17MVO7p","properties":{"formattedCitation":"(1,28)","plainCitation":"(1,28)","noteIndex":0},"citationItems":[{"id":33,"uris":["http://zotero.org/users/2804724/items/UC5NJTTQ"],"uri":["http://zotero.org/users/2804724/items/UC5NJTTQ"],"itemData":{"id":33,"type":"article-journal","title":"TGF-β in progression of liver disease","container-title":"Cell and Tissue Research","page":"245-256","volume":"347","issue":"1","source":"PubMed Central","abstract":"Transforming growth factor-β (TGF-β) is a central regulator in chronic liver disease contributing to all stages of disease progression from initial liver injury through inflammation and fibrosis to cirrhosis and hepatocellular carcinoma. Liver-damage-induced levels of active TGF-β enhance hepatocyte destruction and mediate hepatic stellate cell and fibroblast activation resulting in a wound-healing response, including myofibroblast generation and extracellular matrix deposition. Being recognised as a major profibrogenic cytokine, the targeting of the TGF-β signalling pathway has been explored with respect to the inhibition of liver disease progression. Whereas interference with TGF-β signalling in various short-term animal models has provided promising results, liver disease progression in humans is a process of decades with different phases in which TGF-β or its targeting might have both beneficial and adverse outcomes. Based on recent literature, we summarise the cell-type-directed double-edged role of TGF-β in various liver disease stages. We emphasise that, in order to achieve therapeutic effects, we need to target TGF-β signalling in the right cell type at the right time.","DOI":"10.1007/s00441-011-1246-y","ISSN":"0302-766X","note":"PMID: 22006249\nPMCID: PMC3250614","journalAbbreviation":"Cell Tissue Res","author":[{"family":"Dooley","given":"Steven"},{"family":"Dijke","given":"Peter","non-dropping-particle":"ten"}],"issued":{"date-parts":[["2012",1]]}}},{"id":34,"uris":["http://zotero.org/users/2804724/items/A5X8IU3N"],"uri":["http://zotero.org/users/2804724/items/A5X8IU3N"],"itemData":{"id":34,"type":"article-journal","title":"Mechanisms of Hepatic Fibrogenesis","container-title":"Best practice &amp; research. Clinical gastroenterology","page":"195-206","volume":"25","issue":"2","source":"PubMed Central","abstract":"Multiple etiologies of liver disease lead to liver fibrosis through integrated signaling networks that regulate the deposition of extracellular matrix. This cascade of responses drives the activation of hepatic stellate cell (HSC) into a myofibroblast like phenotype that is contractile, proliferative and fibrogenic. Collagen and other extracellular matrix (ECM) components are deposited as the liver generates a wound healing response to encapsulate injury. Sustained fibrogenesis leads to cirrhosis, characterized by a distortion of the liver parenchyma and vascular architecture. Uncovering the intricate mechanisms that underlie liver fibrogenesis forms the basis for efforts to develop targeted therapies to reverse the fibrotic response and improve the outcomes of patients with chronic liver disease.","DOI":"10.1016/j.bpg.2011.02.005","ISSN":"1521-6918","note":"PMID: 21497738\nPMCID: PMC3079877","journalAbbreviation":"Best Pract Res Clin Gastroenterol","author":[{"family":"Lee","given":"Ursula E."},{"family":"Friedman","given":"Scott L."}],"issued":{"date-parts":[["2011",4]]}}}],"schema":"https://github.com/citation-style-language/schema/raw/master/csl-citation.json"} </w:instrText>
      </w:r>
      <w:r w:rsidR="002B7BBC" w:rsidRPr="007F5A49">
        <w:rPr>
          <w:rFonts w:ascii="Book Antiqua" w:hAnsi="Book Antiqua" w:cs="Arial"/>
          <w:sz w:val="24"/>
          <w:szCs w:val="24"/>
          <w:vertAlign w:val="superscript"/>
          <w:lang w:val="en-US"/>
        </w:rPr>
        <w:fldChar w:fldCharType="separate"/>
      </w:r>
      <w:r w:rsidR="00B32923"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1,28</w:t>
      </w:r>
      <w:r w:rsidR="002B7BBC" w:rsidRPr="007F5A49">
        <w:rPr>
          <w:rFonts w:ascii="Book Antiqua" w:hAnsi="Book Antiqua" w:cs="Arial"/>
          <w:sz w:val="24"/>
          <w:szCs w:val="24"/>
          <w:vertAlign w:val="superscript"/>
          <w:lang w:val="en-US"/>
        </w:rPr>
        <w:fldChar w:fldCharType="end"/>
      </w:r>
      <w:r w:rsidR="00B32923" w:rsidRPr="007F5A49">
        <w:rPr>
          <w:rFonts w:ascii="Book Antiqua" w:hAnsi="Book Antiqua" w:cs="Arial"/>
          <w:sz w:val="24"/>
          <w:szCs w:val="24"/>
          <w:vertAlign w:val="superscript"/>
          <w:lang w:val="en-US"/>
        </w:rPr>
        <w:t>]</w:t>
      </w:r>
      <w:r>
        <w:rPr>
          <w:rFonts w:ascii="Book Antiqua" w:hAnsi="Book Antiqua" w:cs="Arial"/>
          <w:sz w:val="24"/>
          <w:szCs w:val="24"/>
          <w:lang w:val="en-US"/>
        </w:rPr>
        <w:t>.</w:t>
      </w:r>
    </w:p>
    <w:p w14:paraId="6D9DE27F" w14:textId="77777777" w:rsidR="009C08AD" w:rsidRPr="007F5A49" w:rsidRDefault="009C08AD" w:rsidP="007F5A49">
      <w:pPr>
        <w:adjustRightInd w:val="0"/>
        <w:snapToGrid w:val="0"/>
        <w:spacing w:after="0" w:line="360" w:lineRule="auto"/>
        <w:jc w:val="both"/>
        <w:rPr>
          <w:rFonts w:ascii="Book Antiqua" w:hAnsi="Book Antiqua" w:cs="Arial"/>
          <w:b/>
          <w:sz w:val="24"/>
          <w:szCs w:val="24"/>
          <w:lang w:val="en-US"/>
        </w:rPr>
      </w:pPr>
      <w:bookmarkStart w:id="44" w:name="_Hlk502809657"/>
    </w:p>
    <w:p w14:paraId="78E2774B" w14:textId="026FA01E" w:rsidR="005E51A8" w:rsidRPr="007F5A49" w:rsidRDefault="00CF46AE" w:rsidP="008E1EBB">
      <w:pPr>
        <w:adjustRightInd w:val="0"/>
        <w:snapToGrid w:val="0"/>
        <w:spacing w:after="0" w:line="360" w:lineRule="auto"/>
        <w:jc w:val="both"/>
        <w:outlineLvl w:val="0"/>
        <w:rPr>
          <w:rFonts w:ascii="Book Antiqua" w:hAnsi="Book Antiqua" w:cs="Arial"/>
          <w:b/>
          <w:sz w:val="24"/>
          <w:szCs w:val="24"/>
          <w:lang w:val="en-US"/>
        </w:rPr>
      </w:pPr>
      <w:r w:rsidRPr="007F5A49">
        <w:rPr>
          <w:rFonts w:ascii="Book Antiqua" w:hAnsi="Book Antiqua" w:cs="Arial"/>
          <w:b/>
          <w:sz w:val="24"/>
          <w:szCs w:val="24"/>
          <w:lang w:val="en-US"/>
        </w:rPr>
        <w:t xml:space="preserve">MECHANISMS OF ACTION </w:t>
      </w:r>
      <w:bookmarkEnd w:id="44"/>
    </w:p>
    <w:p w14:paraId="1E82990C" w14:textId="408141FD" w:rsidR="00791D12" w:rsidRPr="007F5A49" w:rsidRDefault="00791D12" w:rsidP="007F5A49">
      <w:pPr>
        <w:adjustRightInd w:val="0"/>
        <w:snapToGrid w:val="0"/>
        <w:spacing w:after="0" w:line="360" w:lineRule="auto"/>
        <w:jc w:val="both"/>
        <w:rPr>
          <w:rFonts w:ascii="Book Antiqua" w:hAnsi="Book Antiqua" w:cs="Arial"/>
          <w:sz w:val="24"/>
          <w:szCs w:val="24"/>
          <w:lang w:val="en-US"/>
        </w:rPr>
      </w:pPr>
      <w:r w:rsidRPr="007F5A49">
        <w:rPr>
          <w:rFonts w:ascii="Book Antiqua" w:hAnsi="Book Antiqua" w:cs="Arial"/>
          <w:sz w:val="24"/>
          <w:szCs w:val="24"/>
          <w:lang w:val="en-US"/>
        </w:rPr>
        <w:lastRenderedPageBreak/>
        <w:t xml:space="preserve">The fibrotic responses are </w:t>
      </w:r>
      <w:r w:rsidR="007D4005" w:rsidRPr="007F5A49">
        <w:rPr>
          <w:rFonts w:ascii="Book Antiqua" w:hAnsi="Book Antiqua" w:cs="Arial"/>
          <w:sz w:val="24"/>
          <w:szCs w:val="24"/>
          <w:lang w:val="en-US"/>
        </w:rPr>
        <w:t xml:space="preserve">collectively </w:t>
      </w:r>
      <w:r w:rsidRPr="007F5A49">
        <w:rPr>
          <w:rFonts w:ascii="Book Antiqua" w:hAnsi="Book Antiqua" w:cs="Arial"/>
          <w:sz w:val="24"/>
          <w:szCs w:val="24"/>
          <w:lang w:val="en-US"/>
        </w:rPr>
        <w:t xml:space="preserve">mediated by </w:t>
      </w:r>
      <w:r w:rsidR="0000013D" w:rsidRPr="007F5A49">
        <w:rPr>
          <w:rFonts w:ascii="Book Antiqua" w:hAnsi="Book Antiqua" w:cs="Arial"/>
          <w:sz w:val="24"/>
          <w:szCs w:val="24"/>
          <w:lang w:val="en-US"/>
        </w:rPr>
        <w:t xml:space="preserve">multiple mechanisms involving </w:t>
      </w:r>
      <w:r w:rsidR="007D4005" w:rsidRPr="007F5A49">
        <w:rPr>
          <w:rFonts w:ascii="Book Antiqua" w:hAnsi="Book Antiqua" w:cs="Arial"/>
          <w:sz w:val="24"/>
          <w:szCs w:val="24"/>
          <w:lang w:val="en-US"/>
        </w:rPr>
        <w:t xml:space="preserve">excess-iron induced </w:t>
      </w:r>
      <w:r w:rsidRPr="007F5A49">
        <w:rPr>
          <w:rFonts w:ascii="Book Antiqua" w:hAnsi="Book Antiqua" w:cs="Arial"/>
          <w:sz w:val="24"/>
          <w:szCs w:val="24"/>
          <w:lang w:val="en-US"/>
        </w:rPr>
        <w:t>Fenton reaction, cell-</w:t>
      </w:r>
      <w:proofErr w:type="spellStart"/>
      <w:r w:rsidR="005355B8" w:rsidRPr="007F5A49">
        <w:rPr>
          <w:rFonts w:ascii="Book Antiqua" w:hAnsi="Book Antiqua" w:cs="Arial"/>
          <w:sz w:val="24"/>
          <w:szCs w:val="24"/>
          <w:lang w:val="en-US"/>
        </w:rPr>
        <w:t>signalling</w:t>
      </w:r>
      <w:proofErr w:type="spellEnd"/>
      <w:r w:rsidRPr="007F5A49">
        <w:rPr>
          <w:rFonts w:ascii="Book Antiqua" w:hAnsi="Book Antiqua" w:cs="Arial"/>
          <w:sz w:val="24"/>
          <w:szCs w:val="24"/>
          <w:lang w:val="en-US"/>
        </w:rPr>
        <w:t xml:space="preserve"> pathways, </w:t>
      </w:r>
      <w:r w:rsidR="00391358" w:rsidRPr="007F5A49">
        <w:rPr>
          <w:rFonts w:ascii="Book Antiqua" w:hAnsi="Book Antiqua" w:cs="Arial"/>
          <w:sz w:val="24"/>
          <w:szCs w:val="24"/>
          <w:lang w:val="en-US"/>
        </w:rPr>
        <w:t>c</w:t>
      </w:r>
      <w:r w:rsidR="007D4005" w:rsidRPr="007F5A49">
        <w:rPr>
          <w:rFonts w:ascii="Book Antiqua" w:hAnsi="Book Antiqua" w:cs="Arial"/>
          <w:sz w:val="24"/>
          <w:szCs w:val="24"/>
          <w:lang w:val="en-US"/>
        </w:rPr>
        <w:t>ontribution to HSC-</w:t>
      </w:r>
      <w:r w:rsidRPr="007F5A49">
        <w:rPr>
          <w:rFonts w:ascii="Book Antiqua" w:hAnsi="Book Antiqua" w:cs="Arial"/>
          <w:sz w:val="24"/>
          <w:szCs w:val="24"/>
          <w:lang w:val="en-US"/>
        </w:rPr>
        <w:t xml:space="preserve">activation by iron-related proteins, and possibly, </w:t>
      </w:r>
      <w:r w:rsidRPr="007F5A49">
        <w:rPr>
          <w:rFonts w:ascii="Book Antiqua" w:eastAsia="Times New Roman" w:hAnsi="Book Antiqua" w:cs="Arial"/>
          <w:sz w:val="24"/>
          <w:szCs w:val="24"/>
          <w:lang w:val="en-US"/>
        </w:rPr>
        <w:t xml:space="preserve">iron-mediated ECM </w:t>
      </w:r>
      <w:proofErr w:type="spellStart"/>
      <w:r w:rsidRPr="007F5A49">
        <w:rPr>
          <w:rFonts w:ascii="Book Antiqua" w:eastAsia="Times New Roman" w:hAnsi="Book Antiqua" w:cs="Arial"/>
          <w:sz w:val="24"/>
          <w:szCs w:val="24"/>
          <w:lang w:val="en-US"/>
        </w:rPr>
        <w:t>remodelling</w:t>
      </w:r>
      <w:proofErr w:type="spellEnd"/>
      <w:r w:rsidR="005E78EB" w:rsidRPr="007F5A49">
        <w:rPr>
          <w:rFonts w:ascii="Book Antiqua" w:eastAsia="Times New Roman" w:hAnsi="Book Antiqua" w:cs="Arial"/>
          <w:sz w:val="24"/>
          <w:szCs w:val="24"/>
          <w:lang w:val="en-US"/>
        </w:rPr>
        <w:t xml:space="preserve"> (</w:t>
      </w:r>
      <w:r w:rsidR="008E1EBB">
        <w:rPr>
          <w:rFonts w:ascii="Book Antiqua" w:hAnsi="Book Antiqua" w:cs="Arial"/>
          <w:sz w:val="24"/>
          <w:szCs w:val="24"/>
          <w:lang w:val="en-US"/>
        </w:rPr>
        <w:t>Figure</w:t>
      </w:r>
      <w:r w:rsidRPr="007F5A49">
        <w:rPr>
          <w:rFonts w:ascii="Book Antiqua" w:hAnsi="Book Antiqua" w:cs="Arial"/>
          <w:sz w:val="24"/>
          <w:szCs w:val="24"/>
          <w:lang w:val="en-US"/>
        </w:rPr>
        <w:t xml:space="preserve"> </w:t>
      </w:r>
      <w:r w:rsidR="005E78EB" w:rsidRPr="007F5A49">
        <w:rPr>
          <w:rFonts w:ascii="Book Antiqua" w:hAnsi="Book Antiqua" w:cs="Arial"/>
          <w:sz w:val="24"/>
          <w:szCs w:val="24"/>
          <w:lang w:val="en-US"/>
        </w:rPr>
        <w:t>1)</w:t>
      </w:r>
      <w:r w:rsidRPr="007F5A49">
        <w:rPr>
          <w:rFonts w:ascii="Book Antiqua" w:hAnsi="Book Antiqua" w:cs="Arial"/>
          <w:sz w:val="24"/>
          <w:szCs w:val="24"/>
          <w:lang w:val="en-US"/>
        </w:rPr>
        <w:t xml:space="preserve">. </w:t>
      </w:r>
    </w:p>
    <w:p w14:paraId="27F244C2" w14:textId="77777777" w:rsidR="00791D12" w:rsidRPr="007F5A49" w:rsidRDefault="00791D12" w:rsidP="007F5A49">
      <w:pPr>
        <w:adjustRightInd w:val="0"/>
        <w:snapToGrid w:val="0"/>
        <w:spacing w:after="0" w:line="360" w:lineRule="auto"/>
        <w:jc w:val="both"/>
        <w:rPr>
          <w:rFonts w:ascii="Book Antiqua" w:hAnsi="Book Antiqua" w:cs="Arial"/>
          <w:i/>
          <w:sz w:val="24"/>
          <w:szCs w:val="24"/>
          <w:u w:val="single"/>
          <w:lang w:val="en-US"/>
        </w:rPr>
      </w:pPr>
    </w:p>
    <w:p w14:paraId="23076A24" w14:textId="6D4DA437" w:rsidR="00606CD7" w:rsidRPr="007F5A49" w:rsidRDefault="00D70274" w:rsidP="008E1EBB">
      <w:pPr>
        <w:adjustRightInd w:val="0"/>
        <w:snapToGrid w:val="0"/>
        <w:spacing w:after="0" w:line="360" w:lineRule="auto"/>
        <w:jc w:val="both"/>
        <w:outlineLvl w:val="0"/>
        <w:rPr>
          <w:rFonts w:ascii="Book Antiqua" w:hAnsi="Book Antiqua" w:cs="Arial"/>
          <w:b/>
          <w:i/>
          <w:sz w:val="24"/>
          <w:szCs w:val="24"/>
          <w:lang w:val="en-US"/>
        </w:rPr>
      </w:pPr>
      <w:r w:rsidRPr="007F5A49">
        <w:rPr>
          <w:rFonts w:ascii="Book Antiqua" w:hAnsi="Book Antiqua" w:cs="Arial"/>
          <w:b/>
          <w:i/>
          <w:sz w:val="24"/>
          <w:szCs w:val="24"/>
          <w:lang w:val="en-US"/>
        </w:rPr>
        <w:t xml:space="preserve">Impact of </w:t>
      </w:r>
      <w:r w:rsidR="00606CD7" w:rsidRPr="007F5A49">
        <w:rPr>
          <w:rFonts w:ascii="Book Antiqua" w:hAnsi="Book Antiqua" w:cs="Arial"/>
          <w:b/>
          <w:i/>
          <w:sz w:val="24"/>
          <w:szCs w:val="24"/>
          <w:lang w:val="en-US"/>
        </w:rPr>
        <w:t>Fenton</w:t>
      </w:r>
      <w:r w:rsidR="00251B33" w:rsidRPr="007F5A49">
        <w:rPr>
          <w:rFonts w:ascii="Book Antiqua" w:hAnsi="Book Antiqua" w:cs="Arial"/>
          <w:b/>
          <w:i/>
          <w:sz w:val="24"/>
          <w:szCs w:val="24"/>
          <w:lang w:val="en-US"/>
        </w:rPr>
        <w:t xml:space="preserve"> chemistry</w:t>
      </w:r>
      <w:r w:rsidR="00606CD7" w:rsidRPr="007F5A49">
        <w:rPr>
          <w:rFonts w:ascii="Book Antiqua" w:hAnsi="Book Antiqua" w:cs="Arial"/>
          <w:b/>
          <w:i/>
          <w:sz w:val="24"/>
          <w:szCs w:val="24"/>
          <w:lang w:val="en-US"/>
        </w:rPr>
        <w:t xml:space="preserve"> </w:t>
      </w:r>
      <w:r w:rsidRPr="007F5A49">
        <w:rPr>
          <w:rFonts w:ascii="Book Antiqua" w:hAnsi="Book Antiqua" w:cs="Arial"/>
          <w:b/>
          <w:i/>
          <w:sz w:val="24"/>
          <w:szCs w:val="24"/>
          <w:lang w:val="en-US"/>
        </w:rPr>
        <w:t xml:space="preserve">on liver biology </w:t>
      </w:r>
    </w:p>
    <w:p w14:paraId="0547EB6C" w14:textId="7B9F162B" w:rsidR="004D210A" w:rsidRPr="007F5A49" w:rsidRDefault="00D3236A" w:rsidP="007F5A49">
      <w:pPr>
        <w:pStyle w:val="p"/>
        <w:adjustRightInd w:val="0"/>
        <w:snapToGrid w:val="0"/>
        <w:spacing w:before="0" w:beforeAutospacing="0" w:after="0" w:afterAutospacing="0" w:line="360" w:lineRule="auto"/>
        <w:jc w:val="both"/>
        <w:rPr>
          <w:rFonts w:ascii="Book Antiqua" w:hAnsi="Book Antiqua" w:cs="Arial"/>
          <w:lang w:val="en-US"/>
        </w:rPr>
      </w:pPr>
      <w:bookmarkStart w:id="45" w:name="_Hlk499974026"/>
      <w:r w:rsidRPr="007F5A49">
        <w:rPr>
          <w:rFonts w:ascii="Book Antiqua" w:hAnsi="Book Antiqua" w:cs="Arial"/>
          <w:lang w:val="en-US"/>
        </w:rPr>
        <w:t xml:space="preserve">The </w:t>
      </w:r>
      <w:r w:rsidR="00606CD7" w:rsidRPr="007F5A49">
        <w:rPr>
          <w:rFonts w:ascii="Book Antiqua" w:hAnsi="Book Antiqua" w:cs="Arial"/>
          <w:lang w:val="en-US"/>
        </w:rPr>
        <w:t>Fenton</w:t>
      </w:r>
      <w:r w:rsidRPr="007F5A49">
        <w:rPr>
          <w:rFonts w:ascii="Book Antiqua" w:hAnsi="Book Antiqua" w:cs="Arial"/>
          <w:lang w:val="en-US"/>
        </w:rPr>
        <w:t>-</w:t>
      </w:r>
      <w:r w:rsidRPr="007F5A49">
        <w:rPr>
          <w:rStyle w:val="Emphasis"/>
          <w:rFonts w:ascii="Book Antiqua" w:hAnsi="Book Antiqua" w:cs="Arial"/>
          <w:i w:val="0"/>
          <w:lang w:val="en-US"/>
        </w:rPr>
        <w:t>Haber</w:t>
      </w:r>
      <w:r w:rsidR="00C04BB2">
        <w:rPr>
          <w:rStyle w:val="st"/>
          <w:rFonts w:ascii="Book Antiqua" w:hAnsi="Book Antiqua" w:cs="Arial"/>
          <w:i/>
          <w:lang w:val="en-US"/>
        </w:rPr>
        <w:t>-</w:t>
      </w:r>
      <w:r w:rsidRPr="007F5A49">
        <w:rPr>
          <w:rStyle w:val="Emphasis"/>
          <w:rFonts w:ascii="Book Antiqua" w:hAnsi="Book Antiqua" w:cs="Arial"/>
          <w:i w:val="0"/>
          <w:lang w:val="en-US"/>
        </w:rPr>
        <w:t xml:space="preserve">Weiss </w:t>
      </w:r>
      <w:bookmarkEnd w:id="45"/>
      <w:r w:rsidR="00251B33" w:rsidRPr="007F5A49">
        <w:rPr>
          <w:rFonts w:ascii="Book Antiqua" w:hAnsi="Book Antiqua" w:cs="Arial"/>
          <w:lang w:val="en-US"/>
        </w:rPr>
        <w:t xml:space="preserve">reaction </w:t>
      </w:r>
      <w:r w:rsidR="00606CD7" w:rsidRPr="007F5A49">
        <w:rPr>
          <w:rFonts w:ascii="Book Antiqua" w:hAnsi="Book Antiqua" w:cs="Arial"/>
          <w:lang w:val="en-US"/>
        </w:rPr>
        <w:t xml:space="preserve">highlights </w:t>
      </w:r>
      <w:r w:rsidR="0008482C" w:rsidRPr="007F5A49">
        <w:rPr>
          <w:rFonts w:ascii="Book Antiqua" w:hAnsi="Book Antiqua" w:cs="Arial"/>
          <w:lang w:val="en-US"/>
        </w:rPr>
        <w:t xml:space="preserve">the </w:t>
      </w:r>
      <w:r w:rsidR="00606CD7" w:rsidRPr="007F5A49">
        <w:rPr>
          <w:rFonts w:ascii="Book Antiqua" w:hAnsi="Book Antiqua" w:cs="Arial"/>
          <w:lang w:val="en-US"/>
        </w:rPr>
        <w:t>ability</w:t>
      </w:r>
      <w:r w:rsidR="0008482C" w:rsidRPr="007F5A49">
        <w:rPr>
          <w:rFonts w:ascii="Book Antiqua" w:hAnsi="Book Antiqua" w:cs="Arial"/>
          <w:lang w:val="en-US"/>
        </w:rPr>
        <w:t xml:space="preserve"> of iron </w:t>
      </w:r>
      <w:r w:rsidR="00606CD7" w:rsidRPr="007F5A49">
        <w:rPr>
          <w:rFonts w:ascii="Book Antiqua" w:hAnsi="Book Antiqua" w:cs="Arial"/>
          <w:lang w:val="en-US"/>
        </w:rPr>
        <w:t>to freely donate and accept electrons</w:t>
      </w:r>
      <w:r w:rsidR="00BB787F" w:rsidRPr="007F5A49">
        <w:rPr>
          <w:rFonts w:ascii="Book Antiqua" w:hAnsi="Book Antiqua" w:cs="Arial"/>
          <w:lang w:val="en-US"/>
        </w:rPr>
        <w:t xml:space="preserve"> while altering between Fe</w:t>
      </w:r>
      <w:r w:rsidR="00BB787F" w:rsidRPr="007F5A49">
        <w:rPr>
          <w:rFonts w:ascii="Book Antiqua" w:hAnsi="Book Antiqua" w:cs="Arial"/>
          <w:vertAlign w:val="superscript"/>
          <w:lang w:val="en-US"/>
        </w:rPr>
        <w:t>2+</w:t>
      </w:r>
      <w:r w:rsidR="00BB787F" w:rsidRPr="007F5A49">
        <w:rPr>
          <w:rFonts w:ascii="Book Antiqua" w:hAnsi="Book Antiqua" w:cs="Arial"/>
          <w:lang w:val="en-US"/>
        </w:rPr>
        <w:t xml:space="preserve"> and Fe</w:t>
      </w:r>
      <w:r w:rsidR="00BB787F" w:rsidRPr="007F5A49">
        <w:rPr>
          <w:rFonts w:ascii="Book Antiqua" w:hAnsi="Book Antiqua" w:cs="Arial"/>
          <w:vertAlign w:val="superscript"/>
          <w:lang w:val="en-US"/>
        </w:rPr>
        <w:t>3+</w:t>
      </w:r>
      <w:r w:rsidR="00BB787F" w:rsidRPr="007F5A49">
        <w:rPr>
          <w:rFonts w:ascii="Book Antiqua" w:hAnsi="Book Antiqua" w:cs="Arial"/>
          <w:lang w:val="en-US"/>
        </w:rPr>
        <w:t xml:space="preserve"> states</w:t>
      </w:r>
      <w:r w:rsidR="007C6208" w:rsidRPr="007F5A49">
        <w:rPr>
          <w:rFonts w:ascii="Book Antiqua" w:hAnsi="Book Antiqua" w:cs="Arial"/>
          <w:lang w:val="en-US"/>
        </w:rPr>
        <w:t>. The reaction</w:t>
      </w:r>
      <w:r w:rsidRPr="007F5A49">
        <w:rPr>
          <w:rFonts w:ascii="Book Antiqua" w:hAnsi="Book Antiqua" w:cs="Arial"/>
          <w:lang w:val="en-US"/>
        </w:rPr>
        <w:t>s</w:t>
      </w:r>
      <w:r w:rsidR="007C6208" w:rsidRPr="007F5A49">
        <w:rPr>
          <w:rFonts w:ascii="Book Antiqua" w:hAnsi="Book Antiqua" w:cs="Arial"/>
          <w:lang w:val="en-US"/>
        </w:rPr>
        <w:t xml:space="preserve"> encompass </w:t>
      </w:r>
      <w:r w:rsidR="00606CD7" w:rsidRPr="007F5A49">
        <w:rPr>
          <w:rFonts w:ascii="Book Antiqua" w:hAnsi="Book Antiqua" w:cs="Arial"/>
          <w:lang w:val="en-US"/>
        </w:rPr>
        <w:t>iron-</w:t>
      </w:r>
      <w:proofErr w:type="spellStart"/>
      <w:r w:rsidR="005355B8" w:rsidRPr="007F5A49">
        <w:rPr>
          <w:rFonts w:ascii="Book Antiqua" w:hAnsi="Book Antiqua" w:cs="Arial"/>
          <w:lang w:val="en-US"/>
        </w:rPr>
        <w:t>catalysed</w:t>
      </w:r>
      <w:proofErr w:type="spellEnd"/>
      <w:r w:rsidR="00BB787F" w:rsidRPr="007F5A49">
        <w:rPr>
          <w:rFonts w:ascii="Book Antiqua" w:hAnsi="Book Antiqua" w:cs="Arial"/>
          <w:lang w:val="en-US"/>
        </w:rPr>
        <w:t xml:space="preserve"> </w:t>
      </w:r>
      <w:r w:rsidR="00606CD7" w:rsidRPr="007F5A49">
        <w:rPr>
          <w:rFonts w:ascii="Book Antiqua" w:hAnsi="Book Antiqua" w:cs="Arial"/>
          <w:lang w:val="en-US"/>
        </w:rPr>
        <w:t>generation of hydroxide ion</w:t>
      </w:r>
      <w:r w:rsidR="00251B33" w:rsidRPr="007F5A49">
        <w:rPr>
          <w:rFonts w:ascii="Book Antiqua" w:hAnsi="Book Antiqua" w:cs="Arial"/>
          <w:lang w:val="en-US"/>
        </w:rPr>
        <w:t>s</w:t>
      </w:r>
      <w:r w:rsidR="007C6208" w:rsidRPr="007F5A49">
        <w:rPr>
          <w:rFonts w:ascii="Book Antiqua" w:hAnsi="Book Antiqua" w:cs="Arial"/>
          <w:lang w:val="en-US"/>
        </w:rPr>
        <w:t>,</w:t>
      </w:r>
      <w:r w:rsidR="00576C9F" w:rsidRPr="007F5A49">
        <w:rPr>
          <w:rFonts w:ascii="Book Antiqua" w:hAnsi="Book Antiqua" w:cs="Arial"/>
          <w:lang w:val="en-US"/>
        </w:rPr>
        <w:t xml:space="preserve"> along with </w:t>
      </w:r>
      <w:r w:rsidR="007C6208" w:rsidRPr="007F5A49">
        <w:rPr>
          <w:rFonts w:ascii="Book Antiqua" w:hAnsi="Book Antiqua" w:cs="Arial"/>
          <w:lang w:val="en-US"/>
        </w:rPr>
        <w:t>hydroperoxyl</w:t>
      </w:r>
      <w:r w:rsidR="00BB787F" w:rsidRPr="007F5A49">
        <w:rPr>
          <w:rFonts w:ascii="Book Antiqua" w:hAnsi="Book Antiqua" w:cs="Arial"/>
          <w:lang w:val="en-US"/>
        </w:rPr>
        <w:t xml:space="preserve"> </w:t>
      </w:r>
      <w:r w:rsidR="007C6208" w:rsidRPr="007F5A49">
        <w:rPr>
          <w:rFonts w:ascii="Book Antiqua" w:hAnsi="Book Antiqua" w:cs="Arial"/>
          <w:lang w:val="en-US"/>
        </w:rPr>
        <w:t xml:space="preserve">and </w:t>
      </w:r>
      <w:r w:rsidR="00606CD7" w:rsidRPr="007F5A49">
        <w:rPr>
          <w:rFonts w:ascii="Book Antiqua" w:hAnsi="Book Antiqua" w:cs="Arial"/>
          <w:lang w:val="en-US"/>
        </w:rPr>
        <w:t>hydroxyl radical</w:t>
      </w:r>
      <w:r w:rsidR="00251B33" w:rsidRPr="007F5A49">
        <w:rPr>
          <w:rFonts w:ascii="Book Antiqua" w:hAnsi="Book Antiqua" w:cs="Arial"/>
          <w:lang w:val="en-US"/>
        </w:rPr>
        <w:t>s</w:t>
      </w:r>
      <w:r w:rsidR="00606CD7" w:rsidRPr="007F5A49">
        <w:rPr>
          <w:rFonts w:ascii="Book Antiqua" w:hAnsi="Book Antiqua" w:cs="Arial"/>
          <w:lang w:val="en-US"/>
        </w:rPr>
        <w:t>.</w:t>
      </w:r>
      <w:r w:rsidR="00A32BF7" w:rsidRPr="007F5A49">
        <w:rPr>
          <w:rFonts w:ascii="Book Antiqua" w:hAnsi="Book Antiqua" w:cs="Arial"/>
          <w:lang w:val="en-US"/>
        </w:rPr>
        <w:t xml:space="preserve"> Normally, limited amount of excess free-radicals </w:t>
      </w:r>
      <w:r w:rsidR="003034DD" w:rsidRPr="007F5A49">
        <w:rPr>
          <w:rFonts w:ascii="Book Antiqua" w:hAnsi="Book Antiqua" w:cs="Arial"/>
          <w:lang w:val="en-US"/>
        </w:rPr>
        <w:t xml:space="preserve">are </w:t>
      </w:r>
      <w:r w:rsidR="00A32BF7" w:rsidRPr="007F5A49">
        <w:rPr>
          <w:rFonts w:ascii="Book Antiqua" w:hAnsi="Book Antiqua" w:cs="Arial"/>
          <w:lang w:val="en-US"/>
        </w:rPr>
        <w:t>generated during cellular metabolism</w:t>
      </w:r>
      <w:r w:rsidR="003034DD" w:rsidRPr="007F5A49">
        <w:rPr>
          <w:rFonts w:ascii="Book Antiqua" w:hAnsi="Book Antiqua" w:cs="Arial"/>
          <w:lang w:val="en-US"/>
        </w:rPr>
        <w:t>, which</w:t>
      </w:r>
      <w:r w:rsidR="00A32BF7" w:rsidRPr="007F5A49">
        <w:rPr>
          <w:rFonts w:ascii="Book Antiqua" w:hAnsi="Book Antiqua" w:cs="Arial"/>
          <w:lang w:val="en-US"/>
        </w:rPr>
        <w:t xml:space="preserve"> are quenched by inherent cellular antioxidant mechanisms and electron-donating moieties such as vitamins A, C and E</w:t>
      </w:r>
      <w:r w:rsidR="00A32BF7" w:rsidRPr="007F5A49">
        <w:rPr>
          <w:rFonts w:ascii="Book Antiqua" w:hAnsi="Book Antiqua" w:cs="Arial"/>
          <w:vertAlign w:val="superscript"/>
          <w:lang w:val="en-US"/>
        </w:rPr>
        <w:fldChar w:fldCharType="begin"/>
      </w:r>
      <w:r w:rsidR="00D2645C" w:rsidRPr="007F5A49">
        <w:rPr>
          <w:rFonts w:ascii="Book Antiqua" w:hAnsi="Book Antiqua" w:cs="Arial"/>
          <w:vertAlign w:val="superscript"/>
          <w:lang w:val="en-US"/>
        </w:rPr>
        <w:instrText xml:space="preserve"> ADDIN ZOTERO_ITEM CSL_CITATION {"citationID":"dir31ffu4","properties":{"formattedCitation":"(30)","plainCitation":"(30)","noteIndex":0},"citationItems":[{"id":87,"uris":["http://zotero.org/users/2804724/items/QHWVZVEF"],"uri":["http://zotero.org/users/2804724/items/QHWVZVEF"],"itemData":{"id":87,"type":"article-journal","title":"Oxygen free radical scavenging abilities of vitamins C and E, and a grape seed proanthocyanidin extract in vitro","container-title":"Research Communications in Molecular Pathology and Pharmacology","page":"179-189","volume":"95","issue":"2","source":"PubMed","abstract":"Proanthocyanidins, a group of polyphenolic bioflavonoids, have been reported to exhibit a wide range of biological, pharmacological and chemoprotective properties against oxygen free radicals. We have assessed the concentration-dependent oxygen free radical scavenging abilities of a grape seed proanthocyanidin extract (GSPE), vitamin C and vitamin E succinate (VES) as well as superoxide dismutase, catalase and mannitol against biochemically generated superoxide anion and hydroxyl radical using a chemiluminescence assay and cytochrome c reduction. A concentration-dependent inhibition was demonstrated by GSPE. At a 100 mg/l concentration, GSPE exhibited 78-81% inhibition of superoxide anion and hydroxyl radical. Under similar conditions, vitamin C inhibited these two oxygen free radicals by approximately 12-19%, while VES inhibited the two radicals by 36-44%. The combination of superoxide dismutase and catalase inhibited superoxide anion by approximately 83%, while mannitol resulted in an 87% inhibition of hydroxyl radical. The results demonstrate that GSPE is a more potent scavenger of oxygen free radicals as compared to vitamin C and VES.","ISSN":"1078-0297","note":"PMID: 9090754","journalAbbreviation":"Res. Commun. Mol. Pathol. Pharmacol.","language":"eng","author":[{"family":"Bagchi","given":"D."},{"family":"Garg","given":"A."},{"family":"Krohn","given":"R. L."},{"family":"Bagchi","given":"M."},{"family":"Tran","given":"M. X."},{"family":"Stohs","given":"S. J."}],"issued":{"date-parts":[["1997",2]]}}}],"schema":"https://github.com/citation-style-language/schema/raw/master/csl-citation.json"} </w:instrText>
      </w:r>
      <w:r w:rsidR="00A32BF7" w:rsidRPr="007F5A49">
        <w:rPr>
          <w:rFonts w:ascii="Book Antiqua" w:hAnsi="Book Antiqua" w:cs="Arial"/>
          <w:vertAlign w:val="superscript"/>
          <w:lang w:val="en-US"/>
        </w:rPr>
        <w:fldChar w:fldCharType="separate"/>
      </w:r>
      <w:r w:rsidR="00C871F8" w:rsidRPr="007F5A49">
        <w:rPr>
          <w:rFonts w:ascii="Book Antiqua" w:hAnsi="Book Antiqua"/>
          <w:vertAlign w:val="superscript"/>
          <w:lang w:val="en-US"/>
        </w:rPr>
        <w:t>[</w:t>
      </w:r>
      <w:r w:rsidR="00D2645C" w:rsidRPr="007F5A49">
        <w:rPr>
          <w:rFonts w:ascii="Book Antiqua" w:hAnsi="Book Antiqua"/>
          <w:vertAlign w:val="superscript"/>
          <w:lang w:val="en-US"/>
        </w:rPr>
        <w:t>30</w:t>
      </w:r>
      <w:r w:rsidR="00A32BF7" w:rsidRPr="007F5A49">
        <w:rPr>
          <w:rFonts w:ascii="Book Antiqua" w:hAnsi="Book Antiqua" w:cs="Arial"/>
          <w:vertAlign w:val="superscript"/>
          <w:lang w:val="en-US"/>
        </w:rPr>
        <w:fldChar w:fldCharType="end"/>
      </w:r>
      <w:r w:rsidR="00C871F8" w:rsidRPr="007F5A49">
        <w:rPr>
          <w:rFonts w:ascii="Book Antiqua" w:hAnsi="Book Antiqua" w:cs="Arial"/>
          <w:vertAlign w:val="superscript"/>
          <w:lang w:val="en-US"/>
        </w:rPr>
        <w:t>]</w:t>
      </w:r>
      <w:r w:rsidR="00F92F2E" w:rsidRPr="007F5A49">
        <w:rPr>
          <w:rFonts w:ascii="Book Antiqua" w:hAnsi="Book Antiqua" w:cs="Arial"/>
          <w:lang w:val="en-US"/>
        </w:rPr>
        <w:t xml:space="preserve">. </w:t>
      </w:r>
      <w:r w:rsidR="00A32BF7" w:rsidRPr="007F5A49">
        <w:rPr>
          <w:rFonts w:ascii="Book Antiqua" w:hAnsi="Book Antiqua" w:cs="Arial"/>
          <w:lang w:val="en-US"/>
        </w:rPr>
        <w:t xml:space="preserve">Moreover, the tight binding of iron to cellular </w:t>
      </w:r>
      <w:r w:rsidR="003034DD" w:rsidRPr="007F5A49">
        <w:rPr>
          <w:rFonts w:ascii="Book Antiqua" w:hAnsi="Book Antiqua" w:cs="Arial"/>
          <w:lang w:val="en-US"/>
        </w:rPr>
        <w:t xml:space="preserve">proteins </w:t>
      </w:r>
      <w:r w:rsidR="00A32BF7" w:rsidRPr="007F5A49">
        <w:rPr>
          <w:rFonts w:ascii="Book Antiqua" w:hAnsi="Book Antiqua" w:cs="Arial"/>
          <w:lang w:val="en-US"/>
        </w:rPr>
        <w:t>(</w:t>
      </w:r>
      <w:r w:rsidR="00A32BF7" w:rsidRPr="008E1EBB">
        <w:rPr>
          <w:rFonts w:ascii="Book Antiqua" w:hAnsi="Book Antiqua" w:cs="Arial"/>
          <w:i/>
          <w:lang w:val="en-US"/>
        </w:rPr>
        <w:t>e.g.</w:t>
      </w:r>
      <w:r w:rsidR="008E1EBB">
        <w:rPr>
          <w:rFonts w:ascii="Book Antiqua" w:hAnsi="Book Antiqua" w:cs="Arial"/>
          <w:lang w:val="en-US"/>
        </w:rPr>
        <w:t>,</w:t>
      </w:r>
      <w:r w:rsidR="00A32BF7" w:rsidRPr="007F5A49">
        <w:rPr>
          <w:rFonts w:ascii="Book Antiqua" w:hAnsi="Book Antiqua" w:cs="Arial"/>
          <w:lang w:val="en-US"/>
        </w:rPr>
        <w:t xml:space="preserve"> ferritin) and circulating </w:t>
      </w:r>
      <w:r w:rsidR="003034DD" w:rsidRPr="007F5A49">
        <w:rPr>
          <w:rFonts w:ascii="Book Antiqua" w:hAnsi="Book Antiqua" w:cs="Arial"/>
          <w:lang w:val="en-US"/>
        </w:rPr>
        <w:t xml:space="preserve">proteins </w:t>
      </w:r>
      <w:r w:rsidR="00A32BF7" w:rsidRPr="007F5A49">
        <w:rPr>
          <w:rFonts w:ascii="Book Antiqua" w:hAnsi="Book Antiqua" w:cs="Arial"/>
          <w:lang w:val="en-US"/>
        </w:rPr>
        <w:t>(</w:t>
      </w:r>
      <w:r w:rsidR="00A32BF7" w:rsidRPr="008E1EBB">
        <w:rPr>
          <w:rFonts w:ascii="Book Antiqua" w:hAnsi="Book Antiqua" w:cs="Arial"/>
          <w:i/>
          <w:lang w:val="en-US"/>
        </w:rPr>
        <w:t>e.g.</w:t>
      </w:r>
      <w:r w:rsidR="008E1EBB">
        <w:rPr>
          <w:rFonts w:ascii="Book Antiqua" w:hAnsi="Book Antiqua" w:cs="Arial"/>
          <w:lang w:val="en-US"/>
        </w:rPr>
        <w:t>,</w:t>
      </w:r>
      <w:r w:rsidR="00A32BF7" w:rsidRPr="007F5A49">
        <w:rPr>
          <w:rFonts w:ascii="Book Antiqua" w:hAnsi="Book Antiqua" w:cs="Arial"/>
          <w:lang w:val="en-US"/>
        </w:rPr>
        <w:t xml:space="preserve"> </w:t>
      </w:r>
      <w:r w:rsidR="003034DD" w:rsidRPr="007F5A49">
        <w:rPr>
          <w:rFonts w:ascii="Book Antiqua" w:hAnsi="Book Antiqua" w:cs="Arial"/>
          <w:lang w:val="en-US"/>
        </w:rPr>
        <w:t>transferrin) limits</w:t>
      </w:r>
      <w:r w:rsidR="00A32BF7" w:rsidRPr="007F5A49">
        <w:rPr>
          <w:rFonts w:ascii="Book Antiqua" w:hAnsi="Book Antiqua" w:cs="Arial"/>
          <w:lang w:val="en-US"/>
        </w:rPr>
        <w:t xml:space="preserve"> the amount of free iron available to feed the Fenton reaction. Hepcidin also offers indirect protection from excess-iron-induced toxic effects by inhibiting </w:t>
      </w:r>
      <w:r w:rsidR="00AC5674" w:rsidRPr="007F5A49">
        <w:rPr>
          <w:rFonts w:ascii="Book Antiqua" w:hAnsi="Book Antiqua" w:cs="Arial"/>
          <w:lang w:val="en-US"/>
        </w:rPr>
        <w:t>iron entry into the circulation</w:t>
      </w:r>
      <w:r w:rsidR="00A32BF7" w:rsidRPr="007F5A49">
        <w:rPr>
          <w:rFonts w:ascii="Book Antiqua" w:hAnsi="Book Antiqua" w:cs="Arial"/>
          <w:vertAlign w:val="superscript"/>
          <w:lang w:val="en-US"/>
        </w:rPr>
        <w:fldChar w:fldCharType="begin"/>
      </w:r>
      <w:r w:rsidR="00D2645C" w:rsidRPr="007F5A49">
        <w:rPr>
          <w:rFonts w:ascii="Book Antiqua" w:hAnsi="Book Antiqua" w:cs="Arial"/>
          <w:vertAlign w:val="superscript"/>
          <w:lang w:val="en-US"/>
        </w:rPr>
        <w:instrText xml:space="preserve"> ADDIN ZOTERO_ITEM CSL_CITATION {"citationID":"a1i9e7f96q4","properties":{"formattedCitation":"(5,6,31)","plainCitation":"(5,6,31)","noteIndex":0},"citationItems":[{"id":40,"uris":["http://zotero.org/users/2804724/items/XFZ8BNEZ"],"uri":["http://zotero.org/users/2804724/items/XFZ8BNEZ"],"itemData":{"id":40,"type":"article-journal","title":"Hepcidin regulates cellular iron efflux by binding to ferroportin and inducing its internalization","container-title":"Science (New York, N.Y.)","page":"2090-2093","volume":"306","issue":"5704","source":"PubMed","abstract":"Hepcidin is a peptide hormone secreted by the liver in response to iron loading and inflammation. Decreased hepcidin leads to tissue iron overload, whereas hepcidin overproduction leads to hypoferremia and the anemia of inflammation. Ferroportin is an iron exporter present on the surface of absorptive enterocytes, macrophages, hepatocytes, and placental cells. Here we report that hepcidin bound to ferroportin in tissue culture cells. After binding, ferroportin was internalized and degraded, leading to decreased export of cellular iron. The posttranslational regulation of ferroportin by hepcidin may thus complete a homeostatic loop: Iron regulates the secretion of hepcidin, which in turn controls the concentration of ferroportin on the cell surface.","DOI":"10.1126/science.1104742","ISSN":"1095-9203","note":"PMID: 15514116","journalAbbreviation":"Science","language":"eng","author":[{"family":"Nemeth","given":"Elizabeta"},{"family":"Tuttle","given":"Marie S."},{"family":"Powelson","given":"Julie"},{"family":"Vaughn","given":"Michael B."},{"family":"Donovan","given":"Adriana"},{"family":"Ward","given":"Diane McVey"},{"family":"Ganz","given":"Tomas"},{"family":"Kaplan","given":"Jerry"}],"issued":{"date-parts":[["2004",12,17]]}}},{"id":401,"uris":["http://zotero.org/users/2804724/items/KUCXBHQF"],"uri":["http://zotero.org/users/2804724/items/KUCXBHQF"],"itemData":{"id":401,"type":"article-journal","title":"Hepcidin targets ferroportin for degradation in hepatocytes","container-title":"Haematologica","page":"501-504","volume":"95","issue":"3","source":"PubMed","abstract":"Hepcidin, a circulating regulatory hormone peptide produced by hepatocytes, functions as the master regulator of cellular iron export by controlling the amount of ferroportin, an iron exporter present on the basolateral surface of intestinal enterocytes and macrophages. Hepcidin binding to ferroportin induces its internalization and degradation, resulting in cellular iron retention and decreased iron export. Whether hepatocytes express ferroportin that could be targeted by hepcidin has remained a subject of debate. Here, we describe a hepatocyte culture system expressing high levels of ferroportin, and demonstrate that both endogenously secreted and synthetic hepcidin are fully active in down-regulating membrane-associated ferroportin. In agreement with this result, ferroportin is stabilized in liver hepatocytes of hepcidin-deficient mice and accumulates in periportal areas, supporting the centrolobular iron deposition observed in these mice. In conclusion, we show that hepcidin can trigger ferroportin degradation in hepatocytes, which must be taken into account when considering hepcidin therapeutics.","DOI":"10.3324/haematol.2009.014399","ISSN":"1592-8721","note":"PMID: 19773263\nPMCID: PMC2833082","journalAbbreviation":"Haematologica","language":"eng","author":[{"family":"Ramey","given":"Guillemette"},{"family":"Deschemin","given":"Jean-Christophe"},{"family":"Durel","given":"Béatrice"},{"family":"Canonne-Hergaux","given":"François"},{"family":"Nicolas","given":"Gaël"},{"family":"Vaulont","given":"Sophie"}],"issued":{"date-parts":[["2010",3]]}}},{"id":"z1PZoHrb/asTkrwoc","uris":["http://zotero.org/users/4222068/items/6B7CM255"],"uri":["http://zotero.org/users/4222068/items/6B7CM255"],"itemData":{"id":1309,"type":"article-journal","title":"Intestinal DMT1 cotransporter is down-regulated by hepcidin via proteasome internalization and degradation","container-title":"Gastroenterology","page":"1261-1271.e1","volume":"140","issue":"4","source":"PubMed","abstract":"BACKGROUNDS &amp; AIMS: The mechanism by which hepcidin regulates iron export from macrophages has been well established and is believed to involve degradation of ferroportin. However, in the small intestine, hepcidin's mechanisms of action are not known. We studied human polarized intestinal (Caco-2/TC7) cells and mouse duodenal segments, ex vivo, to investigate the molecular mechanisms by which hepcidin down-regulates intestinal transepithelial iron transport.\nMETHODS: Iron transport was analyzed using </w:instrText>
      </w:r>
      <w:r w:rsidR="00D2645C" w:rsidRPr="007F5A49">
        <w:rPr>
          <w:rFonts w:ascii="Calibri" w:eastAsia="Calibri" w:hAnsi="Calibri" w:cs="Calibri"/>
          <w:vertAlign w:val="superscript"/>
          <w:lang w:val="en-US"/>
        </w:rPr>
        <w:instrText>⁵⁵</w:instrText>
      </w:r>
      <w:r w:rsidR="00D2645C" w:rsidRPr="007F5A49">
        <w:rPr>
          <w:rFonts w:ascii="Book Antiqua" w:hAnsi="Book Antiqua" w:cs="Arial"/>
          <w:vertAlign w:val="superscript"/>
          <w:lang w:val="en-US"/>
        </w:rPr>
        <w:instrText xml:space="preserve">FeNTA. Expression of Divalent Metal Transporter 1 (DMT1) and ferroportin was evaluated by reverse-transcription quantitative polymerase chain reaction and immunoblotting. Videomicroscopy analysis was performed on live cells that expressed either DMT1 or ferroportin fused to green fluorescent protein.\nRESULTS: In Caco-2/TC7 cells, physiologic doses of hepcidin (50-1000 nmol/L) inhibited transport of </w:instrText>
      </w:r>
      <w:r w:rsidR="00D2645C" w:rsidRPr="007F5A49">
        <w:rPr>
          <w:rFonts w:ascii="Calibri" w:eastAsia="Calibri" w:hAnsi="Calibri" w:cs="Calibri"/>
          <w:vertAlign w:val="superscript"/>
          <w:lang w:val="en-US"/>
        </w:rPr>
        <w:instrText>⁵⁵</w:instrText>
      </w:r>
      <w:r w:rsidR="00D2645C" w:rsidRPr="007F5A49">
        <w:rPr>
          <w:rFonts w:ascii="Book Antiqua" w:hAnsi="Book Antiqua" w:cs="Arial"/>
          <w:vertAlign w:val="superscript"/>
          <w:lang w:val="en-US"/>
        </w:rPr>
        <w:instrText xml:space="preserve">Fe in a dose-dependent manner; a half-maximum effect was observed at 75-100 nmol/L. However, 200 nmol/L hepcidin induced a significant decrease in DMT1 protein expression but no change in ferroportin protein levels, unlike macrophages. This result was confirmed ex vivo in isolated duodenal segments: 200 nmol/L hepcidin induced a significant reduction in iron transport and DMT1 protein levels but no change in ferroportin levels. In Caco-2/TC7 cells, the effect of hepcidin on the DMT1 protein level was completely abolished in the presence of a proteasome inhibitor (MG-132); DMT1 ubiquitination was induced by the addition of hepcidin.\nCONCLUSIONS: An acute increase in hepcidin concentration reduces intestinal iron absorption through ubiquitin-dependent proteasome degradation of DMT1.","DOI":"10.1053/j.gastro.2010.12.037","ISSN":"1528-0012","note":"PMID: 21199652","journalAbbreviation":"Gastroenterology","language":"eng","author":[{"family":"Brasse-Lagnel","given":"Carole"},{"family":"Karim","given":"Zoubida"},{"family":"Letteron","given":"Philippe"},{"family":"Bekri","given":"Soumeya"},{"family":"Bado","given":"André"},{"family":"Beaumont","given":"Carole"}],"issued":{"date-parts":[["2011",4]]}}}],"schema":"https://github.com/citation-style-language/schema/raw/master/csl-citation.json"} </w:instrText>
      </w:r>
      <w:r w:rsidR="00A32BF7" w:rsidRPr="007F5A49">
        <w:rPr>
          <w:rFonts w:ascii="Book Antiqua" w:hAnsi="Book Antiqua" w:cs="Arial"/>
          <w:vertAlign w:val="superscript"/>
          <w:lang w:val="en-US"/>
        </w:rPr>
        <w:fldChar w:fldCharType="separate"/>
      </w:r>
      <w:r w:rsidR="00405DF9" w:rsidRPr="007F5A49">
        <w:rPr>
          <w:rFonts w:ascii="Book Antiqua" w:hAnsi="Book Antiqua"/>
          <w:vertAlign w:val="superscript"/>
          <w:lang w:val="en-US"/>
        </w:rPr>
        <w:t>[</w:t>
      </w:r>
      <w:r w:rsidR="00D2645C" w:rsidRPr="007F5A49">
        <w:rPr>
          <w:rFonts w:ascii="Book Antiqua" w:hAnsi="Book Antiqua"/>
          <w:vertAlign w:val="superscript"/>
          <w:lang w:val="en-US"/>
        </w:rPr>
        <w:t>5,6,31</w:t>
      </w:r>
      <w:r w:rsidR="00A32BF7" w:rsidRPr="007F5A49">
        <w:rPr>
          <w:rFonts w:ascii="Book Antiqua" w:hAnsi="Book Antiqua" w:cs="Arial"/>
          <w:vertAlign w:val="superscript"/>
          <w:lang w:val="en-US"/>
        </w:rPr>
        <w:fldChar w:fldCharType="end"/>
      </w:r>
      <w:r w:rsidR="00405DF9" w:rsidRPr="007F5A49">
        <w:rPr>
          <w:rFonts w:ascii="Book Antiqua" w:hAnsi="Book Antiqua" w:cs="Arial"/>
          <w:vertAlign w:val="superscript"/>
          <w:lang w:val="en-US"/>
        </w:rPr>
        <w:t>]</w:t>
      </w:r>
      <w:r w:rsidR="00F92F2E" w:rsidRPr="007F5A49">
        <w:rPr>
          <w:rFonts w:ascii="Book Antiqua" w:hAnsi="Book Antiqua" w:cs="Arial"/>
          <w:lang w:val="en-US"/>
        </w:rPr>
        <w:t>.</w:t>
      </w:r>
      <w:r w:rsidR="004D210A" w:rsidRPr="007F5A49">
        <w:rPr>
          <w:rFonts w:ascii="Book Antiqua" w:hAnsi="Book Antiqua" w:cs="Arial"/>
          <w:lang w:val="en-US"/>
        </w:rPr>
        <w:t xml:space="preserve"> </w:t>
      </w:r>
      <w:r w:rsidR="00A32BF7" w:rsidRPr="007F5A49">
        <w:rPr>
          <w:rFonts w:ascii="Book Antiqua" w:hAnsi="Book Antiqua" w:cs="Arial"/>
          <w:lang w:val="en-US"/>
        </w:rPr>
        <w:t xml:space="preserve">However, under </w:t>
      </w:r>
      <w:r w:rsidR="003E276D" w:rsidRPr="007F5A49">
        <w:rPr>
          <w:rFonts w:ascii="Book Antiqua" w:hAnsi="Book Antiqua" w:cs="Arial"/>
          <w:lang w:val="en-US"/>
        </w:rPr>
        <w:t xml:space="preserve">iron-loading </w:t>
      </w:r>
      <w:r w:rsidR="00A32BF7" w:rsidRPr="007F5A49">
        <w:rPr>
          <w:rFonts w:ascii="Book Antiqua" w:hAnsi="Book Antiqua" w:cs="Arial"/>
          <w:lang w:val="en-US"/>
        </w:rPr>
        <w:t xml:space="preserve">conditions such as </w:t>
      </w:r>
      <w:r w:rsidR="00420A5E" w:rsidRPr="007F5A49">
        <w:rPr>
          <w:rFonts w:ascii="Book Antiqua" w:hAnsi="Book Antiqua" w:cs="Arial"/>
          <w:lang w:val="en-US"/>
        </w:rPr>
        <w:t>haemochromatosis, levels of non-transferrin bound iron (NTBI) (free iron circulating in plasma and iron loosely bound to moieties such as albumin, citrate and acetate) increase</w:t>
      </w:r>
      <w:r w:rsidR="00420A5E" w:rsidRPr="007F5A49">
        <w:rPr>
          <w:rFonts w:ascii="Book Antiqua" w:hAnsi="Book Antiqua" w:cs="Arial"/>
          <w:vertAlign w:val="superscript"/>
          <w:lang w:val="en-US"/>
        </w:rPr>
        <w:fldChar w:fldCharType="begin"/>
      </w:r>
      <w:r w:rsidR="00D2645C" w:rsidRPr="007F5A49">
        <w:rPr>
          <w:rFonts w:ascii="Book Antiqua" w:hAnsi="Book Antiqua" w:cs="Arial"/>
          <w:vertAlign w:val="superscript"/>
          <w:lang w:val="en-US"/>
        </w:rPr>
        <w:instrText xml:space="preserve"> ADDIN ZOTERO_ITEM CSL_CITATION {"citationID":"a23rcqe9i03","properties":{"formattedCitation":"(32)","plainCitation":"(32)","noteIndex":0},"citationItems":[{"id":"z1PZoHrb/GvGFIE2A","uris":["http://zotero.org/users/4222068/items/9QU8U66E"],"uri":["http://zotero.org/users/4222068/items/9QU8U66E"],"itemData":{"id":1484,"type":"article-journal","title":"Non-transferrin-bound iron is present in serum of hereditary haemochromatosis heterozygotes","container-title":"European Journal of Clinical Investigation","page":"248-251","volume":"30","issue":"3","source":"PubMed","abstract":"BACKGROUND: Hereditary haemochromatosis (HH) is a common autosomal recessive disease. Recently, HH heterozygosity has been identified as an independent risk factor for myocardial infarction and cardiovascular mortality. Iron may play an important role in atherogenesis by catalyzing peroxidation of low-density-lipoprotein (LDL), an essential step in atherogenesis. In iron overload conditions, non-transferrin-bound iron (NTBI) is found in serum, which can catalyze lipid peroxidation. We investigated whether sera of HH heterozygotes contain more NTBI than sera of normal controls.\nMETHODS: In 27 treated HH homozygotes, 22 HH heterozygotes and 17 healthy control subjects, conventional parameters of iron status (serum iron, transferrin saturation, serum ferritin) were measured. NTBI was detected using HPLC after addition of nitrilotriacetic acid and pretreatment with cobalt.\nRESULTS: The conventional parameters of iron status were similar in the HH heterozygous group and the control group. NTBI was significantly higher in homozygotes compared to heterozygotes (1.79 micromol L-1 vs. 0.51 micromol L-1, 95% CI of the difference = 0.6-1.95, P &lt; 0.001), and controls (1.79 micromol L-1 vs. - 0.3 micromol L-1, 95% CI of the difference = 1.36-2.81, P &lt; 0.001). The difference in NTBI between the heterozygous subjects and control subjects was also significant (0.51 micromol L-1 vs. - 0. 3 micromol L-1, 95% CI of the difference = 0.05-1.57, P &lt; 0.05).\nCONCLUSION: Phlebotomy treated HH homozygotes maintain a high and potentially harmful serum NTBI. HH heterozygotes have a higher serum NTBI than normal controls. The reported increased risk of cardiovascular events in heterozygous haemochromatosis may be explained by NTBI-catalyzed LDL peroxidation.","ISSN":"0014-2972","note":"PMID: 10692002","journalAbbreviation":"Eur. J. Clin. Invest.","language":"eng","author":[{"family":"Valk","given":"B.","non-dropping-particle":"de"},{"family":"Addicks","given":"M. A."},{"family":"Gosriwatana","given":"I."},{"family":"Lu","given":"S."},{"family":"Hider","given":"R. C."},{"family":"Marx","given":"J. J."}],"issued":{"date-parts":[["2000",3]]}}}],"schema":"https://github.com/citation-style-language/schema/raw/master/csl-citation.json"} </w:instrText>
      </w:r>
      <w:r w:rsidR="00420A5E" w:rsidRPr="007F5A49">
        <w:rPr>
          <w:rFonts w:ascii="Book Antiqua" w:hAnsi="Book Antiqua" w:cs="Arial"/>
          <w:vertAlign w:val="superscript"/>
          <w:lang w:val="en-US"/>
        </w:rPr>
        <w:fldChar w:fldCharType="separate"/>
      </w:r>
      <w:r w:rsidR="00EB558F" w:rsidRPr="007F5A49">
        <w:rPr>
          <w:rFonts w:ascii="Book Antiqua" w:hAnsi="Book Antiqua"/>
          <w:vertAlign w:val="superscript"/>
          <w:lang w:val="en-US"/>
        </w:rPr>
        <w:t>[</w:t>
      </w:r>
      <w:r w:rsidR="00D2645C" w:rsidRPr="007F5A49">
        <w:rPr>
          <w:rFonts w:ascii="Book Antiqua" w:hAnsi="Book Antiqua"/>
          <w:vertAlign w:val="superscript"/>
          <w:lang w:val="en-US"/>
        </w:rPr>
        <w:t>32</w:t>
      </w:r>
      <w:r w:rsidR="00420A5E" w:rsidRPr="007F5A49">
        <w:rPr>
          <w:rFonts w:ascii="Book Antiqua" w:hAnsi="Book Antiqua" w:cs="Arial"/>
          <w:vertAlign w:val="superscript"/>
          <w:lang w:val="en-US"/>
        </w:rPr>
        <w:fldChar w:fldCharType="end"/>
      </w:r>
      <w:r w:rsidR="00EB558F" w:rsidRPr="007F5A49">
        <w:rPr>
          <w:rFonts w:ascii="Book Antiqua" w:hAnsi="Book Antiqua" w:cs="Arial"/>
          <w:vertAlign w:val="superscript"/>
          <w:lang w:val="en-US"/>
        </w:rPr>
        <w:t>]</w:t>
      </w:r>
      <w:r w:rsidR="00F92F2E" w:rsidRPr="007F5A49">
        <w:rPr>
          <w:rFonts w:ascii="Book Antiqua" w:hAnsi="Book Antiqua" w:cs="Arial"/>
          <w:lang w:val="en-US"/>
        </w:rPr>
        <w:t xml:space="preserve">. </w:t>
      </w:r>
      <w:r w:rsidR="00E412B3" w:rsidRPr="007F5A49">
        <w:rPr>
          <w:rFonts w:ascii="Book Antiqua" w:hAnsi="Book Antiqua" w:cs="Arial"/>
          <w:lang w:val="en-US"/>
        </w:rPr>
        <w:t>Here</w:t>
      </w:r>
      <w:r w:rsidR="00583401" w:rsidRPr="007F5A49">
        <w:rPr>
          <w:rFonts w:ascii="Book Antiqua" w:hAnsi="Book Antiqua" w:cs="Arial"/>
          <w:lang w:val="en-US"/>
        </w:rPr>
        <w:t>, the availability of water-soluble free Fe</w:t>
      </w:r>
      <w:r w:rsidR="00583401" w:rsidRPr="007F5A49">
        <w:rPr>
          <w:rFonts w:ascii="Book Antiqua" w:hAnsi="Book Antiqua" w:cs="Arial"/>
          <w:vertAlign w:val="superscript"/>
          <w:lang w:val="en-US"/>
        </w:rPr>
        <w:t xml:space="preserve">2+ </w:t>
      </w:r>
      <w:r w:rsidR="00583401" w:rsidRPr="007F5A49">
        <w:rPr>
          <w:rFonts w:ascii="Book Antiqua" w:hAnsi="Book Antiqua" w:cs="Arial"/>
          <w:lang w:val="en-US"/>
        </w:rPr>
        <w:t>iron forms the foundation for iron toxicity</w:t>
      </w:r>
      <w:r w:rsidR="00583401" w:rsidRPr="007F5A49">
        <w:rPr>
          <w:rFonts w:ascii="Book Antiqua" w:hAnsi="Book Antiqua" w:cs="Arial"/>
          <w:vertAlign w:val="superscript"/>
          <w:lang w:val="en-US"/>
        </w:rPr>
        <w:fldChar w:fldCharType="begin"/>
      </w:r>
      <w:r w:rsidR="00D2645C" w:rsidRPr="007F5A49">
        <w:rPr>
          <w:rFonts w:ascii="Book Antiqua" w:hAnsi="Book Antiqua" w:cs="Arial"/>
          <w:vertAlign w:val="superscript"/>
          <w:lang w:val="en-US"/>
        </w:rPr>
        <w:instrText xml:space="preserve"> ADDIN ZOTERO_ITEM CSL_CITATION {"citationID":"1b9ilsc0t6","properties":{"formattedCitation":"(33)","plainCitation":"(33)","noteIndex":0},"citationItems":[{"id":52,"uris":["http://zotero.org/users/2804724/items/5VDIPKIB"],"uri":["http://zotero.org/users/2804724/items/5VDIPKIB"],"itemData":{"id":52,"type":"article-journal","title":"Metals, oxidative stress, and hepatic fibrogenesis","container-title":"Seminars in Liver Disease","page":"13-30","volume":"16","issue":"1","source":"PubMed","DOI":"10.1055/s-2007-1007215","ISSN":"0272-8087","note":"PMID: 8723320","journalAbbreviation":"Semin. Liver Dis.","language":"eng","author":[{"family":"Pietrangelo","given":"A."}],"issued":{"date-parts":[["1996",2]]}}}],"schema":"https://github.com/citation-style-language/schema/raw/master/csl-citation.json"} </w:instrText>
      </w:r>
      <w:r w:rsidR="00583401" w:rsidRPr="007F5A49">
        <w:rPr>
          <w:rFonts w:ascii="Book Antiqua" w:hAnsi="Book Antiqua" w:cs="Arial"/>
          <w:vertAlign w:val="superscript"/>
          <w:lang w:val="en-US"/>
        </w:rPr>
        <w:fldChar w:fldCharType="separate"/>
      </w:r>
      <w:r w:rsidR="00EB558F" w:rsidRPr="007F5A49">
        <w:rPr>
          <w:rFonts w:ascii="Book Antiqua" w:hAnsi="Book Antiqua"/>
          <w:vertAlign w:val="superscript"/>
          <w:lang w:val="en-US"/>
        </w:rPr>
        <w:t>[</w:t>
      </w:r>
      <w:r w:rsidR="00D2645C" w:rsidRPr="007F5A49">
        <w:rPr>
          <w:rFonts w:ascii="Book Antiqua" w:hAnsi="Book Antiqua"/>
          <w:vertAlign w:val="superscript"/>
          <w:lang w:val="en-US"/>
        </w:rPr>
        <w:t>33</w:t>
      </w:r>
      <w:r w:rsidR="00583401" w:rsidRPr="007F5A49">
        <w:rPr>
          <w:rFonts w:ascii="Book Antiqua" w:hAnsi="Book Antiqua" w:cs="Arial"/>
          <w:vertAlign w:val="superscript"/>
          <w:lang w:val="en-US"/>
        </w:rPr>
        <w:fldChar w:fldCharType="end"/>
      </w:r>
      <w:r w:rsidR="00EB558F" w:rsidRPr="007F5A49">
        <w:rPr>
          <w:rFonts w:ascii="Book Antiqua" w:hAnsi="Book Antiqua" w:cs="Arial"/>
          <w:vertAlign w:val="superscript"/>
          <w:lang w:val="en-US"/>
        </w:rPr>
        <w:t>]</w:t>
      </w:r>
      <w:r w:rsidR="00E412B3" w:rsidRPr="007F5A49">
        <w:rPr>
          <w:rFonts w:ascii="Book Antiqua" w:hAnsi="Book Antiqua" w:cs="Arial"/>
          <w:vertAlign w:val="superscript"/>
          <w:lang w:val="en-US"/>
        </w:rPr>
        <w:t xml:space="preserve"> </w:t>
      </w:r>
      <w:r w:rsidR="00E412B3" w:rsidRPr="007F5A49">
        <w:rPr>
          <w:rFonts w:ascii="Book Antiqua" w:hAnsi="Book Antiqua" w:cs="Arial"/>
          <w:lang w:val="en-US"/>
        </w:rPr>
        <w:t xml:space="preserve">as it </w:t>
      </w:r>
      <w:r w:rsidR="00583401" w:rsidRPr="007F5A49">
        <w:rPr>
          <w:rFonts w:ascii="Book Antiqua" w:hAnsi="Book Antiqua" w:cs="Arial"/>
          <w:lang w:val="en-US"/>
        </w:rPr>
        <w:t xml:space="preserve">accelerates </w:t>
      </w:r>
      <w:r w:rsidR="00420A5E" w:rsidRPr="007F5A49">
        <w:rPr>
          <w:rFonts w:ascii="Book Antiqua" w:hAnsi="Book Antiqua" w:cs="Arial"/>
          <w:lang w:val="en-US"/>
        </w:rPr>
        <w:t xml:space="preserve">the Fenton reaction to generate </w:t>
      </w:r>
      <w:r w:rsidR="00A32BF7" w:rsidRPr="007F5A49">
        <w:rPr>
          <w:rFonts w:ascii="Book Antiqua" w:hAnsi="Book Antiqua" w:cs="Arial"/>
          <w:lang w:val="en-US"/>
        </w:rPr>
        <w:t xml:space="preserve">unquenchable levels of ROS, which </w:t>
      </w:r>
      <w:r w:rsidR="00817734" w:rsidRPr="007F5A49">
        <w:rPr>
          <w:rFonts w:ascii="Book Antiqua" w:hAnsi="Book Antiqua" w:cs="Arial"/>
          <w:lang w:val="en-US"/>
        </w:rPr>
        <w:t xml:space="preserve">can </w:t>
      </w:r>
      <w:r w:rsidR="00A32BF7" w:rsidRPr="007F5A49">
        <w:rPr>
          <w:rFonts w:ascii="Book Antiqua" w:hAnsi="Book Antiqua" w:cs="Arial"/>
          <w:lang w:val="en-US"/>
        </w:rPr>
        <w:t>saturate the antioxidant systems</w:t>
      </w:r>
      <w:r w:rsidR="00420A5E" w:rsidRPr="007F5A49">
        <w:rPr>
          <w:rFonts w:ascii="Book Antiqua" w:hAnsi="Book Antiqua" w:cs="Arial"/>
          <w:lang w:val="en-US"/>
        </w:rPr>
        <w:t>.</w:t>
      </w:r>
      <w:r w:rsidR="00E412B3" w:rsidRPr="007F5A49">
        <w:rPr>
          <w:rFonts w:ascii="Book Antiqua" w:hAnsi="Book Antiqua" w:cs="Arial"/>
          <w:lang w:val="en-US"/>
        </w:rPr>
        <w:t xml:space="preserve"> </w:t>
      </w:r>
      <w:r w:rsidR="00420A5E" w:rsidRPr="007F5A49">
        <w:rPr>
          <w:rFonts w:ascii="Book Antiqua" w:hAnsi="Book Antiqua" w:cs="Arial"/>
          <w:lang w:val="en-US"/>
        </w:rPr>
        <w:t xml:space="preserve">These electron-scavenging free radicals attack biomolecules and promote the formation of other free radicals such as </w:t>
      </w:r>
      <w:proofErr w:type="spellStart"/>
      <w:r w:rsidR="00420A5E" w:rsidRPr="007F5A49">
        <w:rPr>
          <w:rFonts w:ascii="Book Antiqua" w:hAnsi="Book Antiqua" w:cs="Arial"/>
          <w:lang w:val="en-US"/>
        </w:rPr>
        <w:t>thiyl</w:t>
      </w:r>
      <w:proofErr w:type="spellEnd"/>
      <w:r w:rsidR="00420A5E" w:rsidRPr="007F5A49">
        <w:rPr>
          <w:rFonts w:ascii="Book Antiqua" w:hAnsi="Book Antiqua" w:cs="Arial"/>
          <w:lang w:val="en-US"/>
        </w:rPr>
        <w:t xml:space="preserve"> and peroxyl radicals, thereby initiating a perpetual free radical chain reaction</w:t>
      </w:r>
      <w:r w:rsidR="00420A5E" w:rsidRPr="007F5A49">
        <w:rPr>
          <w:rFonts w:ascii="Book Antiqua" w:hAnsi="Book Antiqua" w:cs="Arial"/>
          <w:vertAlign w:val="superscript"/>
          <w:lang w:val="en-US"/>
        </w:rPr>
        <w:fldChar w:fldCharType="begin"/>
      </w:r>
      <w:r w:rsidR="00D2645C" w:rsidRPr="007F5A49">
        <w:rPr>
          <w:rFonts w:ascii="Book Antiqua" w:hAnsi="Book Antiqua" w:cs="Arial"/>
          <w:vertAlign w:val="superscript"/>
          <w:lang w:val="en-US"/>
        </w:rPr>
        <w:instrText xml:space="preserve"> ADDIN ZOTERO_ITEM CSL_CITATION {"citationID":"2n41cs94gq","properties":{"formattedCitation":"(34)","plainCitation":"(34)","noteIndex":0},"citationItems":[{"id":359,"uris":["http://zotero.org/users/2804724/items/RX8G6VVR"],"uri":["http://zotero.org/users/2804724/items/RX8G6VVR"],"itemData":{"id":359,"type":"article-journal","title":"Antimicrobial activity of metals: mechanisms, molecular targets and applications","container-title":"Nature Reviews Microbiology","page":"371-384","volume":"11","issue":"6","source":"www.nature.com","DOI":"10.1038/nrmicro3028","ISSN":"1740-1526","shortTitle":"Antimicrobial activity of metals","language":"en","author":[{"family":"Lemire","given":"Joseph A."},{"family":"Harrison","given":"Joe J."},{"family":"Turner","given":"Raymond J."}],"issued":{"date-parts":[["2013",6,1]]}}}],"schema":"https://github.com/citation-style-language/schema/raw/master/csl-citation.json"} </w:instrText>
      </w:r>
      <w:r w:rsidR="00420A5E" w:rsidRPr="007F5A49">
        <w:rPr>
          <w:rFonts w:ascii="Book Antiqua" w:hAnsi="Book Antiqua" w:cs="Arial"/>
          <w:vertAlign w:val="superscript"/>
          <w:lang w:val="en-US"/>
        </w:rPr>
        <w:fldChar w:fldCharType="separate"/>
      </w:r>
      <w:r w:rsidR="00EB558F" w:rsidRPr="007F5A49">
        <w:rPr>
          <w:rFonts w:ascii="Book Antiqua" w:hAnsi="Book Antiqua"/>
          <w:vertAlign w:val="superscript"/>
          <w:lang w:val="en-US"/>
        </w:rPr>
        <w:t>[</w:t>
      </w:r>
      <w:r w:rsidR="00D2645C" w:rsidRPr="007F5A49">
        <w:rPr>
          <w:rFonts w:ascii="Book Antiqua" w:hAnsi="Book Antiqua"/>
          <w:vertAlign w:val="superscript"/>
          <w:lang w:val="en-US"/>
        </w:rPr>
        <w:t>34</w:t>
      </w:r>
      <w:r w:rsidR="00420A5E" w:rsidRPr="007F5A49">
        <w:rPr>
          <w:rFonts w:ascii="Book Antiqua" w:hAnsi="Book Antiqua" w:cs="Arial"/>
          <w:vertAlign w:val="superscript"/>
          <w:lang w:val="en-US"/>
        </w:rPr>
        <w:fldChar w:fldCharType="end"/>
      </w:r>
      <w:r w:rsidR="00EB558F" w:rsidRPr="007F5A49">
        <w:rPr>
          <w:rFonts w:ascii="Book Antiqua" w:hAnsi="Book Antiqua" w:cs="Arial"/>
          <w:vertAlign w:val="superscript"/>
          <w:lang w:val="en-US"/>
        </w:rPr>
        <w:t>]</w:t>
      </w:r>
      <w:r w:rsidR="001362B0" w:rsidRPr="007F5A49">
        <w:rPr>
          <w:rFonts w:ascii="Book Antiqua" w:hAnsi="Book Antiqua" w:cs="Arial"/>
          <w:lang w:val="en-US"/>
        </w:rPr>
        <w:t xml:space="preserve">. </w:t>
      </w:r>
    </w:p>
    <w:p w14:paraId="3125D41F" w14:textId="4C173FE4" w:rsidR="005270C5" w:rsidRPr="007F5A49" w:rsidRDefault="00C04BB2" w:rsidP="007F5A49">
      <w:pPr>
        <w:adjustRightInd w:val="0"/>
        <w:snapToGrid w:val="0"/>
        <w:spacing w:after="0" w:line="360" w:lineRule="auto"/>
        <w:jc w:val="both"/>
        <w:rPr>
          <w:rFonts w:ascii="Book Antiqua" w:hAnsi="Book Antiqua" w:cs="Arial"/>
          <w:sz w:val="24"/>
          <w:szCs w:val="24"/>
          <w:lang w:val="en-US"/>
        </w:rPr>
      </w:pPr>
      <w:r>
        <w:rPr>
          <w:rFonts w:ascii="Book Antiqua" w:hAnsi="Book Antiqua" w:cs="Arial"/>
          <w:sz w:val="24"/>
          <w:szCs w:val="24"/>
          <w:lang w:val="en-US"/>
        </w:rPr>
        <w:t xml:space="preserve">  </w:t>
      </w:r>
      <w:r w:rsidR="00420A5E" w:rsidRPr="007F5A49">
        <w:rPr>
          <w:rFonts w:ascii="Book Antiqua" w:hAnsi="Book Antiqua" w:cs="Arial"/>
          <w:sz w:val="24"/>
          <w:szCs w:val="24"/>
          <w:lang w:val="en-US"/>
        </w:rPr>
        <w:t xml:space="preserve">ROS </w:t>
      </w:r>
      <w:r w:rsidR="004D210A" w:rsidRPr="007F5A49">
        <w:rPr>
          <w:rFonts w:ascii="Book Antiqua" w:hAnsi="Book Antiqua" w:cs="Arial"/>
          <w:sz w:val="24"/>
          <w:szCs w:val="24"/>
          <w:lang w:val="en-US"/>
        </w:rPr>
        <w:t xml:space="preserve">can </w:t>
      </w:r>
      <w:r w:rsidR="00A32BF7" w:rsidRPr="007F5A49">
        <w:rPr>
          <w:rFonts w:ascii="Book Antiqua" w:hAnsi="Book Antiqua" w:cs="Arial"/>
          <w:sz w:val="24"/>
          <w:szCs w:val="24"/>
          <w:lang w:val="en-US"/>
        </w:rPr>
        <w:t>oxidize lipids, proteins and nucleic acids, thereby promoting fibrosis-initiation and/or fibrosis-progression.</w:t>
      </w:r>
      <w:r w:rsidR="00583401" w:rsidRPr="007F5A49">
        <w:rPr>
          <w:rFonts w:ascii="Book Antiqua" w:hAnsi="Book Antiqua" w:cs="Arial"/>
          <w:sz w:val="24"/>
          <w:szCs w:val="24"/>
          <w:lang w:val="en-US"/>
        </w:rPr>
        <w:t xml:space="preserve"> </w:t>
      </w:r>
      <w:r w:rsidR="005270C5" w:rsidRPr="007F5A49">
        <w:rPr>
          <w:rFonts w:ascii="Book Antiqua" w:hAnsi="Book Antiqua" w:cs="Arial"/>
          <w:sz w:val="24"/>
          <w:szCs w:val="24"/>
          <w:lang w:val="en-US"/>
        </w:rPr>
        <w:t>ROS-</w:t>
      </w:r>
      <w:r w:rsidR="00606CD7" w:rsidRPr="007F5A49">
        <w:rPr>
          <w:rFonts w:ascii="Book Antiqua" w:hAnsi="Book Antiqua" w:cs="Arial"/>
          <w:sz w:val="24"/>
          <w:szCs w:val="24"/>
          <w:lang w:val="en-US"/>
        </w:rPr>
        <w:t>induce</w:t>
      </w:r>
      <w:r w:rsidR="005270C5" w:rsidRPr="007F5A49">
        <w:rPr>
          <w:rFonts w:ascii="Book Antiqua" w:hAnsi="Book Antiqua" w:cs="Arial"/>
          <w:sz w:val="24"/>
          <w:szCs w:val="24"/>
          <w:lang w:val="en-US"/>
        </w:rPr>
        <w:t>d</w:t>
      </w:r>
      <w:r w:rsidR="00606CD7" w:rsidRPr="007F5A49">
        <w:rPr>
          <w:rFonts w:ascii="Book Antiqua" w:hAnsi="Book Antiqua" w:cs="Arial"/>
          <w:sz w:val="24"/>
          <w:szCs w:val="24"/>
          <w:lang w:val="en-US"/>
        </w:rPr>
        <w:t xml:space="preserve"> lipid peroxidation of cell membranes and the membranes of </w:t>
      </w:r>
      <w:r w:rsidR="00081E0B" w:rsidRPr="007F5A49">
        <w:rPr>
          <w:rFonts w:ascii="Book Antiqua" w:hAnsi="Book Antiqua" w:cs="Arial"/>
          <w:sz w:val="24"/>
          <w:szCs w:val="24"/>
          <w:lang w:val="en-US"/>
        </w:rPr>
        <w:t>cellular organelles</w:t>
      </w:r>
      <w:r w:rsidR="00483A2E" w:rsidRPr="007F5A49">
        <w:rPr>
          <w:rFonts w:ascii="Book Antiqua" w:hAnsi="Book Antiqua" w:cs="Arial"/>
          <w:sz w:val="24"/>
          <w:szCs w:val="24"/>
          <w:lang w:val="en-US"/>
        </w:rPr>
        <w:t xml:space="preserve"> </w:t>
      </w:r>
      <w:r w:rsidR="006C5290" w:rsidRPr="007F5A49">
        <w:rPr>
          <w:rFonts w:ascii="Book Antiqua" w:hAnsi="Book Antiqua" w:cs="Arial"/>
          <w:sz w:val="24"/>
          <w:szCs w:val="24"/>
          <w:lang w:val="en-US"/>
        </w:rPr>
        <w:t>contribute</w:t>
      </w:r>
      <w:r w:rsidR="003E276D" w:rsidRPr="007F5A49">
        <w:rPr>
          <w:rFonts w:ascii="Book Antiqua" w:hAnsi="Book Antiqua" w:cs="Arial"/>
          <w:sz w:val="24"/>
          <w:szCs w:val="24"/>
          <w:lang w:val="en-US"/>
        </w:rPr>
        <w:t>s</w:t>
      </w:r>
      <w:r w:rsidR="006C5290" w:rsidRPr="007F5A49">
        <w:rPr>
          <w:rFonts w:ascii="Book Antiqua" w:hAnsi="Book Antiqua" w:cs="Arial"/>
          <w:sz w:val="24"/>
          <w:szCs w:val="24"/>
          <w:lang w:val="en-US"/>
        </w:rPr>
        <w:t xml:space="preserve"> to hepatocyte apoptosis and necrosis</w:t>
      </w:r>
      <w:r w:rsidR="003E276D" w:rsidRPr="007F5A49">
        <w:rPr>
          <w:rFonts w:ascii="Book Antiqua" w:hAnsi="Book Antiqua" w:cs="Arial"/>
          <w:sz w:val="24"/>
          <w:szCs w:val="24"/>
          <w:lang w:val="en-US"/>
        </w:rPr>
        <w:t>. This also e</w:t>
      </w:r>
      <w:r w:rsidR="006C5290" w:rsidRPr="007F5A49">
        <w:rPr>
          <w:rFonts w:ascii="Book Antiqua" w:hAnsi="Book Antiqua" w:cs="Arial"/>
          <w:sz w:val="24"/>
          <w:szCs w:val="24"/>
          <w:lang w:val="en-US"/>
        </w:rPr>
        <w:t>nhanc</w:t>
      </w:r>
      <w:r w:rsidR="00805859" w:rsidRPr="007F5A49">
        <w:rPr>
          <w:rFonts w:ascii="Book Antiqua" w:hAnsi="Book Antiqua" w:cs="Arial"/>
          <w:sz w:val="24"/>
          <w:szCs w:val="24"/>
          <w:lang w:val="en-US"/>
        </w:rPr>
        <w:t>e</w:t>
      </w:r>
      <w:r w:rsidR="003E276D" w:rsidRPr="007F5A49">
        <w:rPr>
          <w:rFonts w:ascii="Book Antiqua" w:hAnsi="Book Antiqua" w:cs="Arial"/>
          <w:sz w:val="24"/>
          <w:szCs w:val="24"/>
          <w:lang w:val="en-US"/>
        </w:rPr>
        <w:t>s</w:t>
      </w:r>
      <w:r w:rsidR="006C5290" w:rsidRPr="007F5A49">
        <w:rPr>
          <w:rFonts w:ascii="Book Antiqua" w:hAnsi="Book Antiqua" w:cs="Arial"/>
          <w:sz w:val="24"/>
          <w:szCs w:val="24"/>
          <w:lang w:val="en-US"/>
        </w:rPr>
        <w:t xml:space="preserve"> </w:t>
      </w:r>
      <w:proofErr w:type="spellStart"/>
      <w:r w:rsidR="006C5290" w:rsidRPr="007F5A49">
        <w:rPr>
          <w:rFonts w:ascii="Book Antiqua" w:hAnsi="Book Antiqua" w:cs="Arial"/>
          <w:sz w:val="24"/>
          <w:szCs w:val="24"/>
          <w:lang w:val="en-US"/>
        </w:rPr>
        <w:t>fibrogenic</w:t>
      </w:r>
      <w:proofErr w:type="spellEnd"/>
      <w:r w:rsidR="006C5290" w:rsidRPr="007F5A49">
        <w:rPr>
          <w:rFonts w:ascii="Book Antiqua" w:hAnsi="Book Antiqua" w:cs="Arial"/>
          <w:sz w:val="24"/>
          <w:szCs w:val="24"/>
          <w:lang w:val="en-US"/>
        </w:rPr>
        <w:t xml:space="preserve"> responses</w:t>
      </w:r>
      <w:r w:rsidR="003E276D" w:rsidRPr="007F5A49">
        <w:rPr>
          <w:rFonts w:ascii="Book Antiqua" w:hAnsi="Book Antiqua" w:cs="Arial"/>
          <w:sz w:val="24"/>
          <w:szCs w:val="24"/>
          <w:lang w:val="en-US"/>
        </w:rPr>
        <w:t xml:space="preserve">; </w:t>
      </w:r>
      <w:r w:rsidR="00081E0B" w:rsidRPr="007F5A49">
        <w:rPr>
          <w:rFonts w:ascii="Book Antiqua" w:hAnsi="Book Antiqua" w:cs="Arial"/>
          <w:sz w:val="24"/>
          <w:szCs w:val="24"/>
          <w:lang w:val="en-US"/>
        </w:rPr>
        <w:t>f</w:t>
      </w:r>
      <w:r w:rsidR="00500541" w:rsidRPr="007F5A49">
        <w:rPr>
          <w:rFonts w:ascii="Book Antiqua" w:hAnsi="Book Antiqua" w:cs="Arial"/>
          <w:sz w:val="24"/>
          <w:szCs w:val="24"/>
          <w:lang w:val="en-US"/>
        </w:rPr>
        <w:t>or example, l</w:t>
      </w:r>
      <w:r w:rsidR="00CF7DC8" w:rsidRPr="007F5A49">
        <w:rPr>
          <w:rFonts w:ascii="Book Antiqua" w:hAnsi="Book Antiqua" w:cs="Arial"/>
          <w:sz w:val="24"/>
          <w:szCs w:val="24"/>
          <w:lang w:val="en-US"/>
        </w:rPr>
        <w:t xml:space="preserve">ipid peroxidation stimulated the expressions of </w:t>
      </w:r>
      <w:r w:rsidR="00CF7DC8" w:rsidRPr="007F5A49">
        <w:rPr>
          <w:rFonts w:ascii="Book Antiqua" w:hAnsi="Book Antiqua" w:cs="Arial"/>
          <w:i/>
          <w:sz w:val="24"/>
          <w:szCs w:val="24"/>
          <w:lang w:val="en-US"/>
        </w:rPr>
        <w:t>col-1 α-1</w:t>
      </w:r>
      <w:r w:rsidR="00CF7DC8" w:rsidRPr="007F5A49">
        <w:rPr>
          <w:rFonts w:ascii="Book Antiqua" w:hAnsi="Book Antiqua" w:cs="Arial"/>
          <w:sz w:val="24"/>
          <w:szCs w:val="24"/>
          <w:lang w:val="en-US"/>
        </w:rPr>
        <w:t xml:space="preserve"> and </w:t>
      </w:r>
      <w:r w:rsidR="00CF7DC8" w:rsidRPr="007F5A49">
        <w:rPr>
          <w:rFonts w:ascii="Book Antiqua" w:hAnsi="Book Antiqua" w:cs="Arial"/>
          <w:i/>
          <w:sz w:val="24"/>
          <w:szCs w:val="24"/>
          <w:lang w:val="en-US"/>
        </w:rPr>
        <w:t>TGF-β</w:t>
      </w:r>
      <w:r w:rsidR="00CF7DC8" w:rsidRPr="007F5A49">
        <w:rPr>
          <w:rFonts w:ascii="Book Antiqua" w:hAnsi="Book Antiqua" w:cs="Arial"/>
          <w:sz w:val="24"/>
          <w:szCs w:val="24"/>
          <w:lang w:val="en-US"/>
        </w:rPr>
        <w:t xml:space="preserve"> in iron-loaded rats</w:t>
      </w:r>
      <w:r w:rsidR="00CF7DC8"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1ht85s95q6","properties":{"formattedCitation":"(18)","plainCitation":"(18)","noteIndex":0},"citationItems":[{"id":95,"uris":["http://zotero.org/users/2804724/items/C8M4ET7P"],"uri":["http://zotero.org/users/2804724/items/C8M4ET7P"],"itemData":{"id":95,"type":"article-journal","title":"TGF-beta and collagen-alpha 1 (I) gene expression are increased in hepatic acinar zone 1 of rats with iron overload","container-title":"The American Journal of Physiology","page":"G908-913","volume":"267","issue":"5 Pt 1","source":"PubMed","abstract":"We have shown that lipid peroxidation stimulates collagen-alpha 1 (I) gene transcription in cultured cells. Because iron is a transitional metal known to induce lipid peroxidation, we investigated whether hepatic lipid peroxidation modulates collagen gene expression in iron-overloaded rats. In this animal model of hemochromatosis, we show colocalization with iron in the hepatic acinar zone 1 of both lipid peroxidation and increased collagen-alpha 1 (I) transcripts, using immunohistochemistry for malondialdehyde-protein adducts and in situ hybridization, respectively. Iron overload stimulated the expression of the cytokine transforming growth factor-beta (TGF-beta) in acinar zone 1, in spite of the minor degree of hepatocellular necrosis and inflammation. The formation of reactive aldehydes and TGF-beta, both inducers of collagen gene expression, may play a role in the stimulation of hepatic collagen production in iron overload. These mechanisms could be a link between iron overload and fibrosis in genetic hemochromatosis.","ISSN":"0002-9513","note":"PMID: 7977754","journalAbbreviation":"Am. J. Physiol.","language":"eng","author":[{"family":"Houglum","given":"K."},{"family":"Bedossa","given":"P."},{"family":"Chojkier","given":"M."}],"issued":{"date-parts":[["1994",11]]}}}],"schema":"https://github.com/citation-style-language/schema/raw/master/csl-citation.json"} </w:instrText>
      </w:r>
      <w:r w:rsidR="00CF7DC8" w:rsidRPr="007F5A49">
        <w:rPr>
          <w:rFonts w:ascii="Book Antiqua" w:hAnsi="Book Antiqua" w:cs="Arial"/>
          <w:sz w:val="24"/>
          <w:szCs w:val="24"/>
          <w:vertAlign w:val="superscript"/>
          <w:lang w:val="en-US"/>
        </w:rPr>
        <w:fldChar w:fldCharType="separate"/>
      </w:r>
      <w:r w:rsidR="00EB558F"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18</w:t>
      </w:r>
      <w:r w:rsidR="00CF7DC8" w:rsidRPr="007F5A49">
        <w:rPr>
          <w:rFonts w:ascii="Book Antiqua" w:hAnsi="Book Antiqua" w:cs="Arial"/>
          <w:sz w:val="24"/>
          <w:szCs w:val="24"/>
          <w:vertAlign w:val="superscript"/>
          <w:lang w:val="en-US"/>
        </w:rPr>
        <w:fldChar w:fldCharType="end"/>
      </w:r>
      <w:r w:rsidR="00EB558F" w:rsidRPr="007F5A49">
        <w:rPr>
          <w:rFonts w:ascii="Book Antiqua" w:hAnsi="Book Antiqua" w:cs="Arial"/>
          <w:sz w:val="24"/>
          <w:szCs w:val="24"/>
          <w:vertAlign w:val="superscript"/>
          <w:lang w:val="en-US"/>
        </w:rPr>
        <w:t>]</w:t>
      </w:r>
      <w:r w:rsidR="00F92F2E" w:rsidRPr="007F5A49">
        <w:rPr>
          <w:rFonts w:ascii="Book Antiqua" w:hAnsi="Book Antiqua" w:cs="Arial"/>
          <w:sz w:val="24"/>
          <w:szCs w:val="24"/>
          <w:lang w:val="en-US"/>
        </w:rPr>
        <w:t xml:space="preserve">. </w:t>
      </w:r>
      <w:r w:rsidR="006239C3" w:rsidRPr="007F5A49">
        <w:rPr>
          <w:rFonts w:ascii="Book Antiqua" w:hAnsi="Book Antiqua" w:cs="Arial"/>
          <w:sz w:val="24"/>
          <w:szCs w:val="24"/>
          <w:lang w:val="en-US"/>
        </w:rPr>
        <w:t>T</w:t>
      </w:r>
      <w:r w:rsidR="00606CD7" w:rsidRPr="007F5A49">
        <w:rPr>
          <w:rFonts w:ascii="Book Antiqua" w:hAnsi="Book Antiqua" w:cs="Arial"/>
          <w:sz w:val="24"/>
          <w:szCs w:val="24"/>
          <w:lang w:val="en-US"/>
        </w:rPr>
        <w:t>he by</w:t>
      </w:r>
      <w:r w:rsidR="00565F17" w:rsidRPr="007F5A49">
        <w:rPr>
          <w:rFonts w:ascii="Book Antiqua" w:hAnsi="Book Antiqua" w:cs="Arial"/>
          <w:sz w:val="24"/>
          <w:szCs w:val="24"/>
          <w:lang w:val="en-US"/>
        </w:rPr>
        <w:t>-</w:t>
      </w:r>
      <w:r w:rsidR="00606CD7" w:rsidRPr="007F5A49">
        <w:rPr>
          <w:rFonts w:ascii="Book Antiqua" w:hAnsi="Book Antiqua" w:cs="Arial"/>
          <w:sz w:val="24"/>
          <w:szCs w:val="24"/>
          <w:lang w:val="en-US"/>
        </w:rPr>
        <w:t>products of lipid peroxidation</w:t>
      </w:r>
      <w:r w:rsidR="00EB558F" w:rsidRPr="007F5A49">
        <w:rPr>
          <w:rFonts w:ascii="Book Antiqua" w:hAnsi="Book Antiqua" w:cs="Arial"/>
          <w:sz w:val="24"/>
          <w:szCs w:val="24"/>
          <w:lang w:val="en-US"/>
        </w:rPr>
        <w:t xml:space="preserve"> such as malondialdehyde (MDA), </w:t>
      </w:r>
      <w:proofErr w:type="spellStart"/>
      <w:r w:rsidR="00606CD7" w:rsidRPr="007F5A49">
        <w:rPr>
          <w:rFonts w:ascii="Book Antiqua" w:hAnsi="Book Antiqua" w:cs="Arial"/>
          <w:sz w:val="24"/>
          <w:szCs w:val="24"/>
          <w:lang w:val="en-US"/>
        </w:rPr>
        <w:t>isoprostanes</w:t>
      </w:r>
      <w:proofErr w:type="spellEnd"/>
      <w:r w:rsidR="00606CD7" w:rsidRPr="007F5A49">
        <w:rPr>
          <w:rFonts w:ascii="Book Antiqua" w:hAnsi="Book Antiqua" w:cs="Arial"/>
          <w:sz w:val="24"/>
          <w:szCs w:val="24"/>
          <w:lang w:val="en-US"/>
        </w:rPr>
        <w:t xml:space="preserve"> and 4-hydroxynonenal</w:t>
      </w:r>
      <w:r w:rsidR="008470AC" w:rsidRPr="007F5A49">
        <w:rPr>
          <w:rFonts w:ascii="Book Antiqua" w:hAnsi="Book Antiqua" w:cs="Arial"/>
          <w:sz w:val="24"/>
          <w:szCs w:val="24"/>
          <w:lang w:val="en-US"/>
        </w:rPr>
        <w:t xml:space="preserve"> (4</w:t>
      </w:r>
      <w:r w:rsidR="00ED37AD" w:rsidRPr="007F5A49">
        <w:rPr>
          <w:rFonts w:ascii="Book Antiqua" w:hAnsi="Book Antiqua" w:cs="Arial"/>
          <w:sz w:val="24"/>
          <w:szCs w:val="24"/>
          <w:lang w:val="en-US"/>
        </w:rPr>
        <w:t>-</w:t>
      </w:r>
      <w:r w:rsidR="008470AC" w:rsidRPr="007F5A49">
        <w:rPr>
          <w:rFonts w:ascii="Book Antiqua" w:hAnsi="Book Antiqua" w:cs="Arial"/>
          <w:sz w:val="24"/>
          <w:szCs w:val="24"/>
          <w:lang w:val="en-US"/>
        </w:rPr>
        <w:t>HNE)</w:t>
      </w:r>
      <w:r w:rsidR="003E276D" w:rsidRPr="007F5A49">
        <w:rPr>
          <w:rFonts w:ascii="Book Antiqua" w:hAnsi="Book Antiqua" w:cs="Arial"/>
          <w:sz w:val="24"/>
          <w:szCs w:val="24"/>
          <w:lang w:val="en-US"/>
        </w:rPr>
        <w:t xml:space="preserve">, </w:t>
      </w:r>
      <w:r w:rsidR="00606CD7" w:rsidRPr="007F5A49">
        <w:rPr>
          <w:rFonts w:ascii="Book Antiqua" w:hAnsi="Book Antiqua" w:cs="Arial"/>
          <w:sz w:val="24"/>
          <w:szCs w:val="24"/>
          <w:lang w:val="en-US"/>
        </w:rPr>
        <w:t xml:space="preserve">detected in the liver of iron-loaded </w:t>
      </w:r>
      <w:r w:rsidR="00606CD7" w:rsidRPr="007F5A49">
        <w:rPr>
          <w:rFonts w:ascii="Book Antiqua" w:hAnsi="Book Antiqua" w:cs="Arial"/>
          <w:sz w:val="24"/>
          <w:szCs w:val="24"/>
          <w:lang w:val="en-US"/>
        </w:rPr>
        <w:lastRenderedPageBreak/>
        <w:t>rats</w:t>
      </w:r>
      <w:r w:rsidR="009927CB"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1besg4c0ob","properties":{"formattedCitation":"(35)","plainCitation":"(35)","noteIndex":0},"citationItems":[{"id":94,"uris":["http://zotero.org/users/2804724/items/JZ5HMA2Z"],"uri":["http://zotero.org/users/2804724/items/JZ5HMA2Z"],"itemData":{"id":94,"type":"article-journal","title":"Malondialdehyde and 4-hydroxynonenal protein adducts in plasma and liver of rats with iron overload","container-title":"The Journal of Clinical Investigation","page":"1991-1998","volume":"86","issue":"6","source":"PubMed","abstract":"In hepatic iron overload, iron-catalyzed lipid peroxidation has been implicated in the mechanisms of hepatocellular injury. Lipid peroxidation may produce reactive aldehydes such as malondialdehyde (MDA) and 4-hydroxynonenal (4-HNE), which may form aldehyde-protein adducts. We investigated whether lipid peroxidation occurred in rats fed a diet containing 3% carbonyl iron for 5-13 wk, and if this resulted in the formation of MDA- and 4-HNE- protein adducts. Chronic iron feeding resulted in hepatic iron overload (greater than 10-fold) and concomitantly induced a 2-fold increase in hepatic lipid peroxidation. Using an antiserum specific for MDA-lysine protein adducts, we demonstrated by immunohistochemistry the presence of aldehyde-protein adducts in the cytosol of periportal hepatocytes, which co-localized with iron. In addition, MDA- and 4-HNE-lysine adducts were found in plasma proteins of animals with iron overload. Only MDA adducts were detected in albumin, while other plasma proteins including a approximately 120-kD protein had both MDA and 4-HNE adducts. In this animal model of hepatic iron overload, injury occurs primarily in periportal hepatocytes, where MDA-lysine protein adducts and excess iron co-localized.","DOI":"10.1172/JCI114934","ISSN":"0021-9738","note":"PMID: 2123889\nPMCID: PMC329836","journalAbbreviation":"J. Clin. Invest.","language":"eng","author":[{"family":"Houglum","given":"K."},{"family":"Filip","given":"M."},{"family":"Witztum","given":"J. L."},{"family":"Chojkier","given":"M."}],"issued":{"date-parts":[["1990",12]]}}}],"schema":"https://github.com/citation-style-language/schema/raw/master/csl-citation.json"} </w:instrText>
      </w:r>
      <w:r w:rsidR="009927CB" w:rsidRPr="007F5A49">
        <w:rPr>
          <w:rFonts w:ascii="Book Antiqua" w:hAnsi="Book Antiqua" w:cs="Arial"/>
          <w:sz w:val="24"/>
          <w:szCs w:val="24"/>
          <w:vertAlign w:val="superscript"/>
          <w:lang w:val="en-US"/>
        </w:rPr>
        <w:fldChar w:fldCharType="separate"/>
      </w:r>
      <w:r w:rsidR="00EB558F"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35</w:t>
      </w:r>
      <w:r w:rsidR="009927CB" w:rsidRPr="007F5A49">
        <w:rPr>
          <w:rFonts w:ascii="Book Antiqua" w:hAnsi="Book Antiqua" w:cs="Arial"/>
          <w:sz w:val="24"/>
          <w:szCs w:val="24"/>
          <w:vertAlign w:val="superscript"/>
          <w:lang w:val="en-US"/>
        </w:rPr>
        <w:fldChar w:fldCharType="end"/>
      </w:r>
      <w:r w:rsidR="00EB558F" w:rsidRPr="007F5A49">
        <w:rPr>
          <w:rFonts w:ascii="Book Antiqua" w:hAnsi="Book Antiqua" w:cs="Arial"/>
          <w:sz w:val="24"/>
          <w:szCs w:val="24"/>
          <w:vertAlign w:val="superscript"/>
          <w:lang w:val="en-US"/>
        </w:rPr>
        <w:t>]</w:t>
      </w:r>
      <w:r w:rsidR="003E276D" w:rsidRPr="007F5A49">
        <w:rPr>
          <w:rFonts w:ascii="Book Antiqua" w:hAnsi="Book Antiqua" w:cs="Arial"/>
          <w:sz w:val="24"/>
          <w:szCs w:val="24"/>
          <w:lang w:val="en-US"/>
        </w:rPr>
        <w:t>,</w:t>
      </w:r>
      <w:r w:rsidR="00606CD7" w:rsidRPr="007F5A49">
        <w:rPr>
          <w:rFonts w:ascii="Book Antiqua" w:hAnsi="Book Antiqua" w:cs="Arial"/>
          <w:sz w:val="24"/>
          <w:szCs w:val="24"/>
          <w:lang w:val="en-US"/>
        </w:rPr>
        <w:t xml:space="preserve"> act as pro-</w:t>
      </w:r>
      <w:proofErr w:type="spellStart"/>
      <w:r w:rsidR="00606CD7" w:rsidRPr="007F5A49">
        <w:rPr>
          <w:rFonts w:ascii="Book Antiqua" w:hAnsi="Book Antiqua" w:cs="Arial"/>
          <w:sz w:val="24"/>
          <w:szCs w:val="24"/>
          <w:lang w:val="en-US"/>
        </w:rPr>
        <w:t>fibrogenic</w:t>
      </w:r>
      <w:proofErr w:type="spellEnd"/>
      <w:r w:rsidR="00606CD7" w:rsidRPr="007F5A49">
        <w:rPr>
          <w:rFonts w:ascii="Book Antiqua" w:hAnsi="Book Antiqua" w:cs="Arial"/>
          <w:sz w:val="24"/>
          <w:szCs w:val="24"/>
          <w:lang w:val="en-US"/>
        </w:rPr>
        <w:t xml:space="preserve"> stimuli</w:t>
      </w:r>
      <w:r w:rsidR="009F66E0" w:rsidRPr="007F5A49">
        <w:rPr>
          <w:rFonts w:ascii="Book Antiqua" w:hAnsi="Book Antiqua" w:cs="Arial"/>
          <w:sz w:val="24"/>
          <w:szCs w:val="24"/>
          <w:lang w:val="en-US"/>
        </w:rPr>
        <w:t xml:space="preserve">. </w:t>
      </w:r>
      <w:proofErr w:type="spellStart"/>
      <w:r w:rsidR="00565F17" w:rsidRPr="007F5A49">
        <w:rPr>
          <w:rFonts w:ascii="Book Antiqua" w:hAnsi="Book Antiqua" w:cs="Arial"/>
          <w:sz w:val="24"/>
          <w:szCs w:val="24"/>
          <w:lang w:val="en-US"/>
        </w:rPr>
        <w:t>I</w:t>
      </w:r>
      <w:r w:rsidR="00606CD7" w:rsidRPr="007F5A49">
        <w:rPr>
          <w:rFonts w:ascii="Book Antiqua" w:hAnsi="Book Antiqua" w:cs="Arial"/>
          <w:sz w:val="24"/>
          <w:szCs w:val="24"/>
          <w:lang w:val="en-US"/>
        </w:rPr>
        <w:t>soprostanes</w:t>
      </w:r>
      <w:proofErr w:type="spellEnd"/>
      <w:r w:rsidR="00606CD7" w:rsidRPr="007F5A49">
        <w:rPr>
          <w:rFonts w:ascii="Book Antiqua" w:hAnsi="Book Antiqua" w:cs="Arial"/>
          <w:sz w:val="24"/>
          <w:szCs w:val="24"/>
          <w:lang w:val="en-US"/>
        </w:rPr>
        <w:t>, the peroxidation products of arachidonic acid enhance</w:t>
      </w:r>
      <w:r w:rsidR="004D210A" w:rsidRPr="007F5A49">
        <w:rPr>
          <w:rFonts w:ascii="Book Antiqua" w:hAnsi="Book Antiqua" w:cs="Arial"/>
          <w:sz w:val="24"/>
          <w:szCs w:val="24"/>
          <w:lang w:val="en-US"/>
        </w:rPr>
        <w:t>d</w:t>
      </w:r>
      <w:r w:rsidR="00606CD7" w:rsidRPr="007F5A49">
        <w:rPr>
          <w:rFonts w:ascii="Book Antiqua" w:hAnsi="Book Antiqua" w:cs="Arial"/>
          <w:sz w:val="24"/>
          <w:szCs w:val="24"/>
          <w:lang w:val="en-US"/>
        </w:rPr>
        <w:t xml:space="preserve"> HSC-proliferation, HSC-collagen-production and TGF-β release from the Kupffer cells</w:t>
      </w:r>
      <w:r w:rsidR="006077F5"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c189b1rjt","properties":{"formattedCitation":"(36)","plainCitation":"(36)","noteIndex":0},"citationItems":[{"id":"z1PZoHrb/iDpjjIVk","uris":["http://zotero.org/users/4222068/items/EC43RV2B"],"uri":["http://zotero.org/users/4222068/items/EC43RV2B"],"itemData":{"id":1280,"type":"article-journal","title":"Oxidative stress, isoprostanes and hepatic fibrosis","container-title":"Histology and Histopathology","page":"893-900","volume":"24","issue":"7","source":"PubMed","abstract":"An introduction to oxidative stress enlightening the spreading of interest in lipid peroxidation in the 60's and in the identification of cytotoxic aldehydes originating from it is given. The discovery of F2-isoprostanes as specific markers of oxidative stress is described. Isoprostanes are also agonists of important biological effects. Since a relationship between oxidative stress and collagen hyperproduction has been previously suggested, and since lipid peroxidation products (aldehydes) have been proposed as possible mediators of liver fibrosis, we investigated whether collagen synthesis is induced by F2-isoprostanes, which can possess receptors for signal transduction pathways. In a rat model of carbon tetrachloride-induced hepatic fibrosis, plasma isoprostanes were markedly elevated for the entire experimental period and hepatic collagen content was also increased. Moreover, when hepatic stellate cells (HSC) isolated from normal livers were cultured up to activation and then treated with F2-isoprostanes (8-epi-PGF2alpha) in the concentration range found in the in vivo studies (10(-9) to 10(-8) M), a striking increase in DNA synthesis, in cell proliferation and in collagen synthesis was observed. F2-isoprostanes also increased the production of transforming growth factor-beta1 by U937 cells, assumed as a model of Kupffer cells or liver macrophages. The hypothesis that F2-isoprostanes generated by lipid peroxidation in hepatocytes mediate HSC proliferation and collagen hyperproduction, seen in this experimental hepatic fibrosis, was reinforced by the demonstration, by using immunoblot analysis, that isoprostane receptors identical or analogous to those for thromboxane A2 (TxA2r) are present in HSC. Immunocytochemical studies showed the major localization of TxA2r in the perinuclear site and its colocalization with alpha-smooth muscle actin.","DOI":"10.14670/HH-24.893","ISSN":"1699-5848","note":"PMID: 19475535","journalAbbreviation":"Histol. Histopathol.","language":"eng","author":[{"family":"Comporti","given":"Mario"},{"family":"Arezzini","given":"Beatrice"},{"family":"Signorini","given":"Cinzia"},{"family":"Vecchio","given":"Daniela"},{"family":"Gardi","given":"Concetta"}],"issued":{"date-parts":[["2009"]]}}}],"schema":"https://github.com/citation-style-language/schema/raw/master/csl-citation.json"} </w:instrText>
      </w:r>
      <w:r w:rsidR="006077F5" w:rsidRPr="007F5A49">
        <w:rPr>
          <w:rFonts w:ascii="Book Antiqua" w:hAnsi="Book Antiqua" w:cs="Arial"/>
          <w:sz w:val="24"/>
          <w:szCs w:val="24"/>
          <w:vertAlign w:val="superscript"/>
          <w:lang w:val="en-US"/>
        </w:rPr>
        <w:fldChar w:fldCharType="separate"/>
      </w:r>
      <w:r w:rsidR="00EB558F"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36</w:t>
      </w:r>
      <w:r w:rsidR="006077F5" w:rsidRPr="007F5A49">
        <w:rPr>
          <w:rFonts w:ascii="Book Antiqua" w:hAnsi="Book Antiqua" w:cs="Arial"/>
          <w:sz w:val="24"/>
          <w:szCs w:val="24"/>
          <w:vertAlign w:val="superscript"/>
          <w:lang w:val="en-US"/>
        </w:rPr>
        <w:fldChar w:fldCharType="end"/>
      </w:r>
      <w:r w:rsidR="00EB558F" w:rsidRPr="007F5A49">
        <w:rPr>
          <w:rFonts w:ascii="Book Antiqua" w:hAnsi="Book Antiqua" w:cs="Arial"/>
          <w:sz w:val="24"/>
          <w:szCs w:val="24"/>
          <w:vertAlign w:val="superscript"/>
          <w:lang w:val="en-US"/>
        </w:rPr>
        <w:t>]</w:t>
      </w:r>
      <w:r w:rsidR="00F92F2E" w:rsidRPr="007F5A49">
        <w:rPr>
          <w:rFonts w:ascii="Book Antiqua" w:hAnsi="Book Antiqua" w:cs="Arial"/>
          <w:sz w:val="24"/>
          <w:szCs w:val="24"/>
          <w:lang w:val="en-US"/>
        </w:rPr>
        <w:t xml:space="preserve">, </w:t>
      </w:r>
      <w:r w:rsidR="009F66E0" w:rsidRPr="007F5A49">
        <w:rPr>
          <w:rFonts w:ascii="Book Antiqua" w:hAnsi="Book Antiqua" w:cs="Arial"/>
          <w:sz w:val="24"/>
          <w:szCs w:val="24"/>
          <w:lang w:val="en-US"/>
        </w:rPr>
        <w:t xml:space="preserve">while </w:t>
      </w:r>
      <w:r w:rsidR="00606CD7" w:rsidRPr="007F5A49">
        <w:rPr>
          <w:rFonts w:ascii="Book Antiqua" w:hAnsi="Book Antiqua" w:cs="Arial"/>
          <w:sz w:val="24"/>
          <w:szCs w:val="24"/>
          <w:lang w:val="en-US"/>
        </w:rPr>
        <w:t>4-</w:t>
      </w:r>
      <w:r w:rsidR="008470AC" w:rsidRPr="007F5A49">
        <w:rPr>
          <w:rFonts w:ascii="Book Antiqua" w:hAnsi="Book Antiqua" w:cs="Arial"/>
          <w:sz w:val="24"/>
          <w:szCs w:val="24"/>
          <w:lang w:val="en-US"/>
        </w:rPr>
        <w:t>HNE</w:t>
      </w:r>
      <w:r w:rsidR="00606CD7" w:rsidRPr="007F5A49">
        <w:rPr>
          <w:rFonts w:ascii="Book Antiqua" w:hAnsi="Book Antiqua" w:cs="Arial"/>
          <w:sz w:val="24"/>
          <w:szCs w:val="24"/>
          <w:lang w:val="en-US"/>
        </w:rPr>
        <w:t xml:space="preserve"> upregulate</w:t>
      </w:r>
      <w:r w:rsidR="004D210A" w:rsidRPr="007F5A49">
        <w:rPr>
          <w:rFonts w:ascii="Book Antiqua" w:hAnsi="Book Antiqua" w:cs="Arial"/>
          <w:sz w:val="24"/>
          <w:szCs w:val="24"/>
          <w:lang w:val="en-US"/>
        </w:rPr>
        <w:t>d</w:t>
      </w:r>
      <w:r w:rsidR="00606CD7" w:rsidRPr="007F5A49">
        <w:rPr>
          <w:rFonts w:ascii="Book Antiqua" w:hAnsi="Book Antiqua" w:cs="Arial"/>
          <w:sz w:val="24"/>
          <w:szCs w:val="24"/>
          <w:lang w:val="en-US"/>
        </w:rPr>
        <w:t xml:space="preserve"> the expressions of </w:t>
      </w:r>
      <w:r w:rsidR="00565F17" w:rsidRPr="007F5A49">
        <w:rPr>
          <w:rFonts w:ascii="Book Antiqua" w:hAnsi="Book Antiqua" w:cs="Arial"/>
          <w:i/>
          <w:sz w:val="24"/>
          <w:szCs w:val="24"/>
          <w:lang w:val="en-US"/>
        </w:rPr>
        <w:t>c</w:t>
      </w:r>
      <w:r w:rsidR="00606CD7" w:rsidRPr="007F5A49">
        <w:rPr>
          <w:rFonts w:ascii="Book Antiqua" w:hAnsi="Book Antiqua" w:cs="Arial"/>
          <w:i/>
          <w:sz w:val="24"/>
          <w:szCs w:val="24"/>
          <w:lang w:val="en-US"/>
        </w:rPr>
        <w:t>ol-1 α</w:t>
      </w:r>
      <w:r w:rsidR="00C95290" w:rsidRPr="007F5A49">
        <w:rPr>
          <w:rFonts w:ascii="Book Antiqua" w:hAnsi="Book Antiqua" w:cs="Arial"/>
          <w:i/>
          <w:sz w:val="24"/>
          <w:szCs w:val="24"/>
          <w:lang w:val="en-US"/>
        </w:rPr>
        <w:t>-</w:t>
      </w:r>
      <w:r w:rsidR="00606CD7" w:rsidRPr="007F5A49">
        <w:rPr>
          <w:rFonts w:ascii="Book Antiqua" w:hAnsi="Book Antiqua" w:cs="Arial"/>
          <w:i/>
          <w:sz w:val="24"/>
          <w:szCs w:val="24"/>
          <w:lang w:val="en-US"/>
        </w:rPr>
        <w:t>1</w:t>
      </w:r>
      <w:r w:rsidR="00606CD7" w:rsidRPr="007F5A49">
        <w:rPr>
          <w:rFonts w:ascii="Book Antiqua" w:hAnsi="Book Antiqua" w:cs="Arial"/>
          <w:sz w:val="24"/>
          <w:szCs w:val="24"/>
          <w:lang w:val="en-US"/>
        </w:rPr>
        <w:t xml:space="preserve"> and </w:t>
      </w:r>
      <w:r w:rsidR="00606CD7" w:rsidRPr="007F5A49">
        <w:rPr>
          <w:rFonts w:ascii="Book Antiqua" w:hAnsi="Book Antiqua" w:cs="Arial"/>
          <w:i/>
          <w:sz w:val="24"/>
          <w:szCs w:val="24"/>
          <w:lang w:val="en-US"/>
        </w:rPr>
        <w:t>TIMP-1</w:t>
      </w:r>
      <w:r w:rsidR="00606CD7" w:rsidRPr="007F5A49">
        <w:rPr>
          <w:rFonts w:ascii="Book Antiqua" w:hAnsi="Book Antiqua" w:cs="Arial"/>
          <w:sz w:val="24"/>
          <w:szCs w:val="24"/>
          <w:lang w:val="en-US"/>
        </w:rPr>
        <w:t xml:space="preserve"> in HSCs</w:t>
      </w:r>
      <w:r w:rsidR="003311DB"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1e5jb9qqji","properties":{"formattedCitation":"(37)","plainCitation":"(37)","noteIndex":0},"citationItems":[{"id":"z1PZoHrb/s1TzLyoU","uris":["http://zotero.org/users/4222068/items/ER2DM6GI"],"uri":["http://zotero.org/users/4222068/items/ER2DM6GI"],"itemData":{"id":1282,"type":"article-journal","title":"4-Hydroxynonenal as a selective pro-fibrogenic stimulus for activated human hepatic stellate cells","container-title":"Journal of Hepatology","page":"60-68","volume":"40","issue":"1","source":"ScienceDirect","abstract":"Background/Aims: 4-Hydroxynonenal (HNE) is a putative pro-fibrogenic product of oxidative stress able to elicit apoptosis and cytotoxicity in several cell types. This study has been performed to evaluate its ‘in vivo’ levels in injured liver and whether HNE may induce apoptosis and/or affect selected phenotypic responses in activated human hepatic stellate cells (HSC/MF). Methods/Results: During the development of acute liver injury induced by CCl4, liver tissue HNE levels were in the range 0.5–10 μM, as shown by high performance liquid chromatography analysis. Cultured human HSC/MF, developed cytotoxicity only if exposed to very high HNE concentrations (25–50 μM) without any sign of induction of classic, caspase-dependent apoptosis, as assessed by evaluating morphology and biochemical parameters of cell death. HNE, at non-cytotoxic doses, up-regulated procollagen type I and tissue inhibitor of metalloproteinases-1 gene expression and/or protein synthesis without significantly affecting chemotaxis (wound healing and haptotaxis assay), matrix metalloproteinases 1 and 2 mRNA expression and activity as well as basal DNA synthesis. Conclusions: HNE, at concentrations compatible with those detected in vivo, does not elicit HSC/MF classic apoptosis but, rather, may act as a potent pro-fibrogenic stimulus for the expression of genes involved in excess extracellular matrix deposition and proposed as survival signals for HSC/MF.","DOI":"10.1016/S0168-8278(03)00480-X","ISSN":"0168-8278","journalAbbreviation":"Journal of Hepatology","author":[{"family":"Zamara","given":"Elena"},{"family":"Novo","given":"Erica"},{"family":"Marra","given":"Fabio"},{"family":"Gentilini","given":"Alessandra"},{"family":"Romanelli","given":"Roberto Giulio"},{"family":"Caligiuri","given":"Alessandra"},{"family":"Robino","given":"Gaia"},{"family":"Tamagno","given":"Elena"},{"family":"Aragno","given":"Manuela"},{"family":"Danni","given":"Oliviero"},{"family":"Autelli","given":"Riccardo"},{"family":"Colombatto","given":"Sebastiano"},{"family":"Dianzani","given":"Mario Umberto"},{"family":"Pinzani","given":"Massimo"},{"family":"Parola","given":"Maurizio"}],"issued":{"date-parts":[["2004",1,1]]}}}],"schema":"https://github.com/citation-style-language/schema/raw/master/csl-citation.json"} </w:instrText>
      </w:r>
      <w:r w:rsidR="003311DB" w:rsidRPr="007F5A49">
        <w:rPr>
          <w:rFonts w:ascii="Book Antiqua" w:hAnsi="Book Antiqua" w:cs="Arial"/>
          <w:sz w:val="24"/>
          <w:szCs w:val="24"/>
          <w:vertAlign w:val="superscript"/>
          <w:lang w:val="en-US"/>
        </w:rPr>
        <w:fldChar w:fldCharType="separate"/>
      </w:r>
      <w:r w:rsidR="00EB558F"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37</w:t>
      </w:r>
      <w:r w:rsidR="003311DB" w:rsidRPr="007F5A49">
        <w:rPr>
          <w:rFonts w:ascii="Book Antiqua" w:hAnsi="Book Antiqua" w:cs="Arial"/>
          <w:sz w:val="24"/>
          <w:szCs w:val="24"/>
          <w:vertAlign w:val="superscript"/>
          <w:lang w:val="en-US"/>
        </w:rPr>
        <w:fldChar w:fldCharType="end"/>
      </w:r>
      <w:r w:rsidR="00EB558F" w:rsidRPr="007F5A49">
        <w:rPr>
          <w:rFonts w:ascii="Book Antiqua" w:hAnsi="Book Antiqua" w:cs="Arial"/>
          <w:sz w:val="24"/>
          <w:szCs w:val="24"/>
          <w:vertAlign w:val="superscript"/>
          <w:lang w:val="en-US"/>
        </w:rPr>
        <w:t>]</w:t>
      </w:r>
      <w:r w:rsidR="00F92F2E" w:rsidRPr="007F5A49">
        <w:rPr>
          <w:rFonts w:ascii="Book Antiqua" w:hAnsi="Book Antiqua" w:cs="Arial"/>
          <w:sz w:val="24"/>
          <w:szCs w:val="24"/>
          <w:lang w:val="en-US"/>
        </w:rPr>
        <w:t>.</w:t>
      </w:r>
    </w:p>
    <w:p w14:paraId="719185C2" w14:textId="77777777" w:rsidR="00CB0189" w:rsidRPr="007F5A49" w:rsidRDefault="00CB0189" w:rsidP="007F5A49">
      <w:pPr>
        <w:adjustRightInd w:val="0"/>
        <w:snapToGrid w:val="0"/>
        <w:spacing w:after="0" w:line="360" w:lineRule="auto"/>
        <w:jc w:val="both"/>
        <w:rPr>
          <w:rFonts w:ascii="Book Antiqua" w:hAnsi="Book Antiqua" w:cs="Arial"/>
          <w:i/>
          <w:sz w:val="24"/>
          <w:szCs w:val="24"/>
          <w:u w:val="single"/>
          <w:lang w:val="en-US"/>
        </w:rPr>
      </w:pPr>
    </w:p>
    <w:p w14:paraId="38C83644" w14:textId="1F789FA7" w:rsidR="00434B51" w:rsidRPr="007F5A49" w:rsidRDefault="00434B51" w:rsidP="008E1EBB">
      <w:pPr>
        <w:adjustRightInd w:val="0"/>
        <w:snapToGrid w:val="0"/>
        <w:spacing w:after="0" w:line="360" w:lineRule="auto"/>
        <w:jc w:val="both"/>
        <w:outlineLvl w:val="0"/>
        <w:rPr>
          <w:rFonts w:ascii="Book Antiqua" w:hAnsi="Book Antiqua" w:cs="Arial"/>
          <w:b/>
          <w:i/>
          <w:sz w:val="24"/>
          <w:szCs w:val="24"/>
          <w:lang w:val="en-US"/>
        </w:rPr>
      </w:pPr>
      <w:r w:rsidRPr="007F5A49">
        <w:rPr>
          <w:rFonts w:ascii="Book Antiqua" w:hAnsi="Book Antiqua" w:cs="Arial"/>
          <w:b/>
          <w:i/>
          <w:sz w:val="24"/>
          <w:szCs w:val="24"/>
          <w:lang w:val="en-US"/>
        </w:rPr>
        <w:t>Cross-connection between iron-related and fibrotic pathways</w:t>
      </w:r>
    </w:p>
    <w:p w14:paraId="4716C023" w14:textId="0813AD64" w:rsidR="00C523EF" w:rsidRPr="007F5A49" w:rsidRDefault="003C1F5F" w:rsidP="007F5A49">
      <w:pPr>
        <w:adjustRightInd w:val="0"/>
        <w:snapToGrid w:val="0"/>
        <w:spacing w:after="0" w:line="360" w:lineRule="auto"/>
        <w:jc w:val="both"/>
        <w:rPr>
          <w:rFonts w:ascii="Book Antiqua" w:hAnsi="Book Antiqua" w:cs="Arial"/>
          <w:sz w:val="24"/>
          <w:szCs w:val="24"/>
          <w:lang w:val="en-US"/>
        </w:rPr>
      </w:pPr>
      <w:r w:rsidRPr="007F5A49">
        <w:rPr>
          <w:rFonts w:ascii="Book Antiqua" w:eastAsia="Times New Roman" w:hAnsi="Book Antiqua" w:cs="Arial"/>
          <w:sz w:val="24"/>
          <w:szCs w:val="24"/>
          <w:lang w:val="en-US"/>
        </w:rPr>
        <w:t xml:space="preserve">TGF-β </w:t>
      </w:r>
      <w:proofErr w:type="spellStart"/>
      <w:r w:rsidRPr="007F5A49">
        <w:rPr>
          <w:rFonts w:ascii="Book Antiqua" w:eastAsia="Times New Roman" w:hAnsi="Book Antiqua" w:cs="Arial"/>
          <w:sz w:val="24"/>
          <w:szCs w:val="24"/>
          <w:lang w:val="en-US"/>
        </w:rPr>
        <w:t>signalling</w:t>
      </w:r>
      <w:proofErr w:type="spellEnd"/>
      <w:r w:rsidRPr="007F5A49">
        <w:rPr>
          <w:rFonts w:ascii="Book Antiqua" w:eastAsia="Times New Roman" w:hAnsi="Book Antiqua" w:cs="Arial"/>
          <w:sz w:val="24"/>
          <w:szCs w:val="24"/>
          <w:lang w:val="en-US"/>
        </w:rPr>
        <w:t xml:space="preserve"> is the </w:t>
      </w:r>
      <w:r w:rsidRPr="007F5A49">
        <w:rPr>
          <w:rFonts w:ascii="Book Antiqua" w:hAnsi="Book Antiqua" w:cs="Arial"/>
          <w:sz w:val="24"/>
          <w:szCs w:val="24"/>
          <w:lang w:val="en-US"/>
        </w:rPr>
        <w:t xml:space="preserve">key </w:t>
      </w:r>
      <w:r w:rsidRPr="007F5A49">
        <w:rPr>
          <w:rFonts w:ascii="Book Antiqua" w:eastAsia="Times New Roman" w:hAnsi="Book Antiqua" w:cs="Arial"/>
          <w:sz w:val="24"/>
          <w:szCs w:val="24"/>
          <w:lang w:val="en-US"/>
        </w:rPr>
        <w:t xml:space="preserve">fibrosis-mediating pathway and its </w:t>
      </w:r>
      <w:r w:rsidR="00A62586" w:rsidRPr="007F5A49">
        <w:rPr>
          <w:rFonts w:ascii="Book Antiqua" w:eastAsia="Times New Roman" w:hAnsi="Book Antiqua" w:cs="Arial"/>
          <w:sz w:val="24"/>
          <w:szCs w:val="24"/>
          <w:lang w:val="en-US"/>
        </w:rPr>
        <w:t xml:space="preserve">role </w:t>
      </w:r>
      <w:r w:rsidR="00DE253E" w:rsidRPr="007F5A49">
        <w:rPr>
          <w:rFonts w:ascii="Book Antiqua" w:eastAsia="Times New Roman" w:hAnsi="Book Antiqua" w:cs="Arial"/>
          <w:sz w:val="24"/>
          <w:szCs w:val="24"/>
          <w:lang w:val="en-US"/>
        </w:rPr>
        <w:t xml:space="preserve">in regulating </w:t>
      </w:r>
      <w:r w:rsidR="00DE253E" w:rsidRPr="007F5A49">
        <w:rPr>
          <w:rFonts w:ascii="Book Antiqua" w:hAnsi="Book Antiqua" w:cs="Arial"/>
          <w:sz w:val="24"/>
          <w:szCs w:val="24"/>
          <w:lang w:val="en-US"/>
        </w:rPr>
        <w:t>pro-</w:t>
      </w:r>
      <w:proofErr w:type="spellStart"/>
      <w:r w:rsidR="00DE253E" w:rsidRPr="007F5A49">
        <w:rPr>
          <w:rFonts w:ascii="Book Antiqua" w:hAnsi="Book Antiqua" w:cs="Arial"/>
          <w:sz w:val="24"/>
          <w:szCs w:val="24"/>
          <w:lang w:val="en-US"/>
        </w:rPr>
        <w:t>fibrogenic</w:t>
      </w:r>
      <w:proofErr w:type="spellEnd"/>
      <w:r w:rsidR="00DE253E" w:rsidRPr="007F5A49">
        <w:rPr>
          <w:rFonts w:ascii="Book Antiqua" w:hAnsi="Book Antiqua" w:cs="Arial"/>
          <w:sz w:val="24"/>
          <w:szCs w:val="24"/>
          <w:lang w:val="en-US"/>
        </w:rPr>
        <w:t xml:space="preserve"> gene expression and ECM deposition is well established</w:t>
      </w:r>
      <w:r w:rsidR="00DE253E"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1vhej7q1pf","properties":{"formattedCitation":"(38)","plainCitation":"(38)","noteIndex":0},"citationItems":[{"id":363,"uris":["http://zotero.org/users/2804724/items/FDDNFBQH"],"uri":["http://zotero.org/users/2804724/items/FDDNFBQH"],"itemData":{"id":363,"type":"article-journal","title":"Expression profiling of genes regulated by TGF-beta: Differential regulation in normal and tumour cells","container-title":"BMC Genomics","page":"98","volume":"8","source":"BioMed Central","abstract":"TGF-beta is one of the key cytokines implicated in various disease processes including cancer. TGF-beta inhibits growth and promotes apoptosis in normal epithelial cells and in contrast, acts as a pro-tumour cytokine by promoting tumour angiogenesis, immune-escape and metastasis. It is not clear if various actions of TGF-beta on normal and tumour cells are due to differential gene regulations. Hence we studied the regulation of gene expression by TGF-beta in normal and cancer cells.","DOI":"10.1186/1471-2164-8-98","ISSN":"1471-2164","shortTitle":"Expression profiling of genes regulated by TGF-beta","journalAbbreviation":"BMC Genomics","author":[{"family":"Ranganathan","given":"Prathibha"},{"family":"Agrawal","given":"Animesh"},{"family":"Bhushan","given":"Raghu"},{"family":"Chavalmane","given":"Aravinda K."},{"family":"Kalathur","given":"Ravi Kiran Reddy"},{"family":"Takahashi","given":"Takashi"},{"family":"Kondaiah","given":"Paturu"}],"issued":{"date-parts":[["2007"]]}}}],"schema":"https://github.com/citation-style-language/schema/raw/master/csl-citation.json"} </w:instrText>
      </w:r>
      <w:r w:rsidR="00DE253E" w:rsidRPr="007F5A49">
        <w:rPr>
          <w:rFonts w:ascii="Book Antiqua" w:hAnsi="Book Antiqua" w:cs="Arial"/>
          <w:sz w:val="24"/>
          <w:szCs w:val="24"/>
          <w:vertAlign w:val="superscript"/>
          <w:lang w:val="en-US"/>
        </w:rPr>
        <w:fldChar w:fldCharType="separate"/>
      </w:r>
      <w:r w:rsidR="00D31CB1"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38</w:t>
      </w:r>
      <w:r w:rsidR="00DE253E" w:rsidRPr="007F5A49">
        <w:rPr>
          <w:rFonts w:ascii="Book Antiqua" w:hAnsi="Book Antiqua" w:cs="Arial"/>
          <w:sz w:val="24"/>
          <w:szCs w:val="24"/>
          <w:vertAlign w:val="superscript"/>
          <w:lang w:val="en-US"/>
        </w:rPr>
        <w:fldChar w:fldCharType="end"/>
      </w:r>
      <w:r w:rsidR="00D31CB1" w:rsidRPr="007F5A49">
        <w:rPr>
          <w:rFonts w:ascii="Book Antiqua" w:hAnsi="Book Antiqua" w:cs="Arial"/>
          <w:sz w:val="24"/>
          <w:szCs w:val="24"/>
          <w:vertAlign w:val="superscript"/>
          <w:lang w:val="en-US"/>
        </w:rPr>
        <w:t>]</w:t>
      </w:r>
      <w:r w:rsidR="001D6A6B" w:rsidRPr="007F5A49">
        <w:rPr>
          <w:rFonts w:ascii="Book Antiqua" w:hAnsi="Book Antiqua" w:cs="Arial"/>
          <w:sz w:val="24"/>
          <w:szCs w:val="24"/>
          <w:lang w:val="en-US"/>
        </w:rPr>
        <w:t xml:space="preserve">. </w:t>
      </w:r>
      <w:r w:rsidR="003F7360" w:rsidRPr="007F5A49">
        <w:rPr>
          <w:rFonts w:ascii="Book Antiqua" w:hAnsi="Book Antiqua" w:cs="Arial"/>
          <w:sz w:val="24"/>
          <w:szCs w:val="24"/>
          <w:lang w:val="en-US"/>
        </w:rPr>
        <w:t xml:space="preserve">Notably, </w:t>
      </w:r>
      <w:r w:rsidR="00DE253E" w:rsidRPr="007F5A49">
        <w:rPr>
          <w:rFonts w:ascii="Book Antiqua" w:eastAsia="Times New Roman" w:hAnsi="Book Antiqua" w:cs="Arial"/>
          <w:sz w:val="24"/>
          <w:szCs w:val="24"/>
          <w:lang w:val="en-US"/>
        </w:rPr>
        <w:t xml:space="preserve">TGF-β belongs to </w:t>
      </w:r>
      <w:r w:rsidR="00DE253E" w:rsidRPr="007F5A49">
        <w:rPr>
          <w:rFonts w:ascii="Book Antiqua" w:hAnsi="Book Antiqua" w:cs="Arial"/>
          <w:sz w:val="24"/>
          <w:szCs w:val="24"/>
          <w:lang w:val="en-US"/>
        </w:rPr>
        <w:t xml:space="preserve">the </w:t>
      </w:r>
      <w:r w:rsidR="00DE253E" w:rsidRPr="007F5A49">
        <w:rPr>
          <w:rFonts w:ascii="Book Antiqua" w:eastAsia="Times New Roman" w:hAnsi="Book Antiqua" w:cs="Arial"/>
          <w:sz w:val="24"/>
          <w:szCs w:val="24"/>
          <w:lang w:val="en-US"/>
        </w:rPr>
        <w:t xml:space="preserve">TGF-β </w:t>
      </w:r>
      <w:r w:rsidR="00DE253E" w:rsidRPr="007F5A49">
        <w:rPr>
          <w:rFonts w:ascii="Book Antiqua" w:hAnsi="Book Antiqua" w:cs="Arial"/>
          <w:sz w:val="24"/>
          <w:szCs w:val="24"/>
          <w:lang w:val="en-US"/>
        </w:rPr>
        <w:t>super-family of molecules, which also include</w:t>
      </w:r>
      <w:r w:rsidR="00662615" w:rsidRPr="007F5A49">
        <w:rPr>
          <w:rFonts w:ascii="Book Antiqua" w:hAnsi="Book Antiqua" w:cs="Arial"/>
          <w:sz w:val="24"/>
          <w:szCs w:val="24"/>
          <w:lang w:val="en-US"/>
        </w:rPr>
        <w:t>s</w:t>
      </w:r>
      <w:r w:rsidR="00DE253E" w:rsidRPr="007F5A49">
        <w:rPr>
          <w:rFonts w:ascii="Book Antiqua" w:hAnsi="Book Antiqua" w:cs="Arial"/>
          <w:sz w:val="24"/>
          <w:szCs w:val="24"/>
          <w:lang w:val="en-US"/>
        </w:rPr>
        <w:t xml:space="preserve"> the </w:t>
      </w:r>
      <w:r w:rsidR="00DE253E" w:rsidRPr="007F5A49">
        <w:rPr>
          <w:rFonts w:ascii="Book Antiqua" w:eastAsia="Times New Roman" w:hAnsi="Book Antiqua" w:cs="Arial"/>
          <w:sz w:val="24"/>
          <w:szCs w:val="24"/>
          <w:lang w:val="en-US"/>
        </w:rPr>
        <w:t>bone morphogenetic proteins (</w:t>
      </w:r>
      <w:r w:rsidR="00DE253E" w:rsidRPr="007F5A49">
        <w:rPr>
          <w:rFonts w:ascii="Book Antiqua" w:hAnsi="Book Antiqua" w:cs="Arial"/>
          <w:sz w:val="24"/>
          <w:szCs w:val="24"/>
          <w:lang w:val="en-US"/>
        </w:rPr>
        <w:t>BMPs)</w:t>
      </w:r>
      <w:r w:rsidR="005B35AB" w:rsidRPr="007F5A49">
        <w:rPr>
          <w:rFonts w:ascii="Book Antiqua" w:hAnsi="Book Antiqua" w:cs="Arial"/>
          <w:sz w:val="24"/>
          <w:szCs w:val="24"/>
          <w:lang w:val="en-US"/>
        </w:rPr>
        <w:t xml:space="preserve"> that </w:t>
      </w:r>
      <w:r w:rsidR="003F7360" w:rsidRPr="007F5A49">
        <w:rPr>
          <w:rFonts w:ascii="Book Antiqua" w:hAnsi="Book Antiqua" w:cs="Arial"/>
          <w:sz w:val="24"/>
          <w:szCs w:val="24"/>
          <w:lang w:val="en-US"/>
        </w:rPr>
        <w:t>induce hepcidin</w:t>
      </w:r>
      <w:r w:rsidR="005E4859"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226v0uu0q7","properties":{"formattedCitation":"(39)","plainCitation":"(39)","noteIndex":0},"citationItems":[{"id":149,"uris":["http://zotero.org/users/2804724/items/UGA2BPIZ"],"uri":["http://zotero.org/users/2804724/items/UGA2BPIZ"],"itemData":{"id":149,"type":"article-journal","title":"Bone morphogenetic proteins as regulators of iron metabolism","container-title":"Annual Review of Nutrition","page":"77-94","volume":"34","source":"PubMed","abstract":"Bone morphogenetic proteins (BMPs) are members of the transforming growth factor-beta (TGF-β) superfamily of signaling molecules. In addition to protean roles in embryonic development, germ-line specification, and cellular differentiation, a central role in iron homeostasis has recently been demonstrated for certain BMPs. Specifically, BMP6 serves to relate hepatic iron stores to the hepatocellular expression of the iron-regulatory hormone hepcidin. This regulation occurs via cellular SMAD-signaling molecules and is strongly modulated by the BMP coreceptor hemojuvelin (HJV). Mutations in certain genes influencing signaling to hepcidin via the BMP/SMAD pathway are associated with human disorders of iron metabolism, such as hereditary hemochromatosis and iron-refractory iron-deficiency anemia. Evidence suggests that signals in addition to iron stores influence hepcidin expression via the BMP/SMAD pathway. This review summarizes the details of BMP/SMAD signaling, with a particular focus on its role in iron homeostasis and iron-related diseases.","DOI":"10.1146/annurev-nutr-071813-105646","ISSN":"1545-4312","note":"PMID: 24995692","journalAbbreviation":"Annu. Rev. Nutr.","language":"eng","author":[{"family":"Parrow","given":"Nermi L."},{"family":"Fleming","given":"Robert E."}],"issued":{"date-parts":[["2014"]]}}}],"schema":"https://github.com/citation-style-language/schema/raw/master/csl-citation.json"} </w:instrText>
      </w:r>
      <w:r w:rsidR="005E4859" w:rsidRPr="007F5A49">
        <w:rPr>
          <w:rFonts w:ascii="Book Antiqua" w:hAnsi="Book Antiqua" w:cs="Arial"/>
          <w:sz w:val="24"/>
          <w:szCs w:val="24"/>
          <w:vertAlign w:val="superscript"/>
          <w:lang w:val="en-US"/>
        </w:rPr>
        <w:fldChar w:fldCharType="separate"/>
      </w:r>
      <w:r w:rsidR="00D31CB1"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39</w:t>
      </w:r>
      <w:r w:rsidR="005E4859" w:rsidRPr="007F5A49">
        <w:rPr>
          <w:rFonts w:ascii="Book Antiqua" w:hAnsi="Book Antiqua" w:cs="Arial"/>
          <w:sz w:val="24"/>
          <w:szCs w:val="24"/>
          <w:vertAlign w:val="superscript"/>
          <w:lang w:val="en-US"/>
        </w:rPr>
        <w:fldChar w:fldCharType="end"/>
      </w:r>
      <w:r w:rsidR="00D31CB1" w:rsidRPr="007F5A49">
        <w:rPr>
          <w:rFonts w:ascii="Book Antiqua" w:hAnsi="Book Antiqua" w:cs="Arial"/>
          <w:sz w:val="24"/>
          <w:szCs w:val="24"/>
          <w:vertAlign w:val="superscript"/>
          <w:lang w:val="en-US"/>
        </w:rPr>
        <w:t>]</w:t>
      </w:r>
      <w:r w:rsidR="001D6A6B" w:rsidRPr="007F5A49">
        <w:rPr>
          <w:rFonts w:ascii="Book Antiqua" w:hAnsi="Book Antiqua" w:cs="Arial"/>
          <w:sz w:val="24"/>
          <w:szCs w:val="24"/>
          <w:lang w:val="en-US"/>
        </w:rPr>
        <w:t>,</w:t>
      </w:r>
      <w:r w:rsidR="00D2117A" w:rsidRPr="007F5A49">
        <w:rPr>
          <w:rFonts w:ascii="Book Antiqua" w:hAnsi="Book Antiqua" w:cs="Arial"/>
          <w:sz w:val="24"/>
          <w:szCs w:val="24"/>
          <w:lang w:val="en-US"/>
        </w:rPr>
        <w:t xml:space="preserve"> </w:t>
      </w:r>
      <w:r w:rsidR="00285FD8" w:rsidRPr="007F5A49">
        <w:rPr>
          <w:rFonts w:ascii="Book Antiqua" w:hAnsi="Book Antiqua" w:cs="Arial"/>
          <w:sz w:val="24"/>
          <w:szCs w:val="24"/>
          <w:lang w:val="en-US"/>
        </w:rPr>
        <w:t xml:space="preserve">the master regulator of </w:t>
      </w:r>
      <w:r w:rsidR="003E58AA" w:rsidRPr="007F5A49">
        <w:rPr>
          <w:rFonts w:ascii="Book Antiqua" w:hAnsi="Book Antiqua" w:cs="Arial"/>
          <w:sz w:val="24"/>
          <w:szCs w:val="24"/>
          <w:lang w:val="en-US"/>
        </w:rPr>
        <w:t xml:space="preserve">systemic </w:t>
      </w:r>
      <w:r w:rsidR="00285FD8" w:rsidRPr="007F5A49">
        <w:rPr>
          <w:rFonts w:ascii="Book Antiqua" w:hAnsi="Book Antiqua" w:cs="Arial"/>
          <w:sz w:val="24"/>
          <w:szCs w:val="24"/>
          <w:lang w:val="en-US"/>
        </w:rPr>
        <w:t>iron homeostasis</w:t>
      </w:r>
      <w:r w:rsidR="00F51A5B" w:rsidRPr="007F5A49">
        <w:rPr>
          <w:rFonts w:ascii="Book Antiqua" w:hAnsi="Book Antiqua" w:cs="Arial"/>
          <w:sz w:val="24"/>
          <w:szCs w:val="24"/>
          <w:lang w:val="en-US"/>
        </w:rPr>
        <w:t>.</w:t>
      </w:r>
      <w:r w:rsidR="00D858F2" w:rsidRPr="007F5A49">
        <w:rPr>
          <w:rFonts w:ascii="Book Antiqua" w:hAnsi="Book Antiqua" w:cs="Arial"/>
          <w:sz w:val="24"/>
          <w:szCs w:val="24"/>
          <w:lang w:val="en-US"/>
        </w:rPr>
        <w:t xml:space="preserve"> </w:t>
      </w:r>
      <w:r w:rsidR="000639F2" w:rsidRPr="007F5A49">
        <w:rPr>
          <w:rFonts w:ascii="Book Antiqua" w:hAnsi="Book Antiqua" w:cs="Arial"/>
          <w:sz w:val="24"/>
          <w:szCs w:val="24"/>
          <w:lang w:val="en-US"/>
        </w:rPr>
        <w:t xml:space="preserve">These molecules </w:t>
      </w:r>
      <w:r w:rsidR="002846CF" w:rsidRPr="007F5A49">
        <w:rPr>
          <w:rFonts w:ascii="Book Antiqua" w:hAnsi="Book Antiqua" w:cs="Arial"/>
          <w:sz w:val="24"/>
          <w:szCs w:val="24"/>
          <w:lang w:val="en-US"/>
        </w:rPr>
        <w:t xml:space="preserve">participate in several </w:t>
      </w:r>
      <w:proofErr w:type="spellStart"/>
      <w:r w:rsidR="002846CF" w:rsidRPr="007F5A49">
        <w:rPr>
          <w:rFonts w:ascii="Book Antiqua" w:hAnsi="Book Antiqua" w:cs="Arial"/>
          <w:sz w:val="24"/>
          <w:szCs w:val="24"/>
          <w:lang w:val="en-US"/>
        </w:rPr>
        <w:t>signalling</w:t>
      </w:r>
      <w:proofErr w:type="spellEnd"/>
      <w:r w:rsidR="002846CF" w:rsidRPr="007F5A49">
        <w:rPr>
          <w:rFonts w:ascii="Book Antiqua" w:hAnsi="Book Antiqua" w:cs="Arial"/>
          <w:sz w:val="24"/>
          <w:szCs w:val="24"/>
          <w:lang w:val="en-US"/>
        </w:rPr>
        <w:t xml:space="preserve"> pathways and </w:t>
      </w:r>
      <w:r w:rsidR="00DE253E" w:rsidRPr="007F5A49">
        <w:rPr>
          <w:rFonts w:ascii="Book Antiqua" w:hAnsi="Book Antiqua" w:cs="Arial"/>
          <w:sz w:val="24"/>
          <w:szCs w:val="24"/>
          <w:lang w:val="en-US"/>
        </w:rPr>
        <w:t>function by binding to a complex of receptors (type II and type I serine threonine kinase receptors) and induc</w:t>
      </w:r>
      <w:r w:rsidR="00064BB6" w:rsidRPr="007F5A49">
        <w:rPr>
          <w:rFonts w:ascii="Book Antiqua" w:hAnsi="Book Antiqua" w:cs="Arial"/>
          <w:sz w:val="24"/>
          <w:szCs w:val="24"/>
          <w:lang w:val="en-US"/>
        </w:rPr>
        <w:t xml:space="preserve">e </w:t>
      </w:r>
      <w:r w:rsidR="00DE253E" w:rsidRPr="007F5A49">
        <w:rPr>
          <w:rFonts w:ascii="Book Antiqua" w:hAnsi="Book Antiqua" w:cs="Arial"/>
          <w:sz w:val="24"/>
          <w:szCs w:val="24"/>
          <w:lang w:val="en-US"/>
        </w:rPr>
        <w:t>phosphorylation of receptor-SMADs</w:t>
      </w:r>
      <w:r w:rsidR="002F1C41" w:rsidRPr="007F5A49">
        <w:rPr>
          <w:rFonts w:ascii="Book Antiqua" w:hAnsi="Book Antiqua" w:cs="Arial"/>
          <w:sz w:val="24"/>
          <w:szCs w:val="24"/>
          <w:lang w:val="en-US"/>
        </w:rPr>
        <w:t xml:space="preserve"> (</w:t>
      </w:r>
      <w:r w:rsidR="002F1C41" w:rsidRPr="007F5A49">
        <w:rPr>
          <w:rStyle w:val="st"/>
          <w:rFonts w:ascii="Book Antiqua" w:hAnsi="Book Antiqua" w:cs="Arial"/>
          <w:sz w:val="24"/>
          <w:szCs w:val="24"/>
          <w:lang w:val="en-US"/>
        </w:rPr>
        <w:t xml:space="preserve">small mothers </w:t>
      </w:r>
      <w:r w:rsidR="002F1C41" w:rsidRPr="007F5A49">
        <w:rPr>
          <w:rStyle w:val="Emphasis"/>
          <w:rFonts w:ascii="Book Antiqua" w:hAnsi="Book Antiqua" w:cs="Arial"/>
          <w:i w:val="0"/>
          <w:sz w:val="24"/>
          <w:szCs w:val="24"/>
          <w:lang w:val="en-US"/>
        </w:rPr>
        <w:t>against decapentaplegic)</w:t>
      </w:r>
      <w:r w:rsidR="00DE253E" w:rsidRPr="007F5A49">
        <w:rPr>
          <w:rFonts w:ascii="Book Antiqua" w:hAnsi="Book Antiqua" w:cs="Arial"/>
          <w:sz w:val="24"/>
          <w:szCs w:val="24"/>
          <w:lang w:val="en-US"/>
        </w:rPr>
        <w:t>. The</w:t>
      </w:r>
      <w:r w:rsidR="003F7360" w:rsidRPr="007F5A49">
        <w:rPr>
          <w:rFonts w:ascii="Book Antiqua" w:hAnsi="Book Antiqua" w:cs="Arial"/>
          <w:sz w:val="24"/>
          <w:szCs w:val="24"/>
          <w:lang w:val="en-US"/>
        </w:rPr>
        <w:t xml:space="preserve"> </w:t>
      </w:r>
      <w:r w:rsidR="00DE253E" w:rsidRPr="007F5A49">
        <w:rPr>
          <w:rFonts w:ascii="Book Antiqua" w:hAnsi="Book Antiqua" w:cs="Arial"/>
          <w:sz w:val="24"/>
          <w:szCs w:val="24"/>
          <w:lang w:val="en-US"/>
        </w:rPr>
        <w:t>phosphorylated</w:t>
      </w:r>
      <w:r w:rsidR="00081E0B" w:rsidRPr="007F5A49">
        <w:rPr>
          <w:rFonts w:ascii="Book Antiqua" w:hAnsi="Book Antiqua" w:cs="Arial"/>
          <w:sz w:val="24"/>
          <w:szCs w:val="24"/>
          <w:lang w:val="en-US"/>
        </w:rPr>
        <w:t xml:space="preserve"> receptor-activated</w:t>
      </w:r>
      <w:r w:rsidR="00DE253E" w:rsidRPr="007F5A49">
        <w:rPr>
          <w:rFonts w:ascii="Book Antiqua" w:hAnsi="Book Antiqua" w:cs="Arial"/>
          <w:sz w:val="24"/>
          <w:szCs w:val="24"/>
          <w:lang w:val="en-US"/>
        </w:rPr>
        <w:t xml:space="preserve"> SMADs bind to SMAD</w:t>
      </w:r>
      <w:r w:rsidR="00D01607" w:rsidRPr="007F5A49">
        <w:rPr>
          <w:rFonts w:ascii="Book Antiqua" w:hAnsi="Book Antiqua" w:cs="Arial"/>
          <w:sz w:val="24"/>
          <w:szCs w:val="24"/>
          <w:lang w:val="en-US"/>
        </w:rPr>
        <w:t>-</w:t>
      </w:r>
      <w:r w:rsidR="00DE253E" w:rsidRPr="007F5A49">
        <w:rPr>
          <w:rFonts w:ascii="Book Antiqua" w:hAnsi="Book Antiqua" w:cs="Arial"/>
          <w:sz w:val="24"/>
          <w:szCs w:val="24"/>
          <w:lang w:val="en-US"/>
        </w:rPr>
        <w:t>4</w:t>
      </w:r>
      <w:r w:rsidR="00081E0B" w:rsidRPr="007F5A49">
        <w:rPr>
          <w:rFonts w:ascii="Book Antiqua" w:hAnsi="Book Antiqua" w:cs="Arial"/>
          <w:sz w:val="24"/>
          <w:szCs w:val="24"/>
          <w:lang w:val="en-US"/>
        </w:rPr>
        <w:t xml:space="preserve"> to form a heterodimer and this</w:t>
      </w:r>
      <w:r w:rsidR="00DE253E" w:rsidRPr="007F5A49">
        <w:rPr>
          <w:rFonts w:ascii="Book Antiqua" w:hAnsi="Book Antiqua" w:cs="Arial"/>
          <w:sz w:val="24"/>
          <w:szCs w:val="24"/>
          <w:lang w:val="en-US"/>
        </w:rPr>
        <w:t xml:space="preserve"> complex </w:t>
      </w:r>
      <w:proofErr w:type="spellStart"/>
      <w:r w:rsidR="00DE253E" w:rsidRPr="007F5A49">
        <w:rPr>
          <w:rFonts w:ascii="Book Antiqua" w:hAnsi="Book Antiqua" w:cs="Arial"/>
          <w:sz w:val="24"/>
          <w:szCs w:val="24"/>
          <w:lang w:val="en-US"/>
        </w:rPr>
        <w:t>translocates</w:t>
      </w:r>
      <w:proofErr w:type="spellEnd"/>
      <w:r w:rsidR="00DE253E" w:rsidRPr="007F5A49">
        <w:rPr>
          <w:rFonts w:ascii="Book Antiqua" w:hAnsi="Book Antiqua" w:cs="Arial"/>
          <w:sz w:val="24"/>
          <w:szCs w:val="24"/>
          <w:lang w:val="en-US"/>
        </w:rPr>
        <w:t xml:space="preserve"> into the nucleus</w:t>
      </w:r>
      <w:r w:rsidR="004D7C90" w:rsidRPr="007F5A49">
        <w:rPr>
          <w:rFonts w:ascii="Book Antiqua" w:hAnsi="Book Antiqua" w:cs="Arial"/>
          <w:sz w:val="24"/>
          <w:szCs w:val="24"/>
          <w:lang w:val="en-US"/>
        </w:rPr>
        <w:t xml:space="preserve"> to</w:t>
      </w:r>
      <w:r w:rsidR="00DE253E" w:rsidRPr="007F5A49">
        <w:rPr>
          <w:rFonts w:ascii="Book Antiqua" w:hAnsi="Book Antiqua" w:cs="Arial"/>
          <w:sz w:val="24"/>
          <w:szCs w:val="24"/>
          <w:lang w:val="en-US"/>
        </w:rPr>
        <w:t xml:space="preserve"> modulate the transcription of </w:t>
      </w:r>
      <w:r w:rsidR="00B57451" w:rsidRPr="007F5A49">
        <w:rPr>
          <w:rFonts w:ascii="Book Antiqua" w:hAnsi="Book Antiqua" w:cs="Arial"/>
          <w:sz w:val="24"/>
          <w:szCs w:val="24"/>
          <w:lang w:val="en-US"/>
        </w:rPr>
        <w:t xml:space="preserve">several </w:t>
      </w:r>
      <w:r w:rsidR="00DE253E" w:rsidRPr="007F5A49">
        <w:rPr>
          <w:rFonts w:ascii="Book Antiqua" w:hAnsi="Book Antiqua" w:cs="Arial"/>
          <w:sz w:val="24"/>
          <w:szCs w:val="24"/>
          <w:lang w:val="en-US"/>
        </w:rPr>
        <w:t>genes</w:t>
      </w:r>
      <w:r w:rsidR="002846CF" w:rsidRPr="007F5A49">
        <w:rPr>
          <w:rFonts w:ascii="Book Antiqua" w:hAnsi="Book Antiqua" w:cs="Arial"/>
          <w:sz w:val="24"/>
          <w:szCs w:val="24"/>
          <w:lang w:val="en-US"/>
        </w:rPr>
        <w:t xml:space="preserve"> </w:t>
      </w:r>
      <w:r w:rsidR="00B57451" w:rsidRPr="007F5A49">
        <w:rPr>
          <w:rFonts w:ascii="Book Antiqua" w:hAnsi="Book Antiqua" w:cs="Arial"/>
          <w:sz w:val="24"/>
          <w:szCs w:val="24"/>
          <w:lang w:val="en-US"/>
        </w:rPr>
        <w:t xml:space="preserve">that determine </w:t>
      </w:r>
      <w:r w:rsidR="002846CF" w:rsidRPr="007F5A49">
        <w:rPr>
          <w:rFonts w:ascii="Book Antiqua" w:hAnsi="Book Antiqua" w:cs="Arial"/>
          <w:sz w:val="24"/>
          <w:szCs w:val="24"/>
          <w:lang w:val="en-US"/>
        </w:rPr>
        <w:t xml:space="preserve">germ-line specification, embryonic development and cellular differentiation. </w:t>
      </w:r>
      <w:r w:rsidR="00DE253E" w:rsidRPr="007F5A49">
        <w:rPr>
          <w:rFonts w:ascii="Book Antiqua" w:hAnsi="Book Antiqua" w:cs="Arial"/>
          <w:sz w:val="24"/>
          <w:szCs w:val="24"/>
          <w:lang w:val="en-US"/>
        </w:rPr>
        <w:t xml:space="preserve">While </w:t>
      </w:r>
      <w:r w:rsidR="00DE253E" w:rsidRPr="007F5A49">
        <w:rPr>
          <w:rFonts w:ascii="Book Antiqua" w:eastAsia="Times New Roman" w:hAnsi="Book Antiqua" w:cs="Arial"/>
          <w:sz w:val="24"/>
          <w:szCs w:val="24"/>
          <w:lang w:val="en-US"/>
        </w:rPr>
        <w:t xml:space="preserve">TGF-β-mediated </w:t>
      </w:r>
      <w:bookmarkStart w:id="46" w:name="_Hlk501175045"/>
      <w:r w:rsidR="00DE253E" w:rsidRPr="007F5A49">
        <w:rPr>
          <w:rFonts w:ascii="Book Antiqua" w:hAnsi="Book Antiqua" w:cs="Arial"/>
          <w:sz w:val="24"/>
          <w:szCs w:val="24"/>
          <w:lang w:val="en-US"/>
        </w:rPr>
        <w:t>activation of TGF</w:t>
      </w:r>
      <w:r w:rsidR="004013AB" w:rsidRPr="007F5A49">
        <w:rPr>
          <w:rFonts w:ascii="Book Antiqua" w:hAnsi="Book Antiqua" w:cs="Arial"/>
          <w:sz w:val="24"/>
          <w:szCs w:val="24"/>
          <w:lang w:val="en-US"/>
        </w:rPr>
        <w:t>-</w:t>
      </w:r>
      <w:r w:rsidR="0027756E" w:rsidRPr="007F5A49">
        <w:rPr>
          <w:rFonts w:ascii="Book Antiqua" w:hAnsi="Book Antiqua" w:cs="Arial"/>
          <w:sz w:val="24"/>
          <w:szCs w:val="24"/>
          <w:lang w:val="en-US"/>
        </w:rPr>
        <w:t>β</w:t>
      </w:r>
      <w:r w:rsidR="00081E0B" w:rsidRPr="007F5A49">
        <w:rPr>
          <w:rFonts w:ascii="Book Antiqua" w:hAnsi="Book Antiqua" w:cs="Arial"/>
          <w:sz w:val="24"/>
          <w:szCs w:val="24"/>
          <w:lang w:val="en-US"/>
        </w:rPr>
        <w:t xml:space="preserve"> </w:t>
      </w:r>
      <w:r w:rsidR="008863C3" w:rsidRPr="007F5A49">
        <w:rPr>
          <w:rFonts w:ascii="Book Antiqua" w:hAnsi="Book Antiqua" w:cs="Arial"/>
          <w:sz w:val="24"/>
          <w:szCs w:val="24"/>
          <w:lang w:val="en-US"/>
        </w:rPr>
        <w:t>receptor (R)</w:t>
      </w:r>
      <w:r w:rsidR="005B35AB" w:rsidRPr="007F5A49">
        <w:rPr>
          <w:rFonts w:ascii="Book Antiqua" w:hAnsi="Book Antiqua" w:cs="Arial"/>
          <w:sz w:val="24"/>
          <w:szCs w:val="24"/>
          <w:lang w:val="en-US"/>
        </w:rPr>
        <w:t>II</w:t>
      </w:r>
      <w:r w:rsidR="00DE253E" w:rsidRPr="007F5A49">
        <w:rPr>
          <w:rFonts w:ascii="Book Antiqua" w:hAnsi="Book Antiqua" w:cs="Arial"/>
          <w:sz w:val="24"/>
          <w:szCs w:val="24"/>
          <w:lang w:val="en-US"/>
        </w:rPr>
        <w:t>/R</w:t>
      </w:r>
      <w:r w:rsidR="005B35AB" w:rsidRPr="007F5A49">
        <w:rPr>
          <w:rFonts w:ascii="Book Antiqua" w:hAnsi="Book Antiqua" w:cs="Arial"/>
          <w:sz w:val="24"/>
          <w:szCs w:val="24"/>
          <w:lang w:val="en-US"/>
        </w:rPr>
        <w:t>I</w:t>
      </w:r>
      <w:r w:rsidR="00B414A2" w:rsidRPr="007F5A49">
        <w:rPr>
          <w:rFonts w:ascii="Book Antiqua" w:hAnsi="Book Antiqua" w:cs="Arial"/>
          <w:sz w:val="24"/>
          <w:szCs w:val="24"/>
          <w:lang w:val="en-US"/>
        </w:rPr>
        <w:t xml:space="preserve"> </w:t>
      </w:r>
      <w:r w:rsidR="00DE253E" w:rsidRPr="007F5A49">
        <w:rPr>
          <w:rFonts w:ascii="Book Antiqua" w:hAnsi="Book Antiqua" w:cs="Arial"/>
          <w:sz w:val="24"/>
          <w:szCs w:val="24"/>
          <w:lang w:val="en-US"/>
        </w:rPr>
        <w:t>-SMAD</w:t>
      </w:r>
      <w:r w:rsidR="00D01607" w:rsidRPr="007F5A49">
        <w:rPr>
          <w:rFonts w:ascii="Book Antiqua" w:hAnsi="Book Antiqua" w:cs="Arial"/>
          <w:sz w:val="24"/>
          <w:szCs w:val="24"/>
          <w:lang w:val="en-US"/>
        </w:rPr>
        <w:t>-</w:t>
      </w:r>
      <w:r w:rsidR="00DE253E" w:rsidRPr="007F5A49">
        <w:rPr>
          <w:rFonts w:ascii="Book Antiqua" w:hAnsi="Book Antiqua" w:cs="Arial"/>
          <w:sz w:val="24"/>
          <w:szCs w:val="24"/>
          <w:lang w:val="en-US"/>
        </w:rPr>
        <w:t>2/3</w:t>
      </w:r>
      <w:r w:rsidR="00830E4D" w:rsidRPr="007F5A49">
        <w:rPr>
          <w:rFonts w:ascii="Book Antiqua" w:hAnsi="Book Antiqua" w:cs="Arial"/>
          <w:sz w:val="24"/>
          <w:szCs w:val="24"/>
          <w:lang w:val="en-US"/>
        </w:rPr>
        <w:t>-SMAD</w:t>
      </w:r>
      <w:r w:rsidR="00D01607" w:rsidRPr="007F5A49">
        <w:rPr>
          <w:rFonts w:ascii="Book Antiqua" w:hAnsi="Book Antiqua" w:cs="Arial"/>
          <w:sz w:val="24"/>
          <w:szCs w:val="24"/>
          <w:lang w:val="en-US"/>
        </w:rPr>
        <w:t>-</w:t>
      </w:r>
      <w:r w:rsidR="00830E4D" w:rsidRPr="007F5A49">
        <w:rPr>
          <w:rFonts w:ascii="Book Antiqua" w:hAnsi="Book Antiqua" w:cs="Arial"/>
          <w:sz w:val="24"/>
          <w:szCs w:val="24"/>
          <w:lang w:val="en-US"/>
        </w:rPr>
        <w:t>4</w:t>
      </w:r>
      <w:r w:rsidR="00DE253E" w:rsidRPr="007F5A49">
        <w:rPr>
          <w:rFonts w:ascii="Book Antiqua" w:hAnsi="Book Antiqua" w:cs="Arial"/>
          <w:sz w:val="24"/>
          <w:szCs w:val="24"/>
          <w:lang w:val="en-US"/>
        </w:rPr>
        <w:t xml:space="preserve"> is the canonical </w:t>
      </w:r>
      <w:r w:rsidR="00F57A7A" w:rsidRPr="007F5A49">
        <w:rPr>
          <w:rFonts w:ascii="Book Antiqua" w:hAnsi="Book Antiqua" w:cs="Arial"/>
          <w:sz w:val="24"/>
          <w:szCs w:val="24"/>
          <w:lang w:val="en-US"/>
        </w:rPr>
        <w:t xml:space="preserve">fibrosis </w:t>
      </w:r>
      <w:r w:rsidR="00ED78C4" w:rsidRPr="007F5A49">
        <w:rPr>
          <w:rFonts w:ascii="Book Antiqua" w:hAnsi="Book Antiqua" w:cs="Arial"/>
          <w:sz w:val="24"/>
          <w:szCs w:val="24"/>
          <w:lang w:val="en-US"/>
        </w:rPr>
        <w:t>pathway</w:t>
      </w:r>
      <w:bookmarkEnd w:id="46"/>
      <w:r w:rsidR="00DE253E" w:rsidRPr="007F5A49">
        <w:rPr>
          <w:rFonts w:ascii="Book Antiqua" w:hAnsi="Book Antiqua" w:cs="Arial"/>
          <w:sz w:val="24"/>
          <w:szCs w:val="24"/>
          <w:lang w:val="en-US"/>
        </w:rPr>
        <w:t>, BMP (6)-mediated activation of ALK</w:t>
      </w:r>
      <w:r w:rsidR="00ED37AD" w:rsidRPr="007F5A49">
        <w:rPr>
          <w:rFonts w:ascii="Book Antiqua" w:hAnsi="Book Antiqua" w:cs="Arial"/>
          <w:sz w:val="24"/>
          <w:szCs w:val="24"/>
          <w:lang w:val="en-US"/>
        </w:rPr>
        <w:t>-</w:t>
      </w:r>
      <w:r w:rsidR="00DE253E" w:rsidRPr="007F5A49">
        <w:rPr>
          <w:rFonts w:ascii="Book Antiqua" w:hAnsi="Book Antiqua" w:cs="Arial"/>
          <w:sz w:val="24"/>
          <w:szCs w:val="24"/>
          <w:lang w:val="en-US"/>
        </w:rPr>
        <w:t>2/3</w:t>
      </w:r>
      <w:r w:rsidR="00081E0B" w:rsidRPr="007F5A49">
        <w:rPr>
          <w:rFonts w:ascii="Book Antiqua" w:hAnsi="Book Antiqua" w:cs="Arial"/>
          <w:sz w:val="24"/>
          <w:szCs w:val="24"/>
          <w:lang w:val="en-US"/>
        </w:rPr>
        <w:t xml:space="preserve"> receptor</w:t>
      </w:r>
      <w:r w:rsidR="00DE253E" w:rsidRPr="007F5A49">
        <w:rPr>
          <w:rFonts w:ascii="Book Antiqua" w:hAnsi="Book Antiqua" w:cs="Arial"/>
          <w:sz w:val="24"/>
          <w:szCs w:val="24"/>
          <w:lang w:val="en-US"/>
        </w:rPr>
        <w:t>-</w:t>
      </w:r>
      <w:r w:rsidR="00906125" w:rsidRPr="007F5A49">
        <w:rPr>
          <w:rFonts w:ascii="Book Antiqua" w:hAnsi="Book Antiqua" w:cs="Arial"/>
          <w:sz w:val="24"/>
          <w:szCs w:val="24"/>
          <w:lang w:val="en-US"/>
        </w:rPr>
        <w:t>SMAD</w:t>
      </w:r>
      <w:r w:rsidR="00D01607" w:rsidRPr="007F5A49">
        <w:rPr>
          <w:rFonts w:ascii="Book Antiqua" w:hAnsi="Book Antiqua" w:cs="Arial"/>
          <w:sz w:val="24"/>
          <w:szCs w:val="24"/>
          <w:lang w:val="en-US"/>
        </w:rPr>
        <w:t>-</w:t>
      </w:r>
      <w:r w:rsidR="00DE253E" w:rsidRPr="007F5A49">
        <w:rPr>
          <w:rFonts w:ascii="Book Antiqua" w:hAnsi="Book Antiqua" w:cs="Arial"/>
          <w:sz w:val="24"/>
          <w:szCs w:val="24"/>
          <w:lang w:val="en-US"/>
        </w:rPr>
        <w:t>1/5/8</w:t>
      </w:r>
      <w:r w:rsidR="00830E4D" w:rsidRPr="007F5A49">
        <w:rPr>
          <w:rFonts w:ascii="Book Antiqua" w:hAnsi="Book Antiqua" w:cs="Arial"/>
          <w:sz w:val="24"/>
          <w:szCs w:val="24"/>
          <w:lang w:val="en-US"/>
        </w:rPr>
        <w:t>-SMAD</w:t>
      </w:r>
      <w:r w:rsidR="00D01607" w:rsidRPr="007F5A49">
        <w:rPr>
          <w:rFonts w:ascii="Book Antiqua" w:hAnsi="Book Antiqua" w:cs="Arial"/>
          <w:sz w:val="24"/>
          <w:szCs w:val="24"/>
          <w:lang w:val="en-US"/>
        </w:rPr>
        <w:t>-</w:t>
      </w:r>
      <w:r w:rsidR="00830E4D" w:rsidRPr="007F5A49">
        <w:rPr>
          <w:rFonts w:ascii="Book Antiqua" w:hAnsi="Book Antiqua" w:cs="Arial"/>
          <w:sz w:val="24"/>
          <w:szCs w:val="24"/>
          <w:lang w:val="en-US"/>
        </w:rPr>
        <w:t>4</w:t>
      </w:r>
      <w:r w:rsidR="00DE253E" w:rsidRPr="007F5A49">
        <w:rPr>
          <w:rFonts w:ascii="Book Antiqua" w:hAnsi="Book Antiqua" w:cs="Arial"/>
          <w:sz w:val="24"/>
          <w:szCs w:val="24"/>
          <w:lang w:val="en-US"/>
        </w:rPr>
        <w:t xml:space="preserve"> is central to</w:t>
      </w:r>
      <w:r w:rsidR="005B35AB" w:rsidRPr="007F5A49">
        <w:rPr>
          <w:rFonts w:ascii="Book Antiqua" w:hAnsi="Book Antiqua" w:cs="Arial"/>
          <w:sz w:val="24"/>
          <w:szCs w:val="24"/>
          <w:lang w:val="en-US"/>
        </w:rPr>
        <w:t xml:space="preserve"> </w:t>
      </w:r>
      <w:r w:rsidR="00DE253E" w:rsidRPr="007F5A49">
        <w:rPr>
          <w:rFonts w:ascii="Book Antiqua" w:hAnsi="Book Antiqua" w:cs="Arial"/>
          <w:sz w:val="24"/>
          <w:szCs w:val="24"/>
          <w:lang w:val="en-US"/>
        </w:rPr>
        <w:t>iron-dependent induction of hepcidin</w:t>
      </w:r>
      <w:r w:rsidR="00DE253E"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Gsi1pP15","properties":{"formattedCitation":"(40,41)","plainCitation":"(40,41)","noteIndex":0},"citationItems":[{"id":361,"uris":["http://zotero.org/users/2804724/items/MTRWPGTG"],"uri":["http://zotero.org/users/2804724/items/MTRWPGTG"],"itemData":{"id":361,"type":"article-journal","title":"Iron regulates phosphorylation of Smad1/5/8 and gene expression of Bmp6, Smad7, Id1, and Atoh8 in the mouse liver","container-title":"Blood","page":"1503-1509","volume":"112","issue":"4","source":"PubMed","abstract":"Although hepcidin expression was shown to be induced by the BMP/Smad signaling pathway, it is not yet known how iron regulates this pathway and what its exact molecular targets are. We therefore assessed genome-wide liver transcription profiles of mice of 2 genetic backgrounds fed iron-deficient, -balanced, or -enriched diets. Among 1419 transcripts significantly modulated by the dietary iron content, 4 were regulated similarly to the hepcidin genes Hamp1 and Hamp2. They are coding for Bmp6, Smad7, Id1, and Atoh8 all related to the Bmp/Smad pathway. As shown by Western blot analysis, variations in Bmp6 expression induced by the diet iron content have for functional consequence similar changes in Smad1/5/8 phosphorylation that leads to formation of heteromeric complexes with Smad4 and their translocation to the nucleus. Gene expression variations induced by secondary iron deficiency or iron overload were compared with those consecutive to Smad4 and Hamp1 deficiency. Iron overload developed by Smad4- and Hamp1-deficient mice also increased Bmp6 transcription. However, as shown by analysis of mice with liver-specific disruption of Smad4, activation of Smad7, Id1, and Atoh8 transcription by iron requires Smad4. This study points out molecules that appear to play a critical role in the control of systemic iron balance.","DOI":"10.1182/blood-2008-03-143354","ISSN":"1528-0020","note":"PMID: 18539898","journalAbbreviation":"Blood","language":"eng","author":[{"family":"Kautz","given":"Léon"},{"family":"Meynard","given":"Delphine"},{"family":"Monnier","given":"Annabelle"},{"family":"Darnaud","given":"Valérie"},{"family":"Bouvet","given":"Régis"},{"family":"Wang","given":"Rui-Hong"},{"family":"Deng","given":"Chiuxia"},{"family":"Vaulont","given":"Sophie"},{"family":"Mosser","given":"Jean"},{"family":"Coppin","given":"Hélène"},{"family":"Roth","given":"Marie-Paule"}],"issued":{"date-parts":[["2008",8,15]]}}},{"id":"z1PZoHrb/0x38DFou","uris":["http://zotero.org/users/4222068/items/SPTS4BCK"],"uri":["http://zotero.org/users/4222068/items/SPTS4BCK"],"itemData":{"id":1489,"type":"article-journal","title":"Bone morphogenetic protein receptors and signal transduction","container-title":"Journal of Biochemistry","page":"35-51","volume":"147","issue":"1","source":"PubMed","abstract":"Bone morphogenetic proteins (BMPs) exhibit broad spectra of biological activities in various tissues, including bone, cartilage, blood vessels, heart, kidney, neurons, liver and lung. BMPs are members of the transforming growth factor-beta (TGF-beta) family that bind to type II and type I serine-threonine kinase receptors, and transduce signals through Smad and non-Smad signalling pathways. Recent findings have revealed that BMP signalling is finely tuned by various mechanisms in both positive and negative fashions. Perturbations of BMP signalling pathways are linked to a wide variety of clinical disorders, including vascular diseases, skeletal diseases and cancer. Administration of recombinant BMP ligands and increasing endogenous expression of BMPs provide therapeutic effects on some diseases. The recent development of BMP receptor inhibitors may also prove useful for some clinical diseases induced by hyperactivation of the BMP signalling pathways.","DOI":"10.1093/jb/mvp148","ISSN":"1756-2651","note":"PMID: 19762341","journalAbbreviation":"J. Biochem.","language":"eng","author":[{"family":"Miyazono","given":"Kohei"},{"family":"Kamiya","given":"Yuto"},{"family":"Morikawa","given":"Masato"}],"issued":{"date-parts":[["2010",1]]}}}],"schema":"https://github.com/citation-style-language/schema/raw/master/csl-citation.json"} </w:instrText>
      </w:r>
      <w:r w:rsidR="00DE253E" w:rsidRPr="007F5A49">
        <w:rPr>
          <w:rFonts w:ascii="Book Antiqua" w:hAnsi="Book Antiqua" w:cs="Arial"/>
          <w:sz w:val="24"/>
          <w:szCs w:val="24"/>
          <w:vertAlign w:val="superscript"/>
          <w:lang w:val="en-US"/>
        </w:rPr>
        <w:fldChar w:fldCharType="separate"/>
      </w:r>
      <w:r w:rsidR="00D31CB1"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40,41</w:t>
      </w:r>
      <w:r w:rsidR="00DE253E" w:rsidRPr="007F5A49">
        <w:rPr>
          <w:rFonts w:ascii="Book Antiqua" w:hAnsi="Book Antiqua" w:cs="Arial"/>
          <w:sz w:val="24"/>
          <w:szCs w:val="24"/>
          <w:vertAlign w:val="superscript"/>
          <w:lang w:val="en-US"/>
        </w:rPr>
        <w:fldChar w:fldCharType="end"/>
      </w:r>
      <w:r w:rsidR="00D31CB1" w:rsidRPr="007F5A49">
        <w:rPr>
          <w:rFonts w:ascii="Book Antiqua" w:hAnsi="Book Antiqua" w:cs="Arial"/>
          <w:sz w:val="24"/>
          <w:szCs w:val="24"/>
          <w:vertAlign w:val="superscript"/>
          <w:lang w:val="en-US"/>
        </w:rPr>
        <w:t>]</w:t>
      </w:r>
      <w:r w:rsidR="003B6DB8" w:rsidRPr="007F5A49">
        <w:rPr>
          <w:rFonts w:ascii="Book Antiqua" w:hAnsi="Book Antiqua" w:cs="Arial"/>
          <w:sz w:val="24"/>
          <w:szCs w:val="24"/>
          <w:lang w:val="en-US"/>
        </w:rPr>
        <w:t xml:space="preserve"> </w:t>
      </w:r>
      <w:r w:rsidR="00B57451" w:rsidRPr="007F5A49">
        <w:rPr>
          <w:rFonts w:ascii="Book Antiqua" w:hAnsi="Book Antiqua" w:cs="Arial"/>
          <w:sz w:val="24"/>
          <w:szCs w:val="24"/>
          <w:lang w:val="en-US"/>
        </w:rPr>
        <w:t>(</w:t>
      </w:r>
      <w:r w:rsidR="00776278" w:rsidRPr="007F5A49">
        <w:rPr>
          <w:rFonts w:ascii="Book Antiqua" w:hAnsi="Book Antiqua" w:cs="Arial"/>
          <w:sz w:val="24"/>
          <w:szCs w:val="24"/>
          <w:lang w:val="en-US"/>
        </w:rPr>
        <w:t>T</w:t>
      </w:r>
      <w:r w:rsidR="003B6DB8" w:rsidRPr="007F5A49">
        <w:rPr>
          <w:rFonts w:ascii="Book Antiqua" w:hAnsi="Book Antiqua" w:cs="Arial"/>
          <w:sz w:val="24"/>
          <w:szCs w:val="24"/>
          <w:lang w:val="en-US"/>
        </w:rPr>
        <w:t>able 1</w:t>
      </w:r>
      <w:r w:rsidR="00B57451" w:rsidRPr="007F5A49">
        <w:rPr>
          <w:rFonts w:ascii="Book Antiqua" w:hAnsi="Book Antiqua" w:cs="Arial"/>
          <w:sz w:val="24"/>
          <w:szCs w:val="24"/>
          <w:lang w:val="en-US"/>
        </w:rPr>
        <w:t>)</w:t>
      </w:r>
      <w:r w:rsidR="003B6DB8" w:rsidRPr="007F5A49">
        <w:rPr>
          <w:rFonts w:ascii="Book Antiqua" w:hAnsi="Book Antiqua" w:cs="Arial"/>
          <w:sz w:val="24"/>
          <w:szCs w:val="24"/>
          <w:lang w:val="en-US"/>
        </w:rPr>
        <w:t>.</w:t>
      </w:r>
    </w:p>
    <w:p w14:paraId="6220CCC0" w14:textId="3EBC478C" w:rsidR="00B96CE4" w:rsidRPr="007F5A49" w:rsidRDefault="00C04BB2" w:rsidP="007F5A49">
      <w:pPr>
        <w:adjustRightInd w:val="0"/>
        <w:snapToGrid w:val="0"/>
        <w:spacing w:after="0" w:line="360" w:lineRule="auto"/>
        <w:jc w:val="both"/>
        <w:rPr>
          <w:rFonts w:ascii="Book Antiqua" w:hAnsi="Book Antiqua" w:cs="Arial"/>
          <w:sz w:val="24"/>
          <w:szCs w:val="24"/>
          <w:lang w:val="en-US"/>
        </w:rPr>
      </w:pPr>
      <w:r>
        <w:rPr>
          <w:rFonts w:ascii="Book Antiqua" w:hAnsi="Book Antiqua" w:cs="Arial"/>
          <w:sz w:val="24"/>
          <w:szCs w:val="24"/>
          <w:lang w:val="en-US"/>
        </w:rPr>
        <w:t xml:space="preserve">  </w:t>
      </w:r>
      <w:r w:rsidR="000639F2" w:rsidRPr="007F5A49">
        <w:rPr>
          <w:rFonts w:ascii="Book Antiqua" w:hAnsi="Book Antiqua" w:cs="Arial"/>
          <w:sz w:val="24"/>
          <w:szCs w:val="24"/>
          <w:lang w:val="en-US"/>
        </w:rPr>
        <w:t>S</w:t>
      </w:r>
      <w:r w:rsidR="000639F2" w:rsidRPr="007F5A49">
        <w:rPr>
          <w:rFonts w:ascii="Book Antiqua" w:eastAsia="Times New Roman" w:hAnsi="Book Antiqua" w:cs="Arial"/>
          <w:sz w:val="24"/>
          <w:szCs w:val="24"/>
          <w:lang w:val="en-US"/>
        </w:rPr>
        <w:t xml:space="preserve">ince </w:t>
      </w:r>
      <w:r w:rsidR="0054491C" w:rsidRPr="007F5A49">
        <w:rPr>
          <w:rFonts w:ascii="Book Antiqua" w:eastAsia="Times New Roman" w:hAnsi="Book Antiqua" w:cs="Arial"/>
          <w:sz w:val="24"/>
          <w:szCs w:val="24"/>
          <w:lang w:val="en-US"/>
        </w:rPr>
        <w:t xml:space="preserve">excess </w:t>
      </w:r>
      <w:r w:rsidR="0088054E" w:rsidRPr="007F5A49">
        <w:rPr>
          <w:rFonts w:ascii="Book Antiqua" w:eastAsia="Times New Roman" w:hAnsi="Book Antiqua" w:cs="Arial"/>
          <w:sz w:val="24"/>
          <w:szCs w:val="24"/>
          <w:lang w:val="en-US"/>
        </w:rPr>
        <w:t xml:space="preserve">iron in liver </w:t>
      </w:r>
      <w:r w:rsidR="000639F2" w:rsidRPr="007F5A49">
        <w:rPr>
          <w:rFonts w:ascii="Book Antiqua" w:eastAsia="Times New Roman" w:hAnsi="Book Antiqua" w:cs="Arial"/>
          <w:sz w:val="24"/>
          <w:szCs w:val="24"/>
          <w:lang w:val="en-US"/>
        </w:rPr>
        <w:t>induces both, TGF-β</w:t>
      </w:r>
      <w:r w:rsidR="00F57A7A" w:rsidRPr="007F5A49">
        <w:rPr>
          <w:rFonts w:ascii="Book Antiqua" w:eastAsia="Times New Roman" w:hAnsi="Book Antiqua" w:cs="Arial"/>
          <w:sz w:val="24"/>
          <w:szCs w:val="24"/>
          <w:vertAlign w:val="superscript"/>
          <w:lang w:val="en-US"/>
        </w:rPr>
        <w:fldChar w:fldCharType="begin"/>
      </w:r>
      <w:r w:rsidR="00D2645C" w:rsidRPr="007F5A49">
        <w:rPr>
          <w:rFonts w:ascii="Book Antiqua" w:eastAsia="Times New Roman" w:hAnsi="Book Antiqua" w:cs="Arial"/>
          <w:sz w:val="24"/>
          <w:szCs w:val="24"/>
          <w:vertAlign w:val="superscript"/>
          <w:lang w:val="en-US"/>
        </w:rPr>
        <w:instrText xml:space="preserve"> ADDIN ZOTERO_ITEM CSL_CITATION {"citationID":"a4e5do1njv","properties":{"formattedCitation":"(29)","plainCitation":"(29)","noteIndex":0},"citationItems":[{"id":73,"uris":["http://zotero.org/users/2804724/items/6MQWQWT2"],"uri":["http://zotero.org/users/2804724/items/6MQWQWT2"],"itemData":{"id":73,"type":"article-journal","title":"Excess iron induces hepatic oxidative stress and transforming growth factor β1 in genetic hemochromatosis","container-title":"Hepatology","page":"605-610","volume":"26","issue":"3","source":"onlinelibrary.wiley.com","DOI":"10.1002/hep.510260311","ISSN":"1527-3350","language":"en","author":[{"family":"Houglum","given":"K."},{"family":"Ramm","given":"G. A."},{"family":"Crawford","given":"D. H."},{"family":"Witztum","given":"J. L."},{"family":"Powell","given":"L. W."},{"family":"Chojkier","given":"M."}],"issued":{"date-parts":[["1997",9,1]]}}}],"schema":"https://github.com/citation-style-language/schema/raw/master/csl-citation.json"} </w:instrText>
      </w:r>
      <w:r w:rsidR="00F57A7A" w:rsidRPr="007F5A49">
        <w:rPr>
          <w:rFonts w:ascii="Book Antiqua" w:eastAsia="Times New Roman" w:hAnsi="Book Antiqua" w:cs="Arial"/>
          <w:sz w:val="24"/>
          <w:szCs w:val="24"/>
          <w:vertAlign w:val="superscript"/>
          <w:lang w:val="en-US"/>
        </w:rPr>
        <w:fldChar w:fldCharType="separate"/>
      </w:r>
      <w:r w:rsidR="00DF49FC"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29</w:t>
      </w:r>
      <w:r w:rsidR="00F57A7A" w:rsidRPr="007F5A49">
        <w:rPr>
          <w:rFonts w:ascii="Book Antiqua" w:eastAsia="Times New Roman" w:hAnsi="Book Antiqua" w:cs="Arial"/>
          <w:sz w:val="24"/>
          <w:szCs w:val="24"/>
          <w:vertAlign w:val="superscript"/>
          <w:lang w:val="en-US"/>
        </w:rPr>
        <w:fldChar w:fldCharType="end"/>
      </w:r>
      <w:r w:rsidR="00DF49FC" w:rsidRPr="007F5A49">
        <w:rPr>
          <w:rFonts w:ascii="Book Antiqua" w:eastAsia="Times New Roman" w:hAnsi="Book Antiqua" w:cs="Arial"/>
          <w:sz w:val="24"/>
          <w:szCs w:val="24"/>
          <w:vertAlign w:val="superscript"/>
          <w:lang w:val="en-US"/>
        </w:rPr>
        <w:t>]</w:t>
      </w:r>
      <w:r w:rsidR="000639F2" w:rsidRPr="007F5A49">
        <w:rPr>
          <w:rFonts w:ascii="Book Antiqua" w:eastAsia="Times New Roman" w:hAnsi="Book Antiqua" w:cs="Arial"/>
          <w:sz w:val="24"/>
          <w:szCs w:val="24"/>
          <w:lang w:val="en-US"/>
        </w:rPr>
        <w:t xml:space="preserve"> and </w:t>
      </w:r>
      <w:r w:rsidR="00A43F35" w:rsidRPr="007F5A49">
        <w:rPr>
          <w:rFonts w:ascii="Book Antiqua" w:eastAsia="Times New Roman" w:hAnsi="Book Antiqua" w:cs="Arial"/>
          <w:sz w:val="24"/>
          <w:szCs w:val="24"/>
          <w:lang w:val="en-US"/>
        </w:rPr>
        <w:t>BMP-6</w:t>
      </w:r>
      <w:r w:rsidR="0054491C" w:rsidRPr="007F5A49">
        <w:rPr>
          <w:rFonts w:ascii="Book Antiqua" w:eastAsia="Times New Roman" w:hAnsi="Book Antiqua" w:cs="Arial"/>
          <w:sz w:val="24"/>
          <w:szCs w:val="24"/>
          <w:vertAlign w:val="superscript"/>
          <w:lang w:val="en-US"/>
        </w:rPr>
        <w:fldChar w:fldCharType="begin"/>
      </w:r>
      <w:r w:rsidR="00D2645C" w:rsidRPr="007F5A49">
        <w:rPr>
          <w:rFonts w:ascii="Book Antiqua" w:eastAsia="Times New Roman" w:hAnsi="Book Antiqua" w:cs="Arial"/>
          <w:sz w:val="24"/>
          <w:szCs w:val="24"/>
          <w:vertAlign w:val="superscript"/>
          <w:lang w:val="en-US"/>
        </w:rPr>
        <w:instrText xml:space="preserve"> ADDIN ZOTERO_ITEM CSL_CITATION {"citationID":"vi84HDlI","properties":{"formattedCitation":"(40,42)","plainCitation":"(40,42)","noteIndex":0},"citationItems":[{"id":361,"uris":["http://zotero.org/users/2804724/items/MTRWPGTG"],"uri":["http://zotero.org/users/2804724/items/MTRWPGTG"],"itemData":{"id":361,"type":"article-journal","title":"Iron regulates phosphorylation of Smad1/5/8 and gene expression of Bmp6, Smad7, Id1, and Atoh8 in the mouse liver","container-title":"Blood","page":"1503-1509","volume":"112","issue":"4","source":"PubMed","abstract":"Although hepcidin expression was shown to be induced by the BMP/Smad signaling pathway, it is not yet known how iron regulates this pathway and what its exact molecular targets are. We therefore assessed genome-wide liver transcription profiles of mice of 2 genetic backgrounds fed iron-deficient, -balanced, or -enriched diets. Among 1419 transcripts significantly modulated by the dietary iron content, 4 were regulated similarly to the hepcidin genes Hamp1 and Hamp2. They are coding for Bmp6, Smad7, Id1, and Atoh8 all related to the Bmp/Smad pathway. As shown by Western blot analysis, variations in Bmp6 expression induced by the diet iron content have for functional consequence similar changes in Smad1/5/8 phosphorylation that leads to formation of heteromeric complexes with Smad4 and their translocation to the nucleus. Gene expression variations induced by secondary iron deficiency or iron overload were compared with those consecutive to Smad4 and Hamp1 deficiency. Iron overload developed by Smad4- and Hamp1-deficient mice also increased Bmp6 transcription. However, as shown by analysis of mice with liver-specific disruption of Smad4, activation of Smad7, Id1, and Atoh8 transcription by iron requires Smad4. This study points out molecules that appear to play a critical role in the control of systemic iron balance.","DOI":"10.1182/blood-2008-03-143354","ISSN":"1528-0020","note":"PMID: 18539898","journalAbbreviation":"Blood","language":"eng","author":[{"family":"Kautz","given":"Léon"},{"family":"Meynard","given":"Delphine"},{"family":"Monnier","given":"Annabelle"},{"family":"Darnaud","given":"Valérie"},{"family":"Bouvet","given":"Régis"},{"family":"Wang","given":"Rui-Hong"},{"family":"Deng","given":"Chiuxia"},{"family":"Vaulont","given":"Sophie"},{"family":"Mosser","given":"Jean"},{"family":"Coppin","given":"Hélène"},{"family":"Roth","given":"Marie-Paule"}],"issued":{"date-parts":[["2008",8,15]]}}},{"id":"z1PZoHrb/9CyekwXt","uris":["http://zotero.org/users/4222068/items/E7R6RGDK"],"uri":["http://zotero.org/users/4222068/items/E7R6RGDK"],"itemData":{"id":1575,"type":"article-journal","title":"Serum and liver iron differently regulate the bone morphogenetic protein 6 (BMP6)-SMAD signaling pathway in mice","container-title":"Hepatology (Baltimore, Md.)","page":"273-284","volume":"54","issue":"1","source":"PubMed","abstract":"The bone morphogenetic protein 6 (BMP6)-SMAD signaling pathway is a central regulator of hepcidin expression and systemic iron balance. However, the molecular mechanisms by which iron is sensed to regulate BMP6-SMAD signaling and hepcidin expression are unknown. Here we examined the effects of circulating and tissue iron on Bmp6-Smad pathway activation and hepcidin expression in vivo after acute and chronic enteral iron administration in mice. We demonstrated that both transferrin saturation and liver iron content independently influence hepcidin expression. Although liver iron content is independently positively correlated with hepatic Bmp6 messenger RNA (mRNA) expression and overall activation of the Smad1/5/8 signaling pathway, transferrin saturation activates the downstream Smad1/5/8 signaling cascade, but does not induce Bmp6 mRNA expression in the liver. Hepatic inhibitory Smad7 mRNA expression is increased by both acute and chronic iron administration and mirrors overall activation of the Smad1/5/8 signaling cascade. In contrast to the Smad pathway, the extracellular signal-regulated kinase 1 and 2 (Erk1/2) mitogen-activated protein kinase (Mapk) signaling pathway in the liver is not activated by acute or chronic iron administration in mice.\nCONCLUSION: Our data demonstrate that the hepatic Bmp6-Smad signaling pathway is differentially activated by circulating and tissue iron to induce hepcidin expression, whereas the hepatic Erk1/2 signaling pathway is not activated by iron in vivo.","DOI":"10.1002/hep.24359","ISSN":"1527-3350","note":"PMID: 21488083\nPMCID: PMC3277401","journalAbbreviation":"Hepatology","language":"eng","author":[{"family":"Corradini","given":"Elena"},{"family":"Meynard","given":"Delphine"},{"family":"Wu","given":"Qifang"},{"family":"Chen","given":"Shan"},{"family":"Ventura","given":"Paolo"},{"family":"Pietrangelo","given":"Antonello"},{"family":"Babitt","given":"Jodie L."}],"issued":{"date-parts":[["2011",7]]}}}],"schema":"https://github.com/citation-style-language/schema/raw/master/csl-citation.json"} </w:instrText>
      </w:r>
      <w:r w:rsidR="0054491C" w:rsidRPr="007F5A49">
        <w:rPr>
          <w:rFonts w:ascii="Book Antiqua" w:eastAsia="Times New Roman" w:hAnsi="Book Antiqua" w:cs="Arial"/>
          <w:sz w:val="24"/>
          <w:szCs w:val="24"/>
          <w:vertAlign w:val="superscript"/>
          <w:lang w:val="en-US"/>
        </w:rPr>
        <w:fldChar w:fldCharType="separate"/>
      </w:r>
      <w:r w:rsidR="00DF49FC"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40,42</w:t>
      </w:r>
      <w:r w:rsidR="0054491C" w:rsidRPr="007F5A49">
        <w:rPr>
          <w:rFonts w:ascii="Book Antiqua" w:eastAsia="Times New Roman" w:hAnsi="Book Antiqua" w:cs="Arial"/>
          <w:sz w:val="24"/>
          <w:szCs w:val="24"/>
          <w:vertAlign w:val="superscript"/>
          <w:lang w:val="en-US"/>
        </w:rPr>
        <w:fldChar w:fldCharType="end"/>
      </w:r>
      <w:r w:rsidR="00DF49FC" w:rsidRPr="007F5A49">
        <w:rPr>
          <w:rFonts w:ascii="Book Antiqua" w:eastAsia="Times New Roman" w:hAnsi="Book Antiqua" w:cs="Arial"/>
          <w:sz w:val="24"/>
          <w:szCs w:val="24"/>
          <w:vertAlign w:val="superscript"/>
          <w:lang w:val="en-US"/>
        </w:rPr>
        <w:t>]</w:t>
      </w:r>
      <w:r w:rsidR="001D6A6B" w:rsidRPr="007F5A49">
        <w:rPr>
          <w:rFonts w:ascii="Book Antiqua" w:eastAsia="Times New Roman" w:hAnsi="Book Antiqua" w:cs="Arial"/>
          <w:sz w:val="24"/>
          <w:szCs w:val="24"/>
          <w:lang w:val="en-US"/>
        </w:rPr>
        <w:t xml:space="preserve">, </w:t>
      </w:r>
      <w:r w:rsidR="00B414A2" w:rsidRPr="007F5A49">
        <w:rPr>
          <w:rFonts w:ascii="Book Antiqua" w:eastAsia="Times New Roman" w:hAnsi="Book Antiqua" w:cs="Arial"/>
          <w:sz w:val="24"/>
          <w:szCs w:val="24"/>
          <w:lang w:val="en-US"/>
        </w:rPr>
        <w:t xml:space="preserve">a </w:t>
      </w:r>
      <w:r w:rsidR="000639F2" w:rsidRPr="007F5A49">
        <w:rPr>
          <w:rFonts w:ascii="Book Antiqua" w:eastAsia="Times New Roman" w:hAnsi="Book Antiqua" w:cs="Arial"/>
          <w:sz w:val="24"/>
          <w:szCs w:val="24"/>
          <w:lang w:val="en-US"/>
        </w:rPr>
        <w:t>connection between the</w:t>
      </w:r>
      <w:r w:rsidR="001D6A6B" w:rsidRPr="007F5A49">
        <w:rPr>
          <w:rFonts w:ascii="Book Antiqua" w:eastAsia="Times New Roman" w:hAnsi="Book Antiqua" w:cs="Arial"/>
          <w:sz w:val="24"/>
          <w:szCs w:val="24"/>
          <w:lang w:val="en-US"/>
        </w:rPr>
        <w:t xml:space="preserve"> </w:t>
      </w:r>
      <w:r w:rsidR="008863C3" w:rsidRPr="007F5A49">
        <w:rPr>
          <w:rFonts w:ascii="Book Antiqua" w:hAnsi="Book Antiqua" w:cs="Arial"/>
          <w:sz w:val="24"/>
          <w:szCs w:val="24"/>
          <w:lang w:val="en-US"/>
        </w:rPr>
        <w:t>TGF-β-induced fibrosis pathway and the BMP-induced hepcidin</w:t>
      </w:r>
      <w:r w:rsidR="004D7C90" w:rsidRPr="007F5A49">
        <w:rPr>
          <w:rFonts w:ascii="Book Antiqua" w:hAnsi="Book Antiqua" w:cs="Arial"/>
          <w:sz w:val="24"/>
          <w:szCs w:val="24"/>
          <w:lang w:val="en-US"/>
        </w:rPr>
        <w:t xml:space="preserve"> </w:t>
      </w:r>
      <w:r w:rsidR="008863C3" w:rsidRPr="007F5A49">
        <w:rPr>
          <w:rFonts w:ascii="Book Antiqua" w:hAnsi="Book Antiqua" w:cs="Arial"/>
          <w:sz w:val="24"/>
          <w:szCs w:val="24"/>
          <w:lang w:val="en-US"/>
        </w:rPr>
        <w:t>induction</w:t>
      </w:r>
      <w:r w:rsidR="004D7C90" w:rsidRPr="007F5A49">
        <w:rPr>
          <w:rFonts w:ascii="Book Antiqua" w:hAnsi="Book Antiqua" w:cs="Arial"/>
          <w:sz w:val="24"/>
          <w:szCs w:val="24"/>
          <w:lang w:val="en-US"/>
        </w:rPr>
        <w:t xml:space="preserve"> </w:t>
      </w:r>
      <w:r w:rsidR="008863C3" w:rsidRPr="007F5A49">
        <w:rPr>
          <w:rFonts w:ascii="Book Antiqua" w:hAnsi="Book Antiqua" w:cs="Arial"/>
          <w:sz w:val="24"/>
          <w:szCs w:val="24"/>
          <w:lang w:val="en-US"/>
        </w:rPr>
        <w:t>was</w:t>
      </w:r>
      <w:r w:rsidR="004D7C90" w:rsidRPr="007F5A49">
        <w:rPr>
          <w:rFonts w:ascii="Book Antiqua" w:hAnsi="Book Antiqua" w:cs="Arial"/>
          <w:sz w:val="24"/>
          <w:szCs w:val="24"/>
          <w:lang w:val="en-US"/>
        </w:rPr>
        <w:t xml:space="preserve"> </w:t>
      </w:r>
      <w:r w:rsidR="008863C3" w:rsidRPr="007F5A49">
        <w:rPr>
          <w:rFonts w:ascii="Book Antiqua" w:hAnsi="Book Antiqua" w:cs="Arial"/>
          <w:sz w:val="24"/>
          <w:szCs w:val="24"/>
          <w:lang w:val="en-US"/>
        </w:rPr>
        <w:t>envisaged</w:t>
      </w:r>
      <w:r w:rsidR="004D7C90" w:rsidRPr="007F5A49">
        <w:rPr>
          <w:rFonts w:ascii="Book Antiqua" w:hAnsi="Book Antiqua" w:cs="Arial"/>
          <w:sz w:val="24"/>
          <w:szCs w:val="24"/>
          <w:lang w:val="en-US"/>
        </w:rPr>
        <w:t xml:space="preserve"> and investigated. </w:t>
      </w:r>
      <w:r w:rsidR="00DE253E" w:rsidRPr="007F5A49">
        <w:rPr>
          <w:rFonts w:ascii="Book Antiqua" w:hAnsi="Book Antiqua" w:cs="Arial"/>
          <w:sz w:val="24"/>
          <w:szCs w:val="24"/>
          <w:lang w:val="en-US"/>
        </w:rPr>
        <w:t xml:space="preserve">Wang </w:t>
      </w:r>
      <w:r w:rsidR="00DE253E" w:rsidRPr="00C04BB2">
        <w:rPr>
          <w:rFonts w:ascii="Book Antiqua" w:hAnsi="Book Antiqua" w:cs="Arial"/>
          <w:i/>
          <w:sz w:val="24"/>
          <w:szCs w:val="24"/>
          <w:lang w:val="en-US"/>
        </w:rPr>
        <w:t>et al</w:t>
      </w:r>
      <w:r w:rsidRPr="007F5A49">
        <w:rPr>
          <w:rFonts w:ascii="Book Antiqua" w:hAnsi="Book Antiqua" w:cs="Arial"/>
          <w:sz w:val="24"/>
          <w:szCs w:val="24"/>
          <w:vertAlign w:val="superscript"/>
          <w:lang w:val="en-US"/>
        </w:rPr>
        <w:fldChar w:fldCharType="begin"/>
      </w:r>
      <w:r w:rsidRPr="007F5A49">
        <w:rPr>
          <w:rFonts w:ascii="Book Antiqua" w:hAnsi="Book Antiqua" w:cs="Arial"/>
          <w:sz w:val="24"/>
          <w:szCs w:val="24"/>
          <w:vertAlign w:val="superscript"/>
          <w:lang w:val="en-US"/>
        </w:rPr>
        <w:instrText xml:space="preserve"> ADDIN ZOTERO_ITEM CSL_CITATION {"citationID":"aoo7cc71ng","properties":{"formattedCitation":"(43)","plainCitation":"(43)","noteIndex":0},"citationItems":[{"id":430,"uris":["http://zotero.org/users/2804724/items/PUKV2KTN"],"uri":["http://zotero.org/users/2804724/items/PUKV2KTN"],"itemData":{"id":430,"type":"article-journal","title":"A role of SMAD4 in iron metabolism through the positive regulation of hepcidin expression","container-title":"Cell Metabolism","page":"399-409","volume":"2","issue":"6","source":"PubMed","abstract":"Hereditary hemochromatosis, characterized by iron overload in multiple organs, is one of the most common genetic disorders among Caucasians. Hepcidin, which is synthesized in the liver, plays important roles in iron overload syndromes. Here, we show that a Cre-loxP-mediated liver-specific disruption of SMAD4 results in markedly decreased hepcidin expression and accumulation of iron in many organs, which is most pronounced in liver, kidney, and pancreas. Transcript levels of genes involved in intestinal iron absorption, including Dcytb, DMT1, and ferroportin, are significantly elevated in the absence of hepcidin. We demonstrate that ectopic overexpression of SMAD4 activates the hepcidin promoter and is associated with epigenetic modification of histone H3 to a transcriptionally active form. Moreover, transcriptional activation of hepcidin is abrogated in SMAD4-deficient hepatocytes in response to iron overload, TGF-beta, BMP, or IL-6. Our study uncovers a novel role of TGF-beta/SMAD4 in regulating hepcidin expression and thus intestinal iron transport and iron homeostasis.","DOI":"10.1016/j.cmet.2005.10.010","ISSN":"1550-4131","note":"PMID: 16330325","journalAbbreviation":"Cell Metab.","language":"eng","author":[{"family":"Wang","given":"Rui-Hong"},{"family":"Li","given":"Cuiling"},{"family":"Xu","given":"Xiaoling"},{"family":"Zheng","given":"Yin"},{"family":"Xiao","given":"Cuiying"},{"family":"Zerfas","given":"Patricia"},{"family":"Cooperman","given":"Sharon"},{"family":"Eckhaus","given":"Michael"},{"family":"Rouault","given":"Tracey"},{"family":"Mishra","given":"Lopa"},{"family":"Deng","given":"Chu-Xia"}],"issued":{"date-parts":[["2005",12]]}}}],"schema":"https://github.com/citation-style-language/schema/raw/master/csl-citation.json"} </w:instrText>
      </w:r>
      <w:r w:rsidRPr="007F5A49">
        <w:rPr>
          <w:rFonts w:ascii="Book Antiqua" w:hAnsi="Book Antiqua" w:cs="Arial"/>
          <w:sz w:val="24"/>
          <w:szCs w:val="24"/>
          <w:vertAlign w:val="superscript"/>
          <w:lang w:val="en-US"/>
        </w:rPr>
        <w:fldChar w:fldCharType="separate"/>
      </w:r>
      <w:r w:rsidRPr="007F5A49">
        <w:rPr>
          <w:rFonts w:ascii="Book Antiqua" w:hAnsi="Book Antiqua"/>
          <w:sz w:val="24"/>
          <w:szCs w:val="24"/>
          <w:vertAlign w:val="superscript"/>
          <w:lang w:val="en-US"/>
        </w:rPr>
        <w:t>[43</w:t>
      </w:r>
      <w:r w:rsidRPr="007F5A49">
        <w:rPr>
          <w:rFonts w:ascii="Book Antiqua" w:hAnsi="Book Antiqua" w:cs="Arial"/>
          <w:sz w:val="24"/>
          <w:szCs w:val="24"/>
          <w:vertAlign w:val="superscript"/>
          <w:lang w:val="en-US"/>
        </w:rPr>
        <w:fldChar w:fldCharType="end"/>
      </w:r>
      <w:r w:rsidRPr="007F5A49">
        <w:rPr>
          <w:rFonts w:ascii="Book Antiqua" w:hAnsi="Book Antiqua" w:cs="Arial"/>
          <w:sz w:val="24"/>
          <w:szCs w:val="24"/>
          <w:vertAlign w:val="superscript"/>
          <w:lang w:val="en-US"/>
        </w:rPr>
        <w:t>]</w:t>
      </w:r>
      <w:r w:rsidR="00AD6082" w:rsidRPr="007F5A49">
        <w:rPr>
          <w:rFonts w:ascii="Book Antiqua" w:hAnsi="Book Antiqua" w:cs="Arial"/>
          <w:sz w:val="24"/>
          <w:szCs w:val="24"/>
          <w:lang w:val="en-US"/>
        </w:rPr>
        <w:t xml:space="preserve"> </w:t>
      </w:r>
      <w:r w:rsidR="008233C8" w:rsidRPr="007F5A49">
        <w:rPr>
          <w:rFonts w:ascii="Book Antiqua" w:hAnsi="Book Antiqua" w:cs="Arial"/>
          <w:sz w:val="24"/>
          <w:szCs w:val="24"/>
          <w:lang w:val="en-US"/>
        </w:rPr>
        <w:t xml:space="preserve">showed </w:t>
      </w:r>
      <w:r w:rsidR="00BC79CA" w:rsidRPr="007F5A49">
        <w:rPr>
          <w:rFonts w:ascii="Book Antiqua" w:hAnsi="Book Antiqua" w:cs="Arial"/>
          <w:sz w:val="24"/>
          <w:szCs w:val="24"/>
          <w:lang w:val="en-US"/>
        </w:rPr>
        <w:t xml:space="preserve">the significance </w:t>
      </w:r>
      <w:r w:rsidR="008233C8" w:rsidRPr="007F5A49">
        <w:rPr>
          <w:rFonts w:ascii="Book Antiqua" w:hAnsi="Book Antiqua" w:cs="Arial"/>
          <w:sz w:val="24"/>
          <w:szCs w:val="24"/>
          <w:lang w:val="en-US"/>
        </w:rPr>
        <w:t>of SMAD</w:t>
      </w:r>
      <w:r w:rsidR="00D01607" w:rsidRPr="007F5A49">
        <w:rPr>
          <w:rFonts w:ascii="Book Antiqua" w:hAnsi="Book Antiqua" w:cs="Arial"/>
          <w:sz w:val="24"/>
          <w:szCs w:val="24"/>
          <w:lang w:val="en-US"/>
        </w:rPr>
        <w:t>-</w:t>
      </w:r>
      <w:r w:rsidR="008233C8" w:rsidRPr="007F5A49">
        <w:rPr>
          <w:rFonts w:ascii="Book Antiqua" w:hAnsi="Book Antiqua" w:cs="Arial"/>
          <w:sz w:val="24"/>
          <w:szCs w:val="24"/>
          <w:lang w:val="en-US"/>
        </w:rPr>
        <w:t xml:space="preserve">4 </w:t>
      </w:r>
      <w:r w:rsidR="00BC79CA" w:rsidRPr="007F5A49">
        <w:rPr>
          <w:rFonts w:ascii="Book Antiqua" w:hAnsi="Book Antiqua" w:cs="Arial"/>
          <w:sz w:val="24"/>
          <w:szCs w:val="24"/>
          <w:lang w:val="en-US"/>
        </w:rPr>
        <w:t xml:space="preserve">in hepcidin induction by </w:t>
      </w:r>
      <w:r w:rsidR="008233C8" w:rsidRPr="007F5A49">
        <w:rPr>
          <w:rFonts w:ascii="Book Antiqua" w:hAnsi="Book Antiqua" w:cs="Arial"/>
          <w:sz w:val="24"/>
          <w:szCs w:val="24"/>
          <w:lang w:val="en-US"/>
        </w:rPr>
        <w:t>iron, TGF-β and BMP</w:t>
      </w:r>
      <w:r w:rsidR="00C51A5B" w:rsidRPr="007F5A49">
        <w:rPr>
          <w:rFonts w:ascii="Book Antiqua" w:hAnsi="Book Antiqua" w:cs="Arial"/>
          <w:sz w:val="24"/>
          <w:szCs w:val="24"/>
          <w:lang w:val="en-US"/>
        </w:rPr>
        <w:t xml:space="preserve">, while </w:t>
      </w:r>
      <w:r w:rsidR="008233C8" w:rsidRPr="007F5A49">
        <w:rPr>
          <w:rFonts w:ascii="Book Antiqua" w:hAnsi="Book Antiqua" w:cs="Arial"/>
          <w:sz w:val="24"/>
          <w:szCs w:val="24"/>
          <w:lang w:val="en-US"/>
        </w:rPr>
        <w:t>liver-specific disruption of SMAD</w:t>
      </w:r>
      <w:r w:rsidR="00D01607" w:rsidRPr="007F5A49">
        <w:rPr>
          <w:rFonts w:ascii="Book Antiqua" w:hAnsi="Book Antiqua" w:cs="Arial"/>
          <w:sz w:val="24"/>
          <w:szCs w:val="24"/>
          <w:lang w:val="en-US"/>
        </w:rPr>
        <w:t>-</w:t>
      </w:r>
      <w:r w:rsidR="008233C8" w:rsidRPr="007F5A49">
        <w:rPr>
          <w:rFonts w:ascii="Book Antiqua" w:hAnsi="Book Antiqua" w:cs="Arial"/>
          <w:sz w:val="24"/>
          <w:szCs w:val="24"/>
          <w:lang w:val="en-US"/>
        </w:rPr>
        <w:t>4 abrogated</w:t>
      </w:r>
      <w:r w:rsidR="00C51A5B" w:rsidRPr="007F5A49">
        <w:rPr>
          <w:rFonts w:ascii="Book Antiqua" w:hAnsi="Book Antiqua" w:cs="Arial"/>
          <w:sz w:val="24"/>
          <w:szCs w:val="24"/>
          <w:lang w:val="en-US"/>
        </w:rPr>
        <w:t xml:space="preserve"> the </w:t>
      </w:r>
      <w:r w:rsidR="008233C8" w:rsidRPr="007F5A49">
        <w:rPr>
          <w:rFonts w:ascii="Book Antiqua" w:hAnsi="Book Antiqua" w:cs="Arial"/>
          <w:sz w:val="24"/>
          <w:szCs w:val="24"/>
          <w:lang w:val="en-US"/>
        </w:rPr>
        <w:t>hepcidin response</w:t>
      </w:r>
      <w:r w:rsidR="001D6A6B" w:rsidRPr="007F5A49">
        <w:rPr>
          <w:rFonts w:ascii="Book Antiqua" w:hAnsi="Book Antiqua" w:cs="Arial"/>
          <w:sz w:val="24"/>
          <w:szCs w:val="24"/>
          <w:lang w:val="en-US"/>
        </w:rPr>
        <w:t xml:space="preserve">. </w:t>
      </w:r>
      <w:r w:rsidR="008233C8" w:rsidRPr="007F5A49">
        <w:rPr>
          <w:rFonts w:ascii="Book Antiqua" w:hAnsi="Book Antiqua" w:cs="Arial"/>
          <w:sz w:val="24"/>
          <w:szCs w:val="24"/>
          <w:lang w:val="en-US"/>
        </w:rPr>
        <w:t xml:space="preserve">This not only </w:t>
      </w:r>
      <w:r w:rsidR="00DE253E" w:rsidRPr="007F5A49">
        <w:rPr>
          <w:rFonts w:ascii="Book Antiqua" w:hAnsi="Book Antiqua" w:cs="Arial"/>
          <w:sz w:val="24"/>
          <w:szCs w:val="24"/>
          <w:lang w:val="en-US"/>
        </w:rPr>
        <w:t xml:space="preserve">demonstrated </w:t>
      </w:r>
      <w:r w:rsidR="008233C8" w:rsidRPr="007F5A49">
        <w:rPr>
          <w:rFonts w:ascii="Book Antiqua" w:hAnsi="Book Antiqua" w:cs="Arial"/>
          <w:sz w:val="24"/>
          <w:szCs w:val="24"/>
          <w:lang w:val="en-US"/>
        </w:rPr>
        <w:t xml:space="preserve">positive regulation of hepcidin by </w:t>
      </w:r>
      <w:r w:rsidR="00DE253E" w:rsidRPr="007F5A49">
        <w:rPr>
          <w:rFonts w:ascii="Book Antiqua" w:hAnsi="Book Antiqua" w:cs="Arial"/>
          <w:sz w:val="24"/>
          <w:szCs w:val="24"/>
          <w:lang w:val="en-US"/>
        </w:rPr>
        <w:t>SMAD</w:t>
      </w:r>
      <w:r w:rsidR="00D01607" w:rsidRPr="007F5A49">
        <w:rPr>
          <w:rFonts w:ascii="Book Antiqua" w:hAnsi="Book Antiqua" w:cs="Arial"/>
          <w:sz w:val="24"/>
          <w:szCs w:val="24"/>
          <w:lang w:val="en-US"/>
        </w:rPr>
        <w:t>-</w:t>
      </w:r>
      <w:r w:rsidR="00ED78C4" w:rsidRPr="007F5A49">
        <w:rPr>
          <w:rFonts w:ascii="Book Antiqua" w:hAnsi="Book Antiqua" w:cs="Arial"/>
          <w:sz w:val="24"/>
          <w:szCs w:val="24"/>
          <w:lang w:val="en-US"/>
        </w:rPr>
        <w:t>4</w:t>
      </w:r>
      <w:r w:rsidR="00DE253E" w:rsidRPr="007F5A49">
        <w:rPr>
          <w:rFonts w:ascii="Book Antiqua" w:hAnsi="Book Antiqua" w:cs="Arial"/>
          <w:sz w:val="24"/>
          <w:szCs w:val="24"/>
          <w:lang w:val="en-US"/>
        </w:rPr>
        <w:t xml:space="preserve"> and </w:t>
      </w:r>
      <w:r w:rsidR="008233C8" w:rsidRPr="007F5A49">
        <w:rPr>
          <w:rFonts w:ascii="Book Antiqua" w:hAnsi="Book Antiqua" w:cs="Arial"/>
          <w:sz w:val="24"/>
          <w:szCs w:val="24"/>
          <w:lang w:val="en-US"/>
        </w:rPr>
        <w:t xml:space="preserve">its </w:t>
      </w:r>
      <w:r w:rsidR="00DE253E" w:rsidRPr="007F5A49">
        <w:rPr>
          <w:rFonts w:ascii="Book Antiqua" w:hAnsi="Book Antiqua" w:cs="Arial"/>
          <w:sz w:val="24"/>
          <w:szCs w:val="24"/>
          <w:lang w:val="en-US"/>
        </w:rPr>
        <w:t>contribut</w:t>
      </w:r>
      <w:r w:rsidR="008233C8" w:rsidRPr="007F5A49">
        <w:rPr>
          <w:rFonts w:ascii="Book Antiqua" w:hAnsi="Book Antiqua" w:cs="Arial"/>
          <w:sz w:val="24"/>
          <w:szCs w:val="24"/>
          <w:lang w:val="en-US"/>
        </w:rPr>
        <w:t>ion</w:t>
      </w:r>
      <w:r w:rsidR="00DE253E" w:rsidRPr="007F5A49">
        <w:rPr>
          <w:rFonts w:ascii="Book Antiqua" w:hAnsi="Book Antiqua" w:cs="Arial"/>
          <w:sz w:val="24"/>
          <w:szCs w:val="24"/>
          <w:lang w:val="en-US"/>
        </w:rPr>
        <w:t xml:space="preserve"> to iron homeostasis</w:t>
      </w:r>
      <w:r w:rsidR="008233C8" w:rsidRPr="007F5A49">
        <w:rPr>
          <w:rFonts w:ascii="Book Antiqua" w:hAnsi="Book Antiqua" w:cs="Arial"/>
          <w:sz w:val="24"/>
          <w:szCs w:val="24"/>
          <w:lang w:val="en-US"/>
        </w:rPr>
        <w:t>, but also</w:t>
      </w:r>
      <w:r w:rsidR="00A85E68" w:rsidRPr="007F5A49">
        <w:rPr>
          <w:rFonts w:ascii="Book Antiqua" w:hAnsi="Book Antiqua" w:cs="Arial"/>
          <w:sz w:val="24"/>
          <w:szCs w:val="24"/>
          <w:lang w:val="en-US"/>
        </w:rPr>
        <w:t xml:space="preserve"> identifie</w:t>
      </w:r>
      <w:r w:rsidR="008A6AD8" w:rsidRPr="007F5A49">
        <w:rPr>
          <w:rFonts w:ascii="Book Antiqua" w:hAnsi="Book Antiqua" w:cs="Arial"/>
          <w:sz w:val="24"/>
          <w:szCs w:val="24"/>
          <w:lang w:val="en-US"/>
        </w:rPr>
        <w:t>d</w:t>
      </w:r>
      <w:r w:rsidR="00B414A2" w:rsidRPr="007F5A49">
        <w:rPr>
          <w:rFonts w:ascii="Book Antiqua" w:hAnsi="Book Antiqua" w:cs="Arial"/>
          <w:sz w:val="24"/>
          <w:szCs w:val="24"/>
          <w:lang w:val="en-US"/>
        </w:rPr>
        <w:t xml:space="preserve"> overlap between the</w:t>
      </w:r>
      <w:r w:rsidR="007F436F" w:rsidRPr="007F5A49">
        <w:rPr>
          <w:rFonts w:ascii="Book Antiqua" w:hAnsi="Book Antiqua" w:cs="Arial"/>
          <w:sz w:val="24"/>
          <w:szCs w:val="24"/>
          <w:lang w:val="en-US"/>
        </w:rPr>
        <w:t xml:space="preserve"> iron-related </w:t>
      </w:r>
      <w:r w:rsidR="008233C8" w:rsidRPr="007F5A49">
        <w:rPr>
          <w:rFonts w:ascii="Book Antiqua" w:hAnsi="Book Antiqua" w:cs="Arial"/>
          <w:sz w:val="24"/>
          <w:szCs w:val="24"/>
          <w:lang w:val="en-US"/>
        </w:rPr>
        <w:t>and fibrotic pathways</w:t>
      </w:r>
      <w:r w:rsidR="00B03395" w:rsidRPr="007F5A49">
        <w:rPr>
          <w:rFonts w:ascii="Book Antiqua" w:hAnsi="Book Antiqua" w:cs="Arial"/>
          <w:sz w:val="24"/>
          <w:szCs w:val="24"/>
          <w:lang w:val="en-US"/>
        </w:rPr>
        <w:t xml:space="preserve"> based on the common role of </w:t>
      </w:r>
      <w:r w:rsidR="00C523EF" w:rsidRPr="007F5A49">
        <w:rPr>
          <w:rFonts w:ascii="Book Antiqua" w:hAnsi="Book Antiqua" w:cs="Arial"/>
          <w:sz w:val="24"/>
          <w:szCs w:val="24"/>
          <w:lang w:val="en-US"/>
        </w:rPr>
        <w:t>SMAD</w:t>
      </w:r>
      <w:r w:rsidR="00B07035" w:rsidRPr="007F5A49">
        <w:rPr>
          <w:rFonts w:ascii="Book Antiqua" w:hAnsi="Book Antiqua" w:cs="Arial"/>
          <w:sz w:val="24"/>
          <w:szCs w:val="24"/>
          <w:lang w:val="en-US"/>
        </w:rPr>
        <w:t>-</w:t>
      </w:r>
      <w:r w:rsidR="00C523EF" w:rsidRPr="007F5A49">
        <w:rPr>
          <w:rFonts w:ascii="Book Antiqua" w:hAnsi="Book Antiqua" w:cs="Arial"/>
          <w:sz w:val="24"/>
          <w:szCs w:val="24"/>
          <w:lang w:val="en-US"/>
        </w:rPr>
        <w:t>4</w:t>
      </w:r>
      <w:r w:rsidR="00B03395" w:rsidRPr="007F5A49">
        <w:rPr>
          <w:rFonts w:ascii="Book Antiqua" w:hAnsi="Book Antiqua" w:cs="Arial"/>
          <w:sz w:val="24"/>
          <w:szCs w:val="24"/>
          <w:lang w:val="en-US"/>
        </w:rPr>
        <w:t xml:space="preserve"> in the two pathways</w:t>
      </w:r>
      <w:r w:rsidR="00CE23C0" w:rsidRPr="007F5A49">
        <w:rPr>
          <w:rFonts w:ascii="Book Antiqua" w:hAnsi="Book Antiqua" w:cs="Arial"/>
          <w:sz w:val="24"/>
          <w:szCs w:val="24"/>
          <w:lang w:val="en-US"/>
        </w:rPr>
        <w:t>.</w:t>
      </w:r>
      <w:r w:rsidR="00C523EF" w:rsidRPr="007F5A49">
        <w:rPr>
          <w:rFonts w:ascii="Book Antiqua" w:hAnsi="Book Antiqua" w:cs="Arial"/>
          <w:sz w:val="24"/>
          <w:szCs w:val="24"/>
          <w:lang w:val="en-US"/>
        </w:rPr>
        <w:t xml:space="preserve"> </w:t>
      </w:r>
      <w:r w:rsidR="00B07035" w:rsidRPr="007F5A49">
        <w:rPr>
          <w:rFonts w:ascii="Book Antiqua" w:hAnsi="Book Antiqua" w:cs="Arial"/>
          <w:sz w:val="24"/>
          <w:szCs w:val="24"/>
          <w:lang w:val="en-US"/>
        </w:rPr>
        <w:t xml:space="preserve">Moreover, </w:t>
      </w:r>
      <w:r w:rsidR="007F436F" w:rsidRPr="007F5A49">
        <w:rPr>
          <w:rFonts w:ascii="Book Antiqua" w:hAnsi="Book Antiqua" w:cs="Arial"/>
          <w:sz w:val="24"/>
          <w:szCs w:val="24"/>
          <w:lang w:val="en-US"/>
        </w:rPr>
        <w:t xml:space="preserve">Chen </w:t>
      </w:r>
      <w:r w:rsidR="007F436F" w:rsidRPr="00C04BB2">
        <w:rPr>
          <w:rFonts w:ascii="Book Antiqua" w:hAnsi="Book Antiqua" w:cs="Arial"/>
          <w:i/>
          <w:sz w:val="24"/>
          <w:szCs w:val="24"/>
          <w:lang w:val="en-US"/>
        </w:rPr>
        <w:t>et al</w:t>
      </w:r>
      <w:r w:rsidRPr="007F5A49">
        <w:rPr>
          <w:rFonts w:ascii="Book Antiqua" w:hAnsi="Book Antiqua" w:cs="Arial"/>
          <w:sz w:val="24"/>
          <w:szCs w:val="24"/>
          <w:vertAlign w:val="superscript"/>
          <w:lang w:val="en-US"/>
        </w:rPr>
        <w:fldChar w:fldCharType="begin"/>
      </w:r>
      <w:r w:rsidRPr="007F5A49">
        <w:rPr>
          <w:rFonts w:ascii="Book Antiqua" w:hAnsi="Book Antiqua" w:cs="Arial"/>
          <w:sz w:val="24"/>
          <w:szCs w:val="24"/>
          <w:vertAlign w:val="superscript"/>
          <w:lang w:val="en-US"/>
        </w:rPr>
        <w:instrText xml:space="preserve"> ADDIN ZOTERO_ITEM CSL_CITATION {"citationID":"agaq67c56f","properties":{"formattedCitation":"(44)","plainCitation":"(44)","noteIndex":0},"citationItems":[{"id":189,"uris":["http://zotero.org/users/2804724/items/PCZ9KRWI"],"uri":["http://zotero.org/users/2804724/items/PCZ9KRWI"],"itemData":{"id":189,"type":"article-journal","title":"Transforming Growth Factor β1 (TGF-β1) Activates Hepcidin mRNA Expression in Hepatocytes","container-title":"The Journal of Biological Chemistry","page":"13160-13174","volume":"291","issue":"25","source":"PubMed","abstract":"The hepatic hormone hepcidin is the master regulator of systemic iron homeostasis. Its expression level is adjusted to alterations in iron levels, inflammatory cues, and iron requirements for erythropoiesis. Bone morphogenetic protein 6 (BMP6) contributes to the iron-dependent control of hepcidin. In addition, TGF-β1 may stimulate hepcidin mRNA expression in murine hepatocytes and human leukocytes. However, receptors and downstream signaling proteins involved in TGF-β1-induced hepcidin expression are still unclear. Here we show that TGF-β1 treatment of mouse and human hepatocytes, as well as ectopic expression of TGF-β1 in mice, increases hepcidin mRNA levels. The hepcidin response to TGF-β1 depends on functional TGF-β1 type I receptor (ALK5) and TGF-β1 type II receptor (TβRII) and is mediated by a noncanonical mechanism that involves Smad1/5/8 phosphorylation. Interestingly, increasing availability of canonical Smad2/3 decreases TGF-β1-induced hepcidin regulation, whereas the BMP6-hepcidin signal was enhanced, indicating a signaling component stoichiometry-dependent cross-talk between the two pathways. Although ALK2/3-dependent hepcidin activation by BMP6 can be modulated by each of the three hemochromatosis-associated proteins: HJV (hemojuvelin), HFE (hemochromatosis protein), and TfR2 (transferrin receptor 2), these proteins do not control the ALK5-mediated hepcidin response to TGF-β1. TGF-β1 mRNA levels are increased in mouse models of iron overload, indicating that TGF-β1 may contribute to hepcidin synthesis under these conditions. In conclusion, these data demonstrate that a complex regulatory network involving TGF-β1 and BMP6 may control the sensing of systemic and/or hepatic iron levels.","DOI":"10.1074/jbc.M115.691543","ISSN":"1083-351X","note":"PMID: 27129231\nPMCID: PMC4933231","journalAbbreviation":"J. Biol. Chem.","language":"ENG","author":[{"family":"Chen","given":"Simeng"},{"family":"Feng","given":"Teng"},{"family":"Vujić Spasić","given":"Maja"},{"family":"Altamura","given":"Sandro"},{"family":"Breitkopf-Heinlein","given":"Katja"},{"family":"Altenöder","given":"Jutta"},{"family":"Weiss","given":"Thomas S."},{"family":"Dooley","given":"Steven"},{"family":"Muckenthaler","given":"Martina U."}],"issued":{"date-parts":[["2016",6,17]]}}}],"schema":"https://github.com/citation-style-language/schema/raw/master/csl-citation.json"} </w:instrText>
      </w:r>
      <w:r w:rsidRPr="007F5A49">
        <w:rPr>
          <w:rFonts w:ascii="Book Antiqua" w:hAnsi="Book Antiqua" w:cs="Arial"/>
          <w:sz w:val="24"/>
          <w:szCs w:val="24"/>
          <w:vertAlign w:val="superscript"/>
          <w:lang w:val="en-US"/>
        </w:rPr>
        <w:fldChar w:fldCharType="separate"/>
      </w:r>
      <w:r w:rsidRPr="007F5A49">
        <w:rPr>
          <w:rFonts w:ascii="Book Antiqua" w:hAnsi="Book Antiqua"/>
          <w:sz w:val="24"/>
          <w:szCs w:val="24"/>
          <w:vertAlign w:val="superscript"/>
          <w:lang w:val="en-US"/>
        </w:rPr>
        <w:t>[44</w:t>
      </w:r>
      <w:r w:rsidRPr="007F5A49">
        <w:rPr>
          <w:rFonts w:ascii="Book Antiqua" w:hAnsi="Book Antiqua" w:cs="Arial"/>
          <w:sz w:val="24"/>
          <w:szCs w:val="24"/>
          <w:vertAlign w:val="superscript"/>
          <w:lang w:val="en-US"/>
        </w:rPr>
        <w:fldChar w:fldCharType="end"/>
      </w:r>
      <w:r w:rsidRPr="007F5A49">
        <w:rPr>
          <w:rFonts w:ascii="Book Antiqua" w:hAnsi="Book Antiqua" w:cs="Arial"/>
          <w:sz w:val="24"/>
          <w:szCs w:val="24"/>
          <w:vertAlign w:val="superscript"/>
          <w:lang w:val="en-US"/>
        </w:rPr>
        <w:t>]</w:t>
      </w:r>
      <w:r w:rsidR="007F436F" w:rsidRPr="007F5A49">
        <w:rPr>
          <w:rFonts w:ascii="Book Antiqua" w:hAnsi="Book Antiqua" w:cs="Arial"/>
          <w:sz w:val="24"/>
          <w:szCs w:val="24"/>
          <w:lang w:val="en-US"/>
        </w:rPr>
        <w:t xml:space="preserve"> showed </w:t>
      </w:r>
      <w:r w:rsidR="00C523EF" w:rsidRPr="007F5A49">
        <w:rPr>
          <w:rFonts w:ascii="Book Antiqua" w:hAnsi="Book Antiqua" w:cs="Arial"/>
          <w:sz w:val="24"/>
          <w:szCs w:val="24"/>
          <w:lang w:val="en-US"/>
        </w:rPr>
        <w:t>that</w:t>
      </w:r>
      <w:r w:rsidR="00B07035" w:rsidRPr="007F5A49">
        <w:rPr>
          <w:rFonts w:ascii="Book Antiqua" w:hAnsi="Book Antiqua" w:cs="Arial"/>
          <w:sz w:val="24"/>
          <w:szCs w:val="24"/>
          <w:lang w:val="en-US"/>
        </w:rPr>
        <w:t xml:space="preserve"> TGF-β-induced hepcidin induction occurred </w:t>
      </w:r>
      <w:r w:rsidR="00C523EF" w:rsidRPr="00C04BB2">
        <w:rPr>
          <w:rFonts w:ascii="Book Antiqua" w:hAnsi="Book Antiqua" w:cs="Arial"/>
          <w:i/>
          <w:sz w:val="24"/>
          <w:szCs w:val="24"/>
          <w:lang w:val="en-US"/>
        </w:rPr>
        <w:t>v</w:t>
      </w:r>
      <w:r w:rsidR="007F436F" w:rsidRPr="00C04BB2">
        <w:rPr>
          <w:rFonts w:ascii="Book Antiqua" w:hAnsi="Book Antiqua" w:cs="Arial"/>
          <w:i/>
          <w:sz w:val="24"/>
          <w:szCs w:val="24"/>
          <w:lang w:val="en-US"/>
        </w:rPr>
        <w:t>ia</w:t>
      </w:r>
      <w:r w:rsidR="007F436F" w:rsidRPr="007F5A49">
        <w:rPr>
          <w:rFonts w:ascii="Book Antiqua" w:hAnsi="Book Antiqua" w:cs="Arial"/>
          <w:sz w:val="24"/>
          <w:szCs w:val="24"/>
          <w:lang w:val="en-US"/>
        </w:rPr>
        <w:t xml:space="preserve"> TGF-β-RII/RI and SMAD-1/5/8</w:t>
      </w:r>
      <w:r w:rsidR="00B07035" w:rsidRPr="007F5A49">
        <w:rPr>
          <w:rFonts w:ascii="Book Antiqua" w:hAnsi="Book Antiqua" w:cs="Arial"/>
          <w:sz w:val="24"/>
          <w:szCs w:val="24"/>
          <w:lang w:val="en-US"/>
        </w:rPr>
        <w:t xml:space="preserve"> </w:t>
      </w:r>
      <w:r w:rsidR="007F436F" w:rsidRPr="007F5A49">
        <w:rPr>
          <w:rFonts w:ascii="Book Antiqua" w:hAnsi="Book Antiqua" w:cs="Arial"/>
          <w:sz w:val="24"/>
          <w:szCs w:val="24"/>
          <w:lang w:val="en-US"/>
        </w:rPr>
        <w:t>phosphorylation</w:t>
      </w:r>
      <w:r w:rsidR="001D6A6B" w:rsidRPr="007F5A49">
        <w:rPr>
          <w:rFonts w:ascii="Book Antiqua" w:hAnsi="Book Antiqua" w:cs="Arial"/>
          <w:sz w:val="24"/>
          <w:szCs w:val="24"/>
          <w:lang w:val="en-US"/>
        </w:rPr>
        <w:t xml:space="preserve">, </w:t>
      </w:r>
      <w:r w:rsidR="007F436F" w:rsidRPr="007F5A49">
        <w:rPr>
          <w:rFonts w:ascii="Book Antiqua" w:hAnsi="Book Antiqua" w:cs="Arial"/>
          <w:sz w:val="24"/>
          <w:szCs w:val="24"/>
          <w:lang w:val="en-US"/>
        </w:rPr>
        <w:t xml:space="preserve">the transient non-canonical TGF-β </w:t>
      </w:r>
      <w:proofErr w:type="spellStart"/>
      <w:r w:rsidR="007F436F" w:rsidRPr="007F5A49">
        <w:rPr>
          <w:rFonts w:ascii="Book Antiqua" w:hAnsi="Book Antiqua" w:cs="Arial"/>
          <w:sz w:val="24"/>
          <w:szCs w:val="24"/>
          <w:lang w:val="en-US"/>
        </w:rPr>
        <w:t>signalling</w:t>
      </w:r>
      <w:proofErr w:type="spellEnd"/>
      <w:r w:rsidR="007F436F" w:rsidRPr="007F5A49">
        <w:rPr>
          <w:rFonts w:ascii="Book Antiqua" w:hAnsi="Book Antiqua" w:cs="Arial"/>
          <w:sz w:val="24"/>
          <w:szCs w:val="24"/>
          <w:lang w:val="en-US"/>
        </w:rPr>
        <w:t xml:space="preserve"> response</w:t>
      </w:r>
      <w:r w:rsidR="007F436F"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KQIaMmS4","properties":{"formattedCitation":"(45,46)","plainCitation":"(45,46)","noteIndex":0},"citationItems":[{"id":"z1PZoHrb/uxmDMiKV","uris":["http://zotero.org/users/4222068/items/438FB825"],"uri":["http://zotero.org/users/4222068/items/438FB825"],"itemData":{"id":1368,"type":"article-journal","title":"Transforming growth factor beta-induced Smad1/5 phosphorylation in epithelial cells is mediated by novel receptor complexes and is essential for anchorage-independent growth","container-title":"Molecular and Cellular Biology","page":"6889-6902","volume":"28","issue":"22","source":"PubMed","abstract":"Transforming growth factor beta (TGF-beta) signals predominantly through a receptor complex comprising ALK5 and TbetaRII to activate receptor-regulated Smads (R-Smads) Smad2 and Smad3. In endothelial cells, however, TGF-beta can additionally activate Smad1 and Smad5. Here, we report that TGF-beta also strongly induces phosphorylation of Smad1/5 in many different normal epithelial cells, epithelium-derived tumor cells, and fibroblasts. We demonstrate that TbetaRII and ALK5, as well as ALK2 and/or ALK3, are required for TGF-beta-induced Smad1/5 phosphorylation. We show that the simultaneous activation of the R-Smads Smad2/3 and Smad1/5 by TGF-beta results in the formation of mixed R-Smad complexes, containing, for example, phosphorylated Smad1 and Smad2. The prevalence of these mixed R-Smad complexes explains why TGF-beta-induced Smad1/5 phosphorylation does not result in transcriptional activation via bone morphogenetic protein (BMP)-responsive elements, which bind activated Smad1/5-Smad4 complexes that are induced by BMP stimulation. Thus, TGF-beta induces two parallel pathways: one signaling via Smad2-Smad4 or Smad3-Smad4 complexes and the other signaling via mixed R-Smad complexes. Finally, we assess the function of the novel arm of TGF-beta signaling and show that TGF-beta-induced Smad1/5 activation is not required for the growth-inhibitory effects of TGF-beta but is specifically required for TGF-beta-induced anchorage-independent growth.","DOI":"10.1128/MCB.01192-08","ISSN":"1098-5549","note":"PMID: 18794361\nPMCID: PMC2573298","journalAbbreviation":"Mol. Cell. Biol.","language":"eng","author":[{"family":"Daly","given":"Amanda C."},{"family":"Randall","given":"Rebecca A."},{"family":"Hill","given":"Caroline S."}],"issued":{"date-parts":[["2008",11]]}}},{"id":"z1PZoHrb/nGDRlFw3","uris":["http://zotero.org/users/4222068/items/F5AI83XK"],"uri":["http://zotero.org/users/4222068/items/F5AI83XK"],"itemData":{"id":1365,"type":"article-journal","title":"Transforming Growth Factor {beta} Can Stimulate Smad1 Phosphorylation Independently of Bone Morphogenic Protein Receptors","container-title":"The Journal of Biological Chemistry","page":"9755-9763","volume":"284","issue":"15","source":"PubMed","abstract":"Transforming growth factor-beta (TGFbeta) superfamily ligands control a diverse set of cellular processes by activating type I and type II serine-threonine receptor kinases. Canonical TGFbeta signaling is mediated via the TbetaRI/ALK5 type I receptor that phosphorylates Smad2 and Smad3 in their SXS motif to facilitate their activation and subsequent role in transcriptional regulation. Canonical bone morphogenic protein (BMP) signaling is mediated via the ALK1/2/3/6 type I receptors that phosphorylate Smad1, Smad5, and Smad8 in their SXS motif. However, studies in endothelial cells have shown that TGFbeta can also lead to the phosphorylation of Smad1, dependent on ALK1 receptor activity. Here we present data showing that TGFbeta can significantly induce Smad1 phosphorylation in several non-endothelial cell lineages. Additionally, by using chemical inhibitors specific for the TGFbeta/activin/nodal (ALK4/5/7) and BMP (ALK1/2/3/6) type I receptors, we show that in some cell types TGFbeta induces Smad1 phosphorylation independently of the BMP type I receptors. Thus, TGFbeta-mediated Smad1 phosphorylation appears to occur via different receptor complexes in a cell type-specific manner.","DOI":"10.1074/jbc.M809223200","ISSN":"0021-9258","note":"PMID: 19224917\nPMCID: PMC2665096","journalAbbreviation":"J. Biol. Chem.","language":"eng","author":[{"family":"Wrighton","given":"Katharine H."},{"family":"Lin","given":"Xia"},{"family":"Yu","given":"Paul B."},{"family":"Feng","given":"Xin-Hua"}],"issued":{"date-parts":[["2009",4,10]]}}}],"schema":"https://github.com/citation-style-language/schema/raw/master/csl-citation.json"} </w:instrText>
      </w:r>
      <w:r w:rsidR="007F436F" w:rsidRPr="007F5A49">
        <w:rPr>
          <w:rFonts w:ascii="Book Antiqua" w:hAnsi="Book Antiqua" w:cs="Arial"/>
          <w:sz w:val="24"/>
          <w:szCs w:val="24"/>
          <w:vertAlign w:val="superscript"/>
          <w:lang w:val="en-US"/>
        </w:rPr>
        <w:fldChar w:fldCharType="separate"/>
      </w:r>
      <w:r w:rsidR="00B61DF7"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45,46</w:t>
      </w:r>
      <w:r w:rsidR="007F436F" w:rsidRPr="007F5A49">
        <w:rPr>
          <w:rFonts w:ascii="Book Antiqua" w:hAnsi="Book Antiqua" w:cs="Arial"/>
          <w:sz w:val="24"/>
          <w:szCs w:val="24"/>
          <w:vertAlign w:val="superscript"/>
          <w:lang w:val="en-US"/>
        </w:rPr>
        <w:fldChar w:fldCharType="end"/>
      </w:r>
      <w:r w:rsidR="00B61DF7" w:rsidRPr="007F5A49">
        <w:rPr>
          <w:rFonts w:ascii="Book Antiqua" w:hAnsi="Book Antiqua" w:cs="Arial"/>
          <w:sz w:val="24"/>
          <w:szCs w:val="24"/>
          <w:vertAlign w:val="superscript"/>
          <w:lang w:val="en-US"/>
        </w:rPr>
        <w:t>]</w:t>
      </w:r>
      <w:r w:rsidR="001D6A6B" w:rsidRPr="007F5A49">
        <w:rPr>
          <w:rFonts w:ascii="Book Antiqua" w:hAnsi="Book Antiqua" w:cs="Arial"/>
          <w:sz w:val="24"/>
          <w:szCs w:val="24"/>
          <w:lang w:val="en-US"/>
        </w:rPr>
        <w:t xml:space="preserve">. </w:t>
      </w:r>
      <w:r w:rsidR="00B07035" w:rsidRPr="007F5A49">
        <w:rPr>
          <w:rFonts w:ascii="Book Antiqua" w:hAnsi="Book Antiqua" w:cs="Arial"/>
          <w:sz w:val="24"/>
          <w:szCs w:val="24"/>
          <w:lang w:val="en-US"/>
        </w:rPr>
        <w:t xml:space="preserve">This </w:t>
      </w:r>
      <w:r w:rsidR="00520363" w:rsidRPr="007F5A49">
        <w:rPr>
          <w:rFonts w:ascii="Book Antiqua" w:hAnsi="Book Antiqua" w:cs="Arial"/>
          <w:sz w:val="24"/>
          <w:szCs w:val="24"/>
          <w:lang w:val="en-US"/>
        </w:rPr>
        <w:t xml:space="preserve">further demonstrated </w:t>
      </w:r>
      <w:r w:rsidR="00C44B29" w:rsidRPr="007F5A49">
        <w:rPr>
          <w:rFonts w:ascii="Book Antiqua" w:hAnsi="Book Antiqua" w:cs="Arial"/>
          <w:sz w:val="24"/>
          <w:szCs w:val="24"/>
          <w:lang w:val="en-US"/>
        </w:rPr>
        <w:t xml:space="preserve">common mediators (TGF-β receptors) between </w:t>
      </w:r>
      <w:r w:rsidR="00B07035" w:rsidRPr="007F5A49">
        <w:rPr>
          <w:rFonts w:ascii="Book Antiqua" w:hAnsi="Book Antiqua" w:cs="Arial"/>
          <w:sz w:val="24"/>
          <w:szCs w:val="24"/>
          <w:lang w:val="en-US"/>
        </w:rPr>
        <w:t xml:space="preserve">TGF-β </w:t>
      </w:r>
      <w:proofErr w:type="spellStart"/>
      <w:r w:rsidR="00520363" w:rsidRPr="007F5A49">
        <w:rPr>
          <w:rFonts w:ascii="Book Antiqua" w:hAnsi="Book Antiqua" w:cs="Arial"/>
          <w:sz w:val="24"/>
          <w:szCs w:val="24"/>
          <w:lang w:val="en-US"/>
        </w:rPr>
        <w:lastRenderedPageBreak/>
        <w:t>signalling</w:t>
      </w:r>
      <w:proofErr w:type="spellEnd"/>
      <w:r w:rsidR="00B07035" w:rsidRPr="007F5A49">
        <w:rPr>
          <w:rFonts w:ascii="Book Antiqua" w:hAnsi="Book Antiqua" w:cs="Arial"/>
          <w:sz w:val="24"/>
          <w:szCs w:val="24"/>
          <w:lang w:val="en-US"/>
        </w:rPr>
        <w:t xml:space="preserve"> </w:t>
      </w:r>
      <w:r w:rsidR="00520363" w:rsidRPr="007F5A49">
        <w:rPr>
          <w:rFonts w:ascii="Book Antiqua" w:hAnsi="Book Antiqua" w:cs="Arial"/>
          <w:sz w:val="24"/>
          <w:szCs w:val="24"/>
          <w:lang w:val="en-US"/>
        </w:rPr>
        <w:t>and hepcidin induction (iron-regulation).</w:t>
      </w:r>
      <w:r w:rsidR="008519F3" w:rsidRPr="007F5A49">
        <w:rPr>
          <w:rFonts w:ascii="Book Antiqua" w:hAnsi="Book Antiqua" w:cs="Arial"/>
          <w:sz w:val="24"/>
          <w:szCs w:val="24"/>
          <w:lang w:val="en-US"/>
        </w:rPr>
        <w:t xml:space="preserve"> Recently</w:t>
      </w:r>
      <w:r w:rsidR="00540C28" w:rsidRPr="007F5A49">
        <w:rPr>
          <w:rFonts w:ascii="Book Antiqua" w:hAnsi="Book Antiqua" w:cs="Arial"/>
          <w:sz w:val="24"/>
          <w:szCs w:val="24"/>
          <w:lang w:val="en-US"/>
        </w:rPr>
        <w:t xml:space="preserve">, </w:t>
      </w:r>
      <w:r w:rsidR="002C64F8" w:rsidRPr="007F5A49">
        <w:rPr>
          <w:rFonts w:ascii="Book Antiqua" w:hAnsi="Book Antiqua" w:cs="Arial"/>
          <w:sz w:val="24"/>
          <w:szCs w:val="24"/>
          <w:lang w:val="en-US"/>
        </w:rPr>
        <w:t xml:space="preserve">Mehta </w:t>
      </w:r>
      <w:r w:rsidR="002C64F8" w:rsidRPr="00C04BB2">
        <w:rPr>
          <w:rFonts w:ascii="Book Antiqua" w:hAnsi="Book Antiqua" w:cs="Arial"/>
          <w:i/>
          <w:sz w:val="24"/>
          <w:szCs w:val="24"/>
          <w:lang w:val="en-US"/>
        </w:rPr>
        <w:t>et al</w:t>
      </w:r>
      <w:r w:rsidRPr="007F5A49">
        <w:rPr>
          <w:rFonts w:ascii="Book Antiqua" w:hAnsi="Book Antiqua" w:cs="Arial"/>
          <w:sz w:val="24"/>
          <w:szCs w:val="24"/>
          <w:vertAlign w:val="superscript"/>
          <w:lang w:val="en-US"/>
        </w:rPr>
        <w:fldChar w:fldCharType="begin"/>
      </w:r>
      <w:r w:rsidRPr="007F5A49">
        <w:rPr>
          <w:rFonts w:ascii="Book Antiqua" w:hAnsi="Book Antiqua" w:cs="Arial"/>
          <w:sz w:val="24"/>
          <w:szCs w:val="24"/>
          <w:vertAlign w:val="superscript"/>
          <w:lang w:val="en-US"/>
        </w:rPr>
        <w:instrText xml:space="preserve"> ADDIN ZOTERO_ITEM CSL_CITATION {"citationID":"a2953ih94e1","properties":{"formattedCitation":"(25)","plainCitation":"(25)","noteIndex":0},"citationItems":[{"id":"z1PZoHrb/VUwAvnjk","uris":["http://zotero.org/users/4222068/items/9AUI4U2L"],"uri":["http://zotero.org/users/4222068/items/9AUI4U2L"],"itemData":{"id":1666,"type":"article-journal","title":"Iron Enhances Hepatic Fibrogenesis and Activates Transforming Growth Factor-β Signaling in Murine Hepatic Stellate Cells","container-title":"The American Journal of the Medical Sciences","page":"183-190","volume":"355","issue":"2","source":"PubMed","abstract":"BACKGROUND: Although excess iron induces oxidative stress in the liver, it is unclear whether it directly activates the hepatic stellate cells (HSC).\nMATERIALS AND METHODS: We evaluated the effects of excess iron on fibrogenesis and transforming growth factor beta (TGF-β) signaling in murine HSC. Cells were treated with holotransferrin (0.005-5g/L) for 24 hours, with or without the iron chelator deferoxamine (10µM). Gene expressions (α-SMA, Col1-α1, Serpine-1, TGF-β, Hif1-α, Tfrc and Slc40a1) were analyzed by quantitative real time-polymerase chain reaction, whereas TfR1, ferroportin, ferritin, vimentin, collagen, TGF-β RII and phospho-Smad2 proteins were evaluated by immunofluorescence, Western blot and enzyme-linked immunosorbent assay.\nRESULTS: HSC expressed the iron-uptake protein transferrin receptor 1 (TfR1) and the iron-export protein ferroportin. Holotransferrin upregulated TfR1 expression by 1.8-fold (P &lt; 0.03) and ferritin accumulation (iron storage) by 2-fold (P &lt; 0.01), and activated HSC with 2-fold elevations (P &lt; 0.03) in α-SMA messenger RNA and collagen secretion, and a 1.6-fold increase (P &lt; 0.01) in vimentin protein. Moreover, holotransferrin activated the TGF-β pathway with TGF-β messenger RNA elevated 1.6-fold (P = 0.05), and protein levels of TGF-β RII and phospho-Smad2 increased by 1.8-fold (P &lt; 0.01) and 1.6-fold (P &lt; 0.01), respectively. In contrast, iron chelation decreased ferritin levels by 30% (P &lt; 0.03), inhibited collagen secretion by 60% (P &lt; 0.01), repressed fibrogenic genes α-SMA (0.2-fold; P &lt; 0.05) and TGF-β (0.4-fold; P &lt; 0.01) and reduced levels of TGF-β RII and phospho-Smad2 proteins.\nCONCLUSIONS: HSC express iron-transport proteins. Holotransferrin (iron) activates HSC fibrogenesis and the TGF-β pathway, whereas iron depletion by chelation reverses this, suggesting that this could be a useful adjunct therapy for patients with fibrosis. Further studies in primary human HSC and animal models are necessary to confirm this.","DOI":"10.1016/j.amjms.2017.08.012","ISSN":"1538-2990","note":"PMID: 29406047","journalAbbreviation":"Am. J. Med. Sci.","language":"eng","author":[{"family":"Mehta","given":"Kosha J."},{"family":"Coombes","given":"Jason D."},{"family":"Briones-Orta","given":"Marco"},{"family":"Manka","given":"Paul P."},{"family":"Williams","given":"Roger"},{"family":"Patel","given":"Vinood B."},{"family":"Syn","given":"Wing-Kin"}],"issued":{"date-parts":[["2018"]]}}}],"schema":"https://github.com/citation-style-language/schema/raw/master/csl-citation.json"} </w:instrText>
      </w:r>
      <w:r w:rsidRPr="007F5A49">
        <w:rPr>
          <w:rFonts w:ascii="Book Antiqua" w:hAnsi="Book Antiqua" w:cs="Arial"/>
          <w:sz w:val="24"/>
          <w:szCs w:val="24"/>
          <w:vertAlign w:val="superscript"/>
          <w:lang w:val="en-US"/>
        </w:rPr>
        <w:fldChar w:fldCharType="separate"/>
      </w:r>
      <w:r w:rsidRPr="007F5A49">
        <w:rPr>
          <w:rFonts w:ascii="Book Antiqua" w:hAnsi="Book Antiqua"/>
          <w:sz w:val="24"/>
          <w:szCs w:val="24"/>
          <w:vertAlign w:val="superscript"/>
          <w:lang w:val="en-US"/>
        </w:rPr>
        <w:t>[25</w:t>
      </w:r>
      <w:r w:rsidRPr="007F5A49">
        <w:rPr>
          <w:rFonts w:ascii="Book Antiqua" w:hAnsi="Book Antiqua" w:cs="Arial"/>
          <w:sz w:val="24"/>
          <w:szCs w:val="24"/>
          <w:vertAlign w:val="superscript"/>
          <w:lang w:val="en-US"/>
        </w:rPr>
        <w:fldChar w:fldCharType="end"/>
      </w:r>
      <w:r w:rsidRPr="007F5A49">
        <w:rPr>
          <w:rFonts w:ascii="Book Antiqua" w:hAnsi="Book Antiqua" w:cs="Arial"/>
          <w:sz w:val="24"/>
          <w:szCs w:val="24"/>
          <w:vertAlign w:val="superscript"/>
          <w:lang w:val="en-US"/>
        </w:rPr>
        <w:t>]</w:t>
      </w:r>
      <w:r w:rsidR="002C64F8" w:rsidRPr="007F5A49">
        <w:rPr>
          <w:rFonts w:ascii="Book Antiqua" w:hAnsi="Book Antiqua" w:cs="Arial"/>
          <w:sz w:val="24"/>
          <w:szCs w:val="24"/>
          <w:lang w:val="en-US"/>
        </w:rPr>
        <w:t xml:space="preserve"> (201</w:t>
      </w:r>
      <w:r w:rsidR="0039376A" w:rsidRPr="007F5A49">
        <w:rPr>
          <w:rFonts w:ascii="Book Antiqua" w:hAnsi="Book Antiqua" w:cs="Arial"/>
          <w:sz w:val="24"/>
          <w:szCs w:val="24"/>
          <w:lang w:val="en-US"/>
        </w:rPr>
        <w:t>8</w:t>
      </w:r>
      <w:r w:rsidR="002C64F8" w:rsidRPr="007F5A49">
        <w:rPr>
          <w:rFonts w:ascii="Book Antiqua" w:hAnsi="Book Antiqua" w:cs="Arial"/>
          <w:sz w:val="24"/>
          <w:szCs w:val="24"/>
          <w:lang w:val="en-US"/>
        </w:rPr>
        <w:t xml:space="preserve">) </w:t>
      </w:r>
      <w:r w:rsidR="00D803F1" w:rsidRPr="007F5A49">
        <w:rPr>
          <w:rFonts w:ascii="Book Antiqua" w:hAnsi="Book Antiqua" w:cs="Arial"/>
          <w:sz w:val="24"/>
          <w:szCs w:val="24"/>
          <w:lang w:val="en-US"/>
        </w:rPr>
        <w:t xml:space="preserve">demonstrated </w:t>
      </w:r>
      <w:r w:rsidR="002C64F8" w:rsidRPr="007F5A49">
        <w:rPr>
          <w:rFonts w:ascii="Book Antiqua" w:hAnsi="Book Antiqua" w:cs="Arial"/>
          <w:sz w:val="24"/>
          <w:szCs w:val="24"/>
          <w:lang w:val="en-US"/>
        </w:rPr>
        <w:t xml:space="preserve">iron-induced activation of TGF-β </w:t>
      </w:r>
      <w:proofErr w:type="spellStart"/>
      <w:r w:rsidR="002C64F8" w:rsidRPr="007F5A49">
        <w:rPr>
          <w:rFonts w:ascii="Book Antiqua" w:hAnsi="Book Antiqua" w:cs="Arial"/>
          <w:sz w:val="24"/>
          <w:szCs w:val="24"/>
          <w:lang w:val="en-US"/>
        </w:rPr>
        <w:t>signalling</w:t>
      </w:r>
      <w:proofErr w:type="spellEnd"/>
      <w:r w:rsidR="002C64F8" w:rsidRPr="007F5A49">
        <w:rPr>
          <w:rFonts w:ascii="Book Antiqua" w:hAnsi="Book Antiqua" w:cs="Arial"/>
          <w:sz w:val="24"/>
          <w:szCs w:val="24"/>
          <w:lang w:val="en-US"/>
        </w:rPr>
        <w:t xml:space="preserve"> in murine HSCs</w:t>
      </w:r>
      <w:r w:rsidR="00F84585" w:rsidRPr="007F5A49">
        <w:rPr>
          <w:rFonts w:ascii="Book Antiqua" w:hAnsi="Book Antiqua" w:cs="Arial"/>
          <w:sz w:val="24"/>
          <w:szCs w:val="24"/>
          <w:lang w:val="en-US"/>
        </w:rPr>
        <w:t xml:space="preserve">. </w:t>
      </w:r>
      <w:r w:rsidR="002C64F8" w:rsidRPr="007F5A49">
        <w:rPr>
          <w:rFonts w:ascii="Book Antiqua" w:hAnsi="Book Antiqua" w:cs="Arial"/>
          <w:sz w:val="24"/>
          <w:szCs w:val="24"/>
          <w:lang w:val="en-US"/>
        </w:rPr>
        <w:t>Collectively, t</w:t>
      </w:r>
      <w:r w:rsidR="00E867F8" w:rsidRPr="007F5A49">
        <w:rPr>
          <w:rFonts w:ascii="Book Antiqua" w:hAnsi="Book Antiqua" w:cs="Arial"/>
          <w:sz w:val="24"/>
          <w:szCs w:val="24"/>
          <w:lang w:val="en-US"/>
        </w:rPr>
        <w:t>hese studies reiterate the connection between</w:t>
      </w:r>
      <w:r w:rsidR="000C5100" w:rsidRPr="007F5A49">
        <w:rPr>
          <w:rFonts w:ascii="Book Antiqua" w:hAnsi="Book Antiqua" w:cs="Arial"/>
          <w:sz w:val="24"/>
          <w:szCs w:val="24"/>
          <w:lang w:val="en-US"/>
        </w:rPr>
        <w:t xml:space="preserve"> the</w:t>
      </w:r>
      <w:r w:rsidR="00E867F8" w:rsidRPr="007F5A49">
        <w:rPr>
          <w:rFonts w:ascii="Book Antiqua" w:hAnsi="Book Antiqua" w:cs="Arial"/>
          <w:sz w:val="24"/>
          <w:szCs w:val="24"/>
          <w:lang w:val="en-US"/>
        </w:rPr>
        <w:t xml:space="preserve"> </w:t>
      </w:r>
      <w:r w:rsidR="000C5100" w:rsidRPr="007F5A49">
        <w:rPr>
          <w:rFonts w:ascii="Book Antiqua" w:hAnsi="Book Antiqua" w:cs="Arial"/>
          <w:sz w:val="24"/>
          <w:szCs w:val="24"/>
          <w:lang w:val="en-US"/>
        </w:rPr>
        <w:t xml:space="preserve">iron-related and fibrotic pathways </w:t>
      </w:r>
      <w:r w:rsidR="00E843A7" w:rsidRPr="007F5A49">
        <w:rPr>
          <w:rFonts w:ascii="Book Antiqua" w:hAnsi="Book Antiqua" w:cs="Arial"/>
          <w:sz w:val="24"/>
          <w:szCs w:val="24"/>
          <w:lang w:val="en-US"/>
        </w:rPr>
        <w:t>and</w:t>
      </w:r>
      <w:r w:rsidR="00E867F8" w:rsidRPr="007F5A49">
        <w:rPr>
          <w:rFonts w:ascii="Book Antiqua" w:hAnsi="Book Antiqua" w:cs="Arial"/>
          <w:sz w:val="24"/>
          <w:szCs w:val="24"/>
          <w:lang w:val="en-US"/>
        </w:rPr>
        <w:t xml:space="preserve"> h</w:t>
      </w:r>
      <w:r w:rsidR="002153D1" w:rsidRPr="007F5A49">
        <w:rPr>
          <w:rFonts w:ascii="Book Antiqua" w:hAnsi="Book Antiqua" w:cs="Arial"/>
          <w:sz w:val="24"/>
          <w:szCs w:val="24"/>
          <w:lang w:val="en-US"/>
        </w:rPr>
        <w:t xml:space="preserve">ighlight the </w:t>
      </w:r>
      <w:r w:rsidR="00D803F1" w:rsidRPr="007F5A49">
        <w:rPr>
          <w:rFonts w:ascii="Book Antiqua" w:hAnsi="Book Antiqua" w:cs="Arial"/>
          <w:sz w:val="24"/>
          <w:szCs w:val="24"/>
          <w:lang w:val="en-US"/>
        </w:rPr>
        <w:t xml:space="preserve">contribution of </w:t>
      </w:r>
      <w:r w:rsidR="002153D1" w:rsidRPr="007F5A49">
        <w:rPr>
          <w:rFonts w:ascii="Book Antiqua" w:hAnsi="Book Antiqua" w:cs="Arial"/>
          <w:sz w:val="24"/>
          <w:szCs w:val="24"/>
          <w:lang w:val="en-US"/>
        </w:rPr>
        <w:t>TGF-β</w:t>
      </w:r>
      <w:r w:rsidR="00ED2D2A" w:rsidRPr="007F5A49">
        <w:rPr>
          <w:rFonts w:ascii="Book Antiqua" w:hAnsi="Book Antiqua" w:cs="Arial"/>
          <w:sz w:val="24"/>
          <w:szCs w:val="24"/>
          <w:lang w:val="en-US"/>
        </w:rPr>
        <w:t xml:space="preserve"> </w:t>
      </w:r>
      <w:r w:rsidR="002153D1" w:rsidRPr="007F5A49">
        <w:rPr>
          <w:rFonts w:ascii="Book Antiqua" w:hAnsi="Book Antiqua" w:cs="Arial"/>
          <w:sz w:val="24"/>
          <w:szCs w:val="24"/>
          <w:lang w:val="en-US"/>
        </w:rPr>
        <w:t>towards hepcidin synthesis</w:t>
      </w:r>
      <w:r w:rsidR="0086183F" w:rsidRPr="007F5A49">
        <w:rPr>
          <w:rFonts w:ascii="Book Antiqua" w:hAnsi="Book Antiqua" w:cs="Arial"/>
          <w:sz w:val="24"/>
          <w:szCs w:val="24"/>
          <w:lang w:val="en-US"/>
        </w:rPr>
        <w:t>,</w:t>
      </w:r>
      <w:r w:rsidR="002153D1" w:rsidRPr="007F5A49">
        <w:rPr>
          <w:rFonts w:ascii="Book Antiqua" w:hAnsi="Book Antiqua" w:cs="Arial"/>
          <w:sz w:val="24"/>
          <w:szCs w:val="24"/>
          <w:lang w:val="en-US"/>
        </w:rPr>
        <w:t xml:space="preserve"> </w:t>
      </w:r>
      <w:r w:rsidR="00ED38E1" w:rsidRPr="007F5A49">
        <w:rPr>
          <w:rFonts w:ascii="Book Antiqua" w:hAnsi="Book Antiqua" w:cs="Arial"/>
          <w:sz w:val="24"/>
          <w:szCs w:val="24"/>
          <w:lang w:val="en-US"/>
        </w:rPr>
        <w:t xml:space="preserve">and thereby, </w:t>
      </w:r>
      <w:r w:rsidR="00D803F1" w:rsidRPr="007F5A49">
        <w:rPr>
          <w:rFonts w:ascii="Book Antiqua" w:hAnsi="Book Antiqua" w:cs="Arial"/>
          <w:sz w:val="24"/>
          <w:szCs w:val="24"/>
          <w:lang w:val="en-US"/>
        </w:rPr>
        <w:t>potential regulation of</w:t>
      </w:r>
      <w:r w:rsidR="002153D1" w:rsidRPr="007F5A49">
        <w:rPr>
          <w:rFonts w:ascii="Book Antiqua" w:hAnsi="Book Antiqua" w:cs="Arial"/>
          <w:sz w:val="24"/>
          <w:szCs w:val="24"/>
          <w:lang w:val="en-US"/>
        </w:rPr>
        <w:t xml:space="preserve"> iron homeostasis under iron-loaded conditions</w:t>
      </w:r>
      <w:r w:rsidR="00540C28" w:rsidRPr="007F5A49">
        <w:rPr>
          <w:rFonts w:ascii="Book Antiqua" w:hAnsi="Book Antiqua" w:cs="Arial"/>
          <w:sz w:val="24"/>
          <w:szCs w:val="24"/>
          <w:lang w:val="en-US"/>
        </w:rPr>
        <w:t xml:space="preserve"> (</w:t>
      </w:r>
      <w:r w:rsidR="008E1EBB">
        <w:rPr>
          <w:rFonts w:ascii="Book Antiqua" w:hAnsi="Book Antiqua" w:cs="Arial"/>
          <w:sz w:val="24"/>
          <w:szCs w:val="24"/>
          <w:lang w:val="en-US"/>
        </w:rPr>
        <w:t>Figure</w:t>
      </w:r>
      <w:r w:rsidR="008519F3" w:rsidRPr="007F5A49">
        <w:rPr>
          <w:rFonts w:ascii="Book Antiqua" w:hAnsi="Book Antiqua" w:cs="Arial"/>
          <w:sz w:val="24"/>
          <w:szCs w:val="24"/>
          <w:lang w:val="en-US"/>
        </w:rPr>
        <w:t xml:space="preserve"> </w:t>
      </w:r>
      <w:r w:rsidR="00344796" w:rsidRPr="007F5A49">
        <w:rPr>
          <w:rFonts w:ascii="Book Antiqua" w:hAnsi="Book Antiqua" w:cs="Arial"/>
          <w:sz w:val="24"/>
          <w:szCs w:val="24"/>
          <w:lang w:val="en-US"/>
        </w:rPr>
        <w:t>2</w:t>
      </w:r>
      <w:r w:rsidR="00540C28" w:rsidRPr="007F5A49">
        <w:rPr>
          <w:rFonts w:ascii="Book Antiqua" w:hAnsi="Book Antiqua" w:cs="Arial"/>
          <w:sz w:val="24"/>
          <w:szCs w:val="24"/>
          <w:lang w:val="en-US"/>
        </w:rPr>
        <w:t xml:space="preserve">). </w:t>
      </w:r>
    </w:p>
    <w:p w14:paraId="210115F2" w14:textId="64AD10C4" w:rsidR="0025058B" w:rsidRPr="007F5A49" w:rsidRDefault="00C04BB2" w:rsidP="007F5A49">
      <w:pPr>
        <w:adjustRightInd w:val="0"/>
        <w:snapToGrid w:val="0"/>
        <w:spacing w:after="0" w:line="360" w:lineRule="auto"/>
        <w:jc w:val="both"/>
        <w:rPr>
          <w:rFonts w:ascii="Book Antiqua" w:hAnsi="Book Antiqua" w:cs="Arial"/>
          <w:sz w:val="24"/>
          <w:szCs w:val="24"/>
          <w:lang w:val="en-US"/>
        </w:rPr>
      </w:pPr>
      <w:r>
        <w:rPr>
          <w:rFonts w:ascii="Book Antiqua" w:hAnsi="Book Antiqua" w:cs="Arial"/>
          <w:sz w:val="24"/>
          <w:szCs w:val="24"/>
          <w:lang w:val="en-US"/>
        </w:rPr>
        <w:t xml:space="preserve">  </w:t>
      </w:r>
      <w:proofErr w:type="spellStart"/>
      <w:r w:rsidR="000A754E" w:rsidRPr="007F5A49">
        <w:rPr>
          <w:rFonts w:ascii="Book Antiqua" w:hAnsi="Book Antiqua" w:cs="Arial"/>
          <w:sz w:val="24"/>
          <w:szCs w:val="24"/>
          <w:lang w:val="en-US"/>
        </w:rPr>
        <w:t>S</w:t>
      </w:r>
      <w:r w:rsidR="00976A56" w:rsidRPr="007F5A49">
        <w:rPr>
          <w:rFonts w:ascii="Book Antiqua" w:hAnsi="Book Antiqua" w:cs="Arial"/>
          <w:sz w:val="24"/>
          <w:szCs w:val="24"/>
          <w:lang w:val="en-US"/>
        </w:rPr>
        <w:t>ignalling</w:t>
      </w:r>
      <w:proofErr w:type="spellEnd"/>
      <w:r w:rsidR="00976A56" w:rsidRPr="007F5A49">
        <w:rPr>
          <w:rFonts w:ascii="Book Antiqua" w:hAnsi="Book Antiqua" w:cs="Arial"/>
          <w:sz w:val="24"/>
          <w:szCs w:val="24"/>
          <w:lang w:val="en-US"/>
        </w:rPr>
        <w:t xml:space="preserve"> pathways such as the </w:t>
      </w:r>
      <w:proofErr w:type="spellStart"/>
      <w:r w:rsidR="001A33B7" w:rsidRPr="007F5A49">
        <w:rPr>
          <w:rFonts w:ascii="Book Antiqua" w:hAnsi="Book Antiqua" w:cs="Arial"/>
          <w:sz w:val="24"/>
          <w:szCs w:val="24"/>
          <w:lang w:val="en-US"/>
        </w:rPr>
        <w:t>W</w:t>
      </w:r>
      <w:r w:rsidR="00976A56" w:rsidRPr="007F5A49">
        <w:rPr>
          <w:rFonts w:ascii="Book Antiqua" w:hAnsi="Book Antiqua" w:cs="Arial"/>
          <w:sz w:val="24"/>
          <w:szCs w:val="24"/>
          <w:lang w:val="en-US"/>
        </w:rPr>
        <w:t>nt</w:t>
      </w:r>
      <w:proofErr w:type="spellEnd"/>
      <w:r w:rsidR="00976A56" w:rsidRPr="007F5A49">
        <w:rPr>
          <w:rFonts w:ascii="Book Antiqua" w:hAnsi="Book Antiqua" w:cs="Arial"/>
          <w:sz w:val="24"/>
          <w:szCs w:val="24"/>
          <w:lang w:val="en-US"/>
        </w:rPr>
        <w:t>,</w:t>
      </w:r>
      <w:r w:rsidR="00C22401" w:rsidRPr="007F5A49">
        <w:rPr>
          <w:rFonts w:ascii="Book Antiqua" w:hAnsi="Book Antiqua" w:cs="Arial"/>
          <w:sz w:val="24"/>
          <w:szCs w:val="24"/>
          <w:lang w:val="en-US"/>
        </w:rPr>
        <w:t xml:space="preserve"> </w:t>
      </w:r>
      <w:r w:rsidR="001A33B7" w:rsidRPr="007F5A49">
        <w:rPr>
          <w:rFonts w:ascii="Book Antiqua" w:hAnsi="Book Antiqua" w:cs="Arial"/>
          <w:sz w:val="24"/>
          <w:szCs w:val="24"/>
          <w:lang w:val="en-US"/>
        </w:rPr>
        <w:t>H</w:t>
      </w:r>
      <w:r w:rsidR="00976A56" w:rsidRPr="007F5A49">
        <w:rPr>
          <w:rFonts w:ascii="Book Antiqua" w:hAnsi="Book Antiqua" w:cs="Arial"/>
          <w:sz w:val="24"/>
          <w:szCs w:val="24"/>
          <w:lang w:val="en-US"/>
        </w:rPr>
        <w:t xml:space="preserve">edgehog and </w:t>
      </w:r>
      <w:r w:rsidR="001A33B7" w:rsidRPr="007F5A49">
        <w:rPr>
          <w:rFonts w:ascii="Book Antiqua" w:hAnsi="Book Antiqua" w:cs="Arial"/>
          <w:sz w:val="24"/>
          <w:szCs w:val="24"/>
          <w:lang w:val="en-US"/>
        </w:rPr>
        <w:t>N</w:t>
      </w:r>
      <w:r w:rsidR="00976A56" w:rsidRPr="007F5A49">
        <w:rPr>
          <w:rFonts w:ascii="Book Antiqua" w:hAnsi="Book Antiqua" w:cs="Arial"/>
          <w:sz w:val="24"/>
          <w:szCs w:val="24"/>
          <w:lang w:val="en-US"/>
        </w:rPr>
        <w:t xml:space="preserve">otch that </w:t>
      </w:r>
      <w:r w:rsidR="00BA303E" w:rsidRPr="007F5A49">
        <w:rPr>
          <w:rFonts w:ascii="Book Antiqua" w:hAnsi="Book Antiqua" w:cs="Arial"/>
          <w:sz w:val="24"/>
          <w:szCs w:val="24"/>
          <w:lang w:val="en-US"/>
        </w:rPr>
        <w:t xml:space="preserve">orchestrate </w:t>
      </w:r>
      <w:r w:rsidR="00344796" w:rsidRPr="007F5A49">
        <w:rPr>
          <w:rFonts w:ascii="Book Antiqua" w:hAnsi="Book Antiqua" w:cs="Arial"/>
          <w:sz w:val="24"/>
          <w:szCs w:val="24"/>
          <w:lang w:val="en-US"/>
        </w:rPr>
        <w:t xml:space="preserve">the </w:t>
      </w:r>
      <w:r w:rsidR="00B2134B" w:rsidRPr="007F5A49">
        <w:rPr>
          <w:rFonts w:ascii="Book Antiqua" w:hAnsi="Book Antiqua" w:cs="Arial"/>
          <w:sz w:val="24"/>
          <w:szCs w:val="24"/>
          <w:lang w:val="en-US"/>
        </w:rPr>
        <w:t xml:space="preserve">developmental </w:t>
      </w:r>
      <w:r w:rsidR="004759D4" w:rsidRPr="007F5A49">
        <w:rPr>
          <w:rFonts w:ascii="Book Antiqua" w:hAnsi="Book Antiqua" w:cs="Arial"/>
          <w:sz w:val="24"/>
          <w:szCs w:val="24"/>
          <w:lang w:val="en-US"/>
        </w:rPr>
        <w:t>processes during</w:t>
      </w:r>
      <w:r w:rsidR="005B145B" w:rsidRPr="007F5A49">
        <w:rPr>
          <w:rFonts w:ascii="Book Antiqua" w:hAnsi="Book Antiqua" w:cs="Arial"/>
          <w:sz w:val="24"/>
          <w:szCs w:val="24"/>
          <w:lang w:val="en-US"/>
        </w:rPr>
        <w:t xml:space="preserve"> </w:t>
      </w:r>
      <w:r w:rsidR="00976A56" w:rsidRPr="007F5A49">
        <w:rPr>
          <w:rFonts w:ascii="Book Antiqua" w:hAnsi="Book Antiqua" w:cs="Arial"/>
          <w:sz w:val="24"/>
          <w:szCs w:val="24"/>
          <w:lang w:val="en-US"/>
        </w:rPr>
        <w:t>embryogenesis</w:t>
      </w:r>
      <w:r w:rsidR="00B2134B" w:rsidRPr="007F5A49">
        <w:rPr>
          <w:rFonts w:ascii="Book Antiqua" w:hAnsi="Book Antiqua" w:cs="Arial"/>
          <w:sz w:val="24"/>
          <w:szCs w:val="24"/>
          <w:lang w:val="en-US"/>
        </w:rPr>
        <w:t xml:space="preserve"> </w:t>
      </w:r>
      <w:r w:rsidR="00976A56" w:rsidRPr="007F5A49">
        <w:rPr>
          <w:rFonts w:ascii="Book Antiqua" w:hAnsi="Book Antiqua" w:cs="Arial"/>
          <w:sz w:val="24"/>
          <w:szCs w:val="24"/>
          <w:lang w:val="en-US"/>
        </w:rPr>
        <w:t>are also a</w:t>
      </w:r>
      <w:r w:rsidR="00BA303E" w:rsidRPr="007F5A49">
        <w:rPr>
          <w:rFonts w:ascii="Book Antiqua" w:hAnsi="Book Antiqua" w:cs="Arial"/>
          <w:sz w:val="24"/>
          <w:szCs w:val="24"/>
          <w:lang w:val="en-US"/>
        </w:rPr>
        <w:t xml:space="preserve">ctive during </w:t>
      </w:r>
      <w:r w:rsidR="00CA0FB1" w:rsidRPr="007F5A49">
        <w:rPr>
          <w:rFonts w:ascii="Book Antiqua" w:hAnsi="Book Antiqua" w:cs="Arial"/>
          <w:sz w:val="24"/>
          <w:szCs w:val="24"/>
          <w:lang w:val="en-US"/>
        </w:rPr>
        <w:t xml:space="preserve">fibrogenesis </w:t>
      </w:r>
      <w:r w:rsidR="00BA303E" w:rsidRPr="007F5A49">
        <w:rPr>
          <w:rFonts w:ascii="Book Antiqua" w:hAnsi="Book Antiqua" w:cs="Arial"/>
          <w:sz w:val="24"/>
          <w:szCs w:val="24"/>
          <w:lang w:val="en-US"/>
        </w:rPr>
        <w:t>to mediate survival, proliferation, differentiation and polarity of their target cell</w:t>
      </w:r>
      <w:r w:rsidR="009D4888" w:rsidRPr="007F5A49">
        <w:rPr>
          <w:rFonts w:ascii="Book Antiqua" w:hAnsi="Book Antiqua" w:cs="Arial"/>
          <w:sz w:val="24"/>
          <w:szCs w:val="24"/>
          <w:lang w:val="en-US"/>
        </w:rPr>
        <w:t>s.</w:t>
      </w:r>
      <w:r w:rsidR="00976A56" w:rsidRPr="007F5A49">
        <w:rPr>
          <w:rFonts w:ascii="Book Antiqua" w:hAnsi="Book Antiqua" w:cs="Arial"/>
          <w:sz w:val="24"/>
          <w:szCs w:val="24"/>
          <w:lang w:val="en-US"/>
        </w:rPr>
        <w:t xml:space="preserve"> </w:t>
      </w:r>
      <w:r w:rsidR="00E14131" w:rsidRPr="007F5A49">
        <w:rPr>
          <w:rFonts w:ascii="Book Antiqua" w:hAnsi="Book Antiqua" w:cs="Arial"/>
          <w:sz w:val="24"/>
          <w:szCs w:val="24"/>
          <w:lang w:val="en-US"/>
        </w:rPr>
        <w:t>T</w:t>
      </w:r>
      <w:r w:rsidR="004B5295" w:rsidRPr="007F5A49">
        <w:rPr>
          <w:rFonts w:ascii="Book Antiqua" w:hAnsi="Book Antiqua" w:cs="Arial"/>
          <w:sz w:val="24"/>
          <w:szCs w:val="24"/>
          <w:lang w:val="en-US"/>
        </w:rPr>
        <w:t xml:space="preserve">hese pathways </w:t>
      </w:r>
      <w:r w:rsidR="00976A56" w:rsidRPr="007F5A49">
        <w:rPr>
          <w:rFonts w:ascii="Book Antiqua" w:hAnsi="Book Antiqua" w:cs="Arial"/>
          <w:sz w:val="24"/>
          <w:szCs w:val="24"/>
          <w:lang w:val="en-US"/>
        </w:rPr>
        <w:t xml:space="preserve">function </w:t>
      </w:r>
      <w:r w:rsidR="004B5295" w:rsidRPr="00C04BB2">
        <w:rPr>
          <w:rFonts w:ascii="Book Antiqua" w:hAnsi="Book Antiqua" w:cs="Arial"/>
          <w:i/>
          <w:sz w:val="24"/>
          <w:szCs w:val="24"/>
          <w:lang w:val="en-US"/>
        </w:rPr>
        <w:t>via</w:t>
      </w:r>
      <w:r w:rsidR="004B5295" w:rsidRPr="007F5A49">
        <w:rPr>
          <w:rFonts w:ascii="Book Antiqua" w:hAnsi="Book Antiqua" w:cs="Arial"/>
          <w:sz w:val="24"/>
          <w:szCs w:val="24"/>
          <w:lang w:val="en-US"/>
        </w:rPr>
        <w:t xml:space="preserve"> a cross</w:t>
      </w:r>
      <w:r w:rsidR="00D803F1" w:rsidRPr="007F5A49">
        <w:rPr>
          <w:rFonts w:ascii="Book Antiqua" w:hAnsi="Book Antiqua" w:cs="Arial"/>
          <w:sz w:val="24"/>
          <w:szCs w:val="24"/>
          <w:lang w:val="en-US"/>
        </w:rPr>
        <w:t>-</w:t>
      </w:r>
      <w:r w:rsidR="004B5295" w:rsidRPr="007F5A49">
        <w:rPr>
          <w:rFonts w:ascii="Book Antiqua" w:hAnsi="Book Antiqua" w:cs="Arial"/>
          <w:sz w:val="24"/>
          <w:szCs w:val="24"/>
          <w:lang w:val="en-US"/>
        </w:rPr>
        <w:t xml:space="preserve">talk with </w:t>
      </w:r>
      <w:r w:rsidR="00976A56" w:rsidRPr="007F5A49">
        <w:rPr>
          <w:rFonts w:ascii="Book Antiqua" w:hAnsi="Book Antiqua" w:cs="Arial"/>
          <w:sz w:val="24"/>
          <w:szCs w:val="24"/>
          <w:lang w:val="en-US"/>
        </w:rPr>
        <w:t>each</w:t>
      </w:r>
      <w:r w:rsidR="004B5295" w:rsidRPr="007F5A49">
        <w:rPr>
          <w:rFonts w:ascii="Book Antiqua" w:hAnsi="Book Antiqua" w:cs="Arial"/>
          <w:sz w:val="24"/>
          <w:szCs w:val="24"/>
          <w:lang w:val="en-US"/>
        </w:rPr>
        <w:t xml:space="preserve"> other</w:t>
      </w:r>
      <w:r w:rsidR="00B2134B" w:rsidRPr="007F5A49">
        <w:rPr>
          <w:rFonts w:ascii="Book Antiqua" w:hAnsi="Book Antiqua" w:cs="Arial"/>
          <w:sz w:val="24"/>
          <w:szCs w:val="24"/>
          <w:lang w:val="en-US"/>
        </w:rPr>
        <w:t xml:space="preserve"> and with TGF</w:t>
      </w:r>
      <w:r w:rsidR="00E14131" w:rsidRPr="007F5A49">
        <w:rPr>
          <w:rFonts w:ascii="Book Antiqua" w:hAnsi="Book Antiqua" w:cs="Arial"/>
          <w:sz w:val="24"/>
          <w:szCs w:val="24"/>
          <w:lang w:val="en-US"/>
        </w:rPr>
        <w:t>-β</w:t>
      </w:r>
      <w:r w:rsidR="00B2134B" w:rsidRPr="007F5A49">
        <w:rPr>
          <w:rFonts w:ascii="Book Antiqua" w:hAnsi="Book Antiqua" w:cs="Arial"/>
          <w:sz w:val="24"/>
          <w:szCs w:val="24"/>
          <w:lang w:val="en-US"/>
        </w:rPr>
        <w:t xml:space="preserve"> pathway</w:t>
      </w:r>
      <w:r w:rsidR="004B5295"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RCmKPXt","properties":{"formattedCitation":"(47\\uc0\\u8211{}49)","plainCitation":"(47–49)","noteIndex":0},"citationItems":[{"id":"z1PZoHrb/2cAf6A7w","uris":["http://zotero.org/users/4222068/items/CEZRGF9A"],"uri":["http://zotero.org/users/4222068/items/CEZRGF9A"],"itemData":{"id":1340,"type":"article-journal","title":"Activation of canonical Wnt signalling is required for TGF-β-mediated fibrosis","container-title":"Nature Communications","page":"735","volume":"3","source":"www.nature.com","abstract":"&lt;p&gt;Aberrant activation of the TGF-β pathway leads to fibrotic disease. Distler and colleagues show that TGF-β-mediated fibrosis requires the decrease of Dickkopf-1, an antagonist of canonical Wnt signalling, suggesting that the two pathways interact for the manifestation of this disease.&lt;/p&gt;","DOI":"10.1038/ncomms1734","ISSN":"2041-1723","language":"En","author":[{"family":"Akhmetshina","given":"Alfiya"},{"family":"Palumbo","given":"Katrin"},{"family":"Dees","given":"Clara"},{"family":"Bergmann","given":"Christina"},{"family":"Venalis","given":"Paulius"},{"family":"Zerr","given":"Pawel"},{"family":"Horn","given":"Angelika"},{"family":"Kireva","given":"Trayana"},{"family":"Beyer","given":"Christian"},{"family":"Zwerina","given":"Jochen"},{"family":"Schneider","given":"Holm"},{"family":"Sadowski","given":"Anika"},{"family":"Riener","given":"Marc-Oliver"},{"family":"MacDougald","given":"Ormond A."},{"family":"Distler","given":"Oliver"},{"family":"Schett","given":"Georg"},{"family":"Distler","given":"Jörg H. W."}],"issued":{"date-parts":[["2012",3,13]]}}},{"id":"z1PZoHrb/I0aaN8BA","uris":["http://zotero.org/users/4222068/items/FIC3KSZ9"],"uri":["http://zotero.org/users/4222068/items/FIC3KSZ9"],"itemData":{"id":1334,"type":"article-journal","title":"Notch signaling mediated by TGF-β/Smad pathway in concanavalin A-induced liver fibrosis in rats","container-title":"World Journal of Gastroenterology","page":"2330-2336","volume":"23","issue":"13","source":"www.wjgnet.com","abstract":"Notch signaling mediated by TGF-β/Smad pathway in concanavalin A-induced liver fibrosis in rats","DOI":"10.3748/wjg.v23.i13.2330","language":"en","author":[{"family":"Wang","given":"Yi"},{"family":"Shen","given":"Ruo-Wu"},{"family":"Han","given":"Bing"},{"family":"Li","given":"Zhen"},{"family":"Xiong","given":"Le"},{"family":"Zhang","given":"Feng-Yu"},{"family":"Cong","given":"Bei-Bei"},{"family":"Zhang","given":"Bei"}],"issued":{"date-parts":[["2017",4,7]]}}},{"id":"z1PZoHrb/EPIKHQAI","uris":["http://zotero.org/users/4222068/items/NCQFIIZJ"],"uri":["http://zotero.org/users/4222068/items/NCQFIIZJ"],"itemData":{"id":1331,"type":"article-journal","title":"Cross-talk between Notch and Hedgehog Regulates Hepatic Stellate Cell Fate","container-title":"Hepatology (Baltimore, Md.)","page":"1801-1813","volume":"58","issue":"5","source":"PubMed Central","abstract":"Liver repair involves phenotypic changes in hepatic stellate cells (HSC) and re-activation of morphogenic signaling pathways that modulate epithelial-to-mesenchymal/mesenchymal-to-epithelial transitions, such as Notch and Hedgehog (Hh). Hh stimulates HSC to become myofibroblasts (MF). Recent lineage tracing studies in adult mice with injured livers showed that some MF became multipotent progenitors to regenerate hepatocytes, cholangiocytes, and HSC. We studied primary HSC cultures and two different animal models of fibrosis to evaluate the hypothesis that activating the Notch pathway in HSC stimulates them to become (and remain) MF via a mechanism that involves an epithelial-to-mesenchymal-like transition, and requires cross-talk with the canonical Hh pathway. We found that when cultured HSC transitioned into MF, they activated Hh signaling, underwent an epithelial-to-mesenchymal-like transition, and increased Notch signaling. Blocking Notch signaling in MF-HSC suppressed Hh activity and caused a mesenchymal-to-epithelial-like transition. Inhibiting the Hh pathway suppressed Notch signaling and also induced a mesenchymal-to-epithelial-like transition. Manipulating Hh and Notch signaling in a mouse multipotent progenitor cell line evoked similar responses. In mice, liver injury increased Notch activity in MF and Hh-responsive MF progeny (i.e., HSC and ductular cells). Conditionally disrupting Hh signaling in MF of bile duct-ligated (BDL) mice inhibited Notch signaling and blocked accumulation of both MF and ductular cells.","DOI":"10.1002/hep.26511","ISSN":"0270-9139","note":"PMID: 23703657\nPMCID: PMC3758784","journalAbbreviation":"Hepatology","author":[{"family":"Xie","given":"Guanhua"},{"family":"Karaca","given":"Gamze"},{"family":"Swiderska-Syn","given":"Marzena"},{"family":"Michelotti","given":"Gregory A."},{"family":"Krüger","given":"Leandi"},{"family":"Chen","given":"Yuping"},{"family":"Premont","given":"Richard T."},{"family":"Choi","given":"Steve S."},{"family":"Diehl","given":"Anna Mae"}],"issued":{"date-parts":[["2013",11]]}}}],"schema":"https://github.com/citation-style-language/schema/raw/master/csl-citation.json"} </w:instrText>
      </w:r>
      <w:r w:rsidR="004B5295" w:rsidRPr="007F5A49">
        <w:rPr>
          <w:rFonts w:ascii="Book Antiqua" w:hAnsi="Book Antiqua" w:cs="Arial"/>
          <w:sz w:val="24"/>
          <w:szCs w:val="24"/>
          <w:vertAlign w:val="superscript"/>
          <w:lang w:val="en-US"/>
        </w:rPr>
        <w:fldChar w:fldCharType="separate"/>
      </w:r>
      <w:r w:rsidR="006C65B9" w:rsidRPr="007F5A49">
        <w:rPr>
          <w:rFonts w:ascii="Book Antiqua" w:hAnsi="Book Antiqua" w:cs="Times New Roman"/>
          <w:sz w:val="24"/>
          <w:szCs w:val="24"/>
          <w:vertAlign w:val="superscript"/>
          <w:lang w:val="en-US"/>
        </w:rPr>
        <w:t>[</w:t>
      </w:r>
      <w:r w:rsidR="00D2645C" w:rsidRPr="007F5A49">
        <w:rPr>
          <w:rFonts w:ascii="Book Antiqua" w:hAnsi="Book Antiqua" w:cs="Times New Roman"/>
          <w:sz w:val="24"/>
          <w:szCs w:val="24"/>
          <w:vertAlign w:val="superscript"/>
          <w:lang w:val="en-US"/>
        </w:rPr>
        <w:t>47</w:t>
      </w:r>
      <w:r>
        <w:rPr>
          <w:rFonts w:ascii="Book Antiqua" w:hAnsi="Book Antiqua" w:cs="Times New Roman"/>
          <w:sz w:val="24"/>
          <w:szCs w:val="24"/>
          <w:vertAlign w:val="superscript"/>
          <w:lang w:val="en-US"/>
        </w:rPr>
        <w:t>-</w:t>
      </w:r>
      <w:r w:rsidR="00D2645C" w:rsidRPr="007F5A49">
        <w:rPr>
          <w:rFonts w:ascii="Book Antiqua" w:hAnsi="Book Antiqua" w:cs="Times New Roman"/>
          <w:sz w:val="24"/>
          <w:szCs w:val="24"/>
          <w:vertAlign w:val="superscript"/>
          <w:lang w:val="en-US"/>
        </w:rPr>
        <w:t>49</w:t>
      </w:r>
      <w:r w:rsidR="004B5295" w:rsidRPr="007F5A49">
        <w:rPr>
          <w:rFonts w:ascii="Book Antiqua" w:hAnsi="Book Antiqua" w:cs="Arial"/>
          <w:sz w:val="24"/>
          <w:szCs w:val="24"/>
          <w:vertAlign w:val="superscript"/>
          <w:lang w:val="en-US"/>
        </w:rPr>
        <w:fldChar w:fldCharType="end"/>
      </w:r>
      <w:r w:rsidR="006C65B9" w:rsidRPr="007F5A49">
        <w:rPr>
          <w:rFonts w:ascii="Book Antiqua" w:hAnsi="Book Antiqua" w:cs="Arial"/>
          <w:sz w:val="24"/>
          <w:szCs w:val="24"/>
          <w:vertAlign w:val="superscript"/>
          <w:lang w:val="en-US"/>
        </w:rPr>
        <w:t>]</w:t>
      </w:r>
      <w:r w:rsidR="0086183F" w:rsidRPr="007F5A49">
        <w:rPr>
          <w:rFonts w:ascii="Book Antiqua" w:hAnsi="Book Antiqua" w:cs="Arial"/>
          <w:sz w:val="24"/>
          <w:szCs w:val="24"/>
          <w:lang w:val="en-US"/>
        </w:rPr>
        <w:t xml:space="preserve">. Their </w:t>
      </w:r>
      <w:r w:rsidR="00ED38E1" w:rsidRPr="007F5A49">
        <w:rPr>
          <w:rFonts w:ascii="Book Antiqua" w:hAnsi="Book Antiqua" w:cs="Arial"/>
          <w:sz w:val="24"/>
          <w:szCs w:val="24"/>
          <w:lang w:val="en-US"/>
        </w:rPr>
        <w:t>inhibition</w:t>
      </w:r>
      <w:r w:rsidR="0086183F" w:rsidRPr="007F5A49">
        <w:rPr>
          <w:rFonts w:ascii="Book Antiqua" w:hAnsi="Book Antiqua" w:cs="Arial"/>
          <w:sz w:val="24"/>
          <w:szCs w:val="24"/>
          <w:lang w:val="en-US"/>
        </w:rPr>
        <w:t xml:space="preserve"> has shown to </w:t>
      </w:r>
      <w:r w:rsidR="004D3B9C" w:rsidRPr="007F5A49">
        <w:rPr>
          <w:rFonts w:ascii="Book Antiqua" w:hAnsi="Book Antiqua" w:cs="Arial"/>
          <w:sz w:val="24"/>
          <w:szCs w:val="24"/>
          <w:lang w:val="en-US"/>
        </w:rPr>
        <w:t>reverse liver fibrosi</w:t>
      </w:r>
      <w:r w:rsidR="00DB1BBE" w:rsidRPr="007F5A49">
        <w:rPr>
          <w:rFonts w:ascii="Book Antiqua" w:hAnsi="Book Antiqua" w:cs="Arial"/>
          <w:sz w:val="24"/>
          <w:szCs w:val="24"/>
          <w:lang w:val="en-US"/>
        </w:rPr>
        <w:t>s</w:t>
      </w:r>
      <w:r w:rsidR="00A56055" w:rsidRPr="007F5A49">
        <w:rPr>
          <w:rFonts w:ascii="Book Antiqua" w:hAnsi="Book Antiqua" w:cs="Arial"/>
          <w:sz w:val="24"/>
          <w:szCs w:val="24"/>
          <w:lang w:val="en-US"/>
        </w:rPr>
        <w:t xml:space="preserve"> </w:t>
      </w:r>
      <w:r w:rsidR="00344796" w:rsidRPr="007F5A49">
        <w:rPr>
          <w:rFonts w:ascii="Book Antiqua" w:hAnsi="Book Antiqua" w:cs="Arial"/>
          <w:i/>
          <w:sz w:val="24"/>
          <w:szCs w:val="24"/>
          <w:lang w:val="en-US"/>
        </w:rPr>
        <w:t>in vitro</w:t>
      </w:r>
      <w:r w:rsidR="00344796" w:rsidRPr="007F5A49">
        <w:rPr>
          <w:rFonts w:ascii="Book Antiqua" w:hAnsi="Book Antiqua" w:cs="Arial"/>
          <w:sz w:val="24"/>
          <w:szCs w:val="24"/>
          <w:lang w:val="en-US"/>
        </w:rPr>
        <w:t xml:space="preserve"> and </w:t>
      </w:r>
      <w:r w:rsidR="00344796" w:rsidRPr="007F5A49">
        <w:rPr>
          <w:rFonts w:ascii="Book Antiqua" w:hAnsi="Book Antiqua" w:cs="Arial"/>
          <w:i/>
          <w:sz w:val="24"/>
          <w:szCs w:val="24"/>
          <w:lang w:val="en-US"/>
        </w:rPr>
        <w:t>in vivo</w:t>
      </w:r>
      <w:r w:rsidR="004D3B9C"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3Nr0OcFf","properties":{"formattedCitation":"(50\\uc0\\u8211{}52)","plainCitation":"(50–52)","noteIndex":0},"citationItems":[{"id":"z1PZoHrb/LYaiwcIb","uris":["http://zotero.org/users/4222068/items/TJWB34S2"],"uri":["http://zotero.org/users/4222068/items/TJWB34S2"],"itemData":{"id":1378,"type":"article-journal","title":"Wnt antagonism inhibits hepatic stellate cell activation and liver fibrosis","container-title":"American Journal of Physiology. Gastrointestinal and Liver Physiology","page":"G39-49","volume":"294","issue":"1","source":"PubMed","abstract":"Activation of hepatic stellate cells (HSC), a key event in liver fibrosis, is caused by diminished adipogenic transcription. This study investigated whether Wnt signaling contributes to \"antiadipogenic\" activation of HSC and liver fibrogenesis. Culture-activated HSC from normal rats and HSC from cholestatic rat livers were examined for expression of Wnt, Frizzled (Fz) receptors, and coreceptors by quantitative PCR. Wnt signaling was assessed by nuclear beta-catenin and T cell factor (TCF) promoter activity. Dickkopf-1 (Dkk-1), a Wnt coreceptor antagonist, was transduced by an adenoviral vector to assess the effects of Wnt antagonism on culture activation of HSC and cholestatic liver fibrosis in mice. Messenger RNA for canonical (Wnt3a and 10b) and noncanonical (Wnt4 and 5a) Wnt genes, Fz-1 and 2, and coreceptors [low-density lipoprotein-receptor-related protein (LRP)6 and Ryk] are increased approximately 3-12-fold in culture-activated HSC compared with quiescent HSC. The nuclear beta-catenin level and TCF DNA binding are markedly increased in activated HSC. TCF promoter activity is stimulated with Wnt1 but inhibited by Chibby, a protein that blocks beta-catenin interaction with TCF, and by Dkk-1. Dkk-1 enhances peroxisome proliferator-activated receptor-gamma (PPARgamma)-driven PPAR response element (PPRE) promoter activity, a key adipogenic transcriptional parameter, abrogates agonist-stimulated contraction, and restores HSC quiescence in culture. High expression of Dkk-1 increases apoptosis of cultured HSC. Expression of Wnt and Fz genes is also induced in HSC isolated from experimental cholestatic liver fibrosis, and Dkk-1 expression ameliorates this form of liver fibrosis in mice. These results demonstrate antiadipogenic Wnt signaling in HSC activation and therapeutic potential of Wnt antagonism for liver fibrosis.","DOI":"10.1152/ajpgi.00263.2007","ISSN":"0193-1857","note":"PMID: 18006602","journalAbbreviation":"Am. J. Physiol. Gastrointest. Liver Physiol.","language":"eng","author":[{"family":"Cheng","given":"Jason H."},{"family":"She","given":"Hongyun"},{"family":"Han","given":"Yuan-Ping"},{"family":"Wang","given":"Jiaohong"},{"family":"Xiong","given":"Shigang"},{"family":"Asahina","given":"Kinji"},{"family":"Tsukamoto","given":"Hidekazu"}],"issued":{"date-parts":[["2008",1]]}}},{"id":"z1PZoHrb/J41pkABD","uris":["http://zotero.org/users/4222068/items/JB2339FA"],"uri":["http://zotero.org/users/4222068/items/JB2339FA"],"itemData":{"id":1352,"type":"article-journal","title":"Hedgehog signaling antagonist promotes regression of both liver fibrosis and hepatocellular carcinoma in a murine model of primary liver cancer","container-title":"PloS One","page":"e23943","volume":"6","issue":"9","source":"PubMed","abstract":"OBJECTIVE: Chronic fibrosing liver injury is a major risk factor for hepatocarcinogenesis in humans. Mice with targeted deletion of Mdr2 (the murine ortholog of MDR3) develop chronic fibrosing liver injury. Hepatocellular carcinoma (HCC) emerges spontaneously in such mice by 50-60 weeks of age, providing a model of fibrosis-associated hepatocarcinogenesis. We used Mdr2(-/-) mice to investigate the hypothesis that activation of the hedgehog (Hh) signaling pathway promotes development of both liver fibrosis and HCC.\nMETHODS: Hepatic injury and fibrosis, Hh pathway activation, and liver progenitor populations were compared in Mdr2(-/-) mice and age-matched wild type controls. A dose finding experiment with the Hh signaling antagonist GDC-0449 was performed to optimize Hh pathway inhibition. Mice were then treated with GDC-0449 or vehicle for 9 days, and effects on liver fibrosis and tumor burden were assessed by immunohistochemistry, qRT-PCR, Western blot, and magnetic resonance imaging.\nRESULTS: Unlike controls, Mdr2(-/-) mice consistently expressed Hh ligands and progressively accumulated Hh-responsive liver myofibroblasts and progenitors with age. Treatment of aged Mdr2-deficient mice with GDC-0449 significantly inhibited hepatic Hh activity, decreased liver myofibroblasts and progenitors, reduced liver fibrosis, promoted regression of intra-hepatic HCCs, and decreased the number of metastatic HCC without increasing mortality.\nCONCLUSIONS: Hh pathway activation promotes liver fibrosis and hepatocarcinogenesis, and inhibiting Hh signaling safely reverses both processes even when fibrosis and HCC are advanced.","DOI":"10.1371/journal.pone.0023943","ISSN":"1932-6203","note":"PMID: 21912653\nPMCID: PMC3166282","journalAbbreviation":"PLoS ONE","language":"eng","author":[{"family":"Philips","given":"George M."},{"family":"Chan","given":"Isaac S."},{"family":"Swiderska","given":"Marzena"},{"family":"Schroder","given":"Vanessa T."},{"family":"Guy","given":"Cynthia"},{"family":"Karaca","given":"Gamze F."},{"family":"Moylan","given":"Cynthia"},{"family":"Venkatraman","given":"Talaignair"},{"family":"Feuerlein","given":"Sebastian"},{"family":"Syn","given":"Wing-Kin"},{"family":"Jung","given":"Youngmi"},{"family":"Witek","given":"Rafal P."},{"family":"Choi","given":"Steve"},{"family":"Michelotti","given":"Gregory A."},{"family":"Rangwala","given":"Fatima"},{"family":"Merkle","given":"Elmar"},{"family":"Lascola","given":"Christopher"},{"family":"Diehl","given":"Anna Mae"}],"issued":{"date-parts":[["2011"]]}}},{"id":"z1PZoHrb/UXQSFkWt","uris":["http://zotero.org/users/4222068/items/MNDMM2MU"],"uri":["http://zotero.org/users/4222068/items/MNDMM2MU"],"itemData":{"id":1376,"type":"article-journal","title":"Inhibition of notch signaling pathway prevents cholestatic liver fibrosis by decreasing the differentiation of hepatic progenitor cells into cholangiocytes","container-title":"Laboratory Investigation; a Journal of Technical Methods and Pathology","page":"350-360","volume":"96","issue":"3","source":"PubMed","abstract":"Although hepatic progenitor cells (HPCs) are known to contribute to cholestatic liver fibrosis (CLF), how Notch signaling modulates the differentiation of HPCs to cholangiocytes in CLF is unknown. Thus, using a rat model of CLF that is induced by bile duct ligation, we inhibited Notch signaling with DAPT. In vivo, CK19, OV6, Sox9, and EpCAM expression was increased significantly. Notch signaling increased after bile duct ligation, and DAPT treatment reduced the expression of CK19, OV6, Sox9, and EpCAM and blocked cholangiocyte proliferation and CLF. In vitro, treatment of a WB-F344 cell line with sodium butyrate resulted in increased mRNA and protein expression of CK19, Sox9, and EpCAM, but Notch signaling was activated. Both of these processes were inhibited by DAPT. This study reveals that Notch signaling activation is required for HPC differentiation into cholangiocytes in CLF, and inhibition of the Notch signaling pathway may offer a therapeutic approach for treating CLF.","DOI":"10.1038/labinvest.2015.149","ISSN":"1530-0307","note":"PMID: 26692291","journalAbbreviation":"Lab. Invest.","language":"eng","author":[{"family":"Zhang","given":"Xiao"},{"family":"Du","given":"Guangli"},{"family":"Xu","given":"Ying"},{"family":"Li","given":"Xuewei"},{"family":"Fan","given":"Weiwei"},{"family":"Chen","given":"Jiamei"},{"family":"Liu","given":"Cheng"},{"family":"Chen","given":"Gaofeng"},{"family":"Liu","given":"Chenghai"},{"family":"Zern","given":"Mark A."},{"family":"Mu","given":"Yongping"},{"family":"Liu","given":"Ping"}],"issued":{"date-parts":[["2016",3]]}}}],"schema":"https://github.com/citation-style-language/schema/raw/master/csl-citation.json"} </w:instrText>
      </w:r>
      <w:r w:rsidR="004D3B9C" w:rsidRPr="007F5A49">
        <w:rPr>
          <w:rFonts w:ascii="Book Antiqua" w:hAnsi="Book Antiqua" w:cs="Arial"/>
          <w:sz w:val="24"/>
          <w:szCs w:val="24"/>
          <w:vertAlign w:val="superscript"/>
          <w:lang w:val="en-US"/>
        </w:rPr>
        <w:fldChar w:fldCharType="separate"/>
      </w:r>
      <w:r w:rsidR="006C65B9" w:rsidRPr="007F5A49">
        <w:rPr>
          <w:rFonts w:ascii="Book Antiqua" w:hAnsi="Book Antiqua" w:cs="Times New Roman"/>
          <w:sz w:val="24"/>
          <w:szCs w:val="24"/>
          <w:vertAlign w:val="superscript"/>
          <w:lang w:val="en-US"/>
        </w:rPr>
        <w:t>[</w:t>
      </w:r>
      <w:r w:rsidR="00D2645C" w:rsidRPr="007F5A49">
        <w:rPr>
          <w:rFonts w:ascii="Book Antiqua" w:hAnsi="Book Antiqua" w:cs="Times New Roman"/>
          <w:sz w:val="24"/>
          <w:szCs w:val="24"/>
          <w:vertAlign w:val="superscript"/>
          <w:lang w:val="en-US"/>
        </w:rPr>
        <w:t>50</w:t>
      </w:r>
      <w:r>
        <w:rPr>
          <w:rFonts w:ascii="Book Antiqua" w:hAnsi="Book Antiqua" w:cs="Times New Roman"/>
          <w:sz w:val="24"/>
          <w:szCs w:val="24"/>
          <w:vertAlign w:val="superscript"/>
          <w:lang w:val="en-US"/>
        </w:rPr>
        <w:t>-</w:t>
      </w:r>
      <w:r w:rsidR="00D2645C" w:rsidRPr="007F5A49">
        <w:rPr>
          <w:rFonts w:ascii="Book Antiqua" w:hAnsi="Book Antiqua" w:cs="Times New Roman"/>
          <w:sz w:val="24"/>
          <w:szCs w:val="24"/>
          <w:vertAlign w:val="superscript"/>
          <w:lang w:val="en-US"/>
        </w:rPr>
        <w:t>52</w:t>
      </w:r>
      <w:r w:rsidR="004D3B9C" w:rsidRPr="007F5A49">
        <w:rPr>
          <w:rFonts w:ascii="Book Antiqua" w:hAnsi="Book Antiqua" w:cs="Arial"/>
          <w:sz w:val="24"/>
          <w:szCs w:val="24"/>
          <w:vertAlign w:val="superscript"/>
          <w:lang w:val="en-US"/>
        </w:rPr>
        <w:fldChar w:fldCharType="end"/>
      </w:r>
      <w:r w:rsidR="006C65B9" w:rsidRPr="007F5A49">
        <w:rPr>
          <w:rFonts w:ascii="Book Antiqua" w:hAnsi="Book Antiqua" w:cs="Arial"/>
          <w:sz w:val="24"/>
          <w:szCs w:val="24"/>
          <w:vertAlign w:val="superscript"/>
          <w:lang w:val="en-US"/>
        </w:rPr>
        <w:t>]</w:t>
      </w:r>
      <w:r w:rsidR="00A56055" w:rsidRPr="007F5A49">
        <w:rPr>
          <w:rFonts w:ascii="Book Antiqua" w:hAnsi="Book Antiqua" w:cs="Arial"/>
          <w:sz w:val="24"/>
          <w:szCs w:val="24"/>
          <w:lang w:val="en-US"/>
        </w:rPr>
        <w:t xml:space="preserve">. </w:t>
      </w:r>
      <w:r w:rsidR="0029085B" w:rsidRPr="007F5A49">
        <w:rPr>
          <w:rFonts w:ascii="Book Antiqua" w:hAnsi="Book Antiqua" w:cs="Arial"/>
          <w:sz w:val="24"/>
          <w:szCs w:val="24"/>
          <w:lang w:val="en-US"/>
        </w:rPr>
        <w:t>The effect of iron-induced modulation of these pathways on liver fibrosis was examined</w:t>
      </w:r>
      <w:r w:rsidR="00EE02DA" w:rsidRPr="007F5A49">
        <w:rPr>
          <w:rFonts w:ascii="Book Antiqua" w:hAnsi="Book Antiqua" w:cs="Arial"/>
          <w:sz w:val="24"/>
          <w:szCs w:val="24"/>
          <w:lang w:val="en-US"/>
        </w:rPr>
        <w:t xml:space="preserve"> in a few studies. </w:t>
      </w:r>
      <w:r w:rsidR="003D6034" w:rsidRPr="007F5A49">
        <w:rPr>
          <w:rFonts w:ascii="Book Antiqua" w:hAnsi="Book Antiqua" w:cs="Arial"/>
          <w:sz w:val="24"/>
          <w:szCs w:val="24"/>
          <w:lang w:val="en-US"/>
        </w:rPr>
        <w:t xml:space="preserve">Data </w:t>
      </w:r>
      <w:r w:rsidR="001E7FE7" w:rsidRPr="007F5A49">
        <w:rPr>
          <w:rFonts w:ascii="Book Antiqua" w:hAnsi="Book Antiqua" w:cs="Arial"/>
          <w:sz w:val="24"/>
          <w:szCs w:val="24"/>
          <w:lang w:val="en-US"/>
        </w:rPr>
        <w:t xml:space="preserve">showed </w:t>
      </w:r>
      <w:r w:rsidR="002C4D8B" w:rsidRPr="007F5A49">
        <w:rPr>
          <w:rFonts w:ascii="Book Antiqua" w:hAnsi="Book Antiqua" w:cs="Arial"/>
          <w:sz w:val="24"/>
          <w:szCs w:val="24"/>
          <w:lang w:val="en-US"/>
        </w:rPr>
        <w:t xml:space="preserve">that </w:t>
      </w:r>
      <w:r w:rsidR="0029085B" w:rsidRPr="007F5A49">
        <w:rPr>
          <w:rFonts w:ascii="Book Antiqua" w:hAnsi="Book Antiqua" w:cs="Arial"/>
          <w:sz w:val="24"/>
          <w:szCs w:val="24"/>
          <w:lang w:val="en-US"/>
        </w:rPr>
        <w:t xml:space="preserve">iron deficiency </w:t>
      </w:r>
      <w:r w:rsidR="009F26F2" w:rsidRPr="007F5A49">
        <w:rPr>
          <w:rFonts w:ascii="Book Antiqua" w:hAnsi="Book Antiqua" w:cs="Arial"/>
          <w:sz w:val="24"/>
          <w:szCs w:val="24"/>
          <w:lang w:val="en-US"/>
        </w:rPr>
        <w:t>stimulate</w:t>
      </w:r>
      <w:r w:rsidR="0029085B" w:rsidRPr="007F5A49">
        <w:rPr>
          <w:rFonts w:ascii="Book Antiqua" w:hAnsi="Book Antiqua" w:cs="Arial"/>
          <w:sz w:val="24"/>
          <w:szCs w:val="24"/>
          <w:lang w:val="en-US"/>
        </w:rPr>
        <w:t>d</w:t>
      </w:r>
      <w:r w:rsidR="009F26F2" w:rsidRPr="007F5A49">
        <w:rPr>
          <w:rFonts w:ascii="Book Antiqua" w:hAnsi="Book Antiqua" w:cs="Arial"/>
          <w:sz w:val="24"/>
          <w:szCs w:val="24"/>
          <w:lang w:val="en-US"/>
        </w:rPr>
        <w:t xml:space="preserve"> Notch </w:t>
      </w:r>
      <w:proofErr w:type="spellStart"/>
      <w:r w:rsidR="009F26F2" w:rsidRPr="007F5A49">
        <w:rPr>
          <w:rFonts w:ascii="Book Antiqua" w:hAnsi="Book Antiqua" w:cs="Arial"/>
          <w:sz w:val="24"/>
          <w:szCs w:val="24"/>
          <w:lang w:val="en-US"/>
        </w:rPr>
        <w:t>signalling</w:t>
      </w:r>
      <w:proofErr w:type="spellEnd"/>
      <w:r w:rsidR="0025058B" w:rsidRPr="007F5A49">
        <w:rPr>
          <w:rFonts w:ascii="Book Antiqua" w:hAnsi="Book Antiqua" w:cs="Arial"/>
          <w:sz w:val="24"/>
          <w:szCs w:val="24"/>
          <w:lang w:val="en-US"/>
        </w:rPr>
        <w:t xml:space="preserve">, </w:t>
      </w:r>
      <w:r w:rsidR="009F26F2" w:rsidRPr="007F5A49">
        <w:rPr>
          <w:rFonts w:ascii="Book Antiqua" w:hAnsi="Book Antiqua" w:cs="Arial"/>
          <w:sz w:val="24"/>
          <w:szCs w:val="24"/>
          <w:lang w:val="en-US"/>
        </w:rPr>
        <w:t>but not TGF-β</w:t>
      </w:r>
      <w:r w:rsidR="002C4D8B" w:rsidRPr="007F5A49">
        <w:rPr>
          <w:rFonts w:ascii="Book Antiqua" w:hAnsi="Book Antiqua" w:cs="Arial"/>
          <w:sz w:val="24"/>
          <w:szCs w:val="24"/>
          <w:lang w:val="en-US"/>
        </w:rPr>
        <w:t xml:space="preserve"> </w:t>
      </w:r>
      <w:r w:rsidR="009F26F2" w:rsidRPr="007F5A49">
        <w:rPr>
          <w:rFonts w:ascii="Book Antiqua" w:hAnsi="Book Antiqua" w:cs="Arial"/>
          <w:sz w:val="24"/>
          <w:szCs w:val="24"/>
          <w:lang w:val="en-US"/>
        </w:rPr>
        <w:t xml:space="preserve">and </w:t>
      </w:r>
      <w:proofErr w:type="spellStart"/>
      <w:r w:rsidR="009F26F2" w:rsidRPr="007F5A49">
        <w:rPr>
          <w:rFonts w:ascii="Book Antiqua" w:hAnsi="Book Antiqua" w:cs="Arial"/>
          <w:sz w:val="24"/>
          <w:szCs w:val="24"/>
          <w:lang w:val="en-US"/>
        </w:rPr>
        <w:t>Wnt</w:t>
      </w:r>
      <w:proofErr w:type="spellEnd"/>
      <w:r w:rsidR="009F26F2" w:rsidRPr="007F5A49">
        <w:rPr>
          <w:rFonts w:ascii="Book Antiqua" w:hAnsi="Book Antiqua" w:cs="Arial"/>
          <w:sz w:val="24"/>
          <w:szCs w:val="24"/>
          <w:lang w:val="en-US"/>
        </w:rPr>
        <w:t xml:space="preserve"> </w:t>
      </w:r>
      <w:proofErr w:type="spellStart"/>
      <w:r w:rsidR="009F26F2" w:rsidRPr="007F5A49">
        <w:rPr>
          <w:rFonts w:ascii="Book Antiqua" w:hAnsi="Book Antiqua" w:cs="Arial"/>
          <w:sz w:val="24"/>
          <w:szCs w:val="24"/>
          <w:lang w:val="en-US"/>
        </w:rPr>
        <w:t>signalling</w:t>
      </w:r>
      <w:proofErr w:type="spellEnd"/>
      <w:r w:rsidR="009F26F2"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jd1u7rat5","properties":{"formattedCitation":"(53)","plainCitation":"(53)","noteIndex":0},"citationItems":[{"id":"z1PZoHrb/vyGiikWr","uris":["http://zotero.org/users/4222068/items/JWFFMRH9"],"uri":["http://zotero.org/users/4222068/items/JWFFMRH9"],"itemData":{"id":1346,"type":"article-journal","title":"A link between premenopausal iron deficiency and breast cancer malignancy","container-title":"BMC cancer","page":"307","volume":"13","source":"PubMed","abstract":"BACKGROUND: Young breast cancer (BC) patients less than 45 years old are at higher risk of dying from the disease when compared to their older counterparts. However, specific risk factors leading to this poorer outcome have not been identified.\nMETHODS: One candidate is iron deficiency, as this is common in young women and a clinical feature of young age. In the present study, we used immuno-competent and immuno-deficient mouse xenograft models as well as hemoglobin as a marker of iron status in young BC patients to demonstrate whether host iron deficiency plays a pro-metastatic role.\nRESULTS: We showed that mice fed an iron-deficient diet had significantly higher tumor volumes and lung metastasis compared to those fed normal iron diets. Iron deficiency mainly altered Notch but not TGF-β and Wnt signaling in the primary tumor, leading to the activation of epithelial mesenchymal transition (EMT). This was revealed by increased expression of Snai1 and decreased expression of E-cadherin. Importantly, correcting iron deficiency by iron therapy reduced primary tumor volume, lung metastasis, and reversed EMT markers in mice. Furthermore, we found that mild iron deficiency was significantly associated with lymph node invasion in young BC patients (p&lt;0.002).\nCONCLUSIONS: Together, our finding indicates that host iron deficiency could be a contributor of poor prognosis in young BC patients.","DOI":"10.1186/1471-2407-13-307","ISSN":"1471-2407","note":"PMID: 23800380\nPMCID: PMC3716572","journalAbbreviation":"BMC Cancer","language":"eng","author":[{"family":"Jian","given":"Jinlong"},{"family":"Yang","given":"Qing"},{"family":"Shao","given":"Yongzhao"},{"family":"Axelrod","given":"Deborah"},{"family":"Smith","given":"Julia"},{"family":"Singh","given":"Baljit"},{"family":"Krauter","given":"Stephanie"},{"family":"Chiriboga","given":"Luis"},{"family":"Yang","given":"Zhaoxu"},{"family":"Li","given":"Jinqing"},{"family":"Huang","given":"Xi"}],"issued":{"date-parts":[["2013",6,24]]}}}],"schema":"https://github.com/citation-style-language/schema/raw/master/csl-citation.json"} </w:instrText>
      </w:r>
      <w:r w:rsidR="009F26F2" w:rsidRPr="007F5A49">
        <w:rPr>
          <w:rFonts w:ascii="Book Antiqua" w:hAnsi="Book Antiqua" w:cs="Arial"/>
          <w:sz w:val="24"/>
          <w:szCs w:val="24"/>
          <w:vertAlign w:val="superscript"/>
          <w:lang w:val="en-US"/>
        </w:rPr>
        <w:fldChar w:fldCharType="separate"/>
      </w:r>
      <w:r w:rsidR="006C65B9"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53</w:t>
      </w:r>
      <w:r w:rsidR="009F26F2" w:rsidRPr="007F5A49">
        <w:rPr>
          <w:rFonts w:ascii="Book Antiqua" w:hAnsi="Book Antiqua" w:cs="Arial"/>
          <w:sz w:val="24"/>
          <w:szCs w:val="24"/>
          <w:vertAlign w:val="superscript"/>
          <w:lang w:val="en-US"/>
        </w:rPr>
        <w:fldChar w:fldCharType="end"/>
      </w:r>
      <w:r w:rsidR="006C65B9" w:rsidRPr="007F5A49">
        <w:rPr>
          <w:rFonts w:ascii="Book Antiqua" w:hAnsi="Book Antiqua" w:cs="Arial"/>
          <w:sz w:val="24"/>
          <w:szCs w:val="24"/>
          <w:vertAlign w:val="superscript"/>
          <w:lang w:val="en-US"/>
        </w:rPr>
        <w:t>]</w:t>
      </w:r>
      <w:r w:rsidR="00A56055" w:rsidRPr="007F5A49">
        <w:rPr>
          <w:rFonts w:ascii="Book Antiqua" w:hAnsi="Book Antiqua" w:cs="Arial"/>
          <w:sz w:val="24"/>
          <w:szCs w:val="24"/>
          <w:lang w:val="en-US"/>
        </w:rPr>
        <w:t xml:space="preserve">. </w:t>
      </w:r>
      <w:r w:rsidR="009F0B74" w:rsidRPr="007F5A49">
        <w:rPr>
          <w:rFonts w:ascii="Book Antiqua" w:hAnsi="Book Antiqua" w:cs="Arial"/>
          <w:sz w:val="24"/>
          <w:szCs w:val="24"/>
          <w:lang w:val="en-US"/>
        </w:rPr>
        <w:t xml:space="preserve">Recently, </w:t>
      </w:r>
      <w:r w:rsidR="00C400D9" w:rsidRPr="007F5A49">
        <w:rPr>
          <w:rFonts w:ascii="Book Antiqua" w:hAnsi="Book Antiqua" w:cs="Arial"/>
          <w:sz w:val="24"/>
          <w:szCs w:val="24"/>
          <w:lang w:val="en-US"/>
        </w:rPr>
        <w:t xml:space="preserve">in </w:t>
      </w:r>
      <w:r w:rsidR="002D156A" w:rsidRPr="007F5A49">
        <w:rPr>
          <w:rFonts w:ascii="Book Antiqua" w:hAnsi="Book Antiqua" w:cs="Arial"/>
          <w:sz w:val="24"/>
          <w:szCs w:val="24"/>
          <w:lang w:val="en-US"/>
        </w:rPr>
        <w:t xml:space="preserve">response to iron-loading, </w:t>
      </w:r>
      <w:r w:rsidR="001E7FE7" w:rsidRPr="007F5A49">
        <w:rPr>
          <w:rFonts w:ascii="Book Antiqua" w:hAnsi="Book Antiqua" w:cs="Arial"/>
          <w:sz w:val="24"/>
          <w:szCs w:val="24"/>
          <w:lang w:val="en-US"/>
        </w:rPr>
        <w:t xml:space="preserve">a </w:t>
      </w:r>
      <w:r w:rsidR="005C7536" w:rsidRPr="007F5A49">
        <w:rPr>
          <w:rFonts w:ascii="Book Antiqua" w:hAnsi="Book Antiqua" w:cs="Arial"/>
          <w:sz w:val="24"/>
          <w:szCs w:val="24"/>
          <w:lang w:val="en-US"/>
        </w:rPr>
        <w:t>protective role of</w:t>
      </w:r>
      <w:r w:rsidR="0025058B" w:rsidRPr="007F5A49">
        <w:rPr>
          <w:rFonts w:ascii="Book Antiqua" w:hAnsi="Book Antiqua" w:cs="Arial"/>
          <w:sz w:val="24"/>
          <w:szCs w:val="24"/>
          <w:lang w:val="en-US"/>
        </w:rPr>
        <w:t xml:space="preserve"> </w:t>
      </w:r>
      <w:r w:rsidR="005C7536" w:rsidRPr="007F5A49">
        <w:rPr>
          <w:rFonts w:ascii="Book Antiqua" w:eastAsia="Times New Roman" w:hAnsi="Book Antiqua" w:cs="Arial"/>
          <w:bCs/>
          <w:kern w:val="36"/>
          <w:sz w:val="24"/>
          <w:szCs w:val="24"/>
          <w:lang w:val="en-US"/>
        </w:rPr>
        <w:t>β-catenin</w:t>
      </w:r>
      <w:r w:rsidR="00877B2F" w:rsidRPr="007F5A49">
        <w:rPr>
          <w:rFonts w:ascii="Book Antiqua" w:eastAsia="Times New Roman" w:hAnsi="Book Antiqua" w:cs="Arial"/>
          <w:bCs/>
          <w:kern w:val="36"/>
          <w:sz w:val="24"/>
          <w:szCs w:val="24"/>
          <w:lang w:val="en-US"/>
        </w:rPr>
        <w:t xml:space="preserve"> (component of </w:t>
      </w:r>
      <w:r w:rsidR="00732274" w:rsidRPr="007F5A49">
        <w:rPr>
          <w:rFonts w:ascii="Book Antiqua" w:eastAsia="Times New Roman" w:hAnsi="Book Antiqua" w:cs="Arial"/>
          <w:bCs/>
          <w:kern w:val="36"/>
          <w:sz w:val="24"/>
          <w:szCs w:val="24"/>
          <w:lang w:val="en-US"/>
        </w:rPr>
        <w:t xml:space="preserve">cadherin complex </w:t>
      </w:r>
      <w:r w:rsidR="007327B2" w:rsidRPr="007F5A49">
        <w:rPr>
          <w:rFonts w:ascii="Book Antiqua" w:eastAsia="Times New Roman" w:hAnsi="Book Antiqua" w:cs="Arial"/>
          <w:bCs/>
          <w:kern w:val="36"/>
          <w:sz w:val="24"/>
          <w:szCs w:val="24"/>
          <w:lang w:val="en-US"/>
        </w:rPr>
        <w:t xml:space="preserve">that </w:t>
      </w:r>
      <w:r w:rsidR="00732274" w:rsidRPr="007F5A49">
        <w:rPr>
          <w:rFonts w:ascii="Book Antiqua" w:eastAsia="Times New Roman" w:hAnsi="Book Antiqua" w:cs="Arial"/>
          <w:bCs/>
          <w:kern w:val="36"/>
          <w:sz w:val="24"/>
          <w:szCs w:val="24"/>
          <w:lang w:val="en-US"/>
        </w:rPr>
        <w:t xml:space="preserve">stimulates </w:t>
      </w:r>
      <w:proofErr w:type="spellStart"/>
      <w:r w:rsidR="00877B2F" w:rsidRPr="007F5A49">
        <w:rPr>
          <w:rFonts w:ascii="Book Antiqua" w:eastAsia="Times New Roman" w:hAnsi="Book Antiqua" w:cs="Arial"/>
          <w:bCs/>
          <w:kern w:val="36"/>
          <w:sz w:val="24"/>
          <w:szCs w:val="24"/>
          <w:lang w:val="en-US"/>
        </w:rPr>
        <w:t>Wnt</w:t>
      </w:r>
      <w:proofErr w:type="spellEnd"/>
      <w:r w:rsidR="00877B2F" w:rsidRPr="007F5A49">
        <w:rPr>
          <w:rFonts w:ascii="Book Antiqua" w:eastAsia="Times New Roman" w:hAnsi="Book Antiqua" w:cs="Arial"/>
          <w:bCs/>
          <w:kern w:val="36"/>
          <w:sz w:val="24"/>
          <w:szCs w:val="24"/>
          <w:lang w:val="en-US"/>
        </w:rPr>
        <w:t xml:space="preserve"> </w:t>
      </w:r>
      <w:proofErr w:type="spellStart"/>
      <w:r w:rsidR="00877B2F" w:rsidRPr="007F5A49">
        <w:rPr>
          <w:rFonts w:ascii="Book Antiqua" w:eastAsia="Times New Roman" w:hAnsi="Book Antiqua" w:cs="Arial"/>
          <w:bCs/>
          <w:kern w:val="36"/>
          <w:sz w:val="24"/>
          <w:szCs w:val="24"/>
          <w:lang w:val="en-US"/>
        </w:rPr>
        <w:t>signalling</w:t>
      </w:r>
      <w:proofErr w:type="spellEnd"/>
      <w:r w:rsidR="00877B2F" w:rsidRPr="007F5A49">
        <w:rPr>
          <w:rFonts w:ascii="Book Antiqua" w:eastAsia="Times New Roman" w:hAnsi="Book Antiqua" w:cs="Arial"/>
          <w:bCs/>
          <w:kern w:val="36"/>
          <w:sz w:val="24"/>
          <w:szCs w:val="24"/>
          <w:lang w:val="en-US"/>
        </w:rPr>
        <w:t xml:space="preserve">) </w:t>
      </w:r>
      <w:r w:rsidR="005C7536" w:rsidRPr="007F5A49">
        <w:rPr>
          <w:rFonts w:ascii="Book Antiqua" w:eastAsia="Times New Roman" w:hAnsi="Book Antiqua" w:cs="Arial"/>
          <w:bCs/>
          <w:kern w:val="36"/>
          <w:sz w:val="24"/>
          <w:szCs w:val="24"/>
          <w:lang w:val="en-US"/>
        </w:rPr>
        <w:t xml:space="preserve">against liver fibrosis </w:t>
      </w:r>
      <w:r w:rsidR="001E7FE7" w:rsidRPr="007F5A49">
        <w:rPr>
          <w:rFonts w:ascii="Book Antiqua" w:eastAsia="Times New Roman" w:hAnsi="Book Antiqua" w:cs="Arial"/>
          <w:bCs/>
          <w:kern w:val="36"/>
          <w:sz w:val="24"/>
          <w:szCs w:val="24"/>
          <w:lang w:val="en-US"/>
        </w:rPr>
        <w:t>was observed</w:t>
      </w:r>
      <w:r w:rsidR="005C7536" w:rsidRPr="007F5A49">
        <w:rPr>
          <w:rFonts w:ascii="Book Antiqua" w:eastAsia="Times New Roman" w:hAnsi="Book Antiqua" w:cs="Arial"/>
          <w:bCs/>
          <w:kern w:val="36"/>
          <w:sz w:val="24"/>
          <w:szCs w:val="24"/>
          <w:lang w:val="en-US"/>
        </w:rPr>
        <w:t>, where h</w:t>
      </w:r>
      <w:r w:rsidR="005C7536" w:rsidRPr="007F5A49">
        <w:rPr>
          <w:rFonts w:ascii="Book Antiqua" w:eastAsia="Times New Roman" w:hAnsi="Book Antiqua" w:cs="Arial"/>
          <w:sz w:val="24"/>
          <w:szCs w:val="24"/>
          <w:lang w:val="en-US"/>
        </w:rPr>
        <w:t>epatocyte-specific β-catenin</w:t>
      </w:r>
      <w:r w:rsidR="001446E6" w:rsidRPr="007F5A49">
        <w:rPr>
          <w:rFonts w:ascii="Book Antiqua" w:eastAsia="Times New Roman" w:hAnsi="Book Antiqua" w:cs="Arial"/>
          <w:sz w:val="24"/>
          <w:szCs w:val="24"/>
          <w:lang w:val="en-US"/>
        </w:rPr>
        <w:t>-</w:t>
      </w:r>
      <w:r w:rsidR="005C7536" w:rsidRPr="007F5A49">
        <w:rPr>
          <w:rFonts w:ascii="Book Antiqua" w:eastAsia="Times New Roman" w:hAnsi="Book Antiqua" w:cs="Arial"/>
          <w:sz w:val="24"/>
          <w:szCs w:val="24"/>
          <w:lang w:val="en-US"/>
        </w:rPr>
        <w:t xml:space="preserve">knockout mice fed </w:t>
      </w:r>
      <w:r w:rsidR="001A33B7" w:rsidRPr="007F5A49">
        <w:rPr>
          <w:rFonts w:ascii="Book Antiqua" w:eastAsia="Times New Roman" w:hAnsi="Book Antiqua" w:cs="Arial"/>
          <w:sz w:val="24"/>
          <w:szCs w:val="24"/>
          <w:lang w:val="en-US"/>
        </w:rPr>
        <w:t xml:space="preserve">with </w:t>
      </w:r>
      <w:r w:rsidR="005C7536" w:rsidRPr="007F5A49">
        <w:rPr>
          <w:rFonts w:ascii="Book Antiqua" w:eastAsia="Times New Roman" w:hAnsi="Book Antiqua" w:cs="Arial"/>
          <w:sz w:val="24"/>
          <w:szCs w:val="24"/>
          <w:lang w:val="en-US"/>
        </w:rPr>
        <w:t>an iron-overload</w:t>
      </w:r>
      <w:r w:rsidR="001446E6" w:rsidRPr="007F5A49">
        <w:rPr>
          <w:rFonts w:ascii="Book Antiqua" w:eastAsia="Times New Roman" w:hAnsi="Book Antiqua" w:cs="Arial"/>
          <w:sz w:val="24"/>
          <w:szCs w:val="24"/>
          <w:lang w:val="en-US"/>
        </w:rPr>
        <w:t>ed</w:t>
      </w:r>
      <w:r w:rsidR="005C7536" w:rsidRPr="007F5A49">
        <w:rPr>
          <w:rFonts w:ascii="Book Antiqua" w:eastAsia="Times New Roman" w:hAnsi="Book Antiqua" w:cs="Arial"/>
          <w:sz w:val="24"/>
          <w:szCs w:val="24"/>
          <w:lang w:val="en-US"/>
        </w:rPr>
        <w:t xml:space="preserve"> diet developed higher degree of fibrosis and inflammation compared to controls</w:t>
      </w:r>
      <w:r w:rsidR="009F26F2" w:rsidRPr="007F5A49">
        <w:rPr>
          <w:rFonts w:ascii="Book Antiqua" w:eastAsia="Times New Roman" w:hAnsi="Book Antiqua" w:cs="Arial"/>
          <w:bCs/>
          <w:kern w:val="36"/>
          <w:sz w:val="24"/>
          <w:szCs w:val="24"/>
          <w:vertAlign w:val="superscript"/>
          <w:lang w:val="en-US"/>
        </w:rPr>
        <w:fldChar w:fldCharType="begin"/>
      </w:r>
      <w:r w:rsidR="00D2645C" w:rsidRPr="007F5A49">
        <w:rPr>
          <w:rFonts w:ascii="Book Antiqua" w:eastAsia="Times New Roman" w:hAnsi="Book Antiqua" w:cs="Arial"/>
          <w:bCs/>
          <w:kern w:val="36"/>
          <w:sz w:val="24"/>
          <w:szCs w:val="24"/>
          <w:vertAlign w:val="superscript"/>
          <w:lang w:val="en-US"/>
        </w:rPr>
        <w:instrText xml:space="preserve"> ADDIN ZOTERO_ITEM CSL_CITATION {"citationID":"a1k5ggvkth4","properties":{"formattedCitation":"(54)","plainCitation":"(54)","noteIndex":0},"citationItems":[{"id":"z1PZoHrb/IV3wCOZK","uris":["http://zotero.org/users/4222068/items/BA9PZWEK"],"uri":["http://zotero.org/users/4222068/items/BA9PZWEK"],"itemData":{"id":1349,"type":"article-journal","title":"Mice lacking liver-specific β-catenin develop steatohepatitis and fibrosis after iron overload","container-title":"Journal of Hepatology","page":"360-369","volume":"67","issue":"2","source":"PubMed","abstract":"BACKGROUND &amp; AIMS: Iron overload disorders such as hereditary hemochromatosis and iron loading anemias are a common cause of morbidity from liver diseases and increase risk of hepatic fibrosis and hepatocellular carcinoma (HCC). Treatment options for iron-induced damage are limited, partly because there is lack of animal models of human disease. Therefore, we investigated the effect of iron overload in liver-specific β-catenin knockout mice (KO), which are susceptible to injury, fibrosis and tumorigenesis following chemical carcinogen exposure.\nMETHODS: Iron overload diet was administered to KO and littermate control (CON) mice for various times. To ameliorate an oxidant-mediated component of tissue injury, N-Acetyl-L-(+)-cysteine (NAC) was added to drinking water of mice on iron overload diet.\nRESULTS: KO on iron diet (KO +Fe) exhibited remarkable inflammation, followed by steatosis, oxidative stress, fibrosis, regenerating nodules and occurrence of occasional HCC. Increased injury in KO +Fe was associated with activated protein kinase B (AKT), ERK, and NF-κB, along with reappearance of β-catenin and target gene Cyp2e1, which promoted lipid peroxidation and hepatic damage. Addition of NAC to drinking water protected KO +Fe from hepatic steatosis, injury and fibrosis, and prevented activation of AKT, ERK, NF-κB and reappearance of β-catenin.\nCONCLUSIONS: The absence of hepatic β-catenin predisposes mice to hepatic injury and fibrosis following iron overload, which was reminiscent of hemochromatosis and associated with enhanced steatohepatitis and fibrosis. Disease progression was notably alleviated by antioxidant therapy, which supports its chemopreventive role in the management of chronic iron overload disorders.\nLAY SUMMARY: Lack of animal models for iron overload disorders makes it hard to study the disease process for improving therapies. Feeding high iron diet to mice that lack the β-catenin gene in liver cells led to increased inflammation followed by fat accumulation, cell death and wound healing that mimicked human disease. Administration of an antioxidant prevented hepatic injury in this model.","DOI":"10.1016/j.jhep.2017.03.012","ISSN":"1600-0641","note":"PMID: 28341391\nPMCID: PMC5515705","journalAbbreviation":"J. Hepatol.","language":"eng","author":[{"family":"Preziosi","given":"Morgan E."},{"family":"Singh","given":"Sucha"},{"family":"Valore","given":"Erika V."},{"family":"Jung","given":"Grace"},{"family":"Popovic","given":"Branimir"},{"family":"Poddar","given":"Minakshi"},{"family":"Nagarajan","given":"Shanmugam"},{"family":"Ganz","given":"Tomas"},{"family":"Monga","given":"Satdarshan P."}],"issued":{"date-parts":[["2017",8]]}}}],"schema":"https://github.com/citation-style-language/schema/raw/master/csl-citation.json"} </w:instrText>
      </w:r>
      <w:r w:rsidR="009F26F2" w:rsidRPr="007F5A49">
        <w:rPr>
          <w:rFonts w:ascii="Book Antiqua" w:eastAsia="Times New Roman" w:hAnsi="Book Antiqua" w:cs="Arial"/>
          <w:bCs/>
          <w:kern w:val="36"/>
          <w:sz w:val="24"/>
          <w:szCs w:val="24"/>
          <w:vertAlign w:val="superscript"/>
          <w:lang w:val="en-US"/>
        </w:rPr>
        <w:fldChar w:fldCharType="separate"/>
      </w:r>
      <w:r w:rsidR="006C65B9"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54</w:t>
      </w:r>
      <w:r w:rsidR="009F26F2" w:rsidRPr="007F5A49">
        <w:rPr>
          <w:rFonts w:ascii="Book Antiqua" w:eastAsia="Times New Roman" w:hAnsi="Book Antiqua" w:cs="Arial"/>
          <w:bCs/>
          <w:kern w:val="36"/>
          <w:sz w:val="24"/>
          <w:szCs w:val="24"/>
          <w:vertAlign w:val="superscript"/>
          <w:lang w:val="en-US"/>
        </w:rPr>
        <w:fldChar w:fldCharType="end"/>
      </w:r>
      <w:r w:rsidR="006C65B9" w:rsidRPr="007F5A49">
        <w:rPr>
          <w:rFonts w:ascii="Book Antiqua" w:eastAsia="Times New Roman" w:hAnsi="Book Antiqua" w:cs="Arial"/>
          <w:bCs/>
          <w:kern w:val="36"/>
          <w:sz w:val="24"/>
          <w:szCs w:val="24"/>
          <w:vertAlign w:val="superscript"/>
          <w:lang w:val="en-US"/>
        </w:rPr>
        <w:t>]</w:t>
      </w:r>
      <w:r w:rsidR="00A56055" w:rsidRPr="007F5A49">
        <w:rPr>
          <w:rFonts w:ascii="Book Antiqua" w:eastAsia="Times New Roman" w:hAnsi="Book Antiqua" w:cs="Arial"/>
          <w:bCs/>
          <w:kern w:val="36"/>
          <w:sz w:val="24"/>
          <w:szCs w:val="24"/>
          <w:lang w:val="en-US"/>
        </w:rPr>
        <w:t xml:space="preserve">. </w:t>
      </w:r>
      <w:r w:rsidR="0029085B" w:rsidRPr="007F5A49">
        <w:rPr>
          <w:rFonts w:ascii="Book Antiqua" w:eastAsia="Times New Roman" w:hAnsi="Book Antiqua" w:cs="Arial"/>
          <w:bCs/>
          <w:kern w:val="36"/>
          <w:sz w:val="24"/>
          <w:szCs w:val="24"/>
          <w:lang w:val="en-US"/>
        </w:rPr>
        <w:t xml:space="preserve">Further studies are required to better </w:t>
      </w:r>
      <w:r w:rsidR="008C0829" w:rsidRPr="007F5A49">
        <w:rPr>
          <w:rFonts w:ascii="Book Antiqua" w:eastAsia="Times New Roman" w:hAnsi="Book Antiqua" w:cs="Arial"/>
          <w:bCs/>
          <w:kern w:val="36"/>
          <w:sz w:val="24"/>
          <w:szCs w:val="24"/>
          <w:lang w:val="en-US"/>
        </w:rPr>
        <w:t xml:space="preserve">understand the effect of iron on these pathways and how this alters fibrosis. </w:t>
      </w:r>
    </w:p>
    <w:p w14:paraId="41FADCEE" w14:textId="77777777" w:rsidR="006C65B9" w:rsidRPr="007F5A49" w:rsidRDefault="006C65B9" w:rsidP="007F5A49">
      <w:pPr>
        <w:adjustRightInd w:val="0"/>
        <w:snapToGrid w:val="0"/>
        <w:spacing w:after="0" w:line="360" w:lineRule="auto"/>
        <w:jc w:val="both"/>
        <w:rPr>
          <w:rFonts w:ascii="Book Antiqua" w:hAnsi="Book Antiqua" w:cs="Arial"/>
          <w:b/>
          <w:i/>
          <w:sz w:val="24"/>
          <w:szCs w:val="24"/>
          <w:lang w:val="en-US"/>
        </w:rPr>
      </w:pPr>
    </w:p>
    <w:p w14:paraId="267071E2" w14:textId="3F6FE040" w:rsidR="005B07CA" w:rsidRPr="007F5A49" w:rsidRDefault="00641DF5" w:rsidP="008E1EBB">
      <w:pPr>
        <w:adjustRightInd w:val="0"/>
        <w:snapToGrid w:val="0"/>
        <w:spacing w:after="0" w:line="360" w:lineRule="auto"/>
        <w:jc w:val="both"/>
        <w:outlineLvl w:val="0"/>
        <w:rPr>
          <w:rFonts w:ascii="Book Antiqua" w:hAnsi="Book Antiqua" w:cs="Arial"/>
          <w:b/>
          <w:i/>
          <w:sz w:val="24"/>
          <w:szCs w:val="24"/>
          <w:lang w:val="en-US"/>
        </w:rPr>
      </w:pPr>
      <w:r w:rsidRPr="007F5A49">
        <w:rPr>
          <w:rFonts w:ascii="Book Antiqua" w:hAnsi="Book Antiqua" w:cs="Arial"/>
          <w:b/>
          <w:i/>
          <w:sz w:val="24"/>
          <w:szCs w:val="24"/>
          <w:lang w:val="en-US"/>
        </w:rPr>
        <w:t xml:space="preserve">Iron-related proteins </w:t>
      </w:r>
      <w:r w:rsidR="005B07CA" w:rsidRPr="007F5A49">
        <w:rPr>
          <w:rFonts w:ascii="Book Antiqua" w:hAnsi="Book Antiqua" w:cs="Arial"/>
          <w:b/>
          <w:i/>
          <w:sz w:val="24"/>
          <w:szCs w:val="24"/>
          <w:lang w:val="en-US"/>
        </w:rPr>
        <w:t>modulate fibrosis</w:t>
      </w:r>
    </w:p>
    <w:p w14:paraId="13F6FE0C" w14:textId="75505D78" w:rsidR="00700B3C" w:rsidRPr="007F5A49" w:rsidRDefault="0097505C" w:rsidP="007F5A49">
      <w:pPr>
        <w:adjustRightInd w:val="0"/>
        <w:snapToGrid w:val="0"/>
        <w:spacing w:after="0" w:line="360" w:lineRule="auto"/>
        <w:jc w:val="both"/>
        <w:rPr>
          <w:rFonts w:ascii="Book Antiqua" w:hAnsi="Book Antiqua" w:cs="Arial"/>
          <w:sz w:val="24"/>
          <w:szCs w:val="24"/>
          <w:lang w:val="en-US"/>
        </w:rPr>
      </w:pPr>
      <w:r w:rsidRPr="007F5A49">
        <w:rPr>
          <w:rFonts w:ascii="Book Antiqua" w:hAnsi="Book Antiqua" w:cs="Arial"/>
          <w:sz w:val="24"/>
          <w:szCs w:val="24"/>
          <w:lang w:val="en-US"/>
        </w:rPr>
        <w:t>Several iron-related</w:t>
      </w:r>
      <w:r w:rsidR="005A5739" w:rsidRPr="007F5A49">
        <w:rPr>
          <w:rFonts w:ascii="Book Antiqua" w:hAnsi="Book Antiqua" w:cs="Arial"/>
          <w:sz w:val="24"/>
          <w:szCs w:val="24"/>
          <w:lang w:val="en-US"/>
        </w:rPr>
        <w:t xml:space="preserve"> </w:t>
      </w:r>
      <w:r w:rsidRPr="007F5A49">
        <w:rPr>
          <w:rFonts w:ascii="Book Antiqua" w:hAnsi="Book Antiqua" w:cs="Arial"/>
          <w:sz w:val="24"/>
          <w:szCs w:val="24"/>
          <w:lang w:val="en-US"/>
        </w:rPr>
        <w:t>prote</w:t>
      </w:r>
      <w:r w:rsidR="009033A2" w:rsidRPr="007F5A49">
        <w:rPr>
          <w:rFonts w:ascii="Book Antiqua" w:hAnsi="Book Antiqua" w:cs="Arial"/>
          <w:sz w:val="24"/>
          <w:szCs w:val="24"/>
          <w:lang w:val="en-US"/>
        </w:rPr>
        <w:t>in</w:t>
      </w:r>
      <w:r w:rsidR="00732597" w:rsidRPr="007F5A49">
        <w:rPr>
          <w:rFonts w:ascii="Book Antiqua" w:hAnsi="Book Antiqua" w:cs="Arial"/>
          <w:sz w:val="24"/>
          <w:szCs w:val="24"/>
          <w:lang w:val="en-US"/>
        </w:rPr>
        <w:t xml:space="preserve">-receptor complexes </w:t>
      </w:r>
      <w:r w:rsidR="00D47306" w:rsidRPr="007F5A49">
        <w:rPr>
          <w:rFonts w:ascii="Book Antiqua" w:hAnsi="Book Antiqua" w:cs="Arial"/>
          <w:sz w:val="24"/>
          <w:szCs w:val="24"/>
          <w:lang w:val="en-US"/>
        </w:rPr>
        <w:t xml:space="preserve">either </w:t>
      </w:r>
      <w:r w:rsidR="00954782" w:rsidRPr="007F5A49">
        <w:rPr>
          <w:rFonts w:ascii="Book Antiqua" w:hAnsi="Book Antiqua" w:cs="Arial"/>
          <w:sz w:val="24"/>
          <w:szCs w:val="24"/>
          <w:lang w:val="en-US"/>
        </w:rPr>
        <w:t xml:space="preserve">cause </w:t>
      </w:r>
      <w:r w:rsidR="005C070A" w:rsidRPr="007F5A49">
        <w:rPr>
          <w:rFonts w:ascii="Book Antiqua" w:hAnsi="Book Antiqua" w:cs="Arial"/>
          <w:sz w:val="24"/>
          <w:szCs w:val="24"/>
          <w:lang w:val="en-US"/>
        </w:rPr>
        <w:t>HSC</w:t>
      </w:r>
      <w:r w:rsidR="00125C2D" w:rsidRPr="007F5A49">
        <w:rPr>
          <w:rFonts w:ascii="Book Antiqua" w:hAnsi="Book Antiqua" w:cs="Arial"/>
          <w:sz w:val="24"/>
          <w:szCs w:val="24"/>
          <w:lang w:val="en-US"/>
        </w:rPr>
        <w:t>-</w:t>
      </w:r>
      <w:r w:rsidR="005C070A" w:rsidRPr="007F5A49">
        <w:rPr>
          <w:rFonts w:ascii="Book Antiqua" w:hAnsi="Book Antiqua" w:cs="Arial"/>
          <w:sz w:val="24"/>
          <w:szCs w:val="24"/>
          <w:lang w:val="en-US"/>
        </w:rPr>
        <w:t>activation</w:t>
      </w:r>
      <w:r w:rsidR="00D47306" w:rsidRPr="007F5A49">
        <w:rPr>
          <w:rFonts w:ascii="Book Antiqua" w:hAnsi="Book Antiqua" w:cs="Arial"/>
          <w:sz w:val="24"/>
          <w:szCs w:val="24"/>
          <w:lang w:val="en-US"/>
        </w:rPr>
        <w:t xml:space="preserve"> or contribute to iron movement</w:t>
      </w:r>
      <w:r w:rsidR="00D51909" w:rsidRPr="007F5A49">
        <w:rPr>
          <w:rFonts w:ascii="Book Antiqua" w:hAnsi="Book Antiqua" w:cs="Arial"/>
          <w:sz w:val="24"/>
          <w:szCs w:val="24"/>
          <w:lang w:val="en-US"/>
        </w:rPr>
        <w:t xml:space="preserve"> in</w:t>
      </w:r>
      <w:r w:rsidR="00D47306" w:rsidRPr="007F5A49">
        <w:rPr>
          <w:rFonts w:ascii="Book Antiqua" w:hAnsi="Book Antiqua" w:cs="Arial"/>
          <w:sz w:val="24"/>
          <w:szCs w:val="24"/>
          <w:lang w:val="en-US"/>
        </w:rPr>
        <w:t xml:space="preserve"> pre-activated HSC</w:t>
      </w:r>
      <w:r w:rsidR="00954782" w:rsidRPr="007F5A49">
        <w:rPr>
          <w:rFonts w:ascii="Book Antiqua" w:hAnsi="Book Antiqua" w:cs="Arial"/>
          <w:sz w:val="24"/>
          <w:szCs w:val="24"/>
          <w:lang w:val="en-US"/>
        </w:rPr>
        <w:t>s</w:t>
      </w:r>
      <w:r w:rsidR="009033A2" w:rsidRPr="007F5A49">
        <w:rPr>
          <w:rFonts w:ascii="Book Antiqua" w:hAnsi="Book Antiqua" w:cs="Arial"/>
          <w:sz w:val="24"/>
          <w:szCs w:val="24"/>
          <w:lang w:val="en-US"/>
        </w:rPr>
        <w:t xml:space="preserve">. One such </w:t>
      </w:r>
      <w:r w:rsidR="00732597" w:rsidRPr="007F5A49">
        <w:rPr>
          <w:rFonts w:ascii="Book Antiqua" w:hAnsi="Book Antiqua" w:cs="Arial"/>
          <w:sz w:val="24"/>
          <w:szCs w:val="24"/>
          <w:lang w:val="en-US"/>
        </w:rPr>
        <w:t xml:space="preserve">association </w:t>
      </w:r>
      <w:r w:rsidR="009033A2" w:rsidRPr="007F5A49">
        <w:rPr>
          <w:rFonts w:ascii="Book Antiqua" w:hAnsi="Book Antiqua" w:cs="Arial"/>
          <w:sz w:val="24"/>
          <w:szCs w:val="24"/>
          <w:lang w:val="en-US"/>
        </w:rPr>
        <w:t xml:space="preserve">is </w:t>
      </w:r>
      <w:r w:rsidR="001D33B9" w:rsidRPr="00252606">
        <w:rPr>
          <w:rFonts w:ascii="Book Antiqua" w:hAnsi="Book Antiqua" w:cs="Arial"/>
          <w:i/>
          <w:sz w:val="24"/>
          <w:szCs w:val="24"/>
          <w:lang w:val="en-US"/>
        </w:rPr>
        <w:t>via</w:t>
      </w:r>
      <w:r w:rsidR="001D33B9" w:rsidRPr="007F5A49">
        <w:rPr>
          <w:rFonts w:ascii="Book Antiqua" w:hAnsi="Book Antiqua" w:cs="Arial"/>
          <w:sz w:val="24"/>
          <w:szCs w:val="24"/>
          <w:lang w:val="en-US"/>
        </w:rPr>
        <w:t xml:space="preserve"> the </w:t>
      </w:r>
      <w:r w:rsidR="00732597" w:rsidRPr="007F5A49">
        <w:rPr>
          <w:rFonts w:ascii="Book Antiqua" w:hAnsi="Book Antiqua" w:cs="Arial"/>
          <w:sz w:val="24"/>
          <w:szCs w:val="24"/>
          <w:lang w:val="en-US"/>
        </w:rPr>
        <w:t>ferritin receptor</w:t>
      </w:r>
      <w:r w:rsidR="009033A2" w:rsidRPr="007F5A49">
        <w:rPr>
          <w:rFonts w:ascii="Book Antiqua" w:hAnsi="Book Antiqua" w:cs="Arial"/>
          <w:sz w:val="24"/>
          <w:szCs w:val="24"/>
          <w:lang w:val="en-US"/>
        </w:rPr>
        <w:t>.</w:t>
      </w:r>
      <w:r w:rsidR="001446E6" w:rsidRPr="007F5A49">
        <w:rPr>
          <w:rFonts w:ascii="Book Antiqua" w:hAnsi="Book Antiqua" w:cs="Arial"/>
          <w:sz w:val="24"/>
          <w:szCs w:val="24"/>
          <w:lang w:val="en-US"/>
        </w:rPr>
        <w:t xml:space="preserve"> Unlike quiescent HSCs, activated HSCs express a specific receptor for H-ferritin ferritin and thereby </w:t>
      </w:r>
      <w:proofErr w:type="spellStart"/>
      <w:r w:rsidR="001446E6" w:rsidRPr="007F5A49">
        <w:rPr>
          <w:rFonts w:ascii="Book Antiqua" w:hAnsi="Book Antiqua" w:cs="Arial"/>
          <w:sz w:val="24"/>
          <w:szCs w:val="24"/>
          <w:lang w:val="en-US"/>
        </w:rPr>
        <w:t>internalise</w:t>
      </w:r>
      <w:proofErr w:type="spellEnd"/>
      <w:r w:rsidR="001446E6" w:rsidRPr="007F5A49">
        <w:rPr>
          <w:rFonts w:ascii="Book Antiqua" w:hAnsi="Book Antiqua" w:cs="Arial"/>
          <w:sz w:val="24"/>
          <w:szCs w:val="24"/>
          <w:lang w:val="en-US"/>
        </w:rPr>
        <w:t xml:space="preserve"> ferritin that is supposedly released from Kupffer cells </w:t>
      </w:r>
      <w:r w:rsidR="00034AE0" w:rsidRPr="007F5A49">
        <w:rPr>
          <w:rFonts w:ascii="Book Antiqua" w:hAnsi="Book Antiqua" w:cs="Arial"/>
          <w:sz w:val="24"/>
          <w:szCs w:val="24"/>
          <w:lang w:val="en-US"/>
        </w:rPr>
        <w:t xml:space="preserve">following degradation of </w:t>
      </w:r>
      <w:proofErr w:type="spellStart"/>
      <w:r w:rsidR="00034AE0" w:rsidRPr="007F5A49">
        <w:rPr>
          <w:rFonts w:ascii="Book Antiqua" w:hAnsi="Book Antiqua" w:cs="Arial"/>
          <w:sz w:val="24"/>
          <w:szCs w:val="24"/>
          <w:lang w:val="en-US"/>
        </w:rPr>
        <w:t>haemoglobin</w:t>
      </w:r>
      <w:proofErr w:type="spellEnd"/>
      <w:r w:rsidR="00034AE0" w:rsidRPr="007F5A49">
        <w:rPr>
          <w:rFonts w:ascii="Book Antiqua" w:hAnsi="Book Antiqua" w:cs="Arial"/>
          <w:sz w:val="24"/>
          <w:szCs w:val="24"/>
          <w:lang w:val="en-US"/>
        </w:rPr>
        <w:t xml:space="preserve"> from senescent</w:t>
      </w:r>
      <w:r w:rsidR="002F6B7B" w:rsidRPr="007F5A49">
        <w:rPr>
          <w:rFonts w:ascii="Book Antiqua" w:hAnsi="Book Antiqua" w:cs="Arial"/>
          <w:sz w:val="24"/>
          <w:szCs w:val="24"/>
          <w:lang w:val="en-US"/>
        </w:rPr>
        <w:t xml:space="preserve"> RBCs</w:t>
      </w:r>
      <w:r w:rsidR="00034AE0"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V1AUILJ","properties":{"formattedCitation":"(55,56)","plainCitation":"(55,56)","noteIndex":0},"citationItems":[{"id":"z1PZoHrb/aet6nuSn","uris":["http://zotero.org/users/4222068/items/GMH2WAVW"],"uri":["http://zotero.org/users/4222068/items/GMH2WAVW"],"itemData":{"id":1494,"type":"article-journal","title":"Identification and characterization of a receptor for tissue ferritin on activated rat lipocytes","container-title":"The Journal of Clinical Investigation","page":"9-15","volume":"94","issue":"1","source":"PubMed","abstract":"Hepatic iron overload causes lipocyte activation with resultant fibrogenesis. This study examines whether rat lipocytes express ferritin receptors, which could be involved in paracellular iron movement and in cellular regulation. Lipocytes from normal rat liver were cultured on plastic and incubated with 125I-labeled rat liver ferritin (RLF) +/- a 100-fold excess of either unlabeled RLF or human heart ferritin, human liver ferritin, human recombinant H-ferritin, a mutant human recombinant L-ferritin, or a variety of nonspecific proteins. Specific binding sites for ferritin were demonstrated by displacement of 125I-RLF by RLF (64.5 +/- 4.3%) and by other ferritins (55-60%), but not by recombinant L-ferritin. Scatchard analysis demonstrated a single class of binding sites with a Kd of 5.1 +/- 2.9 x 10(-10) M, maximum binding capacity of 4.7 +/- 1.3 x 10(-12) M, and 5,000-10,000 receptor sites/cell. Ferritin receptor expression was observed only in activated lipocytes. Internalization of RLF was observed within 15 min using FITC-RLF and confocal microscopy. This study demonstrates that (a) activated lipocytes express a specific high affinity ferritin receptor; (b) the binding appears to be dependent on the H-ferritin subunit; and (c) lipocytes internalize ferritin. Expression of ferritin receptors in activated lipocytes suggests that the receptor may either be involved in the activation cascade or may be a marker of activation.","DOI":"10.1172/JCI117353","ISSN":"0021-9738","note":"PMID: 8040296\nPMCID: PMC296276","journalAbbreviation":"J. Clin. Invest.","language":"eng","author":[{"family":"Ramm","given":"G. A."},{"family":"Britton","given":"R. S."},{"family":"O'Neill","given":"R."},{"family":"Bacon","given":"B. R."}],"issued":{"date-parts":[["1994",7]]}}},{"id":"z1PZoHrb/ELQTVqcs","uris":["http://zotero.org/users/4222068/items/A4S3NVTH"],"uri":["http://zotero.org/users/4222068/items/A4S3NVTH"],"itemData":{"id":1269,"type":"article-journal","title":"Interactions between isolated hepatocytes and Kupffer cells in iron metabolism: a possible role for ferritin as an iron carrier protein","container-title":"Hepatology (Baltimore, Md.)","page":"296-301","volume":"8","issue":"2","source":"PubMed","abstract":"Like the rat peritoneal macrophage, the isolated Kupffer cell is capable of processing and releasing iron acquired by phagocytosis of immunosensitized homologous red blood cells. When erythrophagocytosis is restrained to levels which do not affect cell viability, about one red cell per macrophage, close to 50% of iron acquired from red cells is released within 24 hr in the form of ferritin. Immunoradiometric assay of the extracellular medium indicates that 160 ng ferritin are released by 10(6) Kupffer cells after 24-hr incubation at 37 degrees C. Iron release is temperature-dependent, the rate at 37 degrees C being nearly 5-fold greater than at 4 degrees C. As estimated by sucrose-gradient ultracentrifugation, ferritin released by the erythrophagocytosing Kupffer cell averages 2,400 iron atoms per molecule. When reincubated with isolated hepatocytes, this released ferritin is rapidly taken up by the cells. Via this process, hepatocytes may accumulate more than 160,000 iron atoms per cell per min. Such accumulation is not impeded by the presence of iron-loaded transferrin in the culture medium, but is markedly depressed by rat liver ferritin. In contrast to the conservation of transferrin during its interaction with hepatocytes, the protein shell of the ferritin molecule is rapidly degraded into trichloroacetic acid-soluble fragments. Ferritin-mediated transfer of iron from Kupffer cells to hepatocytes may help explain the resistance of the liver to iron deficiency as well as the liver's susceptibility to iron overload.","ISSN":"0270-9139","note":"PMID: 3356411","shortTitle":"Interactions between isolated hepatocytes and Kupffer cells in iron metabolism","journalAbbreviation":"Hepatology","language":"eng","author":[{"family":"Sibille","given":"J. C."},{"family":"Kondo","given":"H."},{"family":"Aisen","given":"P."}],"issued":{"date-parts":[["1988",4]]}}}],"schema":"https://github.com/citation-style-language/schema/raw/master/csl-citation.json"} </w:instrText>
      </w:r>
      <w:r w:rsidR="00034AE0" w:rsidRPr="007F5A49">
        <w:rPr>
          <w:rFonts w:ascii="Book Antiqua" w:hAnsi="Book Antiqua" w:cs="Arial"/>
          <w:sz w:val="24"/>
          <w:szCs w:val="24"/>
          <w:vertAlign w:val="superscript"/>
          <w:lang w:val="en-US"/>
        </w:rPr>
        <w:fldChar w:fldCharType="separate"/>
      </w:r>
      <w:r w:rsidR="001F1A50"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55,56</w:t>
      </w:r>
      <w:r w:rsidR="00034AE0" w:rsidRPr="007F5A49">
        <w:rPr>
          <w:rFonts w:ascii="Book Antiqua" w:hAnsi="Book Antiqua" w:cs="Arial"/>
          <w:sz w:val="24"/>
          <w:szCs w:val="24"/>
          <w:vertAlign w:val="superscript"/>
          <w:lang w:val="en-US"/>
        </w:rPr>
        <w:fldChar w:fldCharType="end"/>
      </w:r>
      <w:r w:rsidR="001F1A50" w:rsidRPr="007F5A49">
        <w:rPr>
          <w:rFonts w:ascii="Book Antiqua" w:hAnsi="Book Antiqua" w:cs="Arial"/>
          <w:sz w:val="24"/>
          <w:szCs w:val="24"/>
          <w:vertAlign w:val="superscript"/>
          <w:lang w:val="en-US"/>
        </w:rPr>
        <w:t>]</w:t>
      </w:r>
      <w:r w:rsidR="003A4E48" w:rsidRPr="007F5A49">
        <w:rPr>
          <w:rFonts w:ascii="Book Antiqua" w:hAnsi="Book Antiqua" w:cs="Arial"/>
          <w:sz w:val="24"/>
          <w:szCs w:val="24"/>
          <w:lang w:val="en-US"/>
        </w:rPr>
        <w:t xml:space="preserve">. </w:t>
      </w:r>
      <w:r w:rsidR="006B28F4" w:rsidRPr="007F5A49">
        <w:rPr>
          <w:rFonts w:ascii="Book Antiqua" w:hAnsi="Book Antiqua" w:cs="Arial"/>
          <w:sz w:val="24"/>
          <w:szCs w:val="24"/>
          <w:lang w:val="en-US"/>
        </w:rPr>
        <w:t>F</w:t>
      </w:r>
      <w:r w:rsidR="00BA1B69" w:rsidRPr="007F5A49">
        <w:rPr>
          <w:rFonts w:ascii="Book Antiqua" w:hAnsi="Book Antiqua" w:cs="Arial"/>
          <w:sz w:val="24"/>
          <w:szCs w:val="24"/>
          <w:lang w:val="en-US"/>
        </w:rPr>
        <w:t xml:space="preserve">erritin </w:t>
      </w:r>
      <w:r w:rsidR="006B28F4" w:rsidRPr="007F5A49">
        <w:rPr>
          <w:rFonts w:ascii="Book Antiqua" w:hAnsi="Book Antiqua" w:cs="Arial"/>
          <w:sz w:val="24"/>
          <w:szCs w:val="24"/>
          <w:lang w:val="en-US"/>
        </w:rPr>
        <w:t xml:space="preserve">can </w:t>
      </w:r>
      <w:r w:rsidR="00BA1B69" w:rsidRPr="007F5A49">
        <w:rPr>
          <w:rFonts w:ascii="Book Antiqua" w:hAnsi="Book Antiqua" w:cs="Arial"/>
          <w:sz w:val="24"/>
          <w:szCs w:val="24"/>
          <w:lang w:val="en-US"/>
        </w:rPr>
        <w:t>upregulate</w:t>
      </w:r>
      <w:r w:rsidR="006B28F4" w:rsidRPr="007F5A49">
        <w:rPr>
          <w:rFonts w:ascii="Book Antiqua" w:hAnsi="Book Antiqua" w:cs="Arial"/>
          <w:sz w:val="24"/>
          <w:szCs w:val="24"/>
          <w:lang w:val="en-US"/>
        </w:rPr>
        <w:t xml:space="preserve"> </w:t>
      </w:r>
      <w:r w:rsidR="0044760F" w:rsidRPr="007F5A49">
        <w:rPr>
          <w:rFonts w:ascii="Book Antiqua" w:hAnsi="Book Antiqua" w:cs="Arial"/>
          <w:sz w:val="24"/>
          <w:szCs w:val="24"/>
          <w:lang w:val="en-US"/>
        </w:rPr>
        <w:t xml:space="preserve">the </w:t>
      </w:r>
      <w:r w:rsidR="00BA1B69" w:rsidRPr="007F5A49">
        <w:rPr>
          <w:rFonts w:ascii="Book Antiqua" w:hAnsi="Book Antiqua" w:cs="Arial"/>
          <w:sz w:val="24"/>
          <w:szCs w:val="24"/>
          <w:lang w:val="en-US"/>
        </w:rPr>
        <w:t xml:space="preserve">genes involved in HSC-activation </w:t>
      </w:r>
      <w:r w:rsidR="00BA1B69" w:rsidRPr="00C04BB2">
        <w:rPr>
          <w:rFonts w:ascii="Book Antiqua" w:hAnsi="Book Antiqua" w:cs="Arial"/>
          <w:i/>
          <w:sz w:val="24"/>
          <w:szCs w:val="24"/>
          <w:lang w:val="en-US"/>
        </w:rPr>
        <w:t>via</w:t>
      </w:r>
      <w:r w:rsidR="00BA1B69" w:rsidRPr="007F5A49">
        <w:rPr>
          <w:rFonts w:ascii="Book Antiqua" w:hAnsi="Book Antiqua" w:cs="Arial"/>
          <w:sz w:val="24"/>
          <w:szCs w:val="24"/>
          <w:lang w:val="en-US"/>
        </w:rPr>
        <w:t xml:space="preserve"> </w:t>
      </w:r>
      <w:proofErr w:type="spellStart"/>
      <w:r w:rsidR="00BA1B69" w:rsidRPr="007F5A49">
        <w:rPr>
          <w:rFonts w:ascii="Book Antiqua" w:eastAsia="Times New Roman" w:hAnsi="Book Antiqua" w:cs="Arial"/>
          <w:sz w:val="24"/>
          <w:szCs w:val="24"/>
          <w:lang w:val="en-US"/>
        </w:rPr>
        <w:t>PKCζ</w:t>
      </w:r>
      <w:proofErr w:type="spellEnd"/>
      <w:r w:rsidR="00BA1B69" w:rsidRPr="007F5A49">
        <w:rPr>
          <w:rFonts w:ascii="Book Antiqua" w:eastAsia="Times New Roman" w:hAnsi="Book Antiqua" w:cs="Arial"/>
          <w:sz w:val="24"/>
          <w:szCs w:val="24"/>
          <w:lang w:val="en-US"/>
        </w:rPr>
        <w:t xml:space="preserve"> and p44/p42-MAP-kinase </w:t>
      </w:r>
      <w:proofErr w:type="spellStart"/>
      <w:r w:rsidR="00BA1B69" w:rsidRPr="007F5A49">
        <w:rPr>
          <w:rFonts w:ascii="Book Antiqua" w:eastAsia="Times New Roman" w:hAnsi="Book Antiqua" w:cs="Arial"/>
          <w:sz w:val="24"/>
          <w:szCs w:val="24"/>
          <w:lang w:val="en-US"/>
        </w:rPr>
        <w:t>signalling</w:t>
      </w:r>
      <w:proofErr w:type="spellEnd"/>
      <w:r w:rsidR="00BA1B69" w:rsidRPr="007F5A49">
        <w:rPr>
          <w:rFonts w:ascii="Book Antiqua" w:eastAsia="Times New Roman" w:hAnsi="Book Antiqua" w:cs="Arial"/>
          <w:sz w:val="24"/>
          <w:szCs w:val="24"/>
          <w:lang w:val="en-US"/>
        </w:rPr>
        <w:t xml:space="preserve"> resulting in </w:t>
      </w:r>
      <w:r w:rsidR="00CC7F65" w:rsidRPr="007F5A49">
        <w:rPr>
          <w:rFonts w:ascii="Book Antiqua" w:eastAsia="Times New Roman" w:hAnsi="Book Antiqua" w:cs="Arial"/>
          <w:sz w:val="24"/>
          <w:szCs w:val="24"/>
          <w:lang w:val="en-US"/>
        </w:rPr>
        <w:t xml:space="preserve">activation of </w:t>
      </w:r>
      <w:r w:rsidR="00E973B7" w:rsidRPr="007F5A49">
        <w:rPr>
          <w:rFonts w:ascii="Book Antiqua" w:hAnsi="Book Antiqua" w:cs="Arial"/>
          <w:sz w:val="24"/>
          <w:szCs w:val="24"/>
          <w:lang w:val="en-US"/>
        </w:rPr>
        <w:t>NF-</w:t>
      </w:r>
      <w:proofErr w:type="spellStart"/>
      <w:r w:rsidR="00E973B7" w:rsidRPr="007F5A49">
        <w:rPr>
          <w:rFonts w:ascii="Book Antiqua" w:hAnsi="Book Antiqua" w:cs="Arial"/>
          <w:sz w:val="24"/>
          <w:szCs w:val="24"/>
          <w:lang w:val="en-US"/>
        </w:rPr>
        <w:t>κB</w:t>
      </w:r>
      <w:proofErr w:type="spellEnd"/>
      <w:r w:rsidR="007A449C" w:rsidRPr="007F5A49">
        <w:rPr>
          <w:rFonts w:ascii="Book Antiqua" w:eastAsia="Times New Roman" w:hAnsi="Book Antiqua" w:cs="Arial"/>
          <w:sz w:val="24"/>
          <w:szCs w:val="24"/>
          <w:lang w:val="en-US"/>
        </w:rPr>
        <w:t xml:space="preserve">, which </w:t>
      </w:r>
      <w:r w:rsidR="00BA1B69" w:rsidRPr="007F5A49">
        <w:rPr>
          <w:rFonts w:ascii="Book Antiqua" w:eastAsia="Times New Roman" w:hAnsi="Book Antiqua" w:cs="Arial"/>
          <w:sz w:val="24"/>
          <w:szCs w:val="24"/>
          <w:lang w:val="en-US"/>
        </w:rPr>
        <w:t>elevates hepatic proinflammatory mediators</w:t>
      </w:r>
      <w:r w:rsidR="00BA1B69" w:rsidRPr="007F5A49">
        <w:rPr>
          <w:rFonts w:ascii="Book Antiqua" w:eastAsia="Times New Roman" w:hAnsi="Book Antiqua" w:cs="Arial"/>
          <w:sz w:val="24"/>
          <w:szCs w:val="24"/>
          <w:vertAlign w:val="superscript"/>
          <w:lang w:val="en-US"/>
        </w:rPr>
        <w:fldChar w:fldCharType="begin"/>
      </w:r>
      <w:r w:rsidR="00D2645C" w:rsidRPr="007F5A49">
        <w:rPr>
          <w:rFonts w:ascii="Book Antiqua" w:eastAsia="Times New Roman" w:hAnsi="Book Antiqua" w:cs="Arial"/>
          <w:sz w:val="24"/>
          <w:szCs w:val="24"/>
          <w:vertAlign w:val="superscript"/>
          <w:lang w:val="en-US"/>
        </w:rPr>
        <w:instrText xml:space="preserve"> ADDIN ZOTERO_ITEM CSL_CITATION {"citationID":"a159m3cu1d7","properties":{"formattedCitation":"(24)","plainCitation":"(24)","noteIndex":0},"citationItems":[{"id":"z1PZoHrb/SpUGCwi8","uris":["http://zotero.org/users/4222068/items/3VJVJVFI"],"uri":["http://zotero.org/users/4222068/items/3VJVJVFI"],"itemData":{"id":1327,"type":"article-journal","title":"Ferritin functions as a proinflammatory cytokine via iron-independent PKC-ζ/NFκB-regulated signalling in rat hepatic stellate cells","container-title":"Hepatology (Baltimore, Md.)","page":"887-900","volume":"49","issue":"3","source":"PubMed Central","abstract":"Circulating ferritin levels reflect body iron stores and are elevated with inflammation in chronic liver injury. H-ferritin exhibits a number of extrahepatic immunomodulatory properties although its role in hepatic inflammation and fibrogenesis is unknown. Hepatic stellate cells respond to liver injury through production of proinflammatory mediators which drive fibrogenesis. A specific receptor for ferritin has been demonstrated on activated hepatic stellate cells although its identity and its role in stellate cell activation is unclear. We propose that ferritin acts as a cytokine regulating proinflammatory function via NFκB-regulated signaling in hepatic stellate cell biology. Hepatic stellate cells were treated with tissue ferritin, and iron-free apoferritin, recombinant H- and L-ferritins to assess the role of ferritin versus ferritin-bound iron in the production of proinflammatory mediators of fibrogenesis, and to determine whether signalling pathways elicited act via a proposed H-ferritin endocytosis receptor, T cell immunoglobulin-domain and mucin-domain 2 (Tim-2). This study demonstrated that ferritin activates an iron-independent signaling cascade, involving Tim-2-independent PI3-kinase phosphorylation, PKCζ and p44/p42-MAP-kinase resulting in p50/p65-NFκB activation and markedly enhanced expression of hepatic proinflammatory mediators IL-1β, iNOS, RANTES, IκBα and ICAM1.","DOI":"10.1002/hep.22716","ISSN":"0270-9139","note":"PMID: 19241483\nPMCID: PMC2701483","journalAbbreviation":"Hepatology","author":[{"family":"Ruddell","given":"Richard G"},{"family":"Hoang-Le","given":"Diem"},{"family":"Barwood","given":"Joanne M"},{"family":"Rutherford","given":"Paul S"},{"family":"Piva","given":"Terrance J"},{"family":"Watters","given":"Dianne J"},{"family":"Santambrogio","given":"Paolo"},{"family":"Arosio","given":"Paolo"},{"family":"Ramm","given":"Grant A"}],"issued":{"date-parts":[["2009",3]]}}}],"schema":"https://github.com/citation-style-language/schema/raw/master/csl-citation.json"} </w:instrText>
      </w:r>
      <w:r w:rsidR="00BA1B69" w:rsidRPr="007F5A49">
        <w:rPr>
          <w:rFonts w:ascii="Book Antiqua" w:eastAsia="Times New Roman" w:hAnsi="Book Antiqua" w:cs="Arial"/>
          <w:sz w:val="24"/>
          <w:szCs w:val="24"/>
          <w:vertAlign w:val="superscript"/>
          <w:lang w:val="en-US"/>
        </w:rPr>
        <w:fldChar w:fldCharType="separate"/>
      </w:r>
      <w:r w:rsidR="00A878C9"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24</w:t>
      </w:r>
      <w:r w:rsidR="00BA1B69" w:rsidRPr="007F5A49">
        <w:rPr>
          <w:rFonts w:ascii="Book Antiqua" w:eastAsia="Times New Roman" w:hAnsi="Book Antiqua" w:cs="Arial"/>
          <w:sz w:val="24"/>
          <w:szCs w:val="24"/>
          <w:vertAlign w:val="superscript"/>
          <w:lang w:val="en-US"/>
        </w:rPr>
        <w:fldChar w:fldCharType="end"/>
      </w:r>
      <w:r w:rsidR="00A878C9" w:rsidRPr="007F5A49">
        <w:rPr>
          <w:rFonts w:ascii="Book Antiqua" w:eastAsia="Times New Roman" w:hAnsi="Book Antiqua" w:cs="Arial"/>
          <w:sz w:val="24"/>
          <w:szCs w:val="24"/>
          <w:vertAlign w:val="superscript"/>
          <w:lang w:val="en-US"/>
        </w:rPr>
        <w:t>]</w:t>
      </w:r>
      <w:r w:rsidR="0044760F" w:rsidRPr="007F5A49">
        <w:rPr>
          <w:rFonts w:ascii="Book Antiqua" w:eastAsia="Times New Roman" w:hAnsi="Book Antiqua" w:cs="Arial"/>
          <w:sz w:val="24"/>
          <w:szCs w:val="24"/>
          <w:lang w:val="en-US"/>
        </w:rPr>
        <w:t xml:space="preserve">. </w:t>
      </w:r>
      <w:r w:rsidR="00F97185" w:rsidRPr="007F5A49">
        <w:rPr>
          <w:rFonts w:ascii="Book Antiqua" w:eastAsia="Times New Roman" w:hAnsi="Book Antiqua" w:cs="Arial"/>
          <w:sz w:val="24"/>
          <w:szCs w:val="24"/>
          <w:lang w:val="en-US"/>
        </w:rPr>
        <w:t xml:space="preserve">H-ferritin from </w:t>
      </w:r>
      <w:r w:rsidR="00F97185" w:rsidRPr="007F5A49">
        <w:rPr>
          <w:rStyle w:val="Emphasis"/>
          <w:rFonts w:ascii="Book Antiqua" w:hAnsi="Book Antiqua" w:cs="Arial"/>
          <w:sz w:val="24"/>
          <w:szCs w:val="24"/>
          <w:lang w:val="en-US"/>
        </w:rPr>
        <w:t xml:space="preserve">Clonorchis </w:t>
      </w:r>
      <w:proofErr w:type="spellStart"/>
      <w:r w:rsidR="00F97185" w:rsidRPr="007F5A49">
        <w:rPr>
          <w:rStyle w:val="Emphasis"/>
          <w:rFonts w:ascii="Book Antiqua" w:hAnsi="Book Antiqua" w:cs="Arial"/>
          <w:sz w:val="24"/>
          <w:szCs w:val="24"/>
          <w:lang w:val="en-US"/>
        </w:rPr>
        <w:t>sinensis</w:t>
      </w:r>
      <w:proofErr w:type="spellEnd"/>
      <w:r w:rsidR="00C52D7F" w:rsidRPr="007F5A49">
        <w:rPr>
          <w:rStyle w:val="Emphasis"/>
          <w:rFonts w:ascii="Book Antiqua" w:hAnsi="Book Antiqua" w:cs="Arial"/>
          <w:i w:val="0"/>
          <w:sz w:val="24"/>
          <w:szCs w:val="24"/>
          <w:lang w:val="en-US"/>
        </w:rPr>
        <w:t xml:space="preserve">, which </w:t>
      </w:r>
      <w:r w:rsidR="00F97185" w:rsidRPr="007F5A49">
        <w:rPr>
          <w:rStyle w:val="Emphasis"/>
          <w:rFonts w:ascii="Book Antiqua" w:hAnsi="Book Antiqua" w:cs="Arial"/>
          <w:i w:val="0"/>
          <w:sz w:val="24"/>
          <w:szCs w:val="24"/>
          <w:lang w:val="en-US"/>
        </w:rPr>
        <w:t xml:space="preserve">causes liver fibrosis and </w:t>
      </w:r>
      <w:r w:rsidR="00F97185" w:rsidRPr="007F5A49">
        <w:rPr>
          <w:rFonts w:ascii="Book Antiqua" w:hAnsi="Book Antiqua" w:cs="Arial"/>
          <w:sz w:val="24"/>
          <w:szCs w:val="24"/>
          <w:lang w:val="en-US"/>
        </w:rPr>
        <w:t>cholangiocarcinoma</w:t>
      </w:r>
      <w:r w:rsidR="00C52D7F" w:rsidRPr="007F5A49">
        <w:rPr>
          <w:rStyle w:val="Emphasis"/>
          <w:rFonts w:ascii="Book Antiqua" w:hAnsi="Book Antiqua" w:cs="Arial"/>
          <w:i w:val="0"/>
          <w:sz w:val="24"/>
          <w:szCs w:val="24"/>
          <w:lang w:val="en-US"/>
        </w:rPr>
        <w:t xml:space="preserve">, </w:t>
      </w:r>
      <w:r w:rsidR="00135227" w:rsidRPr="007F5A49">
        <w:rPr>
          <w:rFonts w:ascii="Book Antiqua" w:hAnsi="Book Antiqua" w:cs="Arial"/>
          <w:sz w:val="24"/>
          <w:szCs w:val="24"/>
          <w:lang w:val="en-US"/>
        </w:rPr>
        <w:t xml:space="preserve">has shown to </w:t>
      </w:r>
      <w:r w:rsidR="00F97185" w:rsidRPr="007F5A49">
        <w:rPr>
          <w:rFonts w:ascii="Book Antiqua" w:hAnsi="Book Antiqua" w:cs="Arial"/>
          <w:sz w:val="24"/>
          <w:szCs w:val="24"/>
          <w:lang w:val="en-US"/>
        </w:rPr>
        <w:t>generate free radicals that activate NF-</w:t>
      </w:r>
      <w:proofErr w:type="spellStart"/>
      <w:r w:rsidR="00F97185" w:rsidRPr="007F5A49">
        <w:rPr>
          <w:rFonts w:ascii="Book Antiqua" w:hAnsi="Book Antiqua" w:cs="Arial"/>
          <w:sz w:val="24"/>
          <w:szCs w:val="24"/>
          <w:lang w:val="en-US"/>
        </w:rPr>
        <w:t>κB</w:t>
      </w:r>
      <w:proofErr w:type="spellEnd"/>
      <w:r w:rsidR="00F97185" w:rsidRPr="007F5A49">
        <w:rPr>
          <w:rFonts w:ascii="Book Antiqua" w:hAnsi="Book Antiqua" w:cs="Arial"/>
          <w:sz w:val="24"/>
          <w:szCs w:val="24"/>
          <w:lang w:val="en-US"/>
        </w:rPr>
        <w:t>-</w:t>
      </w:r>
      <w:proofErr w:type="spellStart"/>
      <w:r w:rsidR="00F97185" w:rsidRPr="007F5A49">
        <w:rPr>
          <w:rFonts w:ascii="Book Antiqua" w:hAnsi="Book Antiqua" w:cs="Arial"/>
          <w:sz w:val="24"/>
          <w:szCs w:val="24"/>
          <w:lang w:val="en-US"/>
        </w:rPr>
        <w:t>signalling</w:t>
      </w:r>
      <w:proofErr w:type="spellEnd"/>
      <w:r w:rsidR="00F97185" w:rsidRPr="007F5A49">
        <w:rPr>
          <w:rFonts w:ascii="Book Antiqua" w:hAnsi="Book Antiqua" w:cs="Arial"/>
          <w:sz w:val="24"/>
          <w:szCs w:val="24"/>
          <w:lang w:val="en-US"/>
        </w:rPr>
        <w:t xml:space="preserve"> by promoting nuclear translocation of NF-</w:t>
      </w:r>
      <w:proofErr w:type="spellStart"/>
      <w:r w:rsidR="00F97185" w:rsidRPr="007F5A49">
        <w:rPr>
          <w:rFonts w:ascii="Book Antiqua" w:hAnsi="Book Antiqua" w:cs="Arial"/>
          <w:sz w:val="24"/>
          <w:szCs w:val="24"/>
          <w:lang w:val="en-US"/>
        </w:rPr>
        <w:t>κB</w:t>
      </w:r>
      <w:proofErr w:type="spellEnd"/>
      <w:r w:rsidR="00F97185" w:rsidRPr="007F5A49">
        <w:rPr>
          <w:rFonts w:ascii="Book Antiqua" w:hAnsi="Book Antiqua" w:cs="Arial"/>
          <w:sz w:val="24"/>
          <w:szCs w:val="24"/>
          <w:lang w:val="en-US"/>
        </w:rPr>
        <w:t xml:space="preserve"> subunits p65 and p50 </w:t>
      </w:r>
      <w:r w:rsidR="00F97185" w:rsidRPr="007F5A49">
        <w:rPr>
          <w:rFonts w:ascii="Book Antiqua" w:hAnsi="Book Antiqua" w:cs="Arial"/>
          <w:sz w:val="24"/>
          <w:szCs w:val="24"/>
          <w:lang w:val="en-US"/>
        </w:rPr>
        <w:lastRenderedPageBreak/>
        <w:t>and increasing the expression of proinflammatory cytokines</w:t>
      </w:r>
      <w:r w:rsidR="00865A54" w:rsidRPr="007F5A49">
        <w:rPr>
          <w:rFonts w:ascii="Book Antiqua" w:hAnsi="Book Antiqua" w:cs="Arial"/>
          <w:sz w:val="24"/>
          <w:szCs w:val="24"/>
          <w:lang w:val="en-US"/>
        </w:rPr>
        <w:t xml:space="preserve"> </w:t>
      </w:r>
      <w:r w:rsidR="00F97185" w:rsidRPr="007F5A49">
        <w:rPr>
          <w:rFonts w:ascii="Book Antiqua" w:hAnsi="Book Antiqua" w:cs="Arial"/>
          <w:sz w:val="24"/>
          <w:szCs w:val="24"/>
          <w:lang w:val="en-US"/>
        </w:rPr>
        <w:t>IL-6 and IL-1β in HSCs</w:t>
      </w:r>
      <w:r w:rsidR="00F97185"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27n3actg24","properties":{"formattedCitation":"(57)","plainCitation":"(57)","noteIndex":0},"citationItems":[{"id":"z1PZoHrb/nIBrjdZO","uris":["http://zotero.org/users/4222068/items/T4DZJC8T"],"uri":["http://zotero.org/users/4222068/items/T4DZJC8T"],"itemData":{"id":1325,"type":"article-journal","title":"Clonorchis sinensis ferritin heavy chain triggers free radicals and mediates inflammation signaling in human hepatic stellate cells","container-title":"Parasitology Research","page":"659-670","volume":"114","issue":"2","source":"PubMed","abstract":"Clonorchiasis, caused by direct and continuous contact with Clonorchis sinensis, is associated with hepatobiliary damage, inflammation, periductal fibrosis, and the development of cholangiocarcinoma. Hepatic stellate cells respond to liver injury through production of proinflammatory mediators which drive fibrogenesis; however, their endogenous sources and pathophysiological roles in host cells were not determined. C. sinensis ferritin heavy chain (CsFHC) was previously confirmed as a component of excretory/secretory products and exhibited a number of extrahepatic immunomodulatory properties in various diseases. In this study, we investigated the expression pattern and biological role of CsFHC in C. sinensis. CsFHC was expressed throughout life stages of C. sinensis. More importantly, we found that treatment of human hepatic stellate cell line LX-2 with CsFHC triggered the production of free radicals via time-dependent activation of NADPH oxidase, xanthine oxidase, and inducible nitric oxide synthase. The increase in free radicals substantially promoted the degradation of cytosolic IκBα and nuclear translocation of NF-κB subunits (p65 and p50). CsFHC-induced NF-κB activation was markedly attenuated by preincubation with specific inhibitors of corresponding free radical-producing enzyme or the antioxidant. In addition, CsFHC induced an increased expression level of proinflammatory cytokines, IL-1β and IL-6, in NF-κB-dependent manner. Our results indicate that CsFHC-triggered free radical-mediated NF-κB signaling is an important factor in the chronic inflammation caused by C. sinensis infection.","DOI":"10.1007/s00436-014-4230-0","ISSN":"1432-1955","note":"PMID: 25413629","journalAbbreviation":"Parasitol. Res.","language":"eng","author":[{"family":"Mao","given":"Qiang"},{"family":"Xie","given":"Zhizhi"},{"family":"Wang","given":"Xiaoyun"},{"family":"Chen","given":"Wenjun"},{"family":"Ren","given":"Mengyu"},{"family":"Shang","given":"Mei"},{"family":"Lei","given":"Huali"},{"family":"Tian","given":"Yanli"},{"family":"Li","given":"Shan"},{"family":"Liang","given":"Pei"},{"family":"Chen","given":"Tingjin"},{"family":"Liang","given":"Chi"},{"family":"Xu","given":"Jin"},{"family":"Li","given":"Xuerong"},{"family":"Huang","given":"Yan"},{"family":"Yu","given":"Xinbing"}],"issued":{"date-parts":[["2015",2]]}}}],"schema":"https://github.com/citation-style-language/schema/raw/master/csl-citation.json"} </w:instrText>
      </w:r>
      <w:r w:rsidR="00F97185" w:rsidRPr="007F5A49">
        <w:rPr>
          <w:rFonts w:ascii="Book Antiqua" w:hAnsi="Book Antiqua" w:cs="Arial"/>
          <w:sz w:val="24"/>
          <w:szCs w:val="24"/>
          <w:vertAlign w:val="superscript"/>
          <w:lang w:val="en-US"/>
        </w:rPr>
        <w:fldChar w:fldCharType="separate"/>
      </w:r>
      <w:r w:rsidR="00A878C9"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57</w:t>
      </w:r>
      <w:r w:rsidR="00F97185" w:rsidRPr="007F5A49">
        <w:rPr>
          <w:rFonts w:ascii="Book Antiqua" w:hAnsi="Book Antiqua" w:cs="Arial"/>
          <w:sz w:val="24"/>
          <w:szCs w:val="24"/>
          <w:vertAlign w:val="superscript"/>
          <w:lang w:val="en-US"/>
        </w:rPr>
        <w:fldChar w:fldCharType="end"/>
      </w:r>
      <w:r w:rsidR="00A878C9" w:rsidRPr="007F5A49">
        <w:rPr>
          <w:rFonts w:ascii="Book Antiqua" w:hAnsi="Book Antiqua" w:cs="Arial"/>
          <w:sz w:val="24"/>
          <w:szCs w:val="24"/>
          <w:vertAlign w:val="superscript"/>
          <w:lang w:val="en-US"/>
        </w:rPr>
        <w:t>]</w:t>
      </w:r>
      <w:r w:rsidR="008C7FD0" w:rsidRPr="007F5A49">
        <w:rPr>
          <w:rFonts w:ascii="Book Antiqua" w:hAnsi="Book Antiqua" w:cs="Arial"/>
          <w:sz w:val="24"/>
          <w:szCs w:val="24"/>
          <w:lang w:val="en-US"/>
        </w:rPr>
        <w:t xml:space="preserve">. </w:t>
      </w:r>
      <w:r w:rsidR="00293972" w:rsidRPr="007F5A49">
        <w:rPr>
          <w:rFonts w:ascii="Book Antiqua" w:eastAsia="Times New Roman" w:hAnsi="Book Antiqua" w:cs="Arial"/>
          <w:sz w:val="24"/>
          <w:szCs w:val="24"/>
          <w:lang w:val="en-US"/>
        </w:rPr>
        <w:t xml:space="preserve">Thus, ferritin and its receptor </w:t>
      </w:r>
      <w:r w:rsidR="001D33B9" w:rsidRPr="007F5A49">
        <w:rPr>
          <w:rFonts w:ascii="Book Antiqua" w:eastAsia="Times New Roman" w:hAnsi="Book Antiqua" w:cs="Arial"/>
          <w:sz w:val="24"/>
          <w:szCs w:val="24"/>
          <w:lang w:val="en-US"/>
        </w:rPr>
        <w:t xml:space="preserve">contribute to both </w:t>
      </w:r>
      <w:r w:rsidR="00293972" w:rsidRPr="007F5A49">
        <w:rPr>
          <w:rFonts w:ascii="Book Antiqua" w:eastAsia="Times New Roman" w:hAnsi="Book Antiqua" w:cs="Arial"/>
          <w:sz w:val="24"/>
          <w:szCs w:val="24"/>
          <w:lang w:val="en-US"/>
        </w:rPr>
        <w:t xml:space="preserve">proinflammatory and profibrogenic effects </w:t>
      </w:r>
      <w:r w:rsidR="001D33B9" w:rsidRPr="007F5A49">
        <w:rPr>
          <w:rFonts w:ascii="Book Antiqua" w:eastAsia="Times New Roman" w:hAnsi="Book Antiqua" w:cs="Arial"/>
          <w:sz w:val="24"/>
          <w:szCs w:val="24"/>
          <w:lang w:val="en-US"/>
        </w:rPr>
        <w:t xml:space="preserve">in </w:t>
      </w:r>
      <w:r w:rsidR="00293972" w:rsidRPr="007F5A49">
        <w:rPr>
          <w:rFonts w:ascii="Book Antiqua" w:eastAsia="Times New Roman" w:hAnsi="Book Antiqua" w:cs="Arial"/>
          <w:sz w:val="24"/>
          <w:szCs w:val="24"/>
          <w:lang w:val="en-US"/>
        </w:rPr>
        <w:t>HSCs.</w:t>
      </w:r>
      <w:r w:rsidR="00954782" w:rsidRPr="007F5A49">
        <w:rPr>
          <w:rFonts w:ascii="Book Antiqua" w:eastAsia="Times New Roman" w:hAnsi="Book Antiqua" w:cs="Arial"/>
          <w:sz w:val="24"/>
          <w:szCs w:val="24"/>
          <w:lang w:val="en-US"/>
        </w:rPr>
        <w:t xml:space="preserve"> </w:t>
      </w:r>
      <w:r w:rsidR="00B22ECD" w:rsidRPr="007F5A49">
        <w:rPr>
          <w:rFonts w:ascii="Book Antiqua" w:eastAsia="Times New Roman" w:hAnsi="Book Antiqua" w:cs="Arial"/>
          <w:sz w:val="24"/>
          <w:szCs w:val="24"/>
          <w:lang w:val="en-US"/>
        </w:rPr>
        <w:t>A</w:t>
      </w:r>
      <w:r w:rsidR="00131813" w:rsidRPr="007F5A49">
        <w:rPr>
          <w:rFonts w:ascii="Book Antiqua" w:hAnsi="Book Antiqua" w:cs="Arial"/>
          <w:sz w:val="24"/>
          <w:szCs w:val="24"/>
          <w:lang w:val="en-US"/>
        </w:rPr>
        <w:t xml:space="preserve">nother </w:t>
      </w:r>
      <w:r w:rsidR="00B22ECD" w:rsidRPr="007F5A49">
        <w:rPr>
          <w:rFonts w:ascii="Book Antiqua" w:hAnsi="Book Antiqua" w:cs="Arial"/>
          <w:sz w:val="24"/>
          <w:szCs w:val="24"/>
          <w:lang w:val="en-US"/>
        </w:rPr>
        <w:t xml:space="preserve">iron-related protein-receptor association </w:t>
      </w:r>
      <w:r w:rsidR="00131813" w:rsidRPr="007F5A49">
        <w:rPr>
          <w:rFonts w:ascii="Book Antiqua" w:hAnsi="Book Antiqua" w:cs="Arial"/>
          <w:sz w:val="24"/>
          <w:szCs w:val="24"/>
          <w:lang w:val="en-US"/>
        </w:rPr>
        <w:t>of interest</w:t>
      </w:r>
      <w:r w:rsidR="00B22ECD" w:rsidRPr="007F5A49">
        <w:rPr>
          <w:rFonts w:ascii="Book Antiqua" w:hAnsi="Book Antiqua" w:cs="Arial"/>
          <w:sz w:val="24"/>
          <w:szCs w:val="24"/>
          <w:lang w:val="en-US"/>
        </w:rPr>
        <w:t xml:space="preserve"> is between transferrin and transferrin receptor-1 (TFR1). Transferrin </w:t>
      </w:r>
      <w:r w:rsidRPr="007F5A49">
        <w:rPr>
          <w:rFonts w:ascii="Book Antiqua" w:hAnsi="Book Antiqua" w:cs="Arial"/>
          <w:sz w:val="24"/>
          <w:szCs w:val="24"/>
          <w:lang w:val="en-US"/>
        </w:rPr>
        <w:t xml:space="preserve">is the iron carrier protein that transports iron throughout the body and binds to </w:t>
      </w:r>
      <w:r w:rsidR="00EB1D67" w:rsidRPr="007F5A49">
        <w:rPr>
          <w:rFonts w:ascii="Book Antiqua" w:hAnsi="Book Antiqua" w:cs="Arial"/>
          <w:sz w:val="24"/>
          <w:szCs w:val="24"/>
          <w:lang w:val="en-US"/>
        </w:rPr>
        <w:t>TFR</w:t>
      </w:r>
      <w:r w:rsidR="00B22ECD" w:rsidRPr="007F5A49">
        <w:rPr>
          <w:rFonts w:ascii="Book Antiqua" w:hAnsi="Book Antiqua" w:cs="Arial"/>
          <w:sz w:val="24"/>
          <w:szCs w:val="24"/>
          <w:lang w:val="en-US"/>
        </w:rPr>
        <w:t xml:space="preserve">1 </w:t>
      </w:r>
      <w:r w:rsidRPr="007F5A49">
        <w:rPr>
          <w:rFonts w:ascii="Book Antiqua" w:hAnsi="Book Antiqua" w:cs="Arial"/>
          <w:sz w:val="24"/>
          <w:szCs w:val="24"/>
          <w:lang w:val="en-US"/>
        </w:rPr>
        <w:t>present on cell surfaces to form a complex of transferrin-</w:t>
      </w:r>
      <w:r w:rsidR="00EB1D67" w:rsidRPr="007F5A49">
        <w:rPr>
          <w:rFonts w:ascii="Book Antiqua" w:hAnsi="Book Antiqua" w:cs="Arial"/>
          <w:sz w:val="24"/>
          <w:szCs w:val="24"/>
          <w:lang w:val="en-US"/>
        </w:rPr>
        <w:t>TFR</w:t>
      </w:r>
      <w:r w:rsidRPr="007F5A49">
        <w:rPr>
          <w:rFonts w:ascii="Book Antiqua" w:hAnsi="Book Antiqua" w:cs="Arial"/>
          <w:sz w:val="24"/>
          <w:szCs w:val="24"/>
          <w:lang w:val="en-US"/>
        </w:rPr>
        <w:t xml:space="preserve">1. This complex is then </w:t>
      </w:r>
      <w:proofErr w:type="spellStart"/>
      <w:r w:rsidRPr="007F5A49">
        <w:rPr>
          <w:rFonts w:ascii="Book Antiqua" w:hAnsi="Book Antiqua" w:cs="Arial"/>
          <w:sz w:val="24"/>
          <w:szCs w:val="24"/>
          <w:lang w:val="en-US"/>
        </w:rPr>
        <w:t>internalised</w:t>
      </w:r>
      <w:proofErr w:type="spellEnd"/>
      <w:r w:rsidRPr="007F5A49">
        <w:rPr>
          <w:rFonts w:ascii="Book Antiqua" w:hAnsi="Book Antiqua" w:cs="Arial"/>
          <w:sz w:val="24"/>
          <w:szCs w:val="24"/>
          <w:lang w:val="en-US"/>
        </w:rPr>
        <w:t xml:space="preserve"> into a vesicle and iron is released from this complex into the cytoplasm</w:t>
      </w:r>
      <w:r w:rsidR="00BD66A5"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1l0njums72","properties":{"formattedCitation":"(58)","plainCitation":"(58)","noteIndex":0},"citationItems":[{"id":"z1PZoHrb/J5R6oIcj","uris":["http://zotero.org/users/4222068/items/W26XX9QQ"],"uri":["http://zotero.org/users/4222068/items/W26XX9QQ"],"itemData":{"id":1271,"type":"article-journal","title":"The kinetics of transferrin endocytosis and iron uptake from transferrin in rabbit reticulocytes","container-title":"The Journal of Biological Chemistry","page":"9108-9115","volume":"258","issue":"15","source":"PubMed","abstract":"The endocytosis of diferric transferrin and accumulation of its iron by freshly isolated rabbit reticulocytes was studied using 59Fe-125I-transferrin. Internalized transferrin was distinguished from surface-bound transferrin by its resistance to release during treatment with Pronase at 4 degrees C. Endocytosis of diferric transferrin occurs at the same rate as exocytosis of apotransferrin, the rate constants being 0.08 min-1 at 22 degrees C, 0.19 min-1 at 30 degrees C, and 0.45 min-1 at 37 degrees C. At 37 degrees C, the maximum rate of transferrin endocytosis by reticulocytes is approximately 500 molecules/cell/s. The recycling time for transferrin bound to its receptor is about 3 min at this temperature. Neither transferrin nor its receptor is degraded during the intracellular passage. When a steady state has been reached between endocytosis and exocytosis of the ligand, about 90% of the total cell-bound transferrin is internal. Endocytosis of transferrin was found to be negligible below 10 degrees C. From 10 to 39 degrees C, the effect of temperature on the rate of endocytosis is biphasic, the rate increasing sharply above 26 degrees C. Over the temperature range 12-26 degrees C, the apparent activation energy for transferrin endocytosis is 33.0 +/- 2.7 kcal/mol, whereas from 26-39 degrees C the activation energy is considerably lower, at 12.3 +/- 1.6 kcal/mol. Reticulocytes accumulate iron atoms from diferric transferrin at twice the rate at which transferrin molecules are internalized, implying that iron enters the cell while still bound to transferrin. The activation energies for iron accumulation from transferrin are similar to those of endocytosis of transferrin. This study provides further evidence that transferrin-iron enters the cell by receptor-mediated endocytosis and that iron release occurs within the cell.","ISSN":"0021-9258","note":"PMID: 6135697","journalAbbreviation":"J. Biol. Chem.","language":"eng","author":[{"family":"Iacopetta","given":"B. J."},{"family":"Morgan","given":"E. H."}],"issued":{"date-parts":[["1983",8,10]]}}}],"schema":"https://github.com/citation-style-language/schema/raw/master/csl-citation.json"} </w:instrText>
      </w:r>
      <w:r w:rsidR="00BD66A5" w:rsidRPr="007F5A49">
        <w:rPr>
          <w:rFonts w:ascii="Book Antiqua" w:hAnsi="Book Antiqua" w:cs="Arial"/>
          <w:sz w:val="24"/>
          <w:szCs w:val="24"/>
          <w:vertAlign w:val="superscript"/>
          <w:lang w:val="en-US"/>
        </w:rPr>
        <w:fldChar w:fldCharType="separate"/>
      </w:r>
      <w:r w:rsidR="00A878C9"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58</w:t>
      </w:r>
      <w:r w:rsidR="00BD66A5" w:rsidRPr="007F5A49">
        <w:rPr>
          <w:rFonts w:ascii="Book Antiqua" w:hAnsi="Book Antiqua" w:cs="Arial"/>
          <w:sz w:val="24"/>
          <w:szCs w:val="24"/>
          <w:vertAlign w:val="superscript"/>
          <w:lang w:val="en-US"/>
        </w:rPr>
        <w:fldChar w:fldCharType="end"/>
      </w:r>
      <w:r w:rsidR="00A878C9" w:rsidRPr="007F5A49">
        <w:rPr>
          <w:rFonts w:ascii="Book Antiqua" w:hAnsi="Book Antiqua" w:cs="Arial"/>
          <w:sz w:val="24"/>
          <w:szCs w:val="24"/>
          <w:vertAlign w:val="superscript"/>
          <w:lang w:val="en-US"/>
        </w:rPr>
        <w:t>]</w:t>
      </w:r>
      <w:r w:rsidR="008C7FD0" w:rsidRPr="007F5A49">
        <w:rPr>
          <w:rFonts w:ascii="Book Antiqua" w:hAnsi="Book Antiqua" w:cs="Arial"/>
          <w:sz w:val="24"/>
          <w:szCs w:val="24"/>
          <w:lang w:val="en-US"/>
        </w:rPr>
        <w:t xml:space="preserve">. </w:t>
      </w:r>
      <w:r w:rsidR="00C53951" w:rsidRPr="007F5A49">
        <w:rPr>
          <w:rFonts w:ascii="Book Antiqua" w:hAnsi="Book Antiqua" w:cs="Arial"/>
          <w:sz w:val="24"/>
          <w:szCs w:val="24"/>
          <w:lang w:val="en-US"/>
        </w:rPr>
        <w:t>Interestingly, only activated HSCs express TFR1</w:t>
      </w:r>
      <w:r w:rsidR="00C53951"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2jj4h2a4in","properties":{"formattedCitation":"(23)","plainCitation":"(23)","noteIndex":0},"citationItems":[{"id":134,"uris":["http://zotero.org/users/2804724/items/JMZQD2QJ"],"uri":["http://zotero.org/users/2804724/items/JMZQD2QJ"],"itemData":{"id":134,"type":"article-journal","title":"Identification and characterization of the hepatic stellate cell transferrin receptor","container-title":"The American Journal of Pathology","page":"1661-1667","volume":"162","issue":"5","source":"PubMed","abstract":"Activated hepatic stellate cells have been implicated in the fibrogenic process associated with iron overload, both in animal models and in human hemochromatosis. Previous studies have evaluated the role of ferritin/ferritin receptor interactions in the activation of stellate cells and subsequent fibrogenesis; however, the role of transferrin in hepatic stellate cell biology is unknown. This study was designed to identify and characterize the stellate cell transferrin receptor and to evaluate the influence of transferrin on stellate cell activation. Identification and characterization of the stellate cell transferrin receptor was determined by competitive displacement assays. The effect of transferrin on stellate cell activation was assessed using western blot analysis for alpha-smooth muscle actin expression, [(3)H]Thymidine incorporation, and real-time RT-PCR for procollagen alpha1(I) mRNA expression. A specific receptor for rat transferrin was observed on activated but not quiescent stellate cells. Transferrin significantly increased the expression of alpha-smooth muscle actin, but caused a decrease in proliferation. Transferrin induced a significant increase in procollagen alpha1(I) mRNA expression. In conclusion, this study has demonstrated for the first time a specific, high affinity receptor for rat transferrin on activated hepatic stellate cells, which via interaction with transferrin regulates stellate cell activation. This suggests that transferrin may be an important factor in the activation of hepatic stellate cells in conditions of iron overload.","DOI":"10.1016/S0002-9440(10)64300-3","ISSN":"0002-9440","note":"PMID: 12707050\nPMCID: PMC1851195","journalAbbreviation":"Am. J. Pathol.","language":"eng","author":[{"family":"Bridle","given":"Kim R."},{"family":"Crawford","given":"Darrell H. G."},{"family":"Ramm","given":"Grant A."}],"issued":{"date-parts":[["2003",5]]}}}],"schema":"https://github.com/citation-style-language/schema/raw/master/csl-citation.json"} </w:instrText>
      </w:r>
      <w:r w:rsidR="00C53951" w:rsidRPr="007F5A49">
        <w:rPr>
          <w:rFonts w:ascii="Book Antiqua" w:hAnsi="Book Antiqua" w:cs="Arial"/>
          <w:sz w:val="24"/>
          <w:szCs w:val="24"/>
          <w:vertAlign w:val="superscript"/>
          <w:lang w:val="en-US"/>
        </w:rPr>
        <w:fldChar w:fldCharType="separate"/>
      </w:r>
      <w:r w:rsidR="00A878C9"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23</w:t>
      </w:r>
      <w:r w:rsidR="00C53951" w:rsidRPr="007F5A49">
        <w:rPr>
          <w:rFonts w:ascii="Book Antiqua" w:hAnsi="Book Antiqua" w:cs="Arial"/>
          <w:sz w:val="24"/>
          <w:szCs w:val="24"/>
          <w:vertAlign w:val="superscript"/>
          <w:lang w:val="en-US"/>
        </w:rPr>
        <w:fldChar w:fldCharType="end"/>
      </w:r>
      <w:r w:rsidR="00A878C9" w:rsidRPr="007F5A49">
        <w:rPr>
          <w:rFonts w:ascii="Book Antiqua" w:hAnsi="Book Antiqua" w:cs="Arial"/>
          <w:sz w:val="24"/>
          <w:szCs w:val="24"/>
          <w:vertAlign w:val="superscript"/>
          <w:lang w:val="en-US"/>
        </w:rPr>
        <w:t>]</w:t>
      </w:r>
      <w:r w:rsidR="007E1E24" w:rsidRPr="007F5A49">
        <w:rPr>
          <w:rFonts w:ascii="Book Antiqua" w:hAnsi="Book Antiqua" w:cs="Arial"/>
          <w:sz w:val="24"/>
          <w:szCs w:val="24"/>
          <w:lang w:val="en-US"/>
        </w:rPr>
        <w:t>. B</w:t>
      </w:r>
      <w:r w:rsidR="00C53951" w:rsidRPr="007F5A49">
        <w:rPr>
          <w:rFonts w:ascii="Book Antiqua" w:hAnsi="Book Antiqua" w:cs="Arial"/>
          <w:sz w:val="24"/>
          <w:szCs w:val="24"/>
          <w:lang w:val="en-US"/>
        </w:rPr>
        <w:t xml:space="preserve">inding of transferrin to TFR1 contributes to HSC-activation, as demonstrated </w:t>
      </w:r>
      <w:r w:rsidR="00C53951" w:rsidRPr="00252606">
        <w:rPr>
          <w:rFonts w:ascii="Book Antiqua" w:hAnsi="Book Antiqua" w:cs="Arial"/>
          <w:i/>
          <w:sz w:val="24"/>
          <w:szCs w:val="24"/>
          <w:lang w:val="en-US"/>
        </w:rPr>
        <w:t>via</w:t>
      </w:r>
      <w:r w:rsidR="00C53951" w:rsidRPr="007F5A49">
        <w:rPr>
          <w:rFonts w:ascii="Book Antiqua" w:hAnsi="Book Antiqua" w:cs="Arial"/>
          <w:sz w:val="24"/>
          <w:szCs w:val="24"/>
          <w:lang w:val="en-US"/>
        </w:rPr>
        <w:t xml:space="preserve"> increased expressions of </w:t>
      </w:r>
      <w:r w:rsidR="00C53951" w:rsidRPr="007F5A49">
        <w:rPr>
          <w:rFonts w:ascii="Book Antiqua" w:hAnsi="Book Antiqua" w:cs="Arial"/>
          <w:sz w:val="24"/>
          <w:szCs w:val="24"/>
          <w:shd w:val="clear" w:color="auto" w:fill="FFFFFF"/>
          <w:lang w:val="en-US"/>
        </w:rPr>
        <w:t>α-SMA and procollagen α1(I) mRNA in rat HSCs</w:t>
      </w:r>
      <w:r w:rsidR="00C53951" w:rsidRPr="007F5A49">
        <w:rPr>
          <w:rFonts w:ascii="Book Antiqua" w:hAnsi="Book Antiqua" w:cs="Arial"/>
          <w:sz w:val="24"/>
          <w:szCs w:val="24"/>
          <w:shd w:val="clear" w:color="auto" w:fill="FFFFFF"/>
          <w:vertAlign w:val="superscript"/>
          <w:lang w:val="en-US"/>
        </w:rPr>
        <w:fldChar w:fldCharType="begin"/>
      </w:r>
      <w:r w:rsidR="00D2645C" w:rsidRPr="007F5A49">
        <w:rPr>
          <w:rFonts w:ascii="Book Antiqua" w:hAnsi="Book Antiqua" w:cs="Arial"/>
          <w:sz w:val="24"/>
          <w:szCs w:val="24"/>
          <w:shd w:val="clear" w:color="auto" w:fill="FFFFFF"/>
          <w:vertAlign w:val="superscript"/>
          <w:lang w:val="en-US"/>
        </w:rPr>
        <w:instrText xml:space="preserve"> ADDIN ZOTERO_ITEM CSL_CITATION {"citationID":"a1rm6fc12ej","properties":{"formattedCitation":"(23)","plainCitation":"(23)","noteIndex":0},"citationItems":[{"id":134,"uris":["http://zotero.org/users/2804724/items/JMZQD2QJ"],"uri":["http://zotero.org/users/2804724/items/JMZQD2QJ"],"itemData":{"id":134,"type":"article-journal","title":"Identification and characterization of the hepatic stellate cell transferrin receptor","container-title":"The American Journal of Pathology","page":"1661-1667","volume":"162","issue":"5","source":"PubMed","abstract":"Activated hepatic stellate cells have been implicated in the fibrogenic process associated with iron overload, both in animal models and in human hemochromatosis. Previous studies have evaluated the role of ferritin/ferritin receptor interactions in the activation of stellate cells and subsequent fibrogenesis; however, the role of transferrin in hepatic stellate cell biology is unknown. This study was designed to identify and characterize the stellate cell transferrin receptor and to evaluate the influence of transferrin on stellate cell activation. Identification and characterization of the stellate cell transferrin receptor was determined by competitive displacement assays. The effect of transferrin on stellate cell activation was assessed using western blot analysis for alpha-smooth muscle actin expression, [(3)H]Thymidine incorporation, and real-time RT-PCR for procollagen alpha1(I) mRNA expression. A specific receptor for rat transferrin was observed on activated but not quiescent stellate cells. Transferrin significantly increased the expression of alpha-smooth muscle actin, but caused a decrease in proliferation. Transferrin induced a significant increase in procollagen alpha1(I) mRNA expression. In conclusion, this study has demonstrated for the first time a specific, high affinity receptor for rat transferrin on activated hepatic stellate cells, which via interaction with transferrin regulates stellate cell activation. This suggests that transferrin may be an important factor in the activation of hepatic stellate cells in conditions of iron overload.","DOI":"10.1016/S0002-9440(10)64300-3","ISSN":"0002-9440","note":"PMID: 12707050\nPMCID: PMC1851195","journalAbbreviation":"Am. J. Pathol.","language":"eng","author":[{"family":"Bridle","given":"Kim R."},{"family":"Crawford","given":"Darrell H. G."},{"family":"Ramm","given":"Grant A."}],"issued":{"date-parts":[["2003",5]]}}}],"schema":"https://github.com/citation-style-language/schema/raw/master/csl-citation.json"} </w:instrText>
      </w:r>
      <w:r w:rsidR="00C53951" w:rsidRPr="007F5A49">
        <w:rPr>
          <w:rFonts w:ascii="Book Antiqua" w:hAnsi="Book Antiqua" w:cs="Arial"/>
          <w:sz w:val="24"/>
          <w:szCs w:val="24"/>
          <w:shd w:val="clear" w:color="auto" w:fill="FFFFFF"/>
          <w:vertAlign w:val="superscript"/>
          <w:lang w:val="en-US"/>
        </w:rPr>
        <w:fldChar w:fldCharType="separate"/>
      </w:r>
      <w:r w:rsidR="00A878C9"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23</w:t>
      </w:r>
      <w:r w:rsidR="00C53951" w:rsidRPr="007F5A49">
        <w:rPr>
          <w:rFonts w:ascii="Book Antiqua" w:hAnsi="Book Antiqua" w:cs="Arial"/>
          <w:sz w:val="24"/>
          <w:szCs w:val="24"/>
          <w:shd w:val="clear" w:color="auto" w:fill="FFFFFF"/>
          <w:vertAlign w:val="superscript"/>
          <w:lang w:val="en-US"/>
        </w:rPr>
        <w:fldChar w:fldCharType="end"/>
      </w:r>
      <w:r w:rsidR="00A878C9" w:rsidRPr="007F5A49">
        <w:rPr>
          <w:rFonts w:ascii="Book Antiqua" w:hAnsi="Book Antiqua" w:cs="Arial"/>
          <w:sz w:val="24"/>
          <w:szCs w:val="24"/>
          <w:shd w:val="clear" w:color="auto" w:fill="FFFFFF"/>
          <w:vertAlign w:val="superscript"/>
          <w:lang w:val="en-US"/>
        </w:rPr>
        <w:t>]</w:t>
      </w:r>
      <w:r w:rsidR="007E1E24" w:rsidRPr="007F5A49">
        <w:rPr>
          <w:rFonts w:ascii="Book Antiqua" w:hAnsi="Book Antiqua" w:cs="Arial"/>
          <w:sz w:val="24"/>
          <w:szCs w:val="24"/>
          <w:shd w:val="clear" w:color="auto" w:fill="FFFFFF"/>
          <w:lang w:val="en-US"/>
        </w:rPr>
        <w:t xml:space="preserve"> and </w:t>
      </w:r>
      <w:r w:rsidR="00425B04" w:rsidRPr="007F5A49">
        <w:rPr>
          <w:rFonts w:ascii="Book Antiqua" w:hAnsi="Book Antiqua" w:cs="Arial"/>
          <w:sz w:val="24"/>
          <w:szCs w:val="24"/>
          <w:shd w:val="clear" w:color="auto" w:fill="FFFFFF"/>
          <w:lang w:val="en-US"/>
        </w:rPr>
        <w:t xml:space="preserve">supported by similar studies in </w:t>
      </w:r>
      <w:r w:rsidR="00846AFD" w:rsidRPr="007F5A49">
        <w:rPr>
          <w:rFonts w:ascii="Book Antiqua" w:hAnsi="Book Antiqua" w:cs="Arial"/>
          <w:sz w:val="24"/>
          <w:szCs w:val="24"/>
          <w:shd w:val="clear" w:color="auto" w:fill="FFFFFF"/>
          <w:lang w:val="en-US"/>
        </w:rPr>
        <w:t>murine HSCs</w:t>
      </w:r>
      <w:r w:rsidR="00425B04" w:rsidRPr="007F5A49">
        <w:rPr>
          <w:rFonts w:ascii="Book Antiqua" w:hAnsi="Book Antiqua" w:cs="Arial"/>
          <w:sz w:val="24"/>
          <w:szCs w:val="24"/>
          <w:shd w:val="clear" w:color="auto" w:fill="FFFFFF"/>
          <w:vertAlign w:val="superscript"/>
          <w:lang w:val="en-US"/>
        </w:rPr>
        <w:fldChar w:fldCharType="begin"/>
      </w:r>
      <w:r w:rsidR="00D2645C" w:rsidRPr="007F5A49">
        <w:rPr>
          <w:rFonts w:ascii="Book Antiqua" w:hAnsi="Book Antiqua" w:cs="Arial"/>
          <w:sz w:val="24"/>
          <w:szCs w:val="24"/>
          <w:shd w:val="clear" w:color="auto" w:fill="FFFFFF"/>
          <w:vertAlign w:val="superscript"/>
          <w:lang w:val="en-US"/>
        </w:rPr>
        <w:instrText xml:space="preserve"> ADDIN ZOTERO_ITEM CSL_CITATION {"citationID":"a72bns38uv","properties":{"formattedCitation":"(25)","plainCitation":"(25)","noteIndex":0},"citationItems":[{"id":"z1PZoHrb/VUwAvnjk","uris":["http://zotero.org/users/4222068/items/9AUI4U2L"],"uri":["http://zotero.org/users/4222068/items/9AUI4U2L"],"itemData":{"id":1666,"type":"article-journal","title":"Iron Enhances Hepatic Fibrogenesis and Activates Transforming Growth Factor-β Signaling in Murine Hepatic Stellate Cells","container-title":"The American Journal of the Medical Sciences","page":"183-190","volume":"355","issue":"2","source":"PubMed","abstract":"BACKGROUND: Although excess iron induces oxidative stress in the liver, it is unclear whether it directly activates the hepatic stellate cells (HSC).\nMATERIALS AND METHODS: We evaluated the effects of excess iron on fibrogenesis and transforming growth factor beta (TGF-β) signaling in murine HSC. Cells were treated with holotransferrin (0.005-5g/L) for 24 hours, with or without the iron chelator deferoxamine (10µM). Gene expressions (α-SMA, Col1-α1, Serpine-1, TGF-β, Hif1-α, Tfrc and Slc40a1) were analyzed by quantitative real time-polymerase chain reaction, whereas TfR1, ferroportin, ferritin, vimentin, collagen, TGF-β RII and phospho-Smad2 proteins were evaluated by immunofluorescence, Western blot and enzyme-linked immunosorbent assay.\nRESULTS: HSC expressed the iron-uptake protein transferrin receptor 1 (TfR1) and the iron-export protein ferroportin. Holotransferrin upregulated TfR1 expression by 1.8-fold (P &lt; 0.03) and ferritin accumulation (iron storage) by 2-fold (P &lt; 0.01), and activated HSC with 2-fold elevations (P &lt; 0.03) in α-SMA messenger RNA and collagen secretion, and a 1.6-fold increase (P &lt; 0.01) in vimentin protein. Moreover, holotransferrin activated the TGF-β pathway with TGF-β messenger RNA elevated 1.6-fold (P = 0.05), and protein levels of TGF-β RII and phospho-Smad2 increased by 1.8-fold (P &lt; 0.01) and 1.6-fold (P &lt; 0.01), respectively. In contrast, iron chelation decreased ferritin levels by 30% (P &lt; 0.03), inhibited collagen secretion by 60% (P &lt; 0.01), repressed fibrogenic genes α-SMA (0.2-fold; P &lt; 0.05) and TGF-β (0.4-fold; P &lt; 0.01) and reduced levels of TGF-β RII and phospho-Smad2 proteins.\nCONCLUSIONS: HSC express iron-transport proteins. Holotransferrin (iron) activates HSC fibrogenesis and the TGF-β pathway, whereas iron depletion by chelation reverses this, suggesting that this could be a useful adjunct therapy for patients with fibrosis. Further studies in primary human HSC and animal models are necessary to confirm this.","DOI":"10.1016/j.amjms.2017.08.012","ISSN":"1538-2990","note":"PMID: 29406047","journalAbbreviation":"Am. J. Med. Sci.","language":"eng","author":[{"family":"Mehta","given":"Kosha J."},{"family":"Coombes","given":"Jason D."},{"family":"Briones-Orta","given":"Marco"},{"family":"Manka","given":"Paul P."},{"family":"Williams","given":"Roger"},{"family":"Patel","given":"Vinood B."},{"family":"Syn","given":"Wing-Kin"}],"issued":{"date-parts":[["2018"]]}}}],"schema":"https://github.com/citation-style-language/schema/raw/master/csl-citation.json"} </w:instrText>
      </w:r>
      <w:r w:rsidR="00425B04" w:rsidRPr="007F5A49">
        <w:rPr>
          <w:rFonts w:ascii="Book Antiqua" w:hAnsi="Book Antiqua" w:cs="Arial"/>
          <w:sz w:val="24"/>
          <w:szCs w:val="24"/>
          <w:shd w:val="clear" w:color="auto" w:fill="FFFFFF"/>
          <w:vertAlign w:val="superscript"/>
          <w:lang w:val="en-US"/>
        </w:rPr>
        <w:fldChar w:fldCharType="separate"/>
      </w:r>
      <w:r w:rsidR="00A878C9"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25</w:t>
      </w:r>
      <w:r w:rsidR="00425B04" w:rsidRPr="007F5A49">
        <w:rPr>
          <w:rFonts w:ascii="Book Antiqua" w:hAnsi="Book Antiqua" w:cs="Arial"/>
          <w:sz w:val="24"/>
          <w:szCs w:val="24"/>
          <w:shd w:val="clear" w:color="auto" w:fill="FFFFFF"/>
          <w:vertAlign w:val="superscript"/>
          <w:lang w:val="en-US"/>
        </w:rPr>
        <w:fldChar w:fldCharType="end"/>
      </w:r>
      <w:r w:rsidR="00A878C9" w:rsidRPr="007F5A49">
        <w:rPr>
          <w:rFonts w:ascii="Book Antiqua" w:hAnsi="Book Antiqua" w:cs="Arial"/>
          <w:sz w:val="24"/>
          <w:szCs w:val="24"/>
          <w:shd w:val="clear" w:color="auto" w:fill="FFFFFF"/>
          <w:vertAlign w:val="superscript"/>
          <w:lang w:val="en-US"/>
        </w:rPr>
        <w:t>]</w:t>
      </w:r>
      <w:r w:rsidR="004D21EF" w:rsidRPr="007F5A49">
        <w:rPr>
          <w:rFonts w:ascii="Book Antiqua" w:hAnsi="Book Antiqua" w:cs="Arial"/>
          <w:sz w:val="24"/>
          <w:szCs w:val="24"/>
          <w:shd w:val="clear" w:color="auto" w:fill="FFFFFF"/>
          <w:lang w:val="en-US"/>
        </w:rPr>
        <w:t xml:space="preserve">. </w:t>
      </w:r>
      <w:r w:rsidR="00431B53" w:rsidRPr="007F5A49">
        <w:rPr>
          <w:rFonts w:ascii="Book Antiqua" w:hAnsi="Book Antiqua" w:cs="Arial"/>
          <w:sz w:val="24"/>
          <w:szCs w:val="24"/>
          <w:shd w:val="clear" w:color="auto" w:fill="FFFFFF"/>
          <w:lang w:val="en-US"/>
        </w:rPr>
        <w:t xml:space="preserve">Thus, transferrin is </w:t>
      </w:r>
      <w:r w:rsidR="00425B04" w:rsidRPr="007F5A49">
        <w:rPr>
          <w:rFonts w:ascii="Book Antiqua" w:hAnsi="Book Antiqua" w:cs="Arial"/>
          <w:sz w:val="24"/>
          <w:szCs w:val="24"/>
          <w:shd w:val="clear" w:color="auto" w:fill="FFFFFF"/>
          <w:lang w:val="en-US"/>
        </w:rPr>
        <w:t xml:space="preserve">an </w:t>
      </w:r>
      <w:r w:rsidR="00C53951" w:rsidRPr="007F5A49">
        <w:rPr>
          <w:rFonts w:ascii="Book Antiqua" w:hAnsi="Book Antiqua" w:cs="Arial"/>
          <w:sz w:val="24"/>
          <w:szCs w:val="24"/>
          <w:shd w:val="clear" w:color="auto" w:fill="FFFFFF"/>
          <w:lang w:val="en-US"/>
        </w:rPr>
        <w:t xml:space="preserve">important factor in </w:t>
      </w:r>
      <w:r w:rsidR="00425B04" w:rsidRPr="007F5A49">
        <w:rPr>
          <w:rFonts w:ascii="Book Antiqua" w:hAnsi="Book Antiqua" w:cs="Arial"/>
          <w:sz w:val="24"/>
          <w:szCs w:val="24"/>
          <w:shd w:val="clear" w:color="auto" w:fill="FFFFFF"/>
          <w:lang w:val="en-US"/>
        </w:rPr>
        <w:t>HSC-activation</w:t>
      </w:r>
      <w:r w:rsidR="00431B53" w:rsidRPr="007F5A49">
        <w:rPr>
          <w:rFonts w:ascii="Book Antiqua" w:hAnsi="Book Antiqua" w:cs="Arial"/>
          <w:sz w:val="24"/>
          <w:szCs w:val="24"/>
          <w:shd w:val="clear" w:color="auto" w:fill="FFFFFF"/>
          <w:lang w:val="en-US"/>
        </w:rPr>
        <w:t>,</w:t>
      </w:r>
      <w:r w:rsidR="00425B04" w:rsidRPr="007F5A49">
        <w:rPr>
          <w:rFonts w:ascii="Book Antiqua" w:hAnsi="Book Antiqua" w:cs="Arial"/>
          <w:sz w:val="24"/>
          <w:szCs w:val="24"/>
          <w:shd w:val="clear" w:color="auto" w:fill="FFFFFF"/>
          <w:lang w:val="en-US"/>
        </w:rPr>
        <w:t xml:space="preserve"> and </w:t>
      </w:r>
      <w:r w:rsidR="003B7141" w:rsidRPr="007F5A49">
        <w:rPr>
          <w:rFonts w:ascii="Book Antiqua" w:hAnsi="Book Antiqua" w:cs="Arial"/>
          <w:sz w:val="24"/>
          <w:szCs w:val="24"/>
          <w:lang w:val="en-US"/>
        </w:rPr>
        <w:t xml:space="preserve">transferrin-bound-iron </w:t>
      </w:r>
      <w:r w:rsidR="008E327A" w:rsidRPr="007F5A49">
        <w:rPr>
          <w:rFonts w:ascii="Book Antiqua" w:hAnsi="Book Antiqua" w:cs="Arial"/>
          <w:sz w:val="24"/>
          <w:szCs w:val="24"/>
          <w:lang w:val="en-US"/>
        </w:rPr>
        <w:t xml:space="preserve">uptake </w:t>
      </w:r>
      <w:r w:rsidR="00431B53" w:rsidRPr="007F5A49">
        <w:rPr>
          <w:rFonts w:ascii="Book Antiqua" w:hAnsi="Book Antiqua" w:cs="Arial"/>
          <w:sz w:val="24"/>
          <w:szCs w:val="24"/>
          <w:lang w:val="en-US"/>
        </w:rPr>
        <w:t>may be</w:t>
      </w:r>
      <w:r w:rsidR="00425B04" w:rsidRPr="007F5A49">
        <w:rPr>
          <w:rFonts w:ascii="Book Antiqua" w:hAnsi="Book Antiqua" w:cs="Arial"/>
          <w:sz w:val="24"/>
          <w:szCs w:val="24"/>
          <w:lang w:val="en-US"/>
        </w:rPr>
        <w:t xml:space="preserve"> </w:t>
      </w:r>
      <w:r w:rsidR="001D33B9" w:rsidRPr="007F5A49">
        <w:rPr>
          <w:rFonts w:ascii="Book Antiqua" w:hAnsi="Book Antiqua" w:cs="Arial"/>
          <w:sz w:val="24"/>
          <w:szCs w:val="24"/>
          <w:lang w:val="en-US"/>
        </w:rPr>
        <w:t>an important</w:t>
      </w:r>
      <w:r w:rsidR="00D651B8" w:rsidRPr="007F5A49">
        <w:rPr>
          <w:rFonts w:ascii="Book Antiqua" w:hAnsi="Book Antiqua" w:cs="Arial"/>
          <w:sz w:val="24"/>
          <w:szCs w:val="24"/>
          <w:lang w:val="en-US"/>
        </w:rPr>
        <w:t xml:space="preserve"> route</w:t>
      </w:r>
      <w:r w:rsidR="001D33B9" w:rsidRPr="007F5A49">
        <w:rPr>
          <w:rFonts w:ascii="Book Antiqua" w:hAnsi="Book Antiqua" w:cs="Arial"/>
          <w:sz w:val="24"/>
          <w:szCs w:val="24"/>
          <w:lang w:val="en-US"/>
        </w:rPr>
        <w:t xml:space="preserve"> for iron acquisition</w:t>
      </w:r>
      <w:r w:rsidR="00431B53" w:rsidRPr="007F5A49">
        <w:rPr>
          <w:rFonts w:ascii="Book Antiqua" w:hAnsi="Book Antiqua" w:cs="Arial"/>
          <w:sz w:val="24"/>
          <w:szCs w:val="24"/>
          <w:lang w:val="en-US"/>
        </w:rPr>
        <w:t xml:space="preserve"> by</w:t>
      </w:r>
      <w:r w:rsidR="00926667" w:rsidRPr="007F5A49">
        <w:rPr>
          <w:rFonts w:ascii="Book Antiqua" w:hAnsi="Book Antiqua" w:cs="Arial"/>
          <w:sz w:val="24"/>
          <w:szCs w:val="24"/>
          <w:lang w:val="en-US"/>
        </w:rPr>
        <w:t xml:space="preserve"> activated HSCs</w:t>
      </w:r>
      <w:r w:rsidR="00B961AC" w:rsidRPr="007F5A49">
        <w:rPr>
          <w:rFonts w:ascii="Book Antiqua" w:hAnsi="Book Antiqua" w:cs="Arial"/>
          <w:sz w:val="24"/>
          <w:szCs w:val="24"/>
          <w:lang w:val="en-US"/>
        </w:rPr>
        <w:t>.</w:t>
      </w:r>
      <w:r w:rsidR="006B004C" w:rsidRPr="007F5A49">
        <w:rPr>
          <w:rFonts w:ascii="Book Antiqua" w:hAnsi="Book Antiqua" w:cs="Arial"/>
          <w:sz w:val="24"/>
          <w:szCs w:val="24"/>
          <w:lang w:val="en-US"/>
        </w:rPr>
        <w:t xml:space="preserve"> Hepcidin also plays a role in fibrosis modulation, </w:t>
      </w:r>
      <w:r w:rsidR="00495889" w:rsidRPr="007F5A49">
        <w:rPr>
          <w:rFonts w:ascii="Book Antiqua" w:hAnsi="Book Antiqua" w:cs="Arial"/>
          <w:sz w:val="24"/>
          <w:szCs w:val="24"/>
          <w:lang w:val="en-US"/>
        </w:rPr>
        <w:t xml:space="preserve">as </w:t>
      </w:r>
      <w:r w:rsidR="006B004C" w:rsidRPr="007F5A49">
        <w:rPr>
          <w:rFonts w:ascii="Book Antiqua" w:hAnsi="Book Antiqua" w:cs="Arial"/>
          <w:sz w:val="24"/>
          <w:szCs w:val="24"/>
          <w:lang w:val="en-US"/>
        </w:rPr>
        <w:t xml:space="preserve">discussed in the subsequent section. </w:t>
      </w:r>
    </w:p>
    <w:p w14:paraId="057CCCE2" w14:textId="771BC278" w:rsidR="003405BB" w:rsidRPr="007F5A49" w:rsidRDefault="003405BB" w:rsidP="007F5A49">
      <w:pPr>
        <w:adjustRightInd w:val="0"/>
        <w:snapToGrid w:val="0"/>
        <w:spacing w:after="0" w:line="360" w:lineRule="auto"/>
        <w:jc w:val="both"/>
        <w:rPr>
          <w:rFonts w:ascii="Book Antiqua" w:eastAsia="Times New Roman" w:hAnsi="Book Antiqua" w:cs="Arial"/>
          <w:i/>
          <w:sz w:val="24"/>
          <w:szCs w:val="24"/>
          <w:u w:val="single"/>
          <w:lang w:val="en-US"/>
        </w:rPr>
      </w:pPr>
    </w:p>
    <w:p w14:paraId="1FCCA842" w14:textId="77777777" w:rsidR="00C73304" w:rsidRPr="007F5A49" w:rsidRDefault="004076F6" w:rsidP="008E1EBB">
      <w:pPr>
        <w:adjustRightInd w:val="0"/>
        <w:snapToGrid w:val="0"/>
        <w:spacing w:after="0" w:line="360" w:lineRule="auto"/>
        <w:jc w:val="both"/>
        <w:outlineLvl w:val="0"/>
        <w:rPr>
          <w:rFonts w:ascii="Book Antiqua" w:hAnsi="Book Antiqua" w:cs="Arial"/>
          <w:b/>
          <w:i/>
          <w:sz w:val="24"/>
          <w:szCs w:val="24"/>
          <w:lang w:val="en-US"/>
        </w:rPr>
      </w:pPr>
      <w:r w:rsidRPr="007F5A49">
        <w:rPr>
          <w:rFonts w:ascii="Book Antiqua" w:eastAsia="Times New Roman" w:hAnsi="Book Antiqua" w:cs="Arial"/>
          <w:b/>
          <w:i/>
          <w:sz w:val="24"/>
          <w:szCs w:val="24"/>
          <w:lang w:val="en-US"/>
        </w:rPr>
        <w:t>I</w:t>
      </w:r>
      <w:r w:rsidR="00316D05" w:rsidRPr="007F5A49">
        <w:rPr>
          <w:rFonts w:ascii="Book Antiqua" w:eastAsia="Times New Roman" w:hAnsi="Book Antiqua" w:cs="Arial"/>
          <w:b/>
          <w:i/>
          <w:sz w:val="24"/>
          <w:szCs w:val="24"/>
          <w:lang w:val="en-US"/>
        </w:rPr>
        <w:t>ron</w:t>
      </w:r>
      <w:r w:rsidR="00F02742" w:rsidRPr="007F5A49">
        <w:rPr>
          <w:rFonts w:ascii="Book Antiqua" w:eastAsia="Times New Roman" w:hAnsi="Book Antiqua" w:cs="Arial"/>
          <w:b/>
          <w:i/>
          <w:sz w:val="24"/>
          <w:szCs w:val="24"/>
          <w:lang w:val="en-US"/>
        </w:rPr>
        <w:t xml:space="preserve"> </w:t>
      </w:r>
      <w:r w:rsidRPr="007F5A49">
        <w:rPr>
          <w:rFonts w:ascii="Book Antiqua" w:eastAsia="Times New Roman" w:hAnsi="Book Antiqua" w:cs="Arial"/>
          <w:b/>
          <w:i/>
          <w:sz w:val="24"/>
          <w:szCs w:val="24"/>
          <w:lang w:val="en-US"/>
        </w:rPr>
        <w:t>and</w:t>
      </w:r>
      <w:r w:rsidR="00F02742" w:rsidRPr="007F5A49">
        <w:rPr>
          <w:rFonts w:ascii="Book Antiqua" w:eastAsia="Times New Roman" w:hAnsi="Book Antiqua" w:cs="Arial"/>
          <w:b/>
          <w:i/>
          <w:sz w:val="24"/>
          <w:szCs w:val="24"/>
          <w:lang w:val="en-US"/>
        </w:rPr>
        <w:t xml:space="preserve"> </w:t>
      </w:r>
      <w:r w:rsidR="00C558CC" w:rsidRPr="007F5A49">
        <w:rPr>
          <w:rFonts w:ascii="Book Antiqua" w:eastAsia="Times New Roman" w:hAnsi="Book Antiqua" w:cs="Arial"/>
          <w:b/>
          <w:i/>
          <w:sz w:val="24"/>
          <w:szCs w:val="24"/>
          <w:lang w:val="en-US"/>
        </w:rPr>
        <w:t xml:space="preserve">ECM </w:t>
      </w:r>
      <w:proofErr w:type="spellStart"/>
      <w:r w:rsidR="00316D05" w:rsidRPr="007F5A49">
        <w:rPr>
          <w:rFonts w:ascii="Book Antiqua" w:eastAsia="Times New Roman" w:hAnsi="Book Antiqua" w:cs="Arial"/>
          <w:b/>
          <w:i/>
          <w:sz w:val="24"/>
          <w:szCs w:val="24"/>
          <w:lang w:val="en-US"/>
        </w:rPr>
        <w:t>remodelling</w:t>
      </w:r>
      <w:proofErr w:type="spellEnd"/>
    </w:p>
    <w:p w14:paraId="095FC1A0" w14:textId="7475AD2F" w:rsidR="00E274A5" w:rsidRPr="007F5A49" w:rsidRDefault="00F3245D" w:rsidP="007F5A49">
      <w:pPr>
        <w:adjustRightInd w:val="0"/>
        <w:snapToGrid w:val="0"/>
        <w:spacing w:after="0" w:line="360" w:lineRule="auto"/>
        <w:jc w:val="both"/>
        <w:rPr>
          <w:rFonts w:ascii="Book Antiqua" w:hAnsi="Book Antiqua" w:cs="Arial"/>
          <w:sz w:val="24"/>
          <w:szCs w:val="24"/>
          <w:lang w:val="en-US"/>
        </w:rPr>
      </w:pPr>
      <w:r w:rsidRPr="007F5A49">
        <w:rPr>
          <w:rFonts w:ascii="Book Antiqua" w:hAnsi="Book Antiqua" w:cs="Arial"/>
          <w:sz w:val="24"/>
          <w:szCs w:val="24"/>
          <w:lang w:val="en-US"/>
        </w:rPr>
        <w:t>In addition to excess ECM, f</w:t>
      </w:r>
      <w:r w:rsidR="00431B53" w:rsidRPr="007F5A49">
        <w:rPr>
          <w:rFonts w:ascii="Book Antiqua" w:hAnsi="Book Antiqua" w:cs="Arial"/>
          <w:sz w:val="24"/>
          <w:szCs w:val="24"/>
          <w:lang w:val="en-US"/>
        </w:rPr>
        <w:t>i</w:t>
      </w:r>
      <w:r w:rsidR="00E274A5" w:rsidRPr="007F5A49">
        <w:rPr>
          <w:rFonts w:ascii="Book Antiqua" w:hAnsi="Book Antiqua" w:cs="Arial"/>
          <w:sz w:val="24"/>
          <w:szCs w:val="24"/>
          <w:lang w:val="en-US"/>
        </w:rPr>
        <w:t xml:space="preserve">brosis is </w:t>
      </w:r>
      <w:proofErr w:type="spellStart"/>
      <w:r w:rsidR="00431B53" w:rsidRPr="007F5A49">
        <w:rPr>
          <w:rFonts w:ascii="Book Antiqua" w:hAnsi="Book Antiqua" w:cs="Arial"/>
          <w:sz w:val="24"/>
          <w:szCs w:val="24"/>
          <w:lang w:val="en-US"/>
        </w:rPr>
        <w:t>characterised</w:t>
      </w:r>
      <w:proofErr w:type="spellEnd"/>
      <w:r w:rsidR="00431B53" w:rsidRPr="007F5A49">
        <w:rPr>
          <w:rFonts w:ascii="Book Antiqua" w:hAnsi="Book Antiqua" w:cs="Arial"/>
          <w:sz w:val="24"/>
          <w:szCs w:val="24"/>
          <w:lang w:val="en-US"/>
        </w:rPr>
        <w:t xml:space="preserve"> by </w:t>
      </w:r>
      <w:r w:rsidR="00E274A5" w:rsidRPr="007F5A49">
        <w:rPr>
          <w:rFonts w:ascii="Book Antiqua" w:hAnsi="Book Antiqua" w:cs="Arial"/>
          <w:sz w:val="24"/>
          <w:szCs w:val="24"/>
          <w:lang w:val="en-US"/>
        </w:rPr>
        <w:t xml:space="preserve">altered </w:t>
      </w:r>
      <w:r w:rsidR="002030C5" w:rsidRPr="007F5A49">
        <w:rPr>
          <w:rFonts w:ascii="Book Antiqua" w:hAnsi="Book Antiqua" w:cs="Arial"/>
          <w:sz w:val="24"/>
          <w:szCs w:val="24"/>
          <w:lang w:val="en-US"/>
        </w:rPr>
        <w:t xml:space="preserve">composition </w:t>
      </w:r>
      <w:r w:rsidR="00E274A5" w:rsidRPr="007F5A49">
        <w:rPr>
          <w:rFonts w:ascii="Book Antiqua" w:hAnsi="Book Antiqua" w:cs="Arial"/>
          <w:sz w:val="24"/>
          <w:szCs w:val="24"/>
          <w:lang w:val="en-US"/>
        </w:rPr>
        <w:t>of ECM</w:t>
      </w:r>
      <w:r w:rsidR="009C0E09" w:rsidRPr="007F5A49">
        <w:rPr>
          <w:rFonts w:ascii="Book Antiqua" w:hAnsi="Book Antiqua" w:cs="Arial"/>
          <w:sz w:val="24"/>
          <w:szCs w:val="24"/>
          <w:lang w:val="en-US"/>
        </w:rPr>
        <w:t xml:space="preserve">, which includes </w:t>
      </w:r>
      <w:r w:rsidR="00E274A5" w:rsidRPr="007F5A49">
        <w:rPr>
          <w:rFonts w:ascii="Book Antiqua" w:hAnsi="Book Antiqua" w:cs="Arial"/>
          <w:sz w:val="24"/>
          <w:szCs w:val="24"/>
          <w:lang w:val="en-US"/>
        </w:rPr>
        <w:t xml:space="preserve">maturation of collagen </w:t>
      </w:r>
      <w:r w:rsidR="00E274A5" w:rsidRPr="00C04BB2">
        <w:rPr>
          <w:rFonts w:ascii="Book Antiqua" w:hAnsi="Book Antiqua" w:cs="Arial"/>
          <w:i/>
          <w:sz w:val="24"/>
          <w:szCs w:val="24"/>
          <w:lang w:val="en-US"/>
        </w:rPr>
        <w:t>via</w:t>
      </w:r>
      <w:r w:rsidR="00E274A5" w:rsidRPr="007F5A49">
        <w:rPr>
          <w:rFonts w:ascii="Book Antiqua" w:hAnsi="Book Antiqua" w:cs="Arial"/>
          <w:sz w:val="24"/>
          <w:szCs w:val="24"/>
          <w:lang w:val="en-US"/>
        </w:rPr>
        <w:t xml:space="preserve"> crosslinking</w:t>
      </w:r>
      <w:r w:rsidR="00EE0548" w:rsidRPr="007F5A49">
        <w:rPr>
          <w:rFonts w:ascii="Book Antiqua" w:hAnsi="Book Antiqua" w:cs="Arial"/>
          <w:sz w:val="24"/>
          <w:szCs w:val="24"/>
          <w:lang w:val="en-US"/>
        </w:rPr>
        <w:t xml:space="preserve">. </w:t>
      </w:r>
      <w:r w:rsidR="009333D9" w:rsidRPr="007F5A49">
        <w:rPr>
          <w:rFonts w:ascii="Book Antiqua" w:hAnsi="Book Antiqua" w:cs="Arial"/>
          <w:sz w:val="24"/>
          <w:szCs w:val="24"/>
          <w:lang w:val="en-US"/>
        </w:rPr>
        <w:t>C</w:t>
      </w:r>
      <w:r w:rsidR="009C0E09" w:rsidRPr="007F5A49">
        <w:rPr>
          <w:rFonts w:ascii="Book Antiqua" w:hAnsi="Book Antiqua" w:cs="Arial"/>
          <w:sz w:val="24"/>
          <w:szCs w:val="24"/>
          <w:lang w:val="en-US"/>
        </w:rPr>
        <w:t>rosslinked collagen is more resistant to proteolytic degradation</w:t>
      </w:r>
      <w:r w:rsidR="009333D9" w:rsidRPr="007F5A49">
        <w:rPr>
          <w:rFonts w:ascii="Book Antiqua" w:hAnsi="Book Antiqua" w:cs="Arial"/>
          <w:sz w:val="24"/>
          <w:szCs w:val="24"/>
          <w:lang w:val="en-US"/>
        </w:rPr>
        <w:t xml:space="preserve"> by MMP-1</w:t>
      </w:r>
      <w:r w:rsidR="009333D9"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1shmcfbe7s","properties":{"formattedCitation":"(59)","plainCitation":"(59)","noteIndex":0},"citationItems":[{"id":"z1PZoHrb/DGm4HpMt","uris":["http://zotero.org/users/4222068/items/PNV9VM2G"],"uri":["http://zotero.org/users/4222068/items/PNV9VM2G"],"itemData":{"id":1424,"type":"article-journal","title":"The type of collagen cross-link determines the reversibility of experimental skin fibrosis","container-title":"Biochimica Et Biophysica Acta","page":"60-67","volume":"1740","issue":"1","source":"PubMed","abstract":"Fibrotic processes in humans are characterised by an excessive accumulation of collagen containing increased levels of hydroxyallysine-derived cross-links. The occurrence of these cross-links appears to be an important criterion in assessing the irreversibility of fibrosis. We hypothesise that increased hydroxyallysine cross-linking results in a collagenous matrix that is less susceptible to proteolytic degradation and therefore the collagen deposition is no longer reversible. In this report, we show that collagen matrices with increased hydroxyallysine cross-link levels were less susceptible to matrix metalloproteinase 1 degradation than are collagen matrices containing low hydroxyallysine levels. These data indicate that the type of collagen cross-link influences collagen catabolism. In vivo evidence for the importance of the cross-linking type in determining the reversibility of the fibrotic process was found using the bleomycin-induced skin fibrosis mouse model. The analysis of the accumulated collagen in the fibrotic skin of bleomycin-treated mice did not reveal an increase in hydroxyallysine cross-link levels. In concurrence with our hypothesis, the collagen accumulation resolved in time when the mice were no longer receiving bleomycin treatment, showing the reversibility of the fibrosis. In conclusion, our data indicate that the type of collagen cross-linking is an important factor in determining whether the outcome of the fibrotic process is reversible or not.","DOI":"10.1016/j.bbadis.2005.02.007","ISSN":"0006-3002","note":"PMID: 15878742","journalAbbreviation":"Biochim. Biophys. Acta","language":"eng","author":[{"family":"Slot-Verhoeven","given":"Annemarie J.","non-dropping-particle":"van der"},{"family":"Dura","given":"Ernst A.","non-dropping-particle":"van"},{"family":"Attema","given":"Joline"},{"family":"Blauw","given":"Bep"},{"family":"Degroot","given":"Jeroen"},{"family":"Huizinga","given":"Tom W. J."},{"family":"Zuurmond","given":"Anne-Marie"},{"family":"Bank","given":"Ruud A."}],"issued":{"date-parts":[["2005",4,15]]}}}],"schema":"https://github.com/citation-style-language/schema/raw/master/csl-citation.json"} </w:instrText>
      </w:r>
      <w:r w:rsidR="009333D9" w:rsidRPr="007F5A49">
        <w:rPr>
          <w:rFonts w:ascii="Book Antiqua" w:hAnsi="Book Antiqua" w:cs="Arial"/>
          <w:sz w:val="24"/>
          <w:szCs w:val="24"/>
          <w:vertAlign w:val="superscript"/>
          <w:lang w:val="en-US"/>
        </w:rPr>
        <w:fldChar w:fldCharType="separate"/>
      </w:r>
      <w:r w:rsidR="000D68B3"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59</w:t>
      </w:r>
      <w:r w:rsidR="009333D9" w:rsidRPr="007F5A49">
        <w:rPr>
          <w:rFonts w:ascii="Book Antiqua" w:hAnsi="Book Antiqua" w:cs="Arial"/>
          <w:sz w:val="24"/>
          <w:szCs w:val="24"/>
          <w:vertAlign w:val="superscript"/>
          <w:lang w:val="en-US"/>
        </w:rPr>
        <w:fldChar w:fldCharType="end"/>
      </w:r>
      <w:r w:rsidR="000D68B3" w:rsidRPr="007F5A49">
        <w:rPr>
          <w:rFonts w:ascii="Book Antiqua" w:hAnsi="Book Antiqua" w:cs="Arial"/>
          <w:sz w:val="24"/>
          <w:szCs w:val="24"/>
          <w:vertAlign w:val="superscript"/>
          <w:lang w:val="en-US"/>
        </w:rPr>
        <w:t>]</w:t>
      </w:r>
      <w:r w:rsidR="00C558CC" w:rsidRPr="007F5A49">
        <w:rPr>
          <w:rFonts w:ascii="Book Antiqua" w:hAnsi="Book Antiqua" w:cs="Arial"/>
          <w:sz w:val="24"/>
          <w:szCs w:val="24"/>
          <w:lang w:val="en-US"/>
        </w:rPr>
        <w:t xml:space="preserve"> </w:t>
      </w:r>
      <w:r w:rsidR="009333D9" w:rsidRPr="007F5A49">
        <w:rPr>
          <w:rFonts w:ascii="Book Antiqua" w:hAnsi="Book Antiqua" w:cs="Arial"/>
          <w:sz w:val="24"/>
          <w:szCs w:val="24"/>
          <w:lang w:val="en-US"/>
        </w:rPr>
        <w:t xml:space="preserve">and is </w:t>
      </w:r>
      <w:r w:rsidR="00C558CC" w:rsidRPr="007F5A49">
        <w:rPr>
          <w:rFonts w:ascii="Book Antiqua" w:hAnsi="Book Antiqua" w:cs="Arial"/>
          <w:sz w:val="24"/>
          <w:szCs w:val="24"/>
          <w:lang w:val="en-US"/>
        </w:rPr>
        <w:t xml:space="preserve">therefore </w:t>
      </w:r>
      <w:r w:rsidR="00E274A5" w:rsidRPr="007F5A49">
        <w:rPr>
          <w:rFonts w:ascii="Book Antiqua" w:hAnsi="Book Antiqua" w:cs="Arial"/>
          <w:sz w:val="24"/>
          <w:szCs w:val="24"/>
          <w:lang w:val="en-US"/>
        </w:rPr>
        <w:t>the most challenging therapeutic target for fibrosis resolution</w:t>
      </w:r>
      <w:r w:rsidR="00C558CC" w:rsidRPr="007F5A49">
        <w:rPr>
          <w:rFonts w:ascii="Book Antiqua" w:hAnsi="Book Antiqua" w:cs="Arial"/>
          <w:sz w:val="24"/>
          <w:szCs w:val="24"/>
          <w:lang w:val="en-US"/>
        </w:rPr>
        <w:t>.</w:t>
      </w:r>
      <w:r w:rsidR="00BC0D45" w:rsidRPr="007F5A49">
        <w:rPr>
          <w:rFonts w:ascii="Book Antiqua" w:hAnsi="Book Antiqua" w:cs="Arial"/>
          <w:sz w:val="24"/>
          <w:szCs w:val="24"/>
          <w:lang w:val="en-US"/>
        </w:rPr>
        <w:t xml:space="preserve"> </w:t>
      </w:r>
      <w:r w:rsidR="00CF195A" w:rsidRPr="007F5A49">
        <w:rPr>
          <w:rFonts w:ascii="Book Antiqua" w:hAnsi="Book Antiqua" w:cs="Arial"/>
          <w:sz w:val="24"/>
          <w:szCs w:val="24"/>
          <w:lang w:val="en-US"/>
        </w:rPr>
        <w:t xml:space="preserve">Collagen cross-linking </w:t>
      </w:r>
      <w:r w:rsidR="00C558CC" w:rsidRPr="007F5A49">
        <w:rPr>
          <w:rFonts w:ascii="Book Antiqua" w:hAnsi="Book Antiqua" w:cs="Arial"/>
          <w:sz w:val="24"/>
          <w:szCs w:val="24"/>
          <w:lang w:val="en-US"/>
        </w:rPr>
        <w:t xml:space="preserve">is </w:t>
      </w:r>
      <w:proofErr w:type="spellStart"/>
      <w:r w:rsidR="00CF195A" w:rsidRPr="007F5A49">
        <w:rPr>
          <w:rFonts w:ascii="Book Antiqua" w:hAnsi="Book Antiqua" w:cs="Arial"/>
          <w:sz w:val="24"/>
          <w:szCs w:val="24"/>
          <w:lang w:val="en-US"/>
        </w:rPr>
        <w:t>catalysed</w:t>
      </w:r>
      <w:proofErr w:type="spellEnd"/>
      <w:r w:rsidR="00CF195A" w:rsidRPr="007F5A49">
        <w:rPr>
          <w:rFonts w:ascii="Book Antiqua" w:hAnsi="Book Antiqua" w:cs="Arial"/>
          <w:sz w:val="24"/>
          <w:szCs w:val="24"/>
          <w:lang w:val="en-US"/>
        </w:rPr>
        <w:t xml:space="preserve"> by </w:t>
      </w:r>
      <w:r w:rsidR="00AE1C23" w:rsidRPr="007F5A49">
        <w:rPr>
          <w:rFonts w:ascii="Book Antiqua" w:hAnsi="Book Antiqua" w:cs="Arial"/>
          <w:sz w:val="24"/>
          <w:szCs w:val="24"/>
          <w:lang w:val="en-US"/>
        </w:rPr>
        <w:t xml:space="preserve">the enzymes prolyl hydroxylase and </w:t>
      </w:r>
      <w:proofErr w:type="spellStart"/>
      <w:r w:rsidR="00AE1C23" w:rsidRPr="007F5A49">
        <w:rPr>
          <w:rFonts w:ascii="Book Antiqua" w:hAnsi="Book Antiqua" w:cs="Arial"/>
          <w:sz w:val="24"/>
          <w:szCs w:val="24"/>
          <w:lang w:val="en-US"/>
        </w:rPr>
        <w:t>lysyl</w:t>
      </w:r>
      <w:proofErr w:type="spellEnd"/>
      <w:r w:rsidR="00AE1C23" w:rsidRPr="007F5A49">
        <w:rPr>
          <w:rFonts w:ascii="Book Antiqua" w:hAnsi="Book Antiqua" w:cs="Arial"/>
          <w:sz w:val="24"/>
          <w:szCs w:val="24"/>
          <w:lang w:val="en-US"/>
        </w:rPr>
        <w:t xml:space="preserve"> hydroxylase that require vitamin C and iron as cofactors</w:t>
      </w:r>
      <w:r w:rsidR="00376E34" w:rsidRPr="007F5A49">
        <w:rPr>
          <w:rFonts w:ascii="Book Antiqua" w:hAnsi="Book Antiqua" w:cs="Arial"/>
          <w:sz w:val="24"/>
          <w:szCs w:val="24"/>
          <w:lang w:val="en-US"/>
        </w:rPr>
        <w:t>.</w:t>
      </w:r>
      <w:r w:rsidR="00A149E0" w:rsidRPr="007F5A49">
        <w:rPr>
          <w:rFonts w:ascii="Book Antiqua" w:hAnsi="Book Antiqua" w:cs="Arial"/>
          <w:sz w:val="24"/>
          <w:szCs w:val="24"/>
          <w:lang w:val="en-US"/>
        </w:rPr>
        <w:t xml:space="preserve"> </w:t>
      </w:r>
      <w:r w:rsidR="00877590" w:rsidRPr="007F5A49">
        <w:rPr>
          <w:rFonts w:ascii="Book Antiqua" w:hAnsi="Book Antiqua" w:cs="Arial"/>
          <w:sz w:val="24"/>
          <w:szCs w:val="24"/>
          <w:lang w:val="en-US"/>
        </w:rPr>
        <w:t>Hence, it is possible that during iron-loading, excess iron may be channelized to promote collagen crosslinking. Along this line, a study showed increased activities of the aforementioned enzymes in rat models of carbon tetrachloride</w:t>
      </w:r>
      <w:r w:rsidR="00813087" w:rsidRPr="007F5A49">
        <w:rPr>
          <w:rFonts w:ascii="Book Antiqua" w:hAnsi="Book Antiqua" w:cs="Arial"/>
          <w:sz w:val="24"/>
          <w:szCs w:val="24"/>
          <w:lang w:val="en-US"/>
        </w:rPr>
        <w:t>-</w:t>
      </w:r>
      <w:r w:rsidR="00877590" w:rsidRPr="007F5A49">
        <w:rPr>
          <w:rFonts w:ascii="Book Antiqua" w:hAnsi="Book Antiqua" w:cs="Arial"/>
          <w:sz w:val="24"/>
          <w:szCs w:val="24"/>
          <w:lang w:val="en-US"/>
        </w:rPr>
        <w:t>induced liver injury</w:t>
      </w:r>
      <w:r w:rsidR="00877590"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wNSzUKJd","properties":{"formattedCitation":"(60)","plainCitation":"(60)","noteIndex":0},"citationItems":[{"id":"z1PZoHrb/bCpuDoCj","uris":["http://zotero.org/users/4222068/items/HXG9IBTS"],"uri":["http://zotero.org/users/4222068/items/HXG9IBTS"],"itemData":{"id":1285,"type":"article-journal","title":"Activities of prolyl hydroxylase, lysyl hydroxylase, collagen galactosyltransferase and collagen glucosyltransferase in the liver of rats with hepatic injury","container-title":"The Biochemical Journal","page":"115-122","volume":"144","issue":"1","source":"PubMed","abstract":"The activities of four enzymes catalysing post-translational modifications of the collagen polypeptide chains were assayed in the livers of rats with experimental hepatic injury. The liver injury was induced by injecting carbon tetrachloride twice weekly, and assays of the enzymic activities were carried out 2 and 4 weeks after commencement of administration of carbon tetrachloride. The liver homogenates were preincubated with Triton X-100 before the assays, because such treatment was found to increase the activities of all four enzymes in the supernatants of liver homogenates. The activities of all four enzymes had increased by 2 weeks after commencement of carbon tetrachloride administration. No increase was found in the collagen content of the livers at this stage and thus an increase in all four enzyme activities preceded an increase in the collagen content of the liver. A further slight increase was found in three of the enzyme activities during the subsequent 2 weeks of the experiment, whereas no further increase was found in the collagen galactosyltransferase activity. A statistically significant correlation was found between all four enzyme activities, but the magnitude of the increases varied considerably. The largest increase was found in lysyl hydroxylase activity, and at 4 weeks the magnitude of this was about three times that of the collagen galactosyltransferase activity. The results thus indicate that the increased enzyme activities cannot be explained simply by an increase in the number of collagen-producing cells having similar enzyme activity patterns to those of the cells initially present in the liver.","ISSN":"0264-6021","note":"PMID: 4376954\nPMCID: PMC1168471","journalAbbreviation":"Biochem. J.","language":"eng","author":[{"family":"Risteli","given":"J."},{"family":"Kivirikko","given":"K. I."}],"issued":{"date-parts":[["1974",10]]}}}],"schema":"https://github.com/citation-style-language/schema/raw/master/csl-citation.json"} </w:instrText>
      </w:r>
      <w:r w:rsidR="00877590" w:rsidRPr="007F5A49">
        <w:rPr>
          <w:rFonts w:ascii="Book Antiqua" w:hAnsi="Book Antiqua" w:cs="Arial"/>
          <w:sz w:val="24"/>
          <w:szCs w:val="24"/>
          <w:vertAlign w:val="superscript"/>
          <w:lang w:val="en-US"/>
        </w:rPr>
        <w:fldChar w:fldCharType="separate"/>
      </w:r>
      <w:r w:rsidR="000D68B3"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60</w:t>
      </w:r>
      <w:r w:rsidR="00877590" w:rsidRPr="007F5A49">
        <w:rPr>
          <w:rFonts w:ascii="Book Antiqua" w:hAnsi="Book Antiqua" w:cs="Arial"/>
          <w:sz w:val="24"/>
          <w:szCs w:val="24"/>
          <w:vertAlign w:val="superscript"/>
          <w:lang w:val="en-US"/>
        </w:rPr>
        <w:fldChar w:fldCharType="end"/>
      </w:r>
      <w:r w:rsidR="000D68B3" w:rsidRPr="007F5A49">
        <w:rPr>
          <w:rFonts w:ascii="Book Antiqua" w:hAnsi="Book Antiqua" w:cs="Arial"/>
          <w:sz w:val="24"/>
          <w:szCs w:val="24"/>
          <w:vertAlign w:val="superscript"/>
          <w:lang w:val="en-US"/>
        </w:rPr>
        <w:t>]</w:t>
      </w:r>
      <w:r w:rsidR="00877590" w:rsidRPr="007F5A49">
        <w:rPr>
          <w:rFonts w:ascii="Book Antiqua" w:hAnsi="Book Antiqua" w:cs="Arial"/>
          <w:sz w:val="24"/>
          <w:szCs w:val="24"/>
          <w:lang w:val="en-US"/>
        </w:rPr>
        <w:t xml:space="preserve"> </w:t>
      </w:r>
      <w:r w:rsidR="00087DB3" w:rsidRPr="007F5A49">
        <w:rPr>
          <w:rFonts w:ascii="Book Antiqua" w:hAnsi="Book Antiqua" w:cs="Arial"/>
          <w:sz w:val="24"/>
          <w:szCs w:val="24"/>
          <w:lang w:val="en-US"/>
        </w:rPr>
        <w:t xml:space="preserve">and </w:t>
      </w:r>
      <w:r w:rsidR="00877590" w:rsidRPr="007F5A49">
        <w:rPr>
          <w:rFonts w:ascii="Book Antiqua" w:hAnsi="Book Antiqua" w:cs="Arial"/>
          <w:sz w:val="24"/>
          <w:szCs w:val="24"/>
          <w:lang w:val="en-US"/>
        </w:rPr>
        <w:t>in iron-deficient rats, lower levels of procollagen type I N-terminal pro-peptide and increased systemic levels of degradation products from C-terminal telopeptides of type I collagen were reported</w:t>
      </w:r>
      <w:r w:rsidR="00877590"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3gquOLMq","properties":{"formattedCitation":"(61)","plainCitation":"(61)","noteIndex":0},"citationItems":[{"id":"z1PZoHrb/64VE5ykF","uris":["http://zotero.org/users/4222068/items/PGNCXEMT"],"uri":["http://zotero.org/users/4222068/items/PGNCXEMT"],"itemData":{"id":1499,"type":"article-journal","title":"Severe nutritional iron-deficiency anaemia has a negative effect on some bone turnover biomarkers in rats","container-title":"European Journal of Nutrition","page":"241-247","volume":"51","issue":"2","source":"PubMed","abstract":"BACKGROUND: The role of iron (Fe) in bone formation and disease have not received much attention, a fact that is interesting given the known biochemical role that this mineral has upon collagen maturation together with the high prevalence of Fe-deficiency anaemia worldwide.\nAIM: To investigate the changes in bone formation, resorption and mineral content in developing rats with induced nutritional Fe-deficiency anaemia.\nMETHODS: Thirty male Wistar rats were divided into two groups, a control group receiving AIN-93G diet with normal-Fe content and an anaemic group receiving AIN-93G diet with low-Fe content for 40 days. Both diets were prepared with an adequate calcium (Ca) and phosphorus (P) content. The most representative serum bone turnover biomarkers and femur and sternum calcium and phosphorus content, together with sternum Fe content were determined in both experimental groups.\nRESULTS: In anaemic rats, bone matrix formation diminished as revealed by the lower amount of procollagen type I N-terminal propeptide. Bone resorption process increased in Fe deficiency as shown by the increase of serum parathyroid hormone, tartrate-resistant acid phosphatase and levels of degradation products from C-terminal telopeptides of type I collagen released to the serum. In addition, mineralization process was affected by Fe deficiency, because Ca and P content in femur decreased markedly.\nCONCLUSIONS: Fe-deficiency anaemia had a significant impact upon bone, affecting bone mineralization, decreasing the matrix formation and increasing bone resorption, therefore it is of great interest to assess bone status in situation of Fe-deficiency anaemia.","DOI":"10.1007/s00394-011-0212-5","ISSN":"1436-6215","note":"PMID: 21647667","journalAbbreviation":"Eur J Nutr","language":"eng","author":[{"family":"Díaz-Castro","given":"Javier"},{"family":"López-Frías","given":"Mercedes Ramírez"},{"family":"Campos","given":"Margarita S."},{"family":"López-Frías","given":"Magdalena"},{"family":"Alférez","given":"María J. M."},{"family":"Nestares","given":"Teresa"},{"family":"Ojeda","given":"María L."},{"family":"López-Aliaga","given":"Inmaculada"}],"issued":{"date-parts":[["2012",3]]}}}],"schema":"https://github.com/citation-style-language/schema/raw/master/csl-citation.json"} </w:instrText>
      </w:r>
      <w:r w:rsidR="00877590" w:rsidRPr="007F5A49">
        <w:rPr>
          <w:rFonts w:ascii="Book Antiqua" w:hAnsi="Book Antiqua" w:cs="Arial"/>
          <w:sz w:val="24"/>
          <w:szCs w:val="24"/>
          <w:vertAlign w:val="superscript"/>
          <w:lang w:val="en-US"/>
        </w:rPr>
        <w:fldChar w:fldCharType="separate"/>
      </w:r>
      <w:r w:rsidR="000D68B3"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61</w:t>
      </w:r>
      <w:r w:rsidR="00877590" w:rsidRPr="007F5A49">
        <w:rPr>
          <w:rFonts w:ascii="Book Antiqua" w:hAnsi="Book Antiqua" w:cs="Arial"/>
          <w:sz w:val="24"/>
          <w:szCs w:val="24"/>
          <w:vertAlign w:val="superscript"/>
          <w:lang w:val="en-US"/>
        </w:rPr>
        <w:fldChar w:fldCharType="end"/>
      </w:r>
      <w:r w:rsidR="000D68B3" w:rsidRPr="007F5A49">
        <w:rPr>
          <w:rFonts w:ascii="Book Antiqua" w:hAnsi="Book Antiqua" w:cs="Arial"/>
          <w:sz w:val="24"/>
          <w:szCs w:val="24"/>
          <w:vertAlign w:val="superscript"/>
          <w:lang w:val="en-US"/>
        </w:rPr>
        <w:t>]</w:t>
      </w:r>
      <w:r w:rsidR="00813087" w:rsidRPr="007F5A49">
        <w:rPr>
          <w:rFonts w:ascii="Book Antiqua" w:hAnsi="Book Antiqua" w:cs="Arial"/>
          <w:sz w:val="24"/>
          <w:szCs w:val="24"/>
          <w:lang w:val="en-US"/>
        </w:rPr>
        <w:t xml:space="preserve">. </w:t>
      </w:r>
      <w:r w:rsidR="00087DB3" w:rsidRPr="007F5A49">
        <w:rPr>
          <w:rFonts w:ascii="Book Antiqua" w:hAnsi="Book Antiqua" w:cs="Arial"/>
          <w:sz w:val="24"/>
          <w:szCs w:val="24"/>
          <w:lang w:val="en-US"/>
        </w:rPr>
        <w:t>However</w:t>
      </w:r>
      <w:r w:rsidR="00877590" w:rsidRPr="007F5A49">
        <w:rPr>
          <w:rFonts w:ascii="Book Antiqua" w:hAnsi="Book Antiqua" w:cs="Arial"/>
          <w:sz w:val="24"/>
          <w:szCs w:val="24"/>
          <w:lang w:val="en-US"/>
        </w:rPr>
        <w:t>, a p</w:t>
      </w:r>
      <w:r w:rsidR="00F0404C" w:rsidRPr="007F5A49">
        <w:rPr>
          <w:rFonts w:ascii="Book Antiqua" w:hAnsi="Book Antiqua" w:cs="Arial"/>
          <w:sz w:val="24"/>
          <w:szCs w:val="24"/>
          <w:lang w:val="en-US"/>
        </w:rPr>
        <w:t xml:space="preserve">revious </w:t>
      </w:r>
      <w:r w:rsidR="00297870" w:rsidRPr="007F5A49">
        <w:rPr>
          <w:rFonts w:ascii="Book Antiqua" w:hAnsi="Book Antiqua" w:cs="Arial"/>
          <w:i/>
          <w:sz w:val="24"/>
          <w:szCs w:val="24"/>
          <w:lang w:val="en-US"/>
        </w:rPr>
        <w:t>in vitro</w:t>
      </w:r>
      <w:r w:rsidR="00297870" w:rsidRPr="007F5A49">
        <w:rPr>
          <w:rFonts w:ascii="Book Antiqua" w:hAnsi="Book Antiqua" w:cs="Arial"/>
          <w:sz w:val="24"/>
          <w:szCs w:val="24"/>
          <w:lang w:val="en-US"/>
        </w:rPr>
        <w:t xml:space="preserve"> </w:t>
      </w:r>
      <w:r w:rsidR="00F0404C" w:rsidRPr="007F5A49">
        <w:rPr>
          <w:rFonts w:ascii="Book Antiqua" w:hAnsi="Book Antiqua" w:cs="Arial"/>
          <w:sz w:val="24"/>
          <w:szCs w:val="24"/>
          <w:lang w:val="en-US"/>
        </w:rPr>
        <w:t>stud</w:t>
      </w:r>
      <w:r w:rsidR="00877590" w:rsidRPr="007F5A49">
        <w:rPr>
          <w:rFonts w:ascii="Book Antiqua" w:hAnsi="Book Antiqua" w:cs="Arial"/>
          <w:sz w:val="24"/>
          <w:szCs w:val="24"/>
          <w:lang w:val="en-US"/>
        </w:rPr>
        <w:t>y</w:t>
      </w:r>
      <w:r w:rsidR="00F0404C" w:rsidRPr="007F5A49">
        <w:rPr>
          <w:rFonts w:ascii="Book Antiqua" w:hAnsi="Book Antiqua" w:cs="Arial"/>
          <w:sz w:val="24"/>
          <w:szCs w:val="24"/>
          <w:lang w:val="en-US"/>
        </w:rPr>
        <w:t xml:space="preserve"> </w:t>
      </w:r>
      <w:r w:rsidR="00297870" w:rsidRPr="007F5A49">
        <w:rPr>
          <w:rFonts w:ascii="Book Antiqua" w:hAnsi="Book Antiqua" w:cs="Arial"/>
          <w:sz w:val="24"/>
          <w:szCs w:val="24"/>
          <w:lang w:val="en-US"/>
        </w:rPr>
        <w:t>excluded iron as a major participant in collagen crosslinking</w:t>
      </w:r>
      <w:r w:rsidR="00877590" w:rsidRPr="007F5A49">
        <w:rPr>
          <w:rFonts w:ascii="Book Antiqua" w:hAnsi="Book Antiqua" w:cs="Arial"/>
          <w:sz w:val="24"/>
          <w:szCs w:val="24"/>
          <w:lang w:val="en-US"/>
        </w:rPr>
        <w:t xml:space="preserve"> since </w:t>
      </w:r>
      <w:r w:rsidR="004F5555" w:rsidRPr="007F5A49">
        <w:rPr>
          <w:rFonts w:ascii="Book Antiqua" w:hAnsi="Book Antiqua" w:cs="Arial"/>
          <w:sz w:val="24"/>
          <w:szCs w:val="24"/>
          <w:lang w:val="en-US"/>
        </w:rPr>
        <w:t xml:space="preserve">the </w:t>
      </w:r>
      <w:r w:rsidR="00877590" w:rsidRPr="007F5A49">
        <w:rPr>
          <w:rFonts w:ascii="Book Antiqua" w:hAnsi="Book Antiqua" w:cs="Arial"/>
          <w:sz w:val="24"/>
          <w:szCs w:val="24"/>
          <w:lang w:val="en-US"/>
        </w:rPr>
        <w:t>iron chelator deferoxamine did not alter collagen modifications</w:t>
      </w:r>
      <w:r w:rsidR="00297870"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2op8cl5rgc","properties":{"formattedCitation":"(62)","plainCitation":"(62)","noteIndex":0},"citationItems":[{"id":"z1PZoHrb/tln1MsOp","uris":["http://zotero.org/users/4222068/items/3KIC63B3"],"uri":["http://zotero.org/users/4222068/items/3KIC63B3"],"itemData":{"id":1407,"type":"article-journal","title":"Involvement of hydrogen peroxide in collagen cross-linking by high glucose in vitro and in vivo","container-title":"The Journal of Biological Chemistry","page":"12964-12971","volume":"271","issue":"22","source":"PubMed","abstract":"The Maillard reaction has been implicated in cross-linking and fluorescence formation of collagen exposed to high glucose in vitro. However, several pharmacologic agents, whose action seems unrelated to pathways of nonenzymatic glycation, have been demonstrated to prevent cross-linking in diabetes. To clarify this discrepancy, kinetic changes in glycation, glycoxidation (carboxymethyllysine, CML), and cross-linking (measured as tendon breaking time, TBT) were evaluated in rat tail tendons incubated in 5 and 30 mM glucose in vitro and in tendons implanted in vivo into diabetic rat peritoneal cavity. In vitro, rates were found to be both O2- and glucose-dependent. Tendon preglycation and presence of added 2 mM glycosylamine and Amadori compounds (Amadori product of glucose and propylamine) catalyzed these changes in a primarily O2-dependent manner. In the presence of Amadori compounds, kinetic changes were dramatically increased and were preventable by addition of catalase to the medium. Tendons implanted into diabetic rat peritoneum became more rapidly glycoxidized and cross-linked when implanted at day 30 from diabetes onset (high tissue glycation) compared to day 3 (low tissue glycation) in spite of similar glycation kinetics, suggesting a mechanistic dissociation between glycation, glycoxidation, and cross-linking in diabetes. Indeed, intraperitoneal injection of catalase and other antioxidants dramatically suppressed cross-linking, fluorescence formation, and, to some extent, glycoxidation, without affecting glycation. This study confirms the role of oxidative stress in protein cross-linking by the Maillard reaction in vitro and provides the first evidence for a role of H2O2 in cross-linking in diabetes. Whereas Amadori products are a potent source of H2O2 formation in vitro, their precise contribution to H2O2 generation and the actual role of Maillard reaction products in collagen cross-linking in diabetes requires further investigation.","ISSN":"0021-9258","note":"PMID: 8662699","journalAbbreviation":"J. Biol. Chem.","language":"eng","author":[{"family":"Elgawish","given":"A."},{"family":"Glomb","given":"M."},{"family":"Friedlander","given":"M."},{"family":"Monnier","given":"V. M."}],"issued":{"date-parts":[["1996",5,31]]}}}],"schema":"https://github.com/citation-style-language/schema/raw/master/csl-citation.json"} </w:instrText>
      </w:r>
      <w:r w:rsidR="00297870" w:rsidRPr="007F5A49">
        <w:rPr>
          <w:rFonts w:ascii="Book Antiqua" w:hAnsi="Book Antiqua" w:cs="Arial"/>
          <w:sz w:val="24"/>
          <w:szCs w:val="24"/>
          <w:vertAlign w:val="superscript"/>
          <w:lang w:val="en-US"/>
        </w:rPr>
        <w:fldChar w:fldCharType="separate"/>
      </w:r>
      <w:r w:rsidR="000D68B3"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62</w:t>
      </w:r>
      <w:r w:rsidR="000D68B3" w:rsidRPr="007F5A49">
        <w:rPr>
          <w:rFonts w:ascii="Book Antiqua" w:hAnsi="Book Antiqua"/>
          <w:sz w:val="24"/>
          <w:szCs w:val="24"/>
          <w:vertAlign w:val="superscript"/>
          <w:lang w:val="en-US"/>
        </w:rPr>
        <w:t>]</w:t>
      </w:r>
      <w:r w:rsidR="00297870" w:rsidRPr="007F5A49">
        <w:rPr>
          <w:rFonts w:ascii="Book Antiqua" w:hAnsi="Book Antiqua" w:cs="Arial"/>
          <w:sz w:val="24"/>
          <w:szCs w:val="24"/>
          <w:vertAlign w:val="superscript"/>
          <w:lang w:val="en-US"/>
        </w:rPr>
        <w:fldChar w:fldCharType="end"/>
      </w:r>
      <w:r w:rsidR="00813087" w:rsidRPr="007F5A49">
        <w:rPr>
          <w:rFonts w:ascii="Book Antiqua" w:hAnsi="Book Antiqua" w:cs="Arial"/>
          <w:sz w:val="24"/>
          <w:szCs w:val="24"/>
          <w:lang w:val="en-US"/>
        </w:rPr>
        <w:t xml:space="preserve">. </w:t>
      </w:r>
      <w:r w:rsidR="00ED055E" w:rsidRPr="007F5A49">
        <w:rPr>
          <w:rFonts w:ascii="Book Antiqua" w:hAnsi="Book Antiqua" w:cs="Arial"/>
          <w:sz w:val="24"/>
          <w:szCs w:val="24"/>
          <w:lang w:val="en-US"/>
        </w:rPr>
        <w:t xml:space="preserve">Thus, the exact </w:t>
      </w:r>
      <w:r w:rsidR="00316620" w:rsidRPr="007F5A49">
        <w:rPr>
          <w:rFonts w:ascii="Book Antiqua" w:hAnsi="Book Antiqua" w:cs="Arial"/>
          <w:sz w:val="24"/>
          <w:szCs w:val="24"/>
          <w:lang w:val="en-US"/>
        </w:rPr>
        <w:t xml:space="preserve">effect of iron on </w:t>
      </w:r>
      <w:r w:rsidR="00ED055E" w:rsidRPr="007F5A49">
        <w:rPr>
          <w:rFonts w:ascii="Book Antiqua" w:hAnsi="Book Antiqua" w:cs="Arial"/>
          <w:sz w:val="24"/>
          <w:szCs w:val="24"/>
          <w:lang w:val="en-US"/>
        </w:rPr>
        <w:t xml:space="preserve">collagen maturation is unclear and </w:t>
      </w:r>
      <w:r w:rsidR="00316620" w:rsidRPr="007F5A49">
        <w:rPr>
          <w:rFonts w:ascii="Book Antiqua" w:hAnsi="Book Antiqua" w:cs="Arial"/>
          <w:sz w:val="24"/>
          <w:szCs w:val="24"/>
          <w:lang w:val="en-US"/>
        </w:rPr>
        <w:t>need</w:t>
      </w:r>
      <w:r w:rsidR="00ED055E" w:rsidRPr="007F5A49">
        <w:rPr>
          <w:rFonts w:ascii="Book Antiqua" w:hAnsi="Book Antiqua" w:cs="Arial"/>
          <w:sz w:val="24"/>
          <w:szCs w:val="24"/>
          <w:lang w:val="en-US"/>
        </w:rPr>
        <w:t>s</w:t>
      </w:r>
      <w:r w:rsidR="00316620" w:rsidRPr="007F5A49">
        <w:rPr>
          <w:rFonts w:ascii="Book Antiqua" w:hAnsi="Book Antiqua" w:cs="Arial"/>
          <w:sz w:val="24"/>
          <w:szCs w:val="24"/>
          <w:lang w:val="en-US"/>
        </w:rPr>
        <w:t xml:space="preserve"> further investigation. </w:t>
      </w:r>
      <w:r w:rsidR="00BC5CC0" w:rsidRPr="007F5A49">
        <w:rPr>
          <w:rFonts w:ascii="Book Antiqua" w:hAnsi="Book Antiqua" w:cs="Arial"/>
          <w:sz w:val="24"/>
          <w:szCs w:val="24"/>
          <w:lang w:val="en-US"/>
        </w:rPr>
        <w:t xml:space="preserve">Elastin is yet another </w:t>
      </w:r>
      <w:r w:rsidR="00ED055E" w:rsidRPr="007F5A49">
        <w:rPr>
          <w:rFonts w:ascii="Book Antiqua" w:hAnsi="Book Antiqua" w:cs="Arial"/>
          <w:sz w:val="24"/>
          <w:szCs w:val="24"/>
          <w:lang w:val="en-US"/>
        </w:rPr>
        <w:t xml:space="preserve">important component of ECM. </w:t>
      </w:r>
      <w:r w:rsidR="00ED055E" w:rsidRPr="007F5A49">
        <w:rPr>
          <w:rFonts w:ascii="Book Antiqua" w:hAnsi="Book Antiqua" w:cs="Arial"/>
          <w:sz w:val="24"/>
          <w:szCs w:val="24"/>
          <w:lang w:val="en-US"/>
        </w:rPr>
        <w:lastRenderedPageBreak/>
        <w:t>I</w:t>
      </w:r>
      <w:r w:rsidR="00E82A04" w:rsidRPr="007F5A49">
        <w:rPr>
          <w:rFonts w:ascii="Book Antiqua" w:hAnsi="Book Antiqua" w:cs="Arial"/>
          <w:sz w:val="24"/>
          <w:szCs w:val="24"/>
          <w:lang w:val="en-US"/>
        </w:rPr>
        <w:t xml:space="preserve">ron </w:t>
      </w:r>
      <w:r w:rsidR="001820AD" w:rsidRPr="007F5A49">
        <w:rPr>
          <w:rFonts w:ascii="Book Antiqua" w:hAnsi="Book Antiqua" w:cs="Arial"/>
          <w:sz w:val="24"/>
          <w:szCs w:val="24"/>
          <w:lang w:val="en-US"/>
        </w:rPr>
        <w:t>appears</w:t>
      </w:r>
      <w:r w:rsidR="00882057" w:rsidRPr="007F5A49">
        <w:rPr>
          <w:rFonts w:ascii="Book Antiqua" w:hAnsi="Book Antiqua" w:cs="Arial"/>
          <w:sz w:val="24"/>
          <w:szCs w:val="24"/>
          <w:lang w:val="en-US"/>
        </w:rPr>
        <w:t xml:space="preserve"> to modulate </w:t>
      </w:r>
      <w:proofErr w:type="spellStart"/>
      <w:r w:rsidR="00E274A5" w:rsidRPr="007F5A49">
        <w:rPr>
          <w:rFonts w:ascii="Book Antiqua" w:hAnsi="Book Antiqua" w:cs="Arial"/>
          <w:sz w:val="24"/>
          <w:szCs w:val="24"/>
          <w:lang w:val="en-US"/>
        </w:rPr>
        <w:t>elastogenesis</w:t>
      </w:r>
      <w:proofErr w:type="spellEnd"/>
      <w:r w:rsidR="00ED055E" w:rsidRPr="007F5A49">
        <w:rPr>
          <w:rFonts w:ascii="Book Antiqua" w:hAnsi="Book Antiqua" w:cs="Arial"/>
          <w:sz w:val="24"/>
          <w:szCs w:val="24"/>
          <w:lang w:val="en-US"/>
        </w:rPr>
        <w:t xml:space="preserve"> in cultured human skin fibroblasts, where it </w:t>
      </w:r>
      <w:r w:rsidR="00882057" w:rsidRPr="007F5A49">
        <w:rPr>
          <w:rFonts w:ascii="Book Antiqua" w:hAnsi="Book Antiqua" w:cs="Arial"/>
          <w:sz w:val="24"/>
          <w:szCs w:val="24"/>
          <w:lang w:val="en-US"/>
        </w:rPr>
        <w:t>i</w:t>
      </w:r>
      <w:r w:rsidR="00E274A5" w:rsidRPr="007F5A49">
        <w:rPr>
          <w:rFonts w:ascii="Book Antiqua" w:hAnsi="Book Antiqua" w:cs="Arial"/>
          <w:sz w:val="24"/>
          <w:szCs w:val="24"/>
          <w:lang w:val="en-US"/>
        </w:rPr>
        <w:t>ncrease</w:t>
      </w:r>
      <w:r w:rsidR="00882057" w:rsidRPr="007F5A49">
        <w:rPr>
          <w:rFonts w:ascii="Book Antiqua" w:hAnsi="Book Antiqua" w:cs="Arial"/>
          <w:sz w:val="24"/>
          <w:szCs w:val="24"/>
          <w:lang w:val="en-US"/>
        </w:rPr>
        <w:t>d</w:t>
      </w:r>
      <w:r w:rsidR="00E274A5" w:rsidRPr="007F5A49">
        <w:rPr>
          <w:rFonts w:ascii="Book Antiqua" w:hAnsi="Book Antiqua" w:cs="Arial"/>
          <w:sz w:val="24"/>
          <w:szCs w:val="24"/>
          <w:lang w:val="en-US"/>
        </w:rPr>
        <w:t xml:space="preserve"> the levels of </w:t>
      </w:r>
      <w:r w:rsidR="00703987" w:rsidRPr="007F5A49">
        <w:rPr>
          <w:rFonts w:ascii="Book Antiqua" w:hAnsi="Book Antiqua" w:cs="Arial"/>
          <w:sz w:val="24"/>
          <w:szCs w:val="24"/>
          <w:lang w:val="en-US"/>
        </w:rPr>
        <w:t xml:space="preserve">insoluble elastin </w:t>
      </w:r>
      <w:r w:rsidR="002030C5" w:rsidRPr="007F5A49">
        <w:rPr>
          <w:rFonts w:ascii="Book Antiqua" w:hAnsi="Book Antiqua" w:cs="Arial"/>
          <w:sz w:val="24"/>
          <w:szCs w:val="24"/>
          <w:lang w:val="en-US"/>
        </w:rPr>
        <w:t xml:space="preserve">protein </w:t>
      </w:r>
      <w:r w:rsidR="00703987" w:rsidRPr="007F5A49">
        <w:rPr>
          <w:rFonts w:ascii="Book Antiqua" w:hAnsi="Book Antiqua" w:cs="Arial"/>
          <w:sz w:val="24"/>
          <w:szCs w:val="24"/>
          <w:lang w:val="en-US"/>
        </w:rPr>
        <w:t xml:space="preserve">and </w:t>
      </w:r>
      <w:r w:rsidR="00E274A5" w:rsidRPr="007F5A49">
        <w:rPr>
          <w:rFonts w:ascii="Book Antiqua" w:hAnsi="Book Antiqua" w:cs="Arial"/>
          <w:sz w:val="24"/>
          <w:szCs w:val="24"/>
          <w:lang w:val="en-US"/>
        </w:rPr>
        <w:t>elastin mRNA</w:t>
      </w:r>
      <w:r w:rsidR="002030C5" w:rsidRPr="007F5A49">
        <w:rPr>
          <w:rFonts w:ascii="Book Antiqua" w:hAnsi="Book Antiqua" w:cs="Arial"/>
          <w:sz w:val="24"/>
          <w:szCs w:val="24"/>
          <w:lang w:val="en-US"/>
        </w:rPr>
        <w:t xml:space="preserve"> levels</w:t>
      </w:r>
      <w:r w:rsidR="00E274A5" w:rsidRPr="007F5A49">
        <w:rPr>
          <w:rFonts w:ascii="Book Antiqua" w:hAnsi="Book Antiqua" w:cs="Arial"/>
          <w:sz w:val="24"/>
          <w:szCs w:val="24"/>
          <w:lang w:val="en-US"/>
        </w:rPr>
        <w:t xml:space="preserve"> </w:t>
      </w:r>
      <w:r w:rsidR="00E20977" w:rsidRPr="007F5A49">
        <w:rPr>
          <w:rFonts w:ascii="Book Antiqua" w:hAnsi="Book Antiqua" w:cs="Arial"/>
          <w:sz w:val="24"/>
          <w:szCs w:val="24"/>
          <w:lang w:val="en-US"/>
        </w:rPr>
        <w:t>by 3-fold</w:t>
      </w:r>
      <w:r w:rsidR="00E274A5"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15krhng8na","properties":{"formattedCitation":"(63)","plainCitation":"(63)","noteIndex":0},"citationItems":[{"id":"z1PZoHrb/tHYhZa9v","uris":["http://zotero.org/users/4222068/items/K7RUSTUS"],"uri":["http://zotero.org/users/4222068/items/K7RUSTUS"],"itemData":{"id":1169,"type":"article-journal","title":"Fluctuations of intracellular iron modulate elastin production","container-title":"The Journal of Biological Chemistry","page":"2341-2351","volume":"280","issue":"3","source":"PubMed","abstract":"Production of insoluble elastin, the major component of elastic fibers, can be modulated by numerous intrinsic and exogenous factors. Because patients with hemolytic disorders characterized with fluctuations in iron concentration demonstrate defective elastic fibers, we speculated that iron might also modulate elastogenesis. In the present report we demonstrate that treatment of cultured human skin fibroblasts with low concentration of iron 2-20 microm (ferric ammonium citrate) induced a significant increase in the synthesis of tropoelastin and deposition of insoluble elastin. Northern blot and real-time reverse transcription-PCR analysis revealed that treatment with 20 microm iron led to an increase of approximately 3-fold in elastin mRNA levels. Because treatment with an intracellular iron chelator, desferrioxamine, caused a significant decrease in elastin mRNA level and consequent inhibition of elastin deposition, we conclude that iron facilitates elastin gene expression. Our experimental evidence also demonstrates the existence of an opposite effect, in which higher, but not cytotoxic concentrations of iron (100-400 microm) induced the production of intracellular reactive oxygen species that coincided with a significant decrease in elastin message stability and the disappearance of iron-dependent stimulatory effect on elastogenesis. This stimulatory elastogenic effect was reversed, however, in cultures simultaneously treated with high iron concentration (200 microm) and the intracellular hydroxyl radical scavenger, dimethylthiourea. Thus, presented data, for the first time, demonstrate the existence of two opposite iron-dependent mechanisms that may affect the steady state of elastin message. We speculate that extreme fluctuations in intracellular iron levels result in impaired elastic fiber production as observed in hemolytic diseases.","DOI":"10.1074/jbc.M409897200","ISSN":"0021-9258","note":"PMID: 15537639","journalAbbreviation":"J. Biol. Chem.","language":"eng","author":[{"family":"Bunda","given":"Severa"},{"family":"Kaviani","given":"Nilo"},{"family":"Hinek","given":"Aleksander"}],"issued":{"date-parts":[["2005",1,21]]}}}],"schema":"https://github.com/citation-style-language/schema/raw/master/csl-citation.json"} </w:instrText>
      </w:r>
      <w:r w:rsidR="00E274A5" w:rsidRPr="007F5A49">
        <w:rPr>
          <w:rFonts w:ascii="Book Antiqua" w:hAnsi="Book Antiqua" w:cs="Arial"/>
          <w:sz w:val="24"/>
          <w:szCs w:val="24"/>
          <w:vertAlign w:val="superscript"/>
          <w:lang w:val="en-US"/>
        </w:rPr>
        <w:fldChar w:fldCharType="separate"/>
      </w:r>
      <w:r w:rsidR="000D68B3"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63</w:t>
      </w:r>
      <w:r w:rsidR="00E274A5" w:rsidRPr="007F5A49">
        <w:rPr>
          <w:rFonts w:ascii="Book Antiqua" w:hAnsi="Book Antiqua" w:cs="Arial"/>
          <w:sz w:val="24"/>
          <w:szCs w:val="24"/>
          <w:vertAlign w:val="superscript"/>
          <w:lang w:val="en-US"/>
        </w:rPr>
        <w:fldChar w:fldCharType="end"/>
      </w:r>
      <w:r w:rsidR="000D68B3" w:rsidRPr="007F5A49">
        <w:rPr>
          <w:rFonts w:ascii="Book Antiqua" w:hAnsi="Book Antiqua" w:cs="Arial"/>
          <w:sz w:val="24"/>
          <w:szCs w:val="24"/>
          <w:vertAlign w:val="superscript"/>
          <w:lang w:val="en-US"/>
        </w:rPr>
        <w:t>]</w:t>
      </w:r>
      <w:r w:rsidR="00813087" w:rsidRPr="007F5A49">
        <w:rPr>
          <w:rFonts w:ascii="Book Antiqua" w:hAnsi="Book Antiqua" w:cs="Arial"/>
          <w:sz w:val="24"/>
          <w:szCs w:val="24"/>
          <w:lang w:val="en-US"/>
        </w:rPr>
        <w:t xml:space="preserve">. </w:t>
      </w:r>
      <w:r w:rsidR="00937182" w:rsidRPr="007F5A49">
        <w:rPr>
          <w:rFonts w:ascii="Book Antiqua" w:hAnsi="Book Antiqua" w:cs="Arial"/>
          <w:sz w:val="24"/>
          <w:szCs w:val="24"/>
          <w:lang w:val="en-US"/>
        </w:rPr>
        <w:t xml:space="preserve">Further studies are required </w:t>
      </w:r>
      <w:r w:rsidR="00E274A5" w:rsidRPr="007F5A49">
        <w:rPr>
          <w:rFonts w:ascii="Book Antiqua" w:hAnsi="Book Antiqua" w:cs="Arial"/>
          <w:sz w:val="24"/>
          <w:szCs w:val="24"/>
          <w:lang w:val="en-US"/>
        </w:rPr>
        <w:t xml:space="preserve">to </w:t>
      </w:r>
      <w:r w:rsidR="00926C28" w:rsidRPr="007F5A49">
        <w:rPr>
          <w:rFonts w:ascii="Book Antiqua" w:hAnsi="Book Antiqua" w:cs="Arial"/>
          <w:sz w:val="24"/>
          <w:szCs w:val="24"/>
          <w:lang w:val="en-US"/>
        </w:rPr>
        <w:t xml:space="preserve">ascertain the role of iron in </w:t>
      </w:r>
      <w:proofErr w:type="spellStart"/>
      <w:r w:rsidR="00ED055E" w:rsidRPr="007F5A49">
        <w:rPr>
          <w:rFonts w:ascii="Book Antiqua" w:hAnsi="Book Antiqua" w:cs="Arial"/>
          <w:sz w:val="24"/>
          <w:szCs w:val="24"/>
          <w:lang w:val="en-US"/>
        </w:rPr>
        <w:t>elastogenesis</w:t>
      </w:r>
      <w:proofErr w:type="spellEnd"/>
      <w:r w:rsidR="00ED055E" w:rsidRPr="007F5A49">
        <w:rPr>
          <w:rFonts w:ascii="Book Antiqua" w:hAnsi="Book Antiqua" w:cs="Arial"/>
          <w:sz w:val="24"/>
          <w:szCs w:val="24"/>
          <w:lang w:val="en-US"/>
        </w:rPr>
        <w:t xml:space="preserve"> in the HSCs, as </w:t>
      </w:r>
      <w:r w:rsidR="00431B53" w:rsidRPr="007F5A49">
        <w:rPr>
          <w:rFonts w:ascii="Book Antiqua" w:hAnsi="Book Antiqua" w:cs="Arial"/>
          <w:sz w:val="24"/>
          <w:szCs w:val="24"/>
          <w:lang w:val="en-US"/>
        </w:rPr>
        <w:t xml:space="preserve">it is </w:t>
      </w:r>
      <w:r w:rsidR="00BC5CC0" w:rsidRPr="007F5A49">
        <w:rPr>
          <w:rFonts w:ascii="Book Antiqua" w:hAnsi="Book Antiqua" w:cs="Arial"/>
          <w:sz w:val="24"/>
          <w:szCs w:val="24"/>
          <w:lang w:val="en-US"/>
        </w:rPr>
        <w:t xml:space="preserve">a </w:t>
      </w:r>
      <w:r w:rsidR="0031189B" w:rsidRPr="007F5A49">
        <w:rPr>
          <w:rFonts w:ascii="Book Antiqua" w:hAnsi="Book Antiqua" w:cs="Arial"/>
          <w:sz w:val="24"/>
          <w:szCs w:val="24"/>
          <w:lang w:val="en-US"/>
        </w:rPr>
        <w:t>potentia</w:t>
      </w:r>
      <w:r w:rsidR="00C04BB2">
        <w:rPr>
          <w:rFonts w:ascii="Book Antiqua" w:hAnsi="Book Antiqua" w:cs="Arial"/>
          <w:sz w:val="24"/>
          <w:szCs w:val="24"/>
          <w:lang w:val="en-US"/>
        </w:rPr>
        <w:t>l target for fibrosis therapy.</w:t>
      </w:r>
    </w:p>
    <w:p w14:paraId="25AAD4C0" w14:textId="0D541F01" w:rsidR="00F60A81" w:rsidRPr="007F5A49" w:rsidRDefault="00F60A81" w:rsidP="007F5A49">
      <w:pPr>
        <w:adjustRightInd w:val="0"/>
        <w:snapToGrid w:val="0"/>
        <w:spacing w:after="0" w:line="360" w:lineRule="auto"/>
        <w:jc w:val="both"/>
        <w:rPr>
          <w:rFonts w:ascii="Book Antiqua" w:hAnsi="Book Antiqua" w:cs="Arial"/>
          <w:b/>
          <w:sz w:val="24"/>
          <w:szCs w:val="24"/>
          <w:lang w:val="en-US"/>
        </w:rPr>
      </w:pPr>
    </w:p>
    <w:p w14:paraId="0EFAF0CF" w14:textId="031B6F50" w:rsidR="005A5C80" w:rsidRPr="007F5A49" w:rsidRDefault="005A5C80" w:rsidP="008E1EBB">
      <w:pPr>
        <w:adjustRightInd w:val="0"/>
        <w:snapToGrid w:val="0"/>
        <w:spacing w:after="0" w:line="360" w:lineRule="auto"/>
        <w:jc w:val="both"/>
        <w:outlineLvl w:val="0"/>
        <w:rPr>
          <w:rFonts w:ascii="Book Antiqua" w:hAnsi="Book Antiqua" w:cs="Arial"/>
          <w:b/>
          <w:sz w:val="24"/>
          <w:szCs w:val="24"/>
          <w:lang w:val="en-US"/>
        </w:rPr>
      </w:pPr>
      <w:r w:rsidRPr="007F5A49">
        <w:rPr>
          <w:rFonts w:ascii="Book Antiqua" w:hAnsi="Book Antiqua" w:cs="Arial"/>
          <w:b/>
          <w:sz w:val="24"/>
          <w:szCs w:val="24"/>
          <w:lang w:val="en-US"/>
        </w:rPr>
        <w:t>I</w:t>
      </w:r>
      <w:r w:rsidR="00CF46AE" w:rsidRPr="007F5A49">
        <w:rPr>
          <w:rFonts w:ascii="Book Antiqua" w:hAnsi="Book Antiqua" w:cs="Arial"/>
          <w:b/>
          <w:sz w:val="24"/>
          <w:szCs w:val="24"/>
          <w:lang w:val="en-US"/>
        </w:rPr>
        <w:t xml:space="preserve">RON LOADING AND FIBROSIS IN DIFFERENT LIVER PATHOLOGIES </w:t>
      </w:r>
    </w:p>
    <w:p w14:paraId="533C3286" w14:textId="471C2D3E" w:rsidR="000C7E3E" w:rsidRPr="007F5A49" w:rsidRDefault="004872F5" w:rsidP="007F5A49">
      <w:pPr>
        <w:adjustRightInd w:val="0"/>
        <w:snapToGrid w:val="0"/>
        <w:spacing w:after="0" w:line="360" w:lineRule="auto"/>
        <w:jc w:val="both"/>
        <w:rPr>
          <w:rFonts w:ascii="Book Antiqua" w:hAnsi="Book Antiqua" w:cs="Arial"/>
          <w:sz w:val="24"/>
          <w:szCs w:val="24"/>
          <w:lang w:val="en-US"/>
        </w:rPr>
      </w:pPr>
      <w:r w:rsidRPr="007F5A49">
        <w:rPr>
          <w:rFonts w:ascii="Book Antiqua" w:hAnsi="Book Antiqua" w:cs="Arial"/>
          <w:sz w:val="24"/>
          <w:szCs w:val="24"/>
          <w:lang w:val="en-US"/>
        </w:rPr>
        <w:t xml:space="preserve">In haemochromatosis, iron loading can be very severe. However, </w:t>
      </w:r>
      <w:r w:rsidR="000B074D" w:rsidRPr="007F5A49">
        <w:rPr>
          <w:rFonts w:ascii="Book Antiqua" w:hAnsi="Book Antiqua" w:cs="Arial"/>
          <w:sz w:val="24"/>
          <w:szCs w:val="24"/>
          <w:lang w:val="en-US"/>
        </w:rPr>
        <w:t xml:space="preserve">in ALD, NAFLD, NASH and viral hepatitis, low to moderate levels of </w:t>
      </w:r>
      <w:r w:rsidR="000C7E3E" w:rsidRPr="007F5A49">
        <w:rPr>
          <w:rFonts w:ascii="Book Antiqua" w:hAnsi="Book Antiqua" w:cs="Arial"/>
          <w:sz w:val="24"/>
          <w:szCs w:val="24"/>
          <w:lang w:val="en-US"/>
        </w:rPr>
        <w:t xml:space="preserve">excess </w:t>
      </w:r>
      <w:r w:rsidR="000B074D" w:rsidRPr="007F5A49">
        <w:rPr>
          <w:rFonts w:ascii="Book Antiqua" w:hAnsi="Book Antiqua" w:cs="Arial"/>
          <w:sz w:val="24"/>
          <w:szCs w:val="24"/>
          <w:lang w:val="en-US"/>
        </w:rPr>
        <w:t xml:space="preserve">iron are sufficient to support the </w:t>
      </w:r>
      <w:r w:rsidRPr="007F5A49">
        <w:rPr>
          <w:rFonts w:ascii="Book Antiqua" w:hAnsi="Book Antiqua" w:cs="Arial"/>
          <w:sz w:val="24"/>
          <w:szCs w:val="24"/>
          <w:lang w:val="en-US"/>
        </w:rPr>
        <w:t xml:space="preserve">pathological </w:t>
      </w:r>
      <w:r w:rsidR="000B074D" w:rsidRPr="007F5A49">
        <w:rPr>
          <w:rFonts w:ascii="Book Antiqua" w:hAnsi="Book Antiqua" w:cs="Arial"/>
          <w:sz w:val="24"/>
          <w:szCs w:val="24"/>
          <w:lang w:val="en-US"/>
        </w:rPr>
        <w:t>progression.</w:t>
      </w:r>
      <w:r w:rsidR="000C7E3E" w:rsidRPr="007F5A49">
        <w:rPr>
          <w:rFonts w:ascii="Book Antiqua" w:hAnsi="Book Antiqua" w:cs="Arial"/>
          <w:sz w:val="24"/>
          <w:szCs w:val="24"/>
          <w:lang w:val="en-US"/>
        </w:rPr>
        <w:t xml:space="preserve"> </w:t>
      </w:r>
      <w:r w:rsidRPr="007F5A49">
        <w:rPr>
          <w:rFonts w:ascii="Book Antiqua" w:hAnsi="Book Antiqua" w:cs="Arial"/>
          <w:sz w:val="24"/>
          <w:szCs w:val="24"/>
          <w:lang w:val="en-US"/>
        </w:rPr>
        <w:t>Some</w:t>
      </w:r>
      <w:r w:rsidR="000C7E3E" w:rsidRPr="007F5A49">
        <w:rPr>
          <w:rFonts w:ascii="Book Antiqua" w:hAnsi="Book Antiqua" w:cs="Arial"/>
          <w:sz w:val="24"/>
          <w:szCs w:val="24"/>
          <w:lang w:val="en-US"/>
        </w:rPr>
        <w:t xml:space="preserve"> iron-related parameters in these CLDs are </w:t>
      </w:r>
      <w:proofErr w:type="spellStart"/>
      <w:r w:rsidR="000C7E3E" w:rsidRPr="007F5A49">
        <w:rPr>
          <w:rFonts w:ascii="Book Antiqua" w:hAnsi="Book Antiqua" w:cs="Arial"/>
          <w:sz w:val="24"/>
          <w:szCs w:val="24"/>
          <w:lang w:val="en-US"/>
        </w:rPr>
        <w:t>summarised</w:t>
      </w:r>
      <w:proofErr w:type="spellEnd"/>
      <w:r w:rsidR="000C7E3E" w:rsidRPr="007F5A49">
        <w:rPr>
          <w:rFonts w:ascii="Book Antiqua" w:hAnsi="Book Antiqua" w:cs="Arial"/>
          <w:sz w:val="24"/>
          <w:szCs w:val="24"/>
          <w:lang w:val="en-US"/>
        </w:rPr>
        <w:t xml:space="preserve"> in Table 2. </w:t>
      </w:r>
    </w:p>
    <w:p w14:paraId="04DC0360" w14:textId="77777777" w:rsidR="000C7E3E" w:rsidRPr="007F5A49" w:rsidRDefault="000C7E3E" w:rsidP="007F5A49">
      <w:pPr>
        <w:adjustRightInd w:val="0"/>
        <w:snapToGrid w:val="0"/>
        <w:spacing w:after="0" w:line="360" w:lineRule="auto"/>
        <w:jc w:val="both"/>
        <w:rPr>
          <w:rFonts w:ascii="Book Antiqua" w:hAnsi="Book Antiqua" w:cs="Arial"/>
          <w:i/>
          <w:sz w:val="24"/>
          <w:szCs w:val="24"/>
          <w:u w:val="single"/>
          <w:lang w:val="en-US"/>
        </w:rPr>
      </w:pPr>
    </w:p>
    <w:p w14:paraId="4BF500E0" w14:textId="1EAA4313" w:rsidR="000F5773" w:rsidRPr="007F5A49" w:rsidRDefault="007B5113" w:rsidP="008E1EBB">
      <w:pPr>
        <w:adjustRightInd w:val="0"/>
        <w:snapToGrid w:val="0"/>
        <w:spacing w:after="0" w:line="360" w:lineRule="auto"/>
        <w:jc w:val="both"/>
        <w:outlineLvl w:val="0"/>
        <w:rPr>
          <w:rFonts w:ascii="Book Antiqua" w:hAnsi="Book Antiqua" w:cs="Arial"/>
          <w:b/>
          <w:i/>
          <w:sz w:val="24"/>
          <w:szCs w:val="24"/>
          <w:lang w:val="en-US"/>
        </w:rPr>
      </w:pPr>
      <w:r w:rsidRPr="007F5A49">
        <w:rPr>
          <w:rFonts w:ascii="Book Antiqua" w:hAnsi="Book Antiqua" w:cs="Arial"/>
          <w:b/>
          <w:i/>
          <w:sz w:val="24"/>
          <w:szCs w:val="24"/>
          <w:lang w:val="en-US"/>
        </w:rPr>
        <w:t>Haemochromatosis</w:t>
      </w:r>
    </w:p>
    <w:p w14:paraId="112F7CC0" w14:textId="5720DA14" w:rsidR="00EE6396" w:rsidRPr="007F5A49" w:rsidRDefault="0099782D" w:rsidP="007F5A49">
      <w:pPr>
        <w:adjustRightInd w:val="0"/>
        <w:snapToGrid w:val="0"/>
        <w:spacing w:after="0" w:line="360" w:lineRule="auto"/>
        <w:jc w:val="both"/>
        <w:rPr>
          <w:rFonts w:ascii="Book Antiqua" w:hAnsi="Book Antiqua" w:cs="Arial"/>
          <w:sz w:val="24"/>
          <w:szCs w:val="24"/>
          <w:lang w:val="en-US"/>
        </w:rPr>
      </w:pPr>
      <w:r w:rsidRPr="007F5A49">
        <w:rPr>
          <w:rFonts w:ascii="Book Antiqua" w:hAnsi="Book Antiqua" w:cs="Arial"/>
          <w:sz w:val="24"/>
          <w:szCs w:val="24"/>
          <w:lang w:val="en-US"/>
        </w:rPr>
        <w:t xml:space="preserve">Pietrangelo </w:t>
      </w:r>
      <w:r w:rsidR="00EE6396" w:rsidRPr="007F5A49">
        <w:rPr>
          <w:rFonts w:ascii="Book Antiqua" w:hAnsi="Book Antiqua" w:cs="Arial"/>
          <w:sz w:val="24"/>
          <w:szCs w:val="24"/>
          <w:lang w:val="en-US"/>
        </w:rPr>
        <w:t xml:space="preserve">(2010) </w:t>
      </w:r>
      <w:r w:rsidRPr="007F5A49">
        <w:rPr>
          <w:rFonts w:ascii="Book Antiqua" w:hAnsi="Book Antiqua" w:cs="Arial"/>
          <w:sz w:val="24"/>
          <w:szCs w:val="24"/>
          <w:lang w:val="en-US"/>
        </w:rPr>
        <w:t>define</w:t>
      </w:r>
      <w:r w:rsidR="002F2E07" w:rsidRPr="007F5A49">
        <w:rPr>
          <w:rFonts w:ascii="Book Antiqua" w:hAnsi="Book Antiqua" w:cs="Arial"/>
          <w:sz w:val="24"/>
          <w:szCs w:val="24"/>
          <w:lang w:val="en-US"/>
        </w:rPr>
        <w:t>d</w:t>
      </w:r>
      <w:r w:rsidRPr="007F5A49">
        <w:rPr>
          <w:rFonts w:ascii="Book Antiqua" w:hAnsi="Book Antiqua" w:cs="Arial"/>
          <w:sz w:val="24"/>
          <w:szCs w:val="24"/>
          <w:lang w:val="en-US"/>
        </w:rPr>
        <w:t xml:space="preserve"> </w:t>
      </w:r>
      <w:r w:rsidR="007B5113" w:rsidRPr="007F5A49">
        <w:rPr>
          <w:rFonts w:ascii="Book Antiqua" w:hAnsi="Book Antiqua" w:cs="Arial"/>
          <w:sz w:val="24"/>
          <w:szCs w:val="24"/>
          <w:lang w:val="en-US"/>
        </w:rPr>
        <w:t>haemochromatosis</w:t>
      </w:r>
      <w:r w:rsidRPr="007F5A49">
        <w:rPr>
          <w:rFonts w:ascii="Book Antiqua" w:hAnsi="Book Antiqua" w:cs="Arial"/>
          <w:sz w:val="24"/>
          <w:szCs w:val="24"/>
          <w:lang w:val="en-US"/>
        </w:rPr>
        <w:t xml:space="preserve"> as a syndrome </w:t>
      </w:r>
      <w:proofErr w:type="spellStart"/>
      <w:r w:rsidRPr="007F5A49">
        <w:rPr>
          <w:rFonts w:ascii="Book Antiqua" w:hAnsi="Book Antiqua" w:cs="Arial"/>
          <w:sz w:val="24"/>
          <w:szCs w:val="24"/>
          <w:lang w:val="en-US"/>
        </w:rPr>
        <w:t>characterised</w:t>
      </w:r>
      <w:proofErr w:type="spellEnd"/>
      <w:r w:rsidRPr="007F5A49">
        <w:rPr>
          <w:rFonts w:ascii="Book Antiqua" w:hAnsi="Book Antiqua" w:cs="Arial"/>
          <w:sz w:val="24"/>
          <w:szCs w:val="24"/>
          <w:lang w:val="en-US"/>
        </w:rPr>
        <w:t xml:space="preserve"> by excessive deposition of iron in the parenchymal cells of several vital organs, and which is caused by mutation in </w:t>
      </w:r>
      <w:r w:rsidR="0030630E" w:rsidRPr="007F5A49">
        <w:rPr>
          <w:rFonts w:ascii="Book Antiqua" w:hAnsi="Book Antiqua" w:cs="Arial"/>
          <w:sz w:val="24"/>
          <w:szCs w:val="24"/>
          <w:lang w:val="en-US"/>
        </w:rPr>
        <w:t>single or multiple genes</w:t>
      </w:r>
      <w:r w:rsidRPr="007F5A49">
        <w:rPr>
          <w:rFonts w:ascii="Book Antiqua" w:hAnsi="Book Antiqua" w:cs="Arial"/>
          <w:sz w:val="24"/>
          <w:szCs w:val="24"/>
          <w:lang w:val="en-US"/>
        </w:rPr>
        <w:t xml:space="preserve"> that regulate iron import into the circulation. It overarches the mutations in the genes </w:t>
      </w:r>
      <w:r w:rsidRPr="007F5A49">
        <w:rPr>
          <w:rFonts w:ascii="Book Antiqua" w:hAnsi="Book Antiqua" w:cs="Arial"/>
          <w:i/>
          <w:sz w:val="24"/>
          <w:szCs w:val="24"/>
          <w:lang w:val="en-US"/>
        </w:rPr>
        <w:t>HFE</w:t>
      </w:r>
      <w:r w:rsidRPr="007F5A49">
        <w:rPr>
          <w:rFonts w:ascii="Book Antiqua" w:hAnsi="Book Antiqua" w:cs="Arial"/>
          <w:sz w:val="24"/>
          <w:szCs w:val="24"/>
          <w:lang w:val="en-US"/>
        </w:rPr>
        <w:t xml:space="preserve">, </w:t>
      </w:r>
      <w:r w:rsidRPr="007F5A49">
        <w:rPr>
          <w:rFonts w:ascii="Book Antiqua" w:hAnsi="Book Antiqua" w:cs="Arial"/>
          <w:i/>
          <w:sz w:val="24"/>
          <w:szCs w:val="24"/>
          <w:lang w:val="en-US"/>
        </w:rPr>
        <w:t>TFR2</w:t>
      </w:r>
      <w:r w:rsidRPr="007F5A49">
        <w:rPr>
          <w:rFonts w:ascii="Book Antiqua" w:hAnsi="Book Antiqua" w:cs="Arial"/>
          <w:sz w:val="24"/>
          <w:szCs w:val="24"/>
          <w:lang w:val="en-US"/>
        </w:rPr>
        <w:t>,</w:t>
      </w:r>
      <w:r w:rsidR="00280C1F" w:rsidRPr="007F5A49">
        <w:rPr>
          <w:rFonts w:ascii="Book Antiqua" w:hAnsi="Book Antiqua" w:cs="Arial"/>
          <w:sz w:val="24"/>
          <w:szCs w:val="24"/>
          <w:lang w:val="en-US"/>
        </w:rPr>
        <w:t xml:space="preserve"> </w:t>
      </w:r>
      <w:r w:rsidR="00280C1F" w:rsidRPr="007F5A49">
        <w:rPr>
          <w:rFonts w:ascii="Book Antiqua" w:hAnsi="Book Antiqua" w:cs="Arial"/>
          <w:i/>
          <w:sz w:val="24"/>
          <w:szCs w:val="24"/>
          <w:lang w:val="en-US"/>
        </w:rPr>
        <w:t>HJV</w:t>
      </w:r>
      <w:r w:rsidR="00F60A81" w:rsidRPr="007F5A49">
        <w:rPr>
          <w:rFonts w:ascii="Book Antiqua" w:hAnsi="Book Antiqua" w:cs="Arial"/>
          <w:sz w:val="24"/>
          <w:szCs w:val="24"/>
          <w:lang w:val="en-US"/>
        </w:rPr>
        <w:t xml:space="preserve"> (encoding hemojuvelin)</w:t>
      </w:r>
      <w:r w:rsidR="00280C1F" w:rsidRPr="007F5A49">
        <w:rPr>
          <w:rFonts w:ascii="Book Antiqua" w:hAnsi="Book Antiqua" w:cs="Arial"/>
          <w:sz w:val="24"/>
          <w:szCs w:val="24"/>
          <w:lang w:val="en-US"/>
        </w:rPr>
        <w:t>,</w:t>
      </w:r>
      <w:r w:rsidRPr="007F5A49">
        <w:rPr>
          <w:rFonts w:ascii="Book Antiqua" w:hAnsi="Book Antiqua" w:cs="Arial"/>
          <w:sz w:val="24"/>
          <w:szCs w:val="24"/>
          <w:lang w:val="en-US"/>
        </w:rPr>
        <w:t xml:space="preserve"> </w:t>
      </w:r>
      <w:r w:rsidRPr="007F5A49">
        <w:rPr>
          <w:rFonts w:ascii="Book Antiqua" w:hAnsi="Book Antiqua" w:cs="Arial"/>
          <w:i/>
          <w:sz w:val="24"/>
          <w:szCs w:val="24"/>
          <w:lang w:val="en-US"/>
        </w:rPr>
        <w:t>HAMP</w:t>
      </w:r>
      <w:r w:rsidRPr="007F5A49">
        <w:rPr>
          <w:rFonts w:ascii="Book Antiqua" w:hAnsi="Book Antiqua" w:cs="Arial"/>
          <w:sz w:val="24"/>
          <w:szCs w:val="24"/>
          <w:lang w:val="en-US"/>
        </w:rPr>
        <w:t xml:space="preserve"> (encoding hepcidin)</w:t>
      </w:r>
      <w:r w:rsidR="0030630E" w:rsidRPr="007F5A49">
        <w:rPr>
          <w:rFonts w:ascii="Book Antiqua" w:hAnsi="Book Antiqua" w:cs="Arial"/>
          <w:sz w:val="24"/>
          <w:szCs w:val="24"/>
          <w:lang w:val="en-US"/>
        </w:rPr>
        <w:t xml:space="preserve"> </w:t>
      </w:r>
      <w:r w:rsidRPr="007F5A49">
        <w:rPr>
          <w:rFonts w:ascii="Book Antiqua" w:hAnsi="Book Antiqua" w:cs="Arial"/>
          <w:sz w:val="24"/>
          <w:szCs w:val="24"/>
          <w:lang w:val="en-US"/>
        </w:rPr>
        <w:t xml:space="preserve">and </w:t>
      </w:r>
      <w:r w:rsidRPr="007F5A49">
        <w:rPr>
          <w:rFonts w:ascii="Book Antiqua" w:hAnsi="Book Antiqua" w:cs="Arial"/>
          <w:i/>
          <w:sz w:val="24"/>
          <w:szCs w:val="24"/>
          <w:lang w:val="en-US"/>
        </w:rPr>
        <w:t>SLC40A1</w:t>
      </w:r>
      <w:r w:rsidRPr="007F5A49">
        <w:rPr>
          <w:rFonts w:ascii="Book Antiqua" w:hAnsi="Book Antiqua" w:cs="Arial"/>
          <w:sz w:val="24"/>
          <w:szCs w:val="24"/>
          <w:lang w:val="en-US"/>
        </w:rPr>
        <w:t xml:space="preserve"> (encoding </w:t>
      </w:r>
      <w:proofErr w:type="spellStart"/>
      <w:r w:rsidRPr="007F5A49">
        <w:rPr>
          <w:rFonts w:ascii="Book Antiqua" w:hAnsi="Book Antiqua" w:cs="Arial"/>
          <w:sz w:val="24"/>
          <w:szCs w:val="24"/>
          <w:lang w:val="en-US"/>
        </w:rPr>
        <w:t>ferroportin</w:t>
      </w:r>
      <w:proofErr w:type="spellEnd"/>
      <w:r w:rsidRPr="007F5A49">
        <w:rPr>
          <w:rFonts w:ascii="Book Antiqua" w:hAnsi="Book Antiqua" w:cs="Arial"/>
          <w:sz w:val="24"/>
          <w:szCs w:val="24"/>
          <w:lang w:val="en-US"/>
        </w:rPr>
        <w:t>)</w:t>
      </w:r>
      <w:r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10ldb36147","properties":{"formattedCitation":"(64)","plainCitation":"(64)","noteIndex":0},"citationItems":[{"id":399,"uris":["http://zotero.org/users/2804724/items/NXHS8T62"],"uri":["http://zotero.org/users/2804724/items/NXHS8T62"],"itemData":{"id":399,"type":"article-journal","title":"Hereditary hemochromatosis: pathogenesis, diagnosis, and treatment","container-title":"Gastroenterology","page":"393-408, 408.e1-2","volume":"139","issue":"2","source":"PubMed","abstract":"In the late 1800s, hemochromatosis was considered an odd autoptic finding. More than a century later, it was finally recognized as a hereditary, multi-organ disorder associated with a polymorphism that is common among white people: a 845G--&gt;A change in HFE that results in C282Y in the gene product. Hemochromatosis is now a well-defined syndrome characterized by normal iron-driven erythropoiesis and the toxic accumulation of iron in parenchymal cells of liver, heart, and endocrine glands. It can be caused by mutations that affect any of the proteins that limit the entry of iron into the blood. In mice, deletion of the iron hormone hepcidin and any of 8 genes that regulate its biology, including Hfe, transferrin receptor 2 (Tfr2), and hemojuvelin (Hjv) (which all sense the accumulation of iron that hepcidin corrects) or ferroportin (Fpn) (the cellular iron exporter down-regulated by hepcidin), cause iron overload but not organ disease. In humans, loss of TfR2, HJV, and hepcidin itself or FPN mutations result in full-blown hemochromatosis. Unlike these rare instances, in white people, homozygotes for C282Y polymorphism in HFE are numerous, but they are only predisposed to hemochromatosis; complete organ disease develops in a minority, when these individuals abuse alcohol or from other unidentified modifying factors. HFE gene testing can be used to diagnose hemochromatosis, but analyses of liver histology and clinical features are still required to identify patients with rare, non-HFE forms of the disease. The role of hepcidin in the pathogenesis of hemochromatosis reveals its similarities to endocrine diseases such as diabetes and indicates new approaches to diagnosis and management of this common disorder in iron metabolism.","DOI":"10.1053/j.gastro.2010.06.013","ISSN":"1528-0012","note":"PMID: 20542038","shortTitle":"Hereditary hemochromatosis","journalAbbreviation":"Gastroenterology","language":"eng","author":[{"family":"Pietrangelo","given":"Antonello"}],"issued":{"date-parts":[["2010",8]]}}}],"schema":"https://github.com/citation-style-language/schema/raw/master/csl-citation.json"} </w:instrText>
      </w:r>
      <w:r w:rsidRPr="007F5A49">
        <w:rPr>
          <w:rFonts w:ascii="Book Antiqua" w:hAnsi="Book Antiqua" w:cs="Arial"/>
          <w:sz w:val="24"/>
          <w:szCs w:val="24"/>
          <w:vertAlign w:val="superscript"/>
          <w:lang w:val="en-US"/>
        </w:rPr>
        <w:fldChar w:fldCharType="separate"/>
      </w:r>
      <w:r w:rsidR="00D16BAF"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64</w:t>
      </w:r>
      <w:r w:rsidRPr="007F5A49">
        <w:rPr>
          <w:rFonts w:ascii="Book Antiqua" w:hAnsi="Book Antiqua" w:cs="Arial"/>
          <w:sz w:val="24"/>
          <w:szCs w:val="24"/>
          <w:vertAlign w:val="superscript"/>
          <w:lang w:val="en-US"/>
        </w:rPr>
        <w:fldChar w:fldCharType="end"/>
      </w:r>
      <w:r w:rsidR="00D16BAF" w:rsidRPr="007F5A49">
        <w:rPr>
          <w:rFonts w:ascii="Book Antiqua" w:hAnsi="Book Antiqua" w:cs="Arial"/>
          <w:sz w:val="24"/>
          <w:szCs w:val="24"/>
          <w:vertAlign w:val="superscript"/>
          <w:lang w:val="en-US"/>
        </w:rPr>
        <w:t>]</w:t>
      </w:r>
      <w:r w:rsidR="006F1B27" w:rsidRPr="007F5A49">
        <w:rPr>
          <w:rFonts w:ascii="Book Antiqua" w:hAnsi="Book Antiqua" w:cs="Arial"/>
          <w:sz w:val="24"/>
          <w:szCs w:val="24"/>
          <w:lang w:val="en-US"/>
        </w:rPr>
        <w:t>.</w:t>
      </w:r>
      <w:r w:rsidR="00A740EF" w:rsidRPr="007F5A49">
        <w:rPr>
          <w:rFonts w:ascii="Book Antiqua" w:hAnsi="Book Antiqua" w:cs="Arial"/>
          <w:sz w:val="24"/>
          <w:szCs w:val="24"/>
          <w:lang w:val="en-US"/>
        </w:rPr>
        <w:t xml:space="preserve"> In these cases, </w:t>
      </w:r>
      <w:r w:rsidR="006F1B27" w:rsidRPr="007F5A49">
        <w:rPr>
          <w:rFonts w:ascii="Book Antiqua" w:hAnsi="Book Antiqua" w:cs="Arial"/>
          <w:sz w:val="24"/>
          <w:szCs w:val="24"/>
          <w:lang w:val="en-US"/>
        </w:rPr>
        <w:t xml:space="preserve">insufficient </w:t>
      </w:r>
      <w:r w:rsidR="00EA7C66" w:rsidRPr="007F5A49">
        <w:rPr>
          <w:rFonts w:ascii="Book Antiqua" w:hAnsi="Book Antiqua" w:cs="Arial"/>
          <w:sz w:val="24"/>
          <w:szCs w:val="24"/>
          <w:lang w:val="en-US"/>
        </w:rPr>
        <w:t xml:space="preserve">or lack of </w:t>
      </w:r>
      <w:r w:rsidR="006F1B27" w:rsidRPr="007F5A49">
        <w:rPr>
          <w:rFonts w:ascii="Book Antiqua" w:hAnsi="Book Antiqua" w:cs="Arial"/>
          <w:sz w:val="24"/>
          <w:szCs w:val="24"/>
          <w:lang w:val="en-US"/>
        </w:rPr>
        <w:t>hepcidin production</w:t>
      </w:r>
      <w:r w:rsidR="00174C88" w:rsidRPr="007F5A49">
        <w:rPr>
          <w:rFonts w:ascii="Book Antiqua" w:hAnsi="Book Antiqua" w:cs="Arial"/>
          <w:sz w:val="24"/>
          <w:szCs w:val="24"/>
          <w:lang w:val="en-US"/>
        </w:rPr>
        <w:t xml:space="preserve"> cause</w:t>
      </w:r>
      <w:r w:rsidR="00597421" w:rsidRPr="007F5A49">
        <w:rPr>
          <w:rFonts w:ascii="Book Antiqua" w:hAnsi="Book Antiqua" w:cs="Arial"/>
          <w:sz w:val="24"/>
          <w:szCs w:val="24"/>
          <w:lang w:val="en-US"/>
        </w:rPr>
        <w:t>s</w:t>
      </w:r>
      <w:r w:rsidR="00174C88" w:rsidRPr="007F5A49">
        <w:rPr>
          <w:rFonts w:ascii="Book Antiqua" w:hAnsi="Book Antiqua" w:cs="Arial"/>
          <w:sz w:val="24"/>
          <w:szCs w:val="24"/>
          <w:lang w:val="en-US"/>
        </w:rPr>
        <w:t xml:space="preserve"> excessive duodenal iron absorption</w:t>
      </w:r>
      <w:r w:rsidR="00A740EF" w:rsidRPr="007F5A49">
        <w:rPr>
          <w:rFonts w:ascii="Book Antiqua" w:hAnsi="Book Antiqua" w:cs="Arial"/>
          <w:sz w:val="24"/>
          <w:szCs w:val="24"/>
          <w:lang w:val="en-US"/>
        </w:rPr>
        <w:t xml:space="preserve">, while mutations in </w:t>
      </w:r>
      <w:proofErr w:type="spellStart"/>
      <w:r w:rsidR="00A740EF" w:rsidRPr="007F5A49">
        <w:rPr>
          <w:rFonts w:ascii="Book Antiqua" w:hAnsi="Book Antiqua" w:cs="Arial"/>
          <w:sz w:val="24"/>
          <w:szCs w:val="24"/>
          <w:lang w:val="en-US"/>
        </w:rPr>
        <w:t>ferroportin</w:t>
      </w:r>
      <w:proofErr w:type="spellEnd"/>
      <w:r w:rsidR="00A740EF" w:rsidRPr="007F5A49">
        <w:rPr>
          <w:rFonts w:ascii="Book Antiqua" w:hAnsi="Book Antiqua" w:cs="Arial"/>
          <w:sz w:val="24"/>
          <w:szCs w:val="24"/>
          <w:lang w:val="en-US"/>
        </w:rPr>
        <w:t xml:space="preserve"> reduce cellular iron export or </w:t>
      </w:r>
      <w:r w:rsidR="00EA7C66" w:rsidRPr="007F5A49">
        <w:rPr>
          <w:rFonts w:ascii="Book Antiqua" w:hAnsi="Book Antiqua" w:cs="Arial"/>
          <w:sz w:val="24"/>
          <w:szCs w:val="24"/>
          <w:lang w:val="en-US"/>
        </w:rPr>
        <w:t xml:space="preserve">cause </w:t>
      </w:r>
      <w:r w:rsidR="006F1B27" w:rsidRPr="007F5A49">
        <w:rPr>
          <w:rFonts w:ascii="Book Antiqua" w:hAnsi="Book Antiqua" w:cs="Arial"/>
          <w:sz w:val="24"/>
          <w:szCs w:val="24"/>
          <w:lang w:val="en-US"/>
        </w:rPr>
        <w:t xml:space="preserve">hepcidin resistance. </w:t>
      </w:r>
      <w:r w:rsidR="00BF78CF" w:rsidRPr="007F5A49">
        <w:rPr>
          <w:rFonts w:ascii="Book Antiqua" w:hAnsi="Book Antiqua" w:cs="Arial"/>
          <w:sz w:val="24"/>
          <w:szCs w:val="24"/>
          <w:lang w:val="en-US"/>
        </w:rPr>
        <w:t>Whereas normal hepatic iron ranges from 300 mg to 1 g, haemochromatosis</w:t>
      </w:r>
      <w:r w:rsidR="00A37757" w:rsidRPr="007F5A49">
        <w:rPr>
          <w:rFonts w:ascii="Book Antiqua" w:hAnsi="Book Antiqua" w:cs="Arial"/>
          <w:sz w:val="24"/>
          <w:szCs w:val="24"/>
          <w:lang w:val="en-US"/>
        </w:rPr>
        <w:t xml:space="preserve"> patients </w:t>
      </w:r>
      <w:r w:rsidR="00BF78CF" w:rsidRPr="007F5A49">
        <w:rPr>
          <w:rFonts w:ascii="Book Antiqua" w:hAnsi="Book Antiqua" w:cs="Arial"/>
          <w:sz w:val="24"/>
          <w:szCs w:val="24"/>
          <w:lang w:val="en-US"/>
        </w:rPr>
        <w:t xml:space="preserve">can </w:t>
      </w:r>
      <w:r w:rsidR="00A37757" w:rsidRPr="007F5A49">
        <w:rPr>
          <w:rFonts w:ascii="Book Antiqua" w:hAnsi="Book Antiqua" w:cs="Arial"/>
          <w:sz w:val="24"/>
          <w:szCs w:val="24"/>
          <w:lang w:val="en-US"/>
        </w:rPr>
        <w:t xml:space="preserve">show </w:t>
      </w:r>
      <w:r w:rsidR="00BF78CF" w:rsidRPr="007F5A49">
        <w:rPr>
          <w:rFonts w:ascii="Book Antiqua" w:hAnsi="Book Antiqua" w:cs="Arial"/>
          <w:sz w:val="24"/>
          <w:szCs w:val="24"/>
          <w:lang w:val="en-US"/>
        </w:rPr>
        <w:t>up to 25-30 g</w:t>
      </w:r>
      <w:r w:rsidR="00BF78CF"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1dbjc8k6g2","properties":{"formattedCitation":"(7)","plainCitation":"(7)","noteIndex":0},"citationItems":[{"id":107,"uris":["http://zotero.org/users/2804724/items/TK5HVEM3"],"uri":["http://zotero.org/users/2804724/items/TK5HVEM3"],"itemData":{"id":107,"type":"article-journal","title":"Iron and the liver","container-title":"Liver International: Official Journal of the International Association for the Study of the Liver","page":"116-123","volume":"36 Suppl 1","source":"PubMed","abstract":"Humans have evolved to retain iron in the body and are exposed to a high risk of iron overload and iron-related toxicity. Excess iron in the blood, in the absence of increased erythropoietic needs, can saturate the buffering capacity of serum transferrin and result in non-transferrin-bound highly reactive forms of iron that can cause damage, as well as promote fibrogenesis and carcinogenesis in the parenchymatous organs. A number of hereditary or acquired diseases are associated with systemic or local iron deposition or iron misdistribution in organs or cells. Two of these, the HFE- and non-HFE hemochromatosis syndromes represent the paradigms of genetic iron overload. They share common clinical features and the same pathogenic basis, in particular, a lack of synthesis or activity of hepcidin, the iron hormone. Before hepcidin was discovered, the liver was simply regarded as the main site of iron storage and, as such, the main target of iron toxicity. Now, as the main source of hepcidin, it appears that the loss of the hepcidin-producing liver mass or genetic and acquired factors that repress hepcidin synthesis in the liver may also lead to iron overload. Usually, there is low-grade excess iron which, through oxidative stress, is sufficient to worsen the course of the underlying liver disease or other chronic diseases that are apparently unrelated to iron, such as chronic metabolic and cardiovascular diseases. In the future, modulation of hepcidin synthesis and activity or hepcidin hormone-replacing strategies may become therapeutic options to cure iron-related disorders.","DOI":"10.1111/liv.13020","ISSN":"1478-3231","note":"PMID: 26725908","journalAbbreviation":"Liver Int.","language":"eng","author":[{"family":"Pietrangelo","given":"Antonello"}],"issued":{"date-parts":[["2016",1]]}}}],"schema":"https://github.com/citation-style-language/schema/raw/master/csl-citation.json"} </w:instrText>
      </w:r>
      <w:r w:rsidR="00BF78CF" w:rsidRPr="007F5A49">
        <w:rPr>
          <w:rFonts w:ascii="Book Antiqua" w:hAnsi="Book Antiqua" w:cs="Arial"/>
          <w:sz w:val="24"/>
          <w:szCs w:val="24"/>
          <w:vertAlign w:val="superscript"/>
          <w:lang w:val="en-US"/>
        </w:rPr>
        <w:fldChar w:fldCharType="separate"/>
      </w:r>
      <w:r w:rsidR="00D16BAF"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7</w:t>
      </w:r>
      <w:r w:rsidR="00BF78CF" w:rsidRPr="007F5A49">
        <w:rPr>
          <w:rFonts w:ascii="Book Antiqua" w:hAnsi="Book Antiqua" w:cs="Arial"/>
          <w:sz w:val="24"/>
          <w:szCs w:val="24"/>
          <w:vertAlign w:val="superscript"/>
          <w:lang w:val="en-US"/>
        </w:rPr>
        <w:fldChar w:fldCharType="end"/>
      </w:r>
      <w:r w:rsidR="00D16BAF" w:rsidRPr="007F5A49">
        <w:rPr>
          <w:rFonts w:ascii="Book Antiqua" w:hAnsi="Book Antiqua" w:cs="Arial"/>
          <w:sz w:val="24"/>
          <w:szCs w:val="24"/>
          <w:vertAlign w:val="superscript"/>
          <w:lang w:val="en-US"/>
        </w:rPr>
        <w:t>]</w:t>
      </w:r>
      <w:r w:rsidR="00346798" w:rsidRPr="007F5A49">
        <w:rPr>
          <w:rFonts w:ascii="Book Antiqua" w:hAnsi="Book Antiqua" w:cs="Arial"/>
          <w:sz w:val="24"/>
          <w:szCs w:val="24"/>
          <w:lang w:val="en-US"/>
        </w:rPr>
        <w:t xml:space="preserve">, </w:t>
      </w:r>
      <w:r w:rsidR="00BF78CF" w:rsidRPr="007F5A49">
        <w:rPr>
          <w:rFonts w:ascii="Book Antiqua" w:hAnsi="Book Antiqua" w:cs="Arial"/>
          <w:sz w:val="24"/>
          <w:szCs w:val="24"/>
          <w:lang w:val="en-US"/>
        </w:rPr>
        <w:t xml:space="preserve">clearly </w:t>
      </w:r>
      <w:r w:rsidR="00280C1F" w:rsidRPr="007F5A49">
        <w:rPr>
          <w:rFonts w:ascii="Book Antiqua" w:hAnsi="Book Antiqua" w:cs="Arial"/>
          <w:sz w:val="24"/>
          <w:szCs w:val="24"/>
          <w:lang w:val="en-US"/>
        </w:rPr>
        <w:t xml:space="preserve">elevating </w:t>
      </w:r>
      <w:r w:rsidR="00A37757" w:rsidRPr="007F5A49">
        <w:rPr>
          <w:rFonts w:ascii="Book Antiqua" w:hAnsi="Book Antiqua" w:cs="Arial"/>
          <w:sz w:val="24"/>
          <w:szCs w:val="24"/>
          <w:lang w:val="en-US"/>
        </w:rPr>
        <w:t>the risk of fibrosis</w:t>
      </w:r>
      <w:r w:rsidR="00BF78CF" w:rsidRPr="007F5A49">
        <w:rPr>
          <w:rFonts w:ascii="Book Antiqua" w:hAnsi="Book Antiqua" w:cs="Arial"/>
          <w:sz w:val="24"/>
          <w:szCs w:val="24"/>
          <w:lang w:val="en-US"/>
        </w:rPr>
        <w:t xml:space="preserve">. </w:t>
      </w:r>
      <w:r w:rsidR="00422254" w:rsidRPr="007F5A49">
        <w:rPr>
          <w:rFonts w:ascii="Book Antiqua" w:hAnsi="Book Antiqua" w:cs="Arial"/>
          <w:sz w:val="24"/>
          <w:szCs w:val="24"/>
          <w:lang w:val="en-US"/>
        </w:rPr>
        <w:t xml:space="preserve">A study in untreated </w:t>
      </w:r>
      <w:r w:rsidR="007B5113" w:rsidRPr="007F5A49">
        <w:rPr>
          <w:rFonts w:ascii="Book Antiqua" w:hAnsi="Book Antiqua" w:cs="Arial"/>
          <w:sz w:val="24"/>
          <w:szCs w:val="24"/>
          <w:lang w:val="en-US"/>
        </w:rPr>
        <w:t>haemochromatosis</w:t>
      </w:r>
      <w:r w:rsidR="00A37757" w:rsidRPr="007F5A49">
        <w:rPr>
          <w:rFonts w:ascii="Book Antiqua" w:hAnsi="Book Antiqua" w:cs="Arial"/>
          <w:sz w:val="24"/>
          <w:szCs w:val="24"/>
          <w:lang w:val="en-US"/>
        </w:rPr>
        <w:t xml:space="preserve"> </w:t>
      </w:r>
      <w:r w:rsidR="00422254" w:rsidRPr="007F5A49">
        <w:rPr>
          <w:rFonts w:ascii="Book Antiqua" w:hAnsi="Book Antiqua" w:cs="Arial"/>
          <w:sz w:val="24"/>
          <w:szCs w:val="24"/>
          <w:lang w:val="en-US"/>
        </w:rPr>
        <w:t xml:space="preserve">showed increased </w:t>
      </w:r>
      <w:r w:rsidR="00944475" w:rsidRPr="007F5A49">
        <w:rPr>
          <w:rFonts w:ascii="Book Antiqua" w:hAnsi="Book Antiqua" w:cs="Arial"/>
          <w:sz w:val="24"/>
          <w:szCs w:val="24"/>
          <w:lang w:val="en-US"/>
        </w:rPr>
        <w:t xml:space="preserve">LIC </w:t>
      </w:r>
      <w:r w:rsidR="00422254" w:rsidRPr="007F5A49">
        <w:rPr>
          <w:rFonts w:ascii="Book Antiqua" w:hAnsi="Book Antiqua" w:cs="Arial"/>
          <w:sz w:val="24"/>
          <w:szCs w:val="24"/>
          <w:lang w:val="en-US"/>
        </w:rPr>
        <w:t xml:space="preserve">in cirrhotic (378 ± 144 </w:t>
      </w:r>
      <w:bookmarkStart w:id="47" w:name="_Hlk503724803"/>
      <w:proofErr w:type="spellStart"/>
      <w:r w:rsidR="00422254" w:rsidRPr="007F5A49">
        <w:rPr>
          <w:rStyle w:val="Emphasis"/>
          <w:rFonts w:ascii="Book Antiqua" w:hAnsi="Book Antiqua" w:cs="Arial"/>
          <w:i w:val="0"/>
          <w:sz w:val="24"/>
          <w:szCs w:val="24"/>
          <w:lang w:val="en-US"/>
        </w:rPr>
        <w:t>μ</w:t>
      </w:r>
      <w:r w:rsidR="00422254" w:rsidRPr="007F5A49">
        <w:rPr>
          <w:rFonts w:ascii="Book Antiqua" w:hAnsi="Book Antiqua" w:cs="Arial"/>
          <w:sz w:val="24"/>
          <w:szCs w:val="24"/>
          <w:lang w:val="en-US"/>
        </w:rPr>
        <w:t>mol</w:t>
      </w:r>
      <w:proofErr w:type="spellEnd"/>
      <w:r w:rsidR="00422254" w:rsidRPr="007F5A49">
        <w:rPr>
          <w:rFonts w:ascii="Book Antiqua" w:hAnsi="Book Antiqua" w:cs="Arial"/>
          <w:sz w:val="24"/>
          <w:szCs w:val="24"/>
          <w:lang w:val="en-US"/>
        </w:rPr>
        <w:t>/g</w:t>
      </w:r>
      <w:bookmarkEnd w:id="47"/>
      <w:r w:rsidR="00422254" w:rsidRPr="007F5A49">
        <w:rPr>
          <w:rFonts w:ascii="Book Antiqua" w:hAnsi="Book Antiqua" w:cs="Arial"/>
          <w:sz w:val="24"/>
          <w:szCs w:val="24"/>
          <w:lang w:val="en-US"/>
        </w:rPr>
        <w:t>) and fibrotic patients (331 ± 168</w:t>
      </w:r>
      <w:r w:rsidR="00422254" w:rsidRPr="007F5A49">
        <w:rPr>
          <w:rStyle w:val="Emphasis"/>
          <w:rFonts w:ascii="Book Antiqua" w:hAnsi="Book Antiqua" w:cs="Arial"/>
          <w:sz w:val="24"/>
          <w:szCs w:val="24"/>
          <w:lang w:val="en-US"/>
        </w:rPr>
        <w:t xml:space="preserve"> </w:t>
      </w:r>
      <w:proofErr w:type="spellStart"/>
      <w:r w:rsidR="00422254" w:rsidRPr="007F5A49">
        <w:rPr>
          <w:rStyle w:val="Emphasis"/>
          <w:rFonts w:ascii="Book Antiqua" w:hAnsi="Book Antiqua" w:cs="Arial"/>
          <w:i w:val="0"/>
          <w:sz w:val="24"/>
          <w:szCs w:val="24"/>
          <w:lang w:val="en-US"/>
        </w:rPr>
        <w:t>μ</w:t>
      </w:r>
      <w:r w:rsidR="00422254" w:rsidRPr="007F5A49">
        <w:rPr>
          <w:rFonts w:ascii="Book Antiqua" w:hAnsi="Book Antiqua" w:cs="Arial"/>
          <w:sz w:val="24"/>
          <w:szCs w:val="24"/>
          <w:lang w:val="en-US"/>
        </w:rPr>
        <w:t>mol</w:t>
      </w:r>
      <w:proofErr w:type="spellEnd"/>
      <w:r w:rsidR="00422254" w:rsidRPr="007F5A49">
        <w:rPr>
          <w:rFonts w:ascii="Book Antiqua" w:hAnsi="Book Antiqua" w:cs="Arial"/>
          <w:sz w:val="24"/>
          <w:szCs w:val="24"/>
          <w:lang w:val="en-US"/>
        </w:rPr>
        <w:t>/g) compared to non-fibrotic patients (237 ± 108</w:t>
      </w:r>
      <w:r w:rsidR="00623EC5" w:rsidRPr="007F5A49">
        <w:rPr>
          <w:rStyle w:val="Emphasis"/>
          <w:rFonts w:ascii="Book Antiqua" w:hAnsi="Book Antiqua" w:cs="Arial"/>
          <w:sz w:val="24"/>
          <w:szCs w:val="24"/>
          <w:lang w:val="en-US"/>
        </w:rPr>
        <w:t xml:space="preserve"> </w:t>
      </w:r>
      <w:proofErr w:type="spellStart"/>
      <w:r w:rsidR="00623EC5" w:rsidRPr="007F5A49">
        <w:rPr>
          <w:rStyle w:val="Emphasis"/>
          <w:rFonts w:ascii="Book Antiqua" w:hAnsi="Book Antiqua" w:cs="Arial"/>
          <w:i w:val="0"/>
          <w:sz w:val="24"/>
          <w:szCs w:val="24"/>
          <w:lang w:val="en-US"/>
        </w:rPr>
        <w:t>μ</w:t>
      </w:r>
      <w:r w:rsidR="00623EC5" w:rsidRPr="007F5A49">
        <w:rPr>
          <w:rFonts w:ascii="Book Antiqua" w:hAnsi="Book Antiqua" w:cs="Arial"/>
          <w:sz w:val="24"/>
          <w:szCs w:val="24"/>
          <w:lang w:val="en-US"/>
        </w:rPr>
        <w:t>mol</w:t>
      </w:r>
      <w:proofErr w:type="spellEnd"/>
      <w:r w:rsidR="00623EC5" w:rsidRPr="007F5A49">
        <w:rPr>
          <w:rFonts w:ascii="Book Antiqua" w:hAnsi="Book Antiqua" w:cs="Arial"/>
          <w:sz w:val="24"/>
          <w:szCs w:val="24"/>
          <w:lang w:val="en-US"/>
        </w:rPr>
        <w:t>/g</w:t>
      </w:r>
      <w:r w:rsidR="00422254" w:rsidRPr="007F5A49">
        <w:rPr>
          <w:rFonts w:ascii="Book Antiqua" w:hAnsi="Book Antiqua" w:cs="Arial"/>
          <w:sz w:val="24"/>
          <w:szCs w:val="24"/>
          <w:lang w:val="en-US"/>
        </w:rPr>
        <w:t>)</w:t>
      </w:r>
      <w:r w:rsidR="00944475"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15v94vh149","properties":{"formattedCitation":"(65)","plainCitation":"(65)","noteIndex":0},"citationItems":[{"id":"z1PZoHrb/JjhwIaIy","uris":["http://zotero.org/users/4222068/items/WG7HPKFJ"],"uri":["http://zotero.org/users/4222068/items/WG7HPKFJ"],"itemData":{"id":1273,"type":"article-journal","title":"Liver fibrosis in genetic hemochromatosis. Respective roles of iron and non-iron-related factors in 127 homozygous patients","container-title":"Journal of Hepatology","page":"122-127","volume":"16","issue":"1-2","source":"PubMed","abstract":"A retrospective study of 127 patients with untreated homozygous genetic hemochromatosis (HGH) was conducted to evaluate the respective roles of iron overload and non-iron-related factors in the development of hepatic fibrosis in HGH. Twenty-seven percent of the patients had cirrhosis, 21% had liver fibrosis and 52% had no fibrosis (prefibrotic group). The mean value of liver iron concentration was increased significantly (p &lt; 0.001) in cirrhotic (378 +/- 144 mumol/g dry wt.) and in fibrotic (331 +/- 168) subjects compared to prefibrotic (237 +/- 108) patients. Of 13 patients with liver iron concentration &gt; or = 500, 12 had liver fibrosis or cirrhosis, versus 48/134 with liver iron concentration &lt; 500. Chronic alcoholic men exhibited hepatic fibrosis or cirrhosis more frequently than non-alcoholic men (p &lt; 0.001). Non-alcoholic men had hepatic fibrosis or cirrhosis more often than non-alcoholic women (p &lt; 0.05). Cirrhotic and fibrotic patients were significantly older than prefibrotic patients whilst a significant correlation between age and liver iron concentration was found in younger patients only. These results suggest that the iron overload threshold necessary to induce fibrosis is modulated by non-iron-related factors such as alcoholism, sex and age. The development of fibrosis in HGH with liver iron concentration &lt; 500 mumol/g is frequent and must lead to a search for associated non-iron-related fibrogenic factors.","ISSN":"0168-8278","note":"PMID: 1484146","journalAbbreviation":"J. Hepatol.","language":"eng","author":[{"family":"Loréal","given":"O."},{"family":"Deugnier","given":"Y."},{"family":"Moirand","given":"R."},{"family":"Lauvin","given":"L."},{"family":"Guyader","given":"D."},{"family":"Jouanolle","given":"H."},{"family":"Turlin","given":"B."},{"family":"Lescoat","given":"G."},{"family":"Brissot","given":"P."}],"issued":{"date-parts":[["1992",9]]}}}],"schema":"https://github.com/citation-style-language/schema/raw/master/csl-citation.json"} </w:instrText>
      </w:r>
      <w:r w:rsidR="00944475" w:rsidRPr="007F5A49">
        <w:rPr>
          <w:rFonts w:ascii="Book Antiqua" w:hAnsi="Book Antiqua" w:cs="Arial"/>
          <w:sz w:val="24"/>
          <w:szCs w:val="24"/>
          <w:vertAlign w:val="superscript"/>
          <w:lang w:val="en-US"/>
        </w:rPr>
        <w:fldChar w:fldCharType="separate"/>
      </w:r>
      <w:r w:rsidR="00D16BAF"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65</w:t>
      </w:r>
      <w:r w:rsidR="00944475" w:rsidRPr="007F5A49">
        <w:rPr>
          <w:rFonts w:ascii="Book Antiqua" w:hAnsi="Book Antiqua" w:cs="Arial"/>
          <w:sz w:val="24"/>
          <w:szCs w:val="24"/>
          <w:vertAlign w:val="superscript"/>
          <w:lang w:val="en-US"/>
        </w:rPr>
        <w:fldChar w:fldCharType="end"/>
      </w:r>
      <w:r w:rsidR="00D16BAF" w:rsidRPr="007F5A49">
        <w:rPr>
          <w:rFonts w:ascii="Book Antiqua" w:hAnsi="Book Antiqua" w:cs="Arial"/>
          <w:sz w:val="24"/>
          <w:szCs w:val="24"/>
          <w:vertAlign w:val="superscript"/>
          <w:lang w:val="en-US"/>
        </w:rPr>
        <w:t>]</w:t>
      </w:r>
      <w:r w:rsidR="006F1B27" w:rsidRPr="007F5A49">
        <w:rPr>
          <w:rFonts w:ascii="Book Antiqua" w:hAnsi="Book Antiqua" w:cs="Arial"/>
          <w:sz w:val="24"/>
          <w:szCs w:val="24"/>
          <w:lang w:val="en-US"/>
        </w:rPr>
        <w:t xml:space="preserve">. </w:t>
      </w:r>
      <w:r w:rsidR="00C743B6" w:rsidRPr="007F5A49">
        <w:rPr>
          <w:rStyle w:val="highlight"/>
          <w:rFonts w:ascii="Book Antiqua" w:hAnsi="Book Antiqua" w:cs="Arial"/>
          <w:sz w:val="24"/>
          <w:szCs w:val="24"/>
          <w:lang w:val="en-US"/>
        </w:rPr>
        <w:t xml:space="preserve">Interestingly, </w:t>
      </w:r>
      <w:r w:rsidR="00F60A81" w:rsidRPr="007F5A49">
        <w:rPr>
          <w:rStyle w:val="highlight"/>
          <w:rFonts w:ascii="Book Antiqua" w:hAnsi="Book Antiqua" w:cs="Arial"/>
          <w:sz w:val="24"/>
          <w:szCs w:val="24"/>
          <w:lang w:val="en-US"/>
        </w:rPr>
        <w:t>non-genetic factors like age, gender</w:t>
      </w:r>
      <w:r w:rsidR="00A77D33" w:rsidRPr="007F5A49">
        <w:rPr>
          <w:rStyle w:val="highlight"/>
          <w:rFonts w:ascii="Book Antiqua" w:hAnsi="Book Antiqua" w:cs="Arial"/>
          <w:sz w:val="24"/>
          <w:szCs w:val="24"/>
          <w:lang w:val="en-US"/>
        </w:rPr>
        <w:t xml:space="preserve"> and alcoholism </w:t>
      </w:r>
      <w:r w:rsidR="00AA7EE4" w:rsidRPr="007F5A49">
        <w:rPr>
          <w:rStyle w:val="highlight"/>
          <w:rFonts w:ascii="Book Antiqua" w:hAnsi="Book Antiqua" w:cs="Arial"/>
          <w:sz w:val="24"/>
          <w:szCs w:val="24"/>
          <w:lang w:val="en-US"/>
        </w:rPr>
        <w:t>modulate</w:t>
      </w:r>
      <w:r w:rsidR="00F60A81" w:rsidRPr="007F5A49">
        <w:rPr>
          <w:rStyle w:val="highlight"/>
          <w:rFonts w:ascii="Book Antiqua" w:hAnsi="Book Antiqua" w:cs="Arial"/>
          <w:sz w:val="24"/>
          <w:szCs w:val="24"/>
          <w:lang w:val="en-US"/>
        </w:rPr>
        <w:t xml:space="preserve">d </w:t>
      </w:r>
      <w:r w:rsidR="00A77D33" w:rsidRPr="007F5A49">
        <w:rPr>
          <w:rStyle w:val="highlight"/>
          <w:rFonts w:ascii="Book Antiqua" w:hAnsi="Book Antiqua" w:cs="Arial"/>
          <w:sz w:val="24"/>
          <w:szCs w:val="24"/>
          <w:lang w:val="en-US"/>
        </w:rPr>
        <w:t>fibrosis</w:t>
      </w:r>
      <w:r w:rsidR="00F60A81" w:rsidRPr="007F5A49">
        <w:rPr>
          <w:rStyle w:val="highlight"/>
          <w:rFonts w:ascii="Book Antiqua" w:hAnsi="Book Antiqua" w:cs="Arial"/>
          <w:sz w:val="24"/>
          <w:szCs w:val="24"/>
          <w:lang w:val="en-US"/>
        </w:rPr>
        <w:t xml:space="preserve"> development </w:t>
      </w:r>
      <w:r w:rsidR="000678E0" w:rsidRPr="007F5A49">
        <w:rPr>
          <w:rStyle w:val="highlight"/>
          <w:rFonts w:ascii="Book Antiqua" w:hAnsi="Book Antiqua" w:cs="Arial"/>
          <w:sz w:val="24"/>
          <w:szCs w:val="24"/>
          <w:lang w:val="en-US"/>
        </w:rPr>
        <w:t>in these patients</w:t>
      </w:r>
      <w:r w:rsidR="00422254" w:rsidRPr="007F5A49">
        <w:rPr>
          <w:rStyle w:val="highlight"/>
          <w:rFonts w:ascii="Book Antiqua" w:hAnsi="Book Antiqua" w:cs="Arial"/>
          <w:sz w:val="24"/>
          <w:szCs w:val="24"/>
          <w:lang w:val="en-US"/>
        </w:rPr>
        <w:t xml:space="preserve">. </w:t>
      </w:r>
      <w:r w:rsidR="00F85764" w:rsidRPr="007F5A49">
        <w:rPr>
          <w:rStyle w:val="highlight"/>
          <w:rFonts w:ascii="Book Antiqua" w:hAnsi="Book Antiqua" w:cs="Arial"/>
          <w:sz w:val="24"/>
          <w:szCs w:val="24"/>
          <w:lang w:val="en-US"/>
        </w:rPr>
        <w:t>For example, t</w:t>
      </w:r>
      <w:r w:rsidR="00F60A81" w:rsidRPr="007F5A49">
        <w:rPr>
          <w:rStyle w:val="highlight"/>
          <w:rFonts w:ascii="Book Antiqua" w:hAnsi="Book Antiqua" w:cs="Arial"/>
          <w:sz w:val="24"/>
          <w:szCs w:val="24"/>
          <w:lang w:val="en-US"/>
        </w:rPr>
        <w:t xml:space="preserve">hose </w:t>
      </w:r>
      <w:r w:rsidR="00944475" w:rsidRPr="007F5A49">
        <w:rPr>
          <w:rStyle w:val="highlight"/>
          <w:rFonts w:ascii="Book Antiqua" w:hAnsi="Book Antiqua" w:cs="Arial"/>
          <w:sz w:val="24"/>
          <w:szCs w:val="24"/>
          <w:lang w:val="en-US"/>
        </w:rPr>
        <w:t xml:space="preserve">with </w:t>
      </w:r>
      <w:r w:rsidR="00944475" w:rsidRPr="007F5A49">
        <w:rPr>
          <w:rFonts w:ascii="Book Antiqua" w:hAnsi="Book Antiqua" w:cs="Arial"/>
          <w:sz w:val="24"/>
          <w:szCs w:val="24"/>
          <w:lang w:val="en-US"/>
        </w:rPr>
        <w:t>fibrosis were significantly older than non-fibrotic patients</w:t>
      </w:r>
      <w:r w:rsidR="00A77D33" w:rsidRPr="007F5A49">
        <w:rPr>
          <w:rFonts w:ascii="Book Antiqua" w:hAnsi="Book Antiqua" w:cs="Arial"/>
          <w:sz w:val="24"/>
          <w:szCs w:val="24"/>
          <w:lang w:val="en-US"/>
        </w:rPr>
        <w:t xml:space="preserve"> and alcoholic males demonstrated hepatic fibrosis more frequently </w:t>
      </w:r>
      <w:r w:rsidR="00EA7C66" w:rsidRPr="007F5A49">
        <w:rPr>
          <w:rFonts w:ascii="Book Antiqua" w:hAnsi="Book Antiqua" w:cs="Arial"/>
          <w:sz w:val="24"/>
          <w:szCs w:val="24"/>
          <w:lang w:val="en-US"/>
        </w:rPr>
        <w:t>than non-alcoholic counterparts</w:t>
      </w:r>
      <w:r w:rsidR="009829BE"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u155hf7mk","properties":{"formattedCitation":"(65)","plainCitation":"(65)","noteIndex":0},"citationItems":[{"id":"z1PZoHrb/JjhwIaIy","uris":["http://zotero.org/users/4222068/items/WG7HPKFJ"],"uri":["http://zotero.org/users/4222068/items/WG7HPKFJ"],"itemData":{"id":1273,"type":"article-journal","title":"Liver fibrosis in genetic hemochromatosis. Respective roles of iron and non-iron-related factors in 127 homozygous patients","container-title":"Journal of Hepatology","page":"122-127","volume":"16","issue":"1-2","source":"PubMed","abstract":"A retrospective study of 127 patients with untreated homozygous genetic hemochromatosis (HGH) was conducted to evaluate the respective roles of iron overload and non-iron-related factors in the development of hepatic fibrosis in HGH. Twenty-seven percent of the patients had cirrhosis, 21% had liver fibrosis and 52% had no fibrosis (prefibrotic group). The mean value of liver iron concentration was increased significantly (p &lt; 0.001) in cirrhotic (378 +/- 144 mumol/g dry wt.) and in fibrotic (331 +/- 168) subjects compared to prefibrotic (237 +/- 108) patients. Of 13 patients with liver iron concentration &gt; or = 500, 12 had liver fibrosis or cirrhosis, versus 48/134 with liver iron concentration &lt; 500. Chronic alcoholic men exhibited hepatic fibrosis or cirrhosis more frequently than non-alcoholic men (p &lt; 0.001). Non-alcoholic men had hepatic fibrosis or cirrhosis more often than non-alcoholic women (p &lt; 0.05). Cirrhotic and fibrotic patients were significantly older than prefibrotic patients whilst a significant correlation between age and liver iron concentration was found in younger patients only. These results suggest that the iron overload threshold necessary to induce fibrosis is modulated by non-iron-related factors such as alcoholism, sex and age. The development of fibrosis in HGH with liver iron concentration &lt; 500 mumol/g is frequent and must lead to a search for associated non-iron-related fibrogenic factors.","ISSN":"0168-8278","note":"PMID: 1484146","journalAbbreviation":"J. Hepatol.","language":"eng","author":[{"family":"Loréal","given":"O."},{"family":"Deugnier","given":"Y."},{"family":"Moirand","given":"R."},{"family":"Lauvin","given":"L."},{"family":"Guyader","given":"D."},{"family":"Jouanolle","given":"H."},{"family":"Turlin","given":"B."},{"family":"Lescoat","given":"G."},{"family":"Brissot","given":"P."}],"issued":{"date-parts":[["1992",9]]}}}],"schema":"https://github.com/citation-style-language/schema/raw/master/csl-citation.json"} </w:instrText>
      </w:r>
      <w:r w:rsidR="009829BE" w:rsidRPr="007F5A49">
        <w:rPr>
          <w:rFonts w:ascii="Book Antiqua" w:hAnsi="Book Antiqua" w:cs="Arial"/>
          <w:sz w:val="24"/>
          <w:szCs w:val="24"/>
          <w:vertAlign w:val="superscript"/>
          <w:lang w:val="en-US"/>
        </w:rPr>
        <w:fldChar w:fldCharType="separate"/>
      </w:r>
      <w:r w:rsidR="001932A8"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65</w:t>
      </w:r>
      <w:r w:rsidR="009829BE" w:rsidRPr="007F5A49">
        <w:rPr>
          <w:rFonts w:ascii="Book Antiqua" w:hAnsi="Book Antiqua" w:cs="Arial"/>
          <w:sz w:val="24"/>
          <w:szCs w:val="24"/>
          <w:vertAlign w:val="superscript"/>
          <w:lang w:val="en-US"/>
        </w:rPr>
        <w:fldChar w:fldCharType="end"/>
      </w:r>
      <w:r w:rsidR="001932A8" w:rsidRPr="007F5A49">
        <w:rPr>
          <w:rFonts w:ascii="Book Antiqua" w:hAnsi="Book Antiqua" w:cs="Arial"/>
          <w:sz w:val="24"/>
          <w:szCs w:val="24"/>
          <w:vertAlign w:val="superscript"/>
          <w:lang w:val="en-US"/>
        </w:rPr>
        <w:t>]</w:t>
      </w:r>
      <w:r w:rsidR="00F85764" w:rsidRPr="007F5A49">
        <w:rPr>
          <w:rFonts w:ascii="Book Antiqua" w:hAnsi="Book Antiqua" w:cs="Arial"/>
          <w:sz w:val="24"/>
          <w:szCs w:val="24"/>
          <w:lang w:val="en-US"/>
        </w:rPr>
        <w:t>.</w:t>
      </w:r>
      <w:r w:rsidR="00A77D33" w:rsidRPr="007F5A49">
        <w:rPr>
          <w:rFonts w:ascii="Book Antiqua" w:hAnsi="Book Antiqua" w:cs="Arial"/>
          <w:sz w:val="24"/>
          <w:szCs w:val="24"/>
          <w:lang w:val="en-US"/>
        </w:rPr>
        <w:t xml:space="preserve"> I</w:t>
      </w:r>
      <w:r w:rsidR="002E4306" w:rsidRPr="007F5A49">
        <w:rPr>
          <w:rFonts w:ascii="Book Antiqua" w:hAnsi="Book Antiqua" w:cs="Arial"/>
          <w:sz w:val="24"/>
          <w:szCs w:val="24"/>
          <w:lang w:val="en-US"/>
        </w:rPr>
        <w:t>n</w:t>
      </w:r>
      <w:r w:rsidR="002A5735" w:rsidRPr="007F5A49">
        <w:rPr>
          <w:rFonts w:ascii="Book Antiqua" w:hAnsi="Book Antiqua" w:cs="Arial"/>
          <w:sz w:val="24"/>
          <w:szCs w:val="24"/>
          <w:lang w:val="en-US"/>
        </w:rPr>
        <w:t xml:space="preserve"> a study of </w:t>
      </w:r>
      <w:r w:rsidR="00280C1F" w:rsidRPr="007F5A49">
        <w:rPr>
          <w:rFonts w:ascii="Book Antiqua" w:hAnsi="Book Antiqua" w:cs="Arial"/>
          <w:i/>
          <w:sz w:val="24"/>
          <w:szCs w:val="24"/>
          <w:lang w:val="en-US"/>
        </w:rPr>
        <w:t>HFE</w:t>
      </w:r>
      <w:r w:rsidR="00280C1F" w:rsidRPr="007F5A49">
        <w:rPr>
          <w:rFonts w:ascii="Book Antiqua" w:hAnsi="Book Antiqua" w:cs="Arial"/>
          <w:sz w:val="24"/>
          <w:szCs w:val="24"/>
          <w:lang w:val="en-US"/>
        </w:rPr>
        <w:t xml:space="preserve"> gene </w:t>
      </w:r>
      <w:r w:rsidR="009829BE" w:rsidRPr="007F5A49">
        <w:rPr>
          <w:rFonts w:ascii="Book Antiqua" w:hAnsi="Book Antiqua" w:cs="Arial"/>
          <w:sz w:val="24"/>
          <w:szCs w:val="24"/>
          <w:lang w:val="en-US"/>
        </w:rPr>
        <w:t>C282Y</w:t>
      </w:r>
      <w:r w:rsidR="002B288F" w:rsidRPr="007F5A49">
        <w:rPr>
          <w:rFonts w:ascii="Book Antiqua" w:hAnsi="Book Antiqua" w:cs="Arial"/>
          <w:sz w:val="24"/>
          <w:szCs w:val="24"/>
          <w:lang w:val="en-US"/>
        </w:rPr>
        <w:t xml:space="preserve"> </w:t>
      </w:r>
      <w:r w:rsidR="00280C1F" w:rsidRPr="007F5A49">
        <w:rPr>
          <w:rFonts w:ascii="Book Antiqua" w:hAnsi="Book Antiqua" w:cs="Arial"/>
          <w:sz w:val="24"/>
          <w:szCs w:val="24"/>
          <w:lang w:val="en-US"/>
        </w:rPr>
        <w:t xml:space="preserve">mutation </w:t>
      </w:r>
      <w:r w:rsidR="002B288F" w:rsidRPr="007F5A49">
        <w:rPr>
          <w:rFonts w:ascii="Book Antiqua" w:hAnsi="Book Antiqua" w:cs="Arial"/>
          <w:sz w:val="24"/>
          <w:szCs w:val="24"/>
          <w:lang w:val="en-US"/>
        </w:rPr>
        <w:t>homozygotes</w:t>
      </w:r>
      <w:r w:rsidR="002E4306" w:rsidRPr="007F5A49">
        <w:rPr>
          <w:rFonts w:ascii="Book Antiqua" w:hAnsi="Book Antiqua" w:cs="Arial"/>
          <w:sz w:val="24"/>
          <w:szCs w:val="24"/>
          <w:lang w:val="en-US"/>
        </w:rPr>
        <w:t xml:space="preserve">, </w:t>
      </w:r>
      <w:r w:rsidR="00280C1F" w:rsidRPr="007F5A49">
        <w:rPr>
          <w:rFonts w:ascii="Book Antiqua" w:hAnsi="Book Antiqua" w:cs="Arial"/>
          <w:sz w:val="24"/>
          <w:szCs w:val="24"/>
          <w:lang w:val="en-US"/>
        </w:rPr>
        <w:t xml:space="preserve">a </w:t>
      </w:r>
      <w:r w:rsidR="009829BE" w:rsidRPr="007F5A49">
        <w:rPr>
          <w:rFonts w:ascii="Book Antiqua" w:hAnsi="Book Antiqua" w:cs="Arial"/>
          <w:sz w:val="24"/>
          <w:szCs w:val="24"/>
          <w:lang w:val="en-US"/>
        </w:rPr>
        <w:t>higher percent</w:t>
      </w:r>
      <w:r w:rsidR="00280C1F" w:rsidRPr="007F5A49">
        <w:rPr>
          <w:rFonts w:ascii="Book Antiqua" w:hAnsi="Book Antiqua" w:cs="Arial"/>
          <w:sz w:val="24"/>
          <w:szCs w:val="24"/>
          <w:lang w:val="en-US"/>
        </w:rPr>
        <w:t>age</w:t>
      </w:r>
      <w:r w:rsidR="009829BE" w:rsidRPr="007F5A49">
        <w:rPr>
          <w:rFonts w:ascii="Book Antiqua" w:hAnsi="Book Antiqua" w:cs="Arial"/>
          <w:sz w:val="24"/>
          <w:szCs w:val="24"/>
          <w:lang w:val="en-US"/>
        </w:rPr>
        <w:t xml:space="preserve"> of men </w:t>
      </w:r>
      <w:r w:rsidR="00280C1F" w:rsidRPr="007F5A49">
        <w:rPr>
          <w:rFonts w:ascii="Book Antiqua" w:hAnsi="Book Antiqua" w:cs="Arial"/>
          <w:sz w:val="24"/>
          <w:szCs w:val="24"/>
          <w:lang w:val="en-US"/>
        </w:rPr>
        <w:t>versus women</w:t>
      </w:r>
      <w:r w:rsidR="009829BE" w:rsidRPr="007F5A49">
        <w:rPr>
          <w:rFonts w:ascii="Book Antiqua" w:hAnsi="Book Antiqua" w:cs="Arial"/>
          <w:sz w:val="24"/>
          <w:szCs w:val="24"/>
          <w:lang w:val="en-US"/>
        </w:rPr>
        <w:t xml:space="preserve"> showed </w:t>
      </w:r>
      <w:r w:rsidR="00A21F6D" w:rsidRPr="007F5A49">
        <w:rPr>
          <w:rFonts w:ascii="Book Antiqua" w:hAnsi="Book Antiqua" w:cs="Arial"/>
          <w:sz w:val="24"/>
          <w:szCs w:val="24"/>
          <w:lang w:val="en-US"/>
        </w:rPr>
        <w:t xml:space="preserve">increased LIC and </w:t>
      </w:r>
      <w:r w:rsidR="002E4306" w:rsidRPr="007F5A49">
        <w:rPr>
          <w:rStyle w:val="highlight"/>
          <w:rFonts w:ascii="Book Antiqua" w:hAnsi="Book Antiqua" w:cs="Arial"/>
          <w:sz w:val="24"/>
          <w:szCs w:val="24"/>
          <w:lang w:val="en-US"/>
        </w:rPr>
        <w:t>b</w:t>
      </w:r>
      <w:r w:rsidR="00CA1849" w:rsidRPr="007F5A49">
        <w:rPr>
          <w:rFonts w:ascii="Book Antiqua" w:hAnsi="Book Antiqua" w:cs="Arial"/>
          <w:sz w:val="24"/>
          <w:szCs w:val="24"/>
          <w:lang w:val="en-US"/>
        </w:rPr>
        <w:t>iopsy-proven fibrosis</w:t>
      </w:r>
      <w:r w:rsidR="00A21F6D" w:rsidRPr="007F5A49">
        <w:rPr>
          <w:rFonts w:ascii="Book Antiqua" w:hAnsi="Book Antiqua" w:cs="Arial"/>
          <w:sz w:val="24"/>
          <w:szCs w:val="24"/>
          <w:lang w:val="en-US"/>
        </w:rPr>
        <w:t xml:space="preserve"> </w:t>
      </w:r>
      <w:r w:rsidR="00CA1849" w:rsidRPr="007F5A49">
        <w:rPr>
          <w:rFonts w:ascii="Book Antiqua" w:hAnsi="Book Antiqua" w:cs="Arial"/>
          <w:sz w:val="24"/>
          <w:szCs w:val="24"/>
          <w:lang w:val="en-US"/>
        </w:rPr>
        <w:t xml:space="preserve">and </w:t>
      </w:r>
      <w:r w:rsidR="002E4306" w:rsidRPr="007F5A49">
        <w:rPr>
          <w:rFonts w:ascii="Book Antiqua" w:hAnsi="Book Antiqua" w:cs="Arial"/>
          <w:sz w:val="24"/>
          <w:szCs w:val="24"/>
          <w:lang w:val="en-US"/>
        </w:rPr>
        <w:t>cirrhosis</w:t>
      </w:r>
      <w:r w:rsidR="00C743B6"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ftg299d5v","properties":{"formattedCitation":"(66)","plainCitation":"(66)","noteIndex":0},"citationItems":[{"id":352,"uris":["http://zotero.org/users/2804724/items/GQMNZ36I"],"uri":["http://zotero.org/users/2804724/items/GQMNZ36I"],"itemData":{"id":352,"type":"article-journal","title":"Screening for hemochromatosis in asymptomatic subjects with or without a family history","container-title":"Archives of Internal Medicine","page":"294-301","volume":"166","issue":"3","source":"PubMed","abstract":"BACKGROUND: Hemochromatosis in white subjects is mostly due to homozygosity for the common C282Y substitution in HFE. Although clinical symptoms are preventable by early detection of the genetic predisposition and prophylactic treatment, population screening is not currently advocated because of the discrepancy between the common mutation prevalence and apparently lower frequency of clinical disease. This study compared screening for hemochromatosis in subjects with or without a family history.\nMETHODS: We assessed disease expression by clinical evaluation and liver biopsy in 672 essentially asymptomatic C282Y homozygous subjects identified by either family screening or health checks. We also observed a subgroup of untreated homozygotes with normal serum ferritin levels for up to 24 years.\nRESULTS: Prevalence of hepatic iron overload and fibrosis were comparable between the 2 groups. Disease-related conditions were more common in male subjects identified by health checks, but they were older. Hepatic iron overload (grades 2-4) was present in 56% and 34.5% of male and female subjects, respectively; hepatic fibrosis (stages 2-4) in 18.4% and 5.4%; and cirrhosis in 5.6% and 1.9%. Hepatic fibrosis and cirrhosis correlated significantly with the hepatic iron concentration, and except in cases of cirrhosis, there was a 7.5-fold reduction in the mean fibrosis score after phlebotomy. All subjects with cirrhosis were asymptomatic.\nCONCLUSIONS: Screening for hemochromatosis in apparently healthy subjects homozygous for the C282Y mutation with or without a family history reveals comparable levels of hepatic iron overload and disease. Significant hepatic fibrosis is frequently found in asymptomatic subjects with hemochromatosis and, except when cirrhosis is present, is reversed by iron removal.","DOI":"10.1001/archinte.166.3.294","ISSN":"0003-9926","note":"PMID: 16476869","journalAbbreviation":"Arch. Intern. Med.","language":"eng","author":[{"family":"Powell","given":"Lawrie W."},{"family":"Dixon","given":"Jeannette L."},{"family":"Ramm","given":"Grant A."},{"family":"Purdie","given":"David M."},{"family":"Lincoln","given":"Douglas J."},{"family":"Anderson","given":"Gregory J."},{"family":"Subramaniam","given":"V. Nathan"},{"family":"Hewett","given":"David G."},{"family":"Searle","given":"Jeffrey W."},{"family":"Fletcher","given":"Linda M."},{"family":"Crawford","given":"Darrell H."},{"family":"Rodgers","given":"Helen"},{"family":"Allen","given":"Katrina J."},{"family":"Cavanaugh","given":"Juleen A."},{"family":"Bassett","given":"Mark L."}],"issued":{"date-parts":[["2006",2,13]]}}}],"schema":"https://github.com/citation-style-language/schema/raw/master/csl-citation.json"} </w:instrText>
      </w:r>
      <w:r w:rsidR="00C743B6" w:rsidRPr="007F5A49">
        <w:rPr>
          <w:rFonts w:ascii="Book Antiqua" w:hAnsi="Book Antiqua" w:cs="Arial"/>
          <w:sz w:val="24"/>
          <w:szCs w:val="24"/>
          <w:vertAlign w:val="superscript"/>
          <w:lang w:val="en-US"/>
        </w:rPr>
        <w:fldChar w:fldCharType="separate"/>
      </w:r>
      <w:r w:rsidR="001932A8"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66</w:t>
      </w:r>
      <w:r w:rsidR="00C743B6" w:rsidRPr="007F5A49">
        <w:rPr>
          <w:rFonts w:ascii="Book Antiqua" w:hAnsi="Book Antiqua" w:cs="Arial"/>
          <w:sz w:val="24"/>
          <w:szCs w:val="24"/>
          <w:vertAlign w:val="superscript"/>
          <w:lang w:val="en-US"/>
        </w:rPr>
        <w:fldChar w:fldCharType="end"/>
      </w:r>
      <w:r w:rsidR="001932A8" w:rsidRPr="007F5A49">
        <w:rPr>
          <w:rFonts w:ascii="Book Antiqua" w:hAnsi="Book Antiqua" w:cs="Arial"/>
          <w:sz w:val="24"/>
          <w:szCs w:val="24"/>
          <w:vertAlign w:val="superscript"/>
          <w:lang w:val="en-US"/>
        </w:rPr>
        <w:t>]</w:t>
      </w:r>
      <w:r w:rsidR="00346798" w:rsidRPr="007F5A49">
        <w:rPr>
          <w:rFonts w:ascii="Book Antiqua" w:hAnsi="Book Antiqua" w:cs="Arial"/>
          <w:sz w:val="24"/>
          <w:szCs w:val="24"/>
          <w:lang w:val="en-US"/>
        </w:rPr>
        <w:t xml:space="preserve">. </w:t>
      </w:r>
    </w:p>
    <w:p w14:paraId="7ED229BC" w14:textId="2C2BE1C8" w:rsidR="003A0206" w:rsidRPr="007F5A49" w:rsidRDefault="00C04BB2" w:rsidP="007F5A49">
      <w:pPr>
        <w:adjustRightInd w:val="0"/>
        <w:snapToGrid w:val="0"/>
        <w:spacing w:after="0" w:line="360" w:lineRule="auto"/>
        <w:jc w:val="both"/>
        <w:rPr>
          <w:rFonts w:ascii="Book Antiqua" w:eastAsia="Times New Roman" w:hAnsi="Book Antiqua" w:cs="Arial"/>
          <w:sz w:val="24"/>
          <w:szCs w:val="24"/>
          <w:lang w:val="en-US"/>
        </w:rPr>
      </w:pPr>
      <w:r>
        <w:rPr>
          <w:rFonts w:ascii="Book Antiqua" w:eastAsia="Times New Roman" w:hAnsi="Book Antiqua" w:cs="Arial"/>
          <w:color w:val="00B050"/>
          <w:sz w:val="24"/>
          <w:szCs w:val="24"/>
          <w:u w:val="single"/>
          <w:lang w:val="en-US"/>
        </w:rPr>
        <w:lastRenderedPageBreak/>
        <w:t xml:space="preserve">  </w:t>
      </w:r>
      <w:r w:rsidR="00193284" w:rsidRPr="007F5A49">
        <w:rPr>
          <w:rFonts w:ascii="Book Antiqua" w:eastAsia="Times New Roman" w:hAnsi="Book Antiqua" w:cs="Arial"/>
          <w:bCs/>
          <w:kern w:val="36"/>
          <w:sz w:val="24"/>
          <w:szCs w:val="24"/>
          <w:lang w:val="en-US"/>
        </w:rPr>
        <w:t>Normally, liver progenitor cells (LPCs) are activated</w:t>
      </w:r>
      <w:r w:rsidR="00A21F6D" w:rsidRPr="007F5A49">
        <w:rPr>
          <w:rFonts w:ascii="Book Antiqua" w:eastAsia="Times New Roman" w:hAnsi="Book Antiqua" w:cs="Arial"/>
          <w:bCs/>
          <w:kern w:val="36"/>
          <w:sz w:val="24"/>
          <w:szCs w:val="24"/>
          <w:lang w:val="en-US"/>
        </w:rPr>
        <w:t xml:space="preserve"> during</w:t>
      </w:r>
      <w:r w:rsidR="00193284" w:rsidRPr="007F5A49">
        <w:rPr>
          <w:rFonts w:ascii="Book Antiqua" w:eastAsia="Times New Roman" w:hAnsi="Book Antiqua" w:cs="Arial"/>
          <w:bCs/>
          <w:kern w:val="36"/>
          <w:sz w:val="24"/>
          <w:szCs w:val="24"/>
          <w:lang w:val="en-US"/>
        </w:rPr>
        <w:t xml:space="preserve"> chronic liver </w:t>
      </w:r>
      <w:r w:rsidR="00A21F6D" w:rsidRPr="007F5A49">
        <w:rPr>
          <w:rFonts w:ascii="Book Antiqua" w:eastAsia="Times New Roman" w:hAnsi="Book Antiqua" w:cs="Arial"/>
          <w:bCs/>
          <w:kern w:val="36"/>
          <w:sz w:val="24"/>
          <w:szCs w:val="24"/>
          <w:lang w:val="en-US"/>
        </w:rPr>
        <w:t>injury</w:t>
      </w:r>
      <w:r w:rsidR="00193284" w:rsidRPr="007F5A49">
        <w:rPr>
          <w:rFonts w:ascii="Book Antiqua" w:eastAsia="Times New Roman" w:hAnsi="Book Antiqua" w:cs="Arial"/>
          <w:bCs/>
          <w:kern w:val="36"/>
          <w:sz w:val="24"/>
          <w:szCs w:val="24"/>
          <w:lang w:val="en-US"/>
        </w:rPr>
        <w:t xml:space="preserve"> as a </w:t>
      </w:r>
      <w:r w:rsidR="00193284" w:rsidRPr="007F5A49">
        <w:rPr>
          <w:rFonts w:ascii="Book Antiqua" w:eastAsia="Times New Roman" w:hAnsi="Book Antiqua" w:cs="Arial"/>
          <w:sz w:val="24"/>
          <w:szCs w:val="24"/>
          <w:lang w:val="en-US"/>
        </w:rPr>
        <w:t xml:space="preserve">backup repair mechanism to generate </w:t>
      </w:r>
      <w:r w:rsidR="00193284" w:rsidRPr="007F5A49">
        <w:rPr>
          <w:rFonts w:ascii="Book Antiqua" w:eastAsia="Times New Roman" w:hAnsi="Book Antiqua" w:cs="Arial"/>
          <w:bCs/>
          <w:kern w:val="36"/>
          <w:sz w:val="24"/>
          <w:szCs w:val="24"/>
          <w:lang w:val="en-US"/>
        </w:rPr>
        <w:t xml:space="preserve">hepatocytes and </w:t>
      </w:r>
      <w:proofErr w:type="spellStart"/>
      <w:r w:rsidR="00A05948" w:rsidRPr="007F5A49">
        <w:rPr>
          <w:rFonts w:ascii="Book Antiqua" w:hAnsi="Book Antiqua" w:cs="Arial"/>
          <w:sz w:val="24"/>
          <w:szCs w:val="24"/>
          <w:lang w:val="en-US"/>
        </w:rPr>
        <w:t>cholangiocytes</w:t>
      </w:r>
      <w:proofErr w:type="spellEnd"/>
      <w:r w:rsidR="00A21F6D" w:rsidRPr="007F5A49">
        <w:rPr>
          <w:rFonts w:ascii="Book Antiqua" w:eastAsia="Times New Roman" w:hAnsi="Book Antiqua" w:cs="Arial"/>
          <w:bCs/>
          <w:kern w:val="36"/>
          <w:sz w:val="24"/>
          <w:szCs w:val="24"/>
          <w:lang w:val="en-US"/>
        </w:rPr>
        <w:t xml:space="preserve"> to </w:t>
      </w:r>
      <w:r w:rsidR="00193284" w:rsidRPr="007F5A49">
        <w:rPr>
          <w:rFonts w:ascii="Book Antiqua" w:eastAsia="Times New Roman" w:hAnsi="Book Antiqua" w:cs="Arial"/>
          <w:sz w:val="24"/>
          <w:szCs w:val="24"/>
          <w:lang w:val="en-US"/>
        </w:rPr>
        <w:t>compensate for the inability of damaged cells to replicate</w:t>
      </w:r>
      <w:r w:rsidR="00B81DFE" w:rsidRPr="007F5A49">
        <w:rPr>
          <w:rFonts w:ascii="Book Antiqua" w:eastAsia="Times New Roman" w:hAnsi="Book Antiqua" w:cs="Arial"/>
          <w:sz w:val="24"/>
          <w:szCs w:val="24"/>
          <w:vertAlign w:val="superscript"/>
          <w:lang w:val="en-US"/>
        </w:rPr>
        <w:fldChar w:fldCharType="begin"/>
      </w:r>
      <w:r w:rsidR="00D2645C" w:rsidRPr="007F5A49">
        <w:rPr>
          <w:rFonts w:ascii="Book Antiqua" w:eastAsia="Times New Roman" w:hAnsi="Book Antiqua" w:cs="Arial"/>
          <w:sz w:val="24"/>
          <w:szCs w:val="24"/>
          <w:vertAlign w:val="superscript"/>
          <w:lang w:val="en-US"/>
        </w:rPr>
        <w:instrText xml:space="preserve"> ADDIN ZOTERO_ITEM CSL_CITATION {"citationID":"a11btqk184c","properties":{"formattedCitation":"(67)","plainCitation":"(67)","noteIndex":0},"citationItems":[{"id":222,"uris":["http://zotero.org/users/2804724/items/API2XATV"],"uri":["http://zotero.org/users/2804724/items/API2XATV"],"itemData":{"id":222,"type":"article-journal","title":"Liver progenitor cells-mediated liver regeneration in liver cirrhosis","container-title":"Hepatology International","page":"440-447","volume":"10","issue":"3","source":"PubMed","abstract":"Cirrhosis is defined as the histological development of regenerative nodules surrounded by fibrous bands in response to chronic liver injury. In cirrhotic liver where hepatocytes proliferation is compromised, liver progenitor cells (LPCs) are activated and then differentiated into hepatocytes and cholangiocytes, leading to the generation of regenerative nodules and functional restoration. Here, we summarize and discuss recent findings on the mechanisms underlying LPCs-mediated regeneration in liver cirrhosis. Firstly, we provide recent research on the mechanism underlying LPCs activation in severe or chronic liver injury. Secondly, we present new and exciting data on exploring the origin of LPCs, which reveal that the hepatocytes give rise to duct-like progenitors that then differentiate back into hepatocytes in chronic liver injury or liver cirrhosis. Finally, we highlight recent findings from the literature exploring the role of LPCs niche in directing the behavior and fate of LPCs. This remarkable insight into the cellular and molecular mechanisms of LPCs-mediated regeneration in liver cirrhosis will provide a basis for translating this knowledge into clinical application.","DOI":"10.1007/s12072-015-9693-2","ISSN":"1936-0541","note":"PMID: 26742763","journalAbbreviation":"Hepatol Int","language":"eng","author":[{"family":"Shang","given":"Haitao"},{"family":"Wang","given":"Zhijun"},{"family":"Song","given":"Yuhu"}],"issued":{"date-parts":[["2016",5]]}}}],"schema":"https://github.com/citation-style-language/schema/raw/master/csl-citation.json"} </w:instrText>
      </w:r>
      <w:r w:rsidR="00B81DFE" w:rsidRPr="007F5A49">
        <w:rPr>
          <w:rFonts w:ascii="Book Antiqua" w:eastAsia="Times New Roman" w:hAnsi="Book Antiqua" w:cs="Arial"/>
          <w:sz w:val="24"/>
          <w:szCs w:val="24"/>
          <w:vertAlign w:val="superscript"/>
          <w:lang w:val="en-US"/>
        </w:rPr>
        <w:fldChar w:fldCharType="separate"/>
      </w:r>
      <w:r w:rsidR="006B2686"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67</w:t>
      </w:r>
      <w:r w:rsidR="00B81DFE" w:rsidRPr="007F5A49">
        <w:rPr>
          <w:rFonts w:ascii="Book Antiqua" w:eastAsia="Times New Roman" w:hAnsi="Book Antiqua" w:cs="Arial"/>
          <w:sz w:val="24"/>
          <w:szCs w:val="24"/>
          <w:vertAlign w:val="superscript"/>
          <w:lang w:val="en-US"/>
        </w:rPr>
        <w:fldChar w:fldCharType="end"/>
      </w:r>
      <w:r w:rsidR="006B2686" w:rsidRPr="007F5A49">
        <w:rPr>
          <w:rFonts w:ascii="Book Antiqua" w:eastAsia="Times New Roman" w:hAnsi="Book Antiqua" w:cs="Arial"/>
          <w:sz w:val="24"/>
          <w:szCs w:val="24"/>
          <w:vertAlign w:val="superscript"/>
          <w:lang w:val="en-US"/>
        </w:rPr>
        <w:t>]</w:t>
      </w:r>
      <w:r w:rsidR="004E44AA" w:rsidRPr="007F5A49">
        <w:rPr>
          <w:rFonts w:ascii="Book Antiqua" w:eastAsia="Times New Roman" w:hAnsi="Book Antiqua" w:cs="Arial"/>
          <w:sz w:val="24"/>
          <w:szCs w:val="24"/>
          <w:lang w:val="en-US"/>
        </w:rPr>
        <w:t>.</w:t>
      </w:r>
      <w:r w:rsidR="003A0206" w:rsidRPr="007F5A49">
        <w:rPr>
          <w:rFonts w:ascii="Book Antiqua" w:eastAsia="Times New Roman" w:hAnsi="Book Antiqua" w:cs="Arial"/>
          <w:sz w:val="24"/>
          <w:szCs w:val="24"/>
          <w:lang w:val="en-US"/>
        </w:rPr>
        <w:t xml:space="preserve"> </w:t>
      </w:r>
      <w:r w:rsidR="00086B55" w:rsidRPr="007F5A49">
        <w:rPr>
          <w:rFonts w:ascii="Book Antiqua" w:hAnsi="Book Antiqua" w:cs="Arial"/>
          <w:sz w:val="24"/>
          <w:szCs w:val="24"/>
          <w:lang w:val="en-US"/>
        </w:rPr>
        <w:t xml:space="preserve">Activation of </w:t>
      </w:r>
      <w:r w:rsidR="00193284" w:rsidRPr="007F5A49">
        <w:rPr>
          <w:rFonts w:ascii="Book Antiqua" w:hAnsi="Book Antiqua" w:cs="Arial"/>
          <w:sz w:val="24"/>
          <w:szCs w:val="24"/>
          <w:lang w:val="en-US"/>
        </w:rPr>
        <w:t xml:space="preserve">LPCs </w:t>
      </w:r>
      <w:r w:rsidR="00086B55" w:rsidRPr="007F5A49">
        <w:rPr>
          <w:rFonts w:ascii="Book Antiqua" w:hAnsi="Book Antiqua" w:cs="Arial"/>
          <w:sz w:val="24"/>
          <w:szCs w:val="24"/>
          <w:lang w:val="en-US"/>
        </w:rPr>
        <w:t xml:space="preserve">has also </w:t>
      </w:r>
      <w:r w:rsidR="007C43F2" w:rsidRPr="007F5A49">
        <w:rPr>
          <w:rFonts w:ascii="Book Antiqua" w:hAnsi="Book Antiqua" w:cs="Arial"/>
          <w:sz w:val="24"/>
          <w:szCs w:val="24"/>
          <w:lang w:val="en-US"/>
        </w:rPr>
        <w:t xml:space="preserve">been </w:t>
      </w:r>
      <w:r w:rsidR="00A21F6D" w:rsidRPr="007F5A49">
        <w:rPr>
          <w:rFonts w:ascii="Book Antiqua" w:hAnsi="Book Antiqua" w:cs="Arial"/>
          <w:sz w:val="24"/>
          <w:szCs w:val="24"/>
          <w:lang w:val="en-US"/>
        </w:rPr>
        <w:t xml:space="preserve">implicated </w:t>
      </w:r>
      <w:r w:rsidR="007C43F2" w:rsidRPr="007F5A49">
        <w:rPr>
          <w:rFonts w:ascii="Book Antiqua" w:hAnsi="Book Antiqua" w:cs="Arial"/>
          <w:sz w:val="24"/>
          <w:szCs w:val="24"/>
          <w:lang w:val="en-US"/>
        </w:rPr>
        <w:t xml:space="preserve">in </w:t>
      </w:r>
      <w:r w:rsidR="002F2E07" w:rsidRPr="007F5A49">
        <w:rPr>
          <w:rFonts w:ascii="Book Antiqua" w:hAnsi="Book Antiqua" w:cs="Arial"/>
          <w:sz w:val="24"/>
          <w:szCs w:val="24"/>
          <w:lang w:val="en-US"/>
        </w:rPr>
        <w:t xml:space="preserve">fibrosis </w:t>
      </w:r>
      <w:r w:rsidR="00C16856" w:rsidRPr="007F5A49">
        <w:rPr>
          <w:rFonts w:ascii="Book Antiqua" w:hAnsi="Book Antiqua" w:cs="Arial"/>
          <w:sz w:val="24"/>
          <w:szCs w:val="24"/>
          <w:lang w:val="en-US"/>
        </w:rPr>
        <w:t>progression</w:t>
      </w:r>
      <w:r w:rsidR="007C43F2" w:rsidRPr="007F5A49">
        <w:rPr>
          <w:rFonts w:ascii="Book Antiqua" w:eastAsia="Times New Roman" w:hAnsi="Book Antiqua" w:cs="Arial"/>
          <w:bCs/>
          <w:kern w:val="36"/>
          <w:sz w:val="24"/>
          <w:szCs w:val="24"/>
          <w:lang w:val="en-US"/>
        </w:rPr>
        <w:t xml:space="preserve">. </w:t>
      </w:r>
      <w:r w:rsidR="0020661B" w:rsidRPr="007F5A49">
        <w:rPr>
          <w:rFonts w:ascii="Book Antiqua" w:eastAsia="Times New Roman" w:hAnsi="Book Antiqua" w:cs="Arial"/>
          <w:bCs/>
          <w:kern w:val="36"/>
          <w:sz w:val="24"/>
          <w:szCs w:val="24"/>
          <w:lang w:val="en-US"/>
        </w:rPr>
        <w:t xml:space="preserve">Wood </w:t>
      </w:r>
      <w:r w:rsidR="0020661B" w:rsidRPr="00C04BB2">
        <w:rPr>
          <w:rFonts w:ascii="Book Antiqua" w:eastAsia="Times New Roman" w:hAnsi="Book Antiqua" w:cs="Arial"/>
          <w:bCs/>
          <w:i/>
          <w:kern w:val="36"/>
          <w:sz w:val="24"/>
          <w:szCs w:val="24"/>
          <w:lang w:val="en-US"/>
        </w:rPr>
        <w:t>et</w:t>
      </w:r>
      <w:r w:rsidR="000D54C0" w:rsidRPr="00C04BB2">
        <w:rPr>
          <w:rFonts w:ascii="Book Antiqua" w:eastAsia="Times New Roman" w:hAnsi="Book Antiqua" w:cs="Arial"/>
          <w:bCs/>
          <w:i/>
          <w:kern w:val="36"/>
          <w:sz w:val="24"/>
          <w:szCs w:val="24"/>
          <w:lang w:val="en-US"/>
        </w:rPr>
        <w:t xml:space="preserve"> </w:t>
      </w:r>
      <w:r w:rsidR="0020661B" w:rsidRPr="00C04BB2">
        <w:rPr>
          <w:rFonts w:ascii="Book Antiqua" w:eastAsia="Times New Roman" w:hAnsi="Book Antiqua" w:cs="Arial"/>
          <w:bCs/>
          <w:i/>
          <w:kern w:val="36"/>
          <w:sz w:val="24"/>
          <w:szCs w:val="24"/>
          <w:lang w:val="en-US"/>
        </w:rPr>
        <w:t>al</w:t>
      </w:r>
      <w:r w:rsidRPr="007F5A49">
        <w:rPr>
          <w:rFonts w:ascii="Book Antiqua" w:eastAsia="Times New Roman" w:hAnsi="Book Antiqua" w:cs="Arial"/>
          <w:bCs/>
          <w:kern w:val="36"/>
          <w:sz w:val="24"/>
          <w:szCs w:val="24"/>
          <w:vertAlign w:val="superscript"/>
          <w:lang w:val="en-US"/>
        </w:rPr>
        <w:fldChar w:fldCharType="begin"/>
      </w:r>
      <w:r w:rsidRPr="007F5A49">
        <w:rPr>
          <w:rFonts w:ascii="Book Antiqua" w:eastAsia="Times New Roman" w:hAnsi="Book Antiqua" w:cs="Arial"/>
          <w:bCs/>
          <w:kern w:val="36"/>
          <w:sz w:val="24"/>
          <w:szCs w:val="24"/>
          <w:vertAlign w:val="superscript"/>
          <w:lang w:val="en-US"/>
        </w:rPr>
        <w:instrText xml:space="preserve"> ADDIN ZOTERO_ITEM CSL_CITATION {"citationID":"a1bcv727atp","properties":{"formattedCitation":"(26)","plainCitation":"(26)","noteIndex":0},"citationItems":[{"id":"z1PZoHrb/mXChyqkI","uris":["http://zotero.org/users/4222068/items/D9628B73"],"uri":["http://zotero.org/users/4222068/items/D9628B73"],"itemData":{"id":1292,"type":"article-journal","title":"Ductular reaction in hereditary hemochromatosis: the link between hepatocyte senescence and fibrosis progression","container-title":"Hepatology (Baltimore, Md.)","page":"848-857","volume":"59","issue":"3","source":"PubMed","abstract":"The development of portal fibrosis following the iron loading of hepatocytes is the first stage of fibrogenesis in hereditary hemochromatosis. In other chronic liver diseases it has been shown that a ductular reaction (DR) appears early, correlates with fibrosis progression, and is a consequence of activation of an alternative pathway of hepatocyte replication. This study was designed to investigate the presence of the DR in hemochromatosis and describe its associations. Liver biopsies from 63 C282Y homozygous patients were assessed for hepatic iron concentration (HIC) and graded for iron loading, fibrosis stage, steatosis, and inflammation. Immunostaining allowed quantification of the DR, hepatocyte senescence and proliferation, and analysis incorporated clinical data. Hepatocyte senescence was positively correlated with HIC, serum ferritin, and oxidative stress. A DR was demonstrated and occurred prior to histological fibrosis. HIC, age, hepatocyte senescence and proliferation, portal inflammation, and excessive alcohol consumption all had significant associations with the extent of the DR. In multivariate analysis, iron loading, hepatocyte replicative arrest, and portal inflammation remained independently and significantly associated with the DR. Of factors associated with fibrosis progression, the DR (odds ratio [OR] 10.86 P&lt;0.0001) and the presence of portal inflammation (OR 4.31, P=0.028) remained significant after adjustment for cofactors. The extent of the DR regressed following therapeutic venesection.\nCONCLUSION: Iron loading of hepatocytes leads to impaired replication, stimulating the development of the DR in hemochromatosis and this correlates strongly with hepatic fibrosis. Portal inflammation occurs in hemochromatosis and is independently associated with the DR and fibrosis, and thus its role in this disease should be evaluated further.","DOI":"10.1002/hep.26706","ISSN":"1527-3350","note":"PMID: 24037895","shortTitle":"Ductular reaction in hereditary hemochromatosis","journalAbbreviation":"Hepatology","language":"eng","author":[{"family":"Wood","given":"Marnie J."},{"family":"Gadd","given":"Victoria L."},{"family":"Powell","given":"Lawrie W."},{"family":"Ramm","given":"Grant A."},{"family":"Clouston","given":"Andrew D."}],"issued":{"date-parts":[["2014",3]]}}}],"schema":"https://github.com/citation-style-language/schema/raw/master/csl-citation.json"} </w:instrText>
      </w:r>
      <w:r w:rsidRPr="007F5A49">
        <w:rPr>
          <w:rFonts w:ascii="Book Antiqua" w:eastAsia="Times New Roman" w:hAnsi="Book Antiqua" w:cs="Arial"/>
          <w:bCs/>
          <w:kern w:val="36"/>
          <w:sz w:val="24"/>
          <w:szCs w:val="24"/>
          <w:vertAlign w:val="superscript"/>
          <w:lang w:val="en-US"/>
        </w:rPr>
        <w:fldChar w:fldCharType="separate"/>
      </w:r>
      <w:r w:rsidRPr="007F5A49">
        <w:rPr>
          <w:rFonts w:ascii="Book Antiqua" w:hAnsi="Book Antiqua"/>
          <w:sz w:val="24"/>
          <w:szCs w:val="24"/>
          <w:vertAlign w:val="superscript"/>
          <w:lang w:val="en-US"/>
        </w:rPr>
        <w:t>[26</w:t>
      </w:r>
      <w:r w:rsidRPr="007F5A49">
        <w:rPr>
          <w:rFonts w:ascii="Book Antiqua" w:eastAsia="Times New Roman" w:hAnsi="Book Antiqua" w:cs="Arial"/>
          <w:bCs/>
          <w:kern w:val="36"/>
          <w:sz w:val="24"/>
          <w:szCs w:val="24"/>
          <w:vertAlign w:val="superscript"/>
          <w:lang w:val="en-US"/>
        </w:rPr>
        <w:fldChar w:fldCharType="end"/>
      </w:r>
      <w:r w:rsidRPr="007F5A49">
        <w:rPr>
          <w:rFonts w:ascii="Book Antiqua" w:eastAsia="Times New Roman" w:hAnsi="Book Antiqua" w:cs="Arial"/>
          <w:bCs/>
          <w:kern w:val="36"/>
          <w:sz w:val="24"/>
          <w:szCs w:val="24"/>
          <w:vertAlign w:val="superscript"/>
          <w:lang w:val="en-US"/>
        </w:rPr>
        <w:t>]</w:t>
      </w:r>
      <w:r w:rsidR="00EE6396" w:rsidRPr="007F5A49">
        <w:rPr>
          <w:rFonts w:ascii="Book Antiqua" w:eastAsia="Times New Roman" w:hAnsi="Book Antiqua" w:cs="Arial"/>
          <w:bCs/>
          <w:kern w:val="36"/>
          <w:sz w:val="24"/>
          <w:szCs w:val="24"/>
          <w:lang w:val="en-US"/>
        </w:rPr>
        <w:t xml:space="preserve"> </w:t>
      </w:r>
      <w:r w:rsidR="0020661B" w:rsidRPr="007F5A49">
        <w:rPr>
          <w:rFonts w:ascii="Book Antiqua" w:eastAsia="Times New Roman" w:hAnsi="Book Antiqua" w:cs="Arial"/>
          <w:bCs/>
          <w:kern w:val="36"/>
          <w:sz w:val="24"/>
          <w:szCs w:val="24"/>
          <w:lang w:val="en-US"/>
        </w:rPr>
        <w:t xml:space="preserve">suggested that </w:t>
      </w:r>
      <w:r w:rsidR="009054F2" w:rsidRPr="007F5A49">
        <w:rPr>
          <w:rFonts w:ascii="Book Antiqua" w:eastAsia="Times New Roman" w:hAnsi="Book Antiqua" w:cs="Arial"/>
          <w:sz w:val="24"/>
          <w:szCs w:val="24"/>
          <w:lang w:val="en-US"/>
        </w:rPr>
        <w:t xml:space="preserve">in </w:t>
      </w:r>
      <w:r w:rsidR="00086B55" w:rsidRPr="007F5A49">
        <w:rPr>
          <w:rFonts w:ascii="Book Antiqua" w:eastAsia="Times New Roman" w:hAnsi="Book Antiqua" w:cs="Arial"/>
          <w:sz w:val="24"/>
          <w:szCs w:val="24"/>
          <w:lang w:val="en-US"/>
        </w:rPr>
        <w:t xml:space="preserve">patients homozygous for the </w:t>
      </w:r>
      <w:r w:rsidR="00086B55" w:rsidRPr="007F5A49">
        <w:rPr>
          <w:rFonts w:ascii="Book Antiqua" w:eastAsia="Times New Roman" w:hAnsi="Book Antiqua" w:cs="Arial"/>
          <w:i/>
          <w:sz w:val="24"/>
          <w:szCs w:val="24"/>
          <w:lang w:val="en-US"/>
        </w:rPr>
        <w:t xml:space="preserve">HFE </w:t>
      </w:r>
      <w:r w:rsidR="009054F2" w:rsidRPr="007F5A49">
        <w:rPr>
          <w:rFonts w:ascii="Book Antiqua" w:eastAsia="Times New Roman" w:hAnsi="Book Antiqua" w:cs="Arial"/>
          <w:sz w:val="24"/>
          <w:szCs w:val="24"/>
          <w:lang w:val="en-US"/>
        </w:rPr>
        <w:t xml:space="preserve">C282Y </w:t>
      </w:r>
      <w:r w:rsidR="00086B55" w:rsidRPr="007F5A49">
        <w:rPr>
          <w:rFonts w:ascii="Book Antiqua" w:eastAsia="Times New Roman" w:hAnsi="Book Antiqua" w:cs="Arial"/>
          <w:sz w:val="24"/>
          <w:szCs w:val="24"/>
          <w:lang w:val="en-US"/>
        </w:rPr>
        <w:t>mutation</w:t>
      </w:r>
      <w:r w:rsidR="009054F2" w:rsidRPr="007F5A49">
        <w:rPr>
          <w:rFonts w:ascii="Book Antiqua" w:eastAsia="Times New Roman" w:hAnsi="Book Antiqua" w:cs="Arial"/>
          <w:bCs/>
          <w:kern w:val="36"/>
          <w:sz w:val="24"/>
          <w:szCs w:val="24"/>
          <w:lang w:val="en-US"/>
        </w:rPr>
        <w:t xml:space="preserve">, </w:t>
      </w:r>
      <w:r w:rsidR="000D54C0" w:rsidRPr="007F5A49">
        <w:rPr>
          <w:rFonts w:ascii="Book Antiqua" w:eastAsia="Times New Roman" w:hAnsi="Book Antiqua" w:cs="Arial"/>
          <w:sz w:val="24"/>
          <w:szCs w:val="24"/>
          <w:lang w:val="en-US"/>
        </w:rPr>
        <w:t>LPCs</w:t>
      </w:r>
      <w:r w:rsidR="007F1805" w:rsidRPr="007F5A49">
        <w:rPr>
          <w:rFonts w:ascii="Book Antiqua" w:eastAsia="Times New Roman" w:hAnsi="Book Antiqua" w:cs="Arial"/>
          <w:sz w:val="24"/>
          <w:szCs w:val="24"/>
          <w:lang w:val="en-US"/>
        </w:rPr>
        <w:t xml:space="preserve"> are</w:t>
      </w:r>
      <w:r w:rsidR="000D54C0" w:rsidRPr="007F5A49">
        <w:rPr>
          <w:rFonts w:ascii="Book Antiqua" w:eastAsia="Times New Roman" w:hAnsi="Book Antiqua" w:cs="Arial"/>
          <w:sz w:val="24"/>
          <w:szCs w:val="24"/>
          <w:lang w:val="en-US"/>
        </w:rPr>
        <w:t xml:space="preserve"> activated early </w:t>
      </w:r>
      <w:r w:rsidR="00086B55" w:rsidRPr="007F5A49">
        <w:rPr>
          <w:rFonts w:ascii="Book Antiqua" w:eastAsia="Times New Roman" w:hAnsi="Book Antiqua" w:cs="Arial"/>
          <w:sz w:val="24"/>
          <w:szCs w:val="24"/>
          <w:lang w:val="en-US"/>
        </w:rPr>
        <w:t xml:space="preserve">in disease progression </w:t>
      </w:r>
      <w:r w:rsidR="000D54C0" w:rsidRPr="007F5A49">
        <w:rPr>
          <w:rFonts w:ascii="Book Antiqua" w:eastAsia="Times New Roman" w:hAnsi="Book Antiqua" w:cs="Arial"/>
          <w:sz w:val="24"/>
          <w:szCs w:val="24"/>
          <w:lang w:val="en-US"/>
        </w:rPr>
        <w:t xml:space="preserve">because </w:t>
      </w:r>
      <w:r w:rsidR="00C743B6" w:rsidRPr="007F5A49">
        <w:rPr>
          <w:rFonts w:ascii="Book Antiqua" w:eastAsia="Times New Roman" w:hAnsi="Book Antiqua" w:cs="Arial"/>
          <w:bCs/>
          <w:kern w:val="36"/>
          <w:sz w:val="24"/>
          <w:szCs w:val="24"/>
          <w:lang w:val="en-US"/>
        </w:rPr>
        <w:t>excessive iron deposition in the hepatocytes hamper</w:t>
      </w:r>
      <w:r w:rsidR="00086B55" w:rsidRPr="007F5A49">
        <w:rPr>
          <w:rFonts w:ascii="Book Antiqua" w:eastAsia="Times New Roman" w:hAnsi="Book Antiqua" w:cs="Arial"/>
          <w:bCs/>
          <w:kern w:val="36"/>
          <w:sz w:val="24"/>
          <w:szCs w:val="24"/>
          <w:lang w:val="en-US"/>
        </w:rPr>
        <w:t>s</w:t>
      </w:r>
      <w:r w:rsidR="00C743B6" w:rsidRPr="007F5A49">
        <w:rPr>
          <w:rFonts w:ascii="Book Antiqua" w:eastAsia="Times New Roman" w:hAnsi="Book Antiqua" w:cs="Arial"/>
          <w:bCs/>
          <w:kern w:val="36"/>
          <w:sz w:val="24"/>
          <w:szCs w:val="24"/>
          <w:lang w:val="en-US"/>
        </w:rPr>
        <w:t xml:space="preserve"> their ability</w:t>
      </w:r>
      <w:r w:rsidR="00086B55" w:rsidRPr="007F5A49">
        <w:rPr>
          <w:rFonts w:ascii="Book Antiqua" w:eastAsia="Times New Roman" w:hAnsi="Book Antiqua" w:cs="Arial"/>
          <w:bCs/>
          <w:kern w:val="36"/>
          <w:sz w:val="24"/>
          <w:szCs w:val="24"/>
          <w:lang w:val="en-US"/>
        </w:rPr>
        <w:t xml:space="preserve"> to replicate</w:t>
      </w:r>
      <w:r w:rsidR="00C743B6" w:rsidRPr="007F5A49">
        <w:rPr>
          <w:rFonts w:ascii="Book Antiqua" w:eastAsia="Times New Roman" w:hAnsi="Book Antiqua" w:cs="Arial"/>
          <w:sz w:val="24"/>
          <w:szCs w:val="24"/>
          <w:lang w:val="en-US"/>
        </w:rPr>
        <w:t xml:space="preserve"> </w:t>
      </w:r>
      <w:r w:rsidR="006719DD" w:rsidRPr="007F5A49">
        <w:rPr>
          <w:rFonts w:ascii="Book Antiqua" w:eastAsia="Times New Roman" w:hAnsi="Book Antiqua" w:cs="Arial"/>
          <w:sz w:val="24"/>
          <w:szCs w:val="24"/>
          <w:lang w:val="en-US"/>
        </w:rPr>
        <w:t>and cause</w:t>
      </w:r>
      <w:r w:rsidR="00086B55" w:rsidRPr="007F5A49">
        <w:rPr>
          <w:rFonts w:ascii="Book Antiqua" w:eastAsia="Times New Roman" w:hAnsi="Book Antiqua" w:cs="Arial"/>
          <w:sz w:val="24"/>
          <w:szCs w:val="24"/>
          <w:lang w:val="en-US"/>
        </w:rPr>
        <w:t>s</w:t>
      </w:r>
      <w:r w:rsidR="006719DD" w:rsidRPr="007F5A49">
        <w:rPr>
          <w:rFonts w:ascii="Book Antiqua" w:eastAsia="Times New Roman" w:hAnsi="Book Antiqua" w:cs="Arial"/>
          <w:sz w:val="24"/>
          <w:szCs w:val="24"/>
          <w:lang w:val="en-US"/>
        </w:rPr>
        <w:t xml:space="preserve"> </w:t>
      </w:r>
      <w:r w:rsidR="00C743B6" w:rsidRPr="007F5A49">
        <w:rPr>
          <w:rFonts w:ascii="Book Antiqua" w:eastAsia="Times New Roman" w:hAnsi="Book Antiqua" w:cs="Arial"/>
          <w:sz w:val="24"/>
          <w:szCs w:val="24"/>
          <w:lang w:val="en-US"/>
        </w:rPr>
        <w:t>hepatocyte senescence</w:t>
      </w:r>
      <w:r w:rsidR="006F1B27" w:rsidRPr="007F5A49">
        <w:rPr>
          <w:rFonts w:ascii="Book Antiqua" w:eastAsia="Times New Roman" w:hAnsi="Book Antiqua" w:cs="Arial"/>
          <w:sz w:val="24"/>
          <w:szCs w:val="24"/>
          <w:lang w:val="en-US"/>
        </w:rPr>
        <w:t xml:space="preserve">. </w:t>
      </w:r>
      <w:r w:rsidR="003A0206" w:rsidRPr="007F5A49">
        <w:rPr>
          <w:rFonts w:ascii="Book Antiqua" w:eastAsia="Times New Roman" w:hAnsi="Book Antiqua" w:cs="Arial"/>
          <w:sz w:val="24"/>
          <w:szCs w:val="24"/>
          <w:lang w:val="en-US"/>
        </w:rPr>
        <w:t>R</w:t>
      </w:r>
      <w:r w:rsidR="003A0206" w:rsidRPr="007F5A49">
        <w:rPr>
          <w:rFonts w:ascii="Book Antiqua" w:eastAsia="Times New Roman" w:hAnsi="Book Antiqua" w:cs="Arial"/>
          <w:bCs/>
          <w:kern w:val="36"/>
          <w:sz w:val="24"/>
          <w:szCs w:val="24"/>
          <w:lang w:val="en-US"/>
        </w:rPr>
        <w:t xml:space="preserve">eason for the iron-induced derailment of </w:t>
      </w:r>
      <w:r w:rsidR="001A079F" w:rsidRPr="007F5A49">
        <w:rPr>
          <w:rFonts w:ascii="Book Antiqua" w:eastAsia="Times New Roman" w:hAnsi="Book Antiqua" w:cs="Arial"/>
          <w:bCs/>
          <w:kern w:val="36"/>
          <w:sz w:val="24"/>
          <w:szCs w:val="24"/>
          <w:lang w:val="en-US"/>
        </w:rPr>
        <w:t>th</w:t>
      </w:r>
      <w:r w:rsidR="000D54C0" w:rsidRPr="007F5A49">
        <w:rPr>
          <w:rFonts w:ascii="Book Antiqua" w:eastAsia="Times New Roman" w:hAnsi="Book Antiqua" w:cs="Arial"/>
          <w:bCs/>
          <w:kern w:val="36"/>
          <w:sz w:val="24"/>
          <w:szCs w:val="24"/>
          <w:lang w:val="en-US"/>
        </w:rPr>
        <w:t xml:space="preserve">e </w:t>
      </w:r>
      <w:r w:rsidR="00086B55" w:rsidRPr="007F5A49">
        <w:rPr>
          <w:rFonts w:ascii="Book Antiqua" w:eastAsia="Times New Roman" w:hAnsi="Book Antiqua" w:cs="Arial"/>
          <w:bCs/>
          <w:kern w:val="36"/>
          <w:sz w:val="24"/>
          <w:szCs w:val="24"/>
          <w:lang w:val="en-US"/>
        </w:rPr>
        <w:t>LP</w:t>
      </w:r>
      <w:r w:rsidR="008E7824" w:rsidRPr="007F5A49">
        <w:rPr>
          <w:rFonts w:ascii="Book Antiqua" w:eastAsia="Times New Roman" w:hAnsi="Book Antiqua" w:cs="Arial"/>
          <w:bCs/>
          <w:kern w:val="36"/>
          <w:sz w:val="24"/>
          <w:szCs w:val="24"/>
          <w:lang w:val="en-US"/>
        </w:rPr>
        <w:t>C</w:t>
      </w:r>
      <w:r w:rsidR="007F1805" w:rsidRPr="007F5A49">
        <w:rPr>
          <w:rFonts w:ascii="Book Antiqua" w:eastAsia="Times New Roman" w:hAnsi="Book Antiqua" w:cs="Arial"/>
          <w:bCs/>
          <w:kern w:val="36"/>
          <w:sz w:val="24"/>
          <w:szCs w:val="24"/>
          <w:lang w:val="en-US"/>
        </w:rPr>
        <w:t>-</w:t>
      </w:r>
      <w:r w:rsidR="000D54C0" w:rsidRPr="007F5A49">
        <w:rPr>
          <w:rFonts w:ascii="Book Antiqua" w:eastAsia="Times New Roman" w:hAnsi="Book Antiqua" w:cs="Arial"/>
          <w:bCs/>
          <w:kern w:val="36"/>
          <w:sz w:val="24"/>
          <w:szCs w:val="24"/>
          <w:lang w:val="en-US"/>
        </w:rPr>
        <w:t>repair</w:t>
      </w:r>
      <w:r w:rsidR="007F1805" w:rsidRPr="007F5A49">
        <w:rPr>
          <w:rFonts w:ascii="Book Antiqua" w:eastAsia="Times New Roman" w:hAnsi="Book Antiqua" w:cs="Arial"/>
          <w:bCs/>
          <w:kern w:val="36"/>
          <w:sz w:val="24"/>
          <w:szCs w:val="24"/>
          <w:lang w:val="en-US"/>
        </w:rPr>
        <w:t>-m</w:t>
      </w:r>
      <w:r w:rsidR="000D54C0" w:rsidRPr="007F5A49">
        <w:rPr>
          <w:rFonts w:ascii="Book Antiqua" w:eastAsia="Times New Roman" w:hAnsi="Book Antiqua" w:cs="Arial"/>
          <w:bCs/>
          <w:kern w:val="36"/>
          <w:sz w:val="24"/>
          <w:szCs w:val="24"/>
          <w:lang w:val="en-US"/>
        </w:rPr>
        <w:t>echanism</w:t>
      </w:r>
      <w:r w:rsidR="008E1B61" w:rsidRPr="007F5A49">
        <w:rPr>
          <w:rFonts w:ascii="Book Antiqua" w:eastAsia="Times New Roman" w:hAnsi="Book Antiqua" w:cs="Arial"/>
          <w:bCs/>
          <w:kern w:val="36"/>
          <w:sz w:val="24"/>
          <w:szCs w:val="24"/>
          <w:lang w:val="en-US"/>
        </w:rPr>
        <w:t xml:space="preserve"> </w:t>
      </w:r>
      <w:r w:rsidR="00031E28" w:rsidRPr="007F5A49">
        <w:rPr>
          <w:rFonts w:ascii="Book Antiqua" w:eastAsia="Times New Roman" w:hAnsi="Book Antiqua" w:cs="Arial"/>
          <w:bCs/>
          <w:kern w:val="36"/>
          <w:sz w:val="24"/>
          <w:szCs w:val="24"/>
          <w:lang w:val="en-US"/>
        </w:rPr>
        <w:t>an</w:t>
      </w:r>
      <w:r w:rsidR="006641DB" w:rsidRPr="007F5A49">
        <w:rPr>
          <w:rFonts w:ascii="Book Antiqua" w:eastAsia="Times New Roman" w:hAnsi="Book Antiqua" w:cs="Arial"/>
          <w:bCs/>
          <w:kern w:val="36"/>
          <w:sz w:val="24"/>
          <w:szCs w:val="24"/>
          <w:lang w:val="en-US"/>
        </w:rPr>
        <w:t>d</w:t>
      </w:r>
      <w:r w:rsidR="001359F8" w:rsidRPr="007F5A49">
        <w:rPr>
          <w:rFonts w:ascii="Book Antiqua" w:eastAsia="Times New Roman" w:hAnsi="Book Antiqua" w:cs="Arial"/>
          <w:bCs/>
          <w:kern w:val="36"/>
          <w:sz w:val="24"/>
          <w:szCs w:val="24"/>
          <w:lang w:val="en-US"/>
        </w:rPr>
        <w:t xml:space="preserve"> </w:t>
      </w:r>
      <w:r w:rsidR="004E44AA" w:rsidRPr="007F5A49">
        <w:rPr>
          <w:rFonts w:ascii="Book Antiqua" w:eastAsia="Times New Roman" w:hAnsi="Book Antiqua" w:cs="Arial"/>
          <w:bCs/>
          <w:kern w:val="36"/>
          <w:sz w:val="24"/>
          <w:szCs w:val="24"/>
          <w:lang w:val="en-US"/>
        </w:rPr>
        <w:t xml:space="preserve">how it </w:t>
      </w:r>
      <w:r w:rsidR="001359F8" w:rsidRPr="007F5A49">
        <w:rPr>
          <w:rFonts w:ascii="Book Antiqua" w:eastAsia="Times New Roman" w:hAnsi="Book Antiqua" w:cs="Arial"/>
          <w:bCs/>
          <w:kern w:val="36"/>
          <w:sz w:val="24"/>
          <w:szCs w:val="24"/>
          <w:lang w:val="en-US"/>
        </w:rPr>
        <w:t>contributes</w:t>
      </w:r>
      <w:r w:rsidR="005A2852" w:rsidRPr="007F5A49">
        <w:rPr>
          <w:rFonts w:ascii="Book Antiqua" w:eastAsia="Times New Roman" w:hAnsi="Book Antiqua" w:cs="Arial"/>
          <w:bCs/>
          <w:kern w:val="36"/>
          <w:sz w:val="24"/>
          <w:szCs w:val="24"/>
          <w:lang w:val="en-US"/>
        </w:rPr>
        <w:t xml:space="preserve"> to </w:t>
      </w:r>
      <w:r w:rsidR="006641DB" w:rsidRPr="007F5A49">
        <w:rPr>
          <w:rFonts w:ascii="Book Antiqua" w:eastAsia="Times New Roman" w:hAnsi="Book Antiqua" w:cs="Arial"/>
          <w:bCs/>
          <w:kern w:val="36"/>
          <w:sz w:val="24"/>
          <w:szCs w:val="24"/>
          <w:lang w:val="en-US"/>
        </w:rPr>
        <w:t xml:space="preserve">predisposition to </w:t>
      </w:r>
      <w:r w:rsidR="00031E28" w:rsidRPr="007F5A49">
        <w:rPr>
          <w:rFonts w:ascii="Book Antiqua" w:eastAsia="Times New Roman" w:hAnsi="Book Antiqua" w:cs="Arial"/>
          <w:bCs/>
          <w:kern w:val="36"/>
          <w:sz w:val="24"/>
          <w:szCs w:val="24"/>
          <w:lang w:val="en-US"/>
        </w:rPr>
        <w:t>hepatocellular carcinoma in</w:t>
      </w:r>
      <w:r w:rsidR="002F2E07" w:rsidRPr="007F5A49">
        <w:rPr>
          <w:rFonts w:ascii="Book Antiqua" w:eastAsia="Times New Roman" w:hAnsi="Book Antiqua" w:cs="Arial"/>
          <w:bCs/>
          <w:kern w:val="36"/>
          <w:sz w:val="24"/>
          <w:szCs w:val="24"/>
          <w:lang w:val="en-US"/>
        </w:rPr>
        <w:t xml:space="preserve"> </w:t>
      </w:r>
      <w:r w:rsidR="007B5113" w:rsidRPr="007F5A49">
        <w:rPr>
          <w:rFonts w:ascii="Book Antiqua" w:eastAsia="Times New Roman" w:hAnsi="Book Antiqua" w:cs="Arial"/>
          <w:bCs/>
          <w:kern w:val="36"/>
          <w:sz w:val="24"/>
          <w:szCs w:val="24"/>
          <w:lang w:val="en-US"/>
        </w:rPr>
        <w:t>haemochromatosis</w:t>
      </w:r>
      <w:r w:rsidR="00031E28" w:rsidRPr="007F5A49">
        <w:rPr>
          <w:rFonts w:ascii="Book Antiqua" w:eastAsia="Times New Roman" w:hAnsi="Book Antiqua" w:cs="Arial"/>
          <w:bCs/>
          <w:kern w:val="36"/>
          <w:sz w:val="24"/>
          <w:szCs w:val="24"/>
          <w:lang w:val="en-US"/>
        </w:rPr>
        <w:t xml:space="preserve"> pa</w:t>
      </w:r>
      <w:r w:rsidR="00C058AD" w:rsidRPr="007F5A49">
        <w:rPr>
          <w:rFonts w:ascii="Book Antiqua" w:eastAsia="Times New Roman" w:hAnsi="Book Antiqua" w:cs="Arial"/>
          <w:bCs/>
          <w:kern w:val="36"/>
          <w:sz w:val="24"/>
          <w:szCs w:val="24"/>
          <w:lang w:val="en-US"/>
        </w:rPr>
        <w:t>tients remains unknown</w:t>
      </w:r>
      <w:r w:rsidR="00C86A5D" w:rsidRPr="007F5A49">
        <w:rPr>
          <w:rFonts w:ascii="Book Antiqua" w:eastAsia="Times New Roman" w:hAnsi="Book Antiqua" w:cs="Arial"/>
          <w:bCs/>
          <w:kern w:val="36"/>
          <w:sz w:val="24"/>
          <w:szCs w:val="24"/>
          <w:lang w:val="en-US"/>
        </w:rPr>
        <w:t>.</w:t>
      </w:r>
    </w:p>
    <w:p w14:paraId="3AF18EC0" w14:textId="77777777" w:rsidR="009C4221" w:rsidRPr="007F5A49" w:rsidRDefault="009C4221" w:rsidP="007F5A49">
      <w:pPr>
        <w:adjustRightInd w:val="0"/>
        <w:snapToGrid w:val="0"/>
        <w:spacing w:after="0" w:line="360" w:lineRule="auto"/>
        <w:jc w:val="both"/>
        <w:rPr>
          <w:rFonts w:ascii="Book Antiqua" w:hAnsi="Book Antiqua" w:cs="Arial"/>
          <w:i/>
          <w:sz w:val="24"/>
          <w:szCs w:val="24"/>
          <w:u w:val="single"/>
          <w:lang w:val="en-US"/>
        </w:rPr>
      </w:pPr>
    </w:p>
    <w:p w14:paraId="4024F9A8" w14:textId="427A05B6" w:rsidR="00AA6CDA" w:rsidRPr="007F5A49" w:rsidRDefault="000E3F56" w:rsidP="008E1EBB">
      <w:pPr>
        <w:adjustRightInd w:val="0"/>
        <w:snapToGrid w:val="0"/>
        <w:spacing w:after="0" w:line="360" w:lineRule="auto"/>
        <w:jc w:val="both"/>
        <w:outlineLvl w:val="0"/>
        <w:rPr>
          <w:rFonts w:ascii="Book Antiqua" w:eastAsia="Times New Roman" w:hAnsi="Book Antiqua" w:cs="Arial"/>
          <w:b/>
          <w:sz w:val="24"/>
          <w:szCs w:val="24"/>
          <w:lang w:val="en-US"/>
        </w:rPr>
      </w:pPr>
      <w:r w:rsidRPr="007F5A49">
        <w:rPr>
          <w:rFonts w:ascii="Book Antiqua" w:hAnsi="Book Antiqua" w:cs="Arial"/>
          <w:b/>
          <w:i/>
          <w:sz w:val="24"/>
          <w:szCs w:val="24"/>
          <w:lang w:val="en-US"/>
        </w:rPr>
        <w:t>ALD</w:t>
      </w:r>
    </w:p>
    <w:p w14:paraId="1CD9C308" w14:textId="042CDBE1" w:rsidR="0030672F" w:rsidRPr="007F5A49" w:rsidRDefault="0018476D" w:rsidP="007F5A49">
      <w:pPr>
        <w:adjustRightInd w:val="0"/>
        <w:snapToGrid w:val="0"/>
        <w:spacing w:after="0" w:line="360" w:lineRule="auto"/>
        <w:jc w:val="both"/>
        <w:rPr>
          <w:rFonts w:ascii="Book Antiqua" w:hAnsi="Book Antiqua" w:cs="Arial"/>
          <w:sz w:val="24"/>
          <w:szCs w:val="24"/>
          <w:lang w:val="en-US"/>
        </w:rPr>
      </w:pPr>
      <w:r w:rsidRPr="007F5A49">
        <w:rPr>
          <w:rFonts w:ascii="Book Antiqua" w:eastAsia="Times New Roman" w:hAnsi="Book Antiqua" w:cs="Arial"/>
          <w:sz w:val="24"/>
          <w:szCs w:val="24"/>
          <w:lang w:val="en-US"/>
        </w:rPr>
        <w:t>ALD</w:t>
      </w:r>
      <w:r w:rsidR="00AA6CDA" w:rsidRPr="007F5A49">
        <w:rPr>
          <w:rFonts w:ascii="Book Antiqua" w:eastAsia="Times New Roman" w:hAnsi="Book Antiqua" w:cs="Arial"/>
          <w:sz w:val="24"/>
          <w:szCs w:val="24"/>
          <w:lang w:val="en-US"/>
        </w:rPr>
        <w:t xml:space="preserve"> </w:t>
      </w:r>
      <w:r w:rsidR="0082460A" w:rsidRPr="007F5A49">
        <w:rPr>
          <w:rFonts w:ascii="Book Antiqua" w:eastAsia="Times New Roman" w:hAnsi="Book Antiqua" w:cs="Arial"/>
          <w:sz w:val="24"/>
          <w:szCs w:val="24"/>
          <w:lang w:val="en-US"/>
        </w:rPr>
        <w:t xml:space="preserve">exhibits </w:t>
      </w:r>
      <w:r w:rsidR="00AA6CDA" w:rsidRPr="007F5A49">
        <w:rPr>
          <w:rFonts w:ascii="Book Antiqua" w:eastAsia="Times New Roman" w:hAnsi="Book Antiqua" w:cs="Arial"/>
          <w:sz w:val="24"/>
          <w:szCs w:val="24"/>
          <w:lang w:val="en-US"/>
        </w:rPr>
        <w:t xml:space="preserve">liver iron loading in about half of all patients </w:t>
      </w:r>
      <w:r w:rsidR="00661563" w:rsidRPr="007F5A49">
        <w:rPr>
          <w:rFonts w:ascii="Book Antiqua" w:eastAsia="Times New Roman" w:hAnsi="Book Antiqua" w:cs="Arial"/>
          <w:sz w:val="24"/>
          <w:szCs w:val="24"/>
          <w:lang w:val="en-US"/>
        </w:rPr>
        <w:t xml:space="preserve">where </w:t>
      </w:r>
      <w:r w:rsidR="00AA6CDA" w:rsidRPr="007F5A49">
        <w:rPr>
          <w:rFonts w:ascii="Book Antiqua" w:eastAsia="Times New Roman" w:hAnsi="Book Antiqua" w:cs="Arial"/>
          <w:sz w:val="24"/>
          <w:szCs w:val="24"/>
          <w:lang w:val="en-US"/>
        </w:rPr>
        <w:t xml:space="preserve">serum iron </w:t>
      </w:r>
      <w:r w:rsidR="000D379A" w:rsidRPr="007F5A49">
        <w:rPr>
          <w:rFonts w:ascii="Book Antiqua" w:eastAsia="Times New Roman" w:hAnsi="Book Antiqua" w:cs="Arial"/>
          <w:sz w:val="24"/>
          <w:szCs w:val="24"/>
          <w:lang w:val="en-US"/>
        </w:rPr>
        <w:t>biomarkers</w:t>
      </w:r>
      <w:r w:rsidR="00AA6CDA" w:rsidRPr="007F5A49">
        <w:rPr>
          <w:rFonts w:ascii="Book Antiqua" w:eastAsia="Times New Roman" w:hAnsi="Book Antiqua" w:cs="Arial"/>
          <w:sz w:val="24"/>
          <w:szCs w:val="24"/>
          <w:lang w:val="en-US"/>
        </w:rPr>
        <w:t xml:space="preserve"> are raised in a</w:t>
      </w:r>
      <w:r w:rsidR="00A17972" w:rsidRPr="007F5A49">
        <w:rPr>
          <w:rFonts w:ascii="Book Antiqua" w:eastAsia="Times New Roman" w:hAnsi="Book Antiqua" w:cs="Arial"/>
          <w:sz w:val="24"/>
          <w:szCs w:val="24"/>
          <w:lang w:val="en-US"/>
        </w:rPr>
        <w:t>lcohol consumers from an early</w:t>
      </w:r>
      <w:r w:rsidR="00AA6CDA" w:rsidRPr="007F5A49">
        <w:rPr>
          <w:rFonts w:ascii="Book Antiqua" w:eastAsia="Times New Roman" w:hAnsi="Book Antiqua" w:cs="Arial"/>
          <w:sz w:val="24"/>
          <w:szCs w:val="24"/>
          <w:lang w:val="en-US"/>
        </w:rPr>
        <w:t xml:space="preserve"> </w:t>
      </w:r>
      <w:r w:rsidR="00822495" w:rsidRPr="007F5A49">
        <w:rPr>
          <w:rFonts w:ascii="Book Antiqua" w:eastAsia="Times New Roman" w:hAnsi="Book Antiqua" w:cs="Arial"/>
          <w:sz w:val="24"/>
          <w:szCs w:val="24"/>
          <w:lang w:val="en-US"/>
        </w:rPr>
        <w:t>stage</w:t>
      </w:r>
      <w:r w:rsidR="00AA6CDA" w:rsidRPr="007F5A49">
        <w:rPr>
          <w:rFonts w:ascii="Book Antiqua" w:eastAsia="Times New Roman" w:hAnsi="Book Antiqua" w:cs="Arial"/>
          <w:sz w:val="24"/>
          <w:szCs w:val="24"/>
          <w:vertAlign w:val="superscript"/>
          <w:lang w:val="en-US"/>
        </w:rPr>
        <w:fldChar w:fldCharType="begin"/>
      </w:r>
      <w:r w:rsidR="00D2645C" w:rsidRPr="007F5A49">
        <w:rPr>
          <w:rFonts w:ascii="Book Antiqua" w:eastAsia="Times New Roman" w:hAnsi="Book Antiqua" w:cs="Arial"/>
          <w:sz w:val="24"/>
          <w:szCs w:val="24"/>
          <w:vertAlign w:val="superscript"/>
          <w:lang w:val="en-US"/>
        </w:rPr>
        <w:instrText xml:space="preserve"> ADDIN ZOTERO_ITEM CSL_CITATION {"citationID":"lrPjOzOv","properties":{"formattedCitation":"(68)","plainCitation":"(68)","noteIndex":0},"citationItems":[{"id":36,"uris":["http://zotero.org/users/2804724/items/V7Z8BPXK"],"uri":["http://zotero.org/users/2804724/items/V7Z8BPXK"],"itemData":{"id":36,"type":"article-journal","title":"The Role of Iron and Iron Overload in Chronic Liver Disease","container-title":"Medical Science Monitor : International Medical Journal of Experimental and Clinical Research","page":"2144-2151","volume":"22","source":"PubMed Central","abstract":"The liver plays a major role in iron homeostasis; thus, in patients with chronic liver disease, iron regulation may be disturbed. Higher iron levels are present not only in patients with hereditary hemochromatosis, but also in those with alcoholic liver disease, nonalcoholic fatty liver disease, and hepatitis C viral infection. Chronic liver disease decreases the synthetic functions of the liver, including the production of hepcidin, a key protein in iron metabolism. Lower levels of hepcidin result in iron overload, which leads to iron deposits in the liver and higher levels of non-transferrin-bound iron in the bloodstream. Iron combined with reactive oxygen species leads to an increase in hydroxyl radicals, which are responsible for phospholipid peroxidation, oxidation of amino acid side chains, DNA strain breaks, and protein fragmentation. Iron-induced cellular damage may be prevented by regulating the production of hepcidin or by administering hepcidin agonists. Both of these methods have yielded successful results in mouse models.","DOI":"10.12659/MSM.896494","ISSN":"1234-1010","note":"PMID: 27332079\nPMCID: PMC4922827","journalAbbreviation":"Med Sci Monit","author":[{"family":"Milic","given":"Sandra"},{"family":"Mikolasevic","given":"Ivana"},{"family":"Orlic","given":"Lidija"},{"family":"Devcic","given":"Edita"},{"family":"Starcevic-Cizmarevic","given":"Nada"},{"family":"Stimac","given":"Davor"},{"family":"Kapovic","given":"Miljenko"},{"family":"Ristic","given":"Smiljana"}],"issued":{"date-parts":[["2016",6,22]]}}}],"schema":"https://github.com/citation-style-language/schema/raw/master/csl-citation.json"} </w:instrText>
      </w:r>
      <w:r w:rsidR="00AA6CDA" w:rsidRPr="007F5A49">
        <w:rPr>
          <w:rFonts w:ascii="Book Antiqua" w:eastAsia="Times New Roman" w:hAnsi="Book Antiqua" w:cs="Arial"/>
          <w:sz w:val="24"/>
          <w:szCs w:val="24"/>
          <w:vertAlign w:val="superscript"/>
          <w:lang w:val="en-US"/>
        </w:rPr>
        <w:fldChar w:fldCharType="separate"/>
      </w:r>
      <w:r w:rsidR="006A6329"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68</w:t>
      </w:r>
      <w:r w:rsidR="00AA6CDA" w:rsidRPr="007F5A49">
        <w:rPr>
          <w:rFonts w:ascii="Book Antiqua" w:eastAsia="Times New Roman" w:hAnsi="Book Antiqua" w:cs="Arial"/>
          <w:sz w:val="24"/>
          <w:szCs w:val="24"/>
          <w:vertAlign w:val="superscript"/>
          <w:lang w:val="en-US"/>
        </w:rPr>
        <w:fldChar w:fldCharType="end"/>
      </w:r>
      <w:r w:rsidR="006A6329" w:rsidRPr="007F5A49">
        <w:rPr>
          <w:rFonts w:ascii="Book Antiqua" w:eastAsia="Times New Roman" w:hAnsi="Book Antiqua" w:cs="Arial"/>
          <w:sz w:val="24"/>
          <w:szCs w:val="24"/>
          <w:vertAlign w:val="superscript"/>
          <w:lang w:val="en-US"/>
        </w:rPr>
        <w:t>]</w:t>
      </w:r>
      <w:r w:rsidR="00822495" w:rsidRPr="007F5A49">
        <w:rPr>
          <w:rFonts w:ascii="Book Antiqua" w:eastAsia="Times New Roman" w:hAnsi="Book Antiqua" w:cs="Arial"/>
          <w:sz w:val="24"/>
          <w:szCs w:val="24"/>
          <w:lang w:val="en-US"/>
        </w:rPr>
        <w:t xml:space="preserve">. </w:t>
      </w:r>
      <w:r w:rsidR="0082460A" w:rsidRPr="007F5A49">
        <w:rPr>
          <w:rFonts w:ascii="Book Antiqua" w:eastAsia="Times New Roman" w:hAnsi="Book Antiqua" w:cs="Arial"/>
          <w:sz w:val="24"/>
          <w:szCs w:val="24"/>
          <w:lang w:val="en-US"/>
        </w:rPr>
        <w:t>Alcohol-mediated suppression of hepcidin expression</w:t>
      </w:r>
      <w:r w:rsidR="00CB7C1F" w:rsidRPr="007F5A49">
        <w:rPr>
          <w:rFonts w:ascii="Book Antiqua" w:eastAsia="Times New Roman" w:hAnsi="Book Antiqua" w:cs="Arial"/>
          <w:sz w:val="24"/>
          <w:szCs w:val="24"/>
          <w:vertAlign w:val="superscript"/>
          <w:lang w:val="en-US"/>
        </w:rPr>
        <w:fldChar w:fldCharType="begin"/>
      </w:r>
      <w:r w:rsidR="00D2645C" w:rsidRPr="007F5A49">
        <w:rPr>
          <w:rFonts w:ascii="Book Antiqua" w:eastAsia="Times New Roman" w:hAnsi="Book Antiqua" w:cs="Arial"/>
          <w:sz w:val="24"/>
          <w:szCs w:val="24"/>
          <w:vertAlign w:val="superscript"/>
          <w:lang w:val="en-US"/>
        </w:rPr>
        <w:instrText xml:space="preserve"> ADDIN ZOTERO_ITEM CSL_CITATION {"citationID":"pAqwX669","properties":{"formattedCitation":"(69\\uc0\\u8211{}71)","plainCitation":"(69–71)","noteIndex":0},"citationItems":[{"id":398,"uris":["http://zotero.org/users/2804724/items/CFZQIWTE"],"uri":["http://zotero.org/users/2804724/items/CFZQIWTE"],"itemData":{"id":398,"type":"article-journal","title":"Liver hepcidin mRNA expression is inappropriately low in alcoholic patients compared with healthy controls","container-title":"European Journal of Gastroenterology &amp; Hepatology","page":"1158-1165","volume":"24","issue":"10","source":"PubMed","abstract":"BACKGROUND AND AIMS: Hepcidin plays a crucial role in iron metabolism, preventing its absorption at the basolateral enterocyte membrane. Hepcidin regulation is complex and regulated at the transcriptional level. The relation between iron overload and alcoholic liver disease is well known, but its mechanism is not clear. We present an observational, case-control study, aimed at evaluating the effects of alcohol on the expression of hepcidin in human participants. We intended to assess whether iron overload related to alcohol ingestion was caused by hepcidin-impaired expression by determining hepcidin mRNA expression and relating it to iron stores, both in alcoholic patients and in normal controls.\nMETHODS: We compared liver hepcidin mRNA expression between 25 active drinkers with alcoholic liver disease, without cirrhosis, and 20 healthy controls. All individuals were evaluated for HFE mutations, complete blood count, coagulation, glucose, kidney function, liver function, viral hepatitis, C-reactive protein, interleukin 6, tumor necrosis factor α, and serum iron, ferritin, and transferrin saturation. Total RNA was isolated from liver samples, cDNA was obtained by reverse transcription, and hepatic expression levels of hepcidin were determined by real-time PCR using the comparative Ct method (2(-ΔΔCt)).\nRESULTS: Serum ferritin and transferrin saturation were significantly higher in patients. Hepcidin was downregulated in patients compared with the controls by a mean factor of -0.44 (log10 2(-ΔΔCt)) (P=0.009). Hepcidin expression was not significantly different between the several grades of fibrosis, necroinflammatory activity, and liver iron stores. Heavy alcohol consumption caused the highest hepcidin mRNA suppression. The hepcidin mRNA expression/serum ferritin ratio was significantly lower in alcoholic patients (P&lt;0.0001).\nCONCLUSION: Hepcidin liver expression is inappropriately low in alcoholic patients with active alcoholism and preserved hepatic function, and we conclude that this is the mechanism for alcohol consumption-associated iron overload in humans.","DOI":"10.1097/MEG.0b013e328355cfd0","ISSN":"1473-5687","note":"PMID: 22732356","journalAbbreviation":"Eur J Gastroenterol Hepatol","language":"eng","author":[{"family":"Costa-Matos","given":"Luís"},{"family":"Batista","given":"Paulo"},{"family":"Monteiro","given":"Nuno"},{"family":"Simões","given":"Maria"},{"family":"Egas","given":"Conceição"},{"family":"Pereira","given":"Jorge"},{"family":"Pinho","given":"Helena"},{"family":"Santos","given":"Natália"},{"family":"Ribeiro","given":"João"},{"family":"Cipriano","given":"Maria A."},{"family":"Henriques","given":"Pedro"},{"family":"Girão","given":"Fernando"},{"family":"Rodrigues","given":"Alfredo"},{"family":"Carvalho","given":"Armando"}],"issued":{"date-parts":[["2012",10]]}}},{"id":63,"uris":["http://zotero.org/users/2804724/items/BJVBXSDN"],"uri":["http://zotero.org/users/2804724/items/BJVBXSDN"],"itemData":{"id":63,"type":"article-journal","title":"Alcohol metabolism-mediated oxidative stress down-regulates hepcidin transcription and leads to increased duodenal iron transporter expression","container-title":"The Journal of Biological Chemistry","page":"22974-22982","volume":"281","issue":"32","source":"PubMed","abstract":"Patients with alcoholic liver disease frequently exhibit iron overload in association with increased hepatic fibrosis. Even moderate alcohol consumption elevates body iron stores; however, the underlying molecular mechanisms are unknown. Hepcidin, a circulatory peptide synthesized in the liver, is a key mediator of iron metabolism. Ethanol metabolism significantly down-regulated both in vitro and in vivo hepcidin mRNA and protein expression. 4-Methylpyrazole, a specific inhibitor of the alcohol-metabolizing enzymes, abolished the effects of ethanol on hepcidin. However, ethanol did not alter the expression of transferrin receptor1 and ferritin or the activation of iron regulatory RNA-binding proteins, IRP1 and IRP2. Mice maintained on 10-20% ethanol for 7 days displayed down-regulation of liver hepcidin expression without changes in liver triglycerides or histology. This was accompanied by elevated duodenal divalent metal transporter1 and ferroportin protein expression. Injection of hepcidin peptide negated the effect of ethanol on duodenal iron transporters. Ethanol down-regulated hepcidin promoter activity and the DNA binding activity of CCAAT/enhancer-binding protein alpha (C/EBPalpha) but not beta. Interestingly, the antioxidants vitamin E and N-acetylcysteine abolished both the alcohol-mediated down-regulation of C/EBPalpha binding activity and hepcidin expression in the liver and the up-regulation of duodenal divalent metal transporter 1. Collectively, these findings indicate that alcohol metabolism-mediated oxidative stress regulates hepcidin transcription via C/EBPalpha, which in turn leads to increased duodenal iron transport.","DOI":"10.1074/jbc.M602098200","ISSN":"0021-9258","note":"PMID: 16737972","journalAbbreviation":"J. Biol. Chem.","language":"eng","author":[{"family":"Harrison-Findik","given":"Duygu Dee"},{"family":"Schafer","given":"Denise"},{"family":"Klein","given":"Elizabeth"},{"family":"Timchenko","given":"Nikolai A."},{"family":"Kulaksiz","given":"Hasan"},{"family":"Clemens","given":"Dahn"},{"family":"Fein","given":"Evelyn"},{"family":"Andriopoulos","given":"Billy"},{"family":"Pantopoulos","given":"Kostas"},{"family":"Gollan","given":"John"}],"issued":{"date-parts":[["2006",8,11]]}}},{"id":397,"uris":["http://zotero.org/users/2804724/items/2EMV8GV6"],"uri":["http://zotero.org/users/2804724/items/2EMV8GV6"],"itemData":{"id":397,"type":"article-journal","title":"Hepcidin is down-regulated in alcohol loading","container-title":"Alcoholism, Clinical and Experimental Research","page":"S2-8","volume":"31","issue":"1 Suppl","source":"PubMed","abstract":"BACKGROUND: It is common for alcoholic patients to have excess iron accumulation in the liver, which may contribute to the development of alcoholic liver disease (ALD). However, the mechanism of hepatic iron uptake in ALD is still obscure. Recently, a novel iron-regulatory hormone hepcidin was found that suppresses the absorption of iron from the small intestine and the release of iron from macrophages. To elucidate the contribution of hepcidin toward the hepatic excess iron accumulation in ALD, we examined whether alcohol loading affects hepcidin expression both in ALD patients and in an ethanol-fed mouse model.\nMETHODS: Serum prohepcidin concentration was quantified by enzyme-linked immunosorbent assay. Hepatic hepcidin-1 and hepcidin-2 mRNA expressions in mouse liver were evaluated by quantitative real-time reverse-transcriptase polymerase chain reaction method. The protein expression of prohepcidin in mouse liver was examined immunohistochemically by rabbit antimouse prohepcidin antibody.\nRESULTS: Serum prohepcidin concentration in ALD was significantly lower than that in healthy subjects (p&lt;0.001). Especially, serum prohepcidin concentrations were decreased in the patients whose serum ferritin value was high. In the ethanol-fed mouse model, hepatic hepcidin-1 mRNA expression was significantly lower than that in control (p=0.04). Prohepcidin was expressed in the cytoplasm of hepatocytes of mice liver tissue sections, and its expression was decreased after ethanol loading.\nCONCLUSION: Alcohol loading down-regulates hepatic hepcidin expression and leads to the increase of iron absorption from the intestine.","DOI":"10.1111/j.1530-0277.2006.00279.x","ISSN":"1530-0277","note":"PMID: 17331161","journalAbbreviation":"Alcohol. Clin. Exp. Res.","language":"eng","author":[{"family":"Ohtake","given":"Takaaki"},{"family":"Saito","given":"Hiroyuki"},{"family":"Hosoki","given":"Yayoi"},{"family":"Inoue","given":"Mitsutaka"},{"family":"Miyoshi","given":"Shigeki"},{"family":"Suzuki","given":"Yasuaki"},{"family":"Fujimoto","given":"Yoshinori"},{"family":"Kohgo","given":"Yutaka"}],"issued":{"date-parts":[["2007",1]]}}}],"schema":"https://github.com/citation-style-language/schema/raw/master/csl-citation.json"} </w:instrText>
      </w:r>
      <w:r w:rsidR="00CB7C1F" w:rsidRPr="007F5A49">
        <w:rPr>
          <w:rFonts w:ascii="Book Antiqua" w:eastAsia="Times New Roman" w:hAnsi="Book Antiqua" w:cs="Arial"/>
          <w:sz w:val="24"/>
          <w:szCs w:val="24"/>
          <w:vertAlign w:val="superscript"/>
          <w:lang w:val="en-US"/>
        </w:rPr>
        <w:fldChar w:fldCharType="separate"/>
      </w:r>
      <w:r w:rsidR="006A6329" w:rsidRPr="007F5A49">
        <w:rPr>
          <w:rFonts w:ascii="Book Antiqua" w:hAnsi="Book Antiqua" w:cs="Times New Roman"/>
          <w:sz w:val="24"/>
          <w:szCs w:val="24"/>
          <w:vertAlign w:val="superscript"/>
          <w:lang w:val="en-US"/>
        </w:rPr>
        <w:t>[</w:t>
      </w:r>
      <w:r w:rsidR="00D2645C" w:rsidRPr="007F5A49">
        <w:rPr>
          <w:rFonts w:ascii="Book Antiqua" w:hAnsi="Book Antiqua" w:cs="Times New Roman"/>
          <w:sz w:val="24"/>
          <w:szCs w:val="24"/>
          <w:vertAlign w:val="superscript"/>
          <w:lang w:val="en-US"/>
        </w:rPr>
        <w:t>69</w:t>
      </w:r>
      <w:r w:rsidR="00C04BB2">
        <w:rPr>
          <w:rFonts w:ascii="Book Antiqua" w:hAnsi="Book Antiqua" w:cs="Times New Roman"/>
          <w:sz w:val="24"/>
          <w:szCs w:val="24"/>
          <w:vertAlign w:val="superscript"/>
          <w:lang w:val="en-US"/>
        </w:rPr>
        <w:t>-</w:t>
      </w:r>
      <w:r w:rsidR="00D2645C" w:rsidRPr="007F5A49">
        <w:rPr>
          <w:rFonts w:ascii="Book Antiqua" w:hAnsi="Book Antiqua" w:cs="Times New Roman"/>
          <w:sz w:val="24"/>
          <w:szCs w:val="24"/>
          <w:vertAlign w:val="superscript"/>
          <w:lang w:val="en-US"/>
        </w:rPr>
        <w:t>71</w:t>
      </w:r>
      <w:r w:rsidR="00CB7C1F" w:rsidRPr="007F5A49">
        <w:rPr>
          <w:rFonts w:ascii="Book Antiqua" w:eastAsia="Times New Roman" w:hAnsi="Book Antiqua" w:cs="Arial"/>
          <w:sz w:val="24"/>
          <w:szCs w:val="24"/>
          <w:vertAlign w:val="superscript"/>
          <w:lang w:val="en-US"/>
        </w:rPr>
        <w:fldChar w:fldCharType="end"/>
      </w:r>
      <w:r w:rsidR="006A6329" w:rsidRPr="007F5A49">
        <w:rPr>
          <w:rFonts w:ascii="Book Antiqua" w:eastAsia="Times New Roman" w:hAnsi="Book Antiqua" w:cs="Arial"/>
          <w:sz w:val="24"/>
          <w:szCs w:val="24"/>
          <w:vertAlign w:val="superscript"/>
          <w:lang w:val="en-US"/>
        </w:rPr>
        <w:t>]</w:t>
      </w:r>
      <w:r w:rsidR="0082460A" w:rsidRPr="007F5A49">
        <w:rPr>
          <w:rFonts w:ascii="Book Antiqua" w:eastAsia="Times New Roman" w:hAnsi="Book Antiqua" w:cs="Arial"/>
          <w:sz w:val="24"/>
          <w:szCs w:val="24"/>
          <w:lang w:val="en-US"/>
        </w:rPr>
        <w:t>, upregulation of TFR1 expression in the hepatocytes</w:t>
      </w:r>
      <w:r w:rsidR="00DD4F9A" w:rsidRPr="007F5A49">
        <w:rPr>
          <w:rFonts w:ascii="Book Antiqua" w:eastAsia="Times New Roman" w:hAnsi="Book Antiqua" w:cs="Arial"/>
          <w:sz w:val="24"/>
          <w:szCs w:val="24"/>
          <w:lang w:val="en-US"/>
        </w:rPr>
        <w:t xml:space="preserve"> by habitual alcohol drinking</w:t>
      </w:r>
      <w:r w:rsidR="00DD4F9A" w:rsidRPr="007F5A49">
        <w:rPr>
          <w:rFonts w:ascii="Book Antiqua" w:eastAsia="Times New Roman" w:hAnsi="Book Antiqua" w:cs="Arial"/>
          <w:sz w:val="24"/>
          <w:szCs w:val="24"/>
          <w:vertAlign w:val="superscript"/>
          <w:lang w:val="en-US"/>
        </w:rPr>
        <w:fldChar w:fldCharType="begin"/>
      </w:r>
      <w:r w:rsidR="00D2645C" w:rsidRPr="007F5A49">
        <w:rPr>
          <w:rFonts w:ascii="Book Antiqua" w:eastAsia="Times New Roman" w:hAnsi="Book Antiqua" w:cs="Arial"/>
          <w:sz w:val="24"/>
          <w:szCs w:val="24"/>
          <w:vertAlign w:val="superscript"/>
          <w:lang w:val="en-US"/>
        </w:rPr>
        <w:instrText xml:space="preserve"> ADDIN ZOTERO_ITEM CSL_CITATION {"citationID":"a1i0s5rfags","properties":{"formattedCitation":"(72)","plainCitation":"(72)","noteIndex":0},"citationItems":[{"id":"z1PZoHrb/NFLhWzZ6","uris":["http://zotero.org/users/4222068/items/5NYJ2CQ2"],"uri":["http://zotero.org/users/4222068/items/5NYJ2CQ2"],"itemData":{"id":1701,"type":"article-journal","title":"Up-regulation of transferrin receptor expression in hepatocytes by habitual alcohol drinking is implicated in hepatic iron overload in alcoholic liver disease","container-title":"Alcoholism, Clinical and Experimental Research","page":"26S-31S","volume":"26","issue":"8 Suppl","source":"PubMed","abstract":"BACKGROUND: Hepatic iron overload is often seen in alcoholic liver disease (ALD). We previously reported that the expression of 4-hydroxy-2-nonenal-protein adducts, which is a lipid peroxidative product and can be used as a marker of radical-mediated cellular damage, was increased in iron-overloaded hepatocytes with ALD. However, the mechanism of hepatic iron overload in ALD has not been clarified. In this study, to elucidate the mechanism of hepatic iron overload in ALD, we immunohistochemically investigated the expression of transferrin receptor (TfR), which mainly acts for cellular iron uptake.\nMETHODS: Hepatic tissues were obtained from 31 patients with ALD and 5 normal livers by percutaneous needle biopsy under laparoscopy or ultrasound guidance. Chemical detection of hepatic iron accumulation was performed by Perls' Prussian blue stain. Immunohistochemical detection of TfR expression was done using human monoclonal anti-TfR antibody (TR104) according to the avidin-biotin complex method with alkaline phosphatase.\nRESULTS: Excess iron accumulation was found in 22 hepatic tissues with ALD but not in any normal hepatic tissues. TfR expression was increased in hepatocytes of 18 hepatic tissues with ALD but was not detected in any normal hepatic tissues. The mean duration of abstinence of patients who demonstrated positive TfR expression in hepatocytes was significantly shorter than that of patients who demonstrated negative TfR expression (positive: 14 days; negative: 30 days). However, total ethanol consumption, daily ethanol intake, and serum aspartate aminotransferase and gamma-glutamyl transpeptidase values on admission were not significantly correlated with TfR expression in hepatocytes.\nCONCLUSIONS: The up-regulation of TfR expression in hepatocytes is implicated in hepatic iron overload in ALD, and habitual alcohol drinking is an important factor for the induction of TfR expression.","DOI":"10.1097/01.ALC.0000026830.27338.23","ISSN":"0145-6008","note":"PMID: 12198371","journalAbbreviation":"Alcohol. Clin. Exp. Res.","language":"eng","author":[{"family":"Suzuki","given":"Yasuaki"},{"family":"Saito","given":"Hiroyuki"},{"family":"Suzuki","given":"Masako"},{"family":"Hosoki","given":"Yayoi"},{"family":"Sakurai","given":"Shinobu"},{"family":"Fujimoto","given":"Yoshinori"},{"family":"Kohgo","given":"Yutaka"}],"issued":{"date-parts":[["2002",8]]}}}],"schema":"https://github.com/citation-style-language/schema/raw/master/csl-citation.json"} </w:instrText>
      </w:r>
      <w:r w:rsidR="00DD4F9A" w:rsidRPr="007F5A49">
        <w:rPr>
          <w:rFonts w:ascii="Book Antiqua" w:eastAsia="Times New Roman" w:hAnsi="Book Antiqua" w:cs="Arial"/>
          <w:sz w:val="24"/>
          <w:szCs w:val="24"/>
          <w:vertAlign w:val="superscript"/>
          <w:lang w:val="en-US"/>
        </w:rPr>
        <w:fldChar w:fldCharType="separate"/>
      </w:r>
      <w:r w:rsidR="006A6329"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72</w:t>
      </w:r>
      <w:r w:rsidR="00DD4F9A" w:rsidRPr="007F5A49">
        <w:rPr>
          <w:rFonts w:ascii="Book Antiqua" w:eastAsia="Times New Roman" w:hAnsi="Book Antiqua" w:cs="Arial"/>
          <w:sz w:val="24"/>
          <w:szCs w:val="24"/>
          <w:vertAlign w:val="superscript"/>
          <w:lang w:val="en-US"/>
        </w:rPr>
        <w:fldChar w:fldCharType="end"/>
      </w:r>
      <w:r w:rsidR="006A6329" w:rsidRPr="007F5A49">
        <w:rPr>
          <w:rFonts w:ascii="Book Antiqua" w:eastAsia="Times New Roman" w:hAnsi="Book Antiqua" w:cs="Arial"/>
          <w:sz w:val="24"/>
          <w:szCs w:val="24"/>
          <w:vertAlign w:val="superscript"/>
          <w:lang w:val="en-US"/>
        </w:rPr>
        <w:t>]</w:t>
      </w:r>
      <w:r w:rsidR="0082460A" w:rsidRPr="007F5A49">
        <w:rPr>
          <w:rFonts w:ascii="Book Antiqua" w:eastAsia="Times New Roman" w:hAnsi="Book Antiqua" w:cs="Arial"/>
          <w:sz w:val="24"/>
          <w:szCs w:val="24"/>
          <w:lang w:val="en-US"/>
        </w:rPr>
        <w:t xml:space="preserve"> </w:t>
      </w:r>
      <w:r w:rsidR="0082460A" w:rsidRPr="007F5A49">
        <w:rPr>
          <w:rFonts w:ascii="Book Antiqua" w:hAnsi="Book Antiqua" w:cs="Arial"/>
          <w:sz w:val="24"/>
          <w:szCs w:val="24"/>
          <w:lang w:val="en-US"/>
        </w:rPr>
        <w:t xml:space="preserve">and a concomitant increase in duodenal DMT-1 and </w:t>
      </w:r>
      <w:proofErr w:type="spellStart"/>
      <w:r w:rsidR="0082460A" w:rsidRPr="007F5A49">
        <w:rPr>
          <w:rFonts w:ascii="Book Antiqua" w:hAnsi="Book Antiqua" w:cs="Arial"/>
          <w:sz w:val="24"/>
          <w:szCs w:val="24"/>
          <w:lang w:val="en-US"/>
        </w:rPr>
        <w:t>ferroportin</w:t>
      </w:r>
      <w:proofErr w:type="spellEnd"/>
      <w:r w:rsidR="0082460A" w:rsidRPr="007F5A49">
        <w:rPr>
          <w:rFonts w:ascii="Book Antiqua" w:hAnsi="Book Antiqua" w:cs="Arial"/>
          <w:sz w:val="24"/>
          <w:szCs w:val="24"/>
          <w:lang w:val="en-US"/>
        </w:rPr>
        <w:t xml:space="preserve"> expression</w:t>
      </w:r>
      <w:r w:rsidR="00DD4F9A"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30aqlvjco","properties":{"formattedCitation":"(70)","plainCitation":"(70)","noteIndex":0},"citationItems":[{"id":63,"uris":["http://zotero.org/users/2804724/items/BJVBXSDN"],"uri":["http://zotero.org/users/2804724/items/BJVBXSDN"],"itemData":{"id":63,"type":"article-journal","title":"Alcohol metabolism-mediated oxidative stress down-regulates hepcidin transcription and leads to increased duodenal iron transporter expression","container-title":"The Journal of Biological Chemistry","page":"22974-22982","volume":"281","issue":"32","source":"PubMed","abstract":"Patients with alcoholic liver disease frequently exhibit iron overload in association with increased hepatic fibrosis. Even moderate alcohol consumption elevates body iron stores; however, the underlying molecular mechanisms are unknown. Hepcidin, a circulatory peptide synthesized in the liver, is a key mediator of iron metabolism. Ethanol metabolism significantly down-regulated both in vitro and in vivo hepcidin mRNA and protein expression. 4-Methylpyrazole, a specific inhibitor of the alcohol-metabolizing enzymes, abolished the effects of ethanol on hepcidin. However, ethanol did not alter the expression of transferrin receptor1 and ferritin or the activation of iron regulatory RNA-binding proteins, IRP1 and IRP2. Mice maintained on 10-20% ethanol for 7 days displayed down-regulation of liver hepcidin expression without changes in liver triglycerides or histology. This was accompanied by elevated duodenal divalent metal transporter1 and ferroportin protein expression. Injection of hepcidin peptide negated the effect of ethanol on duodenal iron transporters. Ethanol down-regulated hepcidin promoter activity and the DNA binding activity of CCAAT/enhancer-binding protein alpha (C/EBPalpha) but not beta. Interestingly, the antioxidants vitamin E and N-acetylcysteine abolished both the alcohol-mediated down-regulation of C/EBPalpha binding activity and hepcidin expression in the liver and the up-regulation of duodenal divalent metal transporter 1. Collectively, these findings indicate that alcohol metabolism-mediated oxidative stress regulates hepcidin transcription via C/EBPalpha, which in turn leads to increased duodenal iron transport.","DOI":"10.1074/jbc.M602098200","ISSN":"0021-9258","note":"PMID: 16737972","journalAbbreviation":"J. Biol. Chem.","language":"eng","author":[{"family":"Harrison-Findik","given":"Duygu Dee"},{"family":"Schafer","given":"Denise"},{"family":"Klein","given":"Elizabeth"},{"family":"Timchenko","given":"Nikolai A."},{"family":"Kulaksiz","given":"Hasan"},{"family":"Clemens","given":"Dahn"},{"family":"Fein","given":"Evelyn"},{"family":"Andriopoulos","given":"Billy"},{"family":"Pantopoulos","given":"Kostas"},{"family":"Gollan","given":"John"}],"issued":{"date-parts":[["2006",8,11]]}}}],"schema":"https://github.com/citation-style-language/schema/raw/master/csl-citation.json"} </w:instrText>
      </w:r>
      <w:r w:rsidR="00DD4F9A" w:rsidRPr="007F5A49">
        <w:rPr>
          <w:rFonts w:ascii="Book Antiqua" w:hAnsi="Book Antiqua" w:cs="Arial"/>
          <w:sz w:val="24"/>
          <w:szCs w:val="24"/>
          <w:vertAlign w:val="superscript"/>
          <w:lang w:val="en-US"/>
        </w:rPr>
        <w:fldChar w:fldCharType="separate"/>
      </w:r>
      <w:r w:rsidR="006A6329"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70</w:t>
      </w:r>
      <w:r w:rsidR="00DD4F9A" w:rsidRPr="007F5A49">
        <w:rPr>
          <w:rFonts w:ascii="Book Antiqua" w:hAnsi="Book Antiqua" w:cs="Arial"/>
          <w:sz w:val="24"/>
          <w:szCs w:val="24"/>
          <w:vertAlign w:val="superscript"/>
          <w:lang w:val="en-US"/>
        </w:rPr>
        <w:fldChar w:fldCharType="end"/>
      </w:r>
      <w:r w:rsidR="006A6329" w:rsidRPr="007F5A49">
        <w:rPr>
          <w:rFonts w:ascii="Book Antiqua" w:hAnsi="Book Antiqua" w:cs="Arial"/>
          <w:sz w:val="24"/>
          <w:szCs w:val="24"/>
          <w:vertAlign w:val="superscript"/>
          <w:lang w:val="en-US"/>
        </w:rPr>
        <w:t>]</w:t>
      </w:r>
      <w:r w:rsidR="0082460A" w:rsidRPr="007F5A49">
        <w:rPr>
          <w:rFonts w:ascii="Book Antiqua" w:hAnsi="Book Antiqua" w:cs="Arial"/>
          <w:sz w:val="24"/>
          <w:szCs w:val="24"/>
          <w:lang w:val="en-US"/>
        </w:rPr>
        <w:t xml:space="preserve"> collectively explain the reason for systemic and macrophage iron loading</w:t>
      </w:r>
      <w:r w:rsidR="00DD4F9A" w:rsidRPr="007F5A49">
        <w:rPr>
          <w:rFonts w:ascii="Book Antiqua" w:hAnsi="Book Antiqua" w:cs="Arial"/>
          <w:sz w:val="24"/>
          <w:szCs w:val="24"/>
          <w:lang w:val="en-US"/>
        </w:rPr>
        <w:t xml:space="preserve"> </w:t>
      </w:r>
      <w:r w:rsidR="00822495" w:rsidRPr="007F5A49">
        <w:rPr>
          <w:rFonts w:ascii="Book Antiqua" w:hAnsi="Book Antiqua" w:cs="Arial"/>
          <w:sz w:val="24"/>
          <w:szCs w:val="24"/>
          <w:lang w:val="en-US"/>
        </w:rPr>
        <w:t>in ALD</w:t>
      </w:r>
      <w:r w:rsidR="00DD4F9A"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2oe5qi9khf","properties":{"formattedCitation":"(68)","plainCitation":"(68)","noteIndex":0},"citationItems":[{"id":36,"uris":["http://zotero.org/users/2804724/items/V7Z8BPXK"],"uri":["http://zotero.org/users/2804724/items/V7Z8BPXK"],"itemData":{"id":36,"type":"article-journal","title":"The Role of Iron and Iron Overload in Chronic Liver Disease","container-title":"Medical Science Monitor : International Medical Journal of Experimental and Clinical Research","page":"2144-2151","volume":"22","source":"PubMed Central","abstract":"The liver plays a major role in iron homeostasis; thus, in patients with chronic liver disease, iron regulation may be disturbed. Higher iron levels are present not only in patients with hereditary hemochromatosis, but also in those with alcoholic liver disease, nonalcoholic fatty liver disease, and hepatitis C viral infection. Chronic liver disease decreases the synthetic functions of the liver, including the production of hepcidin, a key protein in iron metabolism. Lower levels of hepcidin result in iron overload, which leads to iron deposits in the liver and higher levels of non-transferrin-bound iron in the bloodstream. Iron combined with reactive oxygen species leads to an increase in hydroxyl radicals, which are responsible for phospholipid peroxidation, oxidation of amino acid side chains, DNA strain breaks, and protein fragmentation. Iron-induced cellular damage may be prevented by regulating the production of hepcidin or by administering hepcidin agonists. Both of these methods have yielded successful results in mouse models.","DOI":"10.12659/MSM.896494","ISSN":"1234-1010","note":"PMID: 27332079\nPMCID: PMC4922827","journalAbbreviation":"Med Sci Monit","author":[{"family":"Milic","given":"Sandra"},{"family":"Mikolasevic","given":"Ivana"},{"family":"Orlic","given":"Lidija"},{"family":"Devcic","given":"Edita"},{"family":"Starcevic-Cizmarevic","given":"Nada"},{"family":"Stimac","given":"Davor"},{"family":"Kapovic","given":"Miljenko"},{"family":"Ristic","given":"Smiljana"}],"issued":{"date-parts":[["2016",6,22]]}}}],"schema":"https://github.com/citation-style-language/schema/raw/master/csl-citation.json"} </w:instrText>
      </w:r>
      <w:r w:rsidR="00DD4F9A" w:rsidRPr="007F5A49">
        <w:rPr>
          <w:rFonts w:ascii="Book Antiqua" w:hAnsi="Book Antiqua" w:cs="Arial"/>
          <w:sz w:val="24"/>
          <w:szCs w:val="24"/>
          <w:vertAlign w:val="superscript"/>
          <w:lang w:val="en-US"/>
        </w:rPr>
        <w:fldChar w:fldCharType="separate"/>
      </w:r>
      <w:r w:rsidR="006A6329"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68</w:t>
      </w:r>
      <w:r w:rsidR="00DD4F9A" w:rsidRPr="007F5A49">
        <w:rPr>
          <w:rFonts w:ascii="Book Antiqua" w:hAnsi="Book Antiqua" w:cs="Arial"/>
          <w:sz w:val="24"/>
          <w:szCs w:val="24"/>
          <w:vertAlign w:val="superscript"/>
          <w:lang w:val="en-US"/>
        </w:rPr>
        <w:fldChar w:fldCharType="end"/>
      </w:r>
      <w:r w:rsidR="006A6329" w:rsidRPr="007F5A49">
        <w:rPr>
          <w:rFonts w:ascii="Book Antiqua" w:hAnsi="Book Antiqua" w:cs="Arial"/>
          <w:sz w:val="24"/>
          <w:szCs w:val="24"/>
          <w:vertAlign w:val="superscript"/>
          <w:lang w:val="en-US"/>
        </w:rPr>
        <w:t>]</w:t>
      </w:r>
      <w:r w:rsidRPr="007F5A49">
        <w:rPr>
          <w:rFonts w:ascii="Book Antiqua" w:hAnsi="Book Antiqua" w:cs="Arial"/>
          <w:sz w:val="24"/>
          <w:szCs w:val="24"/>
          <w:lang w:val="en-US"/>
        </w:rPr>
        <w:t xml:space="preserve">. </w:t>
      </w:r>
      <w:r w:rsidR="00A17972" w:rsidRPr="007F5A49">
        <w:rPr>
          <w:rFonts w:ascii="Book Antiqua" w:hAnsi="Book Antiqua" w:cs="Arial"/>
          <w:sz w:val="24"/>
          <w:szCs w:val="24"/>
          <w:lang w:val="en-US"/>
        </w:rPr>
        <w:t>In addition, a</w:t>
      </w:r>
      <w:r w:rsidR="00674E80" w:rsidRPr="007F5A49">
        <w:rPr>
          <w:rFonts w:ascii="Book Antiqua" w:hAnsi="Book Antiqua" w:cs="Arial"/>
          <w:sz w:val="24"/>
          <w:szCs w:val="24"/>
          <w:lang w:val="en-US"/>
        </w:rPr>
        <w:t>lcohol induces TGF-β expression and phosphorylates SMAD-2</w:t>
      </w:r>
      <w:r w:rsidR="000141DE"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2i795d4o5t","properties":{"formattedCitation":"(73)","plainCitation":"(73)","noteIndex":0},"citationItems":[{"id":"z1PZoHrb/c9pWKgSU","uris":["http://zotero.org/users/4222068/items/VACBF3H7"],"uri":["http://zotero.org/users/4222068/items/VACBF3H7"],"itemData":{"id":1237,"type":"article-journal","title":"Alcohol Activates TGF-Beta but Inhibits BMP Receptor-Mediated Smad Signaling and Smad4 Binding to Hepcidin Promoter in the Liver","container-title":"International Journal of Hepatology","page":"459278","volume":"2012","source":"PubMed","abstract":"Hepcidin, a key regulator of iron metabolism, is activated by bone morphogenetic proteins (BMPs). Mice pair-fed with regular and ethanol-containing L. De Carli diets were employed to study the effect of alcohol on BMP signaling and hepcidin transcription in the liver. Alcohol induced steatosis and TGF-beta expression. Liver BMP2, but not BMP4 or BMP6, expression was significantly elevated. Despite increased BMP expression, the BMP receptor, and transcription factors, Smad1 and Smad5, were not activated. In contrast, alcohol stimulated Smad2 phosphorylation. However, Smad4 DNA-binding activity and the binding of Smad4 to hepcidin promoter were attenuated. In summary, alcohol stimulates TGF-beta and BMP2 expression, and Smad2 phosphorylation but inhibits BMP receptor, and Smad1 and Smad5 activation. Smad signaling pathway in the liver may therefore be involved in the regulation of hepcidin transcription and iron metabolism by alcohol. These findings may help to further understand the mechanisms of alcohol and iron-induced liver injury.","DOI":"10.1155/2012/459278","ISSN":"2090-3456","note":"PMID: 22121494\nPMCID: PMC3202137","journalAbbreviation":"Int J Hepatol","language":"eng","author":[{"family":"Gerjevic","given":"Lisa Nicole"},{"family":"Liu","given":"Na"},{"family":"Lu","given":"Sizhao"},{"family":"Harrison-Findik","given":"Duygu Dee"}],"issued":{"date-parts":[["2012"]]}}}],"schema":"https://github.com/citation-style-language/schema/raw/master/csl-citation.json"} </w:instrText>
      </w:r>
      <w:r w:rsidR="000141DE" w:rsidRPr="007F5A49">
        <w:rPr>
          <w:rFonts w:ascii="Book Antiqua" w:hAnsi="Book Antiqua" w:cs="Arial"/>
          <w:sz w:val="24"/>
          <w:szCs w:val="24"/>
          <w:vertAlign w:val="superscript"/>
          <w:lang w:val="en-US"/>
        </w:rPr>
        <w:fldChar w:fldCharType="separate"/>
      </w:r>
      <w:r w:rsidR="006A6329"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73</w:t>
      </w:r>
      <w:r w:rsidR="000141DE" w:rsidRPr="007F5A49">
        <w:rPr>
          <w:rFonts w:ascii="Book Antiqua" w:hAnsi="Book Antiqua" w:cs="Arial"/>
          <w:sz w:val="24"/>
          <w:szCs w:val="24"/>
          <w:vertAlign w:val="superscript"/>
          <w:lang w:val="en-US"/>
        </w:rPr>
        <w:fldChar w:fldCharType="end"/>
      </w:r>
      <w:r w:rsidR="006A6329" w:rsidRPr="007F5A49">
        <w:rPr>
          <w:rFonts w:ascii="Book Antiqua" w:hAnsi="Book Antiqua" w:cs="Arial"/>
          <w:sz w:val="24"/>
          <w:szCs w:val="24"/>
          <w:vertAlign w:val="superscript"/>
          <w:lang w:val="en-US"/>
        </w:rPr>
        <w:t>]</w:t>
      </w:r>
      <w:r w:rsidR="00471C4C" w:rsidRPr="007F5A49">
        <w:rPr>
          <w:rFonts w:ascii="Book Antiqua" w:hAnsi="Book Antiqua" w:cs="Arial"/>
          <w:sz w:val="24"/>
          <w:szCs w:val="24"/>
          <w:lang w:val="en-US"/>
        </w:rPr>
        <w:t xml:space="preserve">. </w:t>
      </w:r>
      <w:r w:rsidR="0044405A" w:rsidRPr="007F5A49">
        <w:rPr>
          <w:rFonts w:ascii="Book Antiqua" w:hAnsi="Book Antiqua" w:cs="Arial"/>
          <w:sz w:val="24"/>
          <w:szCs w:val="24"/>
          <w:lang w:val="en-US"/>
        </w:rPr>
        <w:t>Such</w:t>
      </w:r>
      <w:r w:rsidR="00DD4F9A" w:rsidRPr="007F5A49">
        <w:rPr>
          <w:rFonts w:ascii="Book Antiqua" w:hAnsi="Book Antiqua" w:cs="Arial"/>
          <w:sz w:val="24"/>
          <w:szCs w:val="24"/>
          <w:lang w:val="en-US"/>
        </w:rPr>
        <w:t xml:space="preserve"> an</w:t>
      </w:r>
      <w:r w:rsidR="0044405A" w:rsidRPr="007F5A49">
        <w:rPr>
          <w:rFonts w:ascii="Book Antiqua" w:hAnsi="Book Antiqua" w:cs="Arial"/>
          <w:sz w:val="24"/>
          <w:szCs w:val="24"/>
          <w:lang w:val="en-US"/>
        </w:rPr>
        <w:t xml:space="preserve"> </w:t>
      </w:r>
      <w:r w:rsidR="00674E80" w:rsidRPr="007F5A49">
        <w:rPr>
          <w:rFonts w:ascii="Book Antiqua" w:hAnsi="Book Antiqua" w:cs="Arial"/>
          <w:sz w:val="24"/>
          <w:szCs w:val="24"/>
          <w:lang w:val="en-US"/>
        </w:rPr>
        <w:t>increas</w:t>
      </w:r>
      <w:r w:rsidR="0044405A" w:rsidRPr="007F5A49">
        <w:rPr>
          <w:rFonts w:ascii="Book Antiqua" w:hAnsi="Book Antiqua" w:cs="Arial"/>
          <w:sz w:val="24"/>
          <w:szCs w:val="24"/>
          <w:lang w:val="en-US"/>
        </w:rPr>
        <w:t>ed</w:t>
      </w:r>
      <w:r w:rsidR="00674E80" w:rsidRPr="007F5A49">
        <w:rPr>
          <w:rFonts w:ascii="Book Antiqua" w:hAnsi="Book Antiqua" w:cs="Arial"/>
          <w:sz w:val="24"/>
          <w:szCs w:val="24"/>
          <w:lang w:val="en-US"/>
        </w:rPr>
        <w:t xml:space="preserve"> availability of</w:t>
      </w:r>
      <w:r w:rsidR="0044405A" w:rsidRPr="007F5A49">
        <w:rPr>
          <w:rFonts w:ascii="Book Antiqua" w:hAnsi="Book Antiqua" w:cs="Arial"/>
          <w:sz w:val="24"/>
          <w:szCs w:val="24"/>
          <w:lang w:val="en-US"/>
        </w:rPr>
        <w:t xml:space="preserve"> activated </w:t>
      </w:r>
      <w:r w:rsidR="00674E80" w:rsidRPr="007F5A49">
        <w:rPr>
          <w:rFonts w:ascii="Book Antiqua" w:hAnsi="Book Antiqua" w:cs="Arial"/>
          <w:sz w:val="24"/>
          <w:szCs w:val="24"/>
          <w:lang w:val="en-US"/>
        </w:rPr>
        <w:t xml:space="preserve">SMAD-2/3 </w:t>
      </w:r>
      <w:r w:rsidR="000141DE" w:rsidRPr="007F5A49">
        <w:rPr>
          <w:rFonts w:ascii="Book Antiqua" w:hAnsi="Book Antiqua" w:cs="Arial"/>
          <w:sz w:val="24"/>
          <w:szCs w:val="24"/>
          <w:lang w:val="en-US"/>
        </w:rPr>
        <w:t xml:space="preserve">can </w:t>
      </w:r>
      <w:r w:rsidR="00674E80" w:rsidRPr="007F5A49">
        <w:rPr>
          <w:rFonts w:ascii="Book Antiqua" w:hAnsi="Book Antiqua" w:cs="Arial"/>
          <w:sz w:val="24"/>
          <w:szCs w:val="24"/>
          <w:lang w:val="en-US"/>
        </w:rPr>
        <w:t>reduce</w:t>
      </w:r>
      <w:r w:rsidR="00471C4C" w:rsidRPr="007F5A49">
        <w:rPr>
          <w:rFonts w:ascii="Book Antiqua" w:hAnsi="Book Antiqua" w:cs="Arial"/>
          <w:sz w:val="24"/>
          <w:szCs w:val="24"/>
          <w:lang w:val="en-US"/>
        </w:rPr>
        <w:t xml:space="preserve"> </w:t>
      </w:r>
      <w:r w:rsidR="00674E80" w:rsidRPr="007F5A49">
        <w:rPr>
          <w:rFonts w:ascii="Book Antiqua" w:hAnsi="Book Antiqua" w:cs="Arial"/>
          <w:sz w:val="24"/>
          <w:szCs w:val="24"/>
          <w:lang w:val="en-US"/>
        </w:rPr>
        <w:t>TGF-β-induced hepcidin regulation</w:t>
      </w:r>
      <w:r w:rsidR="00A17972"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1aq2hcio9e","properties":{"formattedCitation":"(44)","plainCitation":"(44)","noteIndex":0},"citationItems":[{"id":189,"uris":["http://zotero.org/users/2804724/items/PCZ9KRWI"],"uri":["http://zotero.org/users/2804724/items/PCZ9KRWI"],"itemData":{"id":189,"type":"article-journal","title":"Transforming Growth Factor β1 (TGF-β1) Activates Hepcidin mRNA Expression in Hepatocytes","container-title":"The Journal of Biological Chemistry","page":"13160-13174","volume":"291","issue":"25","source":"PubMed","abstract":"The hepatic hormone hepcidin is the master regulator of systemic iron homeostasis. Its expression level is adjusted to alterations in iron levels, inflammatory cues, and iron requirements for erythropoiesis. Bone morphogenetic protein 6 (BMP6) contributes to the iron-dependent control of hepcidin. In addition, TGF-β1 may stimulate hepcidin mRNA expression in murine hepatocytes and human leukocytes. However, receptors and downstream signaling proteins involved in TGF-β1-induced hepcidin expression are still unclear. Here we show that TGF-β1 treatment of mouse and human hepatocytes, as well as ectopic expression of TGF-β1 in mice, increases hepcidin mRNA levels. The hepcidin response to TGF-β1 depends on functional TGF-β1 type I receptor (ALK5) and TGF-β1 type II receptor (TβRII) and is mediated by a noncanonical mechanism that involves Smad1/5/8 phosphorylation. Interestingly, increasing availability of canonical Smad2/3 decreases TGF-β1-induced hepcidin regulation, whereas the BMP6-hepcidin signal was enhanced, indicating a signaling component stoichiometry-dependent cross-talk between the two pathways. Although ALK2/3-dependent hepcidin activation by BMP6 can be modulated by each of the three hemochromatosis-associated proteins: HJV (hemojuvelin), HFE (hemochromatosis protein), and TfR2 (transferrin receptor 2), these proteins do not control the ALK5-mediated hepcidin response to TGF-β1. TGF-β1 mRNA levels are increased in mouse models of iron overload, indicating that TGF-β1 may contribute to hepcidin synthesis under these conditions. In conclusion, these data demonstrate that a complex regulatory network involving TGF-β1 and BMP6 may control the sensing of systemic and/or hepatic iron levels.","DOI":"10.1074/jbc.M115.691543","ISSN":"1083-351X","note":"PMID: 27129231\nPMCID: PMC4933231","journalAbbreviation":"J. Biol. Chem.","language":"ENG","author":[{"family":"Chen","given":"Simeng"},{"family":"Feng","given":"Teng"},{"family":"Vujić Spasić","given":"Maja"},{"family":"Altamura","given":"Sandro"},{"family":"Breitkopf-Heinlein","given":"Katja"},{"family":"Altenöder","given":"Jutta"},{"family":"Weiss","given":"Thomas S."},{"family":"Dooley","given":"Steven"},{"family":"Muckenthaler","given":"Martina U."}],"issued":{"date-parts":[["2016",6,17]]}}}],"schema":"https://github.com/citation-style-language/schema/raw/master/csl-citation.json"} </w:instrText>
      </w:r>
      <w:r w:rsidR="00A17972" w:rsidRPr="007F5A49">
        <w:rPr>
          <w:rFonts w:ascii="Book Antiqua" w:hAnsi="Book Antiqua" w:cs="Arial"/>
          <w:sz w:val="24"/>
          <w:szCs w:val="24"/>
          <w:vertAlign w:val="superscript"/>
          <w:lang w:val="en-US"/>
        </w:rPr>
        <w:fldChar w:fldCharType="separate"/>
      </w:r>
      <w:r w:rsidR="006A6329"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44</w:t>
      </w:r>
      <w:r w:rsidR="00A17972" w:rsidRPr="007F5A49">
        <w:rPr>
          <w:rFonts w:ascii="Book Antiqua" w:hAnsi="Book Antiqua" w:cs="Arial"/>
          <w:sz w:val="24"/>
          <w:szCs w:val="24"/>
          <w:vertAlign w:val="superscript"/>
          <w:lang w:val="en-US"/>
        </w:rPr>
        <w:fldChar w:fldCharType="end"/>
      </w:r>
      <w:r w:rsidR="006A6329" w:rsidRPr="007F5A49">
        <w:rPr>
          <w:rFonts w:ascii="Book Antiqua" w:hAnsi="Book Antiqua" w:cs="Arial"/>
          <w:sz w:val="24"/>
          <w:szCs w:val="24"/>
          <w:vertAlign w:val="superscript"/>
          <w:lang w:val="en-US"/>
        </w:rPr>
        <w:t>]</w:t>
      </w:r>
      <w:r w:rsidR="00A17972" w:rsidRPr="007F5A49">
        <w:rPr>
          <w:rFonts w:ascii="Book Antiqua" w:hAnsi="Book Antiqua" w:cs="Arial"/>
          <w:sz w:val="24"/>
          <w:szCs w:val="24"/>
          <w:lang w:val="en-US"/>
        </w:rPr>
        <w:t>. Also, a</w:t>
      </w:r>
      <w:r w:rsidR="00674E80" w:rsidRPr="007F5A49">
        <w:rPr>
          <w:rFonts w:ascii="Book Antiqua" w:hAnsi="Book Antiqua" w:cs="Arial"/>
          <w:sz w:val="24"/>
          <w:szCs w:val="24"/>
          <w:lang w:val="en-US"/>
        </w:rPr>
        <w:t xml:space="preserve">lcohol inhibits </w:t>
      </w:r>
      <w:r w:rsidRPr="007F5A49">
        <w:rPr>
          <w:rFonts w:ascii="Book Antiqua" w:hAnsi="Book Antiqua" w:cs="Arial"/>
          <w:sz w:val="24"/>
          <w:szCs w:val="24"/>
          <w:lang w:val="en-US"/>
        </w:rPr>
        <w:t xml:space="preserve">the activation of BMP receptor and </w:t>
      </w:r>
      <w:r w:rsidR="00674E80" w:rsidRPr="007F5A49">
        <w:rPr>
          <w:rFonts w:ascii="Book Antiqua" w:hAnsi="Book Antiqua" w:cs="Arial"/>
          <w:sz w:val="24"/>
          <w:szCs w:val="24"/>
          <w:lang w:val="en-US"/>
        </w:rPr>
        <w:t>SMAD-1,5, and attenuates the binding of SMAD-4 to hepcidin promoter</w:t>
      </w:r>
      <w:r w:rsidR="00674E80"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eep0jssuu","properties":{"formattedCitation":"(73)","plainCitation":"(73)","noteIndex":0},"citationItems":[{"id":"z1PZoHrb/c9pWKgSU","uris":["http://zotero.org/users/4222068/items/VACBF3H7"],"uri":["http://zotero.org/users/4222068/items/VACBF3H7"],"itemData":{"id":1237,"type":"article-journal","title":"Alcohol Activates TGF-Beta but Inhibits BMP Receptor-Mediated Smad Signaling and Smad4 Binding to Hepcidin Promoter in the Liver","container-title":"International Journal of Hepatology","page":"459278","volume":"2012","source":"PubMed","abstract":"Hepcidin, a key regulator of iron metabolism, is activated by bone morphogenetic proteins (BMPs). Mice pair-fed with regular and ethanol-containing L. De Carli diets were employed to study the effect of alcohol on BMP signaling and hepcidin transcription in the liver. Alcohol induced steatosis and TGF-beta expression. Liver BMP2, but not BMP4 or BMP6, expression was significantly elevated. Despite increased BMP expression, the BMP receptor, and transcription factors, Smad1 and Smad5, were not activated. In contrast, alcohol stimulated Smad2 phosphorylation. However, Smad4 DNA-binding activity and the binding of Smad4 to hepcidin promoter were attenuated. In summary, alcohol stimulates TGF-beta and BMP2 expression, and Smad2 phosphorylation but inhibits BMP receptor, and Smad1 and Smad5 activation. Smad signaling pathway in the liver may therefore be involved in the regulation of hepcidin transcription and iron metabolism by alcohol. These findings may help to further understand the mechanisms of alcohol and iron-induced liver injury.","DOI":"10.1155/2012/459278","ISSN":"2090-3456","note":"PMID: 22121494\nPMCID: PMC3202137","journalAbbreviation":"Int J Hepatol","language":"eng","author":[{"family":"Gerjevic","given":"Lisa Nicole"},{"family":"Liu","given":"Na"},{"family":"Lu","given":"Sizhao"},{"family":"Harrison-Findik","given":"Duygu Dee"}],"issued":{"date-parts":[["2012"]]}}}],"schema":"https://github.com/citation-style-language/schema/raw/master/csl-citation.json"} </w:instrText>
      </w:r>
      <w:r w:rsidR="00674E80" w:rsidRPr="007F5A49">
        <w:rPr>
          <w:rFonts w:ascii="Book Antiqua" w:hAnsi="Book Antiqua" w:cs="Arial"/>
          <w:sz w:val="24"/>
          <w:szCs w:val="24"/>
          <w:vertAlign w:val="superscript"/>
          <w:lang w:val="en-US"/>
        </w:rPr>
        <w:fldChar w:fldCharType="separate"/>
      </w:r>
      <w:r w:rsidR="003B4BD2"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73</w:t>
      </w:r>
      <w:r w:rsidR="00674E80" w:rsidRPr="007F5A49">
        <w:rPr>
          <w:rFonts w:ascii="Book Antiqua" w:hAnsi="Book Antiqua" w:cs="Arial"/>
          <w:sz w:val="24"/>
          <w:szCs w:val="24"/>
          <w:vertAlign w:val="superscript"/>
          <w:lang w:val="en-US"/>
        </w:rPr>
        <w:fldChar w:fldCharType="end"/>
      </w:r>
      <w:r w:rsidR="003B4BD2" w:rsidRPr="007F5A49">
        <w:rPr>
          <w:rFonts w:ascii="Book Antiqua" w:hAnsi="Book Antiqua" w:cs="Arial"/>
          <w:sz w:val="24"/>
          <w:szCs w:val="24"/>
          <w:vertAlign w:val="superscript"/>
          <w:lang w:val="en-US"/>
        </w:rPr>
        <w:t>]</w:t>
      </w:r>
      <w:r w:rsidR="00471C4C" w:rsidRPr="007F5A49">
        <w:rPr>
          <w:rFonts w:ascii="Book Antiqua" w:hAnsi="Book Antiqua" w:cs="Arial"/>
          <w:sz w:val="24"/>
          <w:szCs w:val="24"/>
          <w:lang w:val="en-US"/>
        </w:rPr>
        <w:t xml:space="preserve">. </w:t>
      </w:r>
      <w:r w:rsidR="00305FB6" w:rsidRPr="007F5A49">
        <w:rPr>
          <w:rFonts w:ascii="Book Antiqua" w:hAnsi="Book Antiqua" w:cs="Arial"/>
          <w:sz w:val="24"/>
          <w:szCs w:val="24"/>
          <w:lang w:val="en-US"/>
        </w:rPr>
        <w:t>Together</w:t>
      </w:r>
      <w:r w:rsidR="00AA33C8" w:rsidRPr="007F5A49">
        <w:rPr>
          <w:rFonts w:ascii="Book Antiqua" w:hAnsi="Book Antiqua" w:cs="Arial"/>
          <w:sz w:val="24"/>
          <w:szCs w:val="24"/>
          <w:lang w:val="en-US"/>
        </w:rPr>
        <w:t xml:space="preserve">, this </w:t>
      </w:r>
      <w:r w:rsidR="00A52E92" w:rsidRPr="007F5A49">
        <w:rPr>
          <w:rFonts w:ascii="Book Antiqua" w:hAnsi="Book Antiqua" w:cs="Arial"/>
          <w:sz w:val="24"/>
          <w:szCs w:val="24"/>
          <w:lang w:val="en-US"/>
        </w:rPr>
        <w:t>reduces hepcidin expression</w:t>
      </w:r>
      <w:r w:rsidR="00E54ABD" w:rsidRPr="007F5A49">
        <w:rPr>
          <w:rFonts w:ascii="Book Antiqua" w:hAnsi="Book Antiqua" w:cs="Arial"/>
          <w:sz w:val="24"/>
          <w:szCs w:val="24"/>
          <w:lang w:val="en-US"/>
        </w:rPr>
        <w:t xml:space="preserve"> and </w:t>
      </w:r>
      <w:r w:rsidR="00A52E92" w:rsidRPr="007F5A49">
        <w:rPr>
          <w:rFonts w:ascii="Book Antiqua" w:hAnsi="Book Antiqua" w:cs="Arial"/>
          <w:sz w:val="24"/>
          <w:szCs w:val="24"/>
          <w:lang w:val="en-US"/>
        </w:rPr>
        <w:t>d</w:t>
      </w:r>
      <w:r w:rsidR="00674E80" w:rsidRPr="007F5A49">
        <w:rPr>
          <w:rFonts w:ascii="Book Antiqua" w:hAnsi="Book Antiqua" w:cs="Arial"/>
          <w:sz w:val="24"/>
          <w:szCs w:val="24"/>
          <w:lang w:val="en-US"/>
        </w:rPr>
        <w:t>ysregulat</w:t>
      </w:r>
      <w:r w:rsidR="00A52E92" w:rsidRPr="007F5A49">
        <w:rPr>
          <w:rFonts w:ascii="Book Antiqua" w:hAnsi="Book Antiqua" w:cs="Arial"/>
          <w:sz w:val="24"/>
          <w:szCs w:val="24"/>
          <w:lang w:val="en-US"/>
        </w:rPr>
        <w:t xml:space="preserve">es </w:t>
      </w:r>
      <w:r w:rsidR="00674E80" w:rsidRPr="007F5A49">
        <w:rPr>
          <w:rFonts w:ascii="Book Antiqua" w:hAnsi="Book Antiqua" w:cs="Arial"/>
          <w:sz w:val="24"/>
          <w:szCs w:val="24"/>
          <w:lang w:val="en-US"/>
        </w:rPr>
        <w:t>liver iron metabolism</w:t>
      </w:r>
      <w:r w:rsidR="00C04BB2">
        <w:rPr>
          <w:rFonts w:ascii="Book Antiqua" w:hAnsi="Book Antiqua" w:cs="Arial"/>
          <w:sz w:val="24"/>
          <w:szCs w:val="24"/>
          <w:lang w:val="en-US"/>
        </w:rPr>
        <w:t>.</w:t>
      </w:r>
    </w:p>
    <w:p w14:paraId="6BBE01EC" w14:textId="4B8B4B83" w:rsidR="003E4D12" w:rsidRPr="007F5A49" w:rsidRDefault="00C04BB2" w:rsidP="007F5A49">
      <w:pPr>
        <w:adjustRightInd w:val="0"/>
        <w:snapToGrid w:val="0"/>
        <w:spacing w:after="0" w:line="360" w:lineRule="auto"/>
        <w:jc w:val="both"/>
        <w:rPr>
          <w:rFonts w:ascii="Book Antiqua" w:eastAsia="Times New Roman" w:hAnsi="Book Antiqua" w:cs="Arial"/>
          <w:sz w:val="24"/>
          <w:szCs w:val="24"/>
          <w:lang w:val="en-US"/>
        </w:rPr>
      </w:pPr>
      <w:r>
        <w:rPr>
          <w:rFonts w:ascii="Book Antiqua" w:eastAsia="Times New Roman" w:hAnsi="Book Antiqua" w:cs="Arial"/>
          <w:sz w:val="24"/>
          <w:szCs w:val="24"/>
          <w:lang w:val="en-US"/>
        </w:rPr>
        <w:t xml:space="preserve">  </w:t>
      </w:r>
      <w:r w:rsidR="0082655B" w:rsidRPr="007F5A49">
        <w:rPr>
          <w:rFonts w:ascii="Book Antiqua" w:eastAsia="Times New Roman" w:hAnsi="Book Antiqua" w:cs="Arial"/>
          <w:sz w:val="24"/>
          <w:szCs w:val="24"/>
          <w:lang w:val="en-US"/>
        </w:rPr>
        <w:t xml:space="preserve">Since iron and alcohol </w:t>
      </w:r>
      <w:r w:rsidR="00305FB6" w:rsidRPr="007F5A49">
        <w:rPr>
          <w:rFonts w:ascii="Book Antiqua" w:eastAsia="Times New Roman" w:hAnsi="Book Antiqua" w:cs="Arial"/>
          <w:sz w:val="24"/>
          <w:szCs w:val="24"/>
          <w:lang w:val="en-US"/>
        </w:rPr>
        <w:t>can</w:t>
      </w:r>
      <w:r w:rsidR="0082655B" w:rsidRPr="007F5A49">
        <w:rPr>
          <w:rFonts w:ascii="Book Antiqua" w:eastAsia="Times New Roman" w:hAnsi="Book Antiqua" w:cs="Arial"/>
          <w:sz w:val="24"/>
          <w:szCs w:val="24"/>
          <w:lang w:val="en-US"/>
        </w:rPr>
        <w:t xml:space="preserve"> independently</w:t>
      </w:r>
      <w:r w:rsidR="00305FB6" w:rsidRPr="007F5A49">
        <w:rPr>
          <w:rFonts w:ascii="Book Antiqua" w:eastAsia="Times New Roman" w:hAnsi="Book Antiqua" w:cs="Arial"/>
          <w:sz w:val="24"/>
          <w:szCs w:val="24"/>
          <w:lang w:val="en-US"/>
        </w:rPr>
        <w:t xml:space="preserve"> </w:t>
      </w:r>
      <w:r w:rsidR="0082655B" w:rsidRPr="007F5A49">
        <w:rPr>
          <w:rFonts w:ascii="Book Antiqua" w:eastAsia="Times New Roman" w:hAnsi="Book Antiqua" w:cs="Arial"/>
          <w:sz w:val="24"/>
          <w:szCs w:val="24"/>
          <w:lang w:val="en-US"/>
        </w:rPr>
        <w:t>caus</w:t>
      </w:r>
      <w:r w:rsidR="00305FB6" w:rsidRPr="007F5A49">
        <w:rPr>
          <w:rFonts w:ascii="Book Antiqua" w:eastAsia="Times New Roman" w:hAnsi="Book Antiqua" w:cs="Arial"/>
          <w:sz w:val="24"/>
          <w:szCs w:val="24"/>
          <w:lang w:val="en-US"/>
        </w:rPr>
        <w:t>e</w:t>
      </w:r>
      <w:r w:rsidR="0082655B" w:rsidRPr="007F5A49">
        <w:rPr>
          <w:rFonts w:ascii="Book Antiqua" w:eastAsia="Times New Roman" w:hAnsi="Book Antiqua" w:cs="Arial"/>
          <w:sz w:val="24"/>
          <w:szCs w:val="24"/>
          <w:lang w:val="en-US"/>
        </w:rPr>
        <w:t xml:space="preserve"> oxidative stress</w:t>
      </w:r>
      <w:r w:rsidR="009C475B" w:rsidRPr="007F5A49">
        <w:rPr>
          <w:rFonts w:ascii="Book Antiqua" w:eastAsia="Times New Roman" w:hAnsi="Book Antiqua" w:cs="Arial"/>
          <w:sz w:val="24"/>
          <w:szCs w:val="24"/>
          <w:lang w:val="en-US"/>
        </w:rPr>
        <w:t xml:space="preserve">, </w:t>
      </w:r>
      <w:r w:rsidR="00AE4FEA" w:rsidRPr="007F5A49">
        <w:rPr>
          <w:rFonts w:ascii="Book Antiqua" w:eastAsia="Times New Roman" w:hAnsi="Book Antiqua" w:cs="Arial"/>
          <w:sz w:val="24"/>
          <w:szCs w:val="24"/>
          <w:lang w:val="en-US"/>
        </w:rPr>
        <w:t>h</w:t>
      </w:r>
      <w:r w:rsidR="007B5113" w:rsidRPr="007F5A49">
        <w:rPr>
          <w:rFonts w:ascii="Book Antiqua" w:hAnsi="Book Antiqua" w:cs="Arial"/>
          <w:sz w:val="24"/>
          <w:szCs w:val="24"/>
          <w:lang w:val="en-US"/>
        </w:rPr>
        <w:t>aemochromatosis</w:t>
      </w:r>
      <w:r w:rsidR="006D3E76" w:rsidRPr="007F5A49">
        <w:rPr>
          <w:rFonts w:ascii="Book Antiqua" w:hAnsi="Book Antiqua" w:cs="Arial"/>
          <w:sz w:val="24"/>
          <w:szCs w:val="24"/>
          <w:lang w:val="en-US"/>
        </w:rPr>
        <w:t xml:space="preserve"> patients that consume alcohol show c</w:t>
      </w:r>
      <w:r w:rsidR="00307898" w:rsidRPr="007F5A49">
        <w:rPr>
          <w:rFonts w:ascii="Book Antiqua" w:hAnsi="Book Antiqua" w:cs="Arial"/>
          <w:sz w:val="24"/>
          <w:szCs w:val="24"/>
          <w:lang w:val="en-US"/>
        </w:rPr>
        <w:t xml:space="preserve">umulative </w:t>
      </w:r>
      <w:r w:rsidR="003641A3" w:rsidRPr="007F5A49">
        <w:rPr>
          <w:rFonts w:ascii="Book Antiqua" w:hAnsi="Book Antiqua" w:cs="Arial"/>
          <w:sz w:val="24"/>
          <w:szCs w:val="24"/>
          <w:lang w:val="en-US"/>
        </w:rPr>
        <w:t>liver damage</w:t>
      </w:r>
      <w:r w:rsidR="00AE4FEA" w:rsidRPr="007F5A49">
        <w:rPr>
          <w:rFonts w:ascii="Book Antiqua" w:hAnsi="Book Antiqua" w:cs="Arial"/>
          <w:sz w:val="24"/>
          <w:szCs w:val="24"/>
          <w:lang w:val="en-US"/>
        </w:rPr>
        <w:t>, where a</w:t>
      </w:r>
      <w:r w:rsidR="00307898" w:rsidRPr="007F5A49">
        <w:rPr>
          <w:rFonts w:ascii="Book Antiqua" w:hAnsi="Book Antiqua" w:cs="Arial"/>
          <w:sz w:val="24"/>
          <w:szCs w:val="24"/>
          <w:lang w:val="en-US"/>
        </w:rPr>
        <w:t>lcohol-induced damage</w:t>
      </w:r>
      <w:r w:rsidR="00E875ED" w:rsidRPr="007F5A49">
        <w:rPr>
          <w:rFonts w:ascii="Book Antiqua" w:hAnsi="Book Antiqua" w:cs="Arial"/>
          <w:sz w:val="24"/>
          <w:szCs w:val="24"/>
          <w:lang w:val="en-US"/>
        </w:rPr>
        <w:t>,</w:t>
      </w:r>
      <w:r w:rsidR="00307898" w:rsidRPr="007F5A49">
        <w:rPr>
          <w:rFonts w:ascii="Book Antiqua" w:hAnsi="Book Antiqua" w:cs="Arial"/>
          <w:sz w:val="24"/>
          <w:szCs w:val="24"/>
          <w:lang w:val="en-US"/>
        </w:rPr>
        <w:t xml:space="preserve"> together with </w:t>
      </w:r>
      <w:r w:rsidR="00E875ED" w:rsidRPr="007F5A49">
        <w:rPr>
          <w:rFonts w:ascii="Book Antiqua" w:hAnsi="Book Antiqua" w:cs="Arial"/>
          <w:sz w:val="24"/>
          <w:szCs w:val="24"/>
          <w:lang w:val="en-US"/>
        </w:rPr>
        <w:t xml:space="preserve">elevated intestinal iron absorption </w:t>
      </w:r>
      <w:r w:rsidR="00305FB6" w:rsidRPr="007F5A49">
        <w:rPr>
          <w:rFonts w:ascii="Book Antiqua" w:hAnsi="Book Antiqua" w:cs="Arial"/>
          <w:sz w:val="24"/>
          <w:szCs w:val="24"/>
          <w:lang w:val="en-US"/>
        </w:rPr>
        <w:t xml:space="preserve">leads to </w:t>
      </w:r>
      <w:r w:rsidR="00DE3C07" w:rsidRPr="007F5A49">
        <w:rPr>
          <w:rFonts w:ascii="Book Antiqua" w:hAnsi="Book Antiqua" w:cs="Arial"/>
          <w:sz w:val="24"/>
          <w:szCs w:val="24"/>
          <w:lang w:val="en-US"/>
        </w:rPr>
        <w:t xml:space="preserve">more deleterious </w:t>
      </w:r>
      <w:r w:rsidR="00307898" w:rsidRPr="007F5A49">
        <w:rPr>
          <w:rFonts w:ascii="Book Antiqua" w:hAnsi="Book Antiqua" w:cs="Arial"/>
          <w:sz w:val="24"/>
          <w:szCs w:val="24"/>
          <w:lang w:val="en-US"/>
        </w:rPr>
        <w:t>damage</w:t>
      </w:r>
      <w:r w:rsidR="0030517A" w:rsidRPr="007F5A49">
        <w:rPr>
          <w:rFonts w:ascii="Book Antiqua" w:hAnsi="Book Antiqua" w:cs="Arial"/>
          <w:sz w:val="24"/>
          <w:szCs w:val="24"/>
          <w:lang w:val="en-US"/>
        </w:rPr>
        <w:t xml:space="preserve"> to the liver </w:t>
      </w:r>
      <w:r w:rsidR="00DE3C07" w:rsidRPr="007F5A49">
        <w:rPr>
          <w:rFonts w:ascii="Book Antiqua" w:hAnsi="Book Antiqua" w:cs="Arial"/>
          <w:sz w:val="24"/>
          <w:szCs w:val="24"/>
          <w:lang w:val="en-US"/>
        </w:rPr>
        <w:t>than either condition alone</w:t>
      </w:r>
      <w:r w:rsidR="0030517A"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ohmTKNrh","properties":{"formattedCitation":"(74)","plainCitation":"(74)","noteIndex":0},"citationItems":[{"id":68,"uris":["http://zotero.org/users/2804724/items/6PEQNQQU"],"uri":["http://zotero.org/users/2804724/items/6PEQNQQU"],"itemData":{"id":68,"type":"article-journal","title":"Excess alcohol greatly increases the prevalence of cirrhosis in hereditary hemochromatosis","container-title":"Gastroenterology","page":"281-289","volume":"122","issue":"2","source":"PubMed","abstract":"BACKGROUND &amp; AIMS: The progression of fibrosis to cirrhosis is the most significant prognostic factor in hereditary hemochromatosis. We aimed to determine the range of hepatic iron concentration associated with cirrhosis in the absence of alcohol and other pro-fibrogenic cofactors and to quantify the contribution of excess alcohol consumption to the development of cirrhosis.\nMETHODS: Liver biopsy data were evaluated on 224 C282Y homozygous hemochromatosis subjects. To determine the effect of alcohol alone on the development of fibrosis, subjects with viral hepatitis or nonalcoholic steatohepatitis were excluded. Subjects were divided into those who consumed less than 60 g alcohol per day and those who consumed 60 g per day or more.\nRESULTS: Seven percent of subjects who consumed less than 60 g per day had severe fibrosis/cirrhosis compared with 61% of excess alcohol consumers.\nCONCLUSIONS: Hemochromatosis subjects who drink more than 60 g alcohol per day are approximately 9 times more likely to develop cirrhosis than those who drink less than this amount, and the range of hepatic iron concentration associated with cirrhosis in the absence of cofactors was 233-675 micromol/g dry weight.","ISSN":"0016-5085","note":"PMID: 11832443","journalAbbreviation":"Gastroenterology","language":"eng","author":[{"family":"Fletcher","given":"Linda M."},{"family":"Dixon","given":"Jeannette L."},{"family":"Purdie","given":"David M."},{"family":"Powell","given":"Lawrie W."},{"family":"Crawford","given":"Darrell H. G."}],"issued":{"date-parts":[["2002",2]]}}}],"schema":"https://github.com/citation-style-language/schema/raw/master/csl-citation.json"} </w:instrText>
      </w:r>
      <w:r w:rsidR="0030517A" w:rsidRPr="007F5A49">
        <w:rPr>
          <w:rFonts w:ascii="Book Antiqua" w:hAnsi="Book Antiqua" w:cs="Arial"/>
          <w:sz w:val="24"/>
          <w:szCs w:val="24"/>
          <w:vertAlign w:val="superscript"/>
          <w:lang w:val="en-US"/>
        </w:rPr>
        <w:fldChar w:fldCharType="separate"/>
      </w:r>
      <w:r w:rsidR="002F693F"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74</w:t>
      </w:r>
      <w:r w:rsidR="0030517A" w:rsidRPr="007F5A49">
        <w:rPr>
          <w:rFonts w:ascii="Book Antiqua" w:hAnsi="Book Antiqua" w:cs="Arial"/>
          <w:sz w:val="24"/>
          <w:szCs w:val="24"/>
          <w:vertAlign w:val="superscript"/>
          <w:lang w:val="en-US"/>
        </w:rPr>
        <w:fldChar w:fldCharType="end"/>
      </w:r>
      <w:r w:rsidR="002F693F" w:rsidRPr="007F5A49">
        <w:rPr>
          <w:rFonts w:ascii="Book Antiqua" w:hAnsi="Book Antiqua" w:cs="Arial"/>
          <w:sz w:val="24"/>
          <w:szCs w:val="24"/>
          <w:vertAlign w:val="superscript"/>
          <w:lang w:val="en-US"/>
        </w:rPr>
        <w:t>]</w:t>
      </w:r>
      <w:r w:rsidR="00A76ECD" w:rsidRPr="007F5A49">
        <w:rPr>
          <w:rFonts w:ascii="Book Antiqua" w:hAnsi="Book Antiqua" w:cs="Arial"/>
          <w:sz w:val="24"/>
          <w:szCs w:val="24"/>
          <w:lang w:val="en-US"/>
        </w:rPr>
        <w:t>.</w:t>
      </w:r>
      <w:r w:rsidR="009B4DBB" w:rsidRPr="007F5A49">
        <w:rPr>
          <w:rFonts w:ascii="Book Antiqua" w:hAnsi="Book Antiqua" w:cs="Arial"/>
          <w:sz w:val="24"/>
          <w:szCs w:val="24"/>
          <w:lang w:val="en-US"/>
        </w:rPr>
        <w:t xml:space="preserve"> Resultantly</w:t>
      </w:r>
      <w:r w:rsidR="00E875ED" w:rsidRPr="007F5A49">
        <w:rPr>
          <w:rFonts w:ascii="Book Antiqua" w:hAnsi="Book Antiqua" w:cs="Arial"/>
          <w:sz w:val="24"/>
          <w:szCs w:val="24"/>
          <w:lang w:val="en-US"/>
        </w:rPr>
        <w:t>, t</w:t>
      </w:r>
      <w:r w:rsidR="00307898" w:rsidRPr="007F5A49">
        <w:rPr>
          <w:rFonts w:ascii="Book Antiqua" w:hAnsi="Book Antiqua" w:cs="Arial"/>
          <w:sz w:val="24"/>
          <w:szCs w:val="24"/>
          <w:lang w:val="en-US"/>
        </w:rPr>
        <w:t>he pathological</w:t>
      </w:r>
      <w:r w:rsidR="0030517A" w:rsidRPr="007F5A49">
        <w:rPr>
          <w:rFonts w:ascii="Book Antiqua" w:hAnsi="Book Antiqua" w:cs="Arial"/>
          <w:sz w:val="24"/>
          <w:szCs w:val="24"/>
          <w:lang w:val="en-US"/>
        </w:rPr>
        <w:t xml:space="preserve"> </w:t>
      </w:r>
      <w:r w:rsidR="00307898" w:rsidRPr="007F5A49">
        <w:rPr>
          <w:rFonts w:ascii="Book Antiqua" w:hAnsi="Book Antiqua" w:cs="Arial"/>
          <w:sz w:val="24"/>
          <w:szCs w:val="24"/>
          <w:lang w:val="en-US"/>
        </w:rPr>
        <w:t>progression</w:t>
      </w:r>
      <w:r w:rsidR="0030517A" w:rsidRPr="007F5A49">
        <w:rPr>
          <w:rFonts w:ascii="Book Antiqua" w:hAnsi="Book Antiqua" w:cs="Arial"/>
          <w:sz w:val="24"/>
          <w:szCs w:val="24"/>
          <w:lang w:val="en-US"/>
        </w:rPr>
        <w:t xml:space="preserve"> to cirrhosis </w:t>
      </w:r>
      <w:r w:rsidR="00307898" w:rsidRPr="007F5A49">
        <w:rPr>
          <w:rFonts w:ascii="Book Antiqua" w:hAnsi="Book Antiqua" w:cs="Arial"/>
          <w:sz w:val="24"/>
          <w:szCs w:val="24"/>
          <w:lang w:val="en-US"/>
        </w:rPr>
        <w:t xml:space="preserve">is </w:t>
      </w:r>
      <w:r w:rsidR="00A2354A" w:rsidRPr="007F5A49">
        <w:rPr>
          <w:rFonts w:ascii="Book Antiqua" w:hAnsi="Book Antiqua" w:cs="Arial"/>
          <w:sz w:val="24"/>
          <w:szCs w:val="24"/>
          <w:lang w:val="en-US"/>
        </w:rPr>
        <w:t xml:space="preserve">accelerated together </w:t>
      </w:r>
      <w:r w:rsidR="00307898" w:rsidRPr="007F5A49">
        <w:rPr>
          <w:rFonts w:ascii="Book Antiqua" w:hAnsi="Book Antiqua" w:cs="Arial"/>
          <w:sz w:val="24"/>
          <w:szCs w:val="24"/>
          <w:lang w:val="en-US"/>
        </w:rPr>
        <w:t>with</w:t>
      </w:r>
      <w:r w:rsidR="00A2354A" w:rsidRPr="007F5A49">
        <w:rPr>
          <w:rFonts w:ascii="Book Antiqua" w:hAnsi="Book Antiqua" w:cs="Arial"/>
          <w:sz w:val="24"/>
          <w:szCs w:val="24"/>
          <w:lang w:val="en-US"/>
        </w:rPr>
        <w:t xml:space="preserve"> an</w:t>
      </w:r>
      <w:r w:rsidR="00307898" w:rsidRPr="007F5A49">
        <w:rPr>
          <w:rFonts w:ascii="Book Antiqua" w:hAnsi="Book Antiqua" w:cs="Arial"/>
          <w:sz w:val="24"/>
          <w:szCs w:val="24"/>
          <w:lang w:val="en-US"/>
        </w:rPr>
        <w:t xml:space="preserve"> i</w:t>
      </w:r>
      <w:r w:rsidR="0030517A" w:rsidRPr="007F5A49">
        <w:rPr>
          <w:rFonts w:ascii="Book Antiqua" w:hAnsi="Book Antiqua" w:cs="Arial"/>
          <w:sz w:val="24"/>
          <w:szCs w:val="24"/>
          <w:lang w:val="en-US"/>
        </w:rPr>
        <w:t>ncrease</w:t>
      </w:r>
      <w:r w:rsidR="00307898" w:rsidRPr="007F5A49">
        <w:rPr>
          <w:rFonts w:ascii="Book Antiqua" w:hAnsi="Book Antiqua" w:cs="Arial"/>
          <w:sz w:val="24"/>
          <w:szCs w:val="24"/>
          <w:lang w:val="en-US"/>
        </w:rPr>
        <w:t xml:space="preserve">d </w:t>
      </w:r>
      <w:r w:rsidR="0030517A" w:rsidRPr="007F5A49">
        <w:rPr>
          <w:rFonts w:ascii="Book Antiqua" w:hAnsi="Book Antiqua" w:cs="Arial"/>
          <w:sz w:val="24"/>
          <w:szCs w:val="24"/>
          <w:lang w:val="en-US"/>
        </w:rPr>
        <w:t xml:space="preserve">predisposition to hepatocellular carcinoma. </w:t>
      </w:r>
      <w:r w:rsidR="007B5113" w:rsidRPr="007F5A49">
        <w:rPr>
          <w:rFonts w:ascii="Book Antiqua" w:hAnsi="Book Antiqua" w:cs="Arial"/>
          <w:sz w:val="24"/>
          <w:szCs w:val="24"/>
          <w:lang w:val="en-US"/>
        </w:rPr>
        <w:t>Haemochromatosis</w:t>
      </w:r>
      <w:r w:rsidR="00DE3C07" w:rsidRPr="007F5A49">
        <w:rPr>
          <w:rFonts w:ascii="Book Antiqua" w:hAnsi="Book Antiqua" w:cs="Arial"/>
          <w:sz w:val="24"/>
          <w:szCs w:val="24"/>
          <w:lang w:val="en-US"/>
        </w:rPr>
        <w:t xml:space="preserve"> patients whos</w:t>
      </w:r>
      <w:r w:rsidR="00B25D60" w:rsidRPr="007F5A49">
        <w:rPr>
          <w:rFonts w:ascii="Book Antiqua" w:hAnsi="Book Antiqua" w:cs="Arial"/>
          <w:sz w:val="24"/>
          <w:szCs w:val="24"/>
          <w:lang w:val="en-US"/>
        </w:rPr>
        <w:t xml:space="preserve">e daily alcohol intake exceeds </w:t>
      </w:r>
      <w:r w:rsidR="00DE3C07" w:rsidRPr="007F5A49">
        <w:rPr>
          <w:rFonts w:ascii="Book Antiqua" w:hAnsi="Book Antiqua" w:cs="Arial"/>
          <w:sz w:val="24"/>
          <w:szCs w:val="24"/>
          <w:lang w:val="en-US"/>
        </w:rPr>
        <w:t xml:space="preserve">more than 60 g are at 9-fold </w:t>
      </w:r>
      <w:r w:rsidR="00E875ED" w:rsidRPr="007F5A49">
        <w:rPr>
          <w:rFonts w:ascii="Book Antiqua" w:hAnsi="Book Antiqua" w:cs="Arial"/>
          <w:sz w:val="24"/>
          <w:szCs w:val="24"/>
          <w:lang w:val="en-US"/>
        </w:rPr>
        <w:t xml:space="preserve">higher </w:t>
      </w:r>
      <w:r w:rsidR="00DE3C07" w:rsidRPr="007F5A49">
        <w:rPr>
          <w:rFonts w:ascii="Book Antiqua" w:hAnsi="Book Antiqua" w:cs="Arial"/>
          <w:sz w:val="24"/>
          <w:szCs w:val="24"/>
          <w:lang w:val="en-US"/>
        </w:rPr>
        <w:t xml:space="preserve">risk </w:t>
      </w:r>
      <w:r w:rsidR="006D3E76" w:rsidRPr="007F5A49">
        <w:rPr>
          <w:rFonts w:ascii="Book Antiqua" w:hAnsi="Book Antiqua" w:cs="Arial"/>
          <w:sz w:val="24"/>
          <w:szCs w:val="24"/>
          <w:lang w:val="en-US"/>
        </w:rPr>
        <w:t>of</w:t>
      </w:r>
      <w:r w:rsidR="00DE3C07" w:rsidRPr="007F5A49">
        <w:rPr>
          <w:rFonts w:ascii="Book Antiqua" w:hAnsi="Book Antiqua" w:cs="Arial"/>
          <w:sz w:val="24"/>
          <w:szCs w:val="24"/>
          <w:lang w:val="en-US"/>
        </w:rPr>
        <w:t xml:space="preserve"> cirrhosis</w:t>
      </w:r>
      <w:r w:rsidR="006D3E76" w:rsidRPr="007F5A49">
        <w:rPr>
          <w:rFonts w:ascii="Book Antiqua" w:hAnsi="Book Antiqua" w:cs="Arial"/>
          <w:sz w:val="24"/>
          <w:szCs w:val="24"/>
          <w:lang w:val="en-US"/>
        </w:rPr>
        <w:t xml:space="preserve"> </w:t>
      </w:r>
      <w:r w:rsidR="00DE3C07" w:rsidRPr="007F5A49">
        <w:rPr>
          <w:rFonts w:ascii="Book Antiqua" w:hAnsi="Book Antiqua" w:cs="Arial"/>
          <w:sz w:val="24"/>
          <w:szCs w:val="24"/>
          <w:lang w:val="en-US"/>
        </w:rPr>
        <w:t>than those who consume lesser amount of alcohol</w:t>
      </w:r>
      <w:r w:rsidR="00DE3C07"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21tn4m0i1r","properties":{"formattedCitation":"(75)","plainCitation":"(75)","noteIndex":0},"citationItems":[{"id":"z1PZoHrb/UGiE9v5i","uris":["http://zotero.org/users/4222068/items/3IV79XSF"],"uri":["http://zotero.org/users/4222068/items/3IV79XSF"],"itemData":{"id":1175,"type":"article-journal","title":"Hemochromatosis and alcoholic liver disease","container-title":"Alcohol (Fayetteville, N.Y.)","page":"131-136","volume":"30","issue":"2","source":"PubMed","abstract":"The close association of excessive alcohol consumption and clinical expression of hemochromatosis has been of widespread interest for many years. In most populations of northern European extraction, more than 90% of patients with overt hemochromatosis are homozygous for the C282Y mutation in the HFE gene. Nevertheless, the strong association of heavy alcohol intake with the clinical expression of hemochromatosis remains. We (individually or in association with colleagues from our laboratories) have performed three relevant studies in which this association was explored. In the first, performed in 1975 before the cloning of the HFE gene, the frequency of clinical symptoms and signs was compared in patients with classical hemochromatosis who consumed 100 g or more of alcohol per day versus in nondrinkers or moderate drinkers who consumed less than 100 g of alcohol per day. The results showed no difference between the two groups except for features of complications of alcoholism in the first group, especially jaundice, peripheral neuritis, and hepatic failure. Twenty-five percent of those with heavy alcohol consumption showed histologic features of alcoholic liver disease (including cirrhosis) together with heavy iron overload. It was concluded that these patients had the genetic disease complicated by alcoholic liver disease. In the second study (2002), 206 subjects with classical HFE-associated hemochromatosis in whom liver biopsy had been performed were evaluated to quantify the contribution of excess alcohol consumption to the development of cirrhosis in hemochromatosis. Cirrhosis was approximately nine times more likely to develop in subjects with hemochromatosis who consumed more than 60 g of alcohol per day than in those who drank less than this amount. In the third study (2002), 371 C282Y-homozygous relatives of patients with HFE-associated hemochromatosis were assessed. Eleven subjects had cirrhosis on liver biopsy and four of these drank 60 g or more of alcohol per day. The reason why heavy alcohol consumption accentuates the clinical expression of hemochromatosis is unclear. Increased dietary iron or increased iron absorption is unlikely. The most likely explanation would seem to be the added co-factor effect of iron and alcohol, both of which cause oxidative stress, hepatic stellate cell activation, and hepatic fibrogenesis. In addition, the cumulative effects of other forms of liver injury may result when iron and alcohol are present concurrently. Clearly, the addition of dietary iron in subjects homozygous for hemochromatosis would be unwise.","ISSN":"0741-8329","note":"PMID: 12957297","journalAbbreviation":"Alcohol","language":"eng","author":[{"family":"Fletcher","given":"Linda M."},{"family":"Powell","given":"Lawrie W."}],"issued":{"date-parts":[["2003",6]]}}}],"schema":"https://github.com/citation-style-language/schema/raw/master/csl-citation.json"} </w:instrText>
      </w:r>
      <w:r w:rsidR="00DE3C07" w:rsidRPr="007F5A49">
        <w:rPr>
          <w:rFonts w:ascii="Book Antiqua" w:hAnsi="Book Antiqua" w:cs="Arial"/>
          <w:sz w:val="24"/>
          <w:szCs w:val="24"/>
          <w:vertAlign w:val="superscript"/>
          <w:lang w:val="en-US"/>
        </w:rPr>
        <w:fldChar w:fldCharType="separate"/>
      </w:r>
      <w:r w:rsidR="002F693F"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75</w:t>
      </w:r>
      <w:r w:rsidR="00DE3C07" w:rsidRPr="007F5A49">
        <w:rPr>
          <w:rFonts w:ascii="Book Antiqua" w:hAnsi="Book Antiqua" w:cs="Arial"/>
          <w:sz w:val="24"/>
          <w:szCs w:val="24"/>
          <w:vertAlign w:val="superscript"/>
          <w:lang w:val="en-US"/>
        </w:rPr>
        <w:fldChar w:fldCharType="end"/>
      </w:r>
      <w:r w:rsidR="002F693F" w:rsidRPr="007F5A49">
        <w:rPr>
          <w:rFonts w:ascii="Book Antiqua" w:hAnsi="Book Antiqua" w:cs="Arial"/>
          <w:sz w:val="24"/>
          <w:szCs w:val="24"/>
          <w:vertAlign w:val="superscript"/>
          <w:lang w:val="en-US"/>
        </w:rPr>
        <w:t>]</w:t>
      </w:r>
      <w:r w:rsidR="009C475B" w:rsidRPr="007F5A49">
        <w:rPr>
          <w:rFonts w:ascii="Book Antiqua" w:hAnsi="Book Antiqua" w:cs="Arial"/>
          <w:sz w:val="24"/>
          <w:szCs w:val="24"/>
          <w:lang w:val="en-US"/>
        </w:rPr>
        <w:t xml:space="preserve">. </w:t>
      </w:r>
      <w:r w:rsidR="00307898" w:rsidRPr="007F5A49">
        <w:rPr>
          <w:rFonts w:ascii="Book Antiqua" w:hAnsi="Book Antiqua" w:cs="Arial"/>
          <w:sz w:val="24"/>
          <w:szCs w:val="24"/>
          <w:lang w:val="en-US"/>
        </w:rPr>
        <w:t xml:space="preserve">Thus, </w:t>
      </w:r>
      <w:r w:rsidR="00DE3C07" w:rsidRPr="007F5A49">
        <w:rPr>
          <w:rFonts w:ascii="Book Antiqua" w:hAnsi="Book Antiqua" w:cs="Arial"/>
          <w:sz w:val="24"/>
          <w:szCs w:val="24"/>
          <w:lang w:val="en-US"/>
        </w:rPr>
        <w:t xml:space="preserve">the British </w:t>
      </w:r>
      <w:r w:rsidR="00A2354A" w:rsidRPr="007F5A49">
        <w:rPr>
          <w:rFonts w:ascii="Book Antiqua" w:hAnsi="Book Antiqua" w:cs="Arial"/>
          <w:sz w:val="24"/>
          <w:szCs w:val="24"/>
          <w:lang w:val="en-US"/>
        </w:rPr>
        <w:t>L</w:t>
      </w:r>
      <w:r w:rsidR="00DE3C07" w:rsidRPr="007F5A49">
        <w:rPr>
          <w:rFonts w:ascii="Book Antiqua" w:hAnsi="Book Antiqua" w:cs="Arial"/>
          <w:sz w:val="24"/>
          <w:szCs w:val="24"/>
          <w:lang w:val="en-US"/>
        </w:rPr>
        <w:t xml:space="preserve">iver </w:t>
      </w:r>
      <w:r w:rsidR="00A2354A" w:rsidRPr="007F5A49">
        <w:rPr>
          <w:rFonts w:ascii="Book Antiqua" w:hAnsi="Book Antiqua" w:cs="Arial"/>
          <w:sz w:val="24"/>
          <w:szCs w:val="24"/>
          <w:lang w:val="en-US"/>
        </w:rPr>
        <w:t>T</w:t>
      </w:r>
      <w:r w:rsidR="00DE3C07" w:rsidRPr="007F5A49">
        <w:rPr>
          <w:rFonts w:ascii="Book Antiqua" w:hAnsi="Book Antiqua" w:cs="Arial"/>
          <w:sz w:val="24"/>
          <w:szCs w:val="24"/>
          <w:lang w:val="en-US"/>
        </w:rPr>
        <w:t>rust</w:t>
      </w:r>
      <w:r w:rsidR="00714427" w:rsidRPr="007F5A49">
        <w:rPr>
          <w:rFonts w:ascii="Book Antiqua" w:hAnsi="Book Antiqua" w:cs="Arial"/>
          <w:sz w:val="24"/>
          <w:szCs w:val="24"/>
          <w:lang w:val="en-US"/>
        </w:rPr>
        <w:t xml:space="preserve"> recommends that </w:t>
      </w:r>
      <w:r w:rsidR="00703D7E" w:rsidRPr="007F5A49">
        <w:rPr>
          <w:rFonts w:ascii="Book Antiqua" w:hAnsi="Book Antiqua" w:cs="Arial"/>
          <w:sz w:val="24"/>
          <w:szCs w:val="24"/>
          <w:lang w:val="en-US"/>
        </w:rPr>
        <w:t xml:space="preserve">these </w:t>
      </w:r>
      <w:r w:rsidR="00DE3C07" w:rsidRPr="007F5A49">
        <w:rPr>
          <w:rFonts w:ascii="Book Antiqua" w:hAnsi="Book Antiqua" w:cs="Arial"/>
          <w:sz w:val="24"/>
          <w:szCs w:val="24"/>
          <w:lang w:val="en-US"/>
        </w:rPr>
        <w:t xml:space="preserve">patients should </w:t>
      </w:r>
      <w:r w:rsidR="00E875ED" w:rsidRPr="007F5A49">
        <w:rPr>
          <w:rFonts w:ascii="Book Antiqua" w:hAnsi="Book Antiqua" w:cs="Arial"/>
          <w:sz w:val="24"/>
          <w:szCs w:val="24"/>
          <w:lang w:val="en-US"/>
        </w:rPr>
        <w:t>completely refrain from alcohol</w:t>
      </w:r>
      <w:r w:rsidR="00DE3C07" w:rsidRPr="007F5A49">
        <w:rPr>
          <w:rFonts w:ascii="Book Antiqua" w:hAnsi="Book Antiqua" w:cs="Arial"/>
          <w:sz w:val="24"/>
          <w:szCs w:val="24"/>
          <w:lang w:val="en-US"/>
        </w:rPr>
        <w:t xml:space="preserve"> consumption.</w:t>
      </w:r>
      <w:r w:rsidR="003E4D12" w:rsidRPr="007F5A49">
        <w:rPr>
          <w:rFonts w:ascii="Book Antiqua" w:hAnsi="Book Antiqua" w:cs="Arial"/>
          <w:sz w:val="24"/>
          <w:szCs w:val="24"/>
          <w:lang w:val="en-US"/>
        </w:rPr>
        <w:t xml:space="preserve"> </w:t>
      </w:r>
    </w:p>
    <w:p w14:paraId="3BCF28D3" w14:textId="77777777" w:rsidR="005877EB" w:rsidRPr="007F5A49" w:rsidRDefault="005877EB" w:rsidP="007F5A49">
      <w:pPr>
        <w:adjustRightInd w:val="0"/>
        <w:snapToGrid w:val="0"/>
        <w:spacing w:after="0" w:line="360" w:lineRule="auto"/>
        <w:jc w:val="both"/>
        <w:rPr>
          <w:rFonts w:ascii="Book Antiqua" w:hAnsi="Book Antiqua" w:cs="Arial"/>
          <w:i/>
          <w:sz w:val="24"/>
          <w:szCs w:val="24"/>
          <w:u w:val="single"/>
          <w:lang w:val="en-US"/>
        </w:rPr>
      </w:pPr>
    </w:p>
    <w:p w14:paraId="44743DDA" w14:textId="092A6E1E" w:rsidR="0042718A" w:rsidRPr="007F5A49" w:rsidRDefault="005A5C80" w:rsidP="008E1EBB">
      <w:pPr>
        <w:adjustRightInd w:val="0"/>
        <w:snapToGrid w:val="0"/>
        <w:spacing w:after="0" w:line="360" w:lineRule="auto"/>
        <w:jc w:val="both"/>
        <w:outlineLvl w:val="0"/>
        <w:rPr>
          <w:rFonts w:ascii="Book Antiqua" w:hAnsi="Book Antiqua" w:cs="Arial"/>
          <w:b/>
          <w:i/>
          <w:sz w:val="24"/>
          <w:szCs w:val="24"/>
          <w:lang w:val="en-US"/>
        </w:rPr>
      </w:pPr>
      <w:r w:rsidRPr="007F5A49">
        <w:rPr>
          <w:rFonts w:ascii="Book Antiqua" w:hAnsi="Book Antiqua" w:cs="Arial"/>
          <w:b/>
          <w:i/>
          <w:sz w:val="24"/>
          <w:szCs w:val="24"/>
          <w:lang w:val="en-US"/>
        </w:rPr>
        <w:t>NAFLD</w:t>
      </w:r>
      <w:r w:rsidR="00DE3C07" w:rsidRPr="007F5A49">
        <w:rPr>
          <w:rFonts w:ascii="Book Antiqua" w:hAnsi="Book Antiqua" w:cs="Arial"/>
          <w:b/>
          <w:i/>
          <w:sz w:val="24"/>
          <w:szCs w:val="24"/>
          <w:lang w:val="en-US"/>
        </w:rPr>
        <w:t xml:space="preserve">, </w:t>
      </w:r>
      <w:r w:rsidRPr="007F5A49">
        <w:rPr>
          <w:rFonts w:ascii="Book Antiqua" w:hAnsi="Book Antiqua" w:cs="Arial"/>
          <w:b/>
          <w:i/>
          <w:sz w:val="24"/>
          <w:szCs w:val="24"/>
          <w:lang w:val="en-US"/>
        </w:rPr>
        <w:t>NASH</w:t>
      </w:r>
      <w:r w:rsidR="00DE3C07" w:rsidRPr="007F5A49">
        <w:rPr>
          <w:rFonts w:ascii="Book Antiqua" w:hAnsi="Book Antiqua" w:cs="Arial"/>
          <w:b/>
          <w:i/>
          <w:sz w:val="24"/>
          <w:szCs w:val="24"/>
          <w:lang w:val="en-US"/>
        </w:rPr>
        <w:t xml:space="preserve"> and </w:t>
      </w:r>
      <w:r w:rsidR="00826168" w:rsidRPr="007F5A49">
        <w:rPr>
          <w:rFonts w:ascii="Book Antiqua" w:hAnsi="Book Antiqua" w:cs="Arial"/>
          <w:b/>
          <w:i/>
          <w:sz w:val="24"/>
          <w:szCs w:val="24"/>
          <w:lang w:val="en-US"/>
        </w:rPr>
        <w:t xml:space="preserve">diabetes </w:t>
      </w:r>
    </w:p>
    <w:p w14:paraId="734D001F" w14:textId="6250B1FF" w:rsidR="00D64018" w:rsidRPr="007F5A49" w:rsidRDefault="00874330" w:rsidP="007F5A49">
      <w:pPr>
        <w:adjustRightInd w:val="0"/>
        <w:snapToGrid w:val="0"/>
        <w:spacing w:after="0" w:line="360" w:lineRule="auto"/>
        <w:jc w:val="both"/>
        <w:rPr>
          <w:rFonts w:ascii="Book Antiqua" w:hAnsi="Book Antiqua" w:cs="Arial"/>
          <w:sz w:val="24"/>
          <w:szCs w:val="24"/>
          <w:lang w:val="en-US"/>
        </w:rPr>
      </w:pPr>
      <w:r w:rsidRPr="007F5A49">
        <w:rPr>
          <w:rFonts w:ascii="Book Antiqua" w:hAnsi="Book Antiqua" w:cs="Arial"/>
          <w:sz w:val="24"/>
          <w:szCs w:val="24"/>
          <w:lang w:val="en-US"/>
        </w:rPr>
        <w:t xml:space="preserve">While genetic polymorphisms in </w:t>
      </w:r>
      <w:proofErr w:type="spellStart"/>
      <w:r w:rsidRPr="007F5A49">
        <w:rPr>
          <w:rFonts w:ascii="Book Antiqua" w:hAnsi="Book Antiqua" w:cs="Arial"/>
          <w:sz w:val="24"/>
          <w:szCs w:val="24"/>
          <w:lang w:val="en-US"/>
        </w:rPr>
        <w:t>patatin</w:t>
      </w:r>
      <w:proofErr w:type="spellEnd"/>
      <w:r w:rsidRPr="007F5A49">
        <w:rPr>
          <w:rFonts w:ascii="Book Antiqua" w:hAnsi="Book Antiqua" w:cs="Arial"/>
          <w:sz w:val="24"/>
          <w:szCs w:val="24"/>
          <w:lang w:val="en-US"/>
        </w:rPr>
        <w:t>-like phospholipase domain-containing 3 or transmembrane 6 superfamily member 2 pose a risk for NAFLD</w:t>
      </w:r>
      <w:r w:rsidR="00D64018"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n8mcdjl1m","properties":{"formattedCitation":"(76)","plainCitation":"(76)","noteIndex":0},"citationItems":[{"id":"z1PZoHrb/5KOJULU7","uris":["http://zotero.org/users/4222068/items/BN3EJAMT"],"uri":["http://zotero.org/users/4222068/items/BN3EJAMT"],"itemData":{"id":1711,"type":"article-journal","title":"Association between patatin-like phospholipase domain containing 3 gene (PNPLA3) polymorphisms and nonalcoholic fatty liver disease: a HuGE review and meta-analysis","container-title":"Scientific Reports","page":"9284","volume":"5","source":"PubMed","abstract":"We conducted a meta-analysis to assess the association between patatin-like phospholipase domain-containing 3 (PNPLA3) rs738409 polymorphism and nonalcoholic fatty liver disease (NAFLD) and its subtypes simple steatosis(SS) and nonalcoholic steatohepatitis (NASH). The study-specific odds ratios (ORs) and 95% confidence intervals (CIs) were calculated using fixed-effects or random-effects models, with assessment for heterogeneity and publication bias. Twenty-three case-control studies involving 6071 NAFLD patients and 10366 controls were identified. The combined results showed a significant association between NAFLD risk and the rs738409 polymorphism in all genetic models (additive model: OR = 3.41, 95% CI = 2.57-4.52; P &lt; 0.00001). In addition, evidence indicated that the rs738409 polymorphism was significantly associated with NASH in all genetic models (additive model: OR = 4.44, 95% CI = 3.39-5.82; P &lt; 0.00001). The subgroup and sensitivity analyses showed that these changes were not influenced by the ethnicities and ages of subjects or by the source of controls. The rs738409 polymorphism was only significantly associated with risk of simple steatosis in the allele contrast and had no effect in the other genetic models. These findings suggest that the rs738409 polymorphism in PNPLA3 gene confers high cross-ethnicity risk for NAFLD and NASH development.","DOI":"10.1038/srep09284","ISSN":"2045-2322","note":"PMID: 25791171\nPMCID: PMC4366950","shortTitle":"Association between patatin-like phospholipase domain containing 3 gene (PNPLA3) polymorphisms and nonalcoholic fatty liver disease","journalAbbreviation":"Sci Rep","language":"eng","author":[{"family":"Xu","given":"Renfan"},{"family":"Tao","given":"Anyu"},{"family":"Zhang","given":"Shasha"},{"family":"Deng","given":"Youbin"},{"family":"Chen","given":"Guangzhi"}],"issued":{"date-parts":[["2015",3,20]]}}}],"schema":"https://github.com/citation-style-language/schema/raw/master/csl-citation.json"} </w:instrText>
      </w:r>
      <w:r w:rsidR="00D64018" w:rsidRPr="007F5A49">
        <w:rPr>
          <w:rFonts w:ascii="Book Antiqua" w:hAnsi="Book Antiqua" w:cs="Arial"/>
          <w:sz w:val="24"/>
          <w:szCs w:val="24"/>
          <w:vertAlign w:val="superscript"/>
          <w:lang w:val="en-US"/>
        </w:rPr>
        <w:fldChar w:fldCharType="separate"/>
      </w:r>
      <w:r w:rsidR="002F693F"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76</w:t>
      </w:r>
      <w:r w:rsidR="00D64018" w:rsidRPr="007F5A49">
        <w:rPr>
          <w:rFonts w:ascii="Book Antiqua" w:hAnsi="Book Antiqua" w:cs="Arial"/>
          <w:sz w:val="24"/>
          <w:szCs w:val="24"/>
          <w:vertAlign w:val="superscript"/>
          <w:lang w:val="en-US"/>
        </w:rPr>
        <w:fldChar w:fldCharType="end"/>
      </w:r>
      <w:r w:rsidR="002F693F" w:rsidRPr="007F5A49">
        <w:rPr>
          <w:rFonts w:ascii="Book Antiqua" w:hAnsi="Book Antiqua" w:cs="Arial"/>
          <w:sz w:val="24"/>
          <w:szCs w:val="24"/>
          <w:vertAlign w:val="superscript"/>
          <w:lang w:val="en-US"/>
        </w:rPr>
        <w:t>]</w:t>
      </w:r>
      <w:r w:rsidRPr="007F5A49">
        <w:rPr>
          <w:rFonts w:ascii="Book Antiqua" w:hAnsi="Book Antiqua" w:cs="Arial"/>
          <w:sz w:val="24"/>
          <w:szCs w:val="24"/>
          <w:lang w:val="en-US"/>
        </w:rPr>
        <w:t>, h</w:t>
      </w:r>
      <w:r w:rsidR="0010081B" w:rsidRPr="007F5A49">
        <w:rPr>
          <w:rFonts w:ascii="Book Antiqua" w:hAnsi="Book Antiqua" w:cs="Arial"/>
          <w:sz w:val="24"/>
          <w:szCs w:val="24"/>
          <w:lang w:val="en-US"/>
        </w:rPr>
        <w:t>igh calorie intake</w:t>
      </w:r>
      <w:r w:rsidR="00AF3B44" w:rsidRPr="007F5A49">
        <w:rPr>
          <w:rFonts w:ascii="Book Antiqua" w:hAnsi="Book Antiqua" w:cs="Arial"/>
          <w:sz w:val="24"/>
          <w:szCs w:val="24"/>
          <w:lang w:val="en-US"/>
        </w:rPr>
        <w:t xml:space="preserve"> </w:t>
      </w:r>
      <w:r w:rsidR="0064291D" w:rsidRPr="007F5A49">
        <w:rPr>
          <w:rFonts w:ascii="Book Antiqua" w:hAnsi="Book Antiqua" w:cs="Arial"/>
          <w:sz w:val="24"/>
          <w:szCs w:val="24"/>
          <w:lang w:val="en-US"/>
        </w:rPr>
        <w:t>combined with a</w:t>
      </w:r>
      <w:r w:rsidR="0010081B" w:rsidRPr="007F5A49">
        <w:rPr>
          <w:rFonts w:ascii="Book Antiqua" w:hAnsi="Book Antiqua" w:cs="Arial"/>
          <w:sz w:val="24"/>
          <w:szCs w:val="24"/>
          <w:lang w:val="en-US"/>
        </w:rPr>
        <w:t xml:space="preserve"> sedentary </w:t>
      </w:r>
      <w:r w:rsidR="00C21713" w:rsidRPr="007F5A49">
        <w:rPr>
          <w:rFonts w:ascii="Book Antiqua" w:hAnsi="Book Antiqua" w:cs="Arial"/>
          <w:sz w:val="24"/>
          <w:szCs w:val="24"/>
          <w:lang w:val="en-US"/>
        </w:rPr>
        <w:t xml:space="preserve">lifestyle </w:t>
      </w:r>
      <w:r w:rsidR="0010081B" w:rsidRPr="007F5A49">
        <w:rPr>
          <w:rFonts w:ascii="Book Antiqua" w:hAnsi="Book Antiqua" w:cs="Arial"/>
          <w:sz w:val="24"/>
          <w:szCs w:val="24"/>
          <w:lang w:val="en-US"/>
        </w:rPr>
        <w:t>make NAFLD</w:t>
      </w:r>
      <w:r w:rsidR="007004E9" w:rsidRPr="007F5A49">
        <w:rPr>
          <w:rFonts w:ascii="Book Antiqua" w:hAnsi="Book Antiqua" w:cs="Arial"/>
          <w:sz w:val="24"/>
          <w:szCs w:val="24"/>
          <w:lang w:val="en-US"/>
        </w:rPr>
        <w:t xml:space="preserve"> a </w:t>
      </w:r>
      <w:r w:rsidR="00C21713" w:rsidRPr="007F5A49">
        <w:rPr>
          <w:rFonts w:ascii="Book Antiqua" w:hAnsi="Book Antiqua" w:cs="Arial"/>
          <w:sz w:val="24"/>
          <w:szCs w:val="24"/>
          <w:lang w:val="en-US"/>
        </w:rPr>
        <w:t>common liver disease</w:t>
      </w:r>
      <w:r w:rsidR="00F42020" w:rsidRPr="007F5A49">
        <w:rPr>
          <w:rFonts w:ascii="Book Antiqua" w:hAnsi="Book Antiqua" w:cs="Arial"/>
          <w:sz w:val="24"/>
          <w:szCs w:val="24"/>
          <w:lang w:val="en-US"/>
        </w:rPr>
        <w:t xml:space="preserve"> in affluent countries</w:t>
      </w:r>
      <w:r w:rsidR="00D01027" w:rsidRPr="007F5A49">
        <w:rPr>
          <w:rFonts w:ascii="Book Antiqua" w:hAnsi="Book Antiqua" w:cs="Arial"/>
          <w:sz w:val="24"/>
          <w:szCs w:val="24"/>
          <w:lang w:val="en-US"/>
        </w:rPr>
        <w:t xml:space="preserve">. </w:t>
      </w:r>
      <w:r w:rsidR="00F42020" w:rsidRPr="007F5A49">
        <w:rPr>
          <w:rFonts w:ascii="Book Antiqua" w:hAnsi="Book Antiqua" w:cs="Arial"/>
          <w:sz w:val="24"/>
          <w:szCs w:val="24"/>
          <w:lang w:val="en-US"/>
        </w:rPr>
        <w:t xml:space="preserve">It is </w:t>
      </w:r>
      <w:proofErr w:type="spellStart"/>
      <w:r w:rsidR="0041601A" w:rsidRPr="007F5A49">
        <w:rPr>
          <w:rFonts w:ascii="Book Antiqua" w:hAnsi="Book Antiqua" w:cs="Arial"/>
          <w:sz w:val="24"/>
          <w:szCs w:val="24"/>
          <w:lang w:val="en-US"/>
        </w:rPr>
        <w:t>ch</w:t>
      </w:r>
      <w:r w:rsidR="004A3E4F" w:rsidRPr="007F5A49">
        <w:rPr>
          <w:rFonts w:ascii="Book Antiqua" w:hAnsi="Book Antiqua" w:cs="Arial"/>
          <w:sz w:val="24"/>
          <w:szCs w:val="24"/>
          <w:lang w:val="en-US"/>
        </w:rPr>
        <w:t>aracterised</w:t>
      </w:r>
      <w:proofErr w:type="spellEnd"/>
      <w:r w:rsidR="004A3E4F" w:rsidRPr="007F5A49">
        <w:rPr>
          <w:rFonts w:ascii="Book Antiqua" w:hAnsi="Book Antiqua" w:cs="Arial"/>
          <w:sz w:val="24"/>
          <w:szCs w:val="24"/>
          <w:lang w:val="en-US"/>
        </w:rPr>
        <w:t xml:space="preserve"> </w:t>
      </w:r>
      <w:r w:rsidR="0041601A" w:rsidRPr="007F5A49">
        <w:rPr>
          <w:rFonts w:ascii="Book Antiqua" w:hAnsi="Book Antiqua" w:cs="Arial"/>
          <w:sz w:val="24"/>
          <w:szCs w:val="24"/>
          <w:lang w:val="en-US"/>
        </w:rPr>
        <w:t xml:space="preserve">by </w:t>
      </w:r>
      <w:r w:rsidR="00243036" w:rsidRPr="007F5A49">
        <w:rPr>
          <w:rFonts w:ascii="Book Antiqua" w:hAnsi="Book Antiqua" w:cs="Arial"/>
          <w:sz w:val="24"/>
          <w:szCs w:val="24"/>
          <w:lang w:val="en-US"/>
        </w:rPr>
        <w:t xml:space="preserve">insulin resistance, </w:t>
      </w:r>
      <w:r w:rsidR="00D01027" w:rsidRPr="007F5A49">
        <w:rPr>
          <w:rFonts w:ascii="Book Antiqua" w:hAnsi="Book Antiqua" w:cs="Arial"/>
          <w:sz w:val="24"/>
          <w:szCs w:val="24"/>
          <w:lang w:val="en-US"/>
        </w:rPr>
        <w:t xml:space="preserve">high serum triglyceride levels, low serum high-density lipoprotein </w:t>
      </w:r>
      <w:r w:rsidR="0041601A" w:rsidRPr="007F5A49">
        <w:rPr>
          <w:rFonts w:ascii="Book Antiqua" w:hAnsi="Book Antiqua" w:cs="Arial"/>
          <w:sz w:val="24"/>
          <w:szCs w:val="24"/>
          <w:lang w:val="en-US"/>
        </w:rPr>
        <w:t>and excessive fat deposition in the liver</w:t>
      </w:r>
      <w:r w:rsidR="00B40F89" w:rsidRPr="007F5A49">
        <w:rPr>
          <w:rFonts w:ascii="Book Antiqua" w:hAnsi="Book Antiqua" w:cs="Arial"/>
          <w:sz w:val="24"/>
          <w:szCs w:val="24"/>
          <w:lang w:val="en-US"/>
        </w:rPr>
        <w:t xml:space="preserve">. The latter </w:t>
      </w:r>
      <w:r w:rsidR="00AD41F3" w:rsidRPr="007F5A49">
        <w:rPr>
          <w:rFonts w:ascii="Book Antiqua" w:hAnsi="Book Antiqua" w:cs="Arial"/>
          <w:sz w:val="24"/>
          <w:szCs w:val="24"/>
          <w:lang w:val="en-US"/>
        </w:rPr>
        <w:t>remains undiagnosed in the early stage</w:t>
      </w:r>
      <w:r w:rsidR="00826168" w:rsidRPr="007F5A49">
        <w:rPr>
          <w:rFonts w:ascii="Book Antiqua" w:hAnsi="Book Antiqua" w:cs="Arial"/>
          <w:sz w:val="24"/>
          <w:szCs w:val="24"/>
          <w:lang w:val="en-US"/>
        </w:rPr>
        <w:t>s</w:t>
      </w:r>
      <w:r w:rsidR="00B75050" w:rsidRPr="007F5A49">
        <w:rPr>
          <w:rFonts w:ascii="Book Antiqua" w:hAnsi="Book Antiqua" w:cs="Arial"/>
          <w:sz w:val="24"/>
          <w:szCs w:val="24"/>
          <w:lang w:val="en-US"/>
        </w:rPr>
        <w:t xml:space="preserve"> </w:t>
      </w:r>
      <w:r w:rsidR="00826168" w:rsidRPr="007F5A49">
        <w:rPr>
          <w:rFonts w:ascii="Book Antiqua" w:hAnsi="Book Antiqua" w:cs="Arial"/>
          <w:sz w:val="24"/>
          <w:szCs w:val="24"/>
          <w:lang w:val="en-US"/>
        </w:rPr>
        <w:t>a</w:t>
      </w:r>
      <w:r w:rsidR="0010081B" w:rsidRPr="007F5A49">
        <w:rPr>
          <w:rFonts w:ascii="Book Antiqua" w:hAnsi="Book Antiqua" w:cs="Arial"/>
          <w:sz w:val="24"/>
          <w:szCs w:val="24"/>
          <w:lang w:val="en-US"/>
        </w:rPr>
        <w:t xml:space="preserve">nd </w:t>
      </w:r>
      <w:r w:rsidR="00AD41F3" w:rsidRPr="007F5A49">
        <w:rPr>
          <w:rFonts w:ascii="Book Antiqua" w:hAnsi="Book Antiqua" w:cs="Arial"/>
          <w:sz w:val="24"/>
          <w:szCs w:val="24"/>
          <w:lang w:val="en-US"/>
        </w:rPr>
        <w:t>qui</w:t>
      </w:r>
      <w:r w:rsidR="006E37F7" w:rsidRPr="007F5A49">
        <w:rPr>
          <w:rFonts w:ascii="Book Antiqua" w:hAnsi="Book Antiqua" w:cs="Arial"/>
          <w:sz w:val="24"/>
          <w:szCs w:val="24"/>
          <w:lang w:val="en-US"/>
        </w:rPr>
        <w:t>et</w:t>
      </w:r>
      <w:r w:rsidR="00ED6E8A" w:rsidRPr="007F5A49">
        <w:rPr>
          <w:rFonts w:ascii="Book Antiqua" w:hAnsi="Book Antiqua" w:cs="Arial"/>
          <w:sz w:val="24"/>
          <w:szCs w:val="24"/>
          <w:lang w:val="en-US"/>
        </w:rPr>
        <w:t>ly</w:t>
      </w:r>
      <w:r w:rsidR="00AD41F3" w:rsidRPr="007F5A49">
        <w:rPr>
          <w:rFonts w:ascii="Book Antiqua" w:hAnsi="Book Antiqua" w:cs="Arial"/>
          <w:sz w:val="24"/>
          <w:szCs w:val="24"/>
          <w:lang w:val="en-US"/>
        </w:rPr>
        <w:t xml:space="preserve"> progres</w:t>
      </w:r>
      <w:r w:rsidR="00ED6E8A" w:rsidRPr="007F5A49">
        <w:rPr>
          <w:rFonts w:ascii="Book Antiqua" w:hAnsi="Book Antiqua" w:cs="Arial"/>
          <w:sz w:val="24"/>
          <w:szCs w:val="24"/>
          <w:lang w:val="en-US"/>
        </w:rPr>
        <w:t xml:space="preserve">ses </w:t>
      </w:r>
      <w:r w:rsidR="00AD41F3" w:rsidRPr="007F5A49">
        <w:rPr>
          <w:rFonts w:ascii="Book Antiqua" w:hAnsi="Book Antiqua" w:cs="Arial"/>
          <w:sz w:val="24"/>
          <w:szCs w:val="24"/>
          <w:lang w:val="en-US"/>
        </w:rPr>
        <w:t xml:space="preserve">to the high-lipid-induced inflammatory state </w:t>
      </w:r>
      <w:r w:rsidR="0010081B" w:rsidRPr="007F5A49">
        <w:rPr>
          <w:rFonts w:ascii="Book Antiqua" w:hAnsi="Book Antiqua" w:cs="Arial"/>
          <w:sz w:val="24"/>
          <w:szCs w:val="24"/>
          <w:lang w:val="en-US"/>
        </w:rPr>
        <w:t>NASH</w:t>
      </w:r>
      <w:r w:rsidR="00B40F89" w:rsidRPr="007F5A49">
        <w:rPr>
          <w:rFonts w:ascii="Book Antiqua" w:hAnsi="Book Antiqua" w:cs="Arial"/>
          <w:sz w:val="24"/>
          <w:szCs w:val="24"/>
          <w:lang w:val="en-US"/>
        </w:rPr>
        <w:t xml:space="preserve">, which can </w:t>
      </w:r>
      <w:r w:rsidR="00572530" w:rsidRPr="007F5A49">
        <w:rPr>
          <w:rFonts w:ascii="Book Antiqua" w:hAnsi="Book Antiqua" w:cs="Arial"/>
          <w:sz w:val="24"/>
          <w:szCs w:val="24"/>
          <w:lang w:val="en-US"/>
        </w:rPr>
        <w:t>advance</w:t>
      </w:r>
      <w:r w:rsidR="00B40F89" w:rsidRPr="007F5A49">
        <w:rPr>
          <w:rFonts w:ascii="Book Antiqua" w:hAnsi="Book Antiqua" w:cs="Arial"/>
          <w:sz w:val="24"/>
          <w:szCs w:val="24"/>
          <w:lang w:val="en-US"/>
        </w:rPr>
        <w:t xml:space="preserve"> </w:t>
      </w:r>
      <w:r w:rsidR="00ED6E8A" w:rsidRPr="007F5A49">
        <w:rPr>
          <w:rFonts w:ascii="Book Antiqua" w:hAnsi="Book Antiqua" w:cs="Arial"/>
          <w:sz w:val="24"/>
          <w:szCs w:val="24"/>
          <w:lang w:val="en-US"/>
        </w:rPr>
        <w:t>to cirrhosis and organ failure</w:t>
      </w:r>
      <w:r w:rsidR="00D01027"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hnk336d8f","properties":{"formattedCitation":"(77)","plainCitation":"(77)","noteIndex":0},"citationItems":[{"id":"z1PZoHrb/zIF6fALA","uris":["http://zotero.org/users/4222068/items/WH5UWR3V"],"uri":["http://zotero.org/users/4222068/items/WH5UWR3V"],"itemData":{"id":1562,"type":"article-journal","title":"The diagnosis and management of nonalcoholic fatty liver disease: Practice guidance from the American Association for the Study of Liver Diseases","container-title":"Hepatology (Baltimore, Md.)","page":"328-357","volume":"67","issue":"1","source":"PubMed","DOI":"10.1002/hep.29367","ISSN":"1527-3350","note":"PMID: 28714183","shortTitle":"The diagnosis and management of nonalcoholic fatty liver disease","journalAbbreviation":"Hepatology","language":"eng","author":[{"family":"Chalasani","given":"Naga"},{"family":"Younossi","given":"Zobair"},{"family":"Lavine","given":"Joel E."},{"family":"Charlton","given":"Michael"},{"family":"Cusi","given":"Kenneth"},{"family":"Rinella","given":"Mary"},{"family":"Harrison","given":"Stephen A."},{"family":"Brunt","given":"Elizabeth M."},{"family":"Sanyal","given":"Arun J."}],"issued":{"date-parts":[["2018"]]}}}],"schema":"https://github.com/citation-style-language/schema/raw/master/csl-citation.json"} </w:instrText>
      </w:r>
      <w:r w:rsidR="00D01027" w:rsidRPr="007F5A49">
        <w:rPr>
          <w:rFonts w:ascii="Book Antiqua" w:hAnsi="Book Antiqua" w:cs="Arial"/>
          <w:sz w:val="24"/>
          <w:szCs w:val="24"/>
          <w:vertAlign w:val="superscript"/>
          <w:lang w:val="en-US"/>
        </w:rPr>
        <w:fldChar w:fldCharType="separate"/>
      </w:r>
      <w:r w:rsidR="002F693F"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77</w:t>
      </w:r>
      <w:r w:rsidR="00D01027" w:rsidRPr="007F5A49">
        <w:rPr>
          <w:rFonts w:ascii="Book Antiqua" w:hAnsi="Book Antiqua" w:cs="Arial"/>
          <w:sz w:val="24"/>
          <w:szCs w:val="24"/>
          <w:vertAlign w:val="superscript"/>
          <w:lang w:val="en-US"/>
        </w:rPr>
        <w:fldChar w:fldCharType="end"/>
      </w:r>
      <w:r w:rsidR="002F693F" w:rsidRPr="007F5A49">
        <w:rPr>
          <w:rFonts w:ascii="Book Antiqua" w:hAnsi="Book Antiqua" w:cs="Arial"/>
          <w:sz w:val="24"/>
          <w:szCs w:val="24"/>
          <w:vertAlign w:val="superscript"/>
          <w:lang w:val="en-US"/>
        </w:rPr>
        <w:t>]</w:t>
      </w:r>
      <w:r w:rsidR="004B5371" w:rsidRPr="007F5A49">
        <w:rPr>
          <w:rFonts w:ascii="Book Antiqua" w:hAnsi="Book Antiqua" w:cs="Arial"/>
          <w:sz w:val="24"/>
          <w:szCs w:val="24"/>
          <w:lang w:val="en-US"/>
        </w:rPr>
        <w:t xml:space="preserve">. </w:t>
      </w:r>
    </w:p>
    <w:p w14:paraId="29357854" w14:textId="31F6CD15" w:rsidR="004C6560" w:rsidRPr="007F5A49" w:rsidRDefault="00C04BB2" w:rsidP="007F5A49">
      <w:pPr>
        <w:adjustRightInd w:val="0"/>
        <w:snapToGrid w:val="0"/>
        <w:spacing w:after="0" w:line="360" w:lineRule="auto"/>
        <w:jc w:val="both"/>
        <w:rPr>
          <w:rFonts w:ascii="Book Antiqua" w:eastAsia="Times New Roman" w:hAnsi="Book Antiqua" w:cs="Arial"/>
          <w:sz w:val="24"/>
          <w:szCs w:val="24"/>
          <w:lang w:val="en-US"/>
        </w:rPr>
      </w:pPr>
      <w:r>
        <w:rPr>
          <w:rFonts w:ascii="Book Antiqua" w:eastAsia="Times New Roman" w:hAnsi="Book Antiqua" w:cs="Arial"/>
          <w:sz w:val="24"/>
          <w:szCs w:val="24"/>
          <w:lang w:val="en-US"/>
        </w:rPr>
        <w:t xml:space="preserve">  </w:t>
      </w:r>
      <w:r w:rsidR="002270D1" w:rsidRPr="007F5A49">
        <w:rPr>
          <w:rFonts w:ascii="Book Antiqua" w:hAnsi="Book Antiqua" w:cs="Arial"/>
          <w:sz w:val="24"/>
          <w:szCs w:val="24"/>
          <w:lang w:val="en-US"/>
        </w:rPr>
        <w:t>Elevated LIC is observed in about 33% of adult NAFLD patients</w:t>
      </w:r>
      <w:r w:rsidR="002270D1"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LLyhpenk","properties":{"formattedCitation":"(2)","plainCitation":"(2)","noteIndex":0},"citationItems":[{"id":"z1PZoHrb/AG6ANrHo","uris":["http://zotero.org/users/4222068/items/B4ILEK6N"],"uri":["http://zotero.org/users/4222068/items/B4ILEK6N"],"itemData":{"id":1732,"type":"article-journal","title":"Iron Overload in Patients With Chronic Liver Disease","container-title":"Gastroenterology &amp; Hepatology","page":"695-698","volume":"12","issue":"11","source":"PubMed Central","ISSN":"1554-7914","note":"PMID: 28035198\nPMCID: PMC5193089","journalAbbreviation":"Gastroenterol Hepatol (N Y)","author":[{"family":"Kowdley","given":"Kris V."}],"issued":{"date-parts":[["2016",11]]}}}],"schema":"https://github.com/citation-style-language/schema/raw/master/csl-citation.json"} </w:instrText>
      </w:r>
      <w:r w:rsidR="002270D1" w:rsidRPr="007F5A49">
        <w:rPr>
          <w:rFonts w:ascii="Book Antiqua" w:hAnsi="Book Antiqua" w:cs="Arial"/>
          <w:sz w:val="24"/>
          <w:szCs w:val="24"/>
          <w:vertAlign w:val="superscript"/>
          <w:lang w:val="en-US"/>
        </w:rPr>
        <w:fldChar w:fldCharType="separate"/>
      </w:r>
      <w:r w:rsidR="00E800C6"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2</w:t>
      </w:r>
      <w:r w:rsidR="002270D1" w:rsidRPr="007F5A49">
        <w:rPr>
          <w:rFonts w:ascii="Book Antiqua" w:hAnsi="Book Antiqua" w:cs="Arial"/>
          <w:sz w:val="24"/>
          <w:szCs w:val="24"/>
          <w:vertAlign w:val="superscript"/>
          <w:lang w:val="en-US"/>
        </w:rPr>
        <w:fldChar w:fldCharType="end"/>
      </w:r>
      <w:r w:rsidR="00E800C6" w:rsidRPr="007F5A49">
        <w:rPr>
          <w:rFonts w:ascii="Book Antiqua" w:hAnsi="Book Antiqua" w:cs="Arial"/>
          <w:sz w:val="24"/>
          <w:szCs w:val="24"/>
          <w:vertAlign w:val="superscript"/>
          <w:lang w:val="en-US"/>
        </w:rPr>
        <w:t>]</w:t>
      </w:r>
      <w:r w:rsidR="003A28C6" w:rsidRPr="007F5A49">
        <w:rPr>
          <w:rFonts w:ascii="Book Antiqua" w:hAnsi="Book Antiqua" w:cs="Arial"/>
          <w:sz w:val="24"/>
          <w:szCs w:val="24"/>
          <w:lang w:val="en-US"/>
        </w:rPr>
        <w:t xml:space="preserve"> and it is </w:t>
      </w:r>
      <w:r w:rsidR="004C6560" w:rsidRPr="007F5A49">
        <w:rPr>
          <w:rFonts w:ascii="Book Antiqua" w:hAnsi="Book Antiqua" w:cs="Arial"/>
          <w:sz w:val="24"/>
          <w:szCs w:val="24"/>
          <w:lang w:val="en-US"/>
        </w:rPr>
        <w:t xml:space="preserve">suggested to be </w:t>
      </w:r>
      <w:r w:rsidR="004C6560" w:rsidRPr="007F5A49">
        <w:rPr>
          <w:rFonts w:ascii="Book Antiqua" w:eastAsia="Times New Roman" w:hAnsi="Book Antiqua" w:cs="Arial"/>
          <w:sz w:val="24"/>
          <w:szCs w:val="24"/>
          <w:lang w:val="en-US"/>
        </w:rPr>
        <w:t>associated with increased fibrosis</w:t>
      </w:r>
      <w:r w:rsidR="004C6560" w:rsidRPr="007F5A49">
        <w:rPr>
          <w:rFonts w:ascii="Book Antiqua" w:eastAsia="Times New Roman" w:hAnsi="Book Antiqua" w:cs="Arial"/>
          <w:sz w:val="24"/>
          <w:szCs w:val="24"/>
          <w:vertAlign w:val="superscript"/>
          <w:lang w:val="en-US"/>
        </w:rPr>
        <w:fldChar w:fldCharType="begin"/>
      </w:r>
      <w:r w:rsidR="00D2645C" w:rsidRPr="007F5A49">
        <w:rPr>
          <w:rFonts w:ascii="Book Antiqua" w:eastAsia="Times New Roman" w:hAnsi="Book Antiqua" w:cs="Arial"/>
          <w:sz w:val="24"/>
          <w:szCs w:val="24"/>
          <w:vertAlign w:val="superscript"/>
          <w:lang w:val="en-US"/>
        </w:rPr>
        <w:instrText xml:space="preserve"> ADDIN ZOTERO_ITEM CSL_CITATION {"citationID":"a28u3lt3419","properties":{"formattedCitation":"(78)","plainCitation":"(78)","noteIndex":0},"citationItems":[{"id":"z1PZoHrb/x1WkyZXZ","uris":["http://zotero.org/users/4222068/items/YKMWWR32"],"uri":["http://zotero.org/users/4222068/items/YKMWWR32"],"itemData":{"id":1723,"type":"article-journal","title":"Increased hepatic iron concentration in nonalcoholic steatohepatitis is associated with increased fibrosis","container-title":"Gastroenterology","page":"311-318","volume":"114","issue":"2","source":"PubMed","abstract":"BACKGROUND &amp; AIMS: Nonalcoholic steatohepatitis (NASH) is a chronic liver disease that occasionally progresses to cirrhosis but usually has a benign course. The aim of this study was to investigate the role of the hemochromatosis mutation Cys282Tyr in development of the mild hepatic iron overload found in some patients with NASH and its association with hepatic damage in these patients.\nMETHODS: Fifty-one patients with NASH were studied. The presence of the Cys282Tyr mutation was tested in all patients, and the data were analyzed with respect to the histological grade of steatosis, inflammation, Perls' staining, hepatic iron concentration (HIC), and serum iron indices.\nRESULTS: Thirty-one percent of patients with NASH were either homozygous or heterozygous for the Cys282Tyr mutation. This mutation was significantly associated with Perls' stain grade (P &lt; 0.005), HIC (P &lt; 0.005), and transferrin saturation percentage (P &lt; 0.005) but not with serum ferritin levels. Linear regression analysis showed that increased hepatic iron (Perls' stain or HIC) had the greatest association with the severity of fibrosis (P &lt; 0.0001).\nCONCLUSIONS: The Cys282Tyr mutation is responsible for most of the mild iron overload found in NASH and thus has a significant association with hepatic damage in these patients. Heterozygosity for the hemochromatosis gene mutation therefore cannot always be considered benign.","ISSN":"0016-5085","note":"PMID: 9453491","journalAbbreviation":"Gastroenterology","language":"eng","author":[{"family":"George","given":"D. K."},{"family":"Goldwurm","given":"S."},{"family":"MacDonald","given":"G. A."},{"family":"Cowley","given":"L. L."},{"family":"Walker","given":"N. I."},{"family":"Ward","given":"P. J."},{"family":"Jazwinska","given":"E. C."},{"family":"Powell","given":"L. W."}],"issued":{"date-parts":[["1998",2]]}}}],"schema":"https://github.com/citation-style-language/schema/raw/master/csl-citation.json"} </w:instrText>
      </w:r>
      <w:r w:rsidR="004C6560" w:rsidRPr="007F5A49">
        <w:rPr>
          <w:rFonts w:ascii="Book Antiqua" w:eastAsia="Times New Roman" w:hAnsi="Book Antiqua" w:cs="Arial"/>
          <w:sz w:val="24"/>
          <w:szCs w:val="24"/>
          <w:vertAlign w:val="superscript"/>
          <w:lang w:val="en-US"/>
        </w:rPr>
        <w:fldChar w:fldCharType="separate"/>
      </w:r>
      <w:r w:rsidR="00E800C6"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78</w:t>
      </w:r>
      <w:r w:rsidR="004C6560" w:rsidRPr="007F5A49">
        <w:rPr>
          <w:rFonts w:ascii="Book Antiqua" w:eastAsia="Times New Roman" w:hAnsi="Book Antiqua" w:cs="Arial"/>
          <w:sz w:val="24"/>
          <w:szCs w:val="24"/>
          <w:vertAlign w:val="superscript"/>
          <w:lang w:val="en-US"/>
        </w:rPr>
        <w:fldChar w:fldCharType="end"/>
      </w:r>
      <w:r w:rsidR="00E800C6" w:rsidRPr="007F5A49">
        <w:rPr>
          <w:rFonts w:ascii="Book Antiqua" w:eastAsia="Times New Roman" w:hAnsi="Book Antiqua" w:cs="Arial"/>
          <w:sz w:val="24"/>
          <w:szCs w:val="24"/>
          <w:vertAlign w:val="superscript"/>
          <w:lang w:val="en-US"/>
        </w:rPr>
        <w:t>]</w:t>
      </w:r>
      <w:r w:rsidR="004C6560" w:rsidRPr="007F5A49">
        <w:rPr>
          <w:rFonts w:ascii="Book Antiqua" w:eastAsia="Times New Roman" w:hAnsi="Book Antiqua" w:cs="Arial"/>
          <w:sz w:val="24"/>
          <w:szCs w:val="24"/>
          <w:lang w:val="en-US"/>
        </w:rPr>
        <w:t xml:space="preserve">. LIC </w:t>
      </w:r>
      <w:r w:rsidR="002270D1" w:rsidRPr="007F5A49">
        <w:rPr>
          <w:rFonts w:ascii="Book Antiqua" w:eastAsia="Times New Roman" w:hAnsi="Book Antiqua" w:cs="Arial"/>
          <w:bCs/>
          <w:sz w:val="24"/>
          <w:szCs w:val="24"/>
          <w:lang w:val="en-US"/>
        </w:rPr>
        <w:t xml:space="preserve">can </w:t>
      </w:r>
      <w:proofErr w:type="spellStart"/>
      <w:r w:rsidR="002270D1" w:rsidRPr="007F5A49">
        <w:rPr>
          <w:rFonts w:ascii="Book Antiqua" w:eastAsia="Times New Roman" w:hAnsi="Book Antiqua" w:cs="Arial"/>
          <w:bCs/>
          <w:sz w:val="24"/>
          <w:szCs w:val="24"/>
          <w:lang w:val="en-US"/>
        </w:rPr>
        <w:t>catalyse</w:t>
      </w:r>
      <w:proofErr w:type="spellEnd"/>
      <w:r w:rsidR="002270D1" w:rsidRPr="007F5A49">
        <w:rPr>
          <w:rFonts w:ascii="Book Antiqua" w:eastAsia="Times New Roman" w:hAnsi="Book Antiqua" w:cs="Arial"/>
          <w:bCs/>
          <w:sz w:val="24"/>
          <w:szCs w:val="24"/>
          <w:lang w:val="en-US"/>
        </w:rPr>
        <w:t xml:space="preserve"> the pathological progression by causing oxidative and endoplasmic reticulum stress, activation of macrophages and HSCs, reduced</w:t>
      </w:r>
      <w:r w:rsidR="002270D1" w:rsidRPr="007F5A49">
        <w:rPr>
          <w:rFonts w:ascii="Book Antiqua" w:eastAsia="Times New Roman" w:hAnsi="Book Antiqua" w:cs="Arial"/>
          <w:b/>
          <w:bCs/>
          <w:sz w:val="24"/>
          <w:szCs w:val="24"/>
          <w:lang w:val="en-US"/>
        </w:rPr>
        <w:t xml:space="preserve"> </w:t>
      </w:r>
      <w:r w:rsidR="002270D1" w:rsidRPr="007F5A49">
        <w:rPr>
          <w:rFonts w:ascii="Book Antiqua" w:eastAsia="Times New Roman" w:hAnsi="Book Antiqua" w:cs="Arial"/>
          <w:sz w:val="24"/>
          <w:szCs w:val="24"/>
          <w:lang w:val="en-US"/>
        </w:rPr>
        <w:t>export of very low density lipoprotein and increased synthesis of cholesterol</w:t>
      </w:r>
      <w:bookmarkStart w:id="48" w:name="_Hlk514592504"/>
      <w:r w:rsidR="002270D1" w:rsidRPr="007F5A49">
        <w:rPr>
          <w:rFonts w:ascii="Book Antiqua" w:eastAsia="Times New Roman" w:hAnsi="Book Antiqua" w:cs="Arial"/>
          <w:sz w:val="24"/>
          <w:szCs w:val="24"/>
          <w:vertAlign w:val="superscript"/>
          <w:lang w:val="en-US"/>
        </w:rPr>
        <w:fldChar w:fldCharType="begin"/>
      </w:r>
      <w:r w:rsidR="00D2645C" w:rsidRPr="007F5A49">
        <w:rPr>
          <w:rFonts w:ascii="Book Antiqua" w:eastAsia="Times New Roman" w:hAnsi="Book Antiqua" w:cs="Arial"/>
          <w:sz w:val="24"/>
          <w:szCs w:val="24"/>
          <w:vertAlign w:val="superscript"/>
          <w:lang w:val="en-US"/>
        </w:rPr>
        <w:instrText xml:space="preserve"> ADDIN ZOTERO_ITEM CSL_CITATION {"citationID":"7NBQCP7U","properties":{"formattedCitation":"(79)","plainCitation":"(79)","noteIndex":0},"citationItems":[{"id":287,"uris":["http://zotero.org/users/2804724/items/V473K37H"],"uri":["http://zotero.org/users/2804724/items/V473K37H"],"itemData":{"id":287,"type":"article-journal","title":"Iron and non-alcoholic fatty liver disease","container-title":"World Journal of Gastroenterology","page":"8112-8122","volume":"22","issue":"36","source":"PubMed Central","abstract":"The mechanisms that promote liver injury in non-alcoholic fatty liver disease (NAFLD) are yet to be thoroughly elucidated. As such, effective treatment strategies are lacking and novel therapeutic targets are required. Iron has been widely implicated in the pathogenesis of NAFLD and represents a potential target for treatment. Relationships between serum ferritin concentration and NAFLD are noted in a majority of studies, although serum ferritin is an imprecise measure of iron loading. Numerous mechanisms for a pathogenic role of hepatic iron in NAFLD have been demonstrated in animal and cell culture models. However, the human data linking hepatic iron to liver injury in NAFLD is less clear, with seemingly conflicting evidence, supporting either an effect of iron in hepatocytes or within reticulo-endothelial cells. Adipose tissue has emerged as a key site at which iron may have a pathogenic role in NAFLD. Evidence for this comes indirectly from studies that have evaluated the role of adipose tissue iron with respect to insulin resistance. Adding further complexity, multiple strands of evidence support an effect of NAFLD itself on iron metabolism. In this review, we summarise the human and basic science data that has evaluated the role of iron in NAFLD pathogenesis.","DOI":"10.3748/wjg.v22.i36.8112","ISSN":"1007-9327","note":"PMID: 27688653\nPMCID: PMC5037080","journalAbbreviation":"World J Gastroenterol","author":[{"family":"Britton","given":"Laurence J"},{"family":"Subramaniam","given":"V Nathan"},{"family":"Crawford","given":"Darrell HG"}],"issued":{"date-parts":[["2016",9,28]]}}}],"schema":"https://github.com/citation-style-language/schema/raw/master/csl-citation.json"} </w:instrText>
      </w:r>
      <w:r w:rsidR="002270D1" w:rsidRPr="007F5A49">
        <w:rPr>
          <w:rFonts w:ascii="Book Antiqua" w:eastAsia="Times New Roman" w:hAnsi="Book Antiqua" w:cs="Arial"/>
          <w:sz w:val="24"/>
          <w:szCs w:val="24"/>
          <w:vertAlign w:val="superscript"/>
          <w:lang w:val="en-US"/>
        </w:rPr>
        <w:fldChar w:fldCharType="separate"/>
      </w:r>
      <w:r w:rsidR="00E800C6"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79</w:t>
      </w:r>
      <w:r w:rsidR="002270D1" w:rsidRPr="007F5A49">
        <w:rPr>
          <w:rFonts w:ascii="Book Antiqua" w:eastAsia="Times New Roman" w:hAnsi="Book Antiqua" w:cs="Arial"/>
          <w:sz w:val="24"/>
          <w:szCs w:val="24"/>
          <w:vertAlign w:val="superscript"/>
          <w:lang w:val="en-US"/>
        </w:rPr>
        <w:fldChar w:fldCharType="end"/>
      </w:r>
      <w:r w:rsidR="00E800C6" w:rsidRPr="007F5A49">
        <w:rPr>
          <w:rFonts w:ascii="Book Antiqua" w:eastAsia="Times New Roman" w:hAnsi="Book Antiqua" w:cs="Arial"/>
          <w:sz w:val="24"/>
          <w:szCs w:val="24"/>
          <w:vertAlign w:val="superscript"/>
          <w:lang w:val="en-US"/>
        </w:rPr>
        <w:t>]</w:t>
      </w:r>
      <w:r w:rsidR="002270D1" w:rsidRPr="007F5A49">
        <w:rPr>
          <w:rFonts w:ascii="Book Antiqua" w:eastAsia="Times New Roman" w:hAnsi="Book Antiqua" w:cs="Arial"/>
          <w:sz w:val="24"/>
          <w:szCs w:val="24"/>
          <w:lang w:val="en-US"/>
        </w:rPr>
        <w:t>.</w:t>
      </w:r>
      <w:bookmarkEnd w:id="48"/>
      <w:r w:rsidR="00D64018" w:rsidRPr="007F5A49">
        <w:rPr>
          <w:rFonts w:ascii="Book Antiqua" w:eastAsia="Times New Roman" w:hAnsi="Book Antiqua" w:cs="Arial"/>
          <w:sz w:val="24"/>
          <w:szCs w:val="24"/>
          <w:lang w:val="en-US"/>
        </w:rPr>
        <w:t xml:space="preserve"> </w:t>
      </w:r>
      <w:r w:rsidR="00D64018" w:rsidRPr="007F5A49">
        <w:rPr>
          <w:rFonts w:ascii="Book Antiqua" w:hAnsi="Book Antiqua" w:cs="Arial"/>
          <w:sz w:val="24"/>
          <w:szCs w:val="24"/>
          <w:lang w:val="en-US"/>
        </w:rPr>
        <w:t>NAFLD patients also exhibit elevations in serum hepcidin (typically)</w:t>
      </w:r>
      <w:r w:rsidR="00D64018"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GL7NzFa8","properties":{"formattedCitation":"(80)","plainCitation":"(80)","noteIndex":0},"citationItems":[{"id":38,"uris":["http://zotero.org/users/2804724/items/DS2RRC6A"],"uri":["http://zotero.org/users/2804724/items/DS2RRC6A"],"itemData":{"id":38,"type":"article-journal","title":"Serum levels of hepcidin in patients with biopsy-proven nonalcoholic fatty liver disease","container-title":"Metabolic Syndrome and Related Disorders","page":"287-290","volume":"9","issue":"4","source":"PubMed","abstract":"BACKGROUND: Research suggests the presence of mild-to-moderate iron overload in patients with nonalcoholic fatty liver disease (NAFLD). The role played by hepcidin, the master regulatory hormone of systemic iron metabolism, in the pathogenesis of NAFLD remains controversial. The aims of this study were to: (1) Evaluate serum hepcidin levels in patients with biopsy-proven NAFLD and age- and sex-matched controls and (2) identify the potential associations of hepcidin with the clinical and biochemical characteristics of the study participants.\nMETHODS: Serum levels of hepcidin were measured by enzyme-linked immunosorbent assay and compared in 88 patients with NAFLD (56 males and 32 females; mean age, 44 ± 11 years) and 88 controls (51 males and 37 females; mean age, 43 ± 12 years). Moreover, concentrations of hepcidin were assessed in relation to the general characteristics of the study participants and the results of liver biopsy.\nRESULTS: Serum levels of hepcidin were significantly higher in patients with NAFLD (63.5 ± 19.5</w:instrText>
      </w:r>
      <w:r w:rsidR="00D2645C" w:rsidRPr="007F5A49">
        <w:rPr>
          <w:rFonts w:ascii="Calibri" w:eastAsia="Calibri" w:hAnsi="Calibri" w:cs="Calibri"/>
          <w:sz w:val="24"/>
          <w:szCs w:val="24"/>
          <w:vertAlign w:val="superscript"/>
          <w:lang w:val="en-US"/>
        </w:rPr>
        <w:instrText> </w:instrText>
      </w:r>
      <w:r w:rsidR="00D2645C" w:rsidRPr="007F5A49">
        <w:rPr>
          <w:rFonts w:ascii="Book Antiqua" w:hAnsi="Book Antiqua" w:cs="Arial"/>
          <w:sz w:val="24"/>
          <w:szCs w:val="24"/>
          <w:vertAlign w:val="superscript"/>
          <w:lang w:val="en-US"/>
        </w:rPr>
        <w:instrText xml:space="preserve">ng/mL, P&lt;0.001) compared with controls (32.7 </w:instrText>
      </w:r>
      <w:r w:rsidR="00D2645C" w:rsidRPr="007F5A49">
        <w:rPr>
          <w:rFonts w:ascii="Book Antiqua" w:hAnsi="Book Antiqua" w:cs="Book Antiqua"/>
          <w:sz w:val="24"/>
          <w:szCs w:val="24"/>
          <w:vertAlign w:val="superscript"/>
          <w:lang w:val="en-US"/>
        </w:rPr>
        <w:instrText>±</w:instrText>
      </w:r>
      <w:r w:rsidR="00D2645C" w:rsidRPr="007F5A49">
        <w:rPr>
          <w:rFonts w:ascii="Book Antiqua" w:hAnsi="Book Antiqua" w:cs="Arial"/>
          <w:sz w:val="24"/>
          <w:szCs w:val="24"/>
          <w:vertAlign w:val="superscript"/>
          <w:lang w:val="en-US"/>
        </w:rPr>
        <w:instrText xml:space="preserve"> 8.3 ng/mL). Multivariable regression analyses in patients with NAFLD showed that hepcidin levels were positively associated with total cholesterol (</w:instrText>
      </w:r>
      <w:r w:rsidR="00D2645C" w:rsidRPr="007F5A49">
        <w:rPr>
          <w:rFonts w:ascii="Book Antiqua" w:hAnsi="Book Antiqua" w:cs="Book Antiqua"/>
          <w:sz w:val="24"/>
          <w:szCs w:val="24"/>
          <w:vertAlign w:val="superscript"/>
          <w:lang w:val="en-US"/>
        </w:rPr>
        <w:instrText>β</w:instrText>
      </w:r>
      <w:r w:rsidR="00D2645C" w:rsidRPr="007F5A49">
        <w:rPr>
          <w:rFonts w:ascii="Book Antiqua" w:hAnsi="Book Antiqua" w:cs="Arial"/>
          <w:sz w:val="24"/>
          <w:szCs w:val="24"/>
          <w:vertAlign w:val="superscript"/>
          <w:lang w:val="en-US"/>
        </w:rPr>
        <w:instrText xml:space="preserve">=6.9, t=3.3, P&lt;0.01) and triglycerides (β=1.4, t=2.4, P&lt;0.05), but not with iron parameters, histological staging, and pathological characteristics of NAFLD.\nCONCLUSIONS: Although subject to future confirmation, our data suggest that hepcidin levels are elevated in NAFLD and could be associated with lipid parameters in this setting.","DOI":"10.1089/met.2010.0121","ISSN":"1557-8518","note":"PMID: 21417913","journalAbbreviation":"Metab Syndr Relat Disord","language":"eng","author":[{"family":"Senates","given":"Ebubekir"},{"family":"Yilmaz","given":"Yusuf"},{"family":"Colak","given":"Yasar"},{"family":"Ozturk","given":"Oguzhan"},{"family":"Altunoz","given":"Mustafa Erhan"},{"family":"Kurt","given":"Ramazan"},{"family":"Ozkara","given":"Selvinaz"},{"family":"Aksaray","given":"Sebahat"},{"family":"Tuncer","given":"Ilyas"},{"family":"Ovunc","given":"Ayse Oya Kurdas"}],"issued":{"date-parts":[["2011",8]]}}}],"schema":"https://github.com/citation-style-language/schema/raw/master/csl-citation.json"} </w:instrText>
      </w:r>
      <w:r w:rsidR="00D64018" w:rsidRPr="007F5A49">
        <w:rPr>
          <w:rFonts w:ascii="Book Antiqua" w:hAnsi="Book Antiqua" w:cs="Arial"/>
          <w:sz w:val="24"/>
          <w:szCs w:val="24"/>
          <w:vertAlign w:val="superscript"/>
          <w:lang w:val="en-US"/>
        </w:rPr>
        <w:fldChar w:fldCharType="separate"/>
      </w:r>
      <w:r w:rsidR="00E800C6"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80</w:t>
      </w:r>
      <w:r w:rsidR="00D64018" w:rsidRPr="007F5A49">
        <w:rPr>
          <w:rFonts w:ascii="Book Antiqua" w:hAnsi="Book Antiqua" w:cs="Arial"/>
          <w:sz w:val="24"/>
          <w:szCs w:val="24"/>
          <w:vertAlign w:val="superscript"/>
          <w:lang w:val="en-US"/>
        </w:rPr>
        <w:fldChar w:fldCharType="end"/>
      </w:r>
      <w:r w:rsidR="00E800C6" w:rsidRPr="007F5A49">
        <w:rPr>
          <w:rFonts w:ascii="Book Antiqua" w:hAnsi="Book Antiqua" w:cs="Arial"/>
          <w:sz w:val="24"/>
          <w:szCs w:val="24"/>
          <w:vertAlign w:val="superscript"/>
          <w:lang w:val="en-US"/>
        </w:rPr>
        <w:t>]</w:t>
      </w:r>
      <w:r w:rsidR="00D64018" w:rsidRPr="007F5A49">
        <w:rPr>
          <w:rFonts w:ascii="Book Antiqua" w:hAnsi="Book Antiqua" w:cs="Arial"/>
          <w:sz w:val="24"/>
          <w:szCs w:val="24"/>
          <w:lang w:val="en-US"/>
        </w:rPr>
        <w:t xml:space="preserve">, white-adipose-tissue hepcidin and DMT-1 expression. </w:t>
      </w:r>
      <w:r w:rsidR="00B40F89" w:rsidRPr="007F5A49">
        <w:rPr>
          <w:rFonts w:ascii="Book Antiqua" w:hAnsi="Book Antiqua" w:cs="Arial"/>
          <w:sz w:val="24"/>
          <w:szCs w:val="24"/>
          <w:lang w:val="en-US"/>
        </w:rPr>
        <w:t>Also, u</w:t>
      </w:r>
      <w:r w:rsidR="00D64018" w:rsidRPr="007F5A49">
        <w:rPr>
          <w:rFonts w:ascii="Book Antiqua" w:hAnsi="Book Antiqua" w:cs="Arial"/>
          <w:sz w:val="24"/>
          <w:szCs w:val="24"/>
          <w:lang w:val="en-US"/>
        </w:rPr>
        <w:t>pregulated TFR1 has been observed in mice on high fat diet</w:t>
      </w:r>
      <w:r w:rsidR="00D64018"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vliqe67gb","properties":{"formattedCitation":"(79)","plainCitation":"(79)","noteIndex":0},"citationItems":[{"id":287,"uris":["http://zotero.org/users/2804724/items/V473K37H"],"uri":["http://zotero.org/users/2804724/items/V473K37H"],"itemData":{"id":287,"type":"article-journal","title":"Iron and non-alcoholic fatty liver disease","container-title":"World Journal of Gastroenterology","page":"8112-8122","volume":"22","issue":"36","source":"PubMed Central","abstract":"The mechanisms that promote liver injury in non-alcoholic fatty liver disease (NAFLD) are yet to be thoroughly elucidated. As such, effective treatment strategies are lacking and novel therapeutic targets are required. Iron has been widely implicated in the pathogenesis of NAFLD and represents a potential target for treatment. Relationships between serum ferritin concentration and NAFLD are noted in a majority of studies, although serum ferritin is an imprecise measure of iron loading. Numerous mechanisms for a pathogenic role of hepatic iron in NAFLD have been demonstrated in animal and cell culture models. However, the human data linking hepatic iron to liver injury in NAFLD is less clear, with seemingly conflicting evidence, supporting either an effect of iron in hepatocytes or within reticulo-endothelial cells. Adipose tissue has emerged as a key site at which iron may have a pathogenic role in NAFLD. Evidence for this comes indirectly from studies that have evaluated the role of adipose tissue iron with respect to insulin resistance. Adding further complexity, multiple strands of evidence support an effect of NAFLD itself on iron metabolism. In this review, we summarise the human and basic science data that has evaluated the role of iron in NAFLD pathogenesis.","DOI":"10.3748/wjg.v22.i36.8112","ISSN":"1007-9327","note":"PMID: 27688653\nPMCID: PMC5037080","journalAbbreviation":"World J Gastroenterol","author":[{"family":"Britton","given":"Laurence J"},{"family":"Subramaniam","given":"V Nathan"},{"family":"Crawford","given":"Darrell HG"}],"issued":{"date-parts":[["2016",9,28]]}}}],"schema":"https://github.com/citation-style-language/schema/raw/master/csl-citation.json"} </w:instrText>
      </w:r>
      <w:r w:rsidR="00D64018" w:rsidRPr="007F5A49">
        <w:rPr>
          <w:rFonts w:ascii="Book Antiqua" w:hAnsi="Book Antiqua" w:cs="Arial"/>
          <w:sz w:val="24"/>
          <w:szCs w:val="24"/>
          <w:vertAlign w:val="superscript"/>
          <w:lang w:val="en-US"/>
        </w:rPr>
        <w:fldChar w:fldCharType="separate"/>
      </w:r>
      <w:r w:rsidR="00823B39"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79</w:t>
      </w:r>
      <w:r w:rsidR="00D64018" w:rsidRPr="007F5A49">
        <w:rPr>
          <w:rFonts w:ascii="Book Antiqua" w:hAnsi="Book Antiqua" w:cs="Arial"/>
          <w:sz w:val="24"/>
          <w:szCs w:val="24"/>
          <w:vertAlign w:val="superscript"/>
          <w:lang w:val="en-US"/>
        </w:rPr>
        <w:fldChar w:fldCharType="end"/>
      </w:r>
      <w:r w:rsidR="00823B39" w:rsidRPr="007F5A49">
        <w:rPr>
          <w:rFonts w:ascii="Book Antiqua" w:hAnsi="Book Antiqua" w:cs="Arial"/>
          <w:sz w:val="24"/>
          <w:szCs w:val="24"/>
          <w:vertAlign w:val="superscript"/>
          <w:lang w:val="en-US"/>
        </w:rPr>
        <w:t>]</w:t>
      </w:r>
      <w:r w:rsidR="00D64018" w:rsidRPr="007F5A49">
        <w:rPr>
          <w:rFonts w:ascii="Book Antiqua" w:eastAsia="Times New Roman" w:hAnsi="Book Antiqua" w:cs="Arial"/>
          <w:b/>
          <w:bCs/>
          <w:sz w:val="24"/>
          <w:szCs w:val="24"/>
          <w:lang w:val="en-US"/>
        </w:rPr>
        <w:t xml:space="preserve">. </w:t>
      </w:r>
      <w:r w:rsidR="00D64018" w:rsidRPr="007F5A49">
        <w:rPr>
          <w:rFonts w:ascii="Book Antiqua" w:eastAsia="Times New Roman" w:hAnsi="Book Antiqua" w:cs="Arial"/>
          <w:bCs/>
          <w:sz w:val="24"/>
          <w:szCs w:val="24"/>
          <w:lang w:val="en-US"/>
        </w:rPr>
        <w:t xml:space="preserve">Overall, these factors potentiate cellular iron accumulation and </w:t>
      </w:r>
      <w:r w:rsidR="00F375D1" w:rsidRPr="007F5A49">
        <w:rPr>
          <w:rFonts w:ascii="Book Antiqua" w:eastAsia="Times New Roman" w:hAnsi="Book Antiqua" w:cs="Arial"/>
          <w:bCs/>
          <w:sz w:val="24"/>
          <w:szCs w:val="24"/>
          <w:lang w:val="en-US"/>
        </w:rPr>
        <w:t xml:space="preserve">can </w:t>
      </w:r>
      <w:r w:rsidR="00D64018" w:rsidRPr="007F5A49">
        <w:rPr>
          <w:rFonts w:ascii="Book Antiqua" w:eastAsia="Times New Roman" w:hAnsi="Book Antiqua" w:cs="Arial"/>
          <w:bCs/>
          <w:sz w:val="24"/>
          <w:szCs w:val="24"/>
          <w:lang w:val="en-US"/>
        </w:rPr>
        <w:t>accelerate fibrosis progression.</w:t>
      </w:r>
      <w:r w:rsidR="00B40F89" w:rsidRPr="007F5A49">
        <w:rPr>
          <w:rFonts w:ascii="Book Antiqua" w:eastAsia="Times New Roman" w:hAnsi="Book Antiqua" w:cs="Arial"/>
          <w:bCs/>
          <w:sz w:val="24"/>
          <w:szCs w:val="24"/>
          <w:lang w:val="en-US"/>
        </w:rPr>
        <w:t xml:space="preserve"> </w:t>
      </w:r>
      <w:r w:rsidR="004C6560" w:rsidRPr="007F5A49">
        <w:rPr>
          <w:rFonts w:ascii="Book Antiqua" w:eastAsia="Times New Roman" w:hAnsi="Book Antiqua" w:cs="Arial"/>
          <w:bCs/>
          <w:sz w:val="24"/>
          <w:szCs w:val="24"/>
          <w:lang w:val="en-US"/>
        </w:rPr>
        <w:t>A</w:t>
      </w:r>
      <w:r w:rsidR="004C6560" w:rsidRPr="007F5A49">
        <w:rPr>
          <w:rFonts w:ascii="Book Antiqua" w:eastAsia="Times New Roman" w:hAnsi="Book Antiqua" w:cs="Arial"/>
          <w:sz w:val="24"/>
          <w:szCs w:val="24"/>
          <w:lang w:val="en-US"/>
        </w:rPr>
        <w:t xml:space="preserve"> </w:t>
      </w:r>
      <w:r w:rsidR="004C6560" w:rsidRPr="007F5A49">
        <w:rPr>
          <w:rFonts w:ascii="Book Antiqua" w:hAnsi="Book Antiqua" w:cs="Arial"/>
          <w:sz w:val="24"/>
          <w:szCs w:val="24"/>
          <w:lang w:val="en-US"/>
        </w:rPr>
        <w:t xml:space="preserve">combination of excess iron and lipids (which initiates an inflammatory cascade </w:t>
      </w:r>
      <w:r w:rsidR="004C6560" w:rsidRPr="00252606">
        <w:rPr>
          <w:rFonts w:ascii="Book Antiqua" w:hAnsi="Book Antiqua" w:cs="Arial"/>
          <w:i/>
          <w:sz w:val="24"/>
          <w:szCs w:val="24"/>
          <w:lang w:val="en-US"/>
        </w:rPr>
        <w:t>via</w:t>
      </w:r>
      <w:r w:rsidR="004C6560" w:rsidRPr="007F5A49">
        <w:rPr>
          <w:rFonts w:ascii="Book Antiqua" w:hAnsi="Book Antiqua" w:cs="Arial"/>
          <w:sz w:val="24"/>
          <w:szCs w:val="24"/>
          <w:lang w:val="en-US"/>
        </w:rPr>
        <w:t xml:space="preserve"> lipid peroxidation</w:t>
      </w:r>
      <w:r w:rsidR="004C6560"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2qcqskboo3","properties":{"formattedCitation":"(81)","plainCitation":"(81)","noteIndex":0},"citationItems":[{"id":105,"uris":["http://zotero.org/users/2804724/items/VRZSSG75"],"uri":["http://zotero.org/users/2804724/items/VRZSSG75"],"itemData":{"id":105,"type":"article-journal","title":"Insulin resistance-associated hepatic iron overload","container-title":"Gastroenterology","page":"1155-1163","volume":"117","issue":"5","source":"PubMed","abstract":"BACKGROUND &amp; AIMS: Hepatic iron overload has been reported in various metabolic conditions, including the insulin-resistance syndrome (IRS) and nonalcoholic steatohepatitis (NASH). The aim of this study was to show that such hepatic iron overload is part of a unique and unrecognized entity.\nMETHODS: A total of 161 non-C282Y-homozygous patients with unexplained hepatic iron overload were included. We determined the age; sex; presence of IRS (1 or more of the following: body mass index of &gt;25, diabetes, or hyperlipidemia); serum iron tests and liver iron concentration (LIC; reference value, &lt;36 micromol/g); liver function test results; C282Y and H63D HFE mutations; and liver histological status.\nRESULTS: Patients were predominantly male and middle-aged. Most (94%) had IRS. Transferrin saturation was increased in 35% (median, 42%; range, 13%-94%). LIC ranged from 38 to 332 micromol/g (median, 90 micromol/g), and LIC/age ratio ranged from 0.5 to 4.8 (median, 1.8). Allelic frequencies of both HFE mutations were significantly increased compared with values in normal controls (C282Y, 20% vs. 9%; H63D, 30% vs. 17%), only because of a higher prevalence of compound heterozygotes. Patients with no HFE mutations had similar degrees of iron overload as those with other genotypes, except for compound heterozygotes, who had slightly more iron burden. Steatosis was present in 25% of patients and NASH in 27%. Portal fibrosis (grades 0-3) was present in 62% of patients (grade 2 or 3 in 12%) in association with steatosis, inflammation, and increased age. Sex ratio, IRS, transferrin saturation, and LIC did not vary with liver damage. Serum ferritin concentration, liver function test results, and fibrosis grade were more elevated in patients with steatosis and NASH than in others, but LIC and allelic frequencies of HFE mutations were similar.\nCONCLUSIONS: This study shows that patients with unexplained hepatic iron overload are characterized by a mild to moderate iron burden and the nearly constant association of an IRS irrespective of liver damage.","ISSN":"0016-5085","note":"PMID: 10535879","journalAbbreviation":"Gastroenterology","language":"eng","author":[{"family":"Mendler","given":"M. H."},{"family":"Turlin","given":"B."},{"family":"Moirand","given":"R."},{"family":"Jouanolle","given":"A. M."},{"family":"Sapey","given":"T."},{"family":"Guyader","given":"D."},{"family":"Le Gall","given":"J. Y."},{"family":"Brissot","given":"P."},{"family":"David","given":"V."},{"family":"Deugnier","given":"Y."}],"issued":{"date-parts":[["1999",11]]}}}],"schema":"https://github.com/citation-style-language/schema/raw/master/csl-citation.json"} </w:instrText>
      </w:r>
      <w:r w:rsidR="004C6560" w:rsidRPr="007F5A49">
        <w:rPr>
          <w:rFonts w:ascii="Book Antiqua" w:hAnsi="Book Antiqua" w:cs="Arial"/>
          <w:sz w:val="24"/>
          <w:szCs w:val="24"/>
          <w:vertAlign w:val="superscript"/>
          <w:lang w:val="en-US"/>
        </w:rPr>
        <w:fldChar w:fldCharType="separate"/>
      </w:r>
      <w:r w:rsidR="00823B39"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81</w:t>
      </w:r>
      <w:r w:rsidR="004C6560" w:rsidRPr="007F5A49">
        <w:rPr>
          <w:rFonts w:ascii="Book Antiqua" w:hAnsi="Book Antiqua" w:cs="Arial"/>
          <w:sz w:val="24"/>
          <w:szCs w:val="24"/>
          <w:vertAlign w:val="superscript"/>
          <w:lang w:val="en-US"/>
        </w:rPr>
        <w:fldChar w:fldCharType="end"/>
      </w:r>
      <w:r w:rsidR="00823B39" w:rsidRPr="007F5A49">
        <w:rPr>
          <w:rFonts w:ascii="Book Antiqua" w:hAnsi="Book Antiqua" w:cs="Arial"/>
          <w:sz w:val="24"/>
          <w:szCs w:val="24"/>
          <w:vertAlign w:val="superscript"/>
          <w:lang w:val="en-US"/>
        </w:rPr>
        <w:t>]</w:t>
      </w:r>
      <w:r w:rsidR="004C6560" w:rsidRPr="007F5A49">
        <w:rPr>
          <w:rFonts w:ascii="Book Antiqua" w:hAnsi="Book Antiqua" w:cs="Arial"/>
          <w:sz w:val="24"/>
          <w:szCs w:val="24"/>
          <w:lang w:val="en-US"/>
        </w:rPr>
        <w:t>, may exacerbate fibrosis, as the excess of both, lipids and iron can distinctly cause oxidative damage. Accordingly, iron-loaded patients with NASH exhibit higher fibrosis grade and more elevated liver function test results compared to those without NASH</w:t>
      </w:r>
      <w:r w:rsidR="004C6560"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CjCUw27y","properties":{"formattedCitation":"(81)","plainCitation":"(81)","noteIndex":0},"citationItems":[{"id":105,"uris":["http://zotero.org/users/2804724/items/VRZSSG75"],"uri":["http://zotero.org/users/2804724/items/VRZSSG75"],"itemData":{"id":105,"type":"article-journal","title":"Insulin resistance-associated hepatic iron overload","container-title":"Gastroenterology","page":"1155-1163","volume":"117","issue":"5","source":"PubMed","abstract":"BACKGROUND &amp; AIMS: Hepatic iron overload has been reported in various metabolic conditions, including the insulin-resistance syndrome (IRS) and nonalcoholic steatohepatitis (NASH). The aim of this study was to show that such hepatic iron overload is part of a unique and unrecognized entity.\nMETHODS: A total of 161 non-C282Y-homozygous patients with unexplained hepatic iron overload were included. We determined the age; sex; presence of IRS (1 or more of the following: body mass index of &gt;25, diabetes, or hyperlipidemia); serum iron tests and liver iron concentration (LIC; reference value, &lt;36 micromol/g); liver function test results; C282Y and H63D HFE mutations; and liver histological status.\nRESULTS: Patients were predominantly male and middle-aged. Most (94%) had IRS. Transferrin saturation was increased in 35% (median, 42%; range, 13%-94%). LIC ranged from 38 to 332 micromol/g (median, 90 micromol/g), and LIC/age ratio ranged from 0.5 to 4.8 (median, 1.8). Allelic frequencies of both HFE mutations were significantly increased compared with values in normal controls (C282Y, 20% vs. 9%; H63D, 30% vs. 17%), only because of a higher prevalence of compound heterozygotes. Patients with no HFE mutations had similar degrees of iron overload as those with other genotypes, except for compound heterozygotes, who had slightly more iron burden. Steatosis was present in 25% of patients and NASH in 27%. Portal fibrosis (grades 0-3) was present in 62% of patients (grade 2 or 3 in 12%) in association with steatosis, inflammation, and increased age. Sex ratio, IRS, transferrin saturation, and LIC did not vary with liver damage. Serum ferritin concentration, liver function test results, and fibrosis grade were more elevated in patients with steatosis and NASH than in others, but LIC and allelic frequencies of HFE mutations were similar.\nCONCLUSIONS: This study shows that patients with unexplained hepatic iron overload are characterized by a mild to moderate iron burden and the nearly constant association of an IRS irrespective of liver damage.","ISSN":"0016-5085","note":"PMID: 10535879","journalAbbreviation":"Gastroenterology","language":"eng","author":[{"family":"Mendler","given":"M. H."},{"family":"Turlin","given":"B."},{"family":"Moirand","given":"R."},{"family":"Jouanolle","given":"A. M."},{"family":"Sapey","given":"T."},{"family":"Guyader","given":"D."},{"family":"Le Gall","given":"J. Y."},{"family":"Brissot","given":"P."},{"family":"David","given":"V."},{"family":"Deugnier","given":"Y."}],"issued":{"date-parts":[["1999",11]]}}}],"schema":"https://github.com/citation-style-language/schema/raw/master/csl-citation.json"} </w:instrText>
      </w:r>
      <w:r w:rsidR="004C6560" w:rsidRPr="007F5A49">
        <w:rPr>
          <w:rFonts w:ascii="Book Antiqua" w:hAnsi="Book Antiqua" w:cs="Arial"/>
          <w:sz w:val="24"/>
          <w:szCs w:val="24"/>
          <w:vertAlign w:val="superscript"/>
          <w:lang w:val="en-US"/>
        </w:rPr>
        <w:fldChar w:fldCharType="separate"/>
      </w:r>
      <w:r w:rsidR="00823B39"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81</w:t>
      </w:r>
      <w:r w:rsidR="004C6560" w:rsidRPr="007F5A49">
        <w:rPr>
          <w:rFonts w:ascii="Book Antiqua" w:hAnsi="Book Antiqua" w:cs="Arial"/>
          <w:sz w:val="24"/>
          <w:szCs w:val="24"/>
          <w:vertAlign w:val="superscript"/>
          <w:lang w:val="en-US"/>
        </w:rPr>
        <w:fldChar w:fldCharType="end"/>
      </w:r>
      <w:r w:rsidR="00823B39" w:rsidRPr="007F5A49">
        <w:rPr>
          <w:rFonts w:ascii="Book Antiqua" w:hAnsi="Book Antiqua" w:cs="Arial"/>
          <w:sz w:val="24"/>
          <w:szCs w:val="24"/>
          <w:vertAlign w:val="superscript"/>
          <w:lang w:val="en-US"/>
        </w:rPr>
        <w:t>]</w:t>
      </w:r>
      <w:r w:rsidR="004C6560" w:rsidRPr="007F5A49">
        <w:rPr>
          <w:rFonts w:ascii="Book Antiqua" w:hAnsi="Book Antiqua" w:cs="Arial"/>
          <w:sz w:val="24"/>
          <w:szCs w:val="24"/>
          <w:lang w:val="en-US"/>
        </w:rPr>
        <w:t>.</w:t>
      </w:r>
      <w:r w:rsidR="004C6560" w:rsidRPr="007F5A49">
        <w:rPr>
          <w:rFonts w:ascii="Book Antiqua" w:eastAsia="Times New Roman" w:hAnsi="Book Antiqua" w:cs="Arial"/>
          <w:sz w:val="24"/>
          <w:szCs w:val="24"/>
          <w:lang w:val="en-US"/>
        </w:rPr>
        <w:t xml:space="preserve"> Thus, i</w:t>
      </w:r>
      <w:r w:rsidR="004C6560" w:rsidRPr="007F5A49">
        <w:rPr>
          <w:rFonts w:ascii="Book Antiqua" w:hAnsi="Book Antiqua" w:cs="Arial"/>
          <w:sz w:val="24"/>
          <w:szCs w:val="24"/>
          <w:lang w:val="en-US"/>
        </w:rPr>
        <w:t>ron has a pathogenic role in NAFLD and is amongst the many factors that determine progression from NASH to fibrosis</w:t>
      </w:r>
      <w:r w:rsidR="004C6560"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19o4n1vvv7","properties":{"formattedCitation":"(79)","plainCitation":"(79)","noteIndex":0},"citationItems":[{"id":287,"uris":["http://zotero.org/users/2804724/items/V473K37H"],"uri":["http://zotero.org/users/2804724/items/V473K37H"],"itemData":{"id":287,"type":"article-journal","title":"Iron and non-alcoholic fatty liver disease","container-title":"World Journal of Gastroenterology","page":"8112-8122","volume":"22","issue":"36","source":"PubMed Central","abstract":"The mechanisms that promote liver injury in non-alcoholic fatty liver disease (NAFLD) are yet to be thoroughly elucidated. As such, effective treatment strategies are lacking and novel therapeutic targets are required. Iron has been widely implicated in the pathogenesis of NAFLD and represents a potential target for treatment. Relationships between serum ferritin concentration and NAFLD are noted in a majority of studies, although serum ferritin is an imprecise measure of iron loading. Numerous mechanisms for a pathogenic role of hepatic iron in NAFLD have been demonstrated in animal and cell culture models. However, the human data linking hepatic iron to liver injury in NAFLD is less clear, with seemingly conflicting evidence, supporting either an effect of iron in hepatocytes or within reticulo-endothelial cells. Adipose tissue has emerged as a key site at which iron may have a pathogenic role in NAFLD. Evidence for this comes indirectly from studies that have evaluated the role of adipose tissue iron with respect to insulin resistance. Adding further complexity, multiple strands of evidence support an effect of NAFLD itself on iron metabolism. In this review, we summarise the human and basic science data that has evaluated the role of iron in NAFLD pathogenesis.","DOI":"10.3748/wjg.v22.i36.8112","ISSN":"1007-9327","note":"PMID: 27688653\nPMCID: PMC5037080","journalAbbreviation":"World J Gastroenterol","author":[{"family":"Britton","given":"Laurence J"},{"family":"Subramaniam","given":"V Nathan"},{"family":"Crawford","given":"Darrell HG"}],"issued":{"date-parts":[["2016",9,28]]}}}],"schema":"https://github.com/citation-style-language/schema/raw/master/csl-citation.json"} </w:instrText>
      </w:r>
      <w:r w:rsidR="004C6560" w:rsidRPr="007F5A49">
        <w:rPr>
          <w:rFonts w:ascii="Book Antiqua" w:hAnsi="Book Antiqua" w:cs="Arial"/>
          <w:sz w:val="24"/>
          <w:szCs w:val="24"/>
          <w:vertAlign w:val="superscript"/>
          <w:lang w:val="en-US"/>
        </w:rPr>
        <w:fldChar w:fldCharType="separate"/>
      </w:r>
      <w:r w:rsidR="00823B39"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79</w:t>
      </w:r>
      <w:r w:rsidR="004C6560" w:rsidRPr="007F5A49">
        <w:rPr>
          <w:rFonts w:ascii="Book Antiqua" w:hAnsi="Book Antiqua" w:cs="Arial"/>
          <w:sz w:val="24"/>
          <w:szCs w:val="24"/>
          <w:vertAlign w:val="superscript"/>
          <w:lang w:val="en-US"/>
        </w:rPr>
        <w:fldChar w:fldCharType="end"/>
      </w:r>
      <w:r w:rsidR="00823B39" w:rsidRPr="007F5A49">
        <w:rPr>
          <w:rFonts w:ascii="Book Antiqua" w:hAnsi="Book Antiqua" w:cs="Arial"/>
          <w:sz w:val="24"/>
          <w:szCs w:val="24"/>
          <w:vertAlign w:val="superscript"/>
          <w:lang w:val="en-US"/>
        </w:rPr>
        <w:t>]</w:t>
      </w:r>
      <w:r w:rsidR="004C6560" w:rsidRPr="007F5A49">
        <w:rPr>
          <w:rFonts w:ascii="Book Antiqua" w:hAnsi="Book Antiqua" w:cs="Arial"/>
          <w:sz w:val="24"/>
          <w:szCs w:val="24"/>
          <w:lang w:val="en-US"/>
        </w:rPr>
        <w:t>.</w:t>
      </w:r>
      <w:r w:rsidR="004C6560" w:rsidRPr="007F5A49">
        <w:rPr>
          <w:rFonts w:ascii="Book Antiqua" w:eastAsia="Times New Roman" w:hAnsi="Book Antiqua" w:cs="Arial"/>
          <w:sz w:val="24"/>
          <w:szCs w:val="24"/>
          <w:lang w:val="en-US"/>
        </w:rPr>
        <w:t xml:space="preserve"> </w:t>
      </w:r>
    </w:p>
    <w:p w14:paraId="30800FFF" w14:textId="7605D400" w:rsidR="004C6560" w:rsidRPr="007F5A49" w:rsidRDefault="00C04BB2" w:rsidP="007F5A49">
      <w:pPr>
        <w:adjustRightInd w:val="0"/>
        <w:snapToGrid w:val="0"/>
        <w:spacing w:after="0" w:line="360" w:lineRule="auto"/>
        <w:jc w:val="both"/>
        <w:rPr>
          <w:rFonts w:ascii="Book Antiqua" w:eastAsia="Times New Roman" w:hAnsi="Book Antiqua" w:cs="Arial"/>
          <w:sz w:val="24"/>
          <w:szCs w:val="24"/>
          <w:lang w:val="en-US"/>
        </w:rPr>
      </w:pPr>
      <w:r>
        <w:rPr>
          <w:rFonts w:ascii="Book Antiqua" w:eastAsia="Times New Roman" w:hAnsi="Book Antiqua" w:cs="Arial"/>
          <w:sz w:val="24"/>
          <w:szCs w:val="24"/>
          <w:lang w:val="en-US"/>
        </w:rPr>
        <w:t xml:space="preserve">  </w:t>
      </w:r>
      <w:r w:rsidR="004C6560" w:rsidRPr="007F5A49">
        <w:rPr>
          <w:rFonts w:ascii="Book Antiqua" w:eastAsia="Times New Roman" w:hAnsi="Book Antiqua" w:cs="Arial"/>
          <w:sz w:val="24"/>
          <w:szCs w:val="24"/>
          <w:lang w:val="en-US"/>
        </w:rPr>
        <w:t>However, in some NAFLD/NASH cases, LIC may not be associated with increased fibrosis</w:t>
      </w:r>
      <w:r w:rsidR="004C6560" w:rsidRPr="007F5A49">
        <w:rPr>
          <w:rFonts w:ascii="Book Antiqua" w:eastAsia="Times New Roman" w:hAnsi="Book Antiqua" w:cs="Arial"/>
          <w:sz w:val="24"/>
          <w:szCs w:val="24"/>
          <w:vertAlign w:val="superscript"/>
          <w:lang w:val="en-US"/>
        </w:rPr>
        <w:fldChar w:fldCharType="begin"/>
      </w:r>
      <w:r w:rsidR="00D2645C" w:rsidRPr="007F5A49">
        <w:rPr>
          <w:rFonts w:ascii="Book Antiqua" w:eastAsia="Times New Roman" w:hAnsi="Book Antiqua" w:cs="Arial"/>
          <w:sz w:val="24"/>
          <w:szCs w:val="24"/>
          <w:vertAlign w:val="superscript"/>
          <w:lang w:val="en-US"/>
        </w:rPr>
        <w:instrText xml:space="preserve"> ADDIN ZOTERO_ITEM CSL_CITATION {"citationID":"fEwc38nn","properties":{"formattedCitation":"(82)","plainCitation":"(82)","noteIndex":0},"citationItems":[{"id":294,"uris":["http://zotero.org/users/2804724/items/DH9VMCZR"],"uri":["http://zotero.org/users/2804724/items/DH9VMCZR"],"itemData":{"id":294,"type":"article-journal","title":"Relative contribution of iron burden, HFE mutations, and insulin resistance to fibrosis in nonalcoholic fatty liver","container-title":"Hepatology (Baltimore, Md.)","page":"179-187","volume":"39","issue":"1","source":"PubMed","abstract":"The mechanism(s) determining the progression from fatty liver to steatohepatitis is currently unknown. Our goal was to define the relative impact of iron overload, genetic mutations of HFE, and insulin resistance on the severity of liver fibrosis in a population of subjects with nonalcoholic fatty liver disease (NAFLD) who had low prevalence of obesity and no overt symptoms of diabetes. In a cohort of 263 prospectively enrolled patients with NAFLD, 7.4% of patients had signs of peripheral iron overload and 9% had signs of hepatic iron overload, but 21.1% had hyperferritinemia. The prevalence of C282Y and H63D HFE mutations was similar to the general population and mutations were not associated with iron overload. Although subjects were on average only moderately overweight, insulin sensitivity, measured both in the fasting state and in response to oral glucose, was lower. Univariate analysis demonstrated that the presence of severe fibrosis was independently associated with older age, female sex, overweight, aspartate/alanine aminotransferase ratio, serum ferritin level, fasting glucose and insulin levels, decreased insulin sensitivity, and with histologic features (degree of necroinflammation and steatosis). After adjustment for body mass index (BMI), age, sex, and degree of steatosis, ferritin levels (odds ratio [OR] = 1.77; 95% CI = 1.21- 2.58; P =.0032) and the oral glucose insulin sensitivity (OR = 0.53; CI = 0.33-0.87; P =.0113) were independent predictors of severe fibrosis. In conclusion, the current study indicates that insulin resistance is a major, independent risk factor for advanced fibrosis in patients with NAFLD. Increased ferritin levels are markers of severe histologic damage, but not of iron overload. Iron burden and HFE mutations do not contribute significantly to hepatic fibrosis in the majority of patients with NAFLD.","DOI":"10.1002/hep.20023","ISSN":"0270-9139","note":"PMID: 14752836","journalAbbreviation":"Hepatology","language":"eng","author":[{"family":"Bugianesi","given":"Elisabetta"},{"family":"Manzini","given":"Paola"},{"family":"D'Antico","given":"Sergio"},{"family":"Vanni","given":"Ester"},{"family":"Longo","given":"Filomena"},{"family":"Leone","given":"Nicola"},{"family":"Massarenti","given":"Paola"},{"family":"Piga","given":"Antonio"},{"family":"Marchesini","given":"Giulio"},{"family":"Rizzetto","given":"Mario"}],"issued":{"date-parts":[["2004",1]]}}}],"schema":"https://github.com/citation-style-language/schema/raw/master/csl-citation.json"} </w:instrText>
      </w:r>
      <w:r w:rsidR="004C6560" w:rsidRPr="007F5A49">
        <w:rPr>
          <w:rFonts w:ascii="Book Antiqua" w:eastAsia="Times New Roman" w:hAnsi="Book Antiqua" w:cs="Arial"/>
          <w:sz w:val="24"/>
          <w:szCs w:val="24"/>
          <w:vertAlign w:val="superscript"/>
          <w:lang w:val="en-US"/>
        </w:rPr>
        <w:fldChar w:fldCharType="separate"/>
      </w:r>
      <w:r w:rsidR="00623A65"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82</w:t>
      </w:r>
      <w:r w:rsidR="004C6560" w:rsidRPr="007F5A49">
        <w:rPr>
          <w:rFonts w:ascii="Book Antiqua" w:eastAsia="Times New Roman" w:hAnsi="Book Antiqua" w:cs="Arial"/>
          <w:sz w:val="24"/>
          <w:szCs w:val="24"/>
          <w:vertAlign w:val="superscript"/>
          <w:lang w:val="en-US"/>
        </w:rPr>
        <w:fldChar w:fldCharType="end"/>
      </w:r>
      <w:r w:rsidR="00623A65" w:rsidRPr="007F5A49">
        <w:rPr>
          <w:rFonts w:ascii="Book Antiqua" w:eastAsia="Times New Roman" w:hAnsi="Book Antiqua" w:cs="Arial"/>
          <w:sz w:val="24"/>
          <w:szCs w:val="24"/>
          <w:vertAlign w:val="superscript"/>
          <w:lang w:val="en-US"/>
        </w:rPr>
        <w:t>]</w:t>
      </w:r>
      <w:r w:rsidR="004C6560" w:rsidRPr="007F5A49">
        <w:rPr>
          <w:rFonts w:ascii="Book Antiqua" w:eastAsia="Times New Roman" w:hAnsi="Book Antiqua" w:cs="Arial"/>
          <w:sz w:val="24"/>
          <w:szCs w:val="24"/>
          <w:lang w:val="en-US"/>
        </w:rPr>
        <w:t>. Along the same line, i</w:t>
      </w:r>
      <w:r w:rsidR="004C6560" w:rsidRPr="007F5A49">
        <w:rPr>
          <w:rFonts w:ascii="Book Antiqua" w:hAnsi="Book Antiqua" w:cs="Arial"/>
          <w:sz w:val="24"/>
          <w:szCs w:val="24"/>
          <w:lang w:val="en-US"/>
        </w:rPr>
        <w:t xml:space="preserve">n haemochromatosis patients heterozygous for the compound C282Y/H63D </w:t>
      </w:r>
      <w:r w:rsidR="004C6560" w:rsidRPr="007F5A49">
        <w:rPr>
          <w:rFonts w:ascii="Book Antiqua" w:hAnsi="Book Antiqua" w:cs="Arial"/>
          <w:i/>
          <w:sz w:val="24"/>
          <w:szCs w:val="24"/>
          <w:lang w:val="en-US"/>
        </w:rPr>
        <w:t>HFE</w:t>
      </w:r>
      <w:r w:rsidR="004C6560" w:rsidRPr="007F5A49">
        <w:rPr>
          <w:rFonts w:ascii="Book Antiqua" w:hAnsi="Book Antiqua" w:cs="Arial"/>
          <w:sz w:val="24"/>
          <w:szCs w:val="24"/>
          <w:lang w:val="en-US"/>
        </w:rPr>
        <w:t xml:space="preserve"> mutation, fatty liver and metabolic syndrome were not directly associated with hepatic fibrosis</w:t>
      </w:r>
      <w:r w:rsidR="004C6560"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1ui0jsvtmj","properties":{"formattedCitation":"(83)","plainCitation":"(83)","noteIndex":0},"citationItems":[{"id":"z1PZoHrb/gyAwi4Qn","uris":["http://zotero.org/users/4222068/items/KQFXMRIK"],"uri":["http://zotero.org/users/4222068/items/KQFXMRIK"],"itemData":{"id":1217,"type":"article-journal","title":"The effect of the metabolic syndrome, hepatic steatosis and steatohepatitis on liver fibrosis in hereditary hemochromatosis","container-title":"Liver International: Official Journal of the International Association for the Study of the Liver","page":"298-304","volume":"26","issue":"3","source":"PubMed","abstract":"OBJECTIVES: The variability in phenotypic expression of hereditary hemochromatosis (HH) is not fully understood. We sought to examine whether the metabolic syndrome, hepatic steatosis or steatohepatitis influenced hepatic fibrosis among patients with HH and iron overload.\nMETHODS: We identified 86 patients with C282Y/C282Y or C282Y/H63D HH and iron overload (hepatic iron concentration (HIC) &gt;2,200 microg/g for males, &gt;1,600 microg/g for females). Features of the metabolic syndrome were assessed at the time of liver biopsy. Biopsies were scored by a blinded pathologist. Significant fibrosis was defined as peri-portal fibrosis or greater.\nRESULTS: The mean (+/-SD) age of the study population was 53+/-12 years and 68 (79%) were male. The median (range) values of ferritin and HIC were 1,125 (253-9,530) microg/l and 9963 (1926-50 887) microg/g, respectively. The metabolic syndrome was present in 23 (27%), hepatic steatosis in 43 (50%), steatohepatitis in 18 (21%) and significant fibrosis in 38 (44%). Overall, neither the metabolic syndrome nor any of its components were associated with significant fibrosis or a higher mean fibrosis stage. Hepatic steatosis but not steatohepatitis was associated with a lower fibrosis stage. C282Y/H63D compound heterozygous individuals who had glucose intolerance had more severe fibrosis compared with those without glucose intolerance (1.0+/-1.0 vs. 0.1+/-0.3, P=0.01).\nCONCLUSIONS: Overall, the metabolic syndrome and fatty liver were not associated with hepatic fibrosis among individuals with HH and iron overload. However, glucose intolerance may be important risk factor for the development of hepatic fibrosis in subjects with the C282Y/H63D HFE genotype.","DOI":"10.1111/j.1478-3231.2005.01238.x","ISSN":"1478-3223","note":"PMID: 16584391","journalAbbreviation":"Liver Int.","language":"eng","author":[{"family":"Adams","given":"Leon A."},{"family":"Angulo","given":"Paul"},{"family":"Abraham","given":"Susan C."},{"family":"Torgerson","given":"Heidi"},{"family":"Brandhagen","given":"David"}],"issued":{"date-parts":[["2006",4]]}}}],"schema":"https://github.com/citation-style-language/schema/raw/master/csl-citation.json"} </w:instrText>
      </w:r>
      <w:r w:rsidR="004C6560" w:rsidRPr="007F5A49">
        <w:rPr>
          <w:rFonts w:ascii="Book Antiqua" w:hAnsi="Book Antiqua" w:cs="Arial"/>
          <w:sz w:val="24"/>
          <w:szCs w:val="24"/>
          <w:vertAlign w:val="superscript"/>
          <w:lang w:val="en-US"/>
        </w:rPr>
        <w:fldChar w:fldCharType="separate"/>
      </w:r>
      <w:r w:rsidR="00623A65"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83</w:t>
      </w:r>
      <w:r w:rsidR="004C6560" w:rsidRPr="007F5A49">
        <w:rPr>
          <w:rFonts w:ascii="Book Antiqua" w:hAnsi="Book Antiqua" w:cs="Arial"/>
          <w:sz w:val="24"/>
          <w:szCs w:val="24"/>
          <w:vertAlign w:val="superscript"/>
          <w:lang w:val="en-US"/>
        </w:rPr>
        <w:fldChar w:fldCharType="end"/>
      </w:r>
      <w:r w:rsidR="00623A65" w:rsidRPr="007F5A49">
        <w:rPr>
          <w:rFonts w:ascii="Book Antiqua" w:hAnsi="Book Antiqua" w:cs="Arial"/>
          <w:sz w:val="24"/>
          <w:szCs w:val="24"/>
          <w:vertAlign w:val="superscript"/>
          <w:lang w:val="en-US"/>
        </w:rPr>
        <w:t>]</w:t>
      </w:r>
      <w:r w:rsidR="004C6560" w:rsidRPr="007F5A49">
        <w:rPr>
          <w:rFonts w:ascii="Book Antiqua" w:eastAsia="Times New Roman" w:hAnsi="Book Antiqua" w:cs="Arial"/>
          <w:sz w:val="24"/>
          <w:szCs w:val="24"/>
          <w:lang w:val="en-US"/>
        </w:rPr>
        <w:t xml:space="preserve">. Such observations are confounded by </w:t>
      </w:r>
      <w:r w:rsidR="004C6560" w:rsidRPr="007F5A49">
        <w:rPr>
          <w:rFonts w:ascii="Book Antiqua" w:hAnsi="Book Antiqua" w:cs="Arial"/>
          <w:sz w:val="24"/>
          <w:szCs w:val="24"/>
          <w:lang w:val="en-US"/>
        </w:rPr>
        <w:t xml:space="preserve">conflicting opinions on the significance of hepatocellular and macrophagic iron in NAFLD-related fibrosis. Some studies suggest that increased macrophagic iron </w:t>
      </w:r>
      <w:r w:rsidR="004C6560" w:rsidRPr="007F5A49">
        <w:rPr>
          <w:rFonts w:ascii="Book Antiqua" w:hAnsi="Book Antiqua" w:cs="Arial"/>
          <w:sz w:val="24"/>
          <w:szCs w:val="24"/>
          <w:lang w:val="en-US"/>
        </w:rPr>
        <w:lastRenderedPageBreak/>
        <w:t xml:space="preserve">cause macrophage and HSC activation, and it is primarily responsible for </w:t>
      </w:r>
      <w:r w:rsidR="003A28C6" w:rsidRPr="007F5A49">
        <w:rPr>
          <w:rFonts w:ascii="Book Antiqua" w:hAnsi="Book Antiqua" w:cs="Arial"/>
          <w:sz w:val="24"/>
          <w:szCs w:val="24"/>
          <w:lang w:val="en-US"/>
        </w:rPr>
        <w:t xml:space="preserve">increased </w:t>
      </w:r>
      <w:r w:rsidR="004C6560" w:rsidRPr="007F5A49">
        <w:rPr>
          <w:rFonts w:ascii="Book Antiqua" w:hAnsi="Book Antiqua" w:cs="Arial"/>
          <w:sz w:val="24"/>
          <w:szCs w:val="24"/>
          <w:lang w:val="en-US"/>
        </w:rPr>
        <w:t>risk of advanced fibrosis in NAFLD</w:t>
      </w:r>
      <w:r w:rsidR="004C6560"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nRzIhtjN","properties":{"formattedCitation":"(2,84)","plainCitation":"(2,84)","noteIndex":0},"citationItems":[{"id":"z1PZoHrb/AG6ANrHo","uris":["http://zotero.org/users/4222068/items/B4ILEK6N"],"uri":["http://zotero.org/users/4222068/items/B4ILEK6N"],"itemData":{"id":1732,"type":"article-journal","title":"Iron Overload in Patients With Chronic Liver Disease","container-title":"Gastroenterology &amp; Hepatology","page":"695-698","volume":"12","issue":"11","source":"PubMed Central","ISSN":"1554-7914","note":"PMID: 28035198\nPMCID: PMC5193089","journalAbbreviation":"Gastroenterol Hepatol (N Y)","author":[{"family":"Kowdley","given":"Kris V."}],"issued":{"date-parts":[["2016",11]]}}},{"id":"z1PZoHrb/741rArE7","uris":["http://zotero.org/users/4222068/items/XWECJQJU"],"uri":["http://zotero.org/users/4222068/items/XWECJQJU"],"itemData":{"id":1721,"type":"article-journal","title":"Relationship between the pattern of hepatic iron deposition and histological severity in nonalcoholic fatty liver disease","container-title":"Hepatology (Baltimore, Md.)","page":"448-457","volume":"53","issue":"2","source":"PubMed","abstract":"Previous studies examining the relationship between hepatic iron deposition and histological severity in nonalcoholic fatty liver disease (NAFLD) have been inconclusive. The goal of this study was to examine the relationship between hepatic iron deposition and liver histology in 849 patients enrolled in the Nonalcoholic Steatohepatitis Clinical Research Network. Hepatic iron staining was performed in a central laboratory, and the stains were scored for grade and cellular and parenchymal localization by a central pathology committee; the relationship between the grade and pattern of iron deposition and the clinical, laboratory, and histological variables was examined with univariate and multivariate analyses. Stainable hepatic iron was present in 293 of 849 patients (34.5%) in one of three histological patterns: a hepatocellular (HC) pattern [63/849 (7.4%)], a reticuloendothelial system (RES) cell pattern [91/849 (10.7%)], or a mixed RES/HC pattern [139/849 (16.4%)]. Patients with the RES iron-staining pattern were more likely to have advanced fibrosis compared to those with those with HC iron (P = 0.01). Patients with RES iron were also more likely to have advanced histological features such as fibrosis (P = 0.049), portal inflammation (P = 0.002), HC ballooning (P = 0.006), and definite nonalcoholic steatohepatitis (P = 0.007) compared to those with patients with HC or mixed iron patterns. The presence of RES iron (odds ratio = 1.60, 95% confidence interval = 1.10-2.33, P = 0.015) was independently associated with advanced hepatic fibrosis on multiple regression analysis after adjustments for age, gender, diabetes status, and body mass index.\nCONCLUSION: The presence and pattern of hepatic iron deposition are associated with distinct histological features in patients with NAFLD and may have implications for pathophysiology and therapy.","DOI":"10.1002/hep.24038","ISSN":"1527-3350","note":"PMID: 21274866\nPMCID: PMC3058264","journalAbbreviation":"Hepatology","language":"eng","author":[{"family":"Nelson","given":"James E."},{"family":"Wilson","given":"Laura"},{"family":"Brunt","given":"Elizabeth M."},{"family":"Yeh","given":"Matthew M."},{"family":"Kleiner","given":"David E."},{"family":"Unalp-Arida","given":"Aynur"},{"family":"Kowdley","given":"Kris V."},{"literal":"Nonalcoholic Steatohepatitis Clinical Research Network"}],"issued":{"date-parts":[["2011",2]]}}}],"schema":"https://github.com/citation-style-language/schema/raw/master/csl-citation.json"} </w:instrText>
      </w:r>
      <w:r w:rsidR="004C6560" w:rsidRPr="007F5A49">
        <w:rPr>
          <w:rFonts w:ascii="Book Antiqua" w:hAnsi="Book Antiqua" w:cs="Arial"/>
          <w:sz w:val="24"/>
          <w:szCs w:val="24"/>
          <w:vertAlign w:val="superscript"/>
          <w:lang w:val="en-US"/>
        </w:rPr>
        <w:fldChar w:fldCharType="separate"/>
      </w:r>
      <w:r w:rsidR="00623A65"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2,84</w:t>
      </w:r>
      <w:r w:rsidR="004C6560" w:rsidRPr="007F5A49">
        <w:rPr>
          <w:rFonts w:ascii="Book Antiqua" w:hAnsi="Book Antiqua" w:cs="Arial"/>
          <w:sz w:val="24"/>
          <w:szCs w:val="24"/>
          <w:vertAlign w:val="superscript"/>
          <w:lang w:val="en-US"/>
        </w:rPr>
        <w:fldChar w:fldCharType="end"/>
      </w:r>
      <w:r w:rsidR="00623A65" w:rsidRPr="007F5A49">
        <w:rPr>
          <w:rFonts w:ascii="Book Antiqua" w:hAnsi="Book Antiqua" w:cs="Arial"/>
          <w:sz w:val="24"/>
          <w:szCs w:val="24"/>
          <w:vertAlign w:val="superscript"/>
          <w:lang w:val="en-US"/>
        </w:rPr>
        <w:t>]</w:t>
      </w:r>
      <w:r w:rsidR="004C6560" w:rsidRPr="007F5A49">
        <w:rPr>
          <w:rFonts w:ascii="Book Antiqua" w:hAnsi="Book Antiqua" w:cs="Arial"/>
          <w:sz w:val="24"/>
          <w:szCs w:val="24"/>
          <w:lang w:val="en-US"/>
        </w:rPr>
        <w:t>. Others suggest that hepatocellular iron, rather than macrophagic iron, poses a higher risk of fibrosis</w:t>
      </w:r>
      <w:r w:rsidR="004C6560"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fiueb2b4j","properties":{"formattedCitation":"(85)","plainCitation":"(85)","noteIndex":0},"citationItems":[{"id":296,"uris":["http://zotero.org/users/2804724/items/KBIGWWG4"],"uri":["http://zotero.org/users/2804724/items/KBIGWWG4"],"itemData":{"id":296,"type":"article-journal","title":"HFE genotype, parenchymal iron accumulation, and liver fibrosis in patients with nonalcoholic fatty liver disease","container-title":"Gastroenterology","page":"905-912","volume":"138","issue":"3","source":"PubMed","abstract":"BACKGROUND &amp; AIMS: Mutations in the hemochromatosis gene (HFE) (C282Y and H63D) lead to parenchymal iron accumulation, hemochromatosis, and liver damage. We investigated whether these factors also contribute to the progression of fibrosis in patients with nonalcoholic fatty liver disease (NAFLD).\nMETHODS: We studied clinical, histologic (liver biopsy samples for hepatocellular iron accumulation), serologic (iron and enzyme levels), and genetic (HFE genotype) data from 587 patients from Italy with NAFLD and 184 control subjects.\nRESULTS: Iron accumulation predominantly in hepatocyes was associated with a 1.7-fold higher risk of a fibrosis stage greater than 1 (95% confidence interval [CI]: 1.2-2.3), compared with the absence of siderosis (after adjustment for age, body mass index, glucose tolerance status, and alanine aminotransferase level). Nonparenchymal/mixed siderosis was not associated with moderate/severe fibrosis (odds ratio, 0.72; 95% CI: 0.50-1.01). Hepatocellular siderosis was more prevalent in patients with HFE mutations than in those without; approximately one third of patients with HFE mutations had parenchymal iron accumulation (range, 29.8%-35.7%, depending on HFE genotype). Predominantly hepatocellular iron accumulation occurred in 52.7% of cases of patients with HFE mutations. There was no significant association between either the presence of HFE mutations or specific HFE genotypes and the severity of liver fibrosis.\nCONCLUSIONS: Iron deposition predominantly in hepatocyes is associated with more severe liver damage in patients with NAFLD. However, HFE mutations cannot be used to identify patients with hepatocellular iron accumulation.","DOI":"10.1053/j.gastro.2009.11.013","ISSN":"1528-0012","note":"PMID: 19931264","journalAbbreviation":"Gastroenterology","language":"eng","author":[{"family":"Valenti","given":"Luca"},{"family":"Fracanzani","given":"Anna Ludovica"},{"family":"Bugianesi","given":"Elisabetta"},{"family":"Dongiovanni","given":"Paola"},{"family":"Galmozzi","given":"Enrico"},{"family":"Vanni","given":"Ester"},{"family":"Canavesi","given":"Elena"},{"family":"Lattuada","given":"Ezio"},{"family":"Roviaro","given":"Giancarlo"},{"family":"Marchesini","given":"Giulio"},{"family":"Fargion","given":"Silvia"}],"issued":{"date-parts":[["2010",3]]}}}],"schema":"https://github.com/citation-style-language/schema/raw/master/csl-citation.json"} </w:instrText>
      </w:r>
      <w:r w:rsidR="004C6560" w:rsidRPr="007F5A49">
        <w:rPr>
          <w:rFonts w:ascii="Book Antiqua" w:hAnsi="Book Antiqua" w:cs="Arial"/>
          <w:sz w:val="24"/>
          <w:szCs w:val="24"/>
          <w:vertAlign w:val="superscript"/>
          <w:lang w:val="en-US"/>
        </w:rPr>
        <w:fldChar w:fldCharType="separate"/>
      </w:r>
      <w:r w:rsidR="00623A65"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85</w:t>
      </w:r>
      <w:r w:rsidR="004C6560" w:rsidRPr="007F5A49">
        <w:rPr>
          <w:rFonts w:ascii="Book Antiqua" w:hAnsi="Book Antiqua" w:cs="Arial"/>
          <w:sz w:val="24"/>
          <w:szCs w:val="24"/>
          <w:vertAlign w:val="superscript"/>
          <w:lang w:val="en-US"/>
        </w:rPr>
        <w:fldChar w:fldCharType="end"/>
      </w:r>
      <w:r w:rsidR="00623A65" w:rsidRPr="007F5A49">
        <w:rPr>
          <w:rFonts w:ascii="Book Antiqua" w:hAnsi="Book Antiqua" w:cs="Arial"/>
          <w:sz w:val="24"/>
          <w:szCs w:val="24"/>
          <w:vertAlign w:val="superscript"/>
          <w:lang w:val="en-US"/>
        </w:rPr>
        <w:t>]</w:t>
      </w:r>
      <w:r w:rsidR="004C6560" w:rsidRPr="007F5A49">
        <w:rPr>
          <w:rFonts w:ascii="Book Antiqua" w:eastAsia="Times New Roman" w:hAnsi="Book Antiqua" w:cs="Arial"/>
          <w:sz w:val="24"/>
          <w:szCs w:val="24"/>
          <w:lang w:val="en-US"/>
        </w:rPr>
        <w:t xml:space="preserve">. </w:t>
      </w:r>
    </w:p>
    <w:p w14:paraId="6090FDAA" w14:textId="5E721F12" w:rsidR="004C6560" w:rsidRPr="007F5A49" w:rsidRDefault="00C04BB2" w:rsidP="007F5A49">
      <w:pPr>
        <w:adjustRightInd w:val="0"/>
        <w:snapToGrid w:val="0"/>
        <w:spacing w:after="0" w:line="360" w:lineRule="auto"/>
        <w:jc w:val="both"/>
        <w:rPr>
          <w:rFonts w:ascii="Book Antiqua" w:hAnsi="Book Antiqua" w:cs="Arial"/>
          <w:sz w:val="24"/>
          <w:szCs w:val="24"/>
          <w:lang w:val="en-US"/>
        </w:rPr>
      </w:pPr>
      <w:r>
        <w:rPr>
          <w:rFonts w:ascii="Book Antiqua" w:hAnsi="Book Antiqua" w:cs="Arial"/>
          <w:sz w:val="24"/>
          <w:szCs w:val="24"/>
          <w:lang w:val="en-US"/>
        </w:rPr>
        <w:t xml:space="preserve">  </w:t>
      </w:r>
      <w:r w:rsidR="00512B89" w:rsidRPr="007F5A49">
        <w:rPr>
          <w:rFonts w:ascii="Book Antiqua" w:hAnsi="Book Antiqua" w:cs="Arial"/>
          <w:sz w:val="24"/>
          <w:szCs w:val="24"/>
          <w:lang w:val="en-US"/>
        </w:rPr>
        <w:t>Nonetheless, a</w:t>
      </w:r>
      <w:r w:rsidR="004C6560" w:rsidRPr="007F5A49">
        <w:rPr>
          <w:rFonts w:ascii="Book Antiqua" w:hAnsi="Book Antiqua" w:cs="Arial"/>
          <w:sz w:val="24"/>
          <w:szCs w:val="24"/>
          <w:lang w:val="en-US"/>
        </w:rPr>
        <w:t xml:space="preserve"> link between increased iron stores (ferritin), insulin resistance, </w:t>
      </w:r>
      <w:r w:rsidR="004C6560" w:rsidRPr="007F5A49">
        <w:rPr>
          <w:rFonts w:ascii="Book Antiqua" w:eastAsia="Times New Roman" w:hAnsi="Book Antiqua" w:cs="Arial"/>
          <w:sz w:val="24"/>
          <w:szCs w:val="24"/>
          <w:lang w:val="en-US"/>
        </w:rPr>
        <w:t xml:space="preserve">diabetes </w:t>
      </w:r>
      <w:r w:rsidR="004C6560" w:rsidRPr="007F5A49">
        <w:rPr>
          <w:rFonts w:ascii="Book Antiqua" w:hAnsi="Book Antiqua" w:cs="Arial"/>
          <w:sz w:val="24"/>
          <w:szCs w:val="24"/>
          <w:lang w:val="en-US"/>
        </w:rPr>
        <w:t xml:space="preserve">and NAFLD is well established, where insulin resistance is central to NAFLD pathogenesis. </w:t>
      </w:r>
      <w:r w:rsidR="004C6560" w:rsidRPr="007F5A49">
        <w:rPr>
          <w:rFonts w:ascii="Book Antiqua" w:eastAsia="Times New Roman" w:hAnsi="Book Antiqua" w:cs="Arial"/>
          <w:sz w:val="24"/>
          <w:szCs w:val="24"/>
          <w:lang w:val="en-US"/>
        </w:rPr>
        <w:t>I</w:t>
      </w:r>
      <w:r w:rsidR="004C6560" w:rsidRPr="007F5A49">
        <w:rPr>
          <w:rFonts w:ascii="Book Antiqua" w:hAnsi="Book Antiqua" w:cs="Arial"/>
          <w:sz w:val="24"/>
          <w:szCs w:val="24"/>
          <w:lang w:val="en-US"/>
        </w:rPr>
        <w:t xml:space="preserve">ron may promote insulin resistance in the adipose tissue, which in turn </w:t>
      </w:r>
      <w:r w:rsidR="004C6560" w:rsidRPr="007F5A49">
        <w:rPr>
          <w:rFonts w:ascii="Book Antiqua" w:eastAsia="Times New Roman" w:hAnsi="Book Antiqua" w:cs="Arial"/>
          <w:sz w:val="24"/>
          <w:szCs w:val="24"/>
          <w:lang w:val="en-US"/>
        </w:rPr>
        <w:t>may trigger lipolysis of triglycerides; a process that produces most of the free fatty acid influx into the liver</w:t>
      </w:r>
      <w:r w:rsidR="004C6560"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loBlHkcb","properties":{"formattedCitation":"(79)","plainCitation":"(79)","noteIndex":0},"citationItems":[{"id":287,"uris":["http://zotero.org/users/2804724/items/V473K37H"],"uri":["http://zotero.org/users/2804724/items/V473K37H"],"itemData":{"id":287,"type":"article-journal","title":"Iron and non-alcoholic fatty liver disease","container-title":"World Journal of Gastroenterology","page":"8112-8122","volume":"22","issue":"36","source":"PubMed Central","abstract":"The mechanisms that promote liver injury in non-alcoholic fatty liver disease (NAFLD) are yet to be thoroughly elucidated. As such, effective treatment strategies are lacking and novel therapeutic targets are required. Iron has been widely implicated in the pathogenesis of NAFLD and represents a potential target for treatment. Relationships between serum ferritin concentration and NAFLD are noted in a majority of studies, although serum ferritin is an imprecise measure of iron loading. Numerous mechanisms for a pathogenic role of hepatic iron in NAFLD have been demonstrated in animal and cell culture models. However, the human data linking hepatic iron to liver injury in NAFLD is less clear, with seemingly conflicting evidence, supporting either an effect of iron in hepatocytes or within reticulo-endothelial cells. Adipose tissue has emerged as a key site at which iron may have a pathogenic role in NAFLD. Evidence for this comes indirectly from studies that have evaluated the role of adipose tissue iron with respect to insulin resistance. Adding further complexity, multiple strands of evidence support an effect of NAFLD itself on iron metabolism. In this review, we summarise the human and basic science data that has evaluated the role of iron in NAFLD pathogenesis.","DOI":"10.3748/wjg.v22.i36.8112","ISSN":"1007-9327","note":"PMID: 27688653\nPMCID: PMC5037080","journalAbbreviation":"World J Gastroenterol","author":[{"family":"Britton","given":"Laurence J"},{"family":"Subramaniam","given":"V Nathan"},{"family":"Crawford","given":"Darrell HG"}],"issued":{"date-parts":[["2016",9,28]]}}}],"schema":"https://github.com/citation-style-language/schema/raw/master/csl-citation.json"} </w:instrText>
      </w:r>
      <w:r w:rsidR="004C6560" w:rsidRPr="007F5A49">
        <w:rPr>
          <w:rFonts w:ascii="Book Antiqua" w:hAnsi="Book Antiqua" w:cs="Arial"/>
          <w:sz w:val="24"/>
          <w:szCs w:val="24"/>
          <w:vertAlign w:val="superscript"/>
          <w:lang w:val="en-US"/>
        </w:rPr>
        <w:fldChar w:fldCharType="separate"/>
      </w:r>
      <w:r w:rsidR="00623A65"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79</w:t>
      </w:r>
      <w:r w:rsidR="004C6560" w:rsidRPr="007F5A49">
        <w:rPr>
          <w:rFonts w:ascii="Book Antiqua" w:hAnsi="Book Antiqua" w:cs="Arial"/>
          <w:sz w:val="24"/>
          <w:szCs w:val="24"/>
          <w:vertAlign w:val="superscript"/>
          <w:lang w:val="en-US"/>
        </w:rPr>
        <w:fldChar w:fldCharType="end"/>
      </w:r>
      <w:r w:rsidR="00623A65" w:rsidRPr="007F5A49">
        <w:rPr>
          <w:rFonts w:ascii="Book Antiqua" w:hAnsi="Book Antiqua" w:cs="Arial"/>
          <w:sz w:val="24"/>
          <w:szCs w:val="24"/>
          <w:vertAlign w:val="superscript"/>
          <w:lang w:val="en-US"/>
        </w:rPr>
        <w:t>]</w:t>
      </w:r>
      <w:r w:rsidR="004C6560" w:rsidRPr="007F5A49">
        <w:rPr>
          <w:rFonts w:ascii="Book Antiqua" w:hAnsi="Book Antiqua" w:cs="Arial"/>
          <w:sz w:val="24"/>
          <w:szCs w:val="24"/>
          <w:lang w:val="en-US"/>
        </w:rPr>
        <w:t xml:space="preserve">. </w:t>
      </w:r>
      <w:r w:rsidR="004C6560" w:rsidRPr="007F5A49">
        <w:rPr>
          <w:rFonts w:ascii="Book Antiqua" w:eastAsia="Times New Roman" w:hAnsi="Book Antiqua" w:cs="Arial"/>
          <w:sz w:val="24"/>
          <w:szCs w:val="24"/>
          <w:lang w:val="en-US"/>
        </w:rPr>
        <w:t xml:space="preserve">Probably, increased dietary iron in the form of red meat causes predisposition to insulin resistance and </w:t>
      </w:r>
      <w:bookmarkStart w:id="49" w:name="_Hlk519165596"/>
      <w:r w:rsidR="004C6560" w:rsidRPr="007F5A49">
        <w:rPr>
          <w:rFonts w:ascii="Book Antiqua" w:eastAsia="Times New Roman" w:hAnsi="Book Antiqua" w:cs="Arial"/>
          <w:sz w:val="24"/>
          <w:szCs w:val="24"/>
          <w:lang w:val="en-US"/>
        </w:rPr>
        <w:t>type II diabetes</w:t>
      </w:r>
      <w:bookmarkEnd w:id="49"/>
      <w:r w:rsidR="004C6560" w:rsidRPr="007F5A49">
        <w:rPr>
          <w:rFonts w:ascii="Book Antiqua" w:eastAsia="Times New Roman" w:hAnsi="Book Antiqua" w:cs="Arial"/>
          <w:sz w:val="24"/>
          <w:szCs w:val="24"/>
          <w:vertAlign w:val="superscript"/>
          <w:lang w:val="en-US"/>
        </w:rPr>
        <w:fldChar w:fldCharType="begin"/>
      </w:r>
      <w:r w:rsidR="00D2645C" w:rsidRPr="007F5A49">
        <w:rPr>
          <w:rFonts w:ascii="Book Antiqua" w:eastAsia="Times New Roman" w:hAnsi="Book Antiqua" w:cs="Arial"/>
          <w:sz w:val="24"/>
          <w:szCs w:val="24"/>
          <w:vertAlign w:val="superscript"/>
          <w:lang w:val="en-US"/>
        </w:rPr>
        <w:instrText xml:space="preserve"> ADDIN ZOTERO_ITEM CSL_CITATION {"citationID":"abpegk8959","properties":{"formattedCitation":"(79)","plainCitation":"(79)","noteIndex":0},"citationItems":[{"id":287,"uris":["http://zotero.org/users/2804724/items/V473K37H"],"uri":["http://zotero.org/users/2804724/items/V473K37H"],"itemData":{"id":287,"type":"article-journal","title":"Iron and non-alcoholic fatty liver disease","container-title":"World Journal of Gastroenterology","page":"8112-8122","volume":"22","issue":"36","source":"PubMed Central","abstract":"The mechanisms that promote liver injury in non-alcoholic fatty liver disease (NAFLD) are yet to be thoroughly elucidated. As such, effective treatment strategies are lacking and novel therapeutic targets are required. Iron has been widely implicated in the pathogenesis of NAFLD and represents a potential target for treatment. Relationships between serum ferritin concentration and NAFLD are noted in a majority of studies, although serum ferritin is an imprecise measure of iron loading. Numerous mechanisms for a pathogenic role of hepatic iron in NAFLD have been demonstrated in animal and cell culture models. However, the human data linking hepatic iron to liver injury in NAFLD is less clear, with seemingly conflicting evidence, supporting either an effect of iron in hepatocytes or within reticulo-endothelial cells. Adipose tissue has emerged as a key site at which iron may have a pathogenic role in NAFLD. Evidence for this comes indirectly from studies that have evaluated the role of adipose tissue iron with respect to insulin resistance. Adding further complexity, multiple strands of evidence support an effect of NAFLD itself on iron metabolism. In this review, we summarise the human and basic science data that has evaluated the role of iron in NAFLD pathogenesis.","DOI":"10.3748/wjg.v22.i36.8112","ISSN":"1007-9327","note":"PMID: 27688653\nPMCID: PMC5037080","journalAbbreviation":"World J Gastroenterol","author":[{"family":"Britton","given":"Laurence J"},{"family":"Subramaniam","given":"V Nathan"},{"family":"Crawford","given":"Darrell HG"}],"issued":{"date-parts":[["2016",9,28]]}}}],"schema":"https://github.com/citation-style-language/schema/raw/master/csl-citation.json"} </w:instrText>
      </w:r>
      <w:r w:rsidR="004C6560" w:rsidRPr="007F5A49">
        <w:rPr>
          <w:rFonts w:ascii="Book Antiqua" w:eastAsia="Times New Roman" w:hAnsi="Book Antiqua" w:cs="Arial"/>
          <w:sz w:val="24"/>
          <w:szCs w:val="24"/>
          <w:vertAlign w:val="superscript"/>
          <w:lang w:val="en-US"/>
        </w:rPr>
        <w:fldChar w:fldCharType="separate"/>
      </w:r>
      <w:r w:rsidR="00623A65"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79</w:t>
      </w:r>
      <w:r w:rsidR="004C6560" w:rsidRPr="007F5A49">
        <w:rPr>
          <w:rFonts w:ascii="Book Antiqua" w:eastAsia="Times New Roman" w:hAnsi="Book Antiqua" w:cs="Arial"/>
          <w:sz w:val="24"/>
          <w:szCs w:val="24"/>
          <w:vertAlign w:val="superscript"/>
          <w:lang w:val="en-US"/>
        </w:rPr>
        <w:fldChar w:fldCharType="end"/>
      </w:r>
      <w:r w:rsidR="00623A65" w:rsidRPr="007F5A49">
        <w:rPr>
          <w:rFonts w:ascii="Book Antiqua" w:eastAsia="Times New Roman" w:hAnsi="Book Antiqua" w:cs="Arial"/>
          <w:sz w:val="24"/>
          <w:szCs w:val="24"/>
          <w:vertAlign w:val="superscript"/>
          <w:lang w:val="en-US"/>
        </w:rPr>
        <w:t>]</w:t>
      </w:r>
      <w:r w:rsidR="004C6560" w:rsidRPr="007F5A49">
        <w:rPr>
          <w:rFonts w:ascii="Book Antiqua" w:eastAsia="Times New Roman" w:hAnsi="Book Antiqua" w:cs="Arial"/>
          <w:sz w:val="24"/>
          <w:szCs w:val="24"/>
          <w:lang w:val="en-US"/>
        </w:rPr>
        <w:t xml:space="preserve">. </w:t>
      </w:r>
      <w:r w:rsidR="004C6560" w:rsidRPr="007F5A49">
        <w:rPr>
          <w:rFonts w:ascii="Book Antiqua" w:hAnsi="Book Antiqua" w:cs="Arial"/>
          <w:sz w:val="24"/>
          <w:szCs w:val="24"/>
          <w:lang w:val="en-US"/>
        </w:rPr>
        <w:t xml:space="preserve">Predictably, </w:t>
      </w:r>
      <w:r w:rsidR="004C6560" w:rsidRPr="007F5A49">
        <w:rPr>
          <w:rFonts w:ascii="Book Antiqua" w:eastAsia="Times New Roman" w:hAnsi="Book Antiqua" w:cs="Arial"/>
          <w:sz w:val="24"/>
          <w:szCs w:val="24"/>
          <w:lang w:val="en-US"/>
        </w:rPr>
        <w:t>type II diabetes is prevalent in iron loading pathologies like HFE-related hereditary haemochromatosis and β-thalassemia major</w:t>
      </w:r>
      <w:r w:rsidR="004C6560"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ilapoolps","properties":{"formattedCitation":"(79)","plainCitation":"(79)","noteIndex":0},"citationItems":[{"id":287,"uris":["http://zotero.org/users/2804724/items/V473K37H"],"uri":["http://zotero.org/users/2804724/items/V473K37H"],"itemData":{"id":287,"type":"article-journal","title":"Iron and non-alcoholic fatty liver disease","container-title":"World Journal of Gastroenterology","page":"8112-8122","volume":"22","issue":"36","source":"PubMed Central","abstract":"The mechanisms that promote liver injury in non-alcoholic fatty liver disease (NAFLD) are yet to be thoroughly elucidated. As such, effective treatment strategies are lacking and novel therapeutic targets are required. Iron has been widely implicated in the pathogenesis of NAFLD and represents a potential target for treatment. Relationships between serum ferritin concentration and NAFLD are noted in a majority of studies, although serum ferritin is an imprecise measure of iron loading. Numerous mechanisms for a pathogenic role of hepatic iron in NAFLD have been demonstrated in animal and cell culture models. However, the human data linking hepatic iron to liver injury in NAFLD is less clear, with seemingly conflicting evidence, supporting either an effect of iron in hepatocytes or within reticulo-endothelial cells. Adipose tissue has emerged as a key site at which iron may have a pathogenic role in NAFLD. Evidence for this comes indirectly from studies that have evaluated the role of adipose tissue iron with respect to insulin resistance. Adding further complexity, multiple strands of evidence support an effect of NAFLD itself on iron metabolism. In this review, we summarise the human and basic science data that has evaluated the role of iron in NAFLD pathogenesis.","DOI":"10.3748/wjg.v22.i36.8112","ISSN":"1007-9327","note":"PMID: 27688653\nPMCID: PMC5037080","journalAbbreviation":"World J Gastroenterol","author":[{"family":"Britton","given":"Laurence J"},{"family":"Subramaniam","given":"V Nathan"},{"family":"Crawford","given":"Darrell HG"}],"issued":{"date-parts":[["2016",9,28]]}}}],"schema":"https://github.com/citation-style-language/schema/raw/master/csl-citation.json"} </w:instrText>
      </w:r>
      <w:r w:rsidR="004C6560" w:rsidRPr="007F5A49">
        <w:rPr>
          <w:rFonts w:ascii="Book Antiqua" w:hAnsi="Book Antiqua" w:cs="Arial"/>
          <w:sz w:val="24"/>
          <w:szCs w:val="24"/>
          <w:vertAlign w:val="superscript"/>
          <w:lang w:val="en-US"/>
        </w:rPr>
        <w:fldChar w:fldCharType="separate"/>
      </w:r>
      <w:r w:rsidR="00623A65"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79</w:t>
      </w:r>
      <w:r w:rsidR="004C6560" w:rsidRPr="007F5A49">
        <w:rPr>
          <w:rFonts w:ascii="Book Antiqua" w:hAnsi="Book Antiqua" w:cs="Arial"/>
          <w:sz w:val="24"/>
          <w:szCs w:val="24"/>
          <w:vertAlign w:val="superscript"/>
          <w:lang w:val="en-US"/>
        </w:rPr>
        <w:fldChar w:fldCharType="end"/>
      </w:r>
      <w:r w:rsidR="00623A65" w:rsidRPr="007F5A49">
        <w:rPr>
          <w:rFonts w:ascii="Book Antiqua" w:hAnsi="Book Antiqua" w:cs="Arial"/>
          <w:sz w:val="24"/>
          <w:szCs w:val="24"/>
          <w:vertAlign w:val="superscript"/>
          <w:lang w:val="en-US"/>
        </w:rPr>
        <w:t>]</w:t>
      </w:r>
      <w:r w:rsidR="004C6560" w:rsidRPr="007F5A49">
        <w:rPr>
          <w:rFonts w:ascii="Book Antiqua" w:hAnsi="Book Antiqua" w:cs="Arial"/>
          <w:sz w:val="24"/>
          <w:szCs w:val="24"/>
          <w:lang w:val="en-US"/>
        </w:rPr>
        <w:t>.</w:t>
      </w:r>
      <w:r w:rsidR="004C6560" w:rsidRPr="007F5A49">
        <w:rPr>
          <w:rFonts w:ascii="Book Antiqua" w:eastAsia="Times New Roman" w:hAnsi="Book Antiqua" w:cs="Arial"/>
          <w:sz w:val="24"/>
          <w:szCs w:val="24"/>
          <w:lang w:val="en-US"/>
        </w:rPr>
        <w:t xml:space="preserve"> T</w:t>
      </w:r>
      <w:r w:rsidR="004C6560" w:rsidRPr="007F5A49">
        <w:rPr>
          <w:rFonts w:ascii="Book Antiqua" w:hAnsi="Book Antiqua" w:cs="Arial"/>
          <w:sz w:val="24"/>
          <w:szCs w:val="24"/>
          <w:lang w:val="en-US"/>
        </w:rPr>
        <w:t>his partly explains why glucose intolerant patients demonstrate more severe fibrosis than glucose tolerant ones, indicating that glucose intolerance is a risk factor for hepatic fibrosis in C282Y/H63D patients</w:t>
      </w:r>
      <w:r w:rsidR="004C6560"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LgAAdj7z","properties":{"formattedCitation":"(83)","plainCitation":"(83)","noteIndex":0},"citationItems":[{"id":"z1PZoHrb/gyAwi4Qn","uris":["http://zotero.org/users/4222068/items/KQFXMRIK"],"uri":["http://zotero.org/users/4222068/items/KQFXMRIK"],"itemData":{"id":1217,"type":"article-journal","title":"The effect of the metabolic syndrome, hepatic steatosis and steatohepatitis on liver fibrosis in hereditary hemochromatosis","container-title":"Liver International: Official Journal of the International Association for the Study of the Liver","page":"298-304","volume":"26","issue":"3","source":"PubMed","abstract":"OBJECTIVES: The variability in phenotypic expression of hereditary hemochromatosis (HH) is not fully understood. We sought to examine whether the metabolic syndrome, hepatic steatosis or steatohepatitis influenced hepatic fibrosis among patients with HH and iron overload.\nMETHODS: We identified 86 patients with C282Y/C282Y or C282Y/H63D HH and iron overload (hepatic iron concentration (HIC) &gt;2,200 microg/g for males, &gt;1,600 microg/g for females). Features of the metabolic syndrome were assessed at the time of liver biopsy. Biopsies were scored by a blinded pathologist. Significant fibrosis was defined as peri-portal fibrosis or greater.\nRESULTS: The mean (+/-SD) age of the study population was 53+/-12 years and 68 (79%) were male. The median (range) values of ferritin and HIC were 1,125 (253-9,530) microg/l and 9963 (1926-50 887) microg/g, respectively. The metabolic syndrome was present in 23 (27%), hepatic steatosis in 43 (50%), steatohepatitis in 18 (21%) and significant fibrosis in 38 (44%). Overall, neither the metabolic syndrome nor any of its components were associated with significant fibrosis or a higher mean fibrosis stage. Hepatic steatosis but not steatohepatitis was associated with a lower fibrosis stage. C282Y/H63D compound heterozygous individuals who had glucose intolerance had more severe fibrosis compared with those without glucose intolerance (1.0+/-1.0 vs. 0.1+/-0.3, P=0.01).\nCONCLUSIONS: Overall, the metabolic syndrome and fatty liver were not associated with hepatic fibrosis among individuals with HH and iron overload. However, glucose intolerance may be important risk factor for the development of hepatic fibrosis in subjects with the C282Y/H63D HFE genotype.","DOI":"10.1111/j.1478-3231.2005.01238.x","ISSN":"1478-3223","note":"PMID: 16584391","journalAbbreviation":"Liver Int.","language":"eng","author":[{"family":"Adams","given":"Leon A."},{"family":"Angulo","given":"Paul"},{"family":"Abraham","given":"Susan C."},{"family":"Torgerson","given":"Heidi"},{"family":"Brandhagen","given":"David"}],"issued":{"date-parts":[["2006",4]]}}}],"schema":"https://github.com/citation-style-language/schema/raw/master/csl-citation.json"} </w:instrText>
      </w:r>
      <w:r w:rsidR="004C6560" w:rsidRPr="007F5A49">
        <w:rPr>
          <w:rFonts w:ascii="Book Antiqua" w:hAnsi="Book Antiqua" w:cs="Arial"/>
          <w:sz w:val="24"/>
          <w:szCs w:val="24"/>
          <w:vertAlign w:val="superscript"/>
          <w:lang w:val="en-US"/>
        </w:rPr>
        <w:fldChar w:fldCharType="separate"/>
      </w:r>
      <w:r w:rsidR="00623A65"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83</w:t>
      </w:r>
      <w:r w:rsidR="004C6560" w:rsidRPr="007F5A49">
        <w:rPr>
          <w:rFonts w:ascii="Book Antiqua" w:hAnsi="Book Antiqua" w:cs="Arial"/>
          <w:sz w:val="24"/>
          <w:szCs w:val="24"/>
          <w:vertAlign w:val="superscript"/>
          <w:lang w:val="en-US"/>
        </w:rPr>
        <w:fldChar w:fldCharType="end"/>
      </w:r>
      <w:r w:rsidR="00623A65" w:rsidRPr="007F5A49">
        <w:rPr>
          <w:rFonts w:ascii="Book Antiqua" w:hAnsi="Book Antiqua" w:cs="Arial"/>
          <w:sz w:val="24"/>
          <w:szCs w:val="24"/>
          <w:vertAlign w:val="superscript"/>
          <w:lang w:val="en-US"/>
        </w:rPr>
        <w:t>]</w:t>
      </w:r>
      <w:r w:rsidR="004C6560" w:rsidRPr="007F5A49">
        <w:rPr>
          <w:rFonts w:ascii="Book Antiqua" w:hAnsi="Book Antiqua" w:cs="Arial"/>
          <w:sz w:val="24"/>
          <w:szCs w:val="24"/>
          <w:lang w:val="en-US"/>
        </w:rPr>
        <w:t xml:space="preserve">. Also, </w:t>
      </w:r>
      <w:r w:rsidR="004C6560" w:rsidRPr="007F5A49">
        <w:rPr>
          <w:rFonts w:ascii="Book Antiqua" w:eastAsia="Times New Roman" w:hAnsi="Book Antiqua" w:cs="Arial"/>
          <w:sz w:val="24"/>
          <w:szCs w:val="24"/>
          <w:lang w:val="en-US"/>
        </w:rPr>
        <w:t>iron deficiency has been associated with obesity and NAFLD. A</w:t>
      </w:r>
      <w:r w:rsidR="004C6560" w:rsidRPr="007F5A49">
        <w:rPr>
          <w:rFonts w:ascii="Book Antiqua" w:hAnsi="Book Antiqua" w:cs="Arial"/>
          <w:sz w:val="24"/>
          <w:szCs w:val="24"/>
          <w:lang w:val="en-US"/>
        </w:rPr>
        <w:t>bout 33% of NAFLD patients show transferrin saturation below 20%</w:t>
      </w:r>
      <w:r w:rsidR="004C6560" w:rsidRPr="007F5A49">
        <w:rPr>
          <w:rFonts w:ascii="Book Antiqua" w:eastAsia="Times New Roman" w:hAnsi="Book Antiqua" w:cs="Arial"/>
          <w:sz w:val="24"/>
          <w:szCs w:val="24"/>
          <w:vertAlign w:val="superscript"/>
          <w:lang w:val="en-US"/>
        </w:rPr>
        <w:fldChar w:fldCharType="begin"/>
      </w:r>
      <w:r w:rsidR="00D2645C" w:rsidRPr="007F5A49">
        <w:rPr>
          <w:rFonts w:ascii="Book Antiqua" w:eastAsia="Times New Roman" w:hAnsi="Book Antiqua" w:cs="Arial"/>
          <w:sz w:val="24"/>
          <w:szCs w:val="24"/>
          <w:vertAlign w:val="superscript"/>
          <w:lang w:val="en-US"/>
        </w:rPr>
        <w:instrText xml:space="preserve"> ADDIN ZOTERO_ITEM CSL_CITATION {"citationID":"7D8BMqER","properties":{"formattedCitation":"(79,86)","plainCitation":"(79,86)","noteIndex":0},"citationItems":[{"id":287,"uris":["http://zotero.org/users/2804724/items/V473K37H"],"uri":["http://zotero.org/users/2804724/items/V473K37H"],"itemData":{"id":287,"type":"article-journal","title":"Iron and non-alcoholic fatty liver disease","container-title":"World Journal of Gastroenterology","page":"8112-8122","volume":"22","issue":"36","source":"PubMed Central","abstract":"The mechanisms that promote liver injury in non-alcoholic fatty liver disease (NAFLD) are yet to be thoroughly elucidated. As such, effective treatment strategies are lacking and novel therapeutic targets are required. Iron has been widely implicated in the pathogenesis of NAFLD and represents a potential target for treatment. Relationships between serum ferritin concentration and NAFLD are noted in a majority of studies, although serum ferritin is an imprecise measure of iron loading. Numerous mechanisms for a pathogenic role of hepatic iron in NAFLD have been demonstrated in animal and cell culture models. However, the human data linking hepatic iron to liver injury in NAFLD is less clear, with seemingly conflicting evidence, supporting either an effect of iron in hepatocytes or within reticulo-endothelial cells. Adipose tissue has emerged as a key site at which iron may have a pathogenic role in NAFLD. Evidence for this comes indirectly from studies that have evaluated the role of adipose tissue iron with respect to insulin resistance. Adding further complexity, multiple strands of evidence support an effect of NAFLD itself on iron metabolism. In this review, we summarise the human and basic science data that has evaluated the role of iron in NAFLD pathogenesis.","DOI":"10.3748/wjg.v22.i36.8112","ISSN":"1007-9327","note":"PMID: 27688653\nPMCID: PMC5037080","journalAbbreviation":"World J Gastroenterol","author":[{"family":"Britton","given":"Laurence J"},{"family":"Subramaniam","given":"V Nathan"},{"family":"Crawford","given":"Darrell HG"}],"issued":{"date-parts":[["2016",9,28]]}}},{"id":"z1PZoHrb/vAqn1oWs","uris":["http://zotero.org/users/4222068/items/9QHFVC7M"],"uri":["http://zotero.org/users/4222068/items/9QHFVC7M"],"itemData":{"id":1600,"type":"article-journal","title":"Iron Deficiency in Patients with Nonalcoholic Fatty Liver Disease is Associated with Obesity, Female Sex, and Low Serum Hepcidin","container-title":"Clinical gastroenterology and hepatology : the official clinical practice journal of the American Gastroenterological Association","page":"1170-1178","volume":"12","issue":"7","source":"PubMed Central","abstract":"Background &amp; Aims\nIron deficiency is often observed in obese individuals. The iron regulatory hormone hepcidin is regulated by iron and cytokines IL6 and IL1β. We examine the relationship between obesity, circulating levels of hepcidin and IL6 and IL1β, and other risk factors in patients with non-alcoholic fatty liver disease (NAFLD) with iron deficiency.\n\nMethods\nWe collected data on 675 adult subjects (&gt;18 y old) enrolled in the Nonalcoholic Steatohepatitis Clinical Research Network. Subjects with transferrin saturation &lt;20% were categorized as iron deficient, whereas those with transferrin saturation ≥20% were classified as iron normal. We assessed clinical, demographic, anthropometric, laboratory, dietary, and histologic data from patients, as well as serum levels of hepcidin and cytokines IL6 and IL1β. Univariate and multivariate analysis were used to identify risk factors for iron deficiency.\n\nResults\nOne third of patients (231/675; 34%) were iron deficient. Obesity, diabetes, and metabolic syndrome were more common in subjects with iron deficiency (P&lt;.01), compared with those that were iron normal. Serum levels of hepcidin were significantly lower in subjects with iron deficiency (61±45 vs 81±51 ng/mL; P&lt;.0001). Iron deficiency was significantly associated with female sex, obesity, increased body mass index and waist circumference, presence of diabetes, lower alcohol consumption, Black or American Indian/Alaska Native race (P≤.018), and increased levels of IL6 and IL1β (6.6 vs 4.8 for iron normal; P≤.0001 and 0.45 vs 0.32 for iron normal; P≤.005).\n\nConclusion\nIron deficiency is prevalent in patients with NAFLD and associated with female sex, increased body mass index, and non-white race. Serum levels of hepcidin were lower in iron-deficient subjects, reflecting an appropriate physiological response to decreased circulating levels of iron, rather than a primary cause of iron deficiency in the setting of obesity and NAFLD.","DOI":"10.1016/j.cgh.2013.11.017","ISSN":"1542-3565","note":"PMID: 24269922\nPMCID: PMC4028425","journalAbbreviation":"Clin Gastroenterol Hepatol","author":[{"family":"Siddique","given":"Asma"},{"family":"Nelson","given":"James E."},{"family":"Aouizerat","given":"Bradley"},{"family":"Yeh","given":"Matthew M."},{"family":"Kowdley","given":"Kris V."}],"issued":{"date-parts":[["2014",7]]}}}],"schema":"https://github.com/citation-style-language/schema/raw/master/csl-citation.json"} </w:instrText>
      </w:r>
      <w:r w:rsidR="004C6560" w:rsidRPr="007F5A49">
        <w:rPr>
          <w:rFonts w:ascii="Book Antiqua" w:eastAsia="Times New Roman" w:hAnsi="Book Antiqua" w:cs="Arial"/>
          <w:sz w:val="24"/>
          <w:szCs w:val="24"/>
          <w:vertAlign w:val="superscript"/>
          <w:lang w:val="en-US"/>
        </w:rPr>
        <w:fldChar w:fldCharType="separate"/>
      </w:r>
      <w:r w:rsidR="00623A65"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79,86</w:t>
      </w:r>
      <w:r w:rsidR="004C6560" w:rsidRPr="007F5A49">
        <w:rPr>
          <w:rFonts w:ascii="Book Antiqua" w:eastAsia="Times New Roman" w:hAnsi="Book Antiqua" w:cs="Arial"/>
          <w:sz w:val="24"/>
          <w:szCs w:val="24"/>
          <w:vertAlign w:val="superscript"/>
          <w:lang w:val="en-US"/>
        </w:rPr>
        <w:fldChar w:fldCharType="end"/>
      </w:r>
      <w:r w:rsidR="00623A65" w:rsidRPr="007F5A49">
        <w:rPr>
          <w:rFonts w:ascii="Book Antiqua" w:eastAsia="Times New Roman" w:hAnsi="Book Antiqua" w:cs="Arial"/>
          <w:sz w:val="24"/>
          <w:szCs w:val="24"/>
          <w:vertAlign w:val="superscript"/>
          <w:lang w:val="en-US"/>
        </w:rPr>
        <w:t>]</w:t>
      </w:r>
      <w:r w:rsidR="004C6560" w:rsidRPr="007F5A49">
        <w:rPr>
          <w:rFonts w:ascii="Book Antiqua" w:eastAsia="Times New Roman" w:hAnsi="Book Antiqua" w:cs="Arial"/>
          <w:sz w:val="24"/>
          <w:szCs w:val="24"/>
          <w:lang w:val="en-US"/>
        </w:rPr>
        <w:t xml:space="preserve">. </w:t>
      </w:r>
      <w:r w:rsidR="004C6560" w:rsidRPr="007F5A49">
        <w:rPr>
          <w:rFonts w:ascii="Book Antiqua" w:hAnsi="Book Antiqua" w:cs="Arial"/>
          <w:sz w:val="24"/>
          <w:szCs w:val="24"/>
          <w:lang w:val="en-US"/>
        </w:rPr>
        <w:t xml:space="preserve">Thus, </w:t>
      </w:r>
      <w:r w:rsidR="004C6560" w:rsidRPr="007F5A49">
        <w:rPr>
          <w:rFonts w:ascii="Book Antiqua" w:eastAsia="Times New Roman" w:hAnsi="Book Antiqua" w:cs="Arial"/>
          <w:sz w:val="24"/>
          <w:szCs w:val="24"/>
          <w:lang w:val="en-US"/>
        </w:rPr>
        <w:t>the role of iron in NAFLD is multi-dimensional and can differ between NAFLD cases.</w:t>
      </w:r>
    </w:p>
    <w:p w14:paraId="5E050B7C" w14:textId="77777777" w:rsidR="00971908" w:rsidRPr="007F5A49" w:rsidRDefault="00971908" w:rsidP="007F5A49">
      <w:pPr>
        <w:adjustRightInd w:val="0"/>
        <w:snapToGrid w:val="0"/>
        <w:spacing w:after="0" w:line="360" w:lineRule="auto"/>
        <w:jc w:val="both"/>
        <w:rPr>
          <w:rFonts w:ascii="Book Antiqua" w:hAnsi="Book Antiqua" w:cs="Arial"/>
          <w:i/>
          <w:sz w:val="24"/>
          <w:szCs w:val="24"/>
          <w:u w:val="single"/>
          <w:lang w:val="en-US"/>
        </w:rPr>
      </w:pPr>
    </w:p>
    <w:p w14:paraId="2598BA42" w14:textId="7118C330" w:rsidR="00AD3827" w:rsidRPr="007F5A49" w:rsidRDefault="00215D12" w:rsidP="008E1EBB">
      <w:pPr>
        <w:adjustRightInd w:val="0"/>
        <w:snapToGrid w:val="0"/>
        <w:spacing w:after="0" w:line="360" w:lineRule="auto"/>
        <w:jc w:val="both"/>
        <w:outlineLvl w:val="0"/>
        <w:rPr>
          <w:rFonts w:ascii="Book Antiqua" w:hAnsi="Book Antiqua" w:cs="Arial"/>
          <w:b/>
          <w:i/>
          <w:sz w:val="24"/>
          <w:szCs w:val="24"/>
          <w:lang w:val="en-US"/>
        </w:rPr>
      </w:pPr>
      <w:r w:rsidRPr="007F5A49">
        <w:rPr>
          <w:rFonts w:ascii="Book Antiqua" w:hAnsi="Book Antiqua" w:cs="Arial"/>
          <w:b/>
          <w:i/>
          <w:sz w:val="24"/>
          <w:szCs w:val="24"/>
          <w:lang w:val="en-US"/>
        </w:rPr>
        <w:t>V</w:t>
      </w:r>
      <w:r w:rsidR="00AD3827" w:rsidRPr="007F5A49">
        <w:rPr>
          <w:rFonts w:ascii="Book Antiqua" w:hAnsi="Book Antiqua" w:cs="Arial"/>
          <w:b/>
          <w:i/>
          <w:sz w:val="24"/>
          <w:szCs w:val="24"/>
          <w:lang w:val="en-US"/>
        </w:rPr>
        <w:t>iral hepatitis</w:t>
      </w:r>
    </w:p>
    <w:p w14:paraId="281DF4F7" w14:textId="4433A93A" w:rsidR="005734C5" w:rsidRPr="007F5A49" w:rsidRDefault="00234F0C" w:rsidP="007F5A49">
      <w:pPr>
        <w:adjustRightInd w:val="0"/>
        <w:snapToGrid w:val="0"/>
        <w:spacing w:after="0" w:line="360" w:lineRule="auto"/>
        <w:jc w:val="both"/>
        <w:rPr>
          <w:rFonts w:ascii="Book Antiqua" w:hAnsi="Book Antiqua" w:cs="Arial"/>
          <w:sz w:val="24"/>
          <w:szCs w:val="24"/>
          <w:lang w:val="en-US"/>
        </w:rPr>
      </w:pPr>
      <w:r w:rsidRPr="007F5A49">
        <w:rPr>
          <w:rFonts w:ascii="Book Antiqua" w:hAnsi="Book Antiqua" w:cs="Arial"/>
          <w:sz w:val="24"/>
          <w:szCs w:val="24"/>
          <w:lang w:val="en-US"/>
        </w:rPr>
        <w:t xml:space="preserve">Unlike the </w:t>
      </w:r>
      <w:r w:rsidR="00223F1F" w:rsidRPr="007F5A49">
        <w:rPr>
          <w:rFonts w:ascii="Book Antiqua" w:hAnsi="Book Antiqua" w:cs="Arial"/>
          <w:sz w:val="24"/>
          <w:szCs w:val="24"/>
          <w:lang w:val="en-US"/>
        </w:rPr>
        <w:t>aforementioned conditions</w:t>
      </w:r>
      <w:r w:rsidRPr="007F5A49">
        <w:rPr>
          <w:rFonts w:ascii="Book Antiqua" w:hAnsi="Book Antiqua" w:cs="Arial"/>
          <w:sz w:val="24"/>
          <w:szCs w:val="24"/>
          <w:lang w:val="en-US"/>
        </w:rPr>
        <w:t>, increased</w:t>
      </w:r>
      <w:r w:rsidR="009E4770" w:rsidRPr="007F5A49">
        <w:rPr>
          <w:rFonts w:ascii="Book Antiqua" w:hAnsi="Book Antiqua" w:cs="Arial"/>
          <w:sz w:val="24"/>
          <w:szCs w:val="24"/>
          <w:lang w:val="en-US"/>
        </w:rPr>
        <w:t xml:space="preserve"> </w:t>
      </w:r>
      <w:r w:rsidR="00DA1728" w:rsidRPr="007F5A49">
        <w:rPr>
          <w:rFonts w:ascii="Book Antiqua" w:hAnsi="Book Antiqua" w:cs="Arial"/>
          <w:sz w:val="24"/>
          <w:szCs w:val="24"/>
          <w:lang w:val="en-US"/>
        </w:rPr>
        <w:t>liver</w:t>
      </w:r>
      <w:r w:rsidR="009E4770" w:rsidRPr="007F5A49">
        <w:rPr>
          <w:rFonts w:ascii="Book Antiqua" w:hAnsi="Book Antiqua" w:cs="Arial"/>
          <w:sz w:val="24"/>
          <w:szCs w:val="24"/>
          <w:lang w:val="en-US"/>
        </w:rPr>
        <w:t xml:space="preserve"> iron</w:t>
      </w:r>
      <w:r w:rsidRPr="007F5A49">
        <w:rPr>
          <w:rFonts w:ascii="Book Antiqua" w:hAnsi="Book Antiqua" w:cs="Arial"/>
          <w:sz w:val="24"/>
          <w:szCs w:val="24"/>
          <w:lang w:val="en-US"/>
        </w:rPr>
        <w:t xml:space="preserve"> in</w:t>
      </w:r>
      <w:r w:rsidR="00F30B13" w:rsidRPr="007F5A49">
        <w:rPr>
          <w:rFonts w:ascii="Book Antiqua" w:hAnsi="Book Antiqua" w:cs="Arial"/>
          <w:sz w:val="24"/>
          <w:szCs w:val="24"/>
          <w:lang w:val="en-US"/>
        </w:rPr>
        <w:t xml:space="preserve"> viral hepatitis </w:t>
      </w:r>
      <w:r w:rsidR="003C4AF0" w:rsidRPr="007F5A49">
        <w:rPr>
          <w:rFonts w:ascii="Book Antiqua" w:hAnsi="Book Antiqua" w:cs="Arial"/>
          <w:sz w:val="24"/>
          <w:szCs w:val="24"/>
          <w:lang w:val="en-US"/>
        </w:rPr>
        <w:t xml:space="preserve">may be </w:t>
      </w:r>
      <w:r w:rsidR="006C2379" w:rsidRPr="007F5A49">
        <w:rPr>
          <w:rFonts w:ascii="Book Antiqua" w:hAnsi="Book Antiqua" w:cs="Arial"/>
          <w:sz w:val="24"/>
          <w:szCs w:val="24"/>
          <w:lang w:val="en-US"/>
        </w:rPr>
        <w:t>a combined consequence of dysregulated</w:t>
      </w:r>
      <w:r w:rsidR="004A699C" w:rsidRPr="007F5A49">
        <w:rPr>
          <w:rFonts w:ascii="Book Antiqua" w:hAnsi="Book Antiqua" w:cs="Arial"/>
          <w:sz w:val="24"/>
          <w:szCs w:val="24"/>
          <w:lang w:val="en-US"/>
        </w:rPr>
        <w:t xml:space="preserve"> liver</w:t>
      </w:r>
      <w:r w:rsidR="006C2379" w:rsidRPr="007F5A49">
        <w:rPr>
          <w:rFonts w:ascii="Book Antiqua" w:hAnsi="Book Antiqua" w:cs="Arial"/>
          <w:sz w:val="24"/>
          <w:szCs w:val="24"/>
          <w:lang w:val="en-US"/>
        </w:rPr>
        <w:t xml:space="preserve"> iron </w:t>
      </w:r>
      <w:r w:rsidR="0099660B" w:rsidRPr="007F5A49">
        <w:rPr>
          <w:rFonts w:ascii="Book Antiqua" w:hAnsi="Book Antiqua" w:cs="Arial"/>
          <w:sz w:val="24"/>
          <w:szCs w:val="24"/>
          <w:lang w:val="en-US"/>
        </w:rPr>
        <w:t xml:space="preserve">homeostasis </w:t>
      </w:r>
      <w:r w:rsidR="006C2379" w:rsidRPr="007F5A49">
        <w:rPr>
          <w:rFonts w:ascii="Book Antiqua" w:hAnsi="Book Antiqua" w:cs="Arial"/>
          <w:sz w:val="24"/>
          <w:szCs w:val="24"/>
          <w:lang w:val="en-US"/>
        </w:rPr>
        <w:t xml:space="preserve">and </w:t>
      </w:r>
      <w:r w:rsidR="009E4770" w:rsidRPr="007F5A49">
        <w:rPr>
          <w:rFonts w:ascii="Book Antiqua" w:hAnsi="Book Antiqua" w:cs="Arial"/>
          <w:sz w:val="24"/>
          <w:szCs w:val="24"/>
          <w:lang w:val="en-US"/>
        </w:rPr>
        <w:t>normal</w:t>
      </w:r>
      <w:r w:rsidR="0099660B" w:rsidRPr="007F5A49">
        <w:rPr>
          <w:rFonts w:ascii="Book Antiqua" w:hAnsi="Book Antiqua" w:cs="Arial"/>
          <w:sz w:val="24"/>
          <w:szCs w:val="24"/>
          <w:lang w:val="en-US"/>
        </w:rPr>
        <w:t xml:space="preserve"> defensive</w:t>
      </w:r>
      <w:r w:rsidR="006C2379" w:rsidRPr="007F5A49">
        <w:rPr>
          <w:rFonts w:ascii="Book Antiqua" w:hAnsi="Book Antiqua" w:cs="Arial"/>
          <w:sz w:val="24"/>
          <w:szCs w:val="24"/>
          <w:lang w:val="en-US"/>
        </w:rPr>
        <w:t xml:space="preserve"> process</w:t>
      </w:r>
      <w:r w:rsidR="008272C5" w:rsidRPr="007F5A49">
        <w:rPr>
          <w:rFonts w:ascii="Book Antiqua" w:hAnsi="Book Antiqua" w:cs="Arial"/>
          <w:sz w:val="24"/>
          <w:szCs w:val="24"/>
          <w:lang w:val="en-US"/>
        </w:rPr>
        <w:t>es</w:t>
      </w:r>
      <w:r w:rsidR="006C2379" w:rsidRPr="007F5A49">
        <w:rPr>
          <w:rFonts w:ascii="Book Antiqua" w:hAnsi="Book Antiqua" w:cs="Arial"/>
          <w:sz w:val="24"/>
          <w:szCs w:val="24"/>
          <w:lang w:val="en-US"/>
        </w:rPr>
        <w:t xml:space="preserve"> adopted during infections, which involves </w:t>
      </w:r>
      <w:r w:rsidR="0099660B" w:rsidRPr="007F5A49">
        <w:rPr>
          <w:rFonts w:ascii="Book Antiqua" w:hAnsi="Book Antiqua" w:cs="Arial"/>
          <w:sz w:val="24"/>
          <w:szCs w:val="24"/>
          <w:lang w:val="en-US"/>
        </w:rPr>
        <w:t xml:space="preserve">sequestration of </w:t>
      </w:r>
      <w:r w:rsidR="006C2379" w:rsidRPr="007F5A49">
        <w:rPr>
          <w:rFonts w:ascii="Book Antiqua" w:hAnsi="Book Antiqua" w:cs="Arial"/>
          <w:sz w:val="24"/>
          <w:szCs w:val="24"/>
          <w:lang w:val="en-US"/>
        </w:rPr>
        <w:t xml:space="preserve">iron </w:t>
      </w:r>
      <w:r w:rsidR="0099660B" w:rsidRPr="007F5A49">
        <w:rPr>
          <w:rFonts w:ascii="Book Antiqua" w:hAnsi="Book Antiqua" w:cs="Arial"/>
          <w:sz w:val="24"/>
          <w:szCs w:val="24"/>
          <w:lang w:val="en-US"/>
        </w:rPr>
        <w:t>by hepatic</w:t>
      </w:r>
      <w:r w:rsidR="006C2379" w:rsidRPr="007F5A49">
        <w:rPr>
          <w:rFonts w:ascii="Book Antiqua" w:hAnsi="Book Antiqua" w:cs="Arial"/>
          <w:sz w:val="24"/>
          <w:szCs w:val="24"/>
          <w:lang w:val="en-US"/>
        </w:rPr>
        <w:t xml:space="preserve"> cells </w:t>
      </w:r>
      <w:r w:rsidR="0099660B" w:rsidRPr="007F5A49">
        <w:rPr>
          <w:rFonts w:ascii="Book Antiqua" w:hAnsi="Book Antiqua" w:cs="Arial"/>
          <w:sz w:val="24"/>
          <w:szCs w:val="24"/>
          <w:lang w:val="en-US"/>
        </w:rPr>
        <w:t>to limit access to</w:t>
      </w:r>
      <w:r w:rsidR="006C2379" w:rsidRPr="007F5A49">
        <w:rPr>
          <w:rFonts w:ascii="Book Antiqua" w:hAnsi="Book Antiqua" w:cs="Arial"/>
          <w:sz w:val="24"/>
          <w:szCs w:val="24"/>
          <w:lang w:val="en-US"/>
        </w:rPr>
        <w:t xml:space="preserve"> </w:t>
      </w:r>
      <w:r w:rsidR="0099660B" w:rsidRPr="007F5A49">
        <w:rPr>
          <w:rFonts w:ascii="Book Antiqua" w:hAnsi="Book Antiqua" w:cs="Arial"/>
          <w:sz w:val="24"/>
          <w:szCs w:val="24"/>
          <w:lang w:val="en-US"/>
        </w:rPr>
        <w:t>pathogens</w:t>
      </w:r>
      <w:r w:rsidR="006C2379" w:rsidRPr="007F5A49">
        <w:rPr>
          <w:rFonts w:ascii="Book Antiqua" w:hAnsi="Book Antiqua" w:cs="Arial"/>
          <w:sz w:val="24"/>
          <w:szCs w:val="24"/>
          <w:lang w:val="en-US"/>
        </w:rPr>
        <w:t xml:space="preserve"> </w:t>
      </w:r>
      <w:r w:rsidR="003D1603" w:rsidRPr="007F5A49">
        <w:rPr>
          <w:rFonts w:ascii="Book Antiqua" w:hAnsi="Book Antiqua" w:cs="Arial"/>
          <w:sz w:val="24"/>
          <w:szCs w:val="24"/>
          <w:lang w:val="en-US"/>
        </w:rPr>
        <w:t xml:space="preserve">to inhibit </w:t>
      </w:r>
      <w:r w:rsidR="0099660B" w:rsidRPr="007F5A49">
        <w:rPr>
          <w:rFonts w:ascii="Book Antiqua" w:hAnsi="Book Antiqua" w:cs="Arial"/>
          <w:sz w:val="24"/>
          <w:szCs w:val="24"/>
          <w:lang w:val="en-US"/>
        </w:rPr>
        <w:t xml:space="preserve">their </w:t>
      </w:r>
      <w:r w:rsidR="006C2379" w:rsidRPr="007F5A49">
        <w:rPr>
          <w:rFonts w:ascii="Book Antiqua" w:hAnsi="Book Antiqua" w:cs="Arial"/>
          <w:sz w:val="24"/>
          <w:szCs w:val="24"/>
          <w:lang w:val="en-US"/>
        </w:rPr>
        <w:t>proliferation.</w:t>
      </w:r>
      <w:r w:rsidR="001E7BB6" w:rsidRPr="007F5A49">
        <w:rPr>
          <w:rFonts w:ascii="Book Antiqua" w:hAnsi="Book Antiqua" w:cs="Arial"/>
          <w:sz w:val="24"/>
          <w:szCs w:val="24"/>
          <w:lang w:val="en-US"/>
        </w:rPr>
        <w:t xml:space="preserve"> </w:t>
      </w:r>
      <w:r w:rsidR="00743513" w:rsidRPr="007F5A49">
        <w:rPr>
          <w:rFonts w:ascii="Book Antiqua" w:hAnsi="Book Antiqua" w:cs="Arial"/>
          <w:sz w:val="24"/>
          <w:szCs w:val="24"/>
          <w:lang w:val="en-US"/>
        </w:rPr>
        <w:t xml:space="preserve">This may explain the differences in LIC during the early and late phases of infection; </w:t>
      </w:r>
      <w:r w:rsidR="00412FB7" w:rsidRPr="007F5A49">
        <w:rPr>
          <w:rFonts w:ascii="Book Antiqua" w:hAnsi="Book Antiqua" w:cs="Arial"/>
          <w:sz w:val="24"/>
          <w:szCs w:val="24"/>
          <w:lang w:val="en-US"/>
        </w:rPr>
        <w:t>low</w:t>
      </w:r>
      <w:r w:rsidR="00743513" w:rsidRPr="007F5A49">
        <w:rPr>
          <w:rFonts w:ascii="Book Antiqua" w:hAnsi="Book Antiqua" w:cs="Arial"/>
          <w:sz w:val="24"/>
          <w:szCs w:val="24"/>
          <w:lang w:val="en-US"/>
        </w:rPr>
        <w:t xml:space="preserve"> </w:t>
      </w:r>
      <w:r w:rsidR="00412FB7" w:rsidRPr="007F5A49">
        <w:rPr>
          <w:rFonts w:ascii="Book Antiqua" w:hAnsi="Book Antiqua" w:cs="Arial"/>
          <w:sz w:val="24"/>
          <w:szCs w:val="24"/>
          <w:lang w:val="en-US"/>
        </w:rPr>
        <w:t xml:space="preserve">in </w:t>
      </w:r>
      <w:r w:rsidR="006C2379" w:rsidRPr="007F5A49">
        <w:rPr>
          <w:rFonts w:ascii="Book Antiqua" w:hAnsi="Book Antiqua" w:cs="Arial"/>
          <w:sz w:val="24"/>
          <w:szCs w:val="24"/>
          <w:lang w:val="en-US"/>
        </w:rPr>
        <w:t>the early stage</w:t>
      </w:r>
      <w:r w:rsidR="00743513" w:rsidRPr="007F5A49">
        <w:rPr>
          <w:rFonts w:ascii="Book Antiqua" w:hAnsi="Book Antiqua" w:cs="Arial"/>
          <w:sz w:val="24"/>
          <w:szCs w:val="24"/>
          <w:lang w:val="en-US"/>
        </w:rPr>
        <w:t xml:space="preserve"> and </w:t>
      </w:r>
      <w:r w:rsidR="00415187" w:rsidRPr="007F5A49">
        <w:rPr>
          <w:rFonts w:ascii="Book Antiqua" w:hAnsi="Book Antiqua" w:cs="Arial"/>
          <w:sz w:val="24"/>
          <w:szCs w:val="24"/>
          <w:lang w:val="en-US"/>
        </w:rPr>
        <w:t>gradua</w:t>
      </w:r>
      <w:r w:rsidR="00BB554B" w:rsidRPr="007F5A49">
        <w:rPr>
          <w:rFonts w:ascii="Book Antiqua" w:hAnsi="Book Antiqua" w:cs="Arial"/>
          <w:sz w:val="24"/>
          <w:szCs w:val="24"/>
          <w:lang w:val="en-US"/>
        </w:rPr>
        <w:t xml:space="preserve">l </w:t>
      </w:r>
      <w:r w:rsidR="00415187" w:rsidRPr="007F5A49">
        <w:rPr>
          <w:rFonts w:ascii="Book Antiqua" w:hAnsi="Book Antiqua" w:cs="Arial"/>
          <w:sz w:val="24"/>
          <w:szCs w:val="24"/>
          <w:lang w:val="en-US"/>
        </w:rPr>
        <w:t xml:space="preserve">increase after 2 </w:t>
      </w:r>
      <w:proofErr w:type="spellStart"/>
      <w:r w:rsidR="00415187" w:rsidRPr="007F5A49">
        <w:rPr>
          <w:rFonts w:ascii="Book Antiqua" w:hAnsi="Book Antiqua" w:cs="Arial"/>
          <w:sz w:val="24"/>
          <w:szCs w:val="24"/>
          <w:lang w:val="en-US"/>
        </w:rPr>
        <w:t>w</w:t>
      </w:r>
      <w:r w:rsidR="00C04BB2">
        <w:rPr>
          <w:rFonts w:ascii="Book Antiqua" w:hAnsi="Book Antiqua" w:cs="Arial"/>
          <w:sz w:val="24"/>
          <w:szCs w:val="24"/>
          <w:lang w:val="en-US"/>
        </w:rPr>
        <w:t>k</w:t>
      </w:r>
      <w:proofErr w:type="spellEnd"/>
      <w:r w:rsidR="00AD3827"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sHSNr1na","properties":{"formattedCitation":"(87)","plainCitation":"(87)","noteIndex":0},"citationItems":[{"id":"z1PZoHrb/s5sGMUiP","uris":["http://zotero.org/users/4222068/items/WSAR65VQ"],"uri":["http://zotero.org/users/4222068/items/WSAR65VQ"],"itemData":{"id":1190,"type":"article-journal","title":"Some aspects of iron metabolism during acute viral hepatitis","container-title":"Hepato-Gastroenterology","page":"138-141","volume":"29","issue":"4","source":"PubMed","abstract":"In the acute phase of acute viral hepatitis high serum iron and serum ferritin levels were found in all patients. The normalisation of the serum ferritin concentration parallelled that of the serum glutamic pyruvic transaminase activity. However serum iron levels remained elevated for a long period of time. Chemical analysis of liver tissue showed a low total liver depot iron concentration during the first two weeks of the disease, indicating that the high serum iron levels are caused by iron liberation from disintegrated hepatocytes. Patients studied after two weeks showed higher liver iron concentrations, in particular the non-ferritin iron fraction, reflecting iron accumulation in the reticulo-endothelial system. Indeed, histological examination in the patients studied after two weeks showed sinusoidal lining cell siderosis in addition to \"diffuse iron\" in clusters lining cells which in electron microscopical studies proved to be macrophages. These cells showed a positive immunohistological reaction for ferritin protein. It is suggested that during acute viral hepatitis two mechanisms act together, i.e. changes in iron metabolism caused by damage of the main iron depot organ (specific liver pathology) and changes in iron metabolism common to all infectious processes.","ISSN":"0172-6390","note":"PMID: 7129335","journalAbbreviation":"Hepatogastroenterology","language":"eng","author":[{"family":"Hengeveld","given":"P."},{"family":"Zuyderhoudt","given":"F. M."},{"family":"Jöbsis","given":"A. C."},{"family":"Gool","given":"J.","non-dropping-particle":"van"}],"issued":{"date-parts":[["1982",8]]}}}],"schema":"https://github.com/citation-style-language/schema/raw/master/csl-citation.json"} </w:instrText>
      </w:r>
      <w:r w:rsidR="00AD3827" w:rsidRPr="007F5A49">
        <w:rPr>
          <w:rFonts w:ascii="Book Antiqua" w:hAnsi="Book Antiqua" w:cs="Arial"/>
          <w:sz w:val="24"/>
          <w:szCs w:val="24"/>
          <w:vertAlign w:val="superscript"/>
          <w:lang w:val="en-US"/>
        </w:rPr>
        <w:fldChar w:fldCharType="separate"/>
      </w:r>
      <w:r w:rsidR="00A34645"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87</w:t>
      </w:r>
      <w:r w:rsidR="00AD3827" w:rsidRPr="007F5A49">
        <w:rPr>
          <w:rFonts w:ascii="Book Antiqua" w:hAnsi="Book Antiqua" w:cs="Arial"/>
          <w:sz w:val="24"/>
          <w:szCs w:val="24"/>
          <w:vertAlign w:val="superscript"/>
          <w:lang w:val="en-US"/>
        </w:rPr>
        <w:fldChar w:fldCharType="end"/>
      </w:r>
      <w:r w:rsidR="00A34645" w:rsidRPr="007F5A49">
        <w:rPr>
          <w:rFonts w:ascii="Book Antiqua" w:hAnsi="Book Antiqua" w:cs="Arial"/>
          <w:sz w:val="24"/>
          <w:szCs w:val="24"/>
          <w:vertAlign w:val="superscript"/>
          <w:lang w:val="en-US"/>
        </w:rPr>
        <w:t>]</w:t>
      </w:r>
      <w:r w:rsidR="005734C5" w:rsidRPr="007F5A49">
        <w:rPr>
          <w:rFonts w:ascii="Book Antiqua" w:hAnsi="Book Antiqua" w:cs="Arial"/>
          <w:sz w:val="24"/>
          <w:szCs w:val="24"/>
          <w:lang w:val="en-US"/>
        </w:rPr>
        <w:t xml:space="preserve">. </w:t>
      </w:r>
    </w:p>
    <w:p w14:paraId="5AB3C4E5" w14:textId="155B750F" w:rsidR="003D0B55" w:rsidRPr="007F5A49" w:rsidRDefault="00C04BB2" w:rsidP="007F5A49">
      <w:pPr>
        <w:adjustRightInd w:val="0"/>
        <w:snapToGrid w:val="0"/>
        <w:spacing w:after="0" w:line="360" w:lineRule="auto"/>
        <w:jc w:val="both"/>
        <w:rPr>
          <w:rFonts w:ascii="Book Antiqua" w:hAnsi="Book Antiqua" w:cs="Arial"/>
          <w:sz w:val="24"/>
          <w:szCs w:val="24"/>
          <w:lang w:val="en-US"/>
        </w:rPr>
      </w:pPr>
      <w:r>
        <w:rPr>
          <w:rFonts w:ascii="Book Antiqua" w:hAnsi="Book Antiqua" w:cs="Arial"/>
          <w:color w:val="00B050"/>
          <w:sz w:val="24"/>
          <w:szCs w:val="24"/>
          <w:lang w:val="en-US"/>
        </w:rPr>
        <w:t xml:space="preserve">  </w:t>
      </w:r>
      <w:r w:rsidR="00915C4C" w:rsidRPr="007F5A49">
        <w:rPr>
          <w:rFonts w:ascii="Book Antiqua" w:hAnsi="Book Antiqua" w:cs="Arial"/>
          <w:sz w:val="24"/>
          <w:szCs w:val="24"/>
          <w:lang w:val="en-US"/>
        </w:rPr>
        <w:t>About 30</w:t>
      </w:r>
      <w:r>
        <w:rPr>
          <w:rFonts w:ascii="Book Antiqua" w:hAnsi="Book Antiqua" w:cs="Arial"/>
          <w:sz w:val="24"/>
          <w:szCs w:val="24"/>
          <w:lang w:val="en-US"/>
        </w:rPr>
        <w:t>%-</w:t>
      </w:r>
      <w:r w:rsidR="00915C4C" w:rsidRPr="007F5A49">
        <w:rPr>
          <w:rFonts w:ascii="Book Antiqua" w:hAnsi="Book Antiqua" w:cs="Arial"/>
          <w:sz w:val="24"/>
          <w:szCs w:val="24"/>
          <w:lang w:val="en-US"/>
        </w:rPr>
        <w:t>40% of chronic hepatitis C patients demonstrate elevated levels of serum iron, transferrin saturation and ferritin</w:t>
      </w:r>
      <w:r w:rsidR="00915C4C"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5UDGjcFM","properties":{"formattedCitation":"(88)","plainCitation":"(88)","noteIndex":0},"citationItems":[{"id":"z1PZoHrb/JTVUtNdg","uris":["http://zotero.org/users/4222068/items/MQJX28AQ"],"uri":["http://zotero.org/users/4222068/items/MQJX28AQ"],"itemData":{"id":1632,"type":"article-journal","title":"Hepcidin and the iron enigma in HCV infection","container-title":"Virulence","page":"465-476","volume":"5","issue":"4","source":"PubMed Central","abstract":"An estimated 30–40% of patients with chronic hepatitis C have elevated serum iron, transferrin saturation, and ferritin levels. Clinical data suggest that iron is a co-morbidity factor for disease progression following HCV infection. Iron is essential for a number of fundamental metabolic processes in cells and organisms. Mammalian iron homeostasis is tightly regulated and this is maintained through the coordinated action of sensory and regulatory networks that modulate the expression of iron-related proteins at the transcriptional and/or posttranscriptional levels. Disturbances of iron homeostasis have been implicated in infectious disease pathogenesis. Viruses, similarly to other pathogens, can escape recognition by the immune system, but they need iron from their host to grow and spread. Hepcidin is a 25-aa peptide, present in human serum and urine and represents the key peptide hormone, which modulates iron homeostasis in the body. It is synthesized predominantly by hepatocytes and its mature form is released in circulation. In this review, we discuss recent advances in the exciting crosstalk of molecular mechanisms and cell signaling pathways by which iron and hepcidin production influences HCV-induced liver disease.","DOI":"10.4161/viru.28508","ISSN":"2150-5594","note":"PMID: 24626108\nPMCID: PMC4063809","journalAbbreviation":"Virulence","author":[{"family":"Georgopoulou","given":"Urania"},{"family":"Dimitriadis","given":"Alexios"},{"family":"Foka","given":"Pelagia"},{"family":"Karamichali","given":"Eirini"},{"family":"Mamalaki","given":"Avgi"}],"issued":{"date-parts":[["2014",5,15]]}}}],"schema":"https://github.com/citation-style-language/schema/raw/master/csl-citation.json"} </w:instrText>
      </w:r>
      <w:r w:rsidR="00915C4C" w:rsidRPr="007F5A49">
        <w:rPr>
          <w:rFonts w:ascii="Book Antiqua" w:hAnsi="Book Antiqua" w:cs="Arial"/>
          <w:sz w:val="24"/>
          <w:szCs w:val="24"/>
          <w:vertAlign w:val="superscript"/>
          <w:lang w:val="en-US"/>
        </w:rPr>
        <w:fldChar w:fldCharType="separate"/>
      </w:r>
      <w:r w:rsidR="00A34645"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88</w:t>
      </w:r>
      <w:r w:rsidR="00915C4C" w:rsidRPr="007F5A49">
        <w:rPr>
          <w:rFonts w:ascii="Book Antiqua" w:hAnsi="Book Antiqua" w:cs="Arial"/>
          <w:sz w:val="24"/>
          <w:szCs w:val="24"/>
          <w:vertAlign w:val="superscript"/>
          <w:lang w:val="en-US"/>
        </w:rPr>
        <w:fldChar w:fldCharType="end"/>
      </w:r>
      <w:r w:rsidR="00A34645" w:rsidRPr="007F5A49">
        <w:rPr>
          <w:rFonts w:ascii="Book Antiqua" w:hAnsi="Book Antiqua" w:cs="Arial"/>
          <w:sz w:val="24"/>
          <w:szCs w:val="24"/>
          <w:vertAlign w:val="superscript"/>
          <w:lang w:val="en-US"/>
        </w:rPr>
        <w:t>]</w:t>
      </w:r>
      <w:r w:rsidR="00915C4C" w:rsidRPr="007F5A49">
        <w:rPr>
          <w:rFonts w:ascii="Book Antiqua" w:hAnsi="Book Antiqua" w:cs="Arial"/>
          <w:sz w:val="24"/>
          <w:szCs w:val="24"/>
          <w:lang w:val="en-US"/>
        </w:rPr>
        <w:t xml:space="preserve">. </w:t>
      </w:r>
      <w:r w:rsidR="0021517B" w:rsidRPr="007F5A49">
        <w:rPr>
          <w:rFonts w:ascii="Book Antiqua" w:hAnsi="Book Antiqua" w:cs="Arial"/>
          <w:sz w:val="24"/>
          <w:szCs w:val="24"/>
          <w:lang w:val="en-US"/>
        </w:rPr>
        <w:t xml:space="preserve">In </w:t>
      </w:r>
      <w:r w:rsidR="005734C5" w:rsidRPr="007F5A49">
        <w:rPr>
          <w:rFonts w:ascii="Book Antiqua" w:hAnsi="Book Antiqua" w:cs="Arial"/>
          <w:sz w:val="24"/>
          <w:szCs w:val="24"/>
          <w:lang w:val="en-US"/>
        </w:rPr>
        <w:t xml:space="preserve">these </w:t>
      </w:r>
      <w:r w:rsidR="0021517B" w:rsidRPr="007F5A49">
        <w:rPr>
          <w:rFonts w:ascii="Book Antiqua" w:hAnsi="Book Antiqua" w:cs="Arial"/>
          <w:sz w:val="24"/>
          <w:szCs w:val="24"/>
          <w:lang w:val="en-US"/>
        </w:rPr>
        <w:t xml:space="preserve">patients, </w:t>
      </w:r>
      <w:r w:rsidR="005734C5" w:rsidRPr="007F5A49">
        <w:rPr>
          <w:rFonts w:ascii="Book Antiqua" w:hAnsi="Book Antiqua" w:cs="Arial"/>
          <w:sz w:val="24"/>
          <w:szCs w:val="24"/>
          <w:lang w:val="en-US"/>
        </w:rPr>
        <w:t xml:space="preserve">rapid </w:t>
      </w:r>
      <w:r w:rsidR="0021517B" w:rsidRPr="007F5A49">
        <w:rPr>
          <w:rFonts w:ascii="Book Antiqua" w:hAnsi="Book Antiqua" w:cs="Arial"/>
          <w:sz w:val="24"/>
          <w:szCs w:val="24"/>
          <w:lang w:val="en-US"/>
        </w:rPr>
        <w:t xml:space="preserve">progression of tissue scarring is </w:t>
      </w:r>
      <w:r w:rsidR="005734C5" w:rsidRPr="007F5A49">
        <w:rPr>
          <w:rFonts w:ascii="Book Antiqua" w:hAnsi="Book Antiqua" w:cs="Arial"/>
          <w:sz w:val="24"/>
          <w:szCs w:val="24"/>
          <w:lang w:val="en-US"/>
        </w:rPr>
        <w:t xml:space="preserve">observed in </w:t>
      </w:r>
      <w:r w:rsidR="0021517B" w:rsidRPr="007F5A49">
        <w:rPr>
          <w:rFonts w:ascii="Book Antiqua" w:hAnsi="Book Antiqua" w:cs="Arial"/>
          <w:sz w:val="24"/>
          <w:szCs w:val="24"/>
          <w:lang w:val="en-US"/>
        </w:rPr>
        <w:t xml:space="preserve">those with </w:t>
      </w:r>
      <w:r w:rsidR="00A91501" w:rsidRPr="007F5A49">
        <w:rPr>
          <w:rFonts w:ascii="Book Antiqua" w:hAnsi="Book Antiqua" w:cs="Arial"/>
          <w:sz w:val="24"/>
          <w:szCs w:val="24"/>
          <w:lang w:val="en-US"/>
        </w:rPr>
        <w:t>excess iron, compared to those without</w:t>
      </w:r>
      <w:r w:rsidR="00A91501"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1vdhsrusju","properties":{"formattedCitation":"(2)","plainCitation":"(2)","noteIndex":0},"citationItems":[{"id":"z1PZoHrb/AG6ANrHo","uris":["http://zotero.org/users/4222068/items/B4ILEK6N"],"uri":["http://zotero.org/users/4222068/items/B4ILEK6N"],"itemData":{"id":1732,"type":"article-journal","title":"Iron Overload in Patients With Chronic Liver Disease","container-title":"Gastroenterology &amp; Hepatology","page":"695-698","volume":"12","issue":"11","source":"PubMed Central","ISSN":"1554-7914","note":"PMID: 28035198\nPMCID: PMC5193089","journalAbbreviation":"Gastroenterol Hepatol (N Y)","author":[{"family":"Kowdley","given":"Kris V."}],"issued":{"date-parts":[["2016",11]]}}}],"schema":"https://github.com/citation-style-language/schema/raw/master/csl-citation.json"} </w:instrText>
      </w:r>
      <w:r w:rsidR="00A91501" w:rsidRPr="007F5A49">
        <w:rPr>
          <w:rFonts w:ascii="Book Antiqua" w:hAnsi="Book Antiqua" w:cs="Arial"/>
          <w:sz w:val="24"/>
          <w:szCs w:val="24"/>
          <w:vertAlign w:val="superscript"/>
          <w:lang w:val="en-US"/>
        </w:rPr>
        <w:fldChar w:fldCharType="separate"/>
      </w:r>
      <w:r w:rsidR="00A34645"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2</w:t>
      </w:r>
      <w:r w:rsidR="00A91501" w:rsidRPr="007F5A49">
        <w:rPr>
          <w:rFonts w:ascii="Book Antiqua" w:hAnsi="Book Antiqua" w:cs="Arial"/>
          <w:sz w:val="24"/>
          <w:szCs w:val="24"/>
          <w:vertAlign w:val="superscript"/>
          <w:lang w:val="en-US"/>
        </w:rPr>
        <w:fldChar w:fldCharType="end"/>
      </w:r>
      <w:r w:rsidR="00A34645" w:rsidRPr="007F5A49">
        <w:rPr>
          <w:rFonts w:ascii="Book Antiqua" w:hAnsi="Book Antiqua" w:cs="Arial"/>
          <w:sz w:val="24"/>
          <w:szCs w:val="24"/>
          <w:vertAlign w:val="superscript"/>
          <w:lang w:val="en-US"/>
        </w:rPr>
        <w:t>]</w:t>
      </w:r>
      <w:r w:rsidR="00A91501" w:rsidRPr="007F5A49">
        <w:rPr>
          <w:rFonts w:ascii="Book Antiqua" w:hAnsi="Book Antiqua" w:cs="Arial"/>
          <w:sz w:val="24"/>
          <w:szCs w:val="24"/>
          <w:lang w:val="en-US"/>
        </w:rPr>
        <w:t>.</w:t>
      </w:r>
      <w:r w:rsidR="004A71FD" w:rsidRPr="007F5A49">
        <w:rPr>
          <w:rFonts w:ascii="Book Antiqua" w:hAnsi="Book Antiqua" w:cs="Arial"/>
          <w:sz w:val="24"/>
          <w:szCs w:val="24"/>
          <w:lang w:val="en-US"/>
        </w:rPr>
        <w:t xml:space="preserve"> Here, </w:t>
      </w:r>
      <w:r w:rsidR="00C56D6E" w:rsidRPr="007F5A49">
        <w:rPr>
          <w:rFonts w:ascii="Book Antiqua" w:hAnsi="Book Antiqua" w:cs="Arial"/>
          <w:sz w:val="24"/>
          <w:szCs w:val="24"/>
          <w:lang w:val="en-US"/>
        </w:rPr>
        <w:t xml:space="preserve">LIC </w:t>
      </w:r>
      <w:r w:rsidR="00D36448" w:rsidRPr="007F5A49">
        <w:rPr>
          <w:rFonts w:ascii="Book Antiqua" w:eastAsia="Times New Roman" w:hAnsi="Book Antiqua" w:cs="Arial"/>
          <w:sz w:val="24"/>
          <w:szCs w:val="24"/>
          <w:lang w:val="en-US"/>
        </w:rPr>
        <w:t xml:space="preserve">correlates positively with HSC number, where iron </w:t>
      </w:r>
      <w:r w:rsidR="002330A1" w:rsidRPr="007F5A49">
        <w:rPr>
          <w:rFonts w:ascii="Book Antiqua" w:eastAsia="Times New Roman" w:hAnsi="Book Antiqua" w:cs="Arial"/>
          <w:sz w:val="24"/>
          <w:szCs w:val="24"/>
          <w:lang w:val="en-US"/>
        </w:rPr>
        <w:t>could</w:t>
      </w:r>
      <w:r w:rsidR="00D36448" w:rsidRPr="007F5A49">
        <w:rPr>
          <w:rFonts w:ascii="Book Antiqua" w:eastAsia="Times New Roman" w:hAnsi="Book Antiqua" w:cs="Arial"/>
          <w:sz w:val="24"/>
          <w:szCs w:val="24"/>
          <w:lang w:val="en-US"/>
        </w:rPr>
        <w:t xml:space="preserve"> play a </w:t>
      </w:r>
      <w:r w:rsidR="002330A1" w:rsidRPr="007F5A49">
        <w:rPr>
          <w:rFonts w:ascii="Book Antiqua" w:eastAsia="Times New Roman" w:hAnsi="Book Antiqua" w:cs="Arial"/>
          <w:sz w:val="24"/>
          <w:szCs w:val="24"/>
          <w:lang w:val="en-US"/>
        </w:rPr>
        <w:t>crucial</w:t>
      </w:r>
      <w:r w:rsidR="00D36448" w:rsidRPr="007F5A49">
        <w:rPr>
          <w:rFonts w:ascii="Book Antiqua" w:eastAsia="Times New Roman" w:hAnsi="Book Antiqua" w:cs="Arial"/>
          <w:sz w:val="24"/>
          <w:szCs w:val="24"/>
          <w:lang w:val="en-US"/>
        </w:rPr>
        <w:t xml:space="preserve"> role in HSC</w:t>
      </w:r>
      <w:r w:rsidR="00743513" w:rsidRPr="007F5A49">
        <w:rPr>
          <w:rFonts w:ascii="Book Antiqua" w:eastAsia="Times New Roman" w:hAnsi="Book Antiqua" w:cs="Arial"/>
          <w:sz w:val="24"/>
          <w:szCs w:val="24"/>
          <w:lang w:val="en-US"/>
        </w:rPr>
        <w:t>-</w:t>
      </w:r>
      <w:r w:rsidR="00D36448" w:rsidRPr="007F5A49">
        <w:rPr>
          <w:rFonts w:ascii="Book Antiqua" w:eastAsia="Times New Roman" w:hAnsi="Book Antiqua" w:cs="Arial"/>
          <w:sz w:val="24"/>
          <w:szCs w:val="24"/>
          <w:lang w:val="en-US"/>
        </w:rPr>
        <w:t xml:space="preserve">activation and </w:t>
      </w:r>
      <w:r w:rsidR="002330A1" w:rsidRPr="007F5A49">
        <w:rPr>
          <w:rFonts w:ascii="Book Antiqua" w:eastAsia="Times New Roman" w:hAnsi="Book Antiqua" w:cs="Arial"/>
          <w:sz w:val="24"/>
          <w:szCs w:val="24"/>
          <w:lang w:val="en-US"/>
        </w:rPr>
        <w:t>fibrosis</w:t>
      </w:r>
      <w:r w:rsidR="00D36448" w:rsidRPr="007F5A49">
        <w:rPr>
          <w:rFonts w:ascii="Book Antiqua" w:eastAsia="Times New Roman" w:hAnsi="Book Antiqua" w:cs="Arial"/>
          <w:sz w:val="24"/>
          <w:szCs w:val="24"/>
          <w:lang w:val="en-US"/>
        </w:rPr>
        <w:t xml:space="preserve"> progression</w:t>
      </w:r>
      <w:r w:rsidR="002330A1"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SlRHK7ge","properties":{"formattedCitation":"(89)","plainCitation":"(89)","noteIndex":0},"citationItems":[{"id":"z1PZoHrb/aQY7zfb1","uris":["http://zotero.org/users/4222068/items/6Z742P2X"],"uri":["http://zotero.org/users/4222068/items/6Z742P2X"],"itemData":{"id":1398,"type":"article-journal","title":"Iron, hepatic stellate cells and fibrosis in chronic hepatitis C","container-title":"European Journal of Clinical Investigation","page":"28-35","volume":"32 Suppl 1","source":"PubMed","abstract":"BACKGROUND/AIMS: In patients with chronic hepatitis C, hepatic iron concentration correlates with liver fibrosis. However, it is not clear whether this correlation merely reflects the presence of more active disease, or iron exacerbates chronic hepatitis C virus (HCV)-induced damage through activation of hepatic stellate cells and regeneration of hepatocytes.\nMATERIALS AND METHODS: We studied 72 HCV-positive patients, staged according to the Ishak's score system. We measured hepatic iron concentration with spectrophotometry and evaluated the number of hepatic stellate cells (using monoclonal antibody against alpha smooth muscle actin) and proliferating hepatocytes (using monoclonal antibody against Ki67). Iron and ferritin serum levels were also determined.\nRESULTS: Hepatic iron concentration correlated statistically with ferritin serum level (r = 0.59, P &lt; 0.001), with grading (r = 0.47, P &lt; 0.001) and staging (r = 0.51, P &lt; 0.001) scores for chronic hepatitis in the whole group of patients. Hepatic iron concentration correlated positively with stellate cell number (r = 0.55, P = 0.004) and Ki67-positive hepatocyte number (r = 0.36, P = 0.08) in patients with chronic hepatitis C and low grading score (&lt; 3).\nCONCLUSIONS: In patients with chronic hepatitis C and low grading score, hepatic iron could play a role in the activation of hepatic stellate cells and in the progression of fibrosis.","ISSN":"0014-2972","note":"PMID: 11886429","journalAbbreviation":"Eur. J. Clin. Invest.","language":"eng","author":[{"family":"Rigamonti","given":"Cristina"},{"family":"Andorno","given":"S."},{"family":"Maduli","given":"E."},{"family":"Morelli","given":"S."},{"family":"Pittau","given":"S."},{"family":"Nicosia","given":"G."},{"family":"Boldorini","given":"R."},{"family":"Sartori","given":"M."}],"issued":{"date-parts":[["2002",3]]}}}],"schema":"https://github.com/citation-style-language/schema/raw/master/csl-citation.json"} </w:instrText>
      </w:r>
      <w:r w:rsidR="002330A1" w:rsidRPr="007F5A49">
        <w:rPr>
          <w:rFonts w:ascii="Book Antiqua" w:hAnsi="Book Antiqua" w:cs="Arial"/>
          <w:sz w:val="24"/>
          <w:szCs w:val="24"/>
          <w:vertAlign w:val="superscript"/>
          <w:lang w:val="en-US"/>
        </w:rPr>
        <w:fldChar w:fldCharType="separate"/>
      </w:r>
      <w:r w:rsidR="00A34645"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89</w:t>
      </w:r>
      <w:r w:rsidR="002330A1" w:rsidRPr="007F5A49">
        <w:rPr>
          <w:rFonts w:ascii="Book Antiqua" w:hAnsi="Book Antiqua" w:cs="Arial"/>
          <w:sz w:val="24"/>
          <w:szCs w:val="24"/>
          <w:vertAlign w:val="superscript"/>
          <w:lang w:val="en-US"/>
        </w:rPr>
        <w:fldChar w:fldCharType="end"/>
      </w:r>
      <w:r w:rsidR="00A34645" w:rsidRPr="007F5A49">
        <w:rPr>
          <w:rFonts w:ascii="Book Antiqua" w:hAnsi="Book Antiqua" w:cs="Arial"/>
          <w:sz w:val="24"/>
          <w:szCs w:val="24"/>
          <w:vertAlign w:val="superscript"/>
          <w:lang w:val="en-US"/>
        </w:rPr>
        <w:t>]</w:t>
      </w:r>
      <w:r w:rsidR="004A71FD" w:rsidRPr="007F5A49">
        <w:rPr>
          <w:rFonts w:ascii="Book Antiqua" w:hAnsi="Book Antiqua" w:cs="Arial"/>
          <w:sz w:val="24"/>
          <w:szCs w:val="24"/>
          <w:lang w:val="en-US"/>
        </w:rPr>
        <w:t xml:space="preserve">. </w:t>
      </w:r>
      <w:r w:rsidR="004962DD" w:rsidRPr="007F5A49">
        <w:rPr>
          <w:rFonts w:ascii="Book Antiqua" w:hAnsi="Book Antiqua" w:cs="Arial"/>
          <w:bCs/>
          <w:kern w:val="24"/>
          <w:sz w:val="24"/>
          <w:szCs w:val="24"/>
          <w:lang w:val="en-US"/>
        </w:rPr>
        <w:t xml:space="preserve">Although the reason for iron loading </w:t>
      </w:r>
      <w:r w:rsidR="008659B2" w:rsidRPr="007F5A49">
        <w:rPr>
          <w:rFonts w:ascii="Book Antiqua" w:hAnsi="Book Antiqua" w:cs="Arial"/>
          <w:bCs/>
          <w:kern w:val="24"/>
          <w:sz w:val="24"/>
          <w:szCs w:val="24"/>
          <w:lang w:val="en-US"/>
        </w:rPr>
        <w:t xml:space="preserve">in these patients </w:t>
      </w:r>
      <w:r w:rsidR="004962DD" w:rsidRPr="007F5A49">
        <w:rPr>
          <w:rFonts w:ascii="Book Antiqua" w:hAnsi="Book Antiqua" w:cs="Arial"/>
          <w:bCs/>
          <w:kern w:val="24"/>
          <w:sz w:val="24"/>
          <w:szCs w:val="24"/>
          <w:lang w:val="en-US"/>
        </w:rPr>
        <w:t>has</w:t>
      </w:r>
      <w:r w:rsidR="008659B2" w:rsidRPr="007F5A49">
        <w:rPr>
          <w:rFonts w:ascii="Book Antiqua" w:hAnsi="Book Antiqua" w:cs="Arial"/>
          <w:bCs/>
          <w:kern w:val="24"/>
          <w:sz w:val="24"/>
          <w:szCs w:val="24"/>
          <w:lang w:val="en-US"/>
        </w:rPr>
        <w:t xml:space="preserve"> </w:t>
      </w:r>
      <w:r w:rsidR="004962DD" w:rsidRPr="007F5A49">
        <w:rPr>
          <w:rFonts w:ascii="Book Antiqua" w:hAnsi="Book Antiqua" w:cs="Arial"/>
          <w:bCs/>
          <w:kern w:val="24"/>
          <w:sz w:val="24"/>
          <w:szCs w:val="24"/>
          <w:lang w:val="en-US"/>
        </w:rPr>
        <w:t>been</w:t>
      </w:r>
      <w:r w:rsidR="008659B2" w:rsidRPr="007F5A49">
        <w:rPr>
          <w:rFonts w:ascii="Book Antiqua" w:hAnsi="Book Antiqua" w:cs="Arial"/>
          <w:bCs/>
          <w:kern w:val="24"/>
          <w:sz w:val="24"/>
          <w:szCs w:val="24"/>
          <w:lang w:val="en-US"/>
        </w:rPr>
        <w:t xml:space="preserve"> attributed to the reduction in </w:t>
      </w:r>
      <w:r w:rsidR="004962DD" w:rsidRPr="007F5A49">
        <w:rPr>
          <w:rFonts w:ascii="Book Antiqua" w:hAnsi="Book Antiqua" w:cs="Arial"/>
          <w:bCs/>
          <w:kern w:val="24"/>
          <w:sz w:val="24"/>
          <w:szCs w:val="24"/>
          <w:lang w:val="en-US"/>
        </w:rPr>
        <w:t xml:space="preserve">hepcidin </w:t>
      </w:r>
      <w:r w:rsidR="008659B2" w:rsidRPr="007F5A49">
        <w:rPr>
          <w:rFonts w:ascii="Book Antiqua" w:hAnsi="Book Antiqua" w:cs="Arial"/>
          <w:bCs/>
          <w:kern w:val="24"/>
          <w:sz w:val="24"/>
          <w:szCs w:val="24"/>
          <w:lang w:val="en-US"/>
        </w:rPr>
        <w:t>d</w:t>
      </w:r>
      <w:r w:rsidR="004962DD" w:rsidRPr="007F5A49">
        <w:rPr>
          <w:rFonts w:ascii="Book Antiqua" w:hAnsi="Book Antiqua" w:cs="Arial"/>
          <w:bCs/>
          <w:kern w:val="24"/>
          <w:sz w:val="24"/>
          <w:szCs w:val="24"/>
          <w:lang w:val="en-US"/>
        </w:rPr>
        <w:t>ue t</w:t>
      </w:r>
      <w:r w:rsidR="008659B2" w:rsidRPr="007F5A49">
        <w:rPr>
          <w:rFonts w:ascii="Book Antiqua" w:hAnsi="Book Antiqua" w:cs="Arial"/>
          <w:bCs/>
          <w:kern w:val="24"/>
          <w:sz w:val="24"/>
          <w:szCs w:val="24"/>
          <w:lang w:val="en-US"/>
        </w:rPr>
        <w:t xml:space="preserve">o </w:t>
      </w:r>
      <w:r w:rsidR="008659B2" w:rsidRPr="007F5A49">
        <w:rPr>
          <w:rFonts w:ascii="Book Antiqua" w:hAnsi="Book Antiqua" w:cs="Arial"/>
          <w:bCs/>
          <w:kern w:val="24"/>
          <w:sz w:val="24"/>
          <w:szCs w:val="24"/>
          <w:lang w:val="en-US"/>
        </w:rPr>
        <w:lastRenderedPageBreak/>
        <w:t>virus-</w:t>
      </w:r>
      <w:r w:rsidR="004962DD" w:rsidRPr="007F5A49">
        <w:rPr>
          <w:rFonts w:ascii="Book Antiqua" w:hAnsi="Book Antiqua" w:cs="Arial"/>
          <w:bCs/>
          <w:kern w:val="24"/>
          <w:sz w:val="24"/>
          <w:szCs w:val="24"/>
          <w:lang w:val="en-US"/>
        </w:rPr>
        <w:t xml:space="preserve">induced </w:t>
      </w:r>
      <w:r w:rsidR="008659B2" w:rsidRPr="007F5A49">
        <w:rPr>
          <w:rFonts w:ascii="Book Antiqua" w:hAnsi="Book Antiqua" w:cs="Arial"/>
          <w:bCs/>
          <w:kern w:val="24"/>
          <w:sz w:val="24"/>
          <w:szCs w:val="24"/>
          <w:lang w:val="en-US"/>
        </w:rPr>
        <w:t>oxidative</w:t>
      </w:r>
      <w:r w:rsidR="004962DD" w:rsidRPr="007F5A49">
        <w:rPr>
          <w:rFonts w:ascii="Book Antiqua" w:hAnsi="Book Antiqua" w:cs="Arial"/>
          <w:bCs/>
          <w:kern w:val="24"/>
          <w:sz w:val="24"/>
          <w:szCs w:val="24"/>
          <w:lang w:val="en-US"/>
        </w:rPr>
        <w:t xml:space="preserve"> stress, </w:t>
      </w:r>
      <w:r w:rsidR="008659B2" w:rsidRPr="007F5A49">
        <w:rPr>
          <w:rFonts w:ascii="Book Antiqua" w:hAnsi="Book Antiqua" w:cs="Arial"/>
          <w:bCs/>
          <w:kern w:val="24"/>
          <w:sz w:val="24"/>
          <w:szCs w:val="24"/>
          <w:lang w:val="en-US"/>
        </w:rPr>
        <w:t>there</w:t>
      </w:r>
      <w:r w:rsidR="004962DD" w:rsidRPr="007F5A49">
        <w:rPr>
          <w:rFonts w:ascii="Book Antiqua" w:hAnsi="Book Antiqua" w:cs="Arial"/>
          <w:bCs/>
          <w:kern w:val="24"/>
          <w:sz w:val="24"/>
          <w:szCs w:val="24"/>
          <w:lang w:val="en-US"/>
        </w:rPr>
        <w:t xml:space="preserve"> have been some </w:t>
      </w:r>
      <w:r w:rsidR="008659B2" w:rsidRPr="007F5A49">
        <w:rPr>
          <w:rFonts w:ascii="Book Antiqua" w:hAnsi="Book Antiqua" w:cs="Arial"/>
          <w:bCs/>
          <w:kern w:val="24"/>
          <w:sz w:val="24"/>
          <w:szCs w:val="24"/>
          <w:lang w:val="en-US"/>
        </w:rPr>
        <w:t>discrepancies</w:t>
      </w:r>
      <w:r w:rsidR="004962DD" w:rsidRPr="007F5A49">
        <w:rPr>
          <w:rFonts w:ascii="Book Antiqua" w:hAnsi="Book Antiqua" w:cs="Arial"/>
          <w:bCs/>
          <w:kern w:val="24"/>
          <w:sz w:val="24"/>
          <w:szCs w:val="24"/>
          <w:lang w:val="en-US"/>
        </w:rPr>
        <w:t xml:space="preserve"> in clinical </w:t>
      </w:r>
      <w:r w:rsidR="008659B2" w:rsidRPr="007F5A49">
        <w:rPr>
          <w:rFonts w:ascii="Book Antiqua" w:hAnsi="Book Antiqua" w:cs="Arial"/>
          <w:bCs/>
          <w:kern w:val="24"/>
          <w:sz w:val="24"/>
          <w:szCs w:val="24"/>
          <w:lang w:val="en-US"/>
        </w:rPr>
        <w:t>studies</w:t>
      </w:r>
      <w:r w:rsidR="004962DD" w:rsidRPr="007F5A49">
        <w:rPr>
          <w:rFonts w:ascii="Book Antiqua" w:hAnsi="Book Antiqua" w:cs="Arial"/>
          <w:bCs/>
          <w:kern w:val="24"/>
          <w:sz w:val="24"/>
          <w:szCs w:val="24"/>
          <w:lang w:val="en-US"/>
        </w:rPr>
        <w:t xml:space="preserve">, where no </w:t>
      </w:r>
      <w:r w:rsidR="004962DD" w:rsidRPr="007F5A49">
        <w:rPr>
          <w:rFonts w:ascii="Book Antiqua" w:eastAsia="Times New Roman" w:hAnsi="Book Antiqua" w:cs="Arial"/>
          <w:sz w:val="24"/>
          <w:szCs w:val="24"/>
          <w:lang w:val="en-US"/>
        </w:rPr>
        <w:t>causal relationship between iron overload and hepcidin inhibition was noted</w:t>
      </w:r>
      <w:r w:rsidR="004962DD" w:rsidRPr="007F5A49">
        <w:rPr>
          <w:rFonts w:ascii="Book Antiqua" w:hAnsi="Book Antiqua" w:cs="Arial"/>
          <w:b/>
          <w:sz w:val="24"/>
          <w:szCs w:val="24"/>
          <w:vertAlign w:val="superscript"/>
          <w:lang w:val="en-US"/>
        </w:rPr>
        <w:fldChar w:fldCharType="begin"/>
      </w:r>
      <w:r w:rsidR="00D2645C" w:rsidRPr="007F5A49">
        <w:rPr>
          <w:rFonts w:ascii="Book Antiqua" w:hAnsi="Book Antiqua" w:cs="Arial"/>
          <w:b/>
          <w:sz w:val="24"/>
          <w:szCs w:val="24"/>
          <w:vertAlign w:val="superscript"/>
          <w:lang w:val="en-US"/>
        </w:rPr>
        <w:instrText xml:space="preserve"> ADDIN ZOTERO_ITEM CSL_CITATION {"citationID":"EWOl1kco","properties":{"formattedCitation":"(90)","plainCitation":"(90)","noteIndex":0},"citationItems":[{"id":"z1PZoHrb/Up8wKmNT","uris":["http://zotero.org/users/4222068/items/9NAB4PUW"],"uri":["http://zotero.org/users/4222068/items/9NAB4PUW"],"itemData":{"id":1755,"type":"article-journal","title":"The iron homeostasis network and hepatitis C virus – a new challenge in the era of directly acting antivirals","container-title":"Virulence","page":"620-622","volume":"7","issue":"6","source":"PubMed Central","DOI":"10.1080/21505594.2016.1191739","ISSN":"2150-5594","note":"PMID: 27196953\nPMCID: PMC4991316","journalAbbreviation":"Virulence","author":[{"family":"Sikorska","given":"Katarzyna"}],"issued":{"date-parts":[["2016",5,19]]}}}],"schema":"https://github.com/citation-style-language/schema/raw/master/csl-citation.json"} </w:instrText>
      </w:r>
      <w:r w:rsidR="004962DD" w:rsidRPr="007F5A49">
        <w:rPr>
          <w:rFonts w:ascii="Book Antiqua" w:hAnsi="Book Antiqua" w:cs="Arial"/>
          <w:b/>
          <w:sz w:val="24"/>
          <w:szCs w:val="24"/>
          <w:vertAlign w:val="superscript"/>
          <w:lang w:val="en-US"/>
        </w:rPr>
        <w:fldChar w:fldCharType="separate"/>
      </w:r>
      <w:r w:rsidR="00A34645"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90</w:t>
      </w:r>
      <w:r w:rsidR="004962DD" w:rsidRPr="007F5A49">
        <w:rPr>
          <w:rFonts w:ascii="Book Antiqua" w:hAnsi="Book Antiqua" w:cs="Arial"/>
          <w:b/>
          <w:sz w:val="24"/>
          <w:szCs w:val="24"/>
          <w:vertAlign w:val="superscript"/>
          <w:lang w:val="en-US"/>
        </w:rPr>
        <w:fldChar w:fldCharType="end"/>
      </w:r>
      <w:r w:rsidR="00A34645" w:rsidRPr="007F5A49">
        <w:rPr>
          <w:rFonts w:ascii="Book Antiqua" w:hAnsi="Book Antiqua" w:cs="Arial"/>
          <w:b/>
          <w:sz w:val="24"/>
          <w:szCs w:val="24"/>
          <w:vertAlign w:val="superscript"/>
          <w:lang w:val="en-US"/>
        </w:rPr>
        <w:t>]</w:t>
      </w:r>
      <w:r w:rsidR="00B3286F" w:rsidRPr="007F5A49">
        <w:rPr>
          <w:rFonts w:ascii="Book Antiqua" w:hAnsi="Book Antiqua" w:cs="Arial"/>
          <w:b/>
          <w:sz w:val="24"/>
          <w:szCs w:val="24"/>
          <w:lang w:val="en-US"/>
        </w:rPr>
        <w:t xml:space="preserve">. </w:t>
      </w:r>
      <w:r w:rsidR="00782602" w:rsidRPr="007F5A49">
        <w:rPr>
          <w:rFonts w:ascii="Book Antiqua" w:hAnsi="Book Antiqua" w:cs="Arial"/>
          <w:sz w:val="24"/>
          <w:szCs w:val="24"/>
          <w:lang w:val="en-US"/>
        </w:rPr>
        <w:t>Interestingly, in a case-control study, patients with chronic hepatitis C infection showed lower expression of hepcidin mRNA and more frequent hepatocyte iron deposition than hepatitis B infected patients</w:t>
      </w:r>
      <w:r w:rsidR="00782602"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cyyXu6cv","properties":{"formattedCitation":"(91)","plainCitation":"(91)","noteIndex":0},"citationItems":[{"id":"z1PZoHrb/WTKw1fxe","uris":["http://zotero.org/users/4222068/items/N3MKFQJ4"],"uri":["http://zotero.org/users/4222068/items/N3MKFQJ4"],"itemData":{"id":1763,"type":"article-journal","title":"Association of hepcidin mRNA expression with hepatocyte iron accumulation and effects of antiviral therapy in chronic hepatitis C infection","container-title":"Hepatitis Monthly","page":"e21184","volume":"14","issue":"11","source":"PubMed","abstract":"BACKGROUND: Iron overload is frequently observed in patients with chronic hepatitis C (CHC) and is associated with the increased risk of liver fibrosis and carcinogenesis. Hepcidin is a regulator of iron homeostasis and a component of innate immunity. Based on experimental studies, iron overload might be a result of low hepcidin synthesis in CHC.\nOBJECTIVES: The aim of this case-control study was to assess hepcidin mRNA expression in liver tissue of patients with CHC in terms of iron metabolism parameters, hemochromatosis (HFE) gene mutations, disease activity, and efficacy of antiviral treatment with pegylated interferon and ribavirin.\nPATIENTS AND METHODS: A total of 31 patients with CHC, who were qualified for antiviral therapy, were compared with 19 patients with chronic hepatitis B (CHB). In both groups, liver function tests and serum iron parameters were assayed and hepcidin mRNA expression was measured in liver specimens using real time PCR with normalization to reference genes mRNA of stable expression.\nRESULTS: Patients with CHC had lower hepcidin mRNA expression and more frequently iron deposits in hepatocytes than subjects with CHB did. In CHC group, hepcidin mRNA expression was positively correlated with alanine aminotransferase activity and serum iron concentration. Low expression of hepcidin had no correlation with tissue iron overload in those with CHC. In univariate analysis, HCV viral load and efficacy of antiviral treatment were not significantly associated with hepcidin mRNA expression.\nCONCLUSIONS: Further studies on the role of hepcidin in pathogenesis of CHC are needed to assess the potency of its use in antiviral treatment.","DOI":"10.5812/hepatmon.21184","ISSN":"1735-143X","note":"PMID: 25598789\nPMCID: PMC4286710","journalAbbreviation":"Hepat Mon","language":"eng","author":[{"family":"Sikorska","given":"Katarzyna"},{"family":"Romanowski","given":"Tomasz"},{"family":"Stalke","given":"Piotr"},{"family":"Izycka Swieszewska","given":"Ewa"},{"family":"Bielawski","given":"Krzysztof Piotr"}],"issued":{"date-parts":[["2014",11]]}}}],"schema":"https://github.com/citation-style-language/schema/raw/master/csl-citation.json"} </w:instrText>
      </w:r>
      <w:r w:rsidR="00782602" w:rsidRPr="007F5A49">
        <w:rPr>
          <w:rFonts w:ascii="Book Antiqua" w:hAnsi="Book Antiqua" w:cs="Arial"/>
          <w:sz w:val="24"/>
          <w:szCs w:val="24"/>
          <w:vertAlign w:val="superscript"/>
          <w:lang w:val="en-US"/>
        </w:rPr>
        <w:fldChar w:fldCharType="separate"/>
      </w:r>
      <w:r w:rsidR="00A34645"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91</w:t>
      </w:r>
      <w:r w:rsidR="00782602" w:rsidRPr="007F5A49">
        <w:rPr>
          <w:rFonts w:ascii="Book Antiqua" w:hAnsi="Book Antiqua" w:cs="Arial"/>
          <w:sz w:val="24"/>
          <w:szCs w:val="24"/>
          <w:vertAlign w:val="superscript"/>
          <w:lang w:val="en-US"/>
        </w:rPr>
        <w:fldChar w:fldCharType="end"/>
      </w:r>
      <w:r w:rsidR="00A34645" w:rsidRPr="007F5A49">
        <w:rPr>
          <w:rFonts w:ascii="Book Antiqua" w:hAnsi="Book Antiqua" w:cs="Arial"/>
          <w:sz w:val="24"/>
          <w:szCs w:val="24"/>
          <w:vertAlign w:val="superscript"/>
          <w:lang w:val="en-US"/>
        </w:rPr>
        <w:t>]</w:t>
      </w:r>
      <w:r w:rsidR="00782602" w:rsidRPr="007F5A49">
        <w:rPr>
          <w:rFonts w:ascii="Book Antiqua" w:hAnsi="Book Antiqua" w:cs="Arial"/>
          <w:sz w:val="24"/>
          <w:szCs w:val="24"/>
          <w:lang w:val="en-US"/>
        </w:rPr>
        <w:t>.</w:t>
      </w:r>
      <w:r w:rsidR="00782602" w:rsidRPr="007F5A49">
        <w:rPr>
          <w:rFonts w:ascii="Book Antiqua" w:hAnsi="Book Antiqua" w:cs="Arial"/>
          <w:b/>
          <w:sz w:val="24"/>
          <w:szCs w:val="24"/>
          <w:lang w:val="en-US"/>
        </w:rPr>
        <w:t xml:space="preserve"> </w:t>
      </w:r>
      <w:r w:rsidR="003D0B55" w:rsidRPr="007F5A49">
        <w:rPr>
          <w:rFonts w:ascii="Book Antiqua" w:hAnsi="Book Antiqua" w:cs="Arial"/>
          <w:sz w:val="24"/>
          <w:szCs w:val="24"/>
          <w:lang w:val="en-US"/>
        </w:rPr>
        <w:t xml:space="preserve">Hepatitis B infected patients also show </w:t>
      </w:r>
      <w:r w:rsidR="001905FB" w:rsidRPr="007F5A49">
        <w:rPr>
          <w:rFonts w:ascii="Book Antiqua" w:hAnsi="Book Antiqua" w:cs="Arial"/>
          <w:sz w:val="24"/>
          <w:szCs w:val="24"/>
          <w:lang w:val="en-US"/>
        </w:rPr>
        <w:t>elevated LIC</w:t>
      </w:r>
      <w:r w:rsidR="00412FB7" w:rsidRPr="007F5A49">
        <w:rPr>
          <w:rFonts w:ascii="Book Antiqua" w:hAnsi="Book Antiqua" w:cs="Arial"/>
          <w:sz w:val="24"/>
          <w:szCs w:val="24"/>
          <w:lang w:val="en-US"/>
        </w:rPr>
        <w:t>, where high iron is speculated to increase disease severity</w:t>
      </w:r>
      <w:r w:rsidR="003D0B55"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5Ajt9NkZ","properties":{"formattedCitation":"(92)","plainCitation":"(92)","noteIndex":0},"citationItems":[{"id":441,"uris":["http://zotero.org/users/2804724/items/DRA2QU5I"],"uri":["http://zotero.org/users/2804724/items/DRA2QU5I"],"itemData":{"id":441,"type":"article-journal","title":"Hepatic iron overload is common in chronic hepatitis B and is more severe in patients coinfected with hepatitis D virus","container-title":"Journal of Viral Hepatitis","page":"e170-176","volume":"19","issue":"2","source":"PubMed","abstract":"Hepatic iron overload has been described in chronic hepatitis C as a cofactor affecting fibrosis progression. Data in patients with chronic hepatitis B infection are scarce. We investigated hepatic iron deposits and serum iron indices in 205 consecutive patients with hepatitis B and compensated liver disease. Mean age of the patients was 42.4 ± 12.4 years and 72.5% were males. Coinfection with hepatitis delta virus (HDV) was present in 8.8%. At least one of the serum iron indices was elevated in 41.5% of cases. Hepatic iron deposits were detected in 35.1% of patients, most of them being minimal (grade I) (59.7%) or mild (grade II) (27.8%). Variables significantly associated with hepatic iron deposits were male gender (P = 0.001), serum ferritin (P = 0.008), γGT (P = 0.05) and alkaline phosphatase (P = 0.05) levels. By multivariate analysis hepatic iron deposits correlated with serum ferritin [odds ratio (OR) 1.2, 95% confidence interval (CI) 1.05-1.4, P = 0.002]. Presence of mild-moderate (grades II and III) hepatic iron deposits could be excluded with high negative predictive value (90%) when serum ferritin was within normal values. A significant correlation between coinfection with HDV and hepatic iron deposits was also found (OR 4.23, 95% CI 1.52-11.82, P = 0.003). When compared to monoinfected cases, HDV positive patients had more elevated γGT (P = 0.03), more advanced fibrosis and more severe iron deposits (P &lt; 0.0001). In conclusion, in well-compensated chronic hepatitis B infection, hepatic iron deposits and elevation of serum iron indices are common, especially in male gender and in patients coinfected with HDV. As HBV/HDV liver disease is generally more rapidly progressive than that caused by HBV monoinfection, we speculate that iron overload may be one of the factors contributing to the severity of liver disease.","DOI":"10.1111/j.1365-2893.2011.01508.x","ISSN":"1365-2893","note":"PMID: 22239515","journalAbbreviation":"J. Viral Hepat.","language":"eng","author":[{"family":"Sebastiani","given":"G."},{"family":"Tempesta","given":"D."},{"family":"Alberti","given":"A."}],"issued":{"date-parts":[["2012",2]]}}}],"schema":"https://github.com/citation-style-language/schema/raw/master/csl-citation.json"} </w:instrText>
      </w:r>
      <w:r w:rsidR="003D0B55" w:rsidRPr="007F5A49">
        <w:rPr>
          <w:rFonts w:ascii="Book Antiqua" w:hAnsi="Book Antiqua" w:cs="Arial"/>
          <w:sz w:val="24"/>
          <w:szCs w:val="24"/>
          <w:vertAlign w:val="superscript"/>
          <w:lang w:val="en-US"/>
        </w:rPr>
        <w:fldChar w:fldCharType="separate"/>
      </w:r>
      <w:r w:rsidR="00A34645"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92</w:t>
      </w:r>
      <w:r w:rsidR="003D0B55" w:rsidRPr="007F5A49">
        <w:rPr>
          <w:rFonts w:ascii="Book Antiqua" w:hAnsi="Book Antiqua" w:cs="Arial"/>
          <w:sz w:val="24"/>
          <w:szCs w:val="24"/>
          <w:vertAlign w:val="superscript"/>
          <w:lang w:val="en-US"/>
        </w:rPr>
        <w:fldChar w:fldCharType="end"/>
      </w:r>
      <w:r w:rsidR="00A34645" w:rsidRPr="007F5A49">
        <w:rPr>
          <w:rFonts w:ascii="Book Antiqua" w:hAnsi="Book Antiqua" w:cs="Arial"/>
          <w:sz w:val="24"/>
          <w:szCs w:val="24"/>
          <w:vertAlign w:val="superscript"/>
          <w:lang w:val="en-US"/>
        </w:rPr>
        <w:t>]</w:t>
      </w:r>
      <w:r w:rsidR="004A71FD" w:rsidRPr="007F5A49">
        <w:rPr>
          <w:rFonts w:ascii="Book Antiqua" w:hAnsi="Book Antiqua" w:cs="Arial"/>
          <w:sz w:val="24"/>
          <w:szCs w:val="24"/>
          <w:lang w:val="en-US"/>
        </w:rPr>
        <w:t>. I</w:t>
      </w:r>
      <w:r w:rsidR="003D0B55" w:rsidRPr="007F5A49">
        <w:rPr>
          <w:rFonts w:ascii="Book Antiqua" w:hAnsi="Book Antiqua" w:cs="Arial"/>
          <w:sz w:val="24"/>
          <w:szCs w:val="24"/>
          <w:lang w:val="en-US"/>
        </w:rPr>
        <w:t xml:space="preserve">ron </w:t>
      </w:r>
      <w:r w:rsidR="00BB554B" w:rsidRPr="007F5A49">
        <w:rPr>
          <w:rFonts w:ascii="Book Antiqua" w:hAnsi="Book Antiqua" w:cs="Arial"/>
          <w:sz w:val="24"/>
          <w:szCs w:val="24"/>
          <w:lang w:val="en-US"/>
        </w:rPr>
        <w:t xml:space="preserve">can </w:t>
      </w:r>
      <w:r w:rsidR="003D0B55" w:rsidRPr="007F5A49">
        <w:rPr>
          <w:rFonts w:ascii="Book Antiqua" w:hAnsi="Book Antiqua" w:cs="Arial"/>
          <w:sz w:val="24"/>
          <w:szCs w:val="24"/>
          <w:lang w:val="en-US"/>
        </w:rPr>
        <w:t>increase hepatitis B virus mRNA expression in HepG2 cells</w:t>
      </w:r>
      <w:r w:rsidR="009610B3"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14a58578o5","properties":{"formattedCitation":"(93)","plainCitation":"(93)","noteIndex":0},"citationItems":[{"id":"z1PZoHrb/HnNphrQ1","uris":["http://zotero.org/users/4222068/items/8P54R4XG"],"uri":["http://zotero.org/users/4222068/items/8P54R4XG"],"itemData":{"id":1235,"type":"article-journal","title":"TGF-β and iron differently alter HBV replication in human hepatocytes through TGF-β/BMP signaling and cellular microRNA expression","container-title":"PloS One","page":"e39276","volume":"7","issue":"6","source":"PubMed","abstract":"The nature of host-virus interactions in hepatitis B virus infection is incompletely understood. Since soluble factors, e.g., cytokines and metals, may exacerbate liver injury in chronic hepatitis, we considered that defining the effects of receptor-mediated signaling upon viral replication will be significant. Consequently, we studied effects of iron or TGF-β-induced TGF-β/BMP signaling in the HepG2 2.2.15 cell model of hepatitis B virus replication. We found iron and TGF-β increased hepcidin mRNA expression or TGF-β receptor kinase activity, respectively, which indicated that 2.2.15 cells responded appropriately to these substances. However, iron increased but TGF-β decreased hepatitis B virus mRNA and DNA expression. TGF-β induced expression at the mRNA level of multiple TGF-β/BMP pathway genes. This change was not observed in iron-treated cells. On the other hand, presence of SMAD proteins in iron or TGF-β-treated cells, including of SMAD4, did confirm convergence of TGF-β/BMP signaling pathways under these conditions. Since transcription factors in TGF-β/BMP signaling pathways could not have directly targeted hepatitis B virus itself, we studied whether iron or TGF-β exerted their effects through alternative mechanisms, such as by involvement of antiviral cellular microRNAs. We discovered cellular microRNA expression profiles were significantly different in iron or TGF-β-treated cells compared with untreated control cells. In many cases, exposure to iron or TGF-β changed microRNA expression in opposite directions. Introduction in cells of sequences representing such differentially expressed microRNAs, e.g., hsa-miR-125a-5p and -151-5p, even reproduced effects on virus replication of iron- or TGF-β. We surmised that TGF-β/BMP pathway members, i.e., SMADs, likely governed iron or TGF-β-induced microRNA expression. Iron may have mediated Drosha/DGCR8/heme-mediated processing of microRNAs. In turn, cellular microRNAs regulated replication of hepatitis B virus in iron or TGF-β-treated cells. This knowledge should advance studies of mechanisms in viral-host interactions, hepatic injury, and therapeutic developments for hepatitis B.","DOI":"10.1371/journal.pone.0039276","ISSN":"1932-6203","note":"PMID: 22723983\nPMCID: PMC3377643","journalAbbreviation":"PLoS ONE","language":"eng","author":[{"family":"Park","given":"Sun O."},{"family":"Kumar","given":"Mukesh"},{"family":"Gupta","given":"Sanjeev"}],"issued":{"date-parts":[["2012"]]}}}],"schema":"https://github.com/citation-style-language/schema/raw/master/csl-citation.json"} </w:instrText>
      </w:r>
      <w:r w:rsidR="009610B3" w:rsidRPr="007F5A49">
        <w:rPr>
          <w:rFonts w:ascii="Book Antiqua" w:hAnsi="Book Antiqua" w:cs="Arial"/>
          <w:sz w:val="24"/>
          <w:szCs w:val="24"/>
          <w:vertAlign w:val="superscript"/>
          <w:lang w:val="en-US"/>
        </w:rPr>
        <w:fldChar w:fldCharType="separate"/>
      </w:r>
      <w:r w:rsidR="00A34645"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93</w:t>
      </w:r>
      <w:r w:rsidR="009610B3" w:rsidRPr="007F5A49">
        <w:rPr>
          <w:rFonts w:ascii="Book Antiqua" w:hAnsi="Book Antiqua" w:cs="Arial"/>
          <w:sz w:val="24"/>
          <w:szCs w:val="24"/>
          <w:vertAlign w:val="superscript"/>
          <w:lang w:val="en-US"/>
        </w:rPr>
        <w:fldChar w:fldCharType="end"/>
      </w:r>
      <w:r w:rsidR="00A34645" w:rsidRPr="007F5A49">
        <w:rPr>
          <w:rFonts w:ascii="Book Antiqua" w:hAnsi="Book Antiqua" w:cs="Arial"/>
          <w:sz w:val="24"/>
          <w:szCs w:val="24"/>
          <w:vertAlign w:val="superscript"/>
          <w:lang w:val="en-US"/>
        </w:rPr>
        <w:t>]</w:t>
      </w:r>
      <w:r w:rsidR="004A71FD" w:rsidRPr="007F5A49">
        <w:rPr>
          <w:rFonts w:ascii="Book Antiqua" w:hAnsi="Book Antiqua" w:cs="Arial"/>
          <w:sz w:val="24"/>
          <w:szCs w:val="24"/>
          <w:lang w:val="en-US"/>
        </w:rPr>
        <w:t xml:space="preserve">, </w:t>
      </w:r>
      <w:r w:rsidR="009610B3" w:rsidRPr="007F5A49">
        <w:rPr>
          <w:rFonts w:ascii="Book Antiqua" w:hAnsi="Book Antiqua" w:cs="Arial"/>
          <w:sz w:val="24"/>
          <w:szCs w:val="24"/>
          <w:lang w:val="en-US"/>
        </w:rPr>
        <w:t xml:space="preserve">which may </w:t>
      </w:r>
      <w:r w:rsidR="003D0B55" w:rsidRPr="007F5A49">
        <w:rPr>
          <w:rFonts w:ascii="Book Antiqua" w:hAnsi="Book Antiqua" w:cs="Arial"/>
          <w:sz w:val="24"/>
          <w:szCs w:val="24"/>
          <w:lang w:val="en-US"/>
        </w:rPr>
        <w:t>contribute to sustenance of infection</w:t>
      </w:r>
      <w:r w:rsidR="00412FB7" w:rsidRPr="007F5A49">
        <w:rPr>
          <w:rFonts w:ascii="Book Antiqua" w:hAnsi="Book Antiqua" w:cs="Arial"/>
          <w:sz w:val="24"/>
          <w:szCs w:val="24"/>
          <w:lang w:val="en-US"/>
        </w:rPr>
        <w:t xml:space="preserve"> </w:t>
      </w:r>
      <w:r w:rsidR="00D56A7D" w:rsidRPr="007F5A49">
        <w:rPr>
          <w:rFonts w:ascii="Book Antiqua" w:hAnsi="Book Antiqua" w:cs="Arial"/>
          <w:sz w:val="24"/>
          <w:szCs w:val="24"/>
          <w:lang w:val="en-US"/>
        </w:rPr>
        <w:t xml:space="preserve">and </w:t>
      </w:r>
      <w:r w:rsidR="003D0B55" w:rsidRPr="007F5A49">
        <w:rPr>
          <w:rFonts w:ascii="Book Antiqua" w:hAnsi="Book Antiqua" w:cs="Arial"/>
          <w:sz w:val="24"/>
          <w:szCs w:val="24"/>
          <w:lang w:val="en-US"/>
        </w:rPr>
        <w:t>inflammation</w:t>
      </w:r>
      <w:r w:rsidR="00D56A7D" w:rsidRPr="007F5A49">
        <w:rPr>
          <w:rFonts w:ascii="Book Antiqua" w:hAnsi="Book Antiqua" w:cs="Arial"/>
          <w:sz w:val="24"/>
          <w:szCs w:val="24"/>
          <w:lang w:val="en-US"/>
        </w:rPr>
        <w:t xml:space="preserve">, thereby </w:t>
      </w:r>
      <w:r w:rsidR="003D0B55" w:rsidRPr="007F5A49">
        <w:rPr>
          <w:rFonts w:ascii="Book Antiqua" w:hAnsi="Book Antiqua" w:cs="Arial"/>
          <w:sz w:val="24"/>
          <w:szCs w:val="24"/>
          <w:lang w:val="en-US"/>
        </w:rPr>
        <w:t>potentiating fibrosis.</w:t>
      </w:r>
      <w:r w:rsidR="00D26EE1" w:rsidRPr="007F5A49">
        <w:rPr>
          <w:rFonts w:ascii="Book Antiqua" w:hAnsi="Book Antiqua" w:cs="Arial"/>
          <w:sz w:val="24"/>
          <w:szCs w:val="24"/>
          <w:lang w:val="en-US"/>
        </w:rPr>
        <w:t xml:space="preserve"> </w:t>
      </w:r>
    </w:p>
    <w:p w14:paraId="1305FE06" w14:textId="77777777" w:rsidR="002D466B" w:rsidRPr="007F5A49" w:rsidRDefault="002D466B" w:rsidP="007F5A49">
      <w:pPr>
        <w:adjustRightInd w:val="0"/>
        <w:snapToGrid w:val="0"/>
        <w:spacing w:after="0" w:line="360" w:lineRule="auto"/>
        <w:jc w:val="both"/>
        <w:rPr>
          <w:rFonts w:ascii="Book Antiqua" w:hAnsi="Book Antiqua" w:cs="Arial"/>
          <w:b/>
          <w:sz w:val="24"/>
          <w:szCs w:val="24"/>
          <w:lang w:val="en-US"/>
        </w:rPr>
      </w:pPr>
    </w:p>
    <w:p w14:paraId="28FAEA18" w14:textId="7B8E0941" w:rsidR="004D267E" w:rsidRPr="007F5A49" w:rsidRDefault="00CF46AE" w:rsidP="008E1EBB">
      <w:pPr>
        <w:adjustRightInd w:val="0"/>
        <w:snapToGrid w:val="0"/>
        <w:spacing w:after="0" w:line="360" w:lineRule="auto"/>
        <w:jc w:val="both"/>
        <w:outlineLvl w:val="0"/>
        <w:rPr>
          <w:rFonts w:ascii="Book Antiqua" w:hAnsi="Book Antiqua" w:cs="Arial"/>
          <w:b/>
          <w:sz w:val="24"/>
          <w:szCs w:val="24"/>
          <w:lang w:val="en-US"/>
        </w:rPr>
      </w:pPr>
      <w:r w:rsidRPr="007F5A49">
        <w:rPr>
          <w:rFonts w:ascii="Book Antiqua" w:hAnsi="Book Antiqua" w:cs="Arial"/>
          <w:b/>
          <w:sz w:val="24"/>
          <w:szCs w:val="24"/>
          <w:lang w:val="en-US"/>
        </w:rPr>
        <w:t xml:space="preserve">IRON-ASSISTED ASSESSMENT OF LIVER FIBROSIS </w:t>
      </w:r>
    </w:p>
    <w:p w14:paraId="556DC18A" w14:textId="34E48B31" w:rsidR="00D90A5B" w:rsidRPr="007F5A49" w:rsidRDefault="00D90A5B" w:rsidP="007F5A49">
      <w:pPr>
        <w:adjustRightInd w:val="0"/>
        <w:snapToGrid w:val="0"/>
        <w:spacing w:after="0" w:line="360" w:lineRule="auto"/>
        <w:jc w:val="both"/>
        <w:rPr>
          <w:rFonts w:ascii="Book Antiqua" w:hAnsi="Book Antiqua" w:cs="Arial"/>
          <w:sz w:val="24"/>
          <w:szCs w:val="24"/>
          <w:lang w:val="en-US"/>
        </w:rPr>
      </w:pPr>
      <w:r w:rsidRPr="007F5A49">
        <w:rPr>
          <w:rFonts w:ascii="Book Antiqua" w:hAnsi="Book Antiqua" w:cs="Arial"/>
          <w:sz w:val="24"/>
          <w:szCs w:val="24"/>
          <w:lang w:val="en-US"/>
        </w:rPr>
        <w:t>E</w:t>
      </w:r>
      <w:r w:rsidR="00507957" w:rsidRPr="007F5A49">
        <w:rPr>
          <w:rFonts w:ascii="Book Antiqua" w:hAnsi="Book Antiqua" w:cs="Arial"/>
          <w:sz w:val="24"/>
          <w:szCs w:val="24"/>
          <w:lang w:val="en-US"/>
        </w:rPr>
        <w:t>arly diagnosis of liver fibrosis is crucial</w:t>
      </w:r>
      <w:r w:rsidR="00AB19A7" w:rsidRPr="007F5A49">
        <w:rPr>
          <w:rFonts w:ascii="Book Antiqua" w:hAnsi="Book Antiqua" w:cs="Arial"/>
          <w:sz w:val="24"/>
          <w:szCs w:val="24"/>
          <w:lang w:val="en-US"/>
        </w:rPr>
        <w:t xml:space="preserve"> </w:t>
      </w:r>
      <w:r w:rsidRPr="007F5A49">
        <w:rPr>
          <w:rFonts w:ascii="Book Antiqua" w:hAnsi="Book Antiqua" w:cs="Arial"/>
          <w:sz w:val="24"/>
          <w:szCs w:val="24"/>
          <w:lang w:val="en-US"/>
        </w:rPr>
        <w:t xml:space="preserve">for </w:t>
      </w:r>
      <w:r w:rsidR="000D5FB4" w:rsidRPr="007F5A49">
        <w:rPr>
          <w:rFonts w:ascii="Book Antiqua" w:hAnsi="Book Antiqua" w:cs="Arial"/>
          <w:sz w:val="24"/>
          <w:szCs w:val="24"/>
          <w:lang w:val="en-US"/>
        </w:rPr>
        <w:t xml:space="preserve">preventative, </w:t>
      </w:r>
      <w:r w:rsidRPr="007F5A49">
        <w:rPr>
          <w:rFonts w:ascii="Book Antiqua" w:hAnsi="Book Antiqua" w:cs="Arial"/>
          <w:sz w:val="24"/>
          <w:szCs w:val="24"/>
          <w:lang w:val="en-US"/>
        </w:rPr>
        <w:t xml:space="preserve">prognostic and </w:t>
      </w:r>
      <w:r w:rsidR="00507957" w:rsidRPr="007F5A49">
        <w:rPr>
          <w:rFonts w:ascii="Book Antiqua" w:hAnsi="Book Antiqua" w:cs="Arial"/>
          <w:sz w:val="24"/>
          <w:szCs w:val="24"/>
          <w:lang w:val="en-US"/>
        </w:rPr>
        <w:t>therapeutic</w:t>
      </w:r>
      <w:r w:rsidRPr="007F5A49">
        <w:rPr>
          <w:rFonts w:ascii="Book Antiqua" w:hAnsi="Book Antiqua" w:cs="Arial"/>
          <w:sz w:val="24"/>
          <w:szCs w:val="24"/>
          <w:lang w:val="en-US"/>
        </w:rPr>
        <w:t xml:space="preserve"> purposes. </w:t>
      </w:r>
      <w:r w:rsidR="007874CB" w:rsidRPr="007F5A49">
        <w:rPr>
          <w:rFonts w:ascii="Book Antiqua" w:hAnsi="Book Antiqua" w:cs="Arial"/>
          <w:sz w:val="24"/>
          <w:szCs w:val="24"/>
          <w:lang w:val="en-US"/>
        </w:rPr>
        <w:t>L</w:t>
      </w:r>
      <w:r w:rsidR="00507957" w:rsidRPr="007F5A49">
        <w:rPr>
          <w:rFonts w:ascii="Book Antiqua" w:hAnsi="Book Antiqua" w:cs="Arial"/>
          <w:sz w:val="24"/>
          <w:szCs w:val="24"/>
          <w:lang w:val="en-US"/>
        </w:rPr>
        <w:t>iver biopsy</w:t>
      </w:r>
      <w:r w:rsidR="00446C3F" w:rsidRPr="007F5A49">
        <w:rPr>
          <w:rFonts w:ascii="Book Antiqua" w:hAnsi="Book Antiqua" w:cs="Arial"/>
          <w:sz w:val="24"/>
          <w:szCs w:val="24"/>
          <w:lang w:val="en-US"/>
        </w:rPr>
        <w:t xml:space="preserve"> </w:t>
      </w:r>
      <w:r w:rsidR="006A1991" w:rsidRPr="007F5A49">
        <w:rPr>
          <w:rFonts w:ascii="Book Antiqua" w:hAnsi="Book Antiqua" w:cs="Arial"/>
          <w:sz w:val="24"/>
          <w:szCs w:val="24"/>
          <w:lang w:val="en-US"/>
        </w:rPr>
        <w:t xml:space="preserve">is often </w:t>
      </w:r>
      <w:r w:rsidR="007874CB" w:rsidRPr="007F5A49">
        <w:rPr>
          <w:rFonts w:ascii="Book Antiqua" w:hAnsi="Book Antiqua" w:cs="Arial"/>
          <w:sz w:val="24"/>
          <w:szCs w:val="24"/>
          <w:lang w:val="en-US"/>
        </w:rPr>
        <w:t>considered</w:t>
      </w:r>
      <w:r w:rsidR="006A1991" w:rsidRPr="007F5A49">
        <w:rPr>
          <w:rFonts w:ascii="Book Antiqua" w:hAnsi="Book Antiqua" w:cs="Arial"/>
          <w:sz w:val="24"/>
          <w:szCs w:val="24"/>
          <w:lang w:val="en-US"/>
        </w:rPr>
        <w:t xml:space="preserve"> </w:t>
      </w:r>
      <w:r w:rsidR="007874CB" w:rsidRPr="007F5A49">
        <w:rPr>
          <w:rFonts w:ascii="Book Antiqua" w:hAnsi="Book Antiqua" w:cs="Arial"/>
          <w:sz w:val="24"/>
          <w:szCs w:val="24"/>
          <w:lang w:val="en-US"/>
        </w:rPr>
        <w:t xml:space="preserve">a gold standard </w:t>
      </w:r>
      <w:r w:rsidR="007C75A2" w:rsidRPr="007F5A49">
        <w:rPr>
          <w:rFonts w:ascii="Book Antiqua" w:hAnsi="Book Antiqua" w:cs="Arial"/>
          <w:sz w:val="24"/>
          <w:szCs w:val="24"/>
          <w:lang w:val="en-US"/>
        </w:rPr>
        <w:t>for</w:t>
      </w:r>
      <w:r w:rsidR="00507957" w:rsidRPr="007F5A49">
        <w:rPr>
          <w:rFonts w:ascii="Book Antiqua" w:hAnsi="Book Antiqua" w:cs="Arial"/>
          <w:sz w:val="24"/>
          <w:szCs w:val="24"/>
          <w:lang w:val="en-US"/>
        </w:rPr>
        <w:t xml:space="preserve"> </w:t>
      </w:r>
      <w:r w:rsidR="006453FA" w:rsidRPr="007F5A49">
        <w:rPr>
          <w:rFonts w:ascii="Book Antiqua" w:hAnsi="Book Antiqua" w:cs="Arial"/>
          <w:sz w:val="24"/>
          <w:szCs w:val="24"/>
          <w:lang w:val="en-US"/>
        </w:rPr>
        <w:t xml:space="preserve">definitive </w:t>
      </w:r>
      <w:r w:rsidR="00507957" w:rsidRPr="007F5A49">
        <w:rPr>
          <w:rFonts w:ascii="Book Antiqua" w:hAnsi="Book Antiqua" w:cs="Arial"/>
          <w:sz w:val="24"/>
          <w:szCs w:val="24"/>
          <w:lang w:val="en-US"/>
        </w:rPr>
        <w:t>diagnosi</w:t>
      </w:r>
      <w:r w:rsidR="006453FA" w:rsidRPr="007F5A49">
        <w:rPr>
          <w:rFonts w:ascii="Book Antiqua" w:hAnsi="Book Antiqua" w:cs="Arial"/>
          <w:sz w:val="24"/>
          <w:szCs w:val="24"/>
          <w:lang w:val="en-US"/>
        </w:rPr>
        <w:t>s</w:t>
      </w:r>
      <w:r w:rsidR="00A86F40" w:rsidRPr="007F5A49">
        <w:rPr>
          <w:rFonts w:ascii="Book Antiqua" w:hAnsi="Book Antiqua" w:cs="Arial"/>
          <w:sz w:val="24"/>
          <w:szCs w:val="24"/>
          <w:lang w:val="en-US"/>
        </w:rPr>
        <w:t xml:space="preserve">, </w:t>
      </w:r>
      <w:r w:rsidR="003A4A84" w:rsidRPr="007F5A49">
        <w:rPr>
          <w:rFonts w:ascii="Book Antiqua" w:hAnsi="Book Antiqua" w:cs="Arial"/>
          <w:sz w:val="24"/>
          <w:szCs w:val="24"/>
          <w:lang w:val="en-US"/>
        </w:rPr>
        <w:t>but</w:t>
      </w:r>
      <w:r w:rsidR="00507957" w:rsidRPr="007F5A49">
        <w:rPr>
          <w:rFonts w:ascii="Book Antiqua" w:hAnsi="Book Antiqua" w:cs="Arial"/>
          <w:sz w:val="24"/>
          <w:szCs w:val="24"/>
          <w:lang w:val="en-US"/>
        </w:rPr>
        <w:t xml:space="preserve"> </w:t>
      </w:r>
      <w:r w:rsidR="002C73CD" w:rsidRPr="007F5A49">
        <w:rPr>
          <w:rFonts w:ascii="Book Antiqua" w:hAnsi="Book Antiqua" w:cs="Arial"/>
          <w:sz w:val="24"/>
          <w:szCs w:val="24"/>
          <w:lang w:val="en-US"/>
        </w:rPr>
        <w:t>it</w:t>
      </w:r>
      <w:r w:rsidR="003E18BD" w:rsidRPr="007F5A49">
        <w:rPr>
          <w:rFonts w:ascii="Book Antiqua" w:hAnsi="Book Antiqua" w:cs="Arial"/>
          <w:sz w:val="24"/>
          <w:szCs w:val="24"/>
          <w:lang w:val="en-US"/>
        </w:rPr>
        <w:t xml:space="preserve"> </w:t>
      </w:r>
      <w:r w:rsidR="00BD7D32" w:rsidRPr="007F5A49">
        <w:rPr>
          <w:rFonts w:ascii="Book Antiqua" w:hAnsi="Book Antiqua" w:cs="Arial"/>
          <w:sz w:val="24"/>
          <w:szCs w:val="24"/>
          <w:lang w:val="en-US"/>
        </w:rPr>
        <w:t>present</w:t>
      </w:r>
      <w:r w:rsidR="006A1991" w:rsidRPr="007F5A49">
        <w:rPr>
          <w:rFonts w:ascii="Book Antiqua" w:hAnsi="Book Antiqua" w:cs="Arial"/>
          <w:sz w:val="24"/>
          <w:szCs w:val="24"/>
          <w:lang w:val="en-US"/>
        </w:rPr>
        <w:t xml:space="preserve">s </w:t>
      </w:r>
      <w:r w:rsidR="002C73CD" w:rsidRPr="007F5A49">
        <w:rPr>
          <w:rFonts w:ascii="Book Antiqua" w:hAnsi="Book Antiqua" w:cs="Arial"/>
          <w:sz w:val="24"/>
          <w:szCs w:val="24"/>
          <w:lang w:val="en-US"/>
        </w:rPr>
        <w:t>l</w:t>
      </w:r>
      <w:r w:rsidR="00447C8F" w:rsidRPr="007F5A49">
        <w:rPr>
          <w:rFonts w:ascii="Book Antiqua" w:hAnsi="Book Antiqua" w:cs="Arial"/>
          <w:sz w:val="24"/>
          <w:szCs w:val="24"/>
          <w:lang w:val="en-US"/>
        </w:rPr>
        <w:t xml:space="preserve">imitations </w:t>
      </w:r>
      <w:r w:rsidR="002C73CD" w:rsidRPr="007F5A49">
        <w:rPr>
          <w:rFonts w:ascii="Book Antiqua" w:hAnsi="Book Antiqua" w:cs="Arial"/>
          <w:sz w:val="24"/>
          <w:szCs w:val="24"/>
          <w:lang w:val="en-US"/>
        </w:rPr>
        <w:t xml:space="preserve">such as </w:t>
      </w:r>
      <w:r w:rsidR="00447C8F" w:rsidRPr="007F5A49">
        <w:rPr>
          <w:rFonts w:ascii="Book Antiqua" w:hAnsi="Book Antiqua" w:cs="Arial"/>
          <w:sz w:val="24"/>
          <w:szCs w:val="24"/>
          <w:lang w:val="en-US"/>
        </w:rPr>
        <w:t>sampling error</w:t>
      </w:r>
      <w:r w:rsidR="009F6FE6" w:rsidRPr="007F5A49">
        <w:rPr>
          <w:rFonts w:ascii="Book Antiqua" w:hAnsi="Book Antiqua" w:cs="Arial"/>
          <w:sz w:val="24"/>
          <w:szCs w:val="24"/>
          <w:lang w:val="en-US"/>
        </w:rPr>
        <w:t>s</w:t>
      </w:r>
      <w:r w:rsidR="00447C8F" w:rsidRPr="007F5A49">
        <w:rPr>
          <w:rFonts w:ascii="Book Antiqua" w:hAnsi="Book Antiqua" w:cs="Arial"/>
          <w:sz w:val="24"/>
          <w:szCs w:val="24"/>
          <w:lang w:val="en-US"/>
        </w:rPr>
        <w:t xml:space="preserve"> variability,</w:t>
      </w:r>
      <w:r w:rsidR="009F6FE6" w:rsidRPr="007F5A49">
        <w:rPr>
          <w:rFonts w:ascii="Book Antiqua" w:hAnsi="Book Antiqua" w:cs="Arial"/>
          <w:sz w:val="24"/>
          <w:szCs w:val="24"/>
          <w:lang w:val="en-US"/>
        </w:rPr>
        <w:t xml:space="preserve"> </w:t>
      </w:r>
      <w:r w:rsidR="00447C8F" w:rsidRPr="007F5A49">
        <w:rPr>
          <w:rFonts w:ascii="Book Antiqua" w:hAnsi="Book Antiqua" w:cs="Arial"/>
          <w:sz w:val="24"/>
          <w:szCs w:val="24"/>
          <w:lang w:val="en-US"/>
        </w:rPr>
        <w:t>invasive nature</w:t>
      </w:r>
      <w:r w:rsidR="009F6FE6" w:rsidRPr="007F5A49">
        <w:rPr>
          <w:rFonts w:ascii="Book Antiqua" w:hAnsi="Book Antiqua" w:cs="Arial"/>
          <w:sz w:val="24"/>
          <w:szCs w:val="24"/>
          <w:lang w:val="en-US"/>
        </w:rPr>
        <w:t xml:space="preserve"> of the procedure</w:t>
      </w:r>
      <w:r w:rsidR="00447C8F" w:rsidRPr="007F5A49">
        <w:rPr>
          <w:rFonts w:ascii="Book Antiqua" w:hAnsi="Book Antiqua" w:cs="Arial"/>
          <w:sz w:val="24"/>
          <w:szCs w:val="24"/>
          <w:lang w:val="en-US"/>
        </w:rPr>
        <w:t xml:space="preserve"> and risk of life-threatening complications</w:t>
      </w:r>
      <w:r w:rsidR="00447C8F"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tqSvhOpw","properties":{"formattedCitation":"(94)","plainCitation":"(94)","noteIndex":0},"citationItems":[{"id":"z1PZoHrb/r0nzvK7V","uris":["http://zotero.org/users/4222068/items/QFFXVP5Q"],"uri":["http://zotero.org/users/4222068/items/QFFXVP5Q"],"itemData":{"id":1508,"type":"article-journal","title":"Non-invasive diagnosis of liver fibrosis and cirrhosis","container-title":"World Journal of Gastroenterology","page":"11567-11583","volume":"21","issue":"41","source":"PubMed Central","abstract":"The evaluation and follow up of liver fibrosis and cirrhosis have been traditionally performed by liver biopsy. However, during the last 20 years, it has become evident that this “gold-standard” is imperfect; even according to its proponents, it is only “the best” among available methods. Attempts at uncovering non-invasive diagnostic tools have yielded multiple scores, formulae, and imaging modalities. All are better tolerated, safer, more acceptable to the patient, and can be repeated essentially as often as required. Most are much less expensive than liver biopsy. Consequently, their use is growing, and in some countries the number of biopsies performed, at least for routine evaluation of hepatitis B and C, has declined sharply. However, the accuracy and diagnostic value of most, if not all, of these methods remains controversial. In this review for the practicing physician, we analyze established and novel biomarkers and physical techniques. We may be witnessing in recent years the beginning of the end of the first phase for the development of non-invasive markers. Early evidence suggests that they might be at least as good as liver biopsy. Novel experimental markers and imaging techniques could produce a dramatic change in diagnosis in the near future.","DOI":"10.3748/wjg.v21.i41.11567","ISSN":"1007-9327","note":"PMID: 26556987\nPMCID: PMC4631961","journalAbbreviation":"World J Gastroenterol","author":[{"family":"Lurie","given":"Yoav"},{"family":"Webb","given":"Muriel"},{"family":"Cytter-Kuint","given":"Ruth"},{"family":"Shteingart","given":"Shimon"},{"family":"Lederkremer","given":"Gerardo Z"}],"issued":{"date-parts":[["2015",11,7]]}}}],"schema":"https://github.com/citation-style-language/schema/raw/master/csl-citation.json"} </w:instrText>
      </w:r>
      <w:r w:rsidR="00447C8F" w:rsidRPr="007F5A49">
        <w:rPr>
          <w:rFonts w:ascii="Book Antiqua" w:hAnsi="Book Antiqua" w:cs="Arial"/>
          <w:sz w:val="24"/>
          <w:szCs w:val="24"/>
          <w:vertAlign w:val="superscript"/>
          <w:lang w:val="en-US"/>
        </w:rPr>
        <w:fldChar w:fldCharType="separate"/>
      </w:r>
      <w:r w:rsidR="003807B6"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94</w:t>
      </w:r>
      <w:r w:rsidR="00447C8F" w:rsidRPr="007F5A49">
        <w:rPr>
          <w:rFonts w:ascii="Book Antiqua" w:hAnsi="Book Antiqua" w:cs="Arial"/>
          <w:sz w:val="24"/>
          <w:szCs w:val="24"/>
          <w:vertAlign w:val="superscript"/>
          <w:lang w:val="en-US"/>
        </w:rPr>
        <w:fldChar w:fldCharType="end"/>
      </w:r>
      <w:r w:rsidR="003807B6" w:rsidRPr="007F5A49">
        <w:rPr>
          <w:rFonts w:ascii="Book Antiqua" w:hAnsi="Book Antiqua" w:cs="Arial"/>
          <w:sz w:val="24"/>
          <w:szCs w:val="24"/>
          <w:vertAlign w:val="superscript"/>
          <w:lang w:val="en-US"/>
        </w:rPr>
        <w:t>]</w:t>
      </w:r>
      <w:r w:rsidR="000E0372" w:rsidRPr="007F5A49">
        <w:rPr>
          <w:rFonts w:ascii="Book Antiqua" w:hAnsi="Book Antiqua" w:cs="Arial"/>
          <w:sz w:val="24"/>
          <w:szCs w:val="24"/>
          <w:lang w:val="en-US"/>
        </w:rPr>
        <w:t>. R</w:t>
      </w:r>
      <w:r w:rsidR="007874CB" w:rsidRPr="007F5A49">
        <w:rPr>
          <w:rFonts w:ascii="Book Antiqua" w:hAnsi="Book Antiqua" w:cs="Arial"/>
          <w:sz w:val="24"/>
          <w:szCs w:val="24"/>
          <w:lang w:val="en-US"/>
        </w:rPr>
        <w:t xml:space="preserve">ecent advent of reliable </w:t>
      </w:r>
      <w:r w:rsidR="006A1991" w:rsidRPr="007F5A49">
        <w:rPr>
          <w:rFonts w:ascii="Book Antiqua" w:hAnsi="Book Antiqua" w:cs="Arial"/>
          <w:sz w:val="24"/>
          <w:szCs w:val="24"/>
          <w:lang w:val="en-US"/>
        </w:rPr>
        <w:t xml:space="preserve">serum-based </w:t>
      </w:r>
      <w:r w:rsidR="007874CB" w:rsidRPr="007F5A49">
        <w:rPr>
          <w:rFonts w:ascii="Book Antiqua" w:hAnsi="Book Antiqua" w:cs="Arial"/>
          <w:sz w:val="24"/>
          <w:szCs w:val="24"/>
          <w:lang w:val="en-US"/>
        </w:rPr>
        <w:t>markers</w:t>
      </w:r>
      <w:r w:rsidR="003A593B" w:rsidRPr="007F5A49">
        <w:rPr>
          <w:rFonts w:ascii="Book Antiqua" w:hAnsi="Book Antiqua" w:cs="Arial"/>
          <w:sz w:val="24"/>
          <w:szCs w:val="24"/>
          <w:lang w:val="en-US"/>
        </w:rPr>
        <w:t xml:space="preserve"> </w:t>
      </w:r>
      <w:r w:rsidR="000F189A" w:rsidRPr="007F5A49">
        <w:rPr>
          <w:rFonts w:ascii="Book Antiqua" w:hAnsi="Book Antiqua" w:cs="Arial"/>
          <w:sz w:val="24"/>
          <w:szCs w:val="24"/>
          <w:lang w:val="en-US"/>
        </w:rPr>
        <w:t xml:space="preserve">and </w:t>
      </w:r>
      <w:r w:rsidRPr="007F5A49">
        <w:rPr>
          <w:rFonts w:ascii="Book Antiqua" w:hAnsi="Book Antiqua" w:cs="Arial"/>
          <w:sz w:val="24"/>
          <w:szCs w:val="24"/>
          <w:lang w:val="en-US"/>
        </w:rPr>
        <w:t>tools</w:t>
      </w:r>
      <w:r w:rsidR="00AD3177" w:rsidRPr="007F5A49">
        <w:rPr>
          <w:rFonts w:ascii="Book Antiqua" w:hAnsi="Book Antiqua" w:cs="Arial"/>
          <w:sz w:val="24"/>
          <w:szCs w:val="24"/>
          <w:lang w:val="en-US"/>
        </w:rPr>
        <w:t xml:space="preserve"> have drastically reduced the need for liver biopsy; for example </w:t>
      </w:r>
      <w:r w:rsidR="00C45F3C" w:rsidRPr="007F5A49">
        <w:rPr>
          <w:rFonts w:ascii="Book Antiqua" w:eastAsia="Times New Roman" w:hAnsi="Book Antiqua" w:cs="Arial"/>
          <w:sz w:val="24"/>
          <w:szCs w:val="24"/>
          <w:lang w:val="en-US"/>
        </w:rPr>
        <w:t>magnetic resonance imaging (</w:t>
      </w:r>
      <w:r w:rsidR="001730AF" w:rsidRPr="007F5A49">
        <w:rPr>
          <w:rFonts w:ascii="Book Antiqua" w:hAnsi="Book Antiqua" w:cs="Arial"/>
          <w:sz w:val="24"/>
          <w:szCs w:val="24"/>
          <w:lang w:val="en-US"/>
        </w:rPr>
        <w:t>MRI</w:t>
      </w:r>
      <w:r w:rsidR="00C45F3C" w:rsidRPr="007F5A49">
        <w:rPr>
          <w:rFonts w:ascii="Book Antiqua" w:hAnsi="Book Antiqua" w:cs="Arial"/>
          <w:sz w:val="24"/>
          <w:szCs w:val="24"/>
          <w:lang w:val="en-US"/>
        </w:rPr>
        <w:t xml:space="preserve">) </w:t>
      </w:r>
      <w:r w:rsidR="001730AF" w:rsidRPr="007F5A49">
        <w:rPr>
          <w:rFonts w:ascii="Book Antiqua" w:hAnsi="Book Antiqua" w:cs="Arial"/>
          <w:sz w:val="24"/>
          <w:szCs w:val="24"/>
          <w:lang w:val="en-US"/>
        </w:rPr>
        <w:t>that accurately measures LI</w:t>
      </w:r>
      <w:r w:rsidR="001404E1" w:rsidRPr="007F5A49">
        <w:rPr>
          <w:rFonts w:ascii="Book Antiqua" w:hAnsi="Book Antiqua" w:cs="Arial"/>
          <w:sz w:val="24"/>
          <w:szCs w:val="24"/>
          <w:lang w:val="en-US"/>
        </w:rPr>
        <w:t>C</w:t>
      </w:r>
      <w:r w:rsidR="00AD3177" w:rsidRPr="007F5A49">
        <w:rPr>
          <w:rFonts w:ascii="Book Antiqua" w:hAnsi="Book Antiqua" w:cs="Arial"/>
          <w:sz w:val="24"/>
          <w:szCs w:val="24"/>
          <w:lang w:val="en-US"/>
        </w:rPr>
        <w:t xml:space="preserve">, and </w:t>
      </w:r>
      <w:r w:rsidRPr="007F5A49">
        <w:rPr>
          <w:rFonts w:ascii="Book Antiqua" w:hAnsi="Book Antiqua" w:cs="Arial"/>
          <w:sz w:val="24"/>
          <w:szCs w:val="24"/>
          <w:lang w:val="en-US"/>
        </w:rPr>
        <w:t xml:space="preserve">transient elastography </w:t>
      </w:r>
      <w:r w:rsidR="00AD3177" w:rsidRPr="007F5A49">
        <w:rPr>
          <w:rFonts w:ascii="Book Antiqua" w:hAnsi="Book Antiqua" w:cs="Arial"/>
          <w:sz w:val="24"/>
          <w:szCs w:val="24"/>
          <w:lang w:val="en-US"/>
        </w:rPr>
        <w:t xml:space="preserve">and MRI elastography </w:t>
      </w:r>
      <w:r w:rsidRPr="007F5A49">
        <w:rPr>
          <w:rFonts w:ascii="Book Antiqua" w:hAnsi="Book Antiqua" w:cs="Arial"/>
          <w:sz w:val="24"/>
          <w:szCs w:val="24"/>
          <w:lang w:val="en-US"/>
        </w:rPr>
        <w:t>that assesses liver stiffness</w:t>
      </w:r>
      <w:r w:rsidR="003B4DA0"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zOxKdVRr","properties":{"formattedCitation":"(94,95)","plainCitation":"(94,95)","noteIndex":0},"citationItems":[{"id":"z1PZoHrb/5GPoME6G","uris":["http://zotero.org/users/4222068/items/EQZWQPKH"],"uri":["http://zotero.org/users/4222068/items/EQZWQPKH"],"itemData":{"id":1505,"type":"article-journal","title":"Non-invasive methods for liver fibrosis prediction in hemochromatosis: One step beyond","container-title":"World Journal of Hepatology","page":"251-255","volume":"2","issue":"7","source":"PubMed Central","abstract":"Advances in recent years in the understanding of, and the genetic diagnosis of hereditary hemochromatosis (HH) have changed the approach to iron overload hereditary diseases. The ability to use a radiologic tool (MRI) that accurately provides liver iron concentration determination, and the presence of non-invasive serologic markers for fibrosis prediction (serum ferritin, platelet count, transaminases, etc), have diminished the need for liver biopsy for diagnosis and prognosis of this disease. Consequently, the role of liver biopsy in iron metabolism disorders is changing. Furthermore, the irruption of transient elastography to assess liver stiffness, and, more recently, the ability to determine liver fibrosis by means of MRI elastography will change this role even more, with a potential drastic decline in hepatic biopsies in years to come. This review will provide a brief summary of the different non-invasive methods available nowadays for diagnosis and prognosis in HH, and point out potential new techniques that could come about in the next years for fibrosis prediction, thus avoiding the need for liver biopsy in a greater number of patients. It is possible that liver biopsy will remain useful for the diagnosis of associated diseases, where other non-invasive means are not possible, or for those rare cases displaying discrepancies between radiological and biochemical markers.","DOI":"10.4254/wjh.v2.i7.251","ISSN":"1948-5182","note":"PMID: 21161006\nPMCID: PMC2999291","shortTitle":"Non-invasive methods for liver fibrosis prediction in hemochromatosis","journalAbbreviation":"World J Hepatol","author":[{"family":"Castiella","given":"Agustin"},{"family":"Zapata","given":"Eva"},{"family":"Alústiza","given":"José M"}],"issued":{"date-parts":[["2010",7,27]]}}},{"id":"z1PZoHrb/r0nzvK7V","uris":["http://zotero.org/users/4222068/items/QFFXVP5Q"],"uri":["http://zotero.org/users/4222068/items/QFFXVP5Q"],"itemData":{"id":1508,"type":"article-journal","title":"Non-invasive diagnosis of liver fibrosis and cirrhosis","container-title":"World Journal of Gastroenterology","page":"11567-11583","volume":"21","issue":"41","source":"PubMed Central","abstract":"The evaluation and follow up of liver fibrosis and cirrhosis have been traditionally performed by liver biopsy. However, during the last 20 years, it has become evident that this “gold-standard” is imperfect; even according to its proponents, it is only “the best” among available methods. Attempts at uncovering non-invasive diagnostic tools have yielded multiple scores, formulae, and imaging modalities. All are better tolerated, safer, more acceptable to the patient, and can be repeated essentially as often as required. Most are much less expensive than liver biopsy. Consequently, their use is growing, and in some countries the number of biopsies performed, at least for routine evaluation of hepatitis B and C, has declined sharply. However, the accuracy and diagnostic value of most, if not all, of these methods remains controversial. In this review for the practicing physician, we analyze established and novel biomarkers and physical techniques. We may be witnessing in recent years the beginning of the end of the first phase for the development of non-invasive markers. Early evidence suggests that they might be at least as good as liver biopsy. Novel experimental markers and imaging techniques could produce a dramatic change in diagnosis in the near future.","DOI":"10.3748/wjg.v21.i41.11567","ISSN":"1007-9327","note":"PMID: 26556987\nPMCID: PMC4631961","journalAbbreviation":"World J Gastroenterol","author":[{"family":"Lurie","given":"Yoav"},{"family":"Webb","given":"Muriel"},{"family":"Cytter-Kuint","given":"Ruth"},{"family":"Shteingart","given":"Shimon"},{"family":"Lederkremer","given":"Gerardo Z"}],"issued":{"date-parts":[["2015",11,7]]}}}],"schema":"https://github.com/citation-style-language/schema/raw/master/csl-citation.json"} </w:instrText>
      </w:r>
      <w:r w:rsidR="003B4DA0" w:rsidRPr="007F5A49">
        <w:rPr>
          <w:rFonts w:ascii="Book Antiqua" w:hAnsi="Book Antiqua" w:cs="Arial"/>
          <w:sz w:val="24"/>
          <w:szCs w:val="24"/>
          <w:vertAlign w:val="superscript"/>
          <w:lang w:val="en-US"/>
        </w:rPr>
        <w:fldChar w:fldCharType="separate"/>
      </w:r>
      <w:r w:rsidR="00D206BD"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94,95</w:t>
      </w:r>
      <w:r w:rsidR="003B4DA0" w:rsidRPr="007F5A49">
        <w:rPr>
          <w:rFonts w:ascii="Book Antiqua" w:hAnsi="Book Antiqua" w:cs="Arial"/>
          <w:sz w:val="24"/>
          <w:szCs w:val="24"/>
          <w:vertAlign w:val="superscript"/>
          <w:lang w:val="en-US"/>
        </w:rPr>
        <w:fldChar w:fldCharType="end"/>
      </w:r>
      <w:r w:rsidR="00D206BD" w:rsidRPr="007F5A49">
        <w:rPr>
          <w:rFonts w:ascii="Book Antiqua" w:hAnsi="Book Antiqua" w:cs="Arial"/>
          <w:sz w:val="24"/>
          <w:szCs w:val="24"/>
          <w:vertAlign w:val="superscript"/>
          <w:lang w:val="en-US"/>
        </w:rPr>
        <w:t>]</w:t>
      </w:r>
      <w:r w:rsidR="00C05E13" w:rsidRPr="007F5A49">
        <w:rPr>
          <w:rFonts w:ascii="Book Antiqua" w:hAnsi="Book Antiqua" w:cs="Arial"/>
          <w:sz w:val="24"/>
          <w:szCs w:val="24"/>
          <w:lang w:val="en-US"/>
        </w:rPr>
        <w:t>.</w:t>
      </w:r>
      <w:r w:rsidR="00235705" w:rsidRPr="007F5A49">
        <w:rPr>
          <w:rFonts w:ascii="Book Antiqua" w:hAnsi="Book Antiqua" w:cs="Arial"/>
          <w:sz w:val="24"/>
          <w:szCs w:val="24"/>
          <w:lang w:val="en-US"/>
        </w:rPr>
        <w:t xml:space="preserve"> Note that in h</w:t>
      </w:r>
      <w:r w:rsidR="00496E3B" w:rsidRPr="007F5A49">
        <w:rPr>
          <w:rFonts w:ascii="Book Antiqua" w:hAnsi="Book Antiqua" w:cs="Arial"/>
          <w:sz w:val="24"/>
          <w:szCs w:val="24"/>
          <w:lang w:val="en-US"/>
        </w:rPr>
        <w:t>a</w:t>
      </w:r>
      <w:r w:rsidR="00BF589C" w:rsidRPr="007F5A49">
        <w:rPr>
          <w:rFonts w:ascii="Book Antiqua" w:hAnsi="Book Antiqua" w:cs="Arial"/>
          <w:sz w:val="24"/>
          <w:szCs w:val="24"/>
          <w:lang w:val="en-US"/>
        </w:rPr>
        <w:t xml:space="preserve">emochromatosis, </w:t>
      </w:r>
      <w:r w:rsidR="00D847BE" w:rsidRPr="007F5A49">
        <w:rPr>
          <w:rFonts w:ascii="Book Antiqua" w:hAnsi="Book Antiqua" w:cs="Arial"/>
          <w:sz w:val="24"/>
          <w:szCs w:val="24"/>
          <w:lang w:val="en-US"/>
        </w:rPr>
        <w:t>elevated LIC i</w:t>
      </w:r>
      <w:r w:rsidR="00235705" w:rsidRPr="007F5A49">
        <w:rPr>
          <w:rFonts w:ascii="Book Antiqua" w:hAnsi="Book Antiqua" w:cs="Arial"/>
          <w:sz w:val="24"/>
          <w:szCs w:val="24"/>
          <w:lang w:val="en-US"/>
        </w:rPr>
        <w:t xml:space="preserve">s the main driver of pathology, but </w:t>
      </w:r>
      <w:r w:rsidR="00BF589C" w:rsidRPr="007F5A49">
        <w:rPr>
          <w:rFonts w:ascii="Book Antiqua" w:hAnsi="Book Antiqua" w:cs="Arial"/>
          <w:sz w:val="24"/>
          <w:szCs w:val="24"/>
          <w:lang w:val="en-US"/>
        </w:rPr>
        <w:t>in non-</w:t>
      </w:r>
      <w:r w:rsidR="00F80DAF" w:rsidRPr="007F5A49">
        <w:rPr>
          <w:rFonts w:ascii="Book Antiqua" w:hAnsi="Book Antiqua" w:cs="Arial"/>
          <w:sz w:val="24"/>
          <w:szCs w:val="24"/>
          <w:lang w:val="en-US"/>
        </w:rPr>
        <w:t xml:space="preserve">hereditary </w:t>
      </w:r>
      <w:r w:rsidR="00A94240" w:rsidRPr="007F5A49">
        <w:rPr>
          <w:rFonts w:ascii="Book Antiqua" w:hAnsi="Book Antiqua" w:cs="Arial"/>
          <w:sz w:val="24"/>
          <w:szCs w:val="24"/>
          <w:lang w:val="en-US"/>
        </w:rPr>
        <w:t xml:space="preserve">low-moderate </w:t>
      </w:r>
      <w:r w:rsidR="008A63F8" w:rsidRPr="007F5A49">
        <w:rPr>
          <w:rFonts w:ascii="Book Antiqua" w:hAnsi="Book Antiqua" w:cs="Arial"/>
          <w:sz w:val="24"/>
          <w:szCs w:val="24"/>
          <w:lang w:val="en-US"/>
        </w:rPr>
        <w:t>iron-</w:t>
      </w:r>
      <w:r w:rsidR="00A94240" w:rsidRPr="007F5A49">
        <w:rPr>
          <w:rFonts w:ascii="Book Antiqua" w:hAnsi="Book Antiqua" w:cs="Arial"/>
          <w:sz w:val="24"/>
          <w:szCs w:val="24"/>
          <w:lang w:val="en-US"/>
        </w:rPr>
        <w:t xml:space="preserve">loaded </w:t>
      </w:r>
      <w:r w:rsidR="00F80DAF" w:rsidRPr="007F5A49">
        <w:rPr>
          <w:rFonts w:ascii="Book Antiqua" w:hAnsi="Book Antiqua" w:cs="Arial"/>
          <w:sz w:val="24"/>
          <w:szCs w:val="24"/>
          <w:lang w:val="en-US"/>
        </w:rPr>
        <w:t xml:space="preserve">CLDs, </w:t>
      </w:r>
      <w:r w:rsidR="00BF589C" w:rsidRPr="007F5A49">
        <w:rPr>
          <w:rFonts w:ascii="Book Antiqua" w:hAnsi="Book Antiqua" w:cs="Arial"/>
          <w:sz w:val="24"/>
          <w:szCs w:val="24"/>
          <w:lang w:val="en-US"/>
        </w:rPr>
        <w:t>neit</w:t>
      </w:r>
      <w:r w:rsidR="008A63F8" w:rsidRPr="007F5A49">
        <w:rPr>
          <w:rFonts w:ascii="Book Antiqua" w:hAnsi="Book Antiqua" w:cs="Arial"/>
          <w:sz w:val="24"/>
          <w:szCs w:val="24"/>
          <w:lang w:val="en-US"/>
        </w:rPr>
        <w:t xml:space="preserve">her elevated LIC nor the altered </w:t>
      </w:r>
      <w:r w:rsidR="00B5437D" w:rsidRPr="007F5A49">
        <w:rPr>
          <w:rFonts w:ascii="Book Antiqua" w:hAnsi="Book Antiqua" w:cs="Arial"/>
          <w:sz w:val="24"/>
          <w:szCs w:val="24"/>
          <w:lang w:val="en-US"/>
        </w:rPr>
        <w:t>iron-r</w:t>
      </w:r>
      <w:r w:rsidR="00BF589C" w:rsidRPr="007F5A49">
        <w:rPr>
          <w:rFonts w:ascii="Book Antiqua" w:hAnsi="Book Antiqua" w:cs="Arial"/>
          <w:sz w:val="24"/>
          <w:szCs w:val="24"/>
          <w:lang w:val="en-US"/>
        </w:rPr>
        <w:t xml:space="preserve">elated markers </w:t>
      </w:r>
      <w:r w:rsidR="00D847BE" w:rsidRPr="007F5A49">
        <w:rPr>
          <w:rFonts w:ascii="Book Antiqua" w:hAnsi="Book Antiqua" w:cs="Arial"/>
          <w:sz w:val="24"/>
          <w:szCs w:val="24"/>
          <w:lang w:val="en-US"/>
        </w:rPr>
        <w:t>are</w:t>
      </w:r>
      <w:r w:rsidR="002C0A4A" w:rsidRPr="007F5A49">
        <w:rPr>
          <w:rFonts w:ascii="Book Antiqua" w:hAnsi="Book Antiqua" w:cs="Arial"/>
          <w:sz w:val="24"/>
          <w:szCs w:val="24"/>
          <w:lang w:val="en-US"/>
        </w:rPr>
        <w:t xml:space="preserve"> necessarily </w:t>
      </w:r>
      <w:r w:rsidR="00BF589C" w:rsidRPr="007F5A49">
        <w:rPr>
          <w:rFonts w:ascii="Book Antiqua" w:hAnsi="Book Antiqua" w:cs="Arial"/>
          <w:sz w:val="24"/>
          <w:szCs w:val="24"/>
          <w:lang w:val="en-US"/>
        </w:rPr>
        <w:t>the main driver</w:t>
      </w:r>
      <w:r w:rsidR="00D847BE" w:rsidRPr="007F5A49">
        <w:rPr>
          <w:rFonts w:ascii="Book Antiqua" w:hAnsi="Book Antiqua" w:cs="Arial"/>
          <w:sz w:val="24"/>
          <w:szCs w:val="24"/>
          <w:lang w:val="en-US"/>
        </w:rPr>
        <w:t>s</w:t>
      </w:r>
      <w:r w:rsidR="00BF589C" w:rsidRPr="007F5A49">
        <w:rPr>
          <w:rFonts w:ascii="Book Antiqua" w:hAnsi="Book Antiqua" w:cs="Arial"/>
          <w:sz w:val="24"/>
          <w:szCs w:val="24"/>
          <w:lang w:val="en-US"/>
        </w:rPr>
        <w:t xml:space="preserve"> of pathology </w:t>
      </w:r>
      <w:r w:rsidR="00BF589C" w:rsidRPr="007F5A49">
        <w:rPr>
          <w:rFonts w:ascii="Book Antiqua" w:hAnsi="Book Antiqua" w:cs="Arial"/>
          <w:i/>
          <w:sz w:val="24"/>
          <w:szCs w:val="24"/>
          <w:lang w:val="en-US"/>
        </w:rPr>
        <w:t>per se</w:t>
      </w:r>
      <w:r w:rsidR="00F80DAF" w:rsidRPr="007F5A49">
        <w:rPr>
          <w:rFonts w:ascii="Book Antiqua" w:hAnsi="Book Antiqua" w:cs="Arial"/>
          <w:i/>
          <w:sz w:val="24"/>
          <w:szCs w:val="24"/>
          <w:lang w:val="en-US"/>
        </w:rPr>
        <w:t>,</w:t>
      </w:r>
      <w:r w:rsidR="00BF589C" w:rsidRPr="007F5A49">
        <w:rPr>
          <w:rFonts w:ascii="Book Antiqua" w:hAnsi="Book Antiqua" w:cs="Arial"/>
          <w:sz w:val="24"/>
          <w:szCs w:val="24"/>
          <w:lang w:val="en-US"/>
        </w:rPr>
        <w:t xml:space="preserve"> though these alterations are believed to accelerate the pathological progression to and through fibrosis.</w:t>
      </w:r>
      <w:r w:rsidR="00D847BE" w:rsidRPr="007F5A49">
        <w:rPr>
          <w:rFonts w:ascii="Book Antiqua" w:hAnsi="Book Antiqua" w:cs="Arial"/>
          <w:sz w:val="24"/>
          <w:szCs w:val="24"/>
          <w:lang w:val="en-US"/>
        </w:rPr>
        <w:t xml:space="preserve"> Thus, </w:t>
      </w:r>
      <w:r w:rsidR="00F569A0" w:rsidRPr="007F5A49">
        <w:rPr>
          <w:rFonts w:ascii="Book Antiqua" w:hAnsi="Book Antiqua" w:cs="Arial"/>
          <w:sz w:val="24"/>
          <w:szCs w:val="24"/>
          <w:lang w:val="en-US"/>
        </w:rPr>
        <w:t>a</w:t>
      </w:r>
      <w:r w:rsidR="000E0372" w:rsidRPr="007F5A49">
        <w:rPr>
          <w:rFonts w:ascii="Book Antiqua" w:hAnsi="Book Antiqua" w:cs="Arial"/>
          <w:sz w:val="24"/>
          <w:szCs w:val="24"/>
          <w:lang w:val="en-US"/>
        </w:rPr>
        <w:t>ssessment of hepatic iron is not a routine part of CLD evaluation, except for haemochromatosis</w:t>
      </w:r>
      <w:r w:rsidR="00C62548" w:rsidRPr="007F5A49">
        <w:rPr>
          <w:rFonts w:ascii="Book Antiqua" w:hAnsi="Book Antiqua" w:cs="Arial"/>
          <w:sz w:val="24"/>
          <w:szCs w:val="24"/>
          <w:lang w:val="en-US"/>
        </w:rPr>
        <w:t xml:space="preserve">. However, </w:t>
      </w:r>
      <w:r w:rsidR="000E0372" w:rsidRPr="007F5A49">
        <w:rPr>
          <w:rFonts w:ascii="Book Antiqua" w:hAnsi="Book Antiqua" w:cs="Arial"/>
          <w:sz w:val="24"/>
          <w:szCs w:val="24"/>
          <w:lang w:val="en-US"/>
        </w:rPr>
        <w:t xml:space="preserve">it is useful to review </w:t>
      </w:r>
      <w:r w:rsidR="007C75A2" w:rsidRPr="007F5A49">
        <w:rPr>
          <w:rFonts w:ascii="Book Antiqua" w:hAnsi="Book Antiqua" w:cs="Arial"/>
          <w:sz w:val="24"/>
          <w:szCs w:val="24"/>
          <w:lang w:val="en-US"/>
        </w:rPr>
        <w:t xml:space="preserve">the </w:t>
      </w:r>
      <w:r w:rsidR="00B41EC1" w:rsidRPr="007F5A49">
        <w:rPr>
          <w:rFonts w:ascii="Book Antiqua" w:hAnsi="Book Antiqua" w:cs="Arial"/>
          <w:sz w:val="24"/>
          <w:szCs w:val="24"/>
          <w:lang w:val="en-US"/>
        </w:rPr>
        <w:t>iron</w:t>
      </w:r>
      <w:r w:rsidR="007874CB" w:rsidRPr="007F5A49">
        <w:rPr>
          <w:rFonts w:ascii="Book Antiqua" w:hAnsi="Book Antiqua" w:cs="Arial"/>
          <w:sz w:val="24"/>
          <w:szCs w:val="24"/>
          <w:lang w:val="en-US"/>
        </w:rPr>
        <w:t xml:space="preserve">-related </w:t>
      </w:r>
      <w:r w:rsidR="00BD0703" w:rsidRPr="007F5A49">
        <w:rPr>
          <w:rFonts w:ascii="Book Antiqua" w:hAnsi="Book Antiqua" w:cs="Arial"/>
          <w:sz w:val="24"/>
          <w:szCs w:val="24"/>
          <w:lang w:val="en-US"/>
        </w:rPr>
        <w:t xml:space="preserve">parameters </w:t>
      </w:r>
      <w:r w:rsidR="00A9379F" w:rsidRPr="007F5A49">
        <w:rPr>
          <w:rFonts w:ascii="Book Antiqua" w:hAnsi="Book Antiqua" w:cs="Arial"/>
          <w:sz w:val="24"/>
          <w:szCs w:val="24"/>
          <w:lang w:val="en-US"/>
        </w:rPr>
        <w:t>that aid /may aid in prediction, diagnosis, staging and prognosis of liver fibrosis, when used in combination with the routine markers of liver dysfunctionality.</w:t>
      </w:r>
      <w:r w:rsidRPr="007F5A49">
        <w:rPr>
          <w:rFonts w:ascii="Book Antiqua" w:hAnsi="Book Antiqua" w:cs="Arial"/>
          <w:sz w:val="24"/>
          <w:szCs w:val="24"/>
          <w:lang w:val="en-US"/>
        </w:rPr>
        <w:t xml:space="preserve"> Here, we specifically discuss LIC, ferritin,</w:t>
      </w:r>
      <w:r w:rsidR="00094D2E" w:rsidRPr="007F5A49">
        <w:rPr>
          <w:rFonts w:ascii="Book Antiqua" w:hAnsi="Book Antiqua" w:cs="Arial"/>
          <w:sz w:val="24"/>
          <w:szCs w:val="24"/>
          <w:lang w:val="en-US"/>
        </w:rPr>
        <w:t xml:space="preserve"> </w:t>
      </w:r>
      <w:r w:rsidRPr="007F5A49">
        <w:rPr>
          <w:rFonts w:ascii="Book Antiqua" w:hAnsi="Book Antiqua" w:cs="Arial"/>
          <w:sz w:val="24"/>
          <w:szCs w:val="24"/>
          <w:lang w:val="en-US"/>
        </w:rPr>
        <w:t>hepcidin</w:t>
      </w:r>
      <w:r w:rsidR="00094D2E" w:rsidRPr="007F5A49">
        <w:rPr>
          <w:rFonts w:ascii="Book Antiqua" w:hAnsi="Book Antiqua" w:cs="Arial"/>
          <w:sz w:val="24"/>
          <w:szCs w:val="24"/>
          <w:lang w:val="en-US"/>
        </w:rPr>
        <w:t xml:space="preserve"> and transferrin</w:t>
      </w:r>
      <w:r w:rsidR="00D847BE" w:rsidRPr="007F5A49">
        <w:rPr>
          <w:rFonts w:ascii="Book Antiqua" w:hAnsi="Book Antiqua" w:cs="Arial"/>
          <w:sz w:val="24"/>
          <w:szCs w:val="24"/>
          <w:lang w:val="en-US"/>
        </w:rPr>
        <w:t>.</w:t>
      </w:r>
    </w:p>
    <w:p w14:paraId="0CC2EC5D" w14:textId="636A1C26" w:rsidR="003769FC" w:rsidRPr="007F5A49" w:rsidRDefault="00C04BB2" w:rsidP="007F5A49">
      <w:pPr>
        <w:adjustRightInd w:val="0"/>
        <w:snapToGrid w:val="0"/>
        <w:spacing w:after="0" w:line="360" w:lineRule="auto"/>
        <w:jc w:val="both"/>
        <w:rPr>
          <w:rFonts w:ascii="Book Antiqua" w:eastAsia="Times New Roman" w:hAnsi="Book Antiqua" w:cs="Arial"/>
          <w:sz w:val="24"/>
          <w:szCs w:val="24"/>
          <w:lang w:val="en-US"/>
        </w:rPr>
      </w:pPr>
      <w:r>
        <w:rPr>
          <w:rFonts w:ascii="Book Antiqua" w:hAnsi="Book Antiqua" w:cs="Arial"/>
          <w:sz w:val="24"/>
          <w:szCs w:val="24"/>
          <w:lang w:val="en-US"/>
        </w:rPr>
        <w:t xml:space="preserve">  </w:t>
      </w:r>
      <w:r w:rsidR="006710EB" w:rsidRPr="007F5A49">
        <w:rPr>
          <w:rFonts w:ascii="Book Antiqua" w:hAnsi="Book Antiqua" w:cs="Arial"/>
          <w:sz w:val="24"/>
          <w:szCs w:val="24"/>
          <w:lang w:val="en-US"/>
        </w:rPr>
        <w:t xml:space="preserve">In haemochromatosis patients, </w:t>
      </w:r>
      <w:r w:rsidR="00982C30" w:rsidRPr="007F5A49">
        <w:rPr>
          <w:rFonts w:ascii="Book Antiqua" w:hAnsi="Book Antiqua" w:cs="Arial"/>
          <w:sz w:val="24"/>
          <w:szCs w:val="24"/>
          <w:lang w:val="en-US"/>
        </w:rPr>
        <w:t xml:space="preserve">LIC </w:t>
      </w:r>
      <w:r w:rsidR="009F6FE6" w:rsidRPr="007F5A49">
        <w:rPr>
          <w:rFonts w:ascii="Book Antiqua" w:hAnsi="Book Antiqua" w:cs="Arial"/>
          <w:sz w:val="24"/>
          <w:szCs w:val="24"/>
          <w:lang w:val="en-US"/>
        </w:rPr>
        <w:t xml:space="preserve">correlates </w:t>
      </w:r>
      <w:r w:rsidR="00982C30" w:rsidRPr="007F5A49">
        <w:rPr>
          <w:rFonts w:ascii="Book Antiqua" w:hAnsi="Book Antiqua" w:cs="Arial"/>
          <w:sz w:val="24"/>
          <w:szCs w:val="24"/>
          <w:lang w:val="en-US"/>
        </w:rPr>
        <w:t>significantly with</w:t>
      </w:r>
      <w:r w:rsidR="00982C30" w:rsidRPr="007F5A49">
        <w:rPr>
          <w:rFonts w:ascii="Book Antiqua" w:eastAsia="Times New Roman" w:hAnsi="Book Antiqua" w:cs="Arial"/>
          <w:sz w:val="24"/>
          <w:szCs w:val="24"/>
          <w:lang w:val="en-US"/>
        </w:rPr>
        <w:t xml:space="preserve"> the risk of f</w:t>
      </w:r>
      <w:r w:rsidR="00982C30" w:rsidRPr="007F5A49">
        <w:rPr>
          <w:rFonts w:ascii="Book Antiqua" w:hAnsi="Book Antiqua" w:cs="Arial"/>
          <w:sz w:val="24"/>
          <w:szCs w:val="24"/>
          <w:lang w:val="en-US"/>
        </w:rPr>
        <w:t>ibrosis and cirrhosis</w:t>
      </w:r>
      <w:r w:rsidR="001B5B4A"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Mzd2Yl3g","properties":{"formattedCitation":"(66)","plainCitation":"(66)","noteIndex":0},"citationItems":[{"id":352,"uris":["http://zotero.org/users/2804724/items/GQMNZ36I"],"uri":["http://zotero.org/users/2804724/items/GQMNZ36I"],"itemData":{"id":352,"type":"article-journal","title":"Screening for hemochromatosis in asymptomatic subjects with or without a family history","container-title":"Archives of Internal Medicine","page":"294-301","volume":"166","issue":"3","source":"PubMed","abstract":"BACKGROUND: Hemochromatosis in white subjects is mostly due to homozygosity for the common C282Y substitution in HFE. Although clinical symptoms are preventable by early detection of the genetic predisposition and prophylactic treatment, population screening is not currently advocated because of the discrepancy between the common mutation prevalence and apparently lower frequency of clinical disease. This study compared screening for hemochromatosis in subjects with or without a family history.\nMETHODS: We assessed disease expression by clinical evaluation and liver biopsy in 672 essentially asymptomatic C282Y homozygous subjects identified by either family screening or health checks. We also observed a subgroup of untreated homozygotes with normal serum ferritin levels for up to 24 years.\nRESULTS: Prevalence of hepatic iron overload and fibrosis were comparable between the 2 groups. Disease-related conditions were more common in male subjects identified by health checks, but they were older. Hepatic iron overload (grades 2-4) was present in 56% and 34.5% of male and female subjects, respectively; hepatic fibrosis (stages 2-4) in 18.4% and 5.4%; and cirrhosis in 5.6% and 1.9%. Hepatic fibrosis and cirrhosis correlated significantly with the hepatic iron concentration, and except in cases of cirrhosis, there was a 7.5-fold reduction in the mean fibrosis score after phlebotomy. All subjects with cirrhosis were asymptomatic.\nCONCLUSIONS: Screening for hemochromatosis in apparently healthy subjects homozygous for the C282Y mutation with or without a family history reveals comparable levels of hepatic iron overload and disease. Significant hepatic fibrosis is frequently found in asymptomatic subjects with hemochromatosis and, except when cirrhosis is present, is reversed by iron removal.","DOI":"10.1001/archinte.166.3.294","ISSN":"0003-9926","note":"PMID: 16476869","journalAbbreviation":"Arch. Intern. Med.","language":"eng","author":[{"family":"Powell","given":"Lawrie W."},{"family":"Dixon","given":"Jeannette L."},{"family":"Ramm","given":"Grant A."},{"family":"Purdie","given":"David M."},{"family":"Lincoln","given":"Douglas J."},{"family":"Anderson","given":"Gregory J."},{"family":"Subramaniam","given":"V. Nathan"},{"family":"Hewett","given":"David G."},{"family":"Searle","given":"Jeffrey W."},{"family":"Fletcher","given":"Linda M."},{"family":"Crawford","given":"Darrell H."},{"family":"Rodgers","given":"Helen"},{"family":"Allen","given":"Katrina J."},{"family":"Cavanaugh","given":"Juleen A."},{"family":"Bassett","given":"Mark L."}],"issued":{"date-parts":[["2006",2,13]]}}}],"schema":"https://github.com/citation-style-language/schema/raw/master/csl-citation.json"} </w:instrText>
      </w:r>
      <w:r w:rsidR="001B5B4A" w:rsidRPr="007F5A49">
        <w:rPr>
          <w:rFonts w:ascii="Book Antiqua" w:hAnsi="Book Antiqua" w:cs="Arial"/>
          <w:sz w:val="24"/>
          <w:szCs w:val="24"/>
          <w:vertAlign w:val="superscript"/>
          <w:lang w:val="en-US"/>
        </w:rPr>
        <w:fldChar w:fldCharType="separate"/>
      </w:r>
      <w:r w:rsidR="00D206BD"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66</w:t>
      </w:r>
      <w:r w:rsidR="001B5B4A" w:rsidRPr="007F5A49">
        <w:rPr>
          <w:rFonts w:ascii="Book Antiqua" w:hAnsi="Book Antiqua" w:cs="Arial"/>
          <w:sz w:val="24"/>
          <w:szCs w:val="24"/>
          <w:vertAlign w:val="superscript"/>
          <w:lang w:val="en-US"/>
        </w:rPr>
        <w:fldChar w:fldCharType="end"/>
      </w:r>
      <w:r w:rsidR="00D206BD" w:rsidRPr="007F5A49">
        <w:rPr>
          <w:rFonts w:ascii="Book Antiqua" w:hAnsi="Book Antiqua" w:cs="Arial"/>
          <w:sz w:val="24"/>
          <w:szCs w:val="24"/>
          <w:vertAlign w:val="superscript"/>
          <w:lang w:val="en-US"/>
        </w:rPr>
        <w:t>]</w:t>
      </w:r>
      <w:r w:rsidR="006710EB" w:rsidRPr="007F5A49">
        <w:rPr>
          <w:rFonts w:ascii="Book Antiqua" w:hAnsi="Book Antiqua" w:cs="Arial"/>
          <w:sz w:val="24"/>
          <w:szCs w:val="24"/>
          <w:lang w:val="en-US"/>
        </w:rPr>
        <w:t>. Similarly, i</w:t>
      </w:r>
      <w:r w:rsidR="006710EB" w:rsidRPr="007F5A49">
        <w:rPr>
          <w:rFonts w:ascii="Book Antiqua" w:eastAsia="Times New Roman" w:hAnsi="Book Antiqua" w:cs="Arial"/>
          <w:sz w:val="24"/>
          <w:szCs w:val="24"/>
          <w:lang w:val="en-US"/>
        </w:rPr>
        <w:t xml:space="preserve">n chronic hepatitis C infections, </w:t>
      </w:r>
      <w:r w:rsidR="00C60AC2" w:rsidRPr="007F5A49">
        <w:rPr>
          <w:rFonts w:ascii="Book Antiqua" w:hAnsi="Book Antiqua" w:cs="Arial"/>
          <w:sz w:val="24"/>
          <w:szCs w:val="24"/>
          <w:lang w:val="en-US"/>
        </w:rPr>
        <w:t>hepatic iron accumulation</w:t>
      </w:r>
      <w:r w:rsidR="007C10F8" w:rsidRPr="007F5A49">
        <w:rPr>
          <w:rFonts w:ascii="Book Antiqua" w:hAnsi="Book Antiqua" w:cs="Arial"/>
          <w:sz w:val="24"/>
          <w:szCs w:val="24"/>
          <w:lang w:val="en-US"/>
        </w:rPr>
        <w:t xml:space="preserve"> increases with fibrosis stage</w:t>
      </w:r>
      <w:r w:rsidR="00C60AC2" w:rsidRPr="007F5A49">
        <w:rPr>
          <w:rFonts w:ascii="Book Antiqua" w:eastAsia="Times New Roman" w:hAnsi="Book Antiqua" w:cs="Arial"/>
          <w:sz w:val="24"/>
          <w:szCs w:val="24"/>
          <w:vertAlign w:val="superscript"/>
          <w:lang w:val="en-US"/>
        </w:rPr>
        <w:fldChar w:fldCharType="begin"/>
      </w:r>
      <w:r w:rsidR="00D2645C" w:rsidRPr="007F5A49">
        <w:rPr>
          <w:rFonts w:ascii="Book Antiqua" w:eastAsia="Times New Roman" w:hAnsi="Book Antiqua" w:cs="Arial"/>
          <w:sz w:val="24"/>
          <w:szCs w:val="24"/>
          <w:vertAlign w:val="superscript"/>
          <w:lang w:val="en-US"/>
        </w:rPr>
        <w:instrText xml:space="preserve"> ADDIN ZOTERO_ITEM CSL_CITATION {"citationID":"aeMy9cTw","properties":{"formattedCitation":"(96,97)","plainCitation":"(96,97)","noteIndex":0},"citationItems":[{"id":"z1PZoHrb/6dYypZVs","uris":["http://zotero.org/users/4222068/items/7BT5J7TI"],"uri":["http://zotero.org/users/4222068/items/7BT5J7TI"],"itemData":{"id":1257,"type":"article-journal","title":"Clinical significance of hepatic iron deposition and serum iron values in patients with chronic hepatitis C infection","container-title":"The American Journal of Gastroenterology","page":"286-291","volume":"99","issue":"2","source":"PubMed","abstract":"OBJECTIVES: To assess the potential association between hepatic iron deposition or serum iron values and hepatic fibrosis and inflammatory activity in patients with chronic hepatitis C virus infection.\nMETHODS: In 100 consecutive patients with hepatitis C virus infection, tissue iron deposition was assessed by quantifying iron stain on liver biopsy specimens. Serum iron, ferritin, and transferrin saturation were determined by standard laboratory procedures. Statistical analyses incorporated potential confounders associated with hepatic fibrosis.\nRESULTS: Twenty-one patients had no fibrosis (stage 0), 13 had portal fibrosis (stage 1), 31 had periportal fibrosis (stage II), 10 had bridging fibrosis (stage III), and 25 had cirrhosis (stage IV). Positive iron stain found in liver biopsy specimens of 19 patients was associated with stage III or IV fibrosis (p = 0.004). No significant difference was found between the iron concentration or the hepatic iron index in patients with stage III or IV fibrosis compared with patients with stage I or II fibrosis. At least 1 of 3 serum iron values assessed was abnormal in 55 patients. In univariate analysis, elevated serum iron (p = 0.01), serum ferritin (p &lt; 0.001), and transferrin saturation (p = 0.002) were associated with stage III or IV fibrosis. In multivariate analysis, the only independent predictive factor of severe hepatic fibrosis was serum ferritin (p &lt; 0.02; odds ratio = 11.35). The serum ferritin value and tissue iron stain had a significant positive correlation (p &lt; 0.001).\nCONCLUSIONS: Increased hepatic iron deposition may be associated with more advanced hepatic fibrosis in patients with chronic hepatitis C virus infection. The serum ferritin value, an independent predictor of severe hepatic fibrosis in patients with chronic hepatitis C virus infection, may predict hepatic iron deposition and severity of fibrosis.","ISSN":"0002-9270","note":"PMID: 15046219","journalAbbreviation":"Am. J. Gastroenterol.","language":"eng","author":[{"family":"Metwally","given":"Mohamed A."},{"family":"Zein","given":"Claudia O."},{"family":"Zein","given":"Nizar N."}],"issued":{"date-parts":[["2004",2]]}}},{"id":"z1PZoHrb/g8HcCckq","uris":["http://zotero.org/users/4222068/items/RWMFI743"],"uri":["http://zotero.org/users/4222068/items/RWMFI743"],"itemData":{"id":1203,"type":"article-journal","title":"Up-regulation of transferrin receptor 1 in chronic hepatitis C: Implication in excess hepatic iron accumulation","container-title":"Hepatology Research: The Official Journal of the Japan Society of Hepatology","page":"203-210","volume":"31","issue":"4","source":"PubMed","abstract":"BACKGROUND/AIMS: : To clarify the mechanism of excess hepatic iron accumulation in chronic hepatitis C, we investigated the expressions of transferrin receptor 1 and divalent metal transporter 1 in hepatocytes, both of which are involved in cellular iron uptake, in relation to the degree of hepatic iron accumulation and hepatic fibrosis by immunohistochemistrical study.\nMETHODS: : Forty-six hepatic tissues with chronic hepatitis C and five normal hepatic tissues were examined. Chemical detection of hepatic iron accumulation was performed by Perl's Prussian blue stain. The immunohistochemistrical study was performed by avidin-biotin complex method with alkaline phosphatase.\nRESULTS: : In chronic hepatitis C: (1) Hepatic iron accumulation was significantly increased in relation to the advance of the fibrosis. (2) Divalent metal transporter 1 decreased significantly in relation to the advance of hepatic fibrosis. (3) Transferrin receptor 1 expression was always detected, although not in normal hepatic tissues; there was no relation between expression levels and the degree of hepatic fibrosis.\nCONCLUSIONS: : These data demonstrated that the transferrin receptor 1 expression was up-regulated irrespective of the degree of hepatic iron accumulation, suggesting that the up-regulation of transferrin receptor 1 might act as one of the key mechanisms implicated in the accumulation of hepatic iron in chronic hepatitis C.","DOI":"10.1016/j.hepres.2005.02.001","ISSN":"1386-6346","note":"PMID: 16890168","shortTitle":"Up-regulation of transferrin receptor 1 in chronic hepatitis C","journalAbbreviation":"Hepatol. Res.","language":"eng","author":[{"family":"Saito","given":"Hiroyuki"},{"family":"Fujimoto","given":"Yoshinori"},{"family":"Ohtake","given":"Takaaki"},{"family":"Suzuki","given":"Yasuaki"},{"family":"Sakurai","given":"Shinobu"},{"family":"Hosoki","given":"Yayoi"},{"family":"Ikuta","given":"Katsuya"},{"family":"Torimoto","given":"Yoshihiro"},{"family":"Kohgo","given":"Yutaka"}],"issued":{"date-parts":[["2005",4]]}}}],"schema":"https://github.com/citation-style-language/schema/raw/master/csl-citation.json"} </w:instrText>
      </w:r>
      <w:r w:rsidR="00C60AC2" w:rsidRPr="007F5A49">
        <w:rPr>
          <w:rFonts w:ascii="Book Antiqua" w:eastAsia="Times New Roman" w:hAnsi="Book Antiqua" w:cs="Arial"/>
          <w:sz w:val="24"/>
          <w:szCs w:val="24"/>
          <w:vertAlign w:val="superscript"/>
          <w:lang w:val="en-US"/>
        </w:rPr>
        <w:fldChar w:fldCharType="separate"/>
      </w:r>
      <w:r w:rsidR="00D206BD"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96,97</w:t>
      </w:r>
      <w:r w:rsidR="00C60AC2" w:rsidRPr="007F5A49">
        <w:rPr>
          <w:rFonts w:ascii="Book Antiqua" w:eastAsia="Times New Roman" w:hAnsi="Book Antiqua" w:cs="Arial"/>
          <w:sz w:val="24"/>
          <w:szCs w:val="24"/>
          <w:vertAlign w:val="superscript"/>
          <w:lang w:val="en-US"/>
        </w:rPr>
        <w:fldChar w:fldCharType="end"/>
      </w:r>
      <w:r w:rsidR="00D206BD" w:rsidRPr="007F5A49">
        <w:rPr>
          <w:rFonts w:ascii="Book Antiqua" w:eastAsia="Times New Roman" w:hAnsi="Book Antiqua" w:cs="Arial"/>
          <w:sz w:val="24"/>
          <w:szCs w:val="24"/>
          <w:vertAlign w:val="superscript"/>
          <w:lang w:val="en-US"/>
        </w:rPr>
        <w:t>]</w:t>
      </w:r>
      <w:r w:rsidR="00D41B12" w:rsidRPr="007F5A49">
        <w:rPr>
          <w:rFonts w:ascii="Book Antiqua" w:eastAsia="Times New Roman" w:hAnsi="Book Antiqua" w:cs="Arial"/>
          <w:sz w:val="24"/>
          <w:szCs w:val="24"/>
          <w:lang w:val="en-US"/>
        </w:rPr>
        <w:t>.</w:t>
      </w:r>
      <w:r w:rsidR="00D41B12" w:rsidRPr="007F5A49">
        <w:rPr>
          <w:rFonts w:ascii="Book Antiqua" w:hAnsi="Book Antiqua" w:cs="Arial"/>
          <w:color w:val="00B050"/>
          <w:sz w:val="24"/>
          <w:szCs w:val="24"/>
          <w:lang w:val="en-US"/>
        </w:rPr>
        <w:t xml:space="preserve"> </w:t>
      </w:r>
      <w:r w:rsidR="00107FDF" w:rsidRPr="007F5A49">
        <w:rPr>
          <w:rFonts w:ascii="Book Antiqua" w:hAnsi="Book Antiqua" w:cs="Arial"/>
          <w:sz w:val="24"/>
          <w:szCs w:val="24"/>
          <w:lang w:val="en-US"/>
        </w:rPr>
        <w:t>In NAFLD, h</w:t>
      </w:r>
      <w:r w:rsidR="00D41B12" w:rsidRPr="007F5A49">
        <w:rPr>
          <w:rFonts w:ascii="Book Antiqua" w:hAnsi="Book Antiqua" w:cs="Arial"/>
          <w:sz w:val="24"/>
          <w:szCs w:val="24"/>
          <w:lang w:val="en-US"/>
        </w:rPr>
        <w:t xml:space="preserve">epatocellular </w:t>
      </w:r>
      <w:r w:rsidR="00C30CCF" w:rsidRPr="007F5A49">
        <w:rPr>
          <w:rFonts w:ascii="Book Antiqua" w:hAnsi="Book Antiqua" w:cs="Arial"/>
          <w:sz w:val="24"/>
          <w:szCs w:val="24"/>
          <w:lang w:val="en-US"/>
        </w:rPr>
        <w:t xml:space="preserve">siderosis </w:t>
      </w:r>
      <w:r w:rsidR="00C30CCF" w:rsidRPr="007F5A49">
        <w:rPr>
          <w:rFonts w:ascii="Book Antiqua" w:hAnsi="Book Antiqua" w:cs="Arial"/>
          <w:sz w:val="24"/>
          <w:szCs w:val="24"/>
          <w:lang w:val="en-US"/>
        </w:rPr>
        <w:lastRenderedPageBreak/>
        <w:t>has</w:t>
      </w:r>
      <w:r w:rsidR="00D41B12" w:rsidRPr="007F5A49">
        <w:rPr>
          <w:rFonts w:ascii="Book Antiqua" w:hAnsi="Book Antiqua" w:cs="Arial"/>
          <w:sz w:val="24"/>
          <w:szCs w:val="24"/>
          <w:lang w:val="en-US"/>
        </w:rPr>
        <w:t xml:space="preserve"> been associated with higher risk of fibrosis than the absence of siderosis</w:t>
      </w:r>
      <w:r w:rsidR="00D41B12"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1vad5ece1p","properties":{"formattedCitation":"(85)","plainCitation":"(85)","noteIndex":0},"citationItems":[{"id":296,"uris":["http://zotero.org/users/2804724/items/KBIGWWG4"],"uri":["http://zotero.org/users/2804724/items/KBIGWWG4"],"itemData":{"id":296,"type":"article-journal","title":"HFE genotype, parenchymal iron accumulation, and liver fibrosis in patients with nonalcoholic fatty liver disease","container-title":"Gastroenterology","page":"905-912","volume":"138","issue":"3","source":"PubMed","abstract":"BACKGROUND &amp; AIMS: Mutations in the hemochromatosis gene (HFE) (C282Y and H63D) lead to parenchymal iron accumulation, hemochromatosis, and liver damage. We investigated whether these factors also contribute to the progression of fibrosis in patients with nonalcoholic fatty liver disease (NAFLD).\nMETHODS: We studied clinical, histologic (liver biopsy samples for hepatocellular iron accumulation), serologic (iron and enzyme levels), and genetic (HFE genotype) data from 587 patients from Italy with NAFLD and 184 control subjects.\nRESULTS: Iron accumulation predominantly in hepatocyes was associated with a 1.7-fold higher risk of a fibrosis stage greater than 1 (95% confidence interval [CI]: 1.2-2.3), compared with the absence of siderosis (after adjustment for age, body mass index, glucose tolerance status, and alanine aminotransferase level). Nonparenchymal/mixed siderosis was not associated with moderate/severe fibrosis (odds ratio, 0.72; 95% CI: 0.50-1.01). Hepatocellular siderosis was more prevalent in patients with HFE mutations than in those without; approximately one third of patients with HFE mutations had parenchymal iron accumulation (range, 29.8%-35.7%, depending on HFE genotype). Predominantly hepatocellular iron accumulation occurred in 52.7% of cases of patients with HFE mutations. There was no significant association between either the presence of HFE mutations or specific HFE genotypes and the severity of liver fibrosis.\nCONCLUSIONS: Iron deposition predominantly in hepatocyes is associated with more severe liver damage in patients with NAFLD. However, HFE mutations cannot be used to identify patients with hepatocellular iron accumulation.","DOI":"10.1053/j.gastro.2009.11.013","ISSN":"1528-0012","note":"PMID: 19931264","journalAbbreviation":"Gastroenterology","language":"eng","author":[{"family":"Valenti","given":"Luca"},{"family":"Fracanzani","given":"Anna Ludovica"},{"family":"Bugianesi","given":"Elisabetta"},{"family":"Dongiovanni","given":"Paola"},{"family":"Galmozzi","given":"Enrico"},{"family":"Vanni","given":"Ester"},{"family":"Canavesi","given":"Elena"},{"family":"Lattuada","given":"Ezio"},{"family":"Roviaro","given":"Giancarlo"},{"family":"Marchesini","given":"Giulio"},{"family":"Fargion","given":"Silvia"}],"issued":{"date-parts":[["2010",3]]}}}],"schema":"https://github.com/citation-style-language/schema/raw/master/csl-citation.json"} </w:instrText>
      </w:r>
      <w:r w:rsidR="00D41B12" w:rsidRPr="007F5A49">
        <w:rPr>
          <w:rFonts w:ascii="Book Antiqua" w:hAnsi="Book Antiqua" w:cs="Arial"/>
          <w:sz w:val="24"/>
          <w:szCs w:val="24"/>
          <w:vertAlign w:val="superscript"/>
          <w:lang w:val="en-US"/>
        </w:rPr>
        <w:fldChar w:fldCharType="separate"/>
      </w:r>
      <w:r w:rsidR="00D206BD"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85</w:t>
      </w:r>
      <w:r w:rsidR="00D41B12" w:rsidRPr="007F5A49">
        <w:rPr>
          <w:rFonts w:ascii="Book Antiqua" w:hAnsi="Book Antiqua" w:cs="Arial"/>
          <w:sz w:val="24"/>
          <w:szCs w:val="24"/>
          <w:vertAlign w:val="superscript"/>
          <w:lang w:val="en-US"/>
        </w:rPr>
        <w:fldChar w:fldCharType="end"/>
      </w:r>
      <w:r w:rsidR="00D206BD" w:rsidRPr="007F5A49">
        <w:rPr>
          <w:rFonts w:ascii="Book Antiqua" w:hAnsi="Book Antiqua" w:cs="Arial"/>
          <w:sz w:val="24"/>
          <w:szCs w:val="24"/>
          <w:vertAlign w:val="superscript"/>
          <w:lang w:val="en-US"/>
        </w:rPr>
        <w:t>]</w:t>
      </w:r>
      <w:r w:rsidR="00D41B12" w:rsidRPr="007F5A49">
        <w:rPr>
          <w:rFonts w:ascii="Book Antiqua" w:hAnsi="Book Antiqua" w:cs="Arial"/>
          <w:sz w:val="24"/>
          <w:szCs w:val="24"/>
          <w:lang w:val="en-US"/>
        </w:rPr>
        <w:t>.</w:t>
      </w:r>
      <w:r w:rsidR="00D41B12" w:rsidRPr="007F5A49">
        <w:rPr>
          <w:rFonts w:ascii="Book Antiqua" w:eastAsia="Times New Roman" w:hAnsi="Book Antiqua" w:cs="Arial"/>
          <w:sz w:val="24"/>
          <w:szCs w:val="24"/>
          <w:lang w:val="en-US"/>
        </w:rPr>
        <w:t xml:space="preserve"> </w:t>
      </w:r>
      <w:r w:rsidR="00235705" w:rsidRPr="007F5A49">
        <w:rPr>
          <w:rFonts w:ascii="Book Antiqua" w:eastAsia="Times New Roman" w:hAnsi="Book Antiqua" w:cs="Arial"/>
          <w:sz w:val="24"/>
          <w:szCs w:val="24"/>
          <w:lang w:val="en-US"/>
        </w:rPr>
        <w:t xml:space="preserve">Thus, </w:t>
      </w:r>
      <w:r w:rsidR="0061221F" w:rsidRPr="007F5A49">
        <w:rPr>
          <w:rFonts w:ascii="Book Antiqua" w:eastAsia="Times New Roman" w:hAnsi="Book Antiqua" w:cs="Arial"/>
          <w:sz w:val="24"/>
          <w:szCs w:val="24"/>
          <w:lang w:val="en-US"/>
        </w:rPr>
        <w:t xml:space="preserve">regardless of disease </w:t>
      </w:r>
      <w:proofErr w:type="spellStart"/>
      <w:r w:rsidR="00103038" w:rsidRPr="007F5A49">
        <w:rPr>
          <w:rFonts w:ascii="Book Antiqua" w:eastAsia="Times New Roman" w:hAnsi="Book Antiqua" w:cs="Arial"/>
          <w:sz w:val="24"/>
          <w:szCs w:val="24"/>
          <w:lang w:val="en-US"/>
        </w:rPr>
        <w:t>a</w:t>
      </w:r>
      <w:r w:rsidR="0061221F" w:rsidRPr="007F5A49">
        <w:rPr>
          <w:rFonts w:ascii="Book Antiqua" w:eastAsia="Times New Roman" w:hAnsi="Book Antiqua" w:cs="Arial"/>
          <w:sz w:val="24"/>
          <w:szCs w:val="24"/>
          <w:lang w:val="en-US"/>
        </w:rPr>
        <w:t>etiology</w:t>
      </w:r>
      <w:proofErr w:type="spellEnd"/>
      <w:r w:rsidR="0061221F" w:rsidRPr="007F5A49">
        <w:rPr>
          <w:rFonts w:ascii="Book Antiqua" w:eastAsia="Times New Roman" w:hAnsi="Book Antiqua" w:cs="Arial"/>
          <w:sz w:val="24"/>
          <w:szCs w:val="24"/>
          <w:lang w:val="en-US"/>
        </w:rPr>
        <w:t xml:space="preserve">, </w:t>
      </w:r>
      <w:r w:rsidR="009B56F3" w:rsidRPr="007F5A49">
        <w:rPr>
          <w:rFonts w:ascii="Book Antiqua" w:eastAsia="Times New Roman" w:hAnsi="Book Antiqua" w:cs="Arial"/>
          <w:sz w:val="24"/>
          <w:szCs w:val="24"/>
          <w:lang w:val="en-US"/>
        </w:rPr>
        <w:t xml:space="preserve">hepatic iron </w:t>
      </w:r>
      <w:r w:rsidR="007C10F8" w:rsidRPr="007F5A49">
        <w:rPr>
          <w:rFonts w:ascii="Book Antiqua" w:eastAsia="Times New Roman" w:hAnsi="Book Antiqua" w:cs="Arial"/>
          <w:sz w:val="24"/>
          <w:szCs w:val="24"/>
          <w:lang w:val="en-US"/>
        </w:rPr>
        <w:t>is</w:t>
      </w:r>
      <w:r w:rsidR="00EC1F04" w:rsidRPr="007F5A49">
        <w:rPr>
          <w:rFonts w:ascii="Book Antiqua" w:eastAsia="Times New Roman" w:hAnsi="Book Antiqua" w:cs="Arial"/>
          <w:sz w:val="24"/>
          <w:szCs w:val="24"/>
          <w:lang w:val="en-US"/>
        </w:rPr>
        <w:t xml:space="preserve"> considered as a surrogate marker of fibrosis severity</w:t>
      </w:r>
      <w:r w:rsidR="007C10F8" w:rsidRPr="007F5A49">
        <w:rPr>
          <w:rFonts w:ascii="Book Antiqua" w:eastAsia="Times New Roman" w:hAnsi="Book Antiqua" w:cs="Arial"/>
          <w:sz w:val="24"/>
          <w:szCs w:val="24"/>
          <w:lang w:val="en-US"/>
        </w:rPr>
        <w:t xml:space="preserve"> </w:t>
      </w:r>
      <w:r w:rsidR="00EC1F04" w:rsidRPr="007F5A49">
        <w:rPr>
          <w:rFonts w:ascii="Book Antiqua" w:eastAsia="Times New Roman" w:hAnsi="Book Antiqua" w:cs="Arial"/>
          <w:sz w:val="24"/>
          <w:szCs w:val="24"/>
          <w:lang w:val="en-US"/>
        </w:rPr>
        <w:t xml:space="preserve">and not </w:t>
      </w:r>
      <w:r w:rsidR="007C10F8" w:rsidRPr="007F5A49">
        <w:rPr>
          <w:rFonts w:ascii="Book Antiqua" w:eastAsia="Times New Roman" w:hAnsi="Book Antiqua" w:cs="Arial"/>
          <w:sz w:val="24"/>
          <w:szCs w:val="24"/>
          <w:lang w:val="en-US"/>
        </w:rPr>
        <w:t xml:space="preserve">only </w:t>
      </w:r>
      <w:r w:rsidR="00EC1F04" w:rsidRPr="007F5A49">
        <w:rPr>
          <w:rFonts w:ascii="Book Antiqua" w:eastAsia="Times New Roman" w:hAnsi="Book Antiqua" w:cs="Arial"/>
          <w:sz w:val="24"/>
          <w:szCs w:val="24"/>
          <w:lang w:val="en-US"/>
        </w:rPr>
        <w:t xml:space="preserve">a </w:t>
      </w:r>
      <w:proofErr w:type="spellStart"/>
      <w:r w:rsidR="00EC1F04" w:rsidRPr="007F5A49">
        <w:rPr>
          <w:rFonts w:ascii="Book Antiqua" w:hAnsi="Book Antiqua" w:cs="Arial"/>
          <w:sz w:val="24"/>
          <w:szCs w:val="24"/>
          <w:lang w:val="en-US"/>
        </w:rPr>
        <w:t>fibrogenic</w:t>
      </w:r>
      <w:proofErr w:type="spellEnd"/>
      <w:r w:rsidR="00EC1F04" w:rsidRPr="007F5A49">
        <w:rPr>
          <w:rFonts w:ascii="Book Antiqua" w:hAnsi="Book Antiqua" w:cs="Arial"/>
          <w:sz w:val="24"/>
          <w:szCs w:val="24"/>
          <w:lang w:val="en-US"/>
        </w:rPr>
        <w:t xml:space="preserve"> factor</w:t>
      </w:r>
      <w:r w:rsidR="00EC1F04" w:rsidRPr="007F5A49">
        <w:rPr>
          <w:rFonts w:ascii="Book Antiqua" w:eastAsia="Times New Roman" w:hAnsi="Book Antiqua" w:cs="Arial"/>
          <w:sz w:val="24"/>
          <w:szCs w:val="24"/>
          <w:vertAlign w:val="superscript"/>
          <w:lang w:val="en-US"/>
        </w:rPr>
        <w:fldChar w:fldCharType="begin"/>
      </w:r>
      <w:r w:rsidR="00D2645C" w:rsidRPr="007F5A49">
        <w:rPr>
          <w:rFonts w:ascii="Book Antiqua" w:eastAsia="Times New Roman" w:hAnsi="Book Antiqua" w:cs="Arial"/>
          <w:sz w:val="24"/>
          <w:szCs w:val="24"/>
          <w:vertAlign w:val="superscript"/>
          <w:lang w:val="en-US"/>
        </w:rPr>
        <w:instrText xml:space="preserve"> ADDIN ZOTERO_ITEM CSL_CITATION {"citationID":"QHPVHQWE","properties":{"formattedCitation":"(98)","plainCitation":"(98)","noteIndex":0},"citationItems":[{"id":"z1PZoHrb/xEffKN9U","uris":["http://zotero.org/users/4222068/items/TS26MEKP"],"uri":["http://zotero.org/users/4222068/items/TS26MEKP"],"itemData":{"id":1511,"type":"article-journal","title":"Liver iron is a surrogate marker of severe fibrosis in chronic hepatitis C","container-title":"Journal of Hepatology","page":"587-595","volume":"46","issue":"4","source":"PubMed","abstract":"BACKGROUND/AIMS: Patients with chronic hepatitis C have frequently mild to moderate liver iron overload which increases with fibrosis stage. Thus, it has been postulated that iron could enhance the progression of fibrosis. However, the real impact of iron is still controversial. The study was undertaken to determine the effect of confounding variables. All factors known to influence both iron overload and fibrosis were taken into account.\nMETHODS: Five hundred and eighty-six patients, who had liver biopsy performed prior to antiviral treatment, were included. Serum ferritin and liver iron were correlated with clinical, biological and histological variables in univariate and multivariate analysis. The impact of iron on fibrosis was evaluated in multivariate analysis in the whole group and in the subgroup of 380 patients with available date of infection.\nRESULTS: Hyperferritinemia, encountered in 27%, was associated with liver iron deposits in only 46% of cases. Liver iron was elevated in 17%, and correlated with age, male sex, and alcohol intake. The univariate strong link which existed between liver iron and fibrosis disappeared after adjustment for confounding variables.\nCONCLUSIONS: According to the results of this study, liver iron should be considered more as a surrogate marker for disease severity than as a fibrogenic factor per se.","DOI":"10.1016/j.jhep.2006.09.021","ISSN":"0168-8278","note":"PMID: 17156889","journalAbbreviation":"J. Hepatol.","language":"eng","author":[{"family":"Guyader","given":"Dominique"},{"family":"Thirouard","given":"Anne-Sophie"},{"family":"Erdtmann","given":"Lars"},{"family":"Rakba","given":"Nafissa"},{"family":"Jacquelinet","given":"Sylvie"},{"family":"Danielou","given":"Hélène"},{"family":"Perrin","given":"Michèle"},{"family":"Jouanolle","given":"Anne-Marie"},{"family":"Brissot","given":"Pierre"},{"family":"Deugnier","given":"Yves"}],"issued":{"date-parts":[["2007",4]]}}}],"schema":"https://github.com/citation-style-language/schema/raw/master/csl-citation.json"} </w:instrText>
      </w:r>
      <w:r w:rsidR="00EC1F04" w:rsidRPr="007F5A49">
        <w:rPr>
          <w:rFonts w:ascii="Book Antiqua" w:eastAsia="Times New Roman" w:hAnsi="Book Antiqua" w:cs="Arial"/>
          <w:sz w:val="24"/>
          <w:szCs w:val="24"/>
          <w:vertAlign w:val="superscript"/>
          <w:lang w:val="en-US"/>
        </w:rPr>
        <w:fldChar w:fldCharType="separate"/>
      </w:r>
      <w:r w:rsidR="00D206BD"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98</w:t>
      </w:r>
      <w:r w:rsidR="00EC1F04" w:rsidRPr="007F5A49">
        <w:rPr>
          <w:rFonts w:ascii="Book Antiqua" w:eastAsia="Times New Roman" w:hAnsi="Book Antiqua" w:cs="Arial"/>
          <w:sz w:val="24"/>
          <w:szCs w:val="24"/>
          <w:vertAlign w:val="superscript"/>
          <w:lang w:val="en-US"/>
        </w:rPr>
        <w:fldChar w:fldCharType="end"/>
      </w:r>
      <w:r w:rsidR="00D206BD" w:rsidRPr="007F5A49">
        <w:rPr>
          <w:rFonts w:ascii="Book Antiqua" w:eastAsia="Times New Roman" w:hAnsi="Book Antiqua" w:cs="Arial"/>
          <w:sz w:val="24"/>
          <w:szCs w:val="24"/>
          <w:vertAlign w:val="superscript"/>
          <w:lang w:val="en-US"/>
        </w:rPr>
        <w:t>]</w:t>
      </w:r>
      <w:r w:rsidR="00D41B12" w:rsidRPr="007F5A49">
        <w:rPr>
          <w:rFonts w:ascii="Book Antiqua" w:eastAsia="Times New Roman" w:hAnsi="Book Antiqua" w:cs="Arial"/>
          <w:sz w:val="24"/>
          <w:szCs w:val="24"/>
          <w:lang w:val="en-US"/>
        </w:rPr>
        <w:t>.</w:t>
      </w:r>
      <w:r w:rsidR="008B0186" w:rsidRPr="007F5A49">
        <w:rPr>
          <w:rFonts w:ascii="Book Antiqua" w:eastAsia="Times New Roman" w:hAnsi="Book Antiqua" w:cs="Arial"/>
          <w:sz w:val="24"/>
          <w:szCs w:val="24"/>
          <w:lang w:val="en-US"/>
        </w:rPr>
        <w:t xml:space="preserve"> Historically, l</w:t>
      </w:r>
      <w:r w:rsidR="0036282D" w:rsidRPr="007F5A49">
        <w:rPr>
          <w:rFonts w:ascii="Book Antiqua" w:eastAsia="Times New Roman" w:hAnsi="Book Antiqua" w:cs="Arial"/>
          <w:sz w:val="24"/>
          <w:szCs w:val="24"/>
          <w:lang w:val="en-US"/>
        </w:rPr>
        <w:t xml:space="preserve">iver iron </w:t>
      </w:r>
      <w:r w:rsidR="001B5B4A" w:rsidRPr="007F5A49">
        <w:rPr>
          <w:rFonts w:ascii="Book Antiqua" w:eastAsia="Times New Roman" w:hAnsi="Book Antiqua" w:cs="Arial"/>
          <w:sz w:val="24"/>
          <w:szCs w:val="24"/>
          <w:lang w:val="en-US"/>
        </w:rPr>
        <w:t>was</w:t>
      </w:r>
      <w:r w:rsidR="009F6FE6" w:rsidRPr="007F5A49">
        <w:rPr>
          <w:rFonts w:ascii="Book Antiqua" w:eastAsia="Times New Roman" w:hAnsi="Book Antiqua" w:cs="Arial"/>
          <w:sz w:val="24"/>
          <w:szCs w:val="24"/>
          <w:lang w:val="en-US"/>
        </w:rPr>
        <w:t xml:space="preserve"> </w:t>
      </w:r>
      <w:r w:rsidR="001B5B4A" w:rsidRPr="007F5A49">
        <w:rPr>
          <w:rFonts w:ascii="Book Antiqua" w:eastAsia="Times New Roman" w:hAnsi="Book Antiqua" w:cs="Arial"/>
          <w:sz w:val="24"/>
          <w:szCs w:val="24"/>
          <w:lang w:val="en-US"/>
        </w:rPr>
        <w:t xml:space="preserve">assessed by histological staining </w:t>
      </w:r>
      <w:r w:rsidR="00507FC2" w:rsidRPr="007F5A49">
        <w:rPr>
          <w:rFonts w:ascii="Book Antiqua" w:hAnsi="Book Antiqua" w:cs="Arial"/>
          <w:sz w:val="24"/>
          <w:szCs w:val="24"/>
          <w:lang w:val="en-US"/>
        </w:rPr>
        <w:t>of iron granule</w:t>
      </w:r>
      <w:r w:rsidR="00507FC2" w:rsidRPr="007F5A49">
        <w:rPr>
          <w:rFonts w:ascii="Book Antiqua" w:eastAsia="Times New Roman" w:hAnsi="Book Antiqua" w:cs="Arial"/>
          <w:sz w:val="24"/>
          <w:szCs w:val="24"/>
          <w:lang w:val="en-US"/>
        </w:rPr>
        <w:t xml:space="preserve">s </w:t>
      </w:r>
      <w:r w:rsidR="00107FDF" w:rsidRPr="007F5A49">
        <w:rPr>
          <w:rFonts w:ascii="Book Antiqua" w:eastAsia="Times New Roman" w:hAnsi="Book Antiqua" w:cs="Arial"/>
          <w:sz w:val="24"/>
          <w:szCs w:val="24"/>
          <w:lang w:val="en-US"/>
        </w:rPr>
        <w:t>o</w:t>
      </w:r>
      <w:r w:rsidR="009F6FE6" w:rsidRPr="007F5A49">
        <w:rPr>
          <w:rFonts w:ascii="Book Antiqua" w:eastAsia="Times New Roman" w:hAnsi="Book Antiqua" w:cs="Arial"/>
          <w:sz w:val="24"/>
          <w:szCs w:val="24"/>
          <w:lang w:val="en-US"/>
        </w:rPr>
        <w:t xml:space="preserve">n </w:t>
      </w:r>
      <w:r w:rsidR="001B5B4A" w:rsidRPr="007F5A49">
        <w:rPr>
          <w:rFonts w:ascii="Book Antiqua" w:eastAsia="Times New Roman" w:hAnsi="Book Antiqua" w:cs="Arial"/>
          <w:sz w:val="24"/>
          <w:szCs w:val="24"/>
          <w:lang w:val="en-US"/>
        </w:rPr>
        <w:t>samples from liver biopsy</w:t>
      </w:r>
      <w:r w:rsidR="008B0186" w:rsidRPr="007F5A49">
        <w:rPr>
          <w:rFonts w:ascii="Book Antiqua" w:eastAsia="Times New Roman" w:hAnsi="Book Antiqua" w:cs="Arial"/>
          <w:sz w:val="24"/>
          <w:szCs w:val="24"/>
          <w:lang w:val="en-US"/>
        </w:rPr>
        <w:t>.</w:t>
      </w:r>
      <w:r w:rsidR="00235705" w:rsidRPr="007F5A49">
        <w:rPr>
          <w:rFonts w:ascii="Book Antiqua" w:eastAsia="Times New Roman" w:hAnsi="Book Antiqua" w:cs="Arial"/>
          <w:sz w:val="24"/>
          <w:szCs w:val="24"/>
          <w:lang w:val="en-US"/>
        </w:rPr>
        <w:t xml:space="preserve"> </w:t>
      </w:r>
      <w:r w:rsidR="000405D4" w:rsidRPr="007F5A49">
        <w:rPr>
          <w:rFonts w:ascii="Book Antiqua" w:eastAsia="Times New Roman" w:hAnsi="Book Antiqua" w:cs="Arial"/>
          <w:sz w:val="24"/>
          <w:szCs w:val="24"/>
          <w:lang w:val="en-US"/>
        </w:rPr>
        <w:t>However,</w:t>
      </w:r>
      <w:r w:rsidR="002A778B" w:rsidRPr="007F5A49">
        <w:rPr>
          <w:rFonts w:ascii="Book Antiqua" w:eastAsia="Times New Roman" w:hAnsi="Book Antiqua" w:cs="Arial"/>
          <w:sz w:val="24"/>
          <w:szCs w:val="24"/>
          <w:lang w:val="en-US"/>
        </w:rPr>
        <w:t xml:space="preserve"> </w:t>
      </w:r>
      <w:r w:rsidR="00D41B12" w:rsidRPr="007F5A49">
        <w:rPr>
          <w:rFonts w:ascii="Book Antiqua" w:eastAsia="Times New Roman" w:hAnsi="Book Antiqua" w:cs="Arial"/>
          <w:sz w:val="24"/>
          <w:szCs w:val="24"/>
          <w:lang w:val="en-US"/>
        </w:rPr>
        <w:t>presently</w:t>
      </w:r>
      <w:r w:rsidR="004B7FB3" w:rsidRPr="007F5A49">
        <w:rPr>
          <w:rFonts w:ascii="Book Antiqua" w:eastAsia="Times New Roman" w:hAnsi="Book Antiqua" w:cs="Arial"/>
          <w:sz w:val="24"/>
          <w:szCs w:val="24"/>
          <w:lang w:val="en-US"/>
        </w:rPr>
        <w:t xml:space="preserve">, </w:t>
      </w:r>
      <w:r w:rsidR="00982C30" w:rsidRPr="007F5A49">
        <w:rPr>
          <w:rFonts w:ascii="Book Antiqua" w:eastAsia="Times New Roman" w:hAnsi="Book Antiqua" w:cs="Arial"/>
          <w:sz w:val="24"/>
          <w:szCs w:val="24"/>
          <w:lang w:val="en-US"/>
        </w:rPr>
        <w:t>serum-based</w:t>
      </w:r>
      <w:r w:rsidR="003769FC" w:rsidRPr="007F5A49">
        <w:rPr>
          <w:rFonts w:ascii="Book Antiqua" w:eastAsia="Times New Roman" w:hAnsi="Book Antiqua" w:cs="Arial"/>
          <w:sz w:val="24"/>
          <w:szCs w:val="24"/>
          <w:lang w:val="en-US"/>
        </w:rPr>
        <w:t xml:space="preserve"> markers</w:t>
      </w:r>
      <w:r w:rsidR="009F6FE6" w:rsidRPr="007F5A49">
        <w:rPr>
          <w:rFonts w:ascii="Book Antiqua" w:eastAsia="Times New Roman" w:hAnsi="Book Antiqua" w:cs="Arial"/>
          <w:sz w:val="24"/>
          <w:szCs w:val="24"/>
          <w:lang w:val="en-US"/>
        </w:rPr>
        <w:t xml:space="preserve"> </w:t>
      </w:r>
      <w:r w:rsidR="00C45F3C" w:rsidRPr="007F5A49">
        <w:rPr>
          <w:rFonts w:ascii="Book Antiqua" w:eastAsia="Times New Roman" w:hAnsi="Book Antiqua" w:cs="Arial"/>
          <w:sz w:val="24"/>
          <w:szCs w:val="24"/>
          <w:lang w:val="en-US"/>
        </w:rPr>
        <w:t xml:space="preserve">are used </w:t>
      </w:r>
      <w:r w:rsidR="009F6FE6" w:rsidRPr="007F5A49">
        <w:rPr>
          <w:rFonts w:ascii="Book Antiqua" w:eastAsia="Times New Roman" w:hAnsi="Book Antiqua" w:cs="Arial"/>
          <w:sz w:val="24"/>
          <w:szCs w:val="24"/>
          <w:lang w:val="en-US"/>
        </w:rPr>
        <w:t>in</w:t>
      </w:r>
      <w:r w:rsidR="002A778B" w:rsidRPr="007F5A49">
        <w:rPr>
          <w:rFonts w:ascii="Book Antiqua" w:eastAsia="Times New Roman" w:hAnsi="Book Antiqua" w:cs="Arial"/>
          <w:sz w:val="24"/>
          <w:szCs w:val="24"/>
          <w:lang w:val="en-US"/>
        </w:rPr>
        <w:t xml:space="preserve"> combin</w:t>
      </w:r>
      <w:r w:rsidR="009F6FE6" w:rsidRPr="007F5A49">
        <w:rPr>
          <w:rFonts w:ascii="Book Antiqua" w:eastAsia="Times New Roman" w:hAnsi="Book Antiqua" w:cs="Arial"/>
          <w:sz w:val="24"/>
          <w:szCs w:val="24"/>
          <w:lang w:val="en-US"/>
        </w:rPr>
        <w:t>ation</w:t>
      </w:r>
      <w:r w:rsidR="002A778B" w:rsidRPr="007F5A49">
        <w:rPr>
          <w:rFonts w:ascii="Book Antiqua" w:eastAsia="Times New Roman" w:hAnsi="Book Antiqua" w:cs="Arial"/>
          <w:sz w:val="24"/>
          <w:szCs w:val="24"/>
          <w:lang w:val="en-US"/>
        </w:rPr>
        <w:t xml:space="preserve"> with</w:t>
      </w:r>
      <w:r w:rsidR="00C45F3C" w:rsidRPr="007F5A49">
        <w:rPr>
          <w:rFonts w:ascii="Book Antiqua" w:eastAsia="Times New Roman" w:hAnsi="Book Antiqua" w:cs="Arial"/>
          <w:sz w:val="24"/>
          <w:szCs w:val="24"/>
          <w:lang w:val="en-US"/>
        </w:rPr>
        <w:t xml:space="preserve"> </w:t>
      </w:r>
      <w:r w:rsidR="001B5B4A" w:rsidRPr="007F5A49">
        <w:rPr>
          <w:rFonts w:ascii="Book Antiqua" w:hAnsi="Book Antiqua" w:cs="Arial"/>
          <w:sz w:val="24"/>
          <w:szCs w:val="24"/>
          <w:lang w:val="en-US"/>
        </w:rPr>
        <w:t>MRI</w:t>
      </w:r>
      <w:r w:rsidR="008B0186" w:rsidRPr="007F5A49">
        <w:rPr>
          <w:rFonts w:ascii="Book Antiqua" w:hAnsi="Book Antiqua" w:cs="Arial"/>
          <w:sz w:val="24"/>
          <w:szCs w:val="24"/>
          <w:lang w:val="en-US"/>
        </w:rPr>
        <w:t xml:space="preserve">, which </w:t>
      </w:r>
      <w:r w:rsidR="00E17B41" w:rsidRPr="007F5A49">
        <w:rPr>
          <w:rFonts w:ascii="Book Antiqua" w:hAnsi="Book Antiqua" w:cs="Arial"/>
          <w:sz w:val="24"/>
          <w:szCs w:val="24"/>
          <w:lang w:val="en-US"/>
        </w:rPr>
        <w:t>not</w:t>
      </w:r>
      <w:r w:rsidR="00507FC2" w:rsidRPr="007F5A49">
        <w:rPr>
          <w:rFonts w:ascii="Book Antiqua" w:hAnsi="Book Antiqua" w:cs="Arial"/>
          <w:sz w:val="24"/>
          <w:szCs w:val="24"/>
          <w:lang w:val="en-US"/>
        </w:rPr>
        <w:t xml:space="preserve"> only detects and quantifies </w:t>
      </w:r>
      <w:r w:rsidR="002A778B" w:rsidRPr="007F5A49">
        <w:rPr>
          <w:rFonts w:ascii="Book Antiqua" w:hAnsi="Book Antiqua" w:cs="Arial"/>
          <w:sz w:val="24"/>
          <w:szCs w:val="24"/>
          <w:lang w:val="en-US"/>
        </w:rPr>
        <w:t xml:space="preserve">liver </w:t>
      </w:r>
      <w:r w:rsidR="00507FC2" w:rsidRPr="007F5A49">
        <w:rPr>
          <w:rFonts w:ascii="Book Antiqua" w:hAnsi="Book Antiqua" w:cs="Arial"/>
          <w:sz w:val="24"/>
          <w:szCs w:val="24"/>
          <w:lang w:val="en-US"/>
        </w:rPr>
        <w:t>iron</w:t>
      </w:r>
      <w:r w:rsidR="000405D4" w:rsidRPr="007F5A49">
        <w:rPr>
          <w:rFonts w:ascii="Book Antiqua" w:hAnsi="Book Antiqua" w:cs="Arial"/>
          <w:sz w:val="24"/>
          <w:szCs w:val="24"/>
          <w:lang w:val="en-US"/>
        </w:rPr>
        <w:t>,</w:t>
      </w:r>
      <w:r w:rsidR="00E17B41" w:rsidRPr="007F5A49">
        <w:rPr>
          <w:rFonts w:ascii="Book Antiqua" w:hAnsi="Book Antiqua" w:cs="Arial"/>
          <w:sz w:val="24"/>
          <w:szCs w:val="24"/>
          <w:lang w:val="en-US"/>
        </w:rPr>
        <w:t xml:space="preserve"> but also helps in the staging of high degree fibrosis (F3-F4)</w:t>
      </w:r>
      <w:r w:rsidR="00CA21E1"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16tnbjtrac","properties":{"formattedCitation":"(95)","plainCitation":"(95)","noteIndex":0},"citationItems":[{"id":"z1PZoHrb/5GPoME6G","uris":["http://zotero.org/users/4222068/items/EQZWQPKH"],"uri":["http://zotero.org/users/4222068/items/EQZWQPKH"],"itemData":{"id":1505,"type":"article-journal","title":"Non-invasive methods for liver fibrosis prediction in hemochromatosis: One step beyond","container-title":"World Journal of Hepatology","page":"251-255","volume":"2","issue":"7","source":"PubMed Central","abstract":"Advances in recent years in the understanding of, and the genetic diagnosis of hereditary hemochromatosis (HH) have changed the approach to iron overload hereditary diseases. The ability to use a radiologic tool (MRI) that accurately provides liver iron concentration determination, and the presence of non-invasive serologic markers for fibrosis prediction (serum ferritin, platelet count, transaminases, etc), have diminished the need for liver biopsy for diagnosis and prognosis of this disease. Consequently, the role of liver biopsy in iron metabolism disorders is changing. Furthermore, the irruption of transient elastography to assess liver stiffness, and, more recently, the ability to determine liver fibrosis by means of MRI elastography will change this role even more, with a potential drastic decline in hepatic biopsies in years to come. This review will provide a brief summary of the different non-invasive methods available nowadays for diagnosis and prognosis in HH, and point out potential new techniques that could come about in the next years for fibrosis prediction, thus avoiding the need for liver biopsy in a greater number of patients. It is possible that liver biopsy will remain useful for the diagnosis of associated diseases, where other non-invasive means are not possible, or for those rare cases displaying discrepancies between radiological and biochemical markers.","DOI":"10.4254/wjh.v2.i7.251","ISSN":"1948-5182","note":"PMID: 21161006\nPMCID: PMC2999291","shortTitle":"Non-invasive methods for liver fibrosis prediction in hemochromatosis","journalAbbreviation":"World J Hepatol","author":[{"family":"Castiella","given":"Agustin"},{"family":"Zapata","given":"Eva"},{"family":"Alústiza","given":"José M"}],"issued":{"date-parts":[["2010",7,27]]}}}],"schema":"https://github.com/citation-style-language/schema/raw/master/csl-citation.json"} </w:instrText>
      </w:r>
      <w:r w:rsidR="00CA21E1" w:rsidRPr="007F5A49">
        <w:rPr>
          <w:rFonts w:ascii="Book Antiqua" w:hAnsi="Book Antiqua" w:cs="Arial"/>
          <w:sz w:val="24"/>
          <w:szCs w:val="24"/>
          <w:vertAlign w:val="superscript"/>
          <w:lang w:val="en-US"/>
        </w:rPr>
        <w:fldChar w:fldCharType="separate"/>
      </w:r>
      <w:r w:rsidR="00D206BD"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95</w:t>
      </w:r>
      <w:r w:rsidR="00CA21E1" w:rsidRPr="007F5A49">
        <w:rPr>
          <w:rFonts w:ascii="Book Antiqua" w:hAnsi="Book Antiqua" w:cs="Arial"/>
          <w:sz w:val="24"/>
          <w:szCs w:val="24"/>
          <w:vertAlign w:val="superscript"/>
          <w:lang w:val="en-US"/>
        </w:rPr>
        <w:fldChar w:fldCharType="end"/>
      </w:r>
      <w:r w:rsidR="00D206BD" w:rsidRPr="007F5A49">
        <w:rPr>
          <w:rFonts w:ascii="Book Antiqua" w:hAnsi="Book Antiqua" w:cs="Arial"/>
          <w:sz w:val="24"/>
          <w:szCs w:val="24"/>
          <w:vertAlign w:val="superscript"/>
          <w:lang w:val="en-US"/>
        </w:rPr>
        <w:t>]</w:t>
      </w:r>
      <w:r w:rsidR="00C45F3C" w:rsidRPr="007F5A49">
        <w:rPr>
          <w:rFonts w:ascii="Book Antiqua" w:hAnsi="Book Antiqua" w:cs="Arial"/>
          <w:sz w:val="24"/>
          <w:szCs w:val="24"/>
          <w:lang w:val="en-US"/>
        </w:rPr>
        <w:t xml:space="preserve">. </w:t>
      </w:r>
      <w:r w:rsidR="008B0186" w:rsidRPr="007F5A49">
        <w:rPr>
          <w:rFonts w:ascii="Book Antiqua" w:hAnsi="Book Antiqua" w:cs="Arial"/>
          <w:sz w:val="24"/>
          <w:szCs w:val="24"/>
          <w:lang w:val="en-US"/>
        </w:rPr>
        <w:t>A</w:t>
      </w:r>
      <w:r w:rsidR="00781124" w:rsidRPr="007F5A49">
        <w:rPr>
          <w:rFonts w:ascii="Book Antiqua" w:hAnsi="Book Antiqua" w:cs="Arial"/>
          <w:sz w:val="24"/>
          <w:szCs w:val="24"/>
          <w:lang w:val="en-US"/>
        </w:rPr>
        <w:t>lthough L</w:t>
      </w:r>
      <w:r w:rsidR="00CA21E1" w:rsidRPr="007F5A49">
        <w:rPr>
          <w:rFonts w:ascii="Book Antiqua" w:hAnsi="Book Antiqua" w:cs="Arial"/>
          <w:sz w:val="24"/>
          <w:szCs w:val="24"/>
          <w:lang w:val="en-US"/>
        </w:rPr>
        <w:t>IC</w:t>
      </w:r>
      <w:r w:rsidR="00781124" w:rsidRPr="007F5A49">
        <w:rPr>
          <w:rFonts w:ascii="Book Antiqua" w:hAnsi="Book Antiqua" w:cs="Arial"/>
          <w:sz w:val="24"/>
          <w:szCs w:val="24"/>
          <w:lang w:val="en-US"/>
        </w:rPr>
        <w:t xml:space="preserve"> determination </w:t>
      </w:r>
      <w:r w:rsidR="00B615A3" w:rsidRPr="007F5A49">
        <w:rPr>
          <w:rFonts w:ascii="Book Antiqua" w:hAnsi="Book Antiqua" w:cs="Arial"/>
          <w:sz w:val="24"/>
          <w:szCs w:val="24"/>
          <w:lang w:val="en-US"/>
        </w:rPr>
        <w:t>is important</w:t>
      </w:r>
      <w:r w:rsidR="00781124" w:rsidRPr="007F5A49">
        <w:rPr>
          <w:rFonts w:ascii="Book Antiqua" w:hAnsi="Book Antiqua" w:cs="Arial"/>
          <w:sz w:val="24"/>
          <w:szCs w:val="24"/>
          <w:lang w:val="en-US"/>
        </w:rPr>
        <w:t xml:space="preserve"> as it </w:t>
      </w:r>
      <w:r w:rsidR="008B0186" w:rsidRPr="007F5A49">
        <w:rPr>
          <w:rFonts w:ascii="Book Antiqua" w:hAnsi="Book Antiqua" w:cs="Arial"/>
          <w:sz w:val="24"/>
          <w:szCs w:val="24"/>
          <w:lang w:val="en-US"/>
        </w:rPr>
        <w:t>correlates</w:t>
      </w:r>
      <w:r w:rsidR="00781124" w:rsidRPr="007F5A49">
        <w:rPr>
          <w:rFonts w:ascii="Book Antiqua" w:hAnsi="Book Antiqua" w:cs="Arial"/>
          <w:sz w:val="24"/>
          <w:szCs w:val="24"/>
          <w:lang w:val="en-US"/>
        </w:rPr>
        <w:t xml:space="preserve"> with total body iron, </w:t>
      </w:r>
      <w:r w:rsidR="00B615A3" w:rsidRPr="007F5A49">
        <w:rPr>
          <w:rFonts w:ascii="Book Antiqua" w:hAnsi="Book Antiqua" w:cs="Arial"/>
          <w:sz w:val="24"/>
          <w:szCs w:val="24"/>
          <w:lang w:val="en-US"/>
        </w:rPr>
        <w:t xml:space="preserve">it </w:t>
      </w:r>
      <w:r w:rsidR="00781124" w:rsidRPr="007F5A49">
        <w:rPr>
          <w:rFonts w:ascii="Book Antiqua" w:hAnsi="Book Antiqua" w:cs="Arial"/>
          <w:sz w:val="24"/>
          <w:szCs w:val="24"/>
          <w:lang w:val="en-US"/>
        </w:rPr>
        <w:t>may not reflect iron deposition in extra-hepatic organs</w:t>
      </w:r>
      <w:r w:rsidR="000405D4" w:rsidRPr="007F5A49">
        <w:rPr>
          <w:rFonts w:ascii="Book Antiqua" w:hAnsi="Book Antiqua" w:cs="Arial"/>
          <w:sz w:val="24"/>
          <w:szCs w:val="24"/>
          <w:lang w:val="en-US"/>
        </w:rPr>
        <w:t>.</w:t>
      </w:r>
      <w:r w:rsidR="009E0F13" w:rsidRPr="007F5A49">
        <w:rPr>
          <w:rFonts w:ascii="Book Antiqua" w:hAnsi="Book Antiqua" w:cs="Arial"/>
          <w:sz w:val="24"/>
          <w:szCs w:val="24"/>
          <w:lang w:val="en-US"/>
        </w:rPr>
        <w:t xml:space="preserve"> </w:t>
      </w:r>
      <w:r w:rsidR="00BF589C" w:rsidRPr="007F5A49">
        <w:rPr>
          <w:rFonts w:ascii="Book Antiqua" w:hAnsi="Book Antiqua" w:cs="Arial"/>
          <w:sz w:val="24"/>
          <w:szCs w:val="24"/>
          <w:lang w:val="en-US"/>
        </w:rPr>
        <w:t xml:space="preserve">Likewise, </w:t>
      </w:r>
      <w:r w:rsidR="00781124" w:rsidRPr="007F5A49">
        <w:rPr>
          <w:rFonts w:ascii="Book Antiqua" w:hAnsi="Book Antiqua" w:cs="Arial"/>
          <w:sz w:val="24"/>
          <w:szCs w:val="24"/>
          <w:lang w:val="en-US"/>
        </w:rPr>
        <w:t xml:space="preserve">low LIC does not exclude the probability of iron loading in </w:t>
      </w:r>
      <w:r w:rsidR="008B0186" w:rsidRPr="007F5A49">
        <w:rPr>
          <w:rFonts w:ascii="Book Antiqua" w:hAnsi="Book Antiqua" w:cs="Arial"/>
          <w:sz w:val="24"/>
          <w:szCs w:val="24"/>
          <w:lang w:val="en-US"/>
        </w:rPr>
        <w:t xml:space="preserve">extra-hepatic </w:t>
      </w:r>
      <w:r w:rsidR="00781124" w:rsidRPr="007F5A49">
        <w:rPr>
          <w:rFonts w:ascii="Book Antiqua" w:hAnsi="Book Antiqua" w:cs="Arial"/>
          <w:sz w:val="24"/>
          <w:szCs w:val="24"/>
          <w:lang w:val="en-US"/>
        </w:rPr>
        <w:t>organs</w:t>
      </w:r>
      <w:r w:rsidR="00781124"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5PVGH9Qj","properties":{"formattedCitation":"(99)","plainCitation":"(99)","noteIndex":0},"citationItems":[{"id":305,"uris":["http://zotero.org/users/2804724/items/4HF7HGXV"],"uri":["http://zotero.org/users/2804724/items/4HF7HGXV"],"itemData":{"id":305,"type":"article-journal","title":"Magnetic Resonance Imaging Quantification of Liver Iron","container-title":"Magnetic resonance imaging clinics of North America","page":"359-ix","volume":"18","issue":"3","source":"PubMed Central","abstract":"Iron overload is the histological hallmark of genetic hemochromatosis and transfusional hemosiderosis but also may occur in chronic hepatopathies. This article provides an overview of iron deposition and diseases where liver iron overload is clinically relevant. Next, this article reviews why quantitative non-invasive biomarkers of liver iron would be beneficial. Finally, we describe current state of the art methods for quantifying iron with MRI and review remaining challenges and unsolved problems,","DOI":"10.1016/j.mric.2010.08.014","ISSN":"1064-9689","note":"PMID: 21094445\nPMCID: PMC3430384","journalAbbreviation":"Magn Reson Imaging Clin N Am","author":[{"family":"Sirlin","given":"Claude B."},{"family":"Reeder","given":"Scott B."}],"issued":{"date-parts":[["2010",8]]}}}],"schema":"https://github.com/citation-style-language/schema/raw/master/csl-citation.json"} </w:instrText>
      </w:r>
      <w:r w:rsidR="00781124" w:rsidRPr="007F5A49">
        <w:rPr>
          <w:rFonts w:ascii="Book Antiqua" w:hAnsi="Book Antiqua" w:cs="Arial"/>
          <w:sz w:val="24"/>
          <w:szCs w:val="24"/>
          <w:vertAlign w:val="superscript"/>
          <w:lang w:val="en-US"/>
        </w:rPr>
        <w:fldChar w:fldCharType="separate"/>
      </w:r>
      <w:r w:rsidR="00D206BD"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99</w:t>
      </w:r>
      <w:r w:rsidR="00781124" w:rsidRPr="007F5A49">
        <w:rPr>
          <w:rFonts w:ascii="Book Antiqua" w:hAnsi="Book Antiqua" w:cs="Arial"/>
          <w:sz w:val="24"/>
          <w:szCs w:val="24"/>
          <w:vertAlign w:val="superscript"/>
          <w:lang w:val="en-US"/>
        </w:rPr>
        <w:fldChar w:fldCharType="end"/>
      </w:r>
      <w:r w:rsidR="00D206BD" w:rsidRPr="007F5A49">
        <w:rPr>
          <w:rFonts w:ascii="Book Antiqua" w:hAnsi="Book Antiqua" w:cs="Arial"/>
          <w:sz w:val="24"/>
          <w:szCs w:val="24"/>
          <w:vertAlign w:val="superscript"/>
          <w:lang w:val="en-US"/>
        </w:rPr>
        <w:t>]</w:t>
      </w:r>
      <w:r w:rsidR="00376D88" w:rsidRPr="007F5A49">
        <w:rPr>
          <w:rFonts w:ascii="Book Antiqua" w:hAnsi="Book Antiqua" w:cs="Arial"/>
          <w:sz w:val="24"/>
          <w:szCs w:val="24"/>
          <w:lang w:val="en-US"/>
        </w:rPr>
        <w:t>.</w:t>
      </w:r>
    </w:p>
    <w:p w14:paraId="0B45960C" w14:textId="16F0A006" w:rsidR="00304E2F" w:rsidRPr="007F5A49" w:rsidRDefault="00C04BB2" w:rsidP="007F5A49">
      <w:pPr>
        <w:adjustRightInd w:val="0"/>
        <w:snapToGrid w:val="0"/>
        <w:spacing w:after="0" w:line="360" w:lineRule="auto"/>
        <w:jc w:val="both"/>
        <w:rPr>
          <w:rFonts w:ascii="Book Antiqua" w:eastAsia="Times New Roman" w:hAnsi="Book Antiqua" w:cs="Arial"/>
          <w:sz w:val="24"/>
          <w:szCs w:val="24"/>
          <w:lang w:val="en-US"/>
        </w:rPr>
      </w:pPr>
      <w:r>
        <w:rPr>
          <w:rFonts w:ascii="Book Antiqua" w:hAnsi="Book Antiqua" w:cs="Arial"/>
          <w:color w:val="FF0000"/>
          <w:sz w:val="24"/>
          <w:szCs w:val="24"/>
          <w:lang w:val="en-US"/>
        </w:rPr>
        <w:t xml:space="preserve">  </w:t>
      </w:r>
      <w:r w:rsidR="00235705" w:rsidRPr="007F5A49">
        <w:rPr>
          <w:rFonts w:ascii="Book Antiqua" w:hAnsi="Book Antiqua" w:cs="Arial"/>
          <w:sz w:val="24"/>
          <w:szCs w:val="24"/>
          <w:lang w:val="en-US"/>
        </w:rPr>
        <w:t xml:space="preserve">An iron-related protein of immense clinical significance is ferritin. </w:t>
      </w:r>
      <w:r w:rsidR="003837BF" w:rsidRPr="007F5A49">
        <w:rPr>
          <w:rFonts w:ascii="Book Antiqua" w:hAnsi="Book Antiqua" w:cs="Arial"/>
          <w:sz w:val="24"/>
          <w:szCs w:val="24"/>
          <w:lang w:val="en-US"/>
        </w:rPr>
        <w:t xml:space="preserve">Serum ferritin is shown to be derived primarily </w:t>
      </w:r>
      <w:r w:rsidR="008B0186" w:rsidRPr="007F5A49">
        <w:rPr>
          <w:rFonts w:ascii="Book Antiqua" w:hAnsi="Book Antiqua" w:cs="Arial"/>
          <w:sz w:val="24"/>
          <w:szCs w:val="24"/>
          <w:lang w:val="en-US"/>
        </w:rPr>
        <w:t>from macrophages in mice models</w:t>
      </w:r>
      <w:r w:rsidR="003837BF"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13esujr2mn","properties":{"formattedCitation":"(100)","plainCitation":"(100)","noteIndex":0},"citationItems":[{"id":"z1PZoHrb/Iap241cv","uris":["http://zotero.org/users/4222068/items/ZUQKFA7C"],"uri":["http://zotero.org/users/4222068/items/ZUQKFA7C"],"itemData":{"id":1650,"type":"article-journal","title":"Serum ferritin is derived primarily from macrophages through a nonclassical secretory pathway","container-title":"Blood","page":"1574-1584","volume":"116","issue":"9","source":"PubMed","abstract":"The serum ferritin concentration is a clinical parameter measured widely for the differential diagnosis of anemia. Its levels increase with elevations of tissue iron stores and with inflammation, but studies on cellular sources of serum ferritin as well as its subunit composition, degree of iron loading and glycosylation have given rise to conflicting results. To gain further understanding of serum ferritin, we have used traditional and modern methodologies to characterize mouse serum ferritin. We find that both splenic macrophages and proximal tubule cells of the kidney are possible cellular sources for serum ferritin and that serum ferritin is secreted by cells rather than being the product of a cytosolic leak from damaged cells. Mouse serum ferritin is composed mostly of L-subunits, whereas it contains few H-subunits and iron content is low. L-subunits of serum ferritin are frequently truncated at the C-terminus, giving rise to a characteristic 17-kD band that has been previously observed in lysosomal ferritin. Taken together with the fact that mouse serum ferritin is not detectably glycosylated, we propose that mouse serum ferritin is secreted through the nonclassical lysosomal secretory pathway.","DOI":"10.1182/blood-2009-11-253815","ISSN":"1528-0020","note":"PMID: 20472835","journalAbbreviation":"Blood","language":"eng","author":[{"family":"Cohen","given":"Lyora A."},{"family":"Gutierrez","given":"Lucia"},{"family":"Weiss","given":"Avital"},{"family":"Leichtmann-Bardoogo","given":"Yael"},{"family":"Zhang","given":"De-liang"},{"family":"Crooks","given":"Daniel R."},{"family":"Sougrat","given":"Rachid"},{"family":"Morgenstern","given":"Avigail"},{"family":"Galy","given":"Bruno"},{"family":"Hentze","given":"Matthias W."},{"family":"Lazaro","given":"Francisco J."},{"family":"Rouault","given":"Tracey A."},{"family":"Meyron-Holtz","given":"Esther G."}],"issued":{"date-parts":[["2010",9,2]]}}}],"schema":"https://github.com/citation-style-language/schema/raw/master/csl-citation.json"} </w:instrText>
      </w:r>
      <w:r w:rsidR="003837BF" w:rsidRPr="007F5A49">
        <w:rPr>
          <w:rFonts w:ascii="Book Antiqua" w:hAnsi="Book Antiqua" w:cs="Arial"/>
          <w:sz w:val="24"/>
          <w:szCs w:val="24"/>
          <w:vertAlign w:val="superscript"/>
          <w:lang w:val="en-US"/>
        </w:rPr>
        <w:fldChar w:fldCharType="separate"/>
      </w:r>
      <w:r w:rsidR="00D206BD"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100</w:t>
      </w:r>
      <w:r w:rsidR="003837BF" w:rsidRPr="007F5A49">
        <w:rPr>
          <w:rFonts w:ascii="Book Antiqua" w:hAnsi="Book Antiqua" w:cs="Arial"/>
          <w:sz w:val="24"/>
          <w:szCs w:val="24"/>
          <w:vertAlign w:val="superscript"/>
          <w:lang w:val="en-US"/>
        </w:rPr>
        <w:fldChar w:fldCharType="end"/>
      </w:r>
      <w:r w:rsidR="00D206BD" w:rsidRPr="007F5A49">
        <w:rPr>
          <w:rFonts w:ascii="Book Antiqua" w:hAnsi="Book Antiqua" w:cs="Arial"/>
          <w:sz w:val="24"/>
          <w:szCs w:val="24"/>
          <w:vertAlign w:val="superscript"/>
          <w:lang w:val="en-US"/>
        </w:rPr>
        <w:t>]</w:t>
      </w:r>
      <w:r w:rsidR="003837BF" w:rsidRPr="007F5A49">
        <w:rPr>
          <w:rFonts w:ascii="Book Antiqua" w:hAnsi="Book Antiqua" w:cs="Arial"/>
          <w:sz w:val="24"/>
          <w:szCs w:val="24"/>
          <w:lang w:val="en-US"/>
        </w:rPr>
        <w:t xml:space="preserve">. </w:t>
      </w:r>
      <w:r w:rsidR="005910F1" w:rsidRPr="007F5A49">
        <w:rPr>
          <w:rFonts w:ascii="Book Antiqua" w:hAnsi="Book Antiqua" w:cs="Arial"/>
          <w:sz w:val="24"/>
          <w:szCs w:val="24"/>
          <w:lang w:val="en-US"/>
        </w:rPr>
        <w:t xml:space="preserve">In </w:t>
      </w:r>
      <w:bookmarkStart w:id="50" w:name="_Hlk508444398"/>
      <w:r w:rsidR="003769FC" w:rsidRPr="007F5A49">
        <w:rPr>
          <w:rFonts w:ascii="Book Antiqua" w:hAnsi="Book Antiqua" w:cs="Arial"/>
          <w:sz w:val="24"/>
          <w:szCs w:val="24"/>
          <w:lang w:val="en-US"/>
        </w:rPr>
        <w:t>C282Y homozygotes</w:t>
      </w:r>
      <w:bookmarkEnd w:id="50"/>
      <w:r w:rsidR="005910F1" w:rsidRPr="007F5A49">
        <w:rPr>
          <w:rFonts w:ascii="Book Antiqua" w:hAnsi="Book Antiqua" w:cs="Arial"/>
          <w:sz w:val="24"/>
          <w:szCs w:val="24"/>
          <w:lang w:val="en-US"/>
        </w:rPr>
        <w:t xml:space="preserve">, </w:t>
      </w:r>
      <w:r w:rsidR="003769FC" w:rsidRPr="007F5A49">
        <w:rPr>
          <w:rFonts w:ascii="Book Antiqua" w:hAnsi="Book Antiqua" w:cs="Arial"/>
          <w:sz w:val="24"/>
          <w:szCs w:val="24"/>
          <w:lang w:val="en-US"/>
        </w:rPr>
        <w:t>serum ferritin</w:t>
      </w:r>
      <w:r w:rsidR="004C7357" w:rsidRPr="007F5A49">
        <w:rPr>
          <w:rFonts w:ascii="Book Antiqua" w:hAnsi="Book Antiqua" w:cs="Arial"/>
          <w:sz w:val="24"/>
          <w:szCs w:val="24"/>
          <w:lang w:val="en-US"/>
        </w:rPr>
        <w:t xml:space="preserve"> &gt;</w:t>
      </w:r>
      <w:r>
        <w:rPr>
          <w:rFonts w:ascii="Book Antiqua" w:hAnsi="Book Antiqua" w:cs="Arial"/>
          <w:sz w:val="24"/>
          <w:szCs w:val="24"/>
          <w:lang w:val="en-US"/>
        </w:rPr>
        <w:t xml:space="preserve"> </w:t>
      </w:r>
      <w:r w:rsidR="003769FC" w:rsidRPr="007F5A49">
        <w:rPr>
          <w:rFonts w:ascii="Book Antiqua" w:hAnsi="Book Antiqua" w:cs="Arial"/>
          <w:sz w:val="24"/>
          <w:szCs w:val="24"/>
          <w:lang w:val="en-US"/>
        </w:rPr>
        <w:t xml:space="preserve">1000 </w:t>
      </w:r>
      <w:proofErr w:type="spellStart"/>
      <w:r w:rsidR="003769FC" w:rsidRPr="007F5A49">
        <w:rPr>
          <w:rFonts w:ascii="Book Antiqua" w:hAnsi="Book Antiqua" w:cs="Arial"/>
          <w:sz w:val="24"/>
          <w:szCs w:val="24"/>
          <w:lang w:val="en-US"/>
        </w:rPr>
        <w:t>μg</w:t>
      </w:r>
      <w:proofErr w:type="spellEnd"/>
      <w:r w:rsidR="003769FC" w:rsidRPr="007F5A49">
        <w:rPr>
          <w:rFonts w:ascii="Book Antiqua" w:hAnsi="Book Antiqua" w:cs="Arial"/>
          <w:sz w:val="24"/>
          <w:szCs w:val="24"/>
          <w:lang w:val="en-US"/>
        </w:rPr>
        <w:t xml:space="preserve">/L </w:t>
      </w:r>
      <w:r w:rsidR="00EC25D3" w:rsidRPr="007F5A49">
        <w:rPr>
          <w:rFonts w:ascii="Book Antiqua" w:hAnsi="Book Antiqua" w:cs="Arial"/>
          <w:sz w:val="24"/>
          <w:szCs w:val="24"/>
          <w:lang w:val="en-US"/>
        </w:rPr>
        <w:t xml:space="preserve">with </w:t>
      </w:r>
      <w:r w:rsidR="003769FC" w:rsidRPr="007F5A49">
        <w:rPr>
          <w:rFonts w:ascii="Book Antiqua" w:hAnsi="Book Antiqua" w:cs="Arial"/>
          <w:sz w:val="24"/>
          <w:szCs w:val="24"/>
          <w:lang w:val="en-US"/>
        </w:rPr>
        <w:t>elevat</w:t>
      </w:r>
      <w:r w:rsidR="00243C38" w:rsidRPr="007F5A49">
        <w:rPr>
          <w:rFonts w:ascii="Book Antiqua" w:hAnsi="Book Antiqua" w:cs="Arial"/>
          <w:sz w:val="24"/>
          <w:szCs w:val="24"/>
          <w:lang w:val="en-US"/>
        </w:rPr>
        <w:t>ed</w:t>
      </w:r>
      <w:r w:rsidR="003769FC" w:rsidRPr="007F5A49">
        <w:rPr>
          <w:rFonts w:ascii="Book Antiqua" w:hAnsi="Book Antiqua" w:cs="Arial"/>
          <w:sz w:val="24"/>
          <w:szCs w:val="24"/>
          <w:lang w:val="en-US"/>
        </w:rPr>
        <w:t xml:space="preserve"> </w:t>
      </w:r>
      <w:r w:rsidR="003363EF" w:rsidRPr="007F5A49">
        <w:rPr>
          <w:rStyle w:val="st"/>
          <w:rFonts w:ascii="Book Antiqua" w:hAnsi="Book Antiqua" w:cs="Arial"/>
          <w:sz w:val="24"/>
          <w:szCs w:val="24"/>
          <w:lang w:val="en-US"/>
        </w:rPr>
        <w:t>alanine transaminase</w:t>
      </w:r>
      <w:r w:rsidR="003363EF" w:rsidRPr="007F5A49">
        <w:rPr>
          <w:rFonts w:ascii="Book Antiqua" w:hAnsi="Book Antiqua" w:cs="Arial"/>
          <w:sz w:val="24"/>
          <w:szCs w:val="24"/>
          <w:lang w:val="en-US"/>
        </w:rPr>
        <w:t xml:space="preserve"> (</w:t>
      </w:r>
      <w:r w:rsidR="003769FC" w:rsidRPr="007F5A49">
        <w:rPr>
          <w:rFonts w:ascii="Book Antiqua" w:hAnsi="Book Antiqua" w:cs="Arial"/>
          <w:sz w:val="24"/>
          <w:szCs w:val="24"/>
          <w:lang w:val="en-US"/>
        </w:rPr>
        <w:t>ALT</w:t>
      </w:r>
      <w:r w:rsidR="003363EF" w:rsidRPr="007F5A49">
        <w:rPr>
          <w:rFonts w:ascii="Book Antiqua" w:hAnsi="Book Antiqua" w:cs="Arial"/>
          <w:sz w:val="24"/>
          <w:szCs w:val="24"/>
          <w:lang w:val="en-US"/>
        </w:rPr>
        <w:t>)</w:t>
      </w:r>
      <w:r w:rsidR="003769FC" w:rsidRPr="007F5A49">
        <w:rPr>
          <w:rFonts w:ascii="Book Antiqua" w:hAnsi="Book Antiqua" w:cs="Arial"/>
          <w:sz w:val="24"/>
          <w:szCs w:val="24"/>
          <w:lang w:val="en-US"/>
        </w:rPr>
        <w:t xml:space="preserve"> or </w:t>
      </w:r>
      <w:r w:rsidR="00B038FB" w:rsidRPr="007F5A49">
        <w:rPr>
          <w:rStyle w:val="st"/>
          <w:rFonts w:ascii="Book Antiqua" w:hAnsi="Book Antiqua" w:cs="Arial"/>
          <w:sz w:val="24"/>
          <w:szCs w:val="24"/>
          <w:lang w:val="en-US"/>
        </w:rPr>
        <w:t>aspartate transaminase</w:t>
      </w:r>
      <w:r w:rsidR="00B038FB" w:rsidRPr="007F5A49">
        <w:rPr>
          <w:rFonts w:ascii="Book Antiqua" w:hAnsi="Book Antiqua" w:cs="Arial"/>
          <w:sz w:val="24"/>
          <w:szCs w:val="24"/>
          <w:lang w:val="en-US"/>
        </w:rPr>
        <w:t xml:space="preserve"> (</w:t>
      </w:r>
      <w:r w:rsidR="003769FC" w:rsidRPr="007F5A49">
        <w:rPr>
          <w:rFonts w:ascii="Book Antiqua" w:hAnsi="Book Antiqua" w:cs="Arial"/>
          <w:sz w:val="24"/>
          <w:szCs w:val="24"/>
          <w:lang w:val="en-US"/>
        </w:rPr>
        <w:t>AST</w:t>
      </w:r>
      <w:r w:rsidR="00B038FB" w:rsidRPr="007F5A49">
        <w:rPr>
          <w:rFonts w:ascii="Book Antiqua" w:hAnsi="Book Antiqua" w:cs="Arial"/>
          <w:sz w:val="24"/>
          <w:szCs w:val="24"/>
          <w:lang w:val="en-US"/>
        </w:rPr>
        <w:t>)</w:t>
      </w:r>
      <w:r w:rsidR="00EC25D3" w:rsidRPr="007F5A49">
        <w:rPr>
          <w:rFonts w:ascii="Book Antiqua" w:hAnsi="Book Antiqua" w:cs="Arial"/>
          <w:sz w:val="24"/>
          <w:szCs w:val="24"/>
          <w:lang w:val="en-US"/>
        </w:rPr>
        <w:t xml:space="preserve"> </w:t>
      </w:r>
      <w:r w:rsidR="003769FC" w:rsidRPr="007F5A49">
        <w:rPr>
          <w:rFonts w:ascii="Book Antiqua" w:hAnsi="Book Antiqua" w:cs="Arial"/>
          <w:sz w:val="24"/>
          <w:szCs w:val="24"/>
          <w:lang w:val="en-US"/>
        </w:rPr>
        <w:t>predicted cirrhosis</w:t>
      </w:r>
      <w:r w:rsidR="003769FC"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12ir1aherq","properties":{"formattedCitation":"(101)","plainCitation":"(101)","noteIndex":0},"citationItems":[{"id":240,"uris":["http://zotero.org/users/2804724/items/QIDE9SPV"],"uri":["http://zotero.org/users/2804724/items/QIDE9SPV"],"itemData":{"id":240,"type":"article-journal","title":"Diagnosis and management of hemochromatosis: 2011 practice guideline by the American Association for the Study of Liver Diseases","container-title":"Hepatology (Baltimore, Md.)","page":"328-343","volume":"54","issue":"1","source":"PubMed","DOI":"10.1002/hep.24330","ISSN":"1527-3350","note":"PMID: 21452290\nPMCID: PMC3149125","shortTitle":"Diagnosis and management of hemochromatosis","journalAbbreviation":"Hepatology","language":"eng","author":[{"family":"Bacon","given":"Bruce R."},{"family":"Adams","given":"Paul C."},{"family":"Kowdley","given":"Kris V."},{"family":"Powell","given":"Lawrie W."},{"family":"Tavill","given":"Anthony S."},{"literal":"American Association for the Study of Liver Diseases"}],"issued":{"date-parts":[["2011",7]]}}}],"schema":"https://github.com/citation-style-language/schema/raw/master/csl-citation.json"} </w:instrText>
      </w:r>
      <w:r w:rsidR="003769FC" w:rsidRPr="007F5A49">
        <w:rPr>
          <w:rFonts w:ascii="Book Antiqua" w:hAnsi="Book Antiqua" w:cs="Arial"/>
          <w:sz w:val="24"/>
          <w:szCs w:val="24"/>
          <w:vertAlign w:val="superscript"/>
          <w:lang w:val="en-US"/>
        </w:rPr>
        <w:fldChar w:fldCharType="separate"/>
      </w:r>
      <w:r w:rsidR="00D206BD"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101</w:t>
      </w:r>
      <w:r w:rsidR="003769FC" w:rsidRPr="007F5A49">
        <w:rPr>
          <w:rFonts w:ascii="Book Antiqua" w:hAnsi="Book Antiqua" w:cs="Arial"/>
          <w:sz w:val="24"/>
          <w:szCs w:val="24"/>
          <w:vertAlign w:val="superscript"/>
          <w:lang w:val="en-US"/>
        </w:rPr>
        <w:fldChar w:fldCharType="end"/>
      </w:r>
      <w:r w:rsidR="00D206BD" w:rsidRPr="007F5A49">
        <w:rPr>
          <w:rFonts w:ascii="Book Antiqua" w:hAnsi="Book Antiqua" w:cs="Arial"/>
          <w:sz w:val="24"/>
          <w:szCs w:val="24"/>
          <w:vertAlign w:val="superscript"/>
          <w:lang w:val="en-US"/>
        </w:rPr>
        <w:t>]</w:t>
      </w:r>
      <w:r w:rsidR="00324257" w:rsidRPr="007F5A49">
        <w:rPr>
          <w:rFonts w:ascii="Book Antiqua" w:hAnsi="Book Antiqua" w:cs="Arial"/>
          <w:sz w:val="24"/>
          <w:szCs w:val="24"/>
          <w:lang w:val="en-US"/>
        </w:rPr>
        <w:t>,</w:t>
      </w:r>
      <w:r w:rsidR="00B62BF6" w:rsidRPr="007F5A49">
        <w:rPr>
          <w:rFonts w:ascii="Book Antiqua" w:hAnsi="Book Antiqua" w:cs="Arial"/>
          <w:sz w:val="24"/>
          <w:szCs w:val="24"/>
          <w:lang w:val="en-US"/>
        </w:rPr>
        <w:t xml:space="preserve"> </w:t>
      </w:r>
      <w:r w:rsidR="00D50631" w:rsidRPr="007F5A49">
        <w:rPr>
          <w:rFonts w:ascii="Book Antiqua" w:hAnsi="Book Antiqua" w:cs="Arial"/>
          <w:sz w:val="24"/>
          <w:szCs w:val="24"/>
          <w:lang w:val="en-US"/>
        </w:rPr>
        <w:t xml:space="preserve">and </w:t>
      </w:r>
      <w:r w:rsidR="008D48E7" w:rsidRPr="007F5A49">
        <w:rPr>
          <w:rFonts w:ascii="Book Antiqua" w:hAnsi="Book Antiqua" w:cs="Arial"/>
          <w:sz w:val="24"/>
          <w:szCs w:val="24"/>
          <w:lang w:val="en-US"/>
        </w:rPr>
        <w:t xml:space="preserve">with </w:t>
      </w:r>
      <w:r w:rsidR="004C7357" w:rsidRPr="007F5A49">
        <w:rPr>
          <w:rFonts w:ascii="Book Antiqua" w:hAnsi="Book Antiqua" w:cs="Arial"/>
          <w:sz w:val="24"/>
          <w:szCs w:val="24"/>
          <w:lang w:val="en-US"/>
        </w:rPr>
        <w:t xml:space="preserve">transient </w:t>
      </w:r>
      <w:r w:rsidR="00EF7F45" w:rsidRPr="007F5A49">
        <w:rPr>
          <w:rFonts w:ascii="Book Antiqua" w:hAnsi="Book Antiqua" w:cs="Arial"/>
          <w:sz w:val="24"/>
          <w:szCs w:val="24"/>
          <w:lang w:val="en-US"/>
        </w:rPr>
        <w:t>elastography</w:t>
      </w:r>
      <w:r w:rsidR="004C7357" w:rsidRPr="007F5A49">
        <w:rPr>
          <w:rFonts w:ascii="Book Antiqua" w:hAnsi="Book Antiqua" w:cs="Arial"/>
          <w:sz w:val="24"/>
          <w:szCs w:val="24"/>
          <w:lang w:val="en-US"/>
        </w:rPr>
        <w:t>, it accurately classified the severity of fibrosis in more than 50% of patients</w:t>
      </w:r>
      <w:r w:rsidR="004C7357"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cinaia1b3","properties":{"formattedCitation":"(102)","plainCitation":"(102)","noteIndex":0},"citationItems":[{"id":"z1PZoHrb/UIodOqYf","uris":["http://zotero.org/users/4222068/items/AJ77I2GI"],"uri":["http://zotero.org/users/4222068/items/AJ77I2GI"],"itemData":{"id":1211,"type":"article-journal","title":"Non-invasive assessment of liver fibrosis in C282Y homozygous HFE hemochromatosis","container-title":"Liver International: Official Journal of the International Association for the Study of the Liver","page":"1731-1738","volume":"35","issue":"6","source":"PubMed","abstract":"BACKGROUND &amp; AIMS: C282Y homozygotes with serum ferritin (SF) levels &gt;1000 μg/L and/or increased serum transaminase levels are at risk of severe F3/F4 fibrosis. Current practical guidelines recommend liver biopsy in such individuals. This prospective observational cohort study aimed to evaluate non-invasive alternative means such as hyaluronic acid (HA) and transient elastography (TE) for the assessment of severe fibrosis in patients with SF &gt;1000 μg/L or elevated transaminases.\nMETHODS: Between September 2005 and April 2013, 77 patients diagnosed C282Y homozygotes underwent a liver biopsy because of SF &gt;1000 μg/L and/or increased transaminases according to current guidelines, with concomitant TE. All of them had clinical and biological evaluation, including HA measurement in 52 cases.\nRESULTS: A total of 19.5% of patients had F3-F4 severe fibrosis. HA was higher in patients with severe fibrosis, but did not accurately predict severe fibrosis. TE was significantly higher in patients with severe fibrosis (17.2 vs. 4.9 kPa; P &lt; 0.05) and was able to accurately predict fibrosis stage in 47/61 (77%) patients with valid measurement using a lower threshold of 6.4 kPa and an upper threshold of 13.9 kPa. Efficient assessment of severe fibrosis was not possible in patients with intermediate TE values.\nCONCLUSION: An algorithm that successively employed SF and TE can accurately classify severe fibrosis in 61% of patients, restricting the need for liver biopsy to the 39% of patients with intermediate or unvalid TE values. This algorithm should be validated in independent cohorts before extended use.","DOI":"10.1111/liv.12762","ISSN":"1478-3231","note":"PMID: 25495562","journalAbbreviation":"Liver Int.","language":"eng","author":[{"family":"Legros","given":"Ludivine"},{"family":"Bardou-Jacquet","given":"Edouard"},{"family":"Latournerie","given":"Marianne"},{"family":"Guillygomarc'h","given":"Anne"},{"family":"Turlin","given":"Bruno"},{"family":"Le Lan","given":"Caroline"},{"family":"Désille","given":"Yoann"},{"family":"Lainé","given":"Fabrice"},{"family":"Moirand","given":"Romain"},{"family":"Brissot","given":"Pierre"},{"family":"Deugnier","given":"Yves"},{"family":"Guyader","given":"Dominique"}],"issued":{"date-parts":[["2015",6]]}}}],"schema":"https://github.com/citation-style-language/schema/raw/master/csl-citation.json"} </w:instrText>
      </w:r>
      <w:r w:rsidR="004C7357" w:rsidRPr="007F5A49">
        <w:rPr>
          <w:rFonts w:ascii="Book Antiqua" w:hAnsi="Book Antiqua" w:cs="Arial"/>
          <w:sz w:val="24"/>
          <w:szCs w:val="24"/>
          <w:vertAlign w:val="superscript"/>
          <w:lang w:val="en-US"/>
        </w:rPr>
        <w:fldChar w:fldCharType="separate"/>
      </w:r>
      <w:r w:rsidR="00D206BD"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102</w:t>
      </w:r>
      <w:r w:rsidR="004C7357" w:rsidRPr="007F5A49">
        <w:rPr>
          <w:rFonts w:ascii="Book Antiqua" w:hAnsi="Book Antiqua" w:cs="Arial"/>
          <w:sz w:val="24"/>
          <w:szCs w:val="24"/>
          <w:vertAlign w:val="superscript"/>
          <w:lang w:val="en-US"/>
        </w:rPr>
        <w:fldChar w:fldCharType="end"/>
      </w:r>
      <w:r w:rsidR="00D206BD" w:rsidRPr="007F5A49">
        <w:rPr>
          <w:rFonts w:ascii="Book Antiqua" w:hAnsi="Book Antiqua" w:cs="Arial"/>
          <w:sz w:val="24"/>
          <w:szCs w:val="24"/>
          <w:vertAlign w:val="superscript"/>
          <w:lang w:val="en-US"/>
        </w:rPr>
        <w:t>]</w:t>
      </w:r>
      <w:r w:rsidR="001429A9" w:rsidRPr="007F5A49">
        <w:rPr>
          <w:rFonts w:ascii="Book Antiqua" w:hAnsi="Book Antiqua" w:cs="Arial"/>
          <w:sz w:val="24"/>
          <w:szCs w:val="24"/>
          <w:lang w:val="en-US"/>
        </w:rPr>
        <w:t xml:space="preserve">. </w:t>
      </w:r>
      <w:r w:rsidR="00BF6D7B" w:rsidRPr="007F5A49">
        <w:rPr>
          <w:rFonts w:ascii="Book Antiqua" w:hAnsi="Book Antiqua" w:cs="Arial"/>
          <w:sz w:val="24"/>
          <w:szCs w:val="24"/>
          <w:lang w:val="en-US"/>
        </w:rPr>
        <w:t xml:space="preserve">Thus, in C282Y homozygotes, serum ferritin </w:t>
      </w:r>
      <w:r w:rsidR="00933B13" w:rsidRPr="007F5A49">
        <w:rPr>
          <w:rFonts w:ascii="Book Antiqua" w:hAnsi="Book Antiqua" w:cs="Arial"/>
          <w:sz w:val="24"/>
          <w:szCs w:val="24"/>
          <w:lang w:val="en-US"/>
        </w:rPr>
        <w:t xml:space="preserve">proved to be a </w:t>
      </w:r>
      <w:r w:rsidR="00BF6D7B" w:rsidRPr="007F5A49">
        <w:rPr>
          <w:rFonts w:ascii="Book Antiqua" w:hAnsi="Book Antiqua" w:cs="Arial"/>
          <w:sz w:val="24"/>
          <w:szCs w:val="24"/>
          <w:lang w:val="en-US"/>
        </w:rPr>
        <w:t>better predictor of hepatic fibrosis than LIC</w:t>
      </w:r>
      <w:r w:rsidR="00BF6D7B"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1e7ppk8kg1","properties":{"formattedCitation":"(103)","plainCitation":"(103)","noteIndex":0},"citationItems":[{"id":"z1PZoHrb/StTYQ3D6","uris":["http://zotero.org/users/4222068/items/7RGM8UAQ"],"uri":["http://zotero.org/users/4222068/items/7RGM8UAQ"],"itemData":{"id":1288,"type":"article-journal","title":"Serum ferritin concentration predicts hepatic fibrosis better than hepatic iron concentration in human HFE-Haemochromatosis","container-title":"Liver International: Official Journal of the International Association for the Study of the Liver","page":"1382-1388","volume":"37","issue":"9","source":"PubMed","abstract":"BACKGROUND &amp; AIMS: Ferritin is purported to have proinflammatory and profibrogenic effects on hepatic stellate cells. Thus, rather than acting as a passive indicator of hepatic iron concentration (HIC) in haemochromatosis, ferritin may directly influence fibrosis. This study evaluated whether serum ferritin is a better predictor of hepatic fibrosis compared to variables previously associated with increased fibrosis risk in haemochromatosis.\nMETHODS: We identified 291 C282Y HFE-homozygous patients who had undergone liver biopsy for histological fibrosis staging and measurement of HIC. Ordinal logistic regression determined the best model for fibrosis stage not including serum ferritin. Then, serum ferritin was introduced into this model to assess whether the predictive power of the model was significantly increased and to evaluate the effect on other predictors of fibrosis.\nRESULTS: Ordinal logistic regression analyses without serum ferritin demonstrated that log HIC (OR 2.89; P &lt; .001), male gender (OR 2.93; P = .005), alcohol consumption (g/day) (OR 1.01; P = .004), steatosis (OR 2.86; P = .01), arthritis (OR 2.46; P = .01) predicted increasing fibrosis stage (n=217). Addition of serum ferritin in multivariate analysis substantially improved the predictive power of the model (χ2  = 37.15; P &lt; .01) and was highly predictive of fibrosis stage (OR 5.44; P &lt; .001). Inclusion of serum ferritin in this model rendered the effects of HIC, gender, alcohol and steatosis to non-significance.\nCONCLUSIONS: In haemochromatosis, serum ferritin is a better predictor of fibrosis stage than HIC, gender, steatosis and alcohol. These data support a hypothesis that ferritin may play a role in fibrosis rather than simply acting as a passive indicator of iron storage.","DOI":"10.1111/liv.13395","ISSN":"1478-3231","note":"PMID: 28231420","journalAbbreviation":"Liver Int.","language":"eng","author":[{"family":"Wood","given":"Marnie J."},{"family":"Crawford","given":"Darrell H. G."},{"family":"Wockner","given":"Leesa F."},{"family":"Powell","given":"Lawrie W."},{"family":"Ramm","given":"Grant A."}],"issued":{"date-parts":[["2017",9]]}}}],"schema":"https://github.com/citation-style-language/schema/raw/master/csl-citation.json"} </w:instrText>
      </w:r>
      <w:r w:rsidR="00BF6D7B" w:rsidRPr="007F5A49">
        <w:rPr>
          <w:rFonts w:ascii="Book Antiqua" w:hAnsi="Book Antiqua" w:cs="Arial"/>
          <w:sz w:val="24"/>
          <w:szCs w:val="24"/>
          <w:vertAlign w:val="superscript"/>
          <w:lang w:val="en-US"/>
        </w:rPr>
        <w:fldChar w:fldCharType="separate"/>
      </w:r>
      <w:r w:rsidR="00D206BD"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103</w:t>
      </w:r>
      <w:r w:rsidR="00BF6D7B" w:rsidRPr="007F5A49">
        <w:rPr>
          <w:rFonts w:ascii="Book Antiqua" w:hAnsi="Book Antiqua" w:cs="Arial"/>
          <w:sz w:val="24"/>
          <w:szCs w:val="24"/>
          <w:vertAlign w:val="superscript"/>
          <w:lang w:val="en-US"/>
        </w:rPr>
        <w:fldChar w:fldCharType="end"/>
      </w:r>
      <w:r w:rsidR="00D206BD" w:rsidRPr="007F5A49">
        <w:rPr>
          <w:rFonts w:ascii="Book Antiqua" w:hAnsi="Book Antiqua" w:cs="Arial"/>
          <w:sz w:val="24"/>
          <w:szCs w:val="24"/>
          <w:vertAlign w:val="superscript"/>
          <w:lang w:val="en-US"/>
        </w:rPr>
        <w:t>]</w:t>
      </w:r>
      <w:r w:rsidR="00030FC4" w:rsidRPr="007F5A49">
        <w:rPr>
          <w:rFonts w:ascii="Book Antiqua" w:hAnsi="Book Antiqua" w:cs="Arial"/>
          <w:sz w:val="24"/>
          <w:szCs w:val="24"/>
          <w:lang w:val="en-US"/>
        </w:rPr>
        <w:t>.</w:t>
      </w:r>
      <w:r w:rsidR="00973A0A" w:rsidRPr="007F5A49">
        <w:rPr>
          <w:rFonts w:ascii="Book Antiqua" w:hAnsi="Book Antiqua" w:cs="Arial"/>
          <w:sz w:val="24"/>
          <w:szCs w:val="24"/>
          <w:lang w:val="en-US"/>
        </w:rPr>
        <w:t xml:space="preserve"> </w:t>
      </w:r>
      <w:r w:rsidR="00DF7BA1" w:rsidRPr="007F5A49">
        <w:rPr>
          <w:rFonts w:ascii="Book Antiqua" w:hAnsi="Book Antiqua" w:cs="Arial"/>
          <w:sz w:val="24"/>
          <w:szCs w:val="24"/>
          <w:lang w:val="en-US"/>
        </w:rPr>
        <w:t>I</w:t>
      </w:r>
      <w:r w:rsidR="009D1603" w:rsidRPr="007F5A49">
        <w:rPr>
          <w:rFonts w:ascii="Book Antiqua" w:hAnsi="Book Antiqua" w:cs="Arial"/>
          <w:sz w:val="24"/>
          <w:szCs w:val="24"/>
          <w:lang w:val="en-US"/>
        </w:rPr>
        <w:t>n NAFLD,</w:t>
      </w:r>
      <w:r w:rsidR="00CC6257" w:rsidRPr="007F5A49">
        <w:rPr>
          <w:rFonts w:ascii="Book Antiqua" w:hAnsi="Book Antiqua" w:cs="Arial"/>
          <w:sz w:val="24"/>
          <w:szCs w:val="24"/>
          <w:lang w:val="en-US"/>
        </w:rPr>
        <w:t xml:space="preserve"> </w:t>
      </w:r>
      <w:r w:rsidR="00C52B1D" w:rsidRPr="007F5A49">
        <w:rPr>
          <w:rFonts w:ascii="Book Antiqua" w:hAnsi="Book Antiqua" w:cs="Arial"/>
          <w:sz w:val="24"/>
          <w:szCs w:val="24"/>
          <w:lang w:val="en-US"/>
        </w:rPr>
        <w:t xml:space="preserve">elevated </w:t>
      </w:r>
      <w:r w:rsidR="009D1603" w:rsidRPr="007F5A49">
        <w:rPr>
          <w:rFonts w:ascii="Book Antiqua" w:hAnsi="Book Antiqua" w:cs="Arial"/>
          <w:sz w:val="24"/>
          <w:szCs w:val="24"/>
          <w:lang w:val="en-US"/>
        </w:rPr>
        <w:t>s</w:t>
      </w:r>
      <w:r w:rsidR="003769FC" w:rsidRPr="007F5A49">
        <w:rPr>
          <w:rStyle w:val="highlight"/>
          <w:rFonts w:ascii="Book Antiqua" w:hAnsi="Book Antiqua" w:cs="Arial"/>
          <w:sz w:val="24"/>
          <w:szCs w:val="24"/>
          <w:lang w:val="en-US"/>
        </w:rPr>
        <w:t>erum ferritin not only acted as an independent predictor of advanced fibrosis</w:t>
      </w:r>
      <w:r w:rsidR="00C52B1D" w:rsidRPr="007F5A49">
        <w:rPr>
          <w:rStyle w:val="highlight"/>
          <w:rFonts w:ascii="Book Antiqua" w:hAnsi="Book Antiqua" w:cs="Arial"/>
          <w:sz w:val="24"/>
          <w:szCs w:val="24"/>
          <w:lang w:val="en-US"/>
        </w:rPr>
        <w:t xml:space="preserve">, </w:t>
      </w:r>
      <w:r w:rsidR="003769FC" w:rsidRPr="007F5A49">
        <w:rPr>
          <w:rStyle w:val="highlight"/>
          <w:rFonts w:ascii="Book Antiqua" w:hAnsi="Book Antiqua" w:cs="Arial"/>
          <w:sz w:val="24"/>
          <w:szCs w:val="24"/>
          <w:lang w:val="en-US"/>
        </w:rPr>
        <w:t xml:space="preserve">but </w:t>
      </w:r>
      <w:r w:rsidR="000A35A7" w:rsidRPr="007F5A49">
        <w:rPr>
          <w:rStyle w:val="highlight"/>
          <w:rFonts w:ascii="Book Antiqua" w:hAnsi="Book Antiqua" w:cs="Arial"/>
          <w:sz w:val="24"/>
          <w:szCs w:val="24"/>
          <w:lang w:val="en-US"/>
        </w:rPr>
        <w:t xml:space="preserve">it </w:t>
      </w:r>
      <w:r w:rsidR="003769FC" w:rsidRPr="007F5A49">
        <w:rPr>
          <w:rStyle w:val="highlight"/>
          <w:rFonts w:ascii="Book Antiqua" w:hAnsi="Book Antiqua" w:cs="Arial"/>
          <w:sz w:val="24"/>
          <w:szCs w:val="24"/>
          <w:lang w:val="en-US"/>
        </w:rPr>
        <w:t>was</w:t>
      </w:r>
      <w:r w:rsidR="000A35A7" w:rsidRPr="007F5A49">
        <w:rPr>
          <w:rStyle w:val="highlight"/>
          <w:rFonts w:ascii="Book Antiqua" w:hAnsi="Book Antiqua" w:cs="Arial"/>
          <w:sz w:val="24"/>
          <w:szCs w:val="24"/>
          <w:lang w:val="en-US"/>
        </w:rPr>
        <w:t xml:space="preserve"> also</w:t>
      </w:r>
      <w:r w:rsidR="003769FC" w:rsidRPr="007F5A49">
        <w:rPr>
          <w:rStyle w:val="highlight"/>
          <w:rFonts w:ascii="Book Antiqua" w:hAnsi="Book Antiqua" w:cs="Arial"/>
          <w:sz w:val="24"/>
          <w:szCs w:val="24"/>
          <w:lang w:val="en-US"/>
        </w:rPr>
        <w:t xml:space="preserve"> </w:t>
      </w:r>
      <w:r w:rsidR="000405D4" w:rsidRPr="007F5A49">
        <w:rPr>
          <w:rStyle w:val="highlight"/>
          <w:rFonts w:ascii="Book Antiqua" w:hAnsi="Book Antiqua" w:cs="Arial"/>
          <w:sz w:val="24"/>
          <w:szCs w:val="24"/>
          <w:lang w:val="en-US"/>
        </w:rPr>
        <w:t>associated</w:t>
      </w:r>
      <w:r w:rsidR="003769FC" w:rsidRPr="007F5A49">
        <w:rPr>
          <w:rStyle w:val="highlight"/>
          <w:rFonts w:ascii="Book Antiqua" w:hAnsi="Book Antiqua" w:cs="Arial"/>
          <w:sz w:val="24"/>
          <w:szCs w:val="24"/>
          <w:lang w:val="en-US"/>
        </w:rPr>
        <w:t xml:space="preserve"> with disease severity.</w:t>
      </w:r>
      <w:r w:rsidR="00392DD5" w:rsidRPr="007F5A49">
        <w:rPr>
          <w:rStyle w:val="highlight"/>
          <w:rFonts w:ascii="Book Antiqua" w:hAnsi="Book Antiqua" w:cs="Arial"/>
          <w:sz w:val="24"/>
          <w:szCs w:val="24"/>
          <w:lang w:val="en-US"/>
        </w:rPr>
        <w:t xml:space="preserve"> </w:t>
      </w:r>
      <w:r w:rsidR="003769FC" w:rsidRPr="007F5A49">
        <w:rPr>
          <w:rStyle w:val="highlight"/>
          <w:rFonts w:ascii="Book Antiqua" w:hAnsi="Book Antiqua" w:cs="Arial"/>
          <w:sz w:val="24"/>
          <w:szCs w:val="24"/>
          <w:lang w:val="en-US"/>
        </w:rPr>
        <w:t>Essentially, serum ferritin greater than 1.5 times the upper limit of normal (</w:t>
      </w:r>
      <w:r w:rsidR="003769FC" w:rsidRPr="007F5A49">
        <w:rPr>
          <w:rFonts w:ascii="Book Antiqua" w:hAnsi="Book Antiqua" w:cs="Arial"/>
          <w:sz w:val="24"/>
          <w:szCs w:val="24"/>
          <w:lang w:val="en-US"/>
        </w:rPr>
        <w:t>&gt;</w:t>
      </w:r>
      <w:r>
        <w:rPr>
          <w:rFonts w:ascii="Book Antiqua" w:hAnsi="Book Antiqua" w:cs="Arial"/>
          <w:sz w:val="24"/>
          <w:szCs w:val="24"/>
          <w:lang w:val="en-US"/>
        </w:rPr>
        <w:t xml:space="preserve"> </w:t>
      </w:r>
      <w:r w:rsidR="003769FC" w:rsidRPr="007F5A49">
        <w:rPr>
          <w:rFonts w:ascii="Book Antiqua" w:hAnsi="Book Antiqua" w:cs="Arial"/>
          <w:sz w:val="24"/>
          <w:szCs w:val="24"/>
          <w:lang w:val="en-US"/>
        </w:rPr>
        <w:t>300 ng/mL in women and &gt;</w:t>
      </w:r>
      <w:r>
        <w:rPr>
          <w:rFonts w:ascii="Book Antiqua" w:hAnsi="Book Antiqua" w:cs="Arial"/>
          <w:sz w:val="24"/>
          <w:szCs w:val="24"/>
          <w:lang w:val="en-US"/>
        </w:rPr>
        <w:t xml:space="preserve"> </w:t>
      </w:r>
      <w:r w:rsidR="003769FC" w:rsidRPr="007F5A49">
        <w:rPr>
          <w:rFonts w:ascii="Book Antiqua" w:hAnsi="Book Antiqua" w:cs="Arial"/>
          <w:sz w:val="24"/>
          <w:szCs w:val="24"/>
          <w:lang w:val="en-US"/>
        </w:rPr>
        <w:t xml:space="preserve">450 ng/mL in men) was associated with hepatic iron deposition and proved to be a useful marker </w:t>
      </w:r>
      <w:r w:rsidR="00C52B1D" w:rsidRPr="007F5A49">
        <w:rPr>
          <w:rFonts w:ascii="Book Antiqua" w:hAnsi="Book Antiqua" w:cs="Arial"/>
          <w:sz w:val="24"/>
          <w:szCs w:val="24"/>
          <w:lang w:val="en-US"/>
        </w:rPr>
        <w:t>in</w:t>
      </w:r>
      <w:r w:rsidR="003769FC" w:rsidRPr="007F5A49">
        <w:rPr>
          <w:rFonts w:ascii="Book Antiqua" w:hAnsi="Book Antiqua" w:cs="Arial"/>
          <w:sz w:val="24"/>
          <w:szCs w:val="24"/>
          <w:lang w:val="en-US"/>
        </w:rPr>
        <w:t xml:space="preserve"> identify</w:t>
      </w:r>
      <w:r w:rsidR="00C52B1D" w:rsidRPr="007F5A49">
        <w:rPr>
          <w:rFonts w:ascii="Book Antiqua" w:hAnsi="Book Antiqua" w:cs="Arial"/>
          <w:sz w:val="24"/>
          <w:szCs w:val="24"/>
          <w:lang w:val="en-US"/>
        </w:rPr>
        <w:t xml:space="preserve">ing </w:t>
      </w:r>
      <w:r w:rsidR="003769FC" w:rsidRPr="007F5A49">
        <w:rPr>
          <w:rFonts w:ascii="Book Antiqua" w:hAnsi="Book Antiqua" w:cs="Arial"/>
          <w:sz w:val="24"/>
          <w:szCs w:val="24"/>
          <w:lang w:val="en-US"/>
        </w:rPr>
        <w:t>NAFLD patients with increased risk for NASH and fibrosis</w:t>
      </w:r>
      <w:r w:rsidR="003769FC" w:rsidRPr="007F5A49">
        <w:rPr>
          <w:rStyle w:val="highlight"/>
          <w:rFonts w:ascii="Book Antiqua" w:hAnsi="Book Antiqua" w:cs="Arial"/>
          <w:sz w:val="24"/>
          <w:szCs w:val="24"/>
          <w:vertAlign w:val="superscript"/>
          <w:lang w:val="en-US"/>
        </w:rPr>
        <w:fldChar w:fldCharType="begin"/>
      </w:r>
      <w:r w:rsidR="00D2645C" w:rsidRPr="007F5A49">
        <w:rPr>
          <w:rStyle w:val="highlight"/>
          <w:rFonts w:ascii="Book Antiqua" w:hAnsi="Book Antiqua" w:cs="Arial"/>
          <w:sz w:val="24"/>
          <w:szCs w:val="24"/>
          <w:vertAlign w:val="superscript"/>
          <w:lang w:val="en-US"/>
        </w:rPr>
        <w:instrText xml:space="preserve"> ADDIN ZOTERO_ITEM CSL_CITATION {"citationID":"a17v9lrg541","properties":{"formattedCitation":"(104)","plainCitation":"(104)","noteIndex":0},"citationItems":[{"id":"z1PZoHrb/gmsZIef5","uris":["http://zotero.org/users/4222068/items/5WD7X6VQ"],"uri":["http://zotero.org/users/4222068/items/5WD7X6VQ"],"itemData":{"id":1195,"type":"article-journal","title":"Serum ferritin is an independent predictor of histologic severity and advanced fibrosis in patients with nonalcoholic fatty liver disease","container-title":"Hepatology (Baltimore, Md.)","page":"77-85","volume":"55","issue":"1","source":"PubMed","abstract":"Serum ferritin (SF) levels are commonly elevated in patients with nonalcoholic fatty liver disease (NAFLD) because of systemic inflammation, increased iron stores, or both. The aim of this study was to examine the relationship between elevated SF and NAFLD severity. Demographic, clinical, histologic, laboratory, and anthropometric data were analyzed in 628 adult patients with NAFLD (age, ≥ 18 years) with biopsy-proven NAFLD and an SF measurement within 6 months of their liver biopsy. A threshold SF &gt;1.5 × upper limit of normal (ULN) (i.e., &gt;300 ng/mL in women and &gt;450 ng/mL in men) was significantly associated with male sex, elevated serum alanine aminotransferase, aspartate aminotransferase, iron, transferrin-iron saturation, iron stain grade, and decreased platelets (P &lt; 0.01). Histologic features of NAFLD were more severe among patients with SF &gt;1.5 × ULN, including steatosis, fibrosis, hepatocellular ballooning, and diagnosis of NASH (P &lt; 0.026). On multiple regression analysis, SF &gt;1.5 × ULN was independently associated with advanced hepatic fibrosis (odds ratio [OR], 1.66; 95% confidence interval [CI], 1.05-2.62; P = 0.028) and increased NAFLD Activity Score (NAS) (OR, 1.99; 95% CI, 1.06-3.75; P = 0.033).\nCONCLUSIONS: A SF &gt;1.5 × ULN is associated with hepatic iron deposition, a diagnosis of NASH, and worsened histologic activity and is an independent predictor of advanced hepatic fibrosis among patients with NAFLD. Furthermore, elevated SF is independently associated with higher NAS, even among patients without hepatic iron deposition. We conclude that SF is useful to identify NAFLD patients at risk for NASH and advanced fibrosis.","DOI":"10.1002/hep.24706","ISSN":"1527-3350","note":"PMID: 21953442\nPMCID: PMC3245347","journalAbbreviation":"Hepatology","language":"eng","author":[{"family":"Kowdley","given":"Kris V."},{"family":"Belt","given":"Patricia"},{"family":"Wilson","given":"Laura A."},{"family":"Yeh","given":"Matthew M."},{"family":"Neuschwander-Tetri","given":"Brent A."},{"family":"Chalasani","given":"Naga"},{"family":"Sanyal","given":"Arun J."},{"family":"Nelson","given":"James E."},{"literal":"NASH Clinical Research Network"}],"issued":{"date-parts":[["2012",1]]}}}],"schema":"https://github.com/citation-style-language/schema/raw/master/csl-citation.json"} </w:instrText>
      </w:r>
      <w:r w:rsidR="003769FC" w:rsidRPr="007F5A49">
        <w:rPr>
          <w:rStyle w:val="highlight"/>
          <w:rFonts w:ascii="Book Antiqua" w:hAnsi="Book Antiqua" w:cs="Arial"/>
          <w:sz w:val="24"/>
          <w:szCs w:val="24"/>
          <w:vertAlign w:val="superscript"/>
          <w:lang w:val="en-US"/>
        </w:rPr>
        <w:fldChar w:fldCharType="separate"/>
      </w:r>
      <w:r w:rsidR="00D206BD"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104</w:t>
      </w:r>
      <w:r w:rsidR="003769FC" w:rsidRPr="007F5A49">
        <w:rPr>
          <w:rStyle w:val="highlight"/>
          <w:rFonts w:ascii="Book Antiqua" w:hAnsi="Book Antiqua" w:cs="Arial"/>
          <w:sz w:val="24"/>
          <w:szCs w:val="24"/>
          <w:vertAlign w:val="superscript"/>
          <w:lang w:val="en-US"/>
        </w:rPr>
        <w:fldChar w:fldCharType="end"/>
      </w:r>
      <w:r w:rsidR="00D206BD" w:rsidRPr="007F5A49">
        <w:rPr>
          <w:rStyle w:val="highlight"/>
          <w:rFonts w:ascii="Book Antiqua" w:hAnsi="Book Antiqua" w:cs="Arial"/>
          <w:sz w:val="24"/>
          <w:szCs w:val="24"/>
          <w:vertAlign w:val="superscript"/>
          <w:lang w:val="en-US"/>
        </w:rPr>
        <w:t>]</w:t>
      </w:r>
      <w:r w:rsidR="00392DD5" w:rsidRPr="007F5A49">
        <w:rPr>
          <w:rStyle w:val="highlight"/>
          <w:rFonts w:ascii="Book Antiqua" w:hAnsi="Book Antiqua" w:cs="Arial"/>
          <w:sz w:val="24"/>
          <w:szCs w:val="24"/>
          <w:lang w:val="en-US"/>
        </w:rPr>
        <w:t>.</w:t>
      </w:r>
      <w:r w:rsidR="00324257" w:rsidRPr="007F5A49">
        <w:rPr>
          <w:rStyle w:val="highlight"/>
          <w:rFonts w:ascii="Book Antiqua" w:hAnsi="Book Antiqua" w:cs="Arial"/>
          <w:sz w:val="24"/>
          <w:szCs w:val="24"/>
          <w:lang w:val="en-US"/>
        </w:rPr>
        <w:t xml:space="preserve"> </w:t>
      </w:r>
      <w:r w:rsidR="006707FA" w:rsidRPr="007F5A49">
        <w:rPr>
          <w:rStyle w:val="highlight"/>
          <w:rFonts w:ascii="Book Antiqua" w:hAnsi="Book Antiqua" w:cs="Arial"/>
          <w:sz w:val="24"/>
          <w:szCs w:val="24"/>
          <w:lang w:val="en-US"/>
        </w:rPr>
        <w:t>Also, i</w:t>
      </w:r>
      <w:r w:rsidR="000405D4" w:rsidRPr="007F5A49">
        <w:rPr>
          <w:rStyle w:val="highlight"/>
          <w:rFonts w:ascii="Book Antiqua" w:hAnsi="Book Antiqua" w:cs="Arial"/>
          <w:sz w:val="24"/>
          <w:szCs w:val="24"/>
          <w:lang w:val="en-US"/>
        </w:rPr>
        <w:t xml:space="preserve">ncreased </w:t>
      </w:r>
      <w:r w:rsidR="003769FC" w:rsidRPr="007F5A49">
        <w:rPr>
          <w:rStyle w:val="highlight"/>
          <w:rFonts w:ascii="Book Antiqua" w:hAnsi="Book Antiqua" w:cs="Arial"/>
          <w:sz w:val="24"/>
          <w:szCs w:val="24"/>
          <w:lang w:val="en-US"/>
        </w:rPr>
        <w:t>serum ferritin was associated with advanced fibrosis, high NAFLD activity scores and increased mortality in NAFLD patients</w:t>
      </w:r>
      <w:r w:rsidR="003769FC" w:rsidRPr="007F5A49">
        <w:rPr>
          <w:rStyle w:val="highlight"/>
          <w:rFonts w:ascii="Book Antiqua" w:hAnsi="Book Antiqua" w:cs="Arial"/>
          <w:sz w:val="24"/>
          <w:szCs w:val="24"/>
          <w:vertAlign w:val="superscript"/>
          <w:lang w:val="en-US"/>
        </w:rPr>
        <w:fldChar w:fldCharType="begin"/>
      </w:r>
      <w:r w:rsidR="00D2645C" w:rsidRPr="007F5A49">
        <w:rPr>
          <w:rStyle w:val="highlight"/>
          <w:rFonts w:ascii="Book Antiqua" w:hAnsi="Book Antiqua" w:cs="Arial"/>
          <w:sz w:val="24"/>
          <w:szCs w:val="24"/>
          <w:vertAlign w:val="superscript"/>
          <w:lang w:val="en-US"/>
        </w:rPr>
        <w:instrText xml:space="preserve"> ADDIN ZOTERO_ITEM CSL_CITATION {"citationID":"a1udq7ajc5f","properties":{"formattedCitation":"(105)","plainCitation":"(105)","noteIndex":0},"citationItems":[{"id":"z1PZoHrb/aZH9bYDC","uris":["http://zotero.org/users/4222068/items/NIP7K2BJ"],"uri":["http://zotero.org/users/4222068/items/NIP7K2BJ"],"itemData":{"id":1248,"type":"article-journal","title":"Elevated serum ferritin is associated with increased mortality in non-alcoholic fatty liver disease after 16 years of follow-up","container-title":"Liver International: Official Journal of the International Association for the Study of the Liver","page":"1688-1695","volume":"36","issue":"11","source":"PubMed","abstract":"BACKGROUND &amp; AIMS: High levels of ferritin in patients with non-alcoholic fatty liver disease (NAFLD) are associated with significant fibrosis and higher NAFLD activity score (NAS). It is unclear if this association has an impact on mortality. We investigated if high levels of ferritin, with or without iron overload, were associated with an increased mortality in NAFLD.\nMETHODS: We included 222 patients between 1979 and 2009 with biopsy-proven NAFLD and available serum ferritin concentrations. The cohort was divided into 'high' (n = 89) and 'normal' (n = 133) ferritin values, using a cut-point of 350 μg/L in males, and 150 μg/L in females, and stratified upon iron overload status. Data on mortality were obtained from a national, population-based register. Poisson regression was used to estimate hazard ratios for mortality. The estimates were adjusted for age at biopsy, sex, smoking, BMI, diabetes, hypertension, cardiovascular disease and fibrosis stage at the time of biopsy.\nRESULTS: The median follow-up time was 15.6 years (range: 0.5-34.2). Patients with high ferritin had more advanced fibrosis and higher NAS than patients with normal ferritin (P &lt; 0.05). Fifteen years after diagnosis, and after adjusting for confounders, the high-ferritin group showed an increasingly higher mortality that was statistically significant (Hazard ratio = 1.10 per year, 95% Confidence interval 1.01-1.21, P &lt; 0.05). There was no difference in mortality between patients with different iron overload patterns.\nCONCLUSIONS: High levels of ferritin are associated with a long-term increased risk of death.","DOI":"10.1111/liv.13144","ISSN":"1478-3231","note":"PMID: 27064133","journalAbbreviation":"Liver Int.","language":"eng","author":[{"family":"Hagström","given":"Hannes"},{"family":"Nasr","given":"Patrik"},{"family":"Bottai","given":"Matteo"},{"family":"Ekstedt","given":"Mattias"},{"family":"Kechagias","given":"Stergios"},{"family":"Hultcrantz","given":"Rolf"},{"family":"Stål","given":"Per"}],"issued":{"date-parts":[["2016",11]]}}}],"schema":"https://github.com/citation-style-language/schema/raw/master/csl-citation.json"} </w:instrText>
      </w:r>
      <w:r w:rsidR="003769FC" w:rsidRPr="007F5A49">
        <w:rPr>
          <w:rStyle w:val="highlight"/>
          <w:rFonts w:ascii="Book Antiqua" w:hAnsi="Book Antiqua" w:cs="Arial"/>
          <w:sz w:val="24"/>
          <w:szCs w:val="24"/>
          <w:vertAlign w:val="superscript"/>
          <w:lang w:val="en-US"/>
        </w:rPr>
        <w:fldChar w:fldCharType="separate"/>
      </w:r>
      <w:r w:rsidR="00D206BD"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105</w:t>
      </w:r>
      <w:r w:rsidR="003769FC" w:rsidRPr="007F5A49">
        <w:rPr>
          <w:rStyle w:val="highlight"/>
          <w:rFonts w:ascii="Book Antiqua" w:hAnsi="Book Antiqua" w:cs="Arial"/>
          <w:sz w:val="24"/>
          <w:szCs w:val="24"/>
          <w:vertAlign w:val="superscript"/>
          <w:lang w:val="en-US"/>
        </w:rPr>
        <w:fldChar w:fldCharType="end"/>
      </w:r>
      <w:r w:rsidR="00D206BD" w:rsidRPr="007F5A49">
        <w:rPr>
          <w:rStyle w:val="highlight"/>
          <w:rFonts w:ascii="Book Antiqua" w:hAnsi="Book Antiqua" w:cs="Arial"/>
          <w:sz w:val="24"/>
          <w:szCs w:val="24"/>
          <w:vertAlign w:val="superscript"/>
          <w:lang w:val="en-US"/>
        </w:rPr>
        <w:t>]</w:t>
      </w:r>
      <w:r w:rsidR="00392DD5" w:rsidRPr="007F5A49">
        <w:rPr>
          <w:rStyle w:val="highlight"/>
          <w:rFonts w:ascii="Book Antiqua" w:hAnsi="Book Antiqua" w:cs="Arial"/>
          <w:sz w:val="24"/>
          <w:szCs w:val="24"/>
          <w:lang w:val="en-US"/>
        </w:rPr>
        <w:t>, while i</w:t>
      </w:r>
      <w:r w:rsidR="008C2B52" w:rsidRPr="007F5A49">
        <w:rPr>
          <w:rStyle w:val="highlight"/>
          <w:rFonts w:ascii="Book Antiqua" w:hAnsi="Book Antiqua" w:cs="Arial"/>
          <w:sz w:val="24"/>
          <w:szCs w:val="24"/>
          <w:lang w:val="en-US"/>
        </w:rPr>
        <w:t>t</w:t>
      </w:r>
      <w:r w:rsidR="006B1438" w:rsidRPr="007F5A49">
        <w:rPr>
          <w:rStyle w:val="highlight"/>
          <w:rFonts w:ascii="Book Antiqua" w:hAnsi="Book Antiqua" w:cs="Arial"/>
          <w:sz w:val="24"/>
          <w:szCs w:val="24"/>
          <w:lang w:val="en-US"/>
        </w:rPr>
        <w:t xml:space="preserve"> also </w:t>
      </w:r>
      <w:r w:rsidR="002D76F4" w:rsidRPr="007F5A49">
        <w:rPr>
          <w:rFonts w:ascii="Book Antiqua" w:hAnsi="Book Antiqua" w:cs="Arial"/>
          <w:sz w:val="24"/>
          <w:szCs w:val="24"/>
          <w:lang w:val="en-US"/>
        </w:rPr>
        <w:t>predict</w:t>
      </w:r>
      <w:r w:rsidR="006B1438" w:rsidRPr="007F5A49">
        <w:rPr>
          <w:rFonts w:ascii="Book Antiqua" w:hAnsi="Book Antiqua" w:cs="Arial"/>
          <w:sz w:val="24"/>
          <w:szCs w:val="24"/>
          <w:lang w:val="en-US"/>
        </w:rPr>
        <w:t>ed</w:t>
      </w:r>
      <w:r w:rsidR="002D76F4" w:rsidRPr="007F5A49">
        <w:rPr>
          <w:rFonts w:ascii="Book Antiqua" w:hAnsi="Book Antiqua" w:cs="Arial"/>
          <w:sz w:val="24"/>
          <w:szCs w:val="24"/>
          <w:lang w:val="en-US"/>
        </w:rPr>
        <w:t xml:space="preserve"> </w:t>
      </w:r>
      <w:r w:rsidR="001372E6" w:rsidRPr="007F5A49">
        <w:rPr>
          <w:rFonts w:ascii="Book Antiqua" w:hAnsi="Book Antiqua" w:cs="Arial"/>
          <w:sz w:val="24"/>
          <w:szCs w:val="24"/>
          <w:lang w:val="en-US"/>
        </w:rPr>
        <w:t xml:space="preserve">early </w:t>
      </w:r>
      <w:r w:rsidR="002D76F4" w:rsidRPr="007F5A49">
        <w:rPr>
          <w:rFonts w:ascii="Book Antiqua" w:hAnsi="Book Antiqua" w:cs="Arial"/>
          <w:sz w:val="24"/>
          <w:szCs w:val="24"/>
          <w:lang w:val="en-US"/>
        </w:rPr>
        <w:t>mortality in patients with decompensated cirrhosis</w:t>
      </w:r>
      <w:r w:rsidR="008C2B52"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207lgfls2g","properties":{"formattedCitation":"(106)","plainCitation":"(106)","noteIndex":0},"citationItems":[{"id":"z1PZoHrb/HQFPzVO1","uris":["http://zotero.org/users/4222068/items/P7G8US9G"],"uri":["http://zotero.org/users/4222068/items/P7G8US9G"],"itemData":{"id":1652,"type":"article-journal","title":"Serum ferritin predicts early mortality in patients with decompensated cirrhosis","container-title":"Journal of Hepatology","page":"43-50","volume":"61","issue":"1","source":"PubMed","abstract":"BACKGROUND &amp; AIMS: Serum ferritin is a known marker of hepatic necro-inflammation and has been studied to predict 1 year mortality and post-transplant survival in decompensated cirrhotics. However, there are no studies evaluating ferritin as a predictor of early mortality. We investigated whether serum ferritin levels could predict 15 day and 30 day mortality in patients with decompensated cirrhosis.\nMETHODS: 318 patients with decompensated cirrhosis were included.\nRESULTS: Patients of decompensated cirrhosis [257 males, mean age of 51 [±13]years, were followed for a median of 31 days. Serum ferritin levels were significantly different between survivors and non-survivors [p&lt;0.001] and showed significant correlation with MELD score [p&lt;0.001], CTP score [p&lt;0.001], leucocyte counts [TLC] [p&lt;0.001], serum sodium [p&lt;0.001], ACLF grades [p=0.005], spontaneous bacterial peritonitis [SBP] [p=0.02], hepatic encephalopathy [HE] [p&lt;0.001] and hepatorenal syndrome [HRS] [p=0.012]. Serum ferritin, etiology, MELD, HE, CTP score, sodium, TLC, and ACLF grades were significant predictors of mortality on univariate analysis. Ferritin [p=0.04, HR 1.66 95% CI (1.02-2.73)] was a significant predictor of early mortality on multivariate analysis along with HE [p=0.006, HR 3.47 95% CI (2.13-8.41)] (Model 1), TLC [p=0.02, HR 1.81 95% CI (1.06-3.07)] (Model 2), ACLF grades [p=0.018, HR 2.013,95% CI (1.126-3.60)], and CTP score [p&lt;0.0001, HR 1.36 95% CI (1.17-1.59)] (Model 3).\nCONCLUSION: Serum ferritin levels correlate with severity of hepatic decompensation and are associated with early liver related death independent of the MELD score in hospitalized patients with decompensated cirrhosis. This could also have a potential therapeutic implication.","DOI":"10.1016/j.jhep.2014.03.027","ISSN":"1600-0641","note":"PMID: 24681346","journalAbbreviation":"J. Hepatol.","language":"eng","author":[{"family":"Maiwall","given":"Rakhi"},{"family":"Kumar","given":"Suman"},{"family":"Chaudhary","given":"A. K."},{"family":"Maras","given":"Jaswinder"},{"family":"Wani","given":"Zeeshan"},{"family":"Kumar","given":"Chandan"},{"family":"Rastogi","given":"A."},{"family":"Bihari","given":"C."},{"family":"Vashisht","given":"Chitranshu"},{"family":"Sarin","given":"S. K."}],"issued":{"date-parts":[["2014",7]]}}}],"schema":"https://github.com/citation-style-language/schema/raw/master/csl-citation.json"} </w:instrText>
      </w:r>
      <w:r w:rsidR="008C2B52" w:rsidRPr="007F5A49">
        <w:rPr>
          <w:rFonts w:ascii="Book Antiqua" w:hAnsi="Book Antiqua" w:cs="Arial"/>
          <w:sz w:val="24"/>
          <w:szCs w:val="24"/>
          <w:vertAlign w:val="superscript"/>
          <w:lang w:val="en-US"/>
        </w:rPr>
        <w:fldChar w:fldCharType="separate"/>
      </w:r>
      <w:r w:rsidR="00D206BD"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106</w:t>
      </w:r>
      <w:r w:rsidR="008C2B52" w:rsidRPr="007F5A49">
        <w:rPr>
          <w:rFonts w:ascii="Book Antiqua" w:hAnsi="Book Antiqua" w:cs="Arial"/>
          <w:sz w:val="24"/>
          <w:szCs w:val="24"/>
          <w:vertAlign w:val="superscript"/>
          <w:lang w:val="en-US"/>
        </w:rPr>
        <w:fldChar w:fldCharType="end"/>
      </w:r>
      <w:r w:rsidR="00D206BD" w:rsidRPr="007F5A49">
        <w:rPr>
          <w:rFonts w:ascii="Book Antiqua" w:hAnsi="Book Antiqua" w:cs="Arial"/>
          <w:sz w:val="24"/>
          <w:szCs w:val="24"/>
          <w:vertAlign w:val="superscript"/>
          <w:lang w:val="en-US"/>
        </w:rPr>
        <w:t>]</w:t>
      </w:r>
      <w:r w:rsidR="00424BE7" w:rsidRPr="007F5A49">
        <w:rPr>
          <w:rStyle w:val="highlight"/>
          <w:rFonts w:ascii="Book Antiqua" w:hAnsi="Book Antiqua" w:cs="Arial"/>
          <w:sz w:val="24"/>
          <w:szCs w:val="24"/>
          <w:lang w:val="en-US"/>
        </w:rPr>
        <w:t xml:space="preserve">. </w:t>
      </w:r>
      <w:r w:rsidR="006707FA" w:rsidRPr="007F5A49">
        <w:rPr>
          <w:rStyle w:val="highlight"/>
          <w:rFonts w:ascii="Book Antiqua" w:hAnsi="Book Antiqua" w:cs="Arial"/>
          <w:sz w:val="24"/>
          <w:szCs w:val="24"/>
          <w:lang w:val="en-US"/>
        </w:rPr>
        <w:t>Moreover, e</w:t>
      </w:r>
      <w:r w:rsidR="006B1438" w:rsidRPr="007F5A49">
        <w:rPr>
          <w:rFonts w:ascii="Book Antiqua" w:eastAsia="Times New Roman" w:hAnsi="Book Antiqua" w:cs="Arial"/>
          <w:sz w:val="24"/>
          <w:szCs w:val="24"/>
          <w:lang w:val="en-US"/>
        </w:rPr>
        <w:t>levated serum ferritin has been strongly associated wi</w:t>
      </w:r>
      <w:r w:rsidR="00EC4EA6" w:rsidRPr="007F5A49">
        <w:rPr>
          <w:rFonts w:ascii="Book Antiqua" w:eastAsia="Times New Roman" w:hAnsi="Book Antiqua" w:cs="Arial"/>
          <w:sz w:val="24"/>
          <w:szCs w:val="24"/>
          <w:lang w:val="en-US"/>
        </w:rPr>
        <w:t xml:space="preserve">th the development of diabetes and increased risk </w:t>
      </w:r>
      <w:r w:rsidR="006B1438" w:rsidRPr="007F5A49">
        <w:rPr>
          <w:rFonts w:ascii="Book Antiqua" w:eastAsia="Times New Roman" w:hAnsi="Book Antiqua" w:cs="Arial"/>
          <w:sz w:val="24"/>
          <w:szCs w:val="24"/>
          <w:lang w:val="en-US"/>
        </w:rPr>
        <w:t>of the metabolic syndrome</w:t>
      </w:r>
      <w:r w:rsidR="00C0425C" w:rsidRPr="007F5A49">
        <w:rPr>
          <w:rFonts w:ascii="Book Antiqua" w:eastAsia="Times New Roman" w:hAnsi="Book Antiqua" w:cs="Arial"/>
          <w:sz w:val="24"/>
          <w:szCs w:val="24"/>
          <w:lang w:val="en-US"/>
        </w:rPr>
        <w:t>.</w:t>
      </w:r>
      <w:r w:rsidR="009D1738" w:rsidRPr="007F5A49">
        <w:rPr>
          <w:rFonts w:ascii="Book Antiqua" w:eastAsia="Times New Roman" w:hAnsi="Book Antiqua" w:cs="Arial"/>
          <w:sz w:val="24"/>
          <w:szCs w:val="24"/>
          <w:lang w:val="en-US"/>
        </w:rPr>
        <w:t xml:space="preserve"> </w:t>
      </w:r>
      <w:r w:rsidR="00EC4EA6" w:rsidRPr="007F5A49">
        <w:rPr>
          <w:rFonts w:ascii="Book Antiqua" w:eastAsia="Times New Roman" w:hAnsi="Book Antiqua" w:cs="Arial"/>
          <w:sz w:val="24"/>
          <w:szCs w:val="24"/>
          <w:lang w:val="en-US"/>
        </w:rPr>
        <w:t xml:space="preserve">It is </w:t>
      </w:r>
      <w:r w:rsidR="00C0425C" w:rsidRPr="007F5A49">
        <w:rPr>
          <w:rFonts w:ascii="Book Antiqua" w:eastAsia="Times New Roman" w:hAnsi="Book Antiqua" w:cs="Arial"/>
          <w:sz w:val="24"/>
          <w:szCs w:val="24"/>
          <w:lang w:val="en-US"/>
        </w:rPr>
        <w:t>a marker of histologic damage and has been used in a clinical scoring system for NAFLD patients</w:t>
      </w:r>
      <w:r w:rsidR="00C0425C" w:rsidRPr="007F5A49">
        <w:rPr>
          <w:rFonts w:ascii="Book Antiqua" w:eastAsia="Times New Roman" w:hAnsi="Book Antiqua" w:cs="Arial"/>
          <w:sz w:val="24"/>
          <w:szCs w:val="24"/>
          <w:vertAlign w:val="superscript"/>
          <w:lang w:val="en-US"/>
        </w:rPr>
        <w:fldChar w:fldCharType="begin"/>
      </w:r>
      <w:r w:rsidR="00D2645C" w:rsidRPr="007F5A49">
        <w:rPr>
          <w:rFonts w:ascii="Book Antiqua" w:eastAsia="Times New Roman" w:hAnsi="Book Antiqua" w:cs="Arial"/>
          <w:sz w:val="24"/>
          <w:szCs w:val="24"/>
          <w:vertAlign w:val="superscript"/>
          <w:lang w:val="en-US"/>
        </w:rPr>
        <w:instrText xml:space="preserve"> ADDIN ZOTERO_ITEM CSL_CITATION {"citationID":"a2ijgekk3lk","properties":{"formattedCitation":"(79)","plainCitation":"(79)","noteIndex":0},"citationItems":[{"id":287,"uris":["http://zotero.org/users/2804724/items/V473K37H"],"uri":["http://zotero.org/users/2804724/items/V473K37H"],"itemData":{"id":287,"type":"article-journal","title":"Iron and non-alcoholic fatty liver disease","container-title":"World Journal of Gastroenterology","page":"8112-8122","volume":"22","issue":"36","source":"PubMed Central","abstract":"The mechanisms that promote liver injury in non-alcoholic fatty liver disease (NAFLD) are yet to be thoroughly elucidated. As such, effective treatment strategies are lacking and novel therapeutic targets are required. Iron has been widely implicated in the pathogenesis of NAFLD and represents a potential target for treatment. Relationships between serum ferritin concentration and NAFLD are noted in a majority of studies, although serum ferritin is an imprecise measure of iron loading. Numerous mechanisms for a pathogenic role of hepatic iron in NAFLD have been demonstrated in animal and cell culture models. However, the human data linking hepatic iron to liver injury in NAFLD is less clear, with seemingly conflicting evidence, supporting either an effect of iron in hepatocytes or within reticulo-endothelial cells. Adipose tissue has emerged as a key site at which iron may have a pathogenic role in NAFLD. Evidence for this comes indirectly from studies that have evaluated the role of adipose tissue iron with respect to insulin resistance. Adding further complexity, multiple strands of evidence support an effect of NAFLD itself on iron metabolism. In this review, we summarise the human and basic science data that has evaluated the role of iron in NAFLD pathogenesis.","DOI":"10.3748/wjg.v22.i36.8112","ISSN":"1007-9327","note":"PMID: 27688653\nPMCID: PMC5037080","journalAbbreviation":"World J Gastroenterol","author":[{"family":"Britton","given":"Laurence J"},{"family":"Subramaniam","given":"V Nathan"},{"family":"Crawford","given":"Darrell HG"}],"issued":{"date-parts":[["2016",9,28]]}}}],"schema":"https://github.com/citation-style-language/schema/raw/master/csl-citation.json"} </w:instrText>
      </w:r>
      <w:r w:rsidR="00C0425C" w:rsidRPr="007F5A49">
        <w:rPr>
          <w:rFonts w:ascii="Book Antiqua" w:eastAsia="Times New Roman" w:hAnsi="Book Antiqua" w:cs="Arial"/>
          <w:sz w:val="24"/>
          <w:szCs w:val="24"/>
          <w:vertAlign w:val="superscript"/>
          <w:lang w:val="en-US"/>
        </w:rPr>
        <w:fldChar w:fldCharType="separate"/>
      </w:r>
      <w:r w:rsidR="00D206BD"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79</w:t>
      </w:r>
      <w:r w:rsidR="00C0425C" w:rsidRPr="007F5A49">
        <w:rPr>
          <w:rFonts w:ascii="Book Antiqua" w:eastAsia="Times New Roman" w:hAnsi="Book Antiqua" w:cs="Arial"/>
          <w:sz w:val="24"/>
          <w:szCs w:val="24"/>
          <w:vertAlign w:val="superscript"/>
          <w:lang w:val="en-US"/>
        </w:rPr>
        <w:fldChar w:fldCharType="end"/>
      </w:r>
      <w:r w:rsidR="00D206BD" w:rsidRPr="007F5A49">
        <w:rPr>
          <w:rFonts w:ascii="Book Antiqua" w:eastAsia="Times New Roman" w:hAnsi="Book Antiqua" w:cs="Arial"/>
          <w:sz w:val="24"/>
          <w:szCs w:val="24"/>
          <w:vertAlign w:val="superscript"/>
          <w:lang w:val="en-US"/>
        </w:rPr>
        <w:t>]</w:t>
      </w:r>
      <w:r w:rsidR="008F2A35" w:rsidRPr="007F5A49">
        <w:rPr>
          <w:rFonts w:ascii="Book Antiqua" w:eastAsia="Times New Roman" w:hAnsi="Book Antiqua" w:cs="Arial"/>
          <w:sz w:val="24"/>
          <w:szCs w:val="24"/>
          <w:lang w:val="en-US"/>
        </w:rPr>
        <w:t xml:space="preserve">. </w:t>
      </w:r>
      <w:r w:rsidR="00304E2F" w:rsidRPr="007F5A49">
        <w:rPr>
          <w:rFonts w:ascii="Book Antiqua" w:eastAsia="Times New Roman" w:hAnsi="Book Antiqua" w:cs="Arial"/>
          <w:sz w:val="24"/>
          <w:szCs w:val="24"/>
          <w:lang w:val="en-US"/>
        </w:rPr>
        <w:t>However, a</w:t>
      </w:r>
      <w:r w:rsidR="001F0EC0" w:rsidRPr="007F5A49">
        <w:rPr>
          <w:rFonts w:ascii="Book Antiqua" w:eastAsia="Times New Roman" w:hAnsi="Book Antiqua" w:cs="Arial"/>
          <w:sz w:val="24"/>
          <w:szCs w:val="24"/>
          <w:lang w:val="en-US"/>
        </w:rPr>
        <w:t xml:space="preserve"> </w:t>
      </w:r>
      <w:r w:rsidR="001F0EC0" w:rsidRPr="007F5A49">
        <w:rPr>
          <w:rFonts w:ascii="Book Antiqua" w:hAnsi="Book Antiqua" w:cs="Arial"/>
          <w:sz w:val="24"/>
          <w:szCs w:val="24"/>
          <w:lang w:val="en-US"/>
        </w:rPr>
        <w:t xml:space="preserve">few studies could not observe a clear association between serum ferritin and fibrosis. Groups such as </w:t>
      </w:r>
      <w:bookmarkStart w:id="51" w:name="OLE_LINK66"/>
      <w:proofErr w:type="spellStart"/>
      <w:r w:rsidR="001F0EC0" w:rsidRPr="007F5A49">
        <w:rPr>
          <w:rFonts w:ascii="Book Antiqua" w:hAnsi="Book Antiqua" w:cs="Arial"/>
          <w:sz w:val="24"/>
          <w:szCs w:val="24"/>
          <w:lang w:val="en-US"/>
        </w:rPr>
        <w:t>Valenti</w:t>
      </w:r>
      <w:bookmarkEnd w:id="51"/>
      <w:proofErr w:type="spellEnd"/>
      <w:r w:rsidR="001F0EC0" w:rsidRPr="007F5A49">
        <w:rPr>
          <w:rFonts w:ascii="Book Antiqua" w:hAnsi="Book Antiqua" w:cs="Arial"/>
          <w:sz w:val="24"/>
          <w:szCs w:val="24"/>
          <w:lang w:val="en-US"/>
        </w:rPr>
        <w:t xml:space="preserve"> </w:t>
      </w:r>
      <w:r w:rsidR="001F0EC0" w:rsidRPr="00005340">
        <w:rPr>
          <w:rFonts w:ascii="Book Antiqua" w:hAnsi="Book Antiqua" w:cs="Arial"/>
          <w:i/>
          <w:sz w:val="24"/>
          <w:szCs w:val="24"/>
          <w:lang w:val="en-US"/>
        </w:rPr>
        <w:t xml:space="preserve">et </w:t>
      </w:r>
      <w:proofErr w:type="gramStart"/>
      <w:r w:rsidR="001F0EC0" w:rsidRPr="00005340">
        <w:rPr>
          <w:rFonts w:ascii="Book Antiqua" w:hAnsi="Book Antiqua" w:cs="Arial"/>
          <w:i/>
          <w:sz w:val="24"/>
          <w:szCs w:val="24"/>
          <w:lang w:val="en-US"/>
        </w:rPr>
        <w:t>al</w:t>
      </w:r>
      <w:r w:rsidR="00005340">
        <w:rPr>
          <w:rFonts w:ascii="Book Antiqua" w:hAnsi="Book Antiqua" w:cs="Arial"/>
          <w:sz w:val="24"/>
          <w:szCs w:val="24"/>
          <w:vertAlign w:val="superscript"/>
          <w:lang w:val="en-US"/>
        </w:rPr>
        <w:t>[</w:t>
      </w:r>
      <w:proofErr w:type="gramEnd"/>
      <w:r w:rsidR="00005340">
        <w:rPr>
          <w:rFonts w:ascii="Book Antiqua" w:hAnsi="Book Antiqua" w:cs="Arial"/>
          <w:sz w:val="24"/>
          <w:szCs w:val="24"/>
          <w:vertAlign w:val="superscript"/>
          <w:lang w:val="en-US"/>
        </w:rPr>
        <w:t>85]</w:t>
      </w:r>
      <w:r w:rsidR="00005340">
        <w:rPr>
          <w:rFonts w:ascii="Book Antiqua" w:hAnsi="Book Antiqua" w:cs="Arial"/>
          <w:sz w:val="24"/>
          <w:szCs w:val="24"/>
          <w:lang w:val="en-US"/>
        </w:rPr>
        <w:t xml:space="preserve">, </w:t>
      </w:r>
      <w:proofErr w:type="spellStart"/>
      <w:r w:rsidR="00005340">
        <w:rPr>
          <w:rFonts w:ascii="Book Antiqua" w:hAnsi="Book Antiqua" w:cs="Arial"/>
          <w:sz w:val="24"/>
          <w:szCs w:val="24"/>
          <w:lang w:val="en-US"/>
        </w:rPr>
        <w:t>Chandok</w:t>
      </w:r>
      <w:proofErr w:type="spellEnd"/>
      <w:r w:rsidR="00005340">
        <w:rPr>
          <w:rFonts w:ascii="Book Antiqua" w:hAnsi="Book Antiqua" w:cs="Arial"/>
          <w:sz w:val="24"/>
          <w:szCs w:val="24"/>
          <w:lang w:val="en-US"/>
        </w:rPr>
        <w:t xml:space="preserve"> </w:t>
      </w:r>
      <w:r w:rsidR="00005340" w:rsidRPr="00005340">
        <w:rPr>
          <w:rFonts w:ascii="Book Antiqua" w:hAnsi="Book Antiqua" w:cs="Arial"/>
          <w:i/>
          <w:sz w:val="24"/>
          <w:szCs w:val="24"/>
          <w:lang w:val="en-US"/>
        </w:rPr>
        <w:t xml:space="preserve">et </w:t>
      </w:r>
      <w:r w:rsidR="001F0EC0" w:rsidRPr="00005340">
        <w:rPr>
          <w:rFonts w:ascii="Book Antiqua" w:hAnsi="Book Antiqua" w:cs="Arial"/>
          <w:i/>
          <w:sz w:val="24"/>
          <w:szCs w:val="24"/>
          <w:lang w:val="en-US"/>
        </w:rPr>
        <w:t>al</w:t>
      </w:r>
      <w:r w:rsidR="00005340" w:rsidRPr="00005340">
        <w:rPr>
          <w:rFonts w:ascii="Book Antiqua" w:hAnsi="Book Antiqua" w:cs="Arial"/>
          <w:sz w:val="24"/>
          <w:szCs w:val="24"/>
          <w:vertAlign w:val="superscript"/>
          <w:lang w:val="en-US"/>
        </w:rPr>
        <w:t>[107]</w:t>
      </w:r>
      <w:r w:rsidR="001F0EC0" w:rsidRPr="007F5A49">
        <w:rPr>
          <w:rFonts w:ascii="Book Antiqua" w:hAnsi="Book Antiqua" w:cs="Arial"/>
          <w:sz w:val="24"/>
          <w:szCs w:val="24"/>
          <w:lang w:val="en-US"/>
        </w:rPr>
        <w:t xml:space="preserve"> and </w:t>
      </w:r>
      <w:proofErr w:type="spellStart"/>
      <w:r w:rsidR="001F0EC0" w:rsidRPr="007F5A49">
        <w:rPr>
          <w:rFonts w:ascii="Book Antiqua" w:eastAsia="Times New Roman" w:hAnsi="Book Antiqua" w:cs="Arial"/>
          <w:sz w:val="24"/>
          <w:szCs w:val="24"/>
          <w:lang w:val="en-US"/>
        </w:rPr>
        <w:t>Chitturi</w:t>
      </w:r>
      <w:proofErr w:type="spellEnd"/>
      <w:r w:rsidR="001F0EC0" w:rsidRPr="007F5A49">
        <w:rPr>
          <w:rFonts w:ascii="Book Antiqua" w:eastAsia="Times New Roman" w:hAnsi="Book Antiqua" w:cs="Arial"/>
          <w:sz w:val="24"/>
          <w:szCs w:val="24"/>
          <w:lang w:val="en-US"/>
        </w:rPr>
        <w:t xml:space="preserve"> </w:t>
      </w:r>
      <w:r w:rsidR="001F0EC0" w:rsidRPr="00005340">
        <w:rPr>
          <w:rFonts w:ascii="Book Antiqua" w:eastAsia="Times New Roman" w:hAnsi="Book Antiqua" w:cs="Arial"/>
          <w:i/>
          <w:sz w:val="24"/>
          <w:szCs w:val="24"/>
          <w:lang w:val="en-US"/>
        </w:rPr>
        <w:t>et al</w:t>
      </w:r>
      <w:r w:rsidR="00005340">
        <w:rPr>
          <w:rFonts w:ascii="Book Antiqua" w:hAnsi="Book Antiqua" w:cs="Arial"/>
          <w:sz w:val="24"/>
          <w:szCs w:val="24"/>
          <w:vertAlign w:val="superscript"/>
          <w:lang w:val="en-US"/>
        </w:rPr>
        <w:t>[108]</w:t>
      </w:r>
      <w:r w:rsidR="001F0EC0" w:rsidRPr="007F5A49">
        <w:rPr>
          <w:rFonts w:ascii="Book Antiqua" w:hAnsi="Book Antiqua" w:cs="Arial"/>
          <w:sz w:val="24"/>
          <w:szCs w:val="24"/>
          <w:lang w:val="en-US"/>
        </w:rPr>
        <w:t xml:space="preserve"> noted that serum ferritin could not effectively predict fibrosis stage and could not </w:t>
      </w:r>
      <w:r w:rsidR="001F0EC0" w:rsidRPr="007F5A49">
        <w:rPr>
          <w:rFonts w:ascii="Book Antiqua" w:eastAsia="Times New Roman" w:hAnsi="Book Antiqua" w:cs="Arial"/>
          <w:sz w:val="24"/>
          <w:szCs w:val="24"/>
          <w:lang w:val="en-US"/>
        </w:rPr>
        <w:t xml:space="preserve">independently predict advanced fibrosis in NAFLD/NASH. Another discrepancy is related to the cell-specific </w:t>
      </w:r>
      <w:r w:rsidR="001F0EC0" w:rsidRPr="007F5A49">
        <w:rPr>
          <w:rFonts w:ascii="Book Antiqua" w:eastAsia="Times New Roman" w:hAnsi="Book Antiqua" w:cs="Arial"/>
          <w:sz w:val="24"/>
          <w:szCs w:val="24"/>
          <w:lang w:val="en-US"/>
        </w:rPr>
        <w:lastRenderedPageBreak/>
        <w:t>accumulation of iron. While serum ferritin levels were 2-fold higher in NAFLD patients with non-parenchymal iron loading than those with parenchymal iron loading, n</w:t>
      </w:r>
      <w:r w:rsidR="001F0EC0" w:rsidRPr="007F5A49">
        <w:rPr>
          <w:rFonts w:ascii="Book Antiqua" w:hAnsi="Book Antiqua" w:cs="Arial"/>
          <w:sz w:val="24"/>
          <w:szCs w:val="24"/>
          <w:lang w:val="en-US"/>
        </w:rPr>
        <w:t>on-parenchymal siderosis was not found to be associated with moderate-severe fibrosis</w:t>
      </w:r>
      <w:r w:rsidR="001F0EC0"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WuoeeBNH","properties":{"formattedCitation":"(85)","plainCitation":"(85)","noteIndex":0},"citationItems":[{"id":296,"uris":["http://zotero.org/users/2804724/items/KBIGWWG4"],"uri":["http://zotero.org/users/2804724/items/KBIGWWG4"],"itemData":{"id":296,"type":"article-journal","title":"HFE genotype, parenchymal iron accumulation, and liver fibrosis in patients with nonalcoholic fatty liver disease","container-title":"Gastroenterology","page":"905-912","volume":"138","issue":"3","source":"PubMed","abstract":"BACKGROUND &amp; AIMS: Mutations in the hemochromatosis gene (HFE) (C282Y and H63D) lead to parenchymal iron accumulation, hemochromatosis, and liver damage. We investigated whether these factors also contribute to the progression of fibrosis in patients with nonalcoholic fatty liver disease (NAFLD).\nMETHODS: We studied clinical, histologic (liver biopsy samples for hepatocellular iron accumulation), serologic (iron and enzyme levels), and genetic (HFE genotype) data from 587 patients from Italy with NAFLD and 184 control subjects.\nRESULTS: Iron accumulation predominantly in hepatocyes was associated with a 1.7-fold higher risk of a fibrosis stage greater than 1 (95% confidence interval [CI]: 1.2-2.3), compared with the absence of siderosis (after adjustment for age, body mass index, glucose tolerance status, and alanine aminotransferase level). Nonparenchymal/mixed siderosis was not associated with moderate/severe fibrosis (odds ratio, 0.72; 95% CI: 0.50-1.01). Hepatocellular siderosis was more prevalent in patients with HFE mutations than in those without; approximately one third of patients with HFE mutations had parenchymal iron accumulation (range, 29.8%-35.7%, depending on HFE genotype). Predominantly hepatocellular iron accumulation occurred in 52.7% of cases of patients with HFE mutations. There was no significant association between either the presence of HFE mutations or specific HFE genotypes and the severity of liver fibrosis.\nCONCLUSIONS: Iron deposition predominantly in hepatocyes is associated with more severe liver damage in patients with NAFLD. However, HFE mutations cannot be used to identify patients with hepatocellular iron accumulation.","DOI":"10.1053/j.gastro.2009.11.013","ISSN":"1528-0012","note":"PMID: 19931264","journalAbbreviation":"Gastroenterology","language":"eng","author":[{"family":"Valenti","given":"Luca"},{"family":"Fracanzani","given":"Anna Ludovica"},{"family":"Bugianesi","given":"Elisabetta"},{"family":"Dongiovanni","given":"Paola"},{"family":"Galmozzi","given":"Enrico"},{"family":"Vanni","given":"Ester"},{"family":"Canavesi","given":"Elena"},{"family":"Lattuada","given":"Ezio"},{"family":"Roviaro","given":"Giancarlo"},{"family":"Marchesini","given":"Giulio"},{"family":"Fargion","given":"Silvia"}],"issued":{"date-parts":[["2010",3]]}}}],"schema":"https://github.com/citation-style-language/schema/raw/master/csl-citation.json"} </w:instrText>
      </w:r>
      <w:r w:rsidR="001F0EC0" w:rsidRPr="007F5A49">
        <w:rPr>
          <w:rFonts w:ascii="Book Antiqua" w:hAnsi="Book Antiqua" w:cs="Arial"/>
          <w:sz w:val="24"/>
          <w:szCs w:val="24"/>
          <w:vertAlign w:val="superscript"/>
          <w:lang w:val="en-US"/>
        </w:rPr>
        <w:fldChar w:fldCharType="separate"/>
      </w:r>
      <w:r w:rsidR="00D206BD"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85</w:t>
      </w:r>
      <w:r w:rsidR="001F0EC0" w:rsidRPr="007F5A49">
        <w:rPr>
          <w:rFonts w:ascii="Book Antiqua" w:hAnsi="Book Antiqua" w:cs="Arial"/>
          <w:sz w:val="24"/>
          <w:szCs w:val="24"/>
          <w:vertAlign w:val="superscript"/>
          <w:lang w:val="en-US"/>
        </w:rPr>
        <w:fldChar w:fldCharType="end"/>
      </w:r>
      <w:r w:rsidR="00D206BD" w:rsidRPr="007F5A49">
        <w:rPr>
          <w:rFonts w:ascii="Book Antiqua" w:hAnsi="Book Antiqua" w:cs="Arial"/>
          <w:sz w:val="24"/>
          <w:szCs w:val="24"/>
          <w:vertAlign w:val="superscript"/>
          <w:lang w:val="en-US"/>
        </w:rPr>
        <w:t>]</w:t>
      </w:r>
      <w:r w:rsidR="001F0EC0" w:rsidRPr="007F5A49">
        <w:rPr>
          <w:rFonts w:ascii="Book Antiqua" w:hAnsi="Book Antiqua" w:cs="Arial"/>
          <w:sz w:val="24"/>
          <w:szCs w:val="24"/>
          <w:lang w:val="en-US"/>
        </w:rPr>
        <w:t xml:space="preserve">. </w:t>
      </w:r>
      <w:r w:rsidR="00A072C6" w:rsidRPr="007F5A49">
        <w:rPr>
          <w:rStyle w:val="highlight"/>
          <w:rFonts w:ascii="Book Antiqua" w:hAnsi="Book Antiqua" w:cs="Arial"/>
          <w:sz w:val="24"/>
          <w:szCs w:val="24"/>
          <w:lang w:val="en-US"/>
        </w:rPr>
        <w:t>Notably, e</w:t>
      </w:r>
      <w:r w:rsidR="003363EF" w:rsidRPr="007F5A49">
        <w:rPr>
          <w:rStyle w:val="highlight"/>
          <w:rFonts w:ascii="Book Antiqua" w:hAnsi="Book Antiqua" w:cs="Arial"/>
          <w:sz w:val="24"/>
          <w:szCs w:val="24"/>
          <w:lang w:val="en-US"/>
        </w:rPr>
        <w:t xml:space="preserve">levated ferritin marks </w:t>
      </w:r>
      <w:r w:rsidR="003363EF" w:rsidRPr="007F5A49">
        <w:rPr>
          <w:rFonts w:ascii="Book Antiqua" w:hAnsi="Book Antiqua" w:cs="Arial"/>
          <w:sz w:val="24"/>
          <w:szCs w:val="24"/>
          <w:lang w:val="en-US"/>
        </w:rPr>
        <w:t xml:space="preserve">inflammation and </w:t>
      </w:r>
      <w:r w:rsidR="001D1200" w:rsidRPr="007F5A49">
        <w:rPr>
          <w:rFonts w:ascii="Book Antiqua" w:hAnsi="Book Antiqua" w:cs="Arial"/>
          <w:sz w:val="24"/>
          <w:szCs w:val="24"/>
          <w:lang w:val="en-US"/>
        </w:rPr>
        <w:t xml:space="preserve">can be </w:t>
      </w:r>
      <w:r w:rsidR="00EB7FA8" w:rsidRPr="007F5A49">
        <w:rPr>
          <w:rFonts w:ascii="Book Antiqua" w:hAnsi="Book Antiqua" w:cs="Arial"/>
          <w:sz w:val="24"/>
          <w:szCs w:val="24"/>
          <w:lang w:val="en-US"/>
        </w:rPr>
        <w:t xml:space="preserve">observed </w:t>
      </w:r>
      <w:r w:rsidR="00320A27" w:rsidRPr="007F5A49">
        <w:rPr>
          <w:rStyle w:val="highlight"/>
          <w:rFonts w:ascii="Book Antiqua" w:hAnsi="Book Antiqua" w:cs="Arial"/>
          <w:sz w:val="24"/>
          <w:szCs w:val="24"/>
          <w:lang w:val="en-US"/>
        </w:rPr>
        <w:t>in the absence of iron overload</w:t>
      </w:r>
      <w:r w:rsidR="00320A27"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W3ImyZRE","properties":{"formattedCitation":"(109)","plainCitation":"(109)","noteIndex":0},"citationItems":[{"id":"z1PZoHrb/4W8jjYjW","uris":["http://zotero.org/users/4222068/items/YBDSEXMB"],"uri":["http://zotero.org/users/4222068/items/YBDSEXMB"],"itemData":{"id":1578,"type":"article-journal","title":"Interpreting raised serum ferritin levels","container-title":"BMJ (Clinical research ed.)","page":"h3692","volume":"351","source":"PubMed","ISSN":"1756-1833","note":"PMID: 26239322","journalAbbreviation":"BMJ","language":"eng","author":[{"family":"Koperdanova","given":"Marianna"},{"family":"Cullis","given":"Jonathan O."}],"issued":{"date-parts":[["2015",8,3]]}}}],"schema":"https://github.com/citation-style-language/schema/raw/master/csl-citation.json"} </w:instrText>
      </w:r>
      <w:r w:rsidR="00320A27" w:rsidRPr="007F5A49">
        <w:rPr>
          <w:rFonts w:ascii="Book Antiqua" w:hAnsi="Book Antiqua" w:cs="Arial"/>
          <w:sz w:val="24"/>
          <w:szCs w:val="24"/>
          <w:vertAlign w:val="superscript"/>
          <w:lang w:val="en-US"/>
        </w:rPr>
        <w:fldChar w:fldCharType="separate"/>
      </w:r>
      <w:r w:rsidR="00D206BD"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109</w:t>
      </w:r>
      <w:r w:rsidR="00320A27" w:rsidRPr="007F5A49">
        <w:rPr>
          <w:rFonts w:ascii="Book Antiqua" w:hAnsi="Book Antiqua" w:cs="Arial"/>
          <w:sz w:val="24"/>
          <w:szCs w:val="24"/>
          <w:vertAlign w:val="superscript"/>
          <w:lang w:val="en-US"/>
        </w:rPr>
        <w:fldChar w:fldCharType="end"/>
      </w:r>
      <w:r w:rsidR="00D206BD" w:rsidRPr="007F5A49">
        <w:rPr>
          <w:rFonts w:ascii="Book Antiqua" w:hAnsi="Book Antiqua" w:cs="Arial"/>
          <w:sz w:val="24"/>
          <w:szCs w:val="24"/>
          <w:vertAlign w:val="superscript"/>
          <w:lang w:val="en-US"/>
        </w:rPr>
        <w:t>]</w:t>
      </w:r>
      <w:r w:rsidR="00DE6177" w:rsidRPr="007F5A49">
        <w:rPr>
          <w:rFonts w:ascii="Book Antiqua" w:hAnsi="Book Antiqua" w:cs="Arial"/>
          <w:sz w:val="24"/>
          <w:szCs w:val="24"/>
          <w:lang w:val="en-US"/>
        </w:rPr>
        <w:t xml:space="preserve">. </w:t>
      </w:r>
    </w:p>
    <w:p w14:paraId="75219C5E" w14:textId="2E47FD3E" w:rsidR="005965A0" w:rsidRPr="007F5A49" w:rsidRDefault="004728E3" w:rsidP="007F5A49">
      <w:pPr>
        <w:adjustRightInd w:val="0"/>
        <w:snapToGrid w:val="0"/>
        <w:spacing w:after="0" w:line="360" w:lineRule="auto"/>
        <w:jc w:val="both"/>
        <w:rPr>
          <w:rFonts w:ascii="Book Antiqua" w:hAnsi="Book Antiqua" w:cs="Arial"/>
          <w:sz w:val="24"/>
          <w:szCs w:val="24"/>
          <w:lang w:val="en-US"/>
        </w:rPr>
      </w:pPr>
      <w:r>
        <w:rPr>
          <w:rFonts w:ascii="Book Antiqua" w:hAnsi="Book Antiqua" w:cs="Arial"/>
          <w:sz w:val="24"/>
          <w:szCs w:val="24"/>
          <w:lang w:val="en-US"/>
        </w:rPr>
        <w:t xml:space="preserve">  </w:t>
      </w:r>
      <w:r w:rsidR="00AC7727" w:rsidRPr="007F5A49">
        <w:rPr>
          <w:rFonts w:ascii="Book Antiqua" w:hAnsi="Book Antiqua" w:cs="Arial"/>
          <w:sz w:val="24"/>
          <w:szCs w:val="24"/>
          <w:lang w:val="en-US"/>
        </w:rPr>
        <w:t>Like ferritin, hepcidin is a</w:t>
      </w:r>
      <w:r w:rsidR="00605F1B" w:rsidRPr="007F5A49">
        <w:rPr>
          <w:rFonts w:ascii="Book Antiqua" w:hAnsi="Book Antiqua" w:cs="Arial"/>
          <w:sz w:val="24"/>
          <w:szCs w:val="24"/>
          <w:lang w:val="en-US"/>
        </w:rPr>
        <w:t xml:space="preserve">lso </w:t>
      </w:r>
      <w:r w:rsidR="00D4463D" w:rsidRPr="007F5A49">
        <w:rPr>
          <w:rFonts w:ascii="Book Antiqua" w:hAnsi="Book Antiqua" w:cs="Arial"/>
          <w:sz w:val="24"/>
          <w:szCs w:val="24"/>
          <w:lang w:val="en-US"/>
        </w:rPr>
        <w:t xml:space="preserve">affected </w:t>
      </w:r>
      <w:r w:rsidR="00605F1B" w:rsidRPr="007F5A49">
        <w:rPr>
          <w:rFonts w:ascii="Book Antiqua" w:hAnsi="Book Antiqua" w:cs="Arial"/>
          <w:sz w:val="24"/>
          <w:szCs w:val="24"/>
          <w:lang w:val="en-US"/>
        </w:rPr>
        <w:t>by</w:t>
      </w:r>
      <w:r w:rsidR="008C2B52" w:rsidRPr="007F5A49">
        <w:rPr>
          <w:rFonts w:ascii="Book Antiqua" w:hAnsi="Book Antiqua" w:cs="Arial"/>
          <w:sz w:val="24"/>
          <w:szCs w:val="24"/>
          <w:lang w:val="en-US"/>
        </w:rPr>
        <w:t xml:space="preserve"> both, </w:t>
      </w:r>
      <w:r w:rsidR="00605F1B" w:rsidRPr="007F5A49">
        <w:rPr>
          <w:rFonts w:ascii="Book Antiqua" w:hAnsi="Book Antiqua" w:cs="Arial"/>
          <w:sz w:val="24"/>
          <w:szCs w:val="24"/>
          <w:lang w:val="en-US"/>
        </w:rPr>
        <w:t>inflammation and iron excess</w:t>
      </w:r>
      <w:r w:rsidR="008C2B52"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4r5e4h4pg","properties":{"formattedCitation":"(110)","plainCitation":"(110)","noteIndex":0},"citationItems":[{"id":428,"uris":["http://zotero.org/users/2804724/items/7QNQUB5C"],"uri":["http://zotero.org/users/2804724/items/7QNQUB5C"],"itemData":{"id":428,"type":"article-journal","title":"Hepcidin and iron regulation, 10 years later","container-title":"Blood","page":"4425-4433","volume":"117","issue":"17","source":"PubMed","abstract":"Under evolutionary pressure to counter the toxicity of iron and to maintain adequate iron supply for hemoglobin synthesis and essential metabolic functions, humans and other vertebrates have effective mechanisms to conserve iron and to regulate its concentration, storage, and distribution in tissues. The iron-regulatory hormone hepcidin, first described 10 years ago, and its receptor and iron channel ferroportin control the dietary absorption, storage, and tissue distribution of iron. Hepcidin causes ferroportin internalization and degradation, thereby decreasing iron transfer into blood plasma from the duodenum, from macrophages involved in recycling senescent erythrocytes, and from iron-storing hepatocytes. Hepcidin is feedback regulated by iron concentrations in plasma and the liver and by erythropoietic demand for iron. Genetic malfunctions affecting the hepcidin-ferroportin axis are a main cause of iron overload disorders but can also cause iron-restricted anemias. Modulation of hepcidin and ferroportin expression during infection and inflammation couples iron metabolism to host defense and decreases iron availability to invading pathogens. This response also restricts the iron supply to erythropoietic precursors and may cause or contribute to the anemia associated with infections and inflammatory disorders.","DOI":"10.1182/blood-2011-01-258467","ISSN":"1528-0020","note":"PMID: 21346250\nPMCID: PMC3099567","journalAbbreviation":"Blood","language":"eng","author":[{"family":"Ganz","given":"Tomas"}],"issued":{"date-parts":[["2011",4,28]]}}}],"schema":"https://github.com/citation-style-language/schema/raw/master/csl-citation.json"} </w:instrText>
      </w:r>
      <w:r w:rsidR="008C2B52" w:rsidRPr="007F5A49">
        <w:rPr>
          <w:rFonts w:ascii="Book Antiqua" w:hAnsi="Book Antiqua" w:cs="Arial"/>
          <w:sz w:val="24"/>
          <w:szCs w:val="24"/>
          <w:vertAlign w:val="superscript"/>
          <w:lang w:val="en-US"/>
        </w:rPr>
        <w:fldChar w:fldCharType="separate"/>
      </w:r>
      <w:r w:rsidR="00D206BD"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110</w:t>
      </w:r>
      <w:r w:rsidR="008C2B52" w:rsidRPr="007F5A49">
        <w:rPr>
          <w:rFonts w:ascii="Book Antiqua" w:hAnsi="Book Antiqua" w:cs="Arial"/>
          <w:sz w:val="24"/>
          <w:szCs w:val="24"/>
          <w:vertAlign w:val="superscript"/>
          <w:lang w:val="en-US"/>
        </w:rPr>
        <w:fldChar w:fldCharType="end"/>
      </w:r>
      <w:r w:rsidR="00D206BD" w:rsidRPr="007F5A49">
        <w:rPr>
          <w:rFonts w:ascii="Book Antiqua" w:hAnsi="Book Antiqua" w:cs="Arial"/>
          <w:sz w:val="24"/>
          <w:szCs w:val="24"/>
          <w:vertAlign w:val="superscript"/>
          <w:lang w:val="en-US"/>
        </w:rPr>
        <w:t>]</w:t>
      </w:r>
      <w:r w:rsidR="00304E2F" w:rsidRPr="007F5A49">
        <w:rPr>
          <w:rFonts w:ascii="Book Antiqua" w:hAnsi="Book Antiqua" w:cs="Arial"/>
          <w:sz w:val="24"/>
          <w:szCs w:val="24"/>
          <w:lang w:val="en-US"/>
        </w:rPr>
        <w:t xml:space="preserve"> and holds diagnostic significance in fibrosis assessment</w:t>
      </w:r>
      <w:r w:rsidR="0003660C" w:rsidRPr="007F5A49">
        <w:rPr>
          <w:rFonts w:ascii="Book Antiqua" w:hAnsi="Book Antiqua" w:cs="Arial"/>
          <w:sz w:val="24"/>
          <w:szCs w:val="24"/>
          <w:lang w:val="en-US"/>
        </w:rPr>
        <w:t>.</w:t>
      </w:r>
      <w:r w:rsidR="00D4463D" w:rsidRPr="007F5A49">
        <w:rPr>
          <w:rFonts w:ascii="Book Antiqua" w:hAnsi="Book Antiqua" w:cs="Arial"/>
          <w:sz w:val="24"/>
          <w:szCs w:val="24"/>
          <w:lang w:val="en-US"/>
        </w:rPr>
        <w:t xml:space="preserve"> </w:t>
      </w:r>
      <w:r w:rsidR="0003660C" w:rsidRPr="007F5A49">
        <w:rPr>
          <w:rFonts w:ascii="Book Antiqua" w:hAnsi="Book Antiqua" w:cs="Arial"/>
          <w:sz w:val="24"/>
          <w:szCs w:val="24"/>
          <w:lang w:val="en-US"/>
        </w:rPr>
        <w:t>Its levels decreased in CLD patients and were the lowest in cirrhosis patients</w:t>
      </w:r>
      <w:r w:rsidR="000A6AF2"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2h191ism24","properties":{"formattedCitation":"(111)","plainCitation":"(111)","noteIndex":0},"citationItems":[{"id":"z1PZoHrb/eDyALzFj","uris":["http://zotero.org/users/4222068/items/PXDC4TST"],"uri":["http://zotero.org/users/4222068/items/PXDC4TST"],"itemData":{"id":1758,"type":"article-journal","title":"Low hepcidin in liver fibrosis and cirrhosis; a tale of progressive disorder and a case for a new biochemical marker","container-title":"Molecular Medicine","page":"5","volume":"24","source":"BioMed Central","abstract":"Liver fibrosis is a precursor of liver cirrhosis, which is associated with increased mortality. Though liver biopsy remains the gold standard for the diagnosis of fibrosis, noninvasive biochemical methods are cost-effective, practical and are not linked with major risks of complications. In this respect, serum hepcidin, has emerged as a new marker of fibrosis and cirrhosis. In this review the discussion uncovers molecular links between hepcidin disturbance and liver fibrosis/cirrhosis. The discussion also expands on clinical studies that suggest that hepcidin can potentially be used as a biochemical parameter of fibrosis/cirrhosis and target of therapeutic strategies to treat liver diseases. The debatable issues such as the complicated nature of hepcidin disturbance in non-alcoholic liver disease, serum levels of hepcidin in acute hepatitis C virus infection, cause of hepcidin disturbance in autoimmune hepatitis and hepatic insulin resistance are discussed, with potential solutions unveiled in order to be studied by future research.","DOI":"10.1186/s10020-018-0008-7","ISSN":"1528-3658","journalAbbreviation":"Molecular Medicine","author":[{"family":"Vela","given":"Driton"}],"issued":{"date-parts":[["2018",3,15]]}}}],"schema":"https://github.com/citation-style-language/schema/raw/master/csl-citation.json"} </w:instrText>
      </w:r>
      <w:r w:rsidR="000A6AF2" w:rsidRPr="007F5A49">
        <w:rPr>
          <w:rFonts w:ascii="Book Antiqua" w:hAnsi="Book Antiqua" w:cs="Arial"/>
          <w:sz w:val="24"/>
          <w:szCs w:val="24"/>
          <w:vertAlign w:val="superscript"/>
          <w:lang w:val="en-US"/>
        </w:rPr>
        <w:fldChar w:fldCharType="separate"/>
      </w:r>
      <w:r w:rsidR="00D206BD"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111</w:t>
      </w:r>
      <w:r w:rsidR="000A6AF2" w:rsidRPr="007F5A49">
        <w:rPr>
          <w:rFonts w:ascii="Book Antiqua" w:hAnsi="Book Antiqua" w:cs="Arial"/>
          <w:sz w:val="24"/>
          <w:szCs w:val="24"/>
          <w:vertAlign w:val="superscript"/>
          <w:lang w:val="en-US"/>
        </w:rPr>
        <w:fldChar w:fldCharType="end"/>
      </w:r>
      <w:r w:rsidR="00D206BD" w:rsidRPr="007F5A49">
        <w:rPr>
          <w:rFonts w:ascii="Book Antiqua" w:hAnsi="Book Antiqua" w:cs="Arial"/>
          <w:sz w:val="24"/>
          <w:szCs w:val="24"/>
          <w:vertAlign w:val="superscript"/>
          <w:lang w:val="en-US"/>
        </w:rPr>
        <w:t>]</w:t>
      </w:r>
      <w:r w:rsidR="00785CB3" w:rsidRPr="007F5A49">
        <w:rPr>
          <w:rFonts w:ascii="Book Antiqua" w:hAnsi="Book Antiqua" w:cs="Arial"/>
          <w:sz w:val="24"/>
          <w:szCs w:val="24"/>
          <w:lang w:val="en-US"/>
        </w:rPr>
        <w:t xml:space="preserve">. </w:t>
      </w:r>
      <w:r w:rsidR="000E6053" w:rsidRPr="007F5A49">
        <w:rPr>
          <w:rFonts w:ascii="Book Antiqua" w:hAnsi="Book Antiqua" w:cs="Arial"/>
          <w:sz w:val="24"/>
          <w:szCs w:val="24"/>
          <w:lang w:val="en-US"/>
        </w:rPr>
        <w:t xml:space="preserve">Moreover, the </w:t>
      </w:r>
      <w:proofErr w:type="spellStart"/>
      <w:r w:rsidR="003769FC" w:rsidRPr="007F5A49">
        <w:rPr>
          <w:rFonts w:ascii="Book Antiqua" w:hAnsi="Book Antiqua" w:cs="Arial"/>
          <w:sz w:val="24"/>
          <w:szCs w:val="24"/>
          <w:lang w:val="en-US"/>
        </w:rPr>
        <w:t>hepcidin:ferritin</w:t>
      </w:r>
      <w:proofErr w:type="spellEnd"/>
      <w:r w:rsidR="003769FC" w:rsidRPr="007F5A49">
        <w:rPr>
          <w:rFonts w:ascii="Book Antiqua" w:hAnsi="Book Antiqua" w:cs="Arial"/>
          <w:sz w:val="24"/>
          <w:szCs w:val="24"/>
          <w:lang w:val="en-US"/>
        </w:rPr>
        <w:t xml:space="preserve"> ratio</w:t>
      </w:r>
      <w:r w:rsidR="000E6053" w:rsidRPr="007F5A49">
        <w:rPr>
          <w:rFonts w:ascii="Book Antiqua" w:hAnsi="Book Antiqua" w:cs="Arial"/>
          <w:sz w:val="24"/>
          <w:szCs w:val="24"/>
          <w:lang w:val="en-US"/>
        </w:rPr>
        <w:t xml:space="preserve"> </w:t>
      </w:r>
      <w:r w:rsidR="003E1AA3" w:rsidRPr="007F5A49">
        <w:rPr>
          <w:rFonts w:ascii="Book Antiqua" w:hAnsi="Book Antiqua" w:cs="Arial"/>
          <w:sz w:val="24"/>
          <w:szCs w:val="24"/>
          <w:lang w:val="en-US"/>
        </w:rPr>
        <w:t xml:space="preserve">was </w:t>
      </w:r>
      <w:r w:rsidR="003769FC" w:rsidRPr="007F5A49">
        <w:rPr>
          <w:rFonts w:ascii="Book Antiqua" w:hAnsi="Book Antiqua" w:cs="Arial"/>
          <w:sz w:val="24"/>
          <w:szCs w:val="24"/>
          <w:lang w:val="en-US"/>
        </w:rPr>
        <w:t xml:space="preserve">lower in </w:t>
      </w:r>
      <w:r w:rsidR="003E1AA3" w:rsidRPr="007F5A49">
        <w:rPr>
          <w:rFonts w:ascii="Book Antiqua" w:hAnsi="Book Antiqua" w:cs="Arial"/>
          <w:sz w:val="24"/>
          <w:szCs w:val="24"/>
          <w:lang w:val="en-US"/>
        </w:rPr>
        <w:t xml:space="preserve">CLD </w:t>
      </w:r>
      <w:r w:rsidR="003769FC" w:rsidRPr="007F5A49">
        <w:rPr>
          <w:rFonts w:ascii="Book Antiqua" w:hAnsi="Book Antiqua" w:cs="Arial"/>
          <w:sz w:val="24"/>
          <w:szCs w:val="24"/>
          <w:lang w:val="en-US"/>
        </w:rPr>
        <w:t xml:space="preserve">patients </w:t>
      </w:r>
      <w:r w:rsidR="00E72182" w:rsidRPr="007F5A49">
        <w:rPr>
          <w:rFonts w:ascii="Book Antiqua" w:hAnsi="Book Antiqua" w:cs="Arial"/>
          <w:sz w:val="24"/>
          <w:szCs w:val="24"/>
          <w:lang w:val="en-US"/>
        </w:rPr>
        <w:t>and</w:t>
      </w:r>
      <w:r w:rsidR="003769FC" w:rsidRPr="007F5A49">
        <w:rPr>
          <w:rFonts w:ascii="Book Antiqua" w:hAnsi="Book Antiqua" w:cs="Arial"/>
          <w:sz w:val="24"/>
          <w:szCs w:val="24"/>
          <w:lang w:val="en-US"/>
        </w:rPr>
        <w:t xml:space="preserve"> </w:t>
      </w:r>
      <w:r w:rsidR="003E1AA3" w:rsidRPr="007F5A49">
        <w:rPr>
          <w:rFonts w:ascii="Book Antiqua" w:hAnsi="Book Antiqua" w:cs="Arial"/>
          <w:sz w:val="24"/>
          <w:szCs w:val="24"/>
          <w:lang w:val="en-US"/>
        </w:rPr>
        <w:t xml:space="preserve">further </w:t>
      </w:r>
      <w:r w:rsidR="003769FC" w:rsidRPr="007F5A49">
        <w:rPr>
          <w:rFonts w:ascii="Book Antiqua" w:hAnsi="Book Antiqua" w:cs="Arial"/>
          <w:sz w:val="24"/>
          <w:szCs w:val="24"/>
          <w:lang w:val="en-US"/>
        </w:rPr>
        <w:t>decrease</w:t>
      </w:r>
      <w:r w:rsidR="003E1AA3" w:rsidRPr="007F5A49">
        <w:rPr>
          <w:rFonts w:ascii="Book Antiqua" w:hAnsi="Book Antiqua" w:cs="Arial"/>
          <w:sz w:val="24"/>
          <w:szCs w:val="24"/>
          <w:lang w:val="en-US"/>
        </w:rPr>
        <w:t xml:space="preserve">d </w:t>
      </w:r>
      <w:r w:rsidR="00EB7FA1" w:rsidRPr="007F5A49">
        <w:rPr>
          <w:rFonts w:ascii="Book Antiqua" w:hAnsi="Book Antiqua" w:cs="Arial"/>
          <w:sz w:val="24"/>
          <w:szCs w:val="24"/>
          <w:lang w:val="en-US"/>
        </w:rPr>
        <w:t>as</w:t>
      </w:r>
      <w:r w:rsidR="000E6053" w:rsidRPr="007F5A49">
        <w:rPr>
          <w:rFonts w:ascii="Book Antiqua" w:hAnsi="Book Antiqua" w:cs="Arial"/>
          <w:sz w:val="24"/>
          <w:szCs w:val="24"/>
          <w:lang w:val="en-US"/>
        </w:rPr>
        <w:t xml:space="preserve"> </w:t>
      </w:r>
      <w:r w:rsidR="003769FC" w:rsidRPr="007F5A49">
        <w:rPr>
          <w:rFonts w:ascii="Book Antiqua" w:hAnsi="Book Antiqua" w:cs="Arial"/>
          <w:sz w:val="24"/>
          <w:szCs w:val="24"/>
          <w:lang w:val="en-US"/>
        </w:rPr>
        <w:t>fibrosis</w:t>
      </w:r>
      <w:r w:rsidR="00EB7FA1" w:rsidRPr="007F5A49">
        <w:rPr>
          <w:rFonts w:ascii="Book Antiqua" w:hAnsi="Book Antiqua" w:cs="Arial"/>
          <w:sz w:val="24"/>
          <w:szCs w:val="24"/>
          <w:lang w:val="en-US"/>
        </w:rPr>
        <w:t xml:space="preserve"> progressed</w:t>
      </w:r>
      <w:r w:rsidR="000E6053"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6hmlqdr1d","properties":{"formattedCitation":"(112)","plainCitation":"(112)","noteIndex":0},"citationItems":[{"id":"z1PZoHrb/6xea0Y0h","uris":["http://zotero.org/users/4222068/items/TAZSXP5N"],"uri":["http://zotero.org/users/4222068/items/TAZSXP5N"],"itemData":{"id":1197,"type":"article-journal","title":"The serum hepcidin:ferritin ratio is a potential biomarker for cirrhosis","container-title":"Liver International: Official Journal of the International Association for the Study of the Liver","page":"1391-1399","volume":"32","issue":"9","source":"PubMed","abstract":"BACKGROUND: Serum hepcidin concentration is potentially affected by inflammation and iron stores in chronic liver disease (CLD), but little is known about the relationship between hepcidin and the degree of hepatic fibrosis. We investigated the potential role of serum hepcidin as a biomarker of advanced liver disease.\nMETHODS: Serum hepcidin was measured in 332 adults with CLD of varying aetiologies, 45 healthy and 50 non-liver disease patient controls. Liver biopsy data were available for 228 CLD subjects.\nRESULTS: Hepcidin was decreased in CLD patients compared with non-liver disease patient controls (P &lt; 0.0001) but not healthy controls, and was lowest in those with cirrhosis (P &lt; 0.0001). Serum hepcidin correlated with hepatic hepcidin mRNA expression in 91 biopsy samples available for genetic analysis (r = 0.68, P &lt; 0.0001). Hepcidin also correlated positively with serum ferritin concentration, transferrin saturation, ALT, serum albumin and haemoglobin, but negatively with serum bilirubin. The hepcidin:ferritin ratio was significantly lower in CLD subjects compared with healthy and disease controls, and decreased with each increase in the stage of fibrosis and siderosis. The hepcidin:ferritin ratio was associated with progressive fibrosis on linear regression, and a value of less than 0.1 was independently associated with cirrhosis on logistic regression analyses (OR 5.54, P &lt; 0.001). Receiver operating characteristic analysis showed the hepcidin:ferritin ratio was able to distinguish between F0 and F4 stages of fibrosis (area under receiver operating characteristic curve = 0.86).\nCONCLUSIONS: The hepcidin:ferritin ratio is reduced in relation to increasing fibrosis in CLD and the use of this ratio may have potential future diagnostic implications as a marker of cirrhosis.","DOI":"10.1111/j.1478-3231.2012.02828.x","ISSN":"1478-3231","note":"PMID: 22676252","shortTitle":"The serum hepcidin","journalAbbreviation":"Liver Int.","language":"eng","author":[{"family":"Tan","given":"Terrence C. H."},{"family":"Crawford","given":"Darrell H. G."},{"family":"Franklin","given":"Michael E."},{"family":"Jaskowski","given":"Lesley A."},{"family":"Macdonald","given":"Graeme A."},{"family":"Jonsson","given":"Julie R."},{"family":"Watson","given":"Melanie J."},{"family":"Taylor","given":"Paul J."},{"family":"Fletcher","given":"Linda M."}],"issued":{"date-parts":[["2012",10]]}}}],"schema":"https://github.com/citation-style-language/schema/raw/master/csl-citation.json"} </w:instrText>
      </w:r>
      <w:r w:rsidR="000E6053" w:rsidRPr="007F5A49">
        <w:rPr>
          <w:rFonts w:ascii="Book Antiqua" w:hAnsi="Book Antiqua" w:cs="Arial"/>
          <w:sz w:val="24"/>
          <w:szCs w:val="24"/>
          <w:vertAlign w:val="superscript"/>
          <w:lang w:val="en-US"/>
        </w:rPr>
        <w:fldChar w:fldCharType="separate"/>
      </w:r>
      <w:r w:rsidR="00D206BD"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112</w:t>
      </w:r>
      <w:r w:rsidR="000E6053" w:rsidRPr="007F5A49">
        <w:rPr>
          <w:rFonts w:ascii="Book Antiqua" w:hAnsi="Book Antiqua" w:cs="Arial"/>
          <w:sz w:val="24"/>
          <w:szCs w:val="24"/>
          <w:vertAlign w:val="superscript"/>
          <w:lang w:val="en-US"/>
        </w:rPr>
        <w:fldChar w:fldCharType="end"/>
      </w:r>
      <w:r w:rsidR="00D206BD" w:rsidRPr="007F5A49">
        <w:rPr>
          <w:rFonts w:ascii="Book Antiqua" w:hAnsi="Book Antiqua" w:cs="Arial"/>
          <w:sz w:val="24"/>
          <w:szCs w:val="24"/>
          <w:vertAlign w:val="superscript"/>
          <w:lang w:val="en-US"/>
        </w:rPr>
        <w:t>]</w:t>
      </w:r>
      <w:r w:rsidR="00AB5E08" w:rsidRPr="007F5A49">
        <w:rPr>
          <w:rFonts w:ascii="Book Antiqua" w:hAnsi="Book Antiqua" w:cs="Arial"/>
          <w:sz w:val="24"/>
          <w:szCs w:val="24"/>
          <w:lang w:val="en-US"/>
        </w:rPr>
        <w:t xml:space="preserve">. </w:t>
      </w:r>
      <w:r w:rsidR="000E6053" w:rsidRPr="007F5A49">
        <w:rPr>
          <w:rFonts w:ascii="Book Antiqua" w:hAnsi="Book Antiqua" w:cs="Arial"/>
          <w:sz w:val="24"/>
          <w:szCs w:val="24"/>
          <w:lang w:val="en-US"/>
        </w:rPr>
        <w:t>Similarly,</w:t>
      </w:r>
      <w:r w:rsidR="00304E2F" w:rsidRPr="007F5A49">
        <w:rPr>
          <w:rFonts w:ascii="Book Antiqua" w:hAnsi="Book Antiqua" w:cs="Arial"/>
          <w:sz w:val="24"/>
          <w:szCs w:val="24"/>
          <w:lang w:val="en-US"/>
        </w:rPr>
        <w:t xml:space="preserve"> another study showed that </w:t>
      </w:r>
      <w:r w:rsidR="000E6053" w:rsidRPr="007F5A49">
        <w:rPr>
          <w:rFonts w:ascii="Book Antiqua" w:hAnsi="Book Antiqua" w:cs="Arial"/>
          <w:sz w:val="24"/>
          <w:szCs w:val="24"/>
          <w:lang w:val="en-US"/>
        </w:rPr>
        <w:t>i</w:t>
      </w:r>
      <w:r w:rsidR="00D122E4" w:rsidRPr="007F5A49">
        <w:rPr>
          <w:rFonts w:ascii="Book Antiqua" w:hAnsi="Book Antiqua" w:cs="Arial"/>
          <w:sz w:val="24"/>
          <w:szCs w:val="24"/>
          <w:lang w:val="en-US"/>
        </w:rPr>
        <w:t>n</w:t>
      </w:r>
      <w:r w:rsidR="00304E2F" w:rsidRPr="007F5A49">
        <w:rPr>
          <w:rFonts w:ascii="Book Antiqua" w:hAnsi="Book Antiqua" w:cs="Arial"/>
          <w:sz w:val="24"/>
          <w:szCs w:val="24"/>
          <w:lang w:val="en-US"/>
        </w:rPr>
        <w:t xml:space="preserve"> </w:t>
      </w:r>
      <w:r w:rsidR="000405D4" w:rsidRPr="007F5A49">
        <w:rPr>
          <w:rFonts w:ascii="Book Antiqua" w:hAnsi="Book Antiqua" w:cs="Arial"/>
          <w:sz w:val="24"/>
          <w:szCs w:val="24"/>
          <w:lang w:val="en-US"/>
        </w:rPr>
        <w:t>children with</w:t>
      </w:r>
      <w:r w:rsidR="00D122E4" w:rsidRPr="007F5A49">
        <w:rPr>
          <w:rFonts w:ascii="Book Antiqua" w:hAnsi="Book Antiqua" w:cs="Arial"/>
          <w:sz w:val="24"/>
          <w:szCs w:val="24"/>
          <w:lang w:val="en-US"/>
        </w:rPr>
        <w:t xml:space="preserve"> CLD, as the severity of fibrosis increased</w:t>
      </w:r>
      <w:r w:rsidR="000E6053" w:rsidRPr="007F5A49">
        <w:rPr>
          <w:rStyle w:val="highlight"/>
          <w:rFonts w:ascii="Book Antiqua" w:hAnsi="Book Antiqua" w:cs="Arial"/>
          <w:sz w:val="24"/>
          <w:szCs w:val="24"/>
          <w:lang w:val="en-US"/>
        </w:rPr>
        <w:t xml:space="preserve">, </w:t>
      </w:r>
      <w:proofErr w:type="spellStart"/>
      <w:r w:rsidR="00D122E4" w:rsidRPr="007F5A49">
        <w:rPr>
          <w:rStyle w:val="highlight"/>
          <w:rFonts w:ascii="Book Antiqua" w:hAnsi="Book Antiqua" w:cs="Arial"/>
          <w:sz w:val="24"/>
          <w:szCs w:val="24"/>
          <w:lang w:val="en-US"/>
        </w:rPr>
        <w:t>hepcidin</w:t>
      </w:r>
      <w:r w:rsidR="00D122E4" w:rsidRPr="007F5A49">
        <w:rPr>
          <w:rFonts w:ascii="Book Antiqua" w:hAnsi="Book Antiqua" w:cs="Arial"/>
          <w:sz w:val="24"/>
          <w:szCs w:val="24"/>
          <w:lang w:val="en-US"/>
        </w:rPr>
        <w:t>:ferritin</w:t>
      </w:r>
      <w:proofErr w:type="spellEnd"/>
      <w:r w:rsidR="00D122E4" w:rsidRPr="007F5A49">
        <w:rPr>
          <w:rFonts w:ascii="Book Antiqua" w:hAnsi="Book Antiqua" w:cs="Arial"/>
          <w:sz w:val="24"/>
          <w:szCs w:val="24"/>
          <w:lang w:val="en-US"/>
        </w:rPr>
        <w:t xml:space="preserve"> ratio decreased, </w:t>
      </w:r>
      <w:r w:rsidR="00EB7FA1" w:rsidRPr="007F5A49">
        <w:rPr>
          <w:rFonts w:ascii="Book Antiqua" w:hAnsi="Book Antiqua" w:cs="Arial"/>
          <w:sz w:val="24"/>
          <w:szCs w:val="24"/>
          <w:lang w:val="en-US"/>
        </w:rPr>
        <w:t>while</w:t>
      </w:r>
      <w:r w:rsidR="000A35A7" w:rsidRPr="007F5A49">
        <w:rPr>
          <w:rFonts w:ascii="Book Antiqua" w:hAnsi="Book Antiqua" w:cs="Arial"/>
          <w:sz w:val="24"/>
          <w:szCs w:val="24"/>
          <w:lang w:val="en-US"/>
        </w:rPr>
        <w:t xml:space="preserve"> </w:t>
      </w:r>
      <w:r w:rsidR="00D122E4" w:rsidRPr="007F5A49">
        <w:rPr>
          <w:rFonts w:ascii="Book Antiqua" w:hAnsi="Book Antiqua" w:cs="Arial"/>
          <w:sz w:val="24"/>
          <w:szCs w:val="24"/>
          <w:lang w:val="en-US"/>
        </w:rPr>
        <w:t xml:space="preserve">serum ferritin and transferrin saturation </w:t>
      </w:r>
      <w:r w:rsidR="000405D4" w:rsidRPr="007F5A49">
        <w:rPr>
          <w:rFonts w:ascii="Book Antiqua" w:hAnsi="Book Antiqua" w:cs="Arial"/>
          <w:sz w:val="24"/>
          <w:szCs w:val="24"/>
          <w:lang w:val="en-US"/>
        </w:rPr>
        <w:t xml:space="preserve">remained </w:t>
      </w:r>
      <w:r w:rsidR="00D122E4" w:rsidRPr="007F5A49">
        <w:rPr>
          <w:rFonts w:ascii="Book Antiqua" w:hAnsi="Book Antiqua" w:cs="Arial"/>
          <w:sz w:val="24"/>
          <w:szCs w:val="24"/>
          <w:lang w:val="en-US"/>
        </w:rPr>
        <w:t>high</w:t>
      </w:r>
      <w:r w:rsidR="003769FC"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z1mvrl8Q","properties":{"formattedCitation":"(113)","plainCitation":"(113)","noteIndex":0},"citationItems":[{"id":"z1PZoHrb/DpEpOGOu","uris":["http://zotero.org/users/4222068/items/CQUWTX93"],"uri":["http://zotero.org/users/4222068/items/CQUWTX93"],"itemData":{"id":1221,"type":"article-journal","title":"Hepcidin levels in children with chronic liver disease","container-title":"Saudi Journal of Gastroenterology: Official Journal of the Saudi Gastroenterology Association","page":"300-305","volume":"21","issue":"5","source":"PubMed","abstract":"BACKGROUND/AIM: We aimed to analyze serum hepcidin level in children with chronic liver disease (CLD) and its relationship with serum cytokines level, liver function tests, hepatic iron content, and liver fibrosis.\nPATIENTS AND METHODS: The study included 34 children with CLD, and 15 age- and gender-matched healthy children. Serum hepcidin, ferritin, iron level, interleukin-6 (IL-6), transforming growth factor-β (TGF-β ), total oxidant status (TOS), and antioxidant status (TAS) were studied in all patients and in the control group. Liver iron content (LIC) was measured from the liver biopsy specimen.\nRESULTS: Serum ferritin levels were higher in patients with CLD than control group (100.1 ± 98.2 ng/mL vs 50.5 ± 32.2 ng/mL, P = 0.016). No significant difference was found in hepcidin levels. Hepcidin levels in children with CLD was positively correlated with ferritin (r = 0.75, P = 0.001), pediatric end-stage liver disease (PELD) score (r = 0.56, P = 0.001), TAS (r = 0.42,P = 0.02), but negatively correlated with albumin level (r = -0.45,P = 0.008). Transferrin saturation and hepcidin:ferritin ratio were significantly low in patients with severe fibrosis compared with patients with mild/without fibrosis (15.5 ± 5.5 vs 34.3 ± 30.1, P = 0.017 and 1 ± 0.5 vs 1.9 ± 1.4,P = 0.04, respectively).\nCONCLUSION: Serum hepcidin levels in children with CLD reflect both liver functions and TAS, and severe fibrosis is associated with low hepcidin:ferritin ratio in children with CLD.","DOI":"10.4103/1319-3767.166205","ISSN":"1998-4049","note":"PMID: 26458857\nPMCID: PMC4632255","journalAbbreviation":"Saudi J Gastroenterol","language":"eng","author":[{"family":"Cakir","given":"Murat"},{"family":"Erduran","given":"Erol"},{"family":"Turkmen","given":"Elif Sag"},{"family":"Aliyazicioglu","given":"Yuksel"},{"family":"Reis","given":"Gokce Pinar"},{"family":"Cobanoglu","given":"Umit"},{"family":"Demir","given":"Selim"}],"issued":{"date-parts":[["2015",10]]}}}],"schema":"https://github.com/citation-style-language/schema/raw/master/csl-citation.json"} </w:instrText>
      </w:r>
      <w:r w:rsidR="003769FC" w:rsidRPr="007F5A49">
        <w:rPr>
          <w:rFonts w:ascii="Book Antiqua" w:hAnsi="Book Antiqua" w:cs="Arial"/>
          <w:sz w:val="24"/>
          <w:szCs w:val="24"/>
          <w:vertAlign w:val="superscript"/>
          <w:lang w:val="en-US"/>
        </w:rPr>
        <w:fldChar w:fldCharType="separate"/>
      </w:r>
      <w:r w:rsidR="00D206BD"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113</w:t>
      </w:r>
      <w:r w:rsidR="003769FC" w:rsidRPr="007F5A49">
        <w:rPr>
          <w:rFonts w:ascii="Book Antiqua" w:hAnsi="Book Antiqua" w:cs="Arial"/>
          <w:sz w:val="24"/>
          <w:szCs w:val="24"/>
          <w:vertAlign w:val="superscript"/>
          <w:lang w:val="en-US"/>
        </w:rPr>
        <w:fldChar w:fldCharType="end"/>
      </w:r>
      <w:r w:rsidR="00D206BD" w:rsidRPr="007F5A49">
        <w:rPr>
          <w:rFonts w:ascii="Book Antiqua" w:hAnsi="Book Antiqua" w:cs="Arial"/>
          <w:sz w:val="24"/>
          <w:szCs w:val="24"/>
          <w:vertAlign w:val="superscript"/>
          <w:lang w:val="en-US"/>
        </w:rPr>
        <w:t>]</w:t>
      </w:r>
      <w:r w:rsidR="00AB5E08" w:rsidRPr="007F5A49">
        <w:rPr>
          <w:rFonts w:ascii="Book Antiqua" w:hAnsi="Book Antiqua" w:cs="Arial"/>
          <w:sz w:val="24"/>
          <w:szCs w:val="24"/>
          <w:lang w:val="en-US"/>
        </w:rPr>
        <w:t xml:space="preserve">. </w:t>
      </w:r>
      <w:r w:rsidR="005965A0" w:rsidRPr="007F5A49">
        <w:rPr>
          <w:rFonts w:ascii="Book Antiqua" w:hAnsi="Book Antiqua" w:cs="Arial"/>
          <w:sz w:val="24"/>
          <w:szCs w:val="24"/>
          <w:lang w:val="en-US"/>
        </w:rPr>
        <w:t xml:space="preserve">These studies present hepcidin as a valuable marker of fibrosis progression. </w:t>
      </w:r>
      <w:r w:rsidR="002401ED" w:rsidRPr="007F5A49">
        <w:rPr>
          <w:rFonts w:ascii="Book Antiqua" w:hAnsi="Book Antiqua" w:cs="Arial"/>
          <w:sz w:val="24"/>
          <w:szCs w:val="24"/>
          <w:lang w:val="en-US"/>
        </w:rPr>
        <w:t xml:space="preserve">Serum </w:t>
      </w:r>
      <w:proofErr w:type="spellStart"/>
      <w:r w:rsidR="002401ED" w:rsidRPr="007F5A49">
        <w:rPr>
          <w:rFonts w:ascii="Book Antiqua" w:hAnsi="Book Antiqua" w:cs="Arial"/>
          <w:sz w:val="24"/>
          <w:szCs w:val="24"/>
          <w:lang w:val="en-US"/>
        </w:rPr>
        <w:t>hepcidin</w:t>
      </w:r>
      <w:r w:rsidR="00E46F88" w:rsidRPr="007F5A49">
        <w:rPr>
          <w:rFonts w:ascii="Book Antiqua" w:hAnsi="Book Antiqua" w:cs="Arial"/>
          <w:sz w:val="24"/>
          <w:szCs w:val="24"/>
          <w:lang w:val="en-US"/>
        </w:rPr>
        <w:t>:</w:t>
      </w:r>
      <w:r w:rsidR="002401ED" w:rsidRPr="007F5A49">
        <w:rPr>
          <w:rFonts w:ascii="Book Antiqua" w:hAnsi="Book Antiqua" w:cs="Arial"/>
          <w:sz w:val="24"/>
          <w:szCs w:val="24"/>
          <w:lang w:val="en-US"/>
        </w:rPr>
        <w:t>ferritin</w:t>
      </w:r>
      <w:proofErr w:type="spellEnd"/>
      <w:r w:rsidR="002401ED" w:rsidRPr="007F5A49">
        <w:rPr>
          <w:rFonts w:ascii="Book Antiqua" w:hAnsi="Book Antiqua" w:cs="Arial"/>
          <w:sz w:val="24"/>
          <w:szCs w:val="24"/>
          <w:lang w:val="en-US"/>
        </w:rPr>
        <w:t xml:space="preserve"> ratio is a potential marker for cirrhosis</w:t>
      </w:r>
      <w:r w:rsidR="00D71DA5" w:rsidRPr="007F5A49">
        <w:rPr>
          <w:rFonts w:ascii="Book Antiqua" w:hAnsi="Book Antiqua" w:cs="Arial"/>
          <w:sz w:val="24"/>
          <w:szCs w:val="24"/>
          <w:lang w:val="en-US"/>
        </w:rPr>
        <w:t xml:space="preserve"> too</w:t>
      </w:r>
      <w:r w:rsidR="00D71DA5"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2g3ose0bf0","properties":{"formattedCitation":"(112)","plainCitation":"(112)","noteIndex":0},"citationItems":[{"id":"z1PZoHrb/6xea0Y0h","uris":["http://zotero.org/users/4222068/items/TAZSXP5N"],"uri":["http://zotero.org/users/4222068/items/TAZSXP5N"],"itemData":{"id":1197,"type":"article-journal","title":"The serum hepcidin:ferritin ratio is a potential biomarker for cirrhosis","container-title":"Liver International: Official Journal of the International Association for the Study of the Liver","page":"1391-1399","volume":"32","issue":"9","source":"PubMed","abstract":"BACKGROUND: Serum hepcidin concentration is potentially affected by inflammation and iron stores in chronic liver disease (CLD), but little is known about the relationship between hepcidin and the degree of hepatic fibrosis. We investigated the potential role of serum hepcidin as a biomarker of advanced liver disease.\nMETHODS: Serum hepcidin was measured in 332 adults with CLD of varying aetiologies, 45 healthy and 50 non-liver disease patient controls. Liver biopsy data were available for 228 CLD subjects.\nRESULTS: Hepcidin was decreased in CLD patients compared with non-liver disease patient controls (P &lt; 0.0001) but not healthy controls, and was lowest in those with cirrhosis (P &lt; 0.0001). Serum hepcidin correlated with hepatic hepcidin mRNA expression in 91 biopsy samples available for genetic analysis (r = 0.68, P &lt; 0.0001). Hepcidin also correlated positively with serum ferritin concentration, transferrin saturation, ALT, serum albumin and haemoglobin, but negatively with serum bilirubin. The hepcidin:ferritin ratio was significantly lower in CLD subjects compared with healthy and disease controls, and decreased with each increase in the stage of fibrosis and siderosis. The hepcidin:ferritin ratio was associated with progressive fibrosis on linear regression, and a value of less than 0.1 was independently associated with cirrhosis on logistic regression analyses (OR 5.54, P &lt; 0.001). Receiver operating characteristic analysis showed the hepcidin:ferritin ratio was able to distinguish between F0 and F4 stages of fibrosis (area under receiver operating characteristic curve = 0.86).\nCONCLUSIONS: The hepcidin:ferritin ratio is reduced in relation to increasing fibrosis in CLD and the use of this ratio may have potential future diagnostic implications as a marker of cirrhosis.","DOI":"10.1111/j.1478-3231.2012.02828.x","ISSN":"1478-3231","note":"PMID: 22676252","shortTitle":"The serum hepcidin","journalAbbreviation":"Liver Int.","language":"eng","author":[{"family":"Tan","given":"Terrence C. H."},{"family":"Crawford","given":"Darrell H. G."},{"family":"Franklin","given":"Michael E."},{"family":"Jaskowski","given":"Lesley A."},{"family":"Macdonald","given":"Graeme A."},{"family":"Jonsson","given":"Julie R."},{"family":"Watson","given":"Melanie J."},{"family":"Taylor","given":"Paul J."},{"family":"Fletcher","given":"Linda M."}],"issued":{"date-parts":[["2012",10]]}}}],"schema":"https://github.com/citation-style-language/schema/raw/master/csl-citation.json"} </w:instrText>
      </w:r>
      <w:r w:rsidR="00D71DA5" w:rsidRPr="007F5A49">
        <w:rPr>
          <w:rFonts w:ascii="Book Antiqua" w:hAnsi="Book Antiqua" w:cs="Arial"/>
          <w:sz w:val="24"/>
          <w:szCs w:val="24"/>
          <w:vertAlign w:val="superscript"/>
          <w:lang w:val="en-US"/>
        </w:rPr>
        <w:fldChar w:fldCharType="separate"/>
      </w:r>
      <w:r w:rsidR="00502ADB"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112</w:t>
      </w:r>
      <w:r w:rsidR="00D71DA5" w:rsidRPr="007F5A49">
        <w:rPr>
          <w:rFonts w:ascii="Book Antiqua" w:hAnsi="Book Antiqua" w:cs="Arial"/>
          <w:sz w:val="24"/>
          <w:szCs w:val="24"/>
          <w:vertAlign w:val="superscript"/>
          <w:lang w:val="en-US"/>
        </w:rPr>
        <w:fldChar w:fldCharType="end"/>
      </w:r>
      <w:r w:rsidR="00502ADB" w:rsidRPr="007F5A49">
        <w:rPr>
          <w:rFonts w:ascii="Book Antiqua" w:hAnsi="Book Antiqua" w:cs="Arial"/>
          <w:sz w:val="24"/>
          <w:szCs w:val="24"/>
          <w:vertAlign w:val="superscript"/>
          <w:lang w:val="en-US"/>
        </w:rPr>
        <w:t>]</w:t>
      </w:r>
      <w:r w:rsidR="003C3F75" w:rsidRPr="007F5A49">
        <w:rPr>
          <w:rFonts w:ascii="Book Antiqua" w:hAnsi="Book Antiqua" w:cs="Arial"/>
          <w:sz w:val="24"/>
          <w:szCs w:val="24"/>
          <w:lang w:val="en-US"/>
        </w:rPr>
        <w:t xml:space="preserve">, </w:t>
      </w:r>
      <w:r w:rsidR="00E46F88" w:rsidRPr="007F5A49">
        <w:rPr>
          <w:rFonts w:ascii="Book Antiqua" w:hAnsi="Book Antiqua" w:cs="Arial"/>
          <w:sz w:val="24"/>
          <w:szCs w:val="24"/>
          <w:lang w:val="en-US"/>
        </w:rPr>
        <w:t>where, in addition to the primary insult, oxidative stress</w:t>
      </w:r>
      <w:r w:rsidR="00D71DA5" w:rsidRPr="007F5A49">
        <w:rPr>
          <w:rFonts w:ascii="Book Antiqua" w:hAnsi="Book Antiqua" w:cs="Arial"/>
          <w:sz w:val="24"/>
          <w:szCs w:val="24"/>
          <w:lang w:val="en-US"/>
        </w:rPr>
        <w:t xml:space="preserve"> </w:t>
      </w:r>
      <w:r w:rsidR="00E46F88" w:rsidRPr="007F5A49">
        <w:rPr>
          <w:rFonts w:ascii="Book Antiqua" w:hAnsi="Book Antiqua" w:cs="Arial"/>
          <w:sz w:val="24"/>
          <w:szCs w:val="24"/>
          <w:lang w:val="en-US"/>
        </w:rPr>
        <w:t xml:space="preserve">may further </w:t>
      </w:r>
      <w:proofErr w:type="spellStart"/>
      <w:r w:rsidR="00E46F88" w:rsidRPr="007F5A49">
        <w:rPr>
          <w:rFonts w:ascii="Book Antiqua" w:hAnsi="Book Antiqua" w:cs="Arial"/>
          <w:sz w:val="24"/>
          <w:szCs w:val="24"/>
          <w:lang w:val="en-US"/>
        </w:rPr>
        <w:t>supress</w:t>
      </w:r>
      <w:proofErr w:type="spellEnd"/>
      <w:r w:rsidR="00E46F88" w:rsidRPr="007F5A49">
        <w:rPr>
          <w:rFonts w:ascii="Book Antiqua" w:hAnsi="Book Antiqua" w:cs="Arial"/>
          <w:sz w:val="24"/>
          <w:szCs w:val="24"/>
          <w:lang w:val="en-US"/>
        </w:rPr>
        <w:t xml:space="preserve"> hepcidin synthesis</w:t>
      </w:r>
      <w:r w:rsidR="00D71DA5"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1bn7nn44ju","properties":{"formattedCitation":"(114)","plainCitation":"(114)","noteIndex":0},"citationItems":[{"id":"z1PZoHrb/MFTtRGyR","uris":["http://zotero.org/users/4222068/items/CFY3ICTL"],"uri":["http://zotero.org/users/4222068/items/CFY3ICTL"],"itemData":{"id":1656,"type":"article-journal","title":"HCV, iron, and oxidative stress: the new choreography of hepcidin","container-title":"Gastroenterology","page":"348-351","volume":"134","issue":"1","source":"PubMed","DOI":"10.1053/j.gastro.2007.11.048","ISSN":"1528-0012","note":"PMID: 18166363","shortTitle":"HCV, iron, and oxidative stress","journalAbbreviation":"Gastroenterology","language":"eng","author":[{"family":"Trinder","given":"Debbie"},{"family":"Ayonrinde","given":"Oyekoya T."},{"family":"Olynyk","given":"John K."}],"issued":{"date-parts":[["2008",1]]}}}],"schema":"https://github.com/citation-style-language/schema/raw/master/csl-citation.json"} </w:instrText>
      </w:r>
      <w:r w:rsidR="00D71DA5" w:rsidRPr="007F5A49">
        <w:rPr>
          <w:rFonts w:ascii="Book Antiqua" w:hAnsi="Book Antiqua" w:cs="Arial"/>
          <w:sz w:val="24"/>
          <w:szCs w:val="24"/>
          <w:vertAlign w:val="superscript"/>
          <w:lang w:val="en-US"/>
        </w:rPr>
        <w:fldChar w:fldCharType="separate"/>
      </w:r>
      <w:r w:rsidR="00502ADB"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114</w:t>
      </w:r>
      <w:r w:rsidR="00D71DA5" w:rsidRPr="007F5A49">
        <w:rPr>
          <w:rFonts w:ascii="Book Antiqua" w:hAnsi="Book Antiqua" w:cs="Arial"/>
          <w:sz w:val="24"/>
          <w:szCs w:val="24"/>
          <w:vertAlign w:val="superscript"/>
          <w:lang w:val="en-US"/>
        </w:rPr>
        <w:fldChar w:fldCharType="end"/>
      </w:r>
      <w:r w:rsidR="00502ADB" w:rsidRPr="007F5A49">
        <w:rPr>
          <w:rFonts w:ascii="Book Antiqua" w:hAnsi="Book Antiqua" w:cs="Arial"/>
          <w:sz w:val="24"/>
          <w:szCs w:val="24"/>
          <w:vertAlign w:val="superscript"/>
          <w:lang w:val="en-US"/>
        </w:rPr>
        <w:t>]</w:t>
      </w:r>
      <w:r w:rsidR="005965A0" w:rsidRPr="007F5A49">
        <w:rPr>
          <w:rFonts w:ascii="Book Antiqua" w:hAnsi="Book Antiqua" w:cs="Arial"/>
          <w:sz w:val="24"/>
          <w:szCs w:val="24"/>
          <w:lang w:val="en-US"/>
        </w:rPr>
        <w:t xml:space="preserve">. </w:t>
      </w:r>
    </w:p>
    <w:p w14:paraId="65AEF25C" w14:textId="25627CC0" w:rsidR="003769FC" w:rsidRPr="007F5A49" w:rsidRDefault="004728E3" w:rsidP="008E1EBB">
      <w:pPr>
        <w:pStyle w:val="Heading1"/>
        <w:adjustRightInd w:val="0"/>
        <w:snapToGrid w:val="0"/>
        <w:spacing w:before="0" w:beforeAutospacing="0" w:after="0" w:afterAutospacing="0" w:line="360" w:lineRule="auto"/>
        <w:jc w:val="both"/>
        <w:rPr>
          <w:rFonts w:ascii="Book Antiqua" w:hAnsi="Book Antiqua" w:cs="Arial"/>
          <w:b w:val="0"/>
          <w:sz w:val="24"/>
          <w:szCs w:val="24"/>
          <w:lang w:val="en-US"/>
        </w:rPr>
      </w:pPr>
      <w:r>
        <w:rPr>
          <w:rFonts w:ascii="Book Antiqua" w:hAnsi="Book Antiqua" w:cs="Arial"/>
          <w:b w:val="0"/>
          <w:sz w:val="24"/>
          <w:szCs w:val="24"/>
          <w:lang w:val="en-US"/>
        </w:rPr>
        <w:t xml:space="preserve">  </w:t>
      </w:r>
      <w:r w:rsidR="00F33AF8" w:rsidRPr="007F5A49">
        <w:rPr>
          <w:rFonts w:ascii="Book Antiqua" w:hAnsi="Book Antiqua" w:cs="Arial"/>
          <w:b w:val="0"/>
          <w:sz w:val="24"/>
          <w:szCs w:val="24"/>
          <w:lang w:val="en-US"/>
        </w:rPr>
        <w:t xml:space="preserve">Yet another iron-related protein of significance in fibrosis evaluation is transferrin. </w:t>
      </w:r>
      <w:r w:rsidR="00B51DC1" w:rsidRPr="007F5A49">
        <w:rPr>
          <w:rFonts w:ascii="Book Antiqua" w:hAnsi="Book Antiqua" w:cs="Arial"/>
          <w:b w:val="0"/>
          <w:sz w:val="24"/>
          <w:szCs w:val="24"/>
          <w:lang w:val="en-US"/>
        </w:rPr>
        <w:t>In hepatitis C infection,</w:t>
      </w:r>
      <w:r w:rsidR="005965A0" w:rsidRPr="007F5A49">
        <w:rPr>
          <w:rFonts w:ascii="Book Antiqua" w:hAnsi="Book Antiqua" w:cs="Arial"/>
          <w:b w:val="0"/>
          <w:sz w:val="24"/>
          <w:szCs w:val="24"/>
          <w:lang w:val="en-US"/>
        </w:rPr>
        <w:t xml:space="preserve"> while ferritin was the only independent predictive factor of severity, </w:t>
      </w:r>
      <w:r w:rsidR="00F33AF8" w:rsidRPr="007F5A49">
        <w:rPr>
          <w:rFonts w:ascii="Book Antiqua" w:hAnsi="Book Antiqua" w:cs="Arial"/>
          <w:b w:val="0"/>
          <w:sz w:val="24"/>
          <w:szCs w:val="24"/>
          <w:lang w:val="en-US"/>
        </w:rPr>
        <w:t>transferrin saturation was</w:t>
      </w:r>
      <w:r w:rsidR="00B51DC1" w:rsidRPr="007F5A49">
        <w:rPr>
          <w:rFonts w:ascii="Book Antiqua" w:hAnsi="Book Antiqua" w:cs="Arial"/>
          <w:b w:val="0"/>
          <w:sz w:val="24"/>
          <w:szCs w:val="24"/>
          <w:lang w:val="en-US"/>
        </w:rPr>
        <w:t xml:space="preserve"> found to be associated with advanced fibrosis</w:t>
      </w:r>
      <w:r w:rsidR="00B51DC1" w:rsidRPr="007F5A49">
        <w:rPr>
          <w:rFonts w:ascii="Book Antiqua" w:hAnsi="Book Antiqua" w:cs="Arial"/>
          <w:b w:val="0"/>
          <w:sz w:val="24"/>
          <w:szCs w:val="24"/>
          <w:vertAlign w:val="superscript"/>
          <w:lang w:val="en-US"/>
        </w:rPr>
        <w:fldChar w:fldCharType="begin"/>
      </w:r>
      <w:r w:rsidR="00D2645C" w:rsidRPr="007F5A49">
        <w:rPr>
          <w:rFonts w:ascii="Book Antiqua" w:hAnsi="Book Antiqua" w:cs="Arial"/>
          <w:b w:val="0"/>
          <w:sz w:val="24"/>
          <w:szCs w:val="24"/>
          <w:vertAlign w:val="superscript"/>
          <w:lang w:val="en-US"/>
        </w:rPr>
        <w:instrText xml:space="preserve"> ADDIN ZOTERO_ITEM CSL_CITATION {"citationID":"a2h1m7d1kb9","properties":{"formattedCitation":"(96)","plainCitation":"(96)","noteIndex":0},"citationItems":[{"id":"z1PZoHrb/6dYypZVs","uris":["http://zotero.org/users/4222068/items/7BT5J7TI"],"uri":["http://zotero.org/users/4222068/items/7BT5J7TI"],"itemData":{"id":1257,"type":"article-journal","title":"Clinical significance of hepatic iron deposition and serum iron values in patients with chronic hepatitis C infection","container-title":"The American Journal of Gastroenterology","page":"286-291","volume":"99","issue":"2","source":"PubMed","abstract":"OBJECTIVES: To assess the potential association between hepatic iron deposition or serum iron values and hepatic fibrosis and inflammatory activity in patients with chronic hepatitis C virus infection.\nMETHODS: In 100 consecutive patients with hepatitis C virus infection, tissue iron deposition was assessed by quantifying iron stain on liver biopsy specimens. Serum iron, ferritin, and transferrin saturation were determined by standard laboratory procedures. Statistical analyses incorporated potential confounders associated with hepatic fibrosis.\nRESULTS: Twenty-one patients had no fibrosis (stage 0), 13 had portal fibrosis (stage 1), 31 had periportal fibrosis (stage II), 10 had bridging fibrosis (stage III), and 25 had cirrhosis (stage IV). Positive iron stain found in liver biopsy specimens of 19 patients was associated with stage III or IV fibrosis (p = 0.004). No significant difference was found between the iron concentration or the hepatic iron index in patients with stage III or IV fibrosis compared with patients with stage I or II fibrosis. At least 1 of 3 serum iron values assessed was abnormal in 55 patients. In univariate analysis, elevated serum iron (p = 0.01), serum ferritin (p &lt; 0.001), and transferrin saturation (p = 0.002) were associated with stage III or IV fibrosis. In multivariate analysis, the only independent predictive factor of severe hepatic fibrosis was serum ferritin (p &lt; 0.02; odds ratio = 11.35). The serum ferritin value and tissue iron stain had a significant positive correlation (p &lt; 0.001).\nCONCLUSIONS: Increased hepatic iron deposition may be associated with more advanced hepatic fibrosis in patients with chronic hepatitis C virus infection. The serum ferritin value, an independent predictor of severe hepatic fibrosis in patients with chronic hepatitis C virus infection, may predict hepatic iron deposition and severity of fibrosis.","ISSN":"0002-9270","note":"PMID: 15046219","journalAbbreviation":"Am. J. Gastroenterol.","language":"eng","author":[{"family":"Metwally","given":"Mohamed A."},{"family":"Zein","given":"Claudia O."},{"family":"Zein","given":"Nizar N."}],"issued":{"date-parts":[["2004",2]]}}}],"schema":"https://github.com/citation-style-language/schema/raw/master/csl-citation.json"} </w:instrText>
      </w:r>
      <w:r w:rsidR="00B51DC1" w:rsidRPr="007F5A49">
        <w:rPr>
          <w:rFonts w:ascii="Book Antiqua" w:hAnsi="Book Antiqua" w:cs="Arial"/>
          <w:b w:val="0"/>
          <w:sz w:val="24"/>
          <w:szCs w:val="24"/>
          <w:vertAlign w:val="superscript"/>
          <w:lang w:val="en-US"/>
        </w:rPr>
        <w:fldChar w:fldCharType="separate"/>
      </w:r>
      <w:r w:rsidR="00502ADB" w:rsidRPr="007F5A49">
        <w:rPr>
          <w:rFonts w:ascii="Book Antiqua" w:hAnsi="Book Antiqua"/>
          <w:b w:val="0"/>
          <w:sz w:val="24"/>
          <w:szCs w:val="24"/>
          <w:vertAlign w:val="superscript"/>
          <w:lang w:val="en-US"/>
        </w:rPr>
        <w:t>[</w:t>
      </w:r>
      <w:r w:rsidR="00D2645C" w:rsidRPr="007F5A49">
        <w:rPr>
          <w:rFonts w:ascii="Book Antiqua" w:hAnsi="Book Antiqua"/>
          <w:b w:val="0"/>
          <w:sz w:val="24"/>
          <w:szCs w:val="24"/>
          <w:vertAlign w:val="superscript"/>
          <w:lang w:val="en-US"/>
        </w:rPr>
        <w:t>96</w:t>
      </w:r>
      <w:r w:rsidR="00B51DC1" w:rsidRPr="007F5A49">
        <w:rPr>
          <w:rFonts w:ascii="Book Antiqua" w:hAnsi="Book Antiqua" w:cs="Arial"/>
          <w:b w:val="0"/>
          <w:sz w:val="24"/>
          <w:szCs w:val="24"/>
          <w:vertAlign w:val="superscript"/>
          <w:lang w:val="en-US"/>
        </w:rPr>
        <w:fldChar w:fldCharType="end"/>
      </w:r>
      <w:r w:rsidR="00502ADB" w:rsidRPr="007F5A49">
        <w:rPr>
          <w:rFonts w:ascii="Book Antiqua" w:hAnsi="Book Antiqua" w:cs="Arial"/>
          <w:b w:val="0"/>
          <w:sz w:val="24"/>
          <w:szCs w:val="24"/>
          <w:vertAlign w:val="superscript"/>
          <w:lang w:val="en-US"/>
        </w:rPr>
        <w:t>]</w:t>
      </w:r>
      <w:r w:rsidR="005965A0" w:rsidRPr="007F5A49">
        <w:rPr>
          <w:rFonts w:ascii="Book Antiqua" w:hAnsi="Book Antiqua" w:cs="Arial"/>
          <w:b w:val="0"/>
          <w:sz w:val="24"/>
          <w:szCs w:val="24"/>
          <w:lang w:val="en-US"/>
        </w:rPr>
        <w:t>. Also, since the survival estimates were low in patients with t</w:t>
      </w:r>
      <w:r w:rsidR="005965A0" w:rsidRPr="007F5A49">
        <w:rPr>
          <w:rStyle w:val="highlight"/>
          <w:rFonts w:ascii="Book Antiqua" w:hAnsi="Book Antiqua" w:cs="Arial"/>
          <w:b w:val="0"/>
          <w:sz w:val="24"/>
          <w:szCs w:val="24"/>
          <w:lang w:val="en-US"/>
        </w:rPr>
        <w:t>ransferrin</w:t>
      </w:r>
      <w:r w:rsidR="005965A0" w:rsidRPr="007F5A49">
        <w:rPr>
          <w:rFonts w:ascii="Calibri" w:eastAsia="Calibri" w:hAnsi="Calibri" w:cs="Calibri"/>
          <w:b w:val="0"/>
          <w:sz w:val="24"/>
          <w:szCs w:val="24"/>
          <w:lang w:val="en-US"/>
        </w:rPr>
        <w:t> </w:t>
      </w:r>
      <w:r w:rsidR="005965A0" w:rsidRPr="007F5A49">
        <w:rPr>
          <w:rFonts w:ascii="Book Antiqua" w:hAnsi="Book Antiqua" w:cs="Arial"/>
          <w:b w:val="0"/>
          <w:sz w:val="24"/>
          <w:szCs w:val="24"/>
          <w:lang w:val="en-US"/>
        </w:rPr>
        <w:t>&lt;</w:t>
      </w:r>
      <w:r w:rsidR="005965A0" w:rsidRPr="007F5A49">
        <w:rPr>
          <w:rFonts w:ascii="Calibri" w:eastAsia="Calibri" w:hAnsi="Calibri" w:cs="Calibri"/>
          <w:b w:val="0"/>
          <w:sz w:val="24"/>
          <w:szCs w:val="24"/>
          <w:lang w:val="en-US"/>
        </w:rPr>
        <w:t> </w:t>
      </w:r>
      <w:r w:rsidR="005965A0" w:rsidRPr="007F5A49">
        <w:rPr>
          <w:rFonts w:ascii="Book Antiqua" w:hAnsi="Book Antiqua" w:cs="Arial"/>
          <w:b w:val="0"/>
          <w:sz w:val="24"/>
          <w:szCs w:val="24"/>
          <w:lang w:val="en-US"/>
        </w:rPr>
        <w:t>180 mg/dL</w:t>
      </w:r>
      <w:r w:rsidR="005965A0" w:rsidRPr="007F5A49">
        <w:rPr>
          <w:rFonts w:ascii="Book Antiqua" w:hAnsi="Book Antiqua" w:cs="Arial"/>
          <w:b w:val="0"/>
          <w:sz w:val="24"/>
          <w:szCs w:val="24"/>
          <w:vertAlign w:val="superscript"/>
          <w:lang w:val="en-US"/>
        </w:rPr>
        <w:fldChar w:fldCharType="begin"/>
      </w:r>
      <w:r w:rsidR="00D2645C" w:rsidRPr="007F5A49">
        <w:rPr>
          <w:rFonts w:ascii="Book Antiqua" w:hAnsi="Book Antiqua" w:cs="Arial"/>
          <w:b w:val="0"/>
          <w:sz w:val="24"/>
          <w:szCs w:val="24"/>
          <w:vertAlign w:val="superscript"/>
          <w:lang w:val="en-US"/>
        </w:rPr>
        <w:instrText xml:space="preserve"> ADDIN ZOTERO_ITEM CSL_CITATION {"citationID":"a1bl3ljv3t1","properties":{"formattedCitation":"(115)","plainCitation":"(115)","noteIndex":0},"citationItems":[{"id":"z1PZoHrb/cj44zDiO","uris":["http://zotero.org/users/4222068/items/JV2WK6EJ"],"uri":["http://zotero.org/users/4222068/items/JV2WK6EJ"],"itemData":{"id":1565,"type":"article-journal","title":"Transferrin as a Predictor of Survival in Cirrhosis","container-title":"Liver Transplantation: Official Publication of the American Association for the Study of Liver Diseases and the International Liver Transplantation Society","source":"PubMed","abstract":"BACKGROUND AND AIMS: Patients with cirrhosis frequently present with high serum ferritin and low transferrin concentrations, reflecting impaired liver function and inflammation. Recent studies have shown that transferrin and its saturation with iron are MELD-independent predictors of mortality in patients with acute on chronic liver failure or decompensated cirrhosis. The aim of this study was to evaluate the prognostic utility of serum iron parameters in relation to markers of liver function and immune activation.\nMETHODS: Clinical, demographic and biochemical data were retrospectively analyzed from a cohort of 1255 consecutive patients with cirrhosis (age</w:instrText>
      </w:r>
      <w:r w:rsidR="00D2645C" w:rsidRPr="007F5A49">
        <w:rPr>
          <w:rFonts w:ascii="Calibri" w:eastAsia="Calibri" w:hAnsi="Calibri" w:cs="Calibri"/>
          <w:b w:val="0"/>
          <w:sz w:val="24"/>
          <w:szCs w:val="24"/>
          <w:vertAlign w:val="superscript"/>
          <w:lang w:val="en-US"/>
        </w:rPr>
        <w:instrText> </w:instrText>
      </w:r>
      <w:r w:rsidR="00D2645C" w:rsidRPr="007F5A49">
        <w:rPr>
          <w:rFonts w:ascii="Book Antiqua" w:hAnsi="Book Antiqua" w:cs="Book Antiqua"/>
          <w:b w:val="0"/>
          <w:sz w:val="24"/>
          <w:szCs w:val="24"/>
          <w:vertAlign w:val="superscript"/>
          <w:lang w:val="en-US"/>
        </w:rPr>
        <w:instrText>≥</w:instrText>
      </w:r>
      <w:r w:rsidR="00D2645C" w:rsidRPr="007F5A49">
        <w:rPr>
          <w:rFonts w:ascii="Calibri" w:eastAsia="Calibri" w:hAnsi="Calibri" w:cs="Calibri"/>
          <w:b w:val="0"/>
          <w:sz w:val="24"/>
          <w:szCs w:val="24"/>
          <w:vertAlign w:val="superscript"/>
          <w:lang w:val="en-US"/>
        </w:rPr>
        <w:instrText> </w:instrText>
      </w:r>
      <w:r w:rsidR="00D2645C" w:rsidRPr="007F5A49">
        <w:rPr>
          <w:rFonts w:ascii="Book Antiqua" w:hAnsi="Book Antiqua" w:cs="Arial"/>
          <w:b w:val="0"/>
          <w:sz w:val="24"/>
          <w:szCs w:val="24"/>
          <w:vertAlign w:val="superscript"/>
          <w:lang w:val="en-US"/>
        </w:rPr>
        <w:instrText>18 years) who presented from August 1st 2004 till December 31st 2014 at the University Hospital of Innsbruck. Patients with malignancies at diagnosis including hepatocellular carcinoma were excluded. Survival analysis was carried out by Cox regression using baseline laboratory parameters and findings were validated in an independent patient cohort.\nRESULTS: During a median follow-up of 2.41 years, 193 deaths occurred and 254 patients underwent liver transplantation. In patients with transferrin</w:instrText>
      </w:r>
      <w:r w:rsidR="00D2645C" w:rsidRPr="007F5A49">
        <w:rPr>
          <w:rFonts w:ascii="Calibri" w:eastAsia="Calibri" w:hAnsi="Calibri" w:cs="Calibri"/>
          <w:b w:val="0"/>
          <w:sz w:val="24"/>
          <w:szCs w:val="24"/>
          <w:vertAlign w:val="superscript"/>
          <w:lang w:val="en-US"/>
        </w:rPr>
        <w:instrText> </w:instrText>
      </w:r>
      <w:r w:rsidR="00D2645C" w:rsidRPr="007F5A49">
        <w:rPr>
          <w:rFonts w:ascii="Book Antiqua" w:hAnsi="Book Antiqua" w:cs="Arial"/>
          <w:b w:val="0"/>
          <w:sz w:val="24"/>
          <w:szCs w:val="24"/>
          <w:vertAlign w:val="superscript"/>
          <w:lang w:val="en-US"/>
        </w:rPr>
        <w:instrText>&lt;</w:instrText>
      </w:r>
      <w:r w:rsidR="00D2645C" w:rsidRPr="007F5A49">
        <w:rPr>
          <w:rFonts w:ascii="Calibri" w:eastAsia="Calibri" w:hAnsi="Calibri" w:cs="Calibri"/>
          <w:b w:val="0"/>
          <w:sz w:val="24"/>
          <w:szCs w:val="24"/>
          <w:vertAlign w:val="superscript"/>
          <w:lang w:val="en-US"/>
        </w:rPr>
        <w:instrText> </w:instrText>
      </w:r>
      <w:r w:rsidR="00D2645C" w:rsidRPr="007F5A49">
        <w:rPr>
          <w:rFonts w:ascii="Book Antiqua" w:hAnsi="Book Antiqua" w:cs="Arial"/>
          <w:b w:val="0"/>
          <w:sz w:val="24"/>
          <w:szCs w:val="24"/>
          <w:vertAlign w:val="superscript"/>
          <w:lang w:val="en-US"/>
        </w:rPr>
        <w:instrText>180 mg/dL, 3-month, 1-year and 5-year transplant-free survival estimates were significantly lower (91.7%, 79.0% and 30.5%) when compared with the group of patients with transferrin</w:instrText>
      </w:r>
      <w:r w:rsidR="00D2645C" w:rsidRPr="007F5A49">
        <w:rPr>
          <w:rFonts w:ascii="Calibri" w:eastAsia="Calibri" w:hAnsi="Calibri" w:cs="Calibri"/>
          <w:b w:val="0"/>
          <w:sz w:val="24"/>
          <w:szCs w:val="24"/>
          <w:vertAlign w:val="superscript"/>
          <w:lang w:val="en-US"/>
        </w:rPr>
        <w:instrText> </w:instrText>
      </w:r>
      <w:r w:rsidR="00D2645C" w:rsidRPr="007F5A49">
        <w:rPr>
          <w:rFonts w:ascii="Book Antiqua" w:hAnsi="Book Antiqua" w:cs="Book Antiqua"/>
          <w:b w:val="0"/>
          <w:sz w:val="24"/>
          <w:szCs w:val="24"/>
          <w:vertAlign w:val="superscript"/>
          <w:lang w:val="en-US"/>
        </w:rPr>
        <w:instrText>≥</w:instrText>
      </w:r>
      <w:r w:rsidR="00D2645C" w:rsidRPr="007F5A49">
        <w:rPr>
          <w:rFonts w:ascii="Calibri" w:eastAsia="Calibri" w:hAnsi="Calibri" w:cs="Calibri"/>
          <w:b w:val="0"/>
          <w:sz w:val="24"/>
          <w:szCs w:val="24"/>
          <w:vertAlign w:val="superscript"/>
          <w:lang w:val="en-US"/>
        </w:rPr>
        <w:instrText> </w:instrText>
      </w:r>
      <w:r w:rsidR="00D2645C" w:rsidRPr="007F5A49">
        <w:rPr>
          <w:rFonts w:ascii="Book Antiqua" w:hAnsi="Book Antiqua" w:cs="Arial"/>
          <w:b w:val="0"/>
          <w:sz w:val="24"/>
          <w:szCs w:val="24"/>
          <w:vertAlign w:val="superscript"/>
          <w:lang w:val="en-US"/>
        </w:rPr>
        <w:instrText>180 mg/dL (98.9%, 95.5% and 68.0%, P</w:instrText>
      </w:r>
      <w:r w:rsidR="00D2645C" w:rsidRPr="007F5A49">
        <w:rPr>
          <w:rFonts w:ascii="Calibri" w:eastAsia="Calibri" w:hAnsi="Calibri" w:cs="Calibri"/>
          <w:b w:val="0"/>
          <w:sz w:val="24"/>
          <w:szCs w:val="24"/>
          <w:vertAlign w:val="superscript"/>
          <w:lang w:val="en-US"/>
        </w:rPr>
        <w:instrText> </w:instrText>
      </w:r>
      <w:r w:rsidR="00D2645C" w:rsidRPr="007F5A49">
        <w:rPr>
          <w:rFonts w:ascii="Book Antiqua" w:hAnsi="Book Antiqua" w:cs="Arial"/>
          <w:b w:val="0"/>
          <w:sz w:val="24"/>
          <w:szCs w:val="24"/>
          <w:vertAlign w:val="superscript"/>
          <w:lang w:val="en-US"/>
        </w:rPr>
        <w:instrText>&lt;</w:instrText>
      </w:r>
      <w:r w:rsidR="00D2645C" w:rsidRPr="007F5A49">
        <w:rPr>
          <w:rFonts w:ascii="Calibri" w:eastAsia="Calibri" w:hAnsi="Calibri" w:cs="Calibri"/>
          <w:b w:val="0"/>
          <w:sz w:val="24"/>
          <w:szCs w:val="24"/>
          <w:vertAlign w:val="superscript"/>
          <w:lang w:val="en-US"/>
        </w:rPr>
        <w:instrText> </w:instrText>
      </w:r>
      <w:r w:rsidR="00D2645C" w:rsidRPr="007F5A49">
        <w:rPr>
          <w:rFonts w:ascii="Book Antiqua" w:hAnsi="Book Antiqua" w:cs="Arial"/>
          <w:b w:val="0"/>
          <w:sz w:val="24"/>
          <w:szCs w:val="24"/>
          <w:vertAlign w:val="superscript"/>
          <w:lang w:val="en-US"/>
        </w:rPr>
        <w:instrText xml:space="preserve">.001). Transferrin predicted transplant-free survival independently of MELD-Na and C-reactive protein (CRP) in multivariable regression analysis including all patients. When patients with alcoholic or non-alcoholic fatty liver disease were excluded, transferrin was in addition an albumin-independent predictor of transplant-free survival.\nCONCLUSION: In conclusion, the association of transferrin with transplant-free survival is independent of MELD-Na score and CRP. In patients without fatty liver disease transferrin also predicts survival independently of albumin. This article is protected by copyright. All rights reserved.","DOI":"10.1002/lt.24981","ISSN":"1527-6473","note":"PMID: 29149510","journalAbbreviation":"Liver Transpl.","language":"eng","author":[{"family":"Viveiros","given":"André"},{"family":"Finkenstedt","given":"Armin"},{"family":"Schaefer","given":"Benedikt"},{"family":"Mandorfer","given":"Mattias"},{"family":"Scheiner","given":"Bernhard"},{"family":"Lehner","given":"Konrad"},{"family":"Tobiasch","given":"Moritz"},{"family":"Reiberger","given":"Thomas"},{"family":"Tilg","given":"Herbert"},{"family":"Edlinger","given":"Michael"},{"family":"Zoller","given":"Heinz"}],"issued":{"date-parts":[["2017",11,17]]}}}],"schema":"https://github.com/citation-style-language/schema/raw/master/csl-citation.json"} </w:instrText>
      </w:r>
      <w:r w:rsidR="005965A0" w:rsidRPr="007F5A49">
        <w:rPr>
          <w:rFonts w:ascii="Book Antiqua" w:hAnsi="Book Antiqua" w:cs="Arial"/>
          <w:b w:val="0"/>
          <w:sz w:val="24"/>
          <w:szCs w:val="24"/>
          <w:vertAlign w:val="superscript"/>
          <w:lang w:val="en-US"/>
        </w:rPr>
        <w:fldChar w:fldCharType="separate"/>
      </w:r>
      <w:r w:rsidR="00502ADB" w:rsidRPr="007F5A49">
        <w:rPr>
          <w:rFonts w:ascii="Book Antiqua" w:hAnsi="Book Antiqua"/>
          <w:b w:val="0"/>
          <w:sz w:val="24"/>
          <w:szCs w:val="24"/>
          <w:vertAlign w:val="superscript"/>
          <w:lang w:val="en-US"/>
        </w:rPr>
        <w:t>[</w:t>
      </w:r>
      <w:r w:rsidR="00D2645C" w:rsidRPr="007F5A49">
        <w:rPr>
          <w:rFonts w:ascii="Book Antiqua" w:hAnsi="Book Antiqua"/>
          <w:b w:val="0"/>
          <w:sz w:val="24"/>
          <w:szCs w:val="24"/>
          <w:vertAlign w:val="superscript"/>
          <w:lang w:val="en-US"/>
        </w:rPr>
        <w:t>115</w:t>
      </w:r>
      <w:r w:rsidR="005965A0" w:rsidRPr="007F5A49">
        <w:rPr>
          <w:rFonts w:ascii="Book Antiqua" w:hAnsi="Book Antiqua" w:cs="Arial"/>
          <w:b w:val="0"/>
          <w:sz w:val="24"/>
          <w:szCs w:val="24"/>
          <w:vertAlign w:val="superscript"/>
          <w:lang w:val="en-US"/>
        </w:rPr>
        <w:fldChar w:fldCharType="end"/>
      </w:r>
      <w:r w:rsidR="00502ADB" w:rsidRPr="007F5A49">
        <w:rPr>
          <w:rFonts w:ascii="Book Antiqua" w:hAnsi="Book Antiqua" w:cs="Arial"/>
          <w:b w:val="0"/>
          <w:sz w:val="24"/>
          <w:szCs w:val="24"/>
          <w:vertAlign w:val="superscript"/>
          <w:lang w:val="en-US"/>
        </w:rPr>
        <w:t>]</w:t>
      </w:r>
      <w:r w:rsidR="005965A0" w:rsidRPr="007F5A49">
        <w:rPr>
          <w:rFonts w:ascii="Book Antiqua" w:hAnsi="Book Antiqua" w:cs="Arial"/>
          <w:b w:val="0"/>
          <w:sz w:val="24"/>
          <w:szCs w:val="24"/>
          <w:lang w:val="en-US"/>
        </w:rPr>
        <w:t xml:space="preserve">, transferrin could act as a </w:t>
      </w:r>
      <w:r w:rsidR="0029260F" w:rsidRPr="007F5A49">
        <w:rPr>
          <w:rFonts w:ascii="Book Antiqua" w:hAnsi="Book Antiqua" w:cs="Arial"/>
          <w:b w:val="0"/>
          <w:sz w:val="24"/>
          <w:szCs w:val="24"/>
          <w:lang w:val="en-US"/>
        </w:rPr>
        <w:t>predictor of survival in cirrhosis patients</w:t>
      </w:r>
      <w:r w:rsidR="005965A0" w:rsidRPr="007F5A49">
        <w:rPr>
          <w:rFonts w:ascii="Book Antiqua" w:hAnsi="Book Antiqua" w:cs="Arial"/>
          <w:b w:val="0"/>
          <w:sz w:val="24"/>
          <w:szCs w:val="24"/>
          <w:lang w:val="en-US"/>
        </w:rPr>
        <w:t xml:space="preserve">. </w:t>
      </w:r>
      <w:r w:rsidR="00E56B4D" w:rsidRPr="007F5A49">
        <w:rPr>
          <w:rFonts w:ascii="Book Antiqua" w:hAnsi="Book Antiqua" w:cs="Arial"/>
          <w:b w:val="0"/>
          <w:sz w:val="24"/>
          <w:szCs w:val="24"/>
          <w:lang w:val="en-US"/>
        </w:rPr>
        <w:t xml:space="preserve">This is in line with observations in </w:t>
      </w:r>
      <w:r w:rsidR="00EB7FA1" w:rsidRPr="007F5A49">
        <w:rPr>
          <w:rFonts w:ascii="Book Antiqua" w:hAnsi="Book Antiqua" w:cs="Arial"/>
          <w:b w:val="0"/>
          <w:sz w:val="24"/>
          <w:szCs w:val="24"/>
          <w:lang w:val="en-US"/>
        </w:rPr>
        <w:t>chronic hepatitis B infection</w:t>
      </w:r>
      <w:r w:rsidR="00E56B4D" w:rsidRPr="007F5A49">
        <w:rPr>
          <w:rFonts w:ascii="Book Antiqua" w:hAnsi="Book Antiqua" w:cs="Arial"/>
          <w:b w:val="0"/>
          <w:sz w:val="24"/>
          <w:szCs w:val="24"/>
          <w:lang w:val="en-US"/>
        </w:rPr>
        <w:t xml:space="preserve"> where </w:t>
      </w:r>
      <w:r w:rsidR="008B0A45" w:rsidRPr="007F5A49">
        <w:rPr>
          <w:rFonts w:ascii="Book Antiqua" w:hAnsi="Book Antiqua" w:cs="Arial"/>
          <w:b w:val="0"/>
          <w:sz w:val="24"/>
          <w:szCs w:val="24"/>
          <w:lang w:val="en-US"/>
        </w:rPr>
        <w:t>s</w:t>
      </w:r>
      <w:r w:rsidR="003769FC" w:rsidRPr="007F5A49">
        <w:rPr>
          <w:rFonts w:ascii="Book Antiqua" w:hAnsi="Book Antiqua" w:cs="Arial"/>
          <w:b w:val="0"/>
          <w:sz w:val="24"/>
          <w:szCs w:val="24"/>
          <w:lang w:val="en-US"/>
        </w:rPr>
        <w:t>erum transferrin</w:t>
      </w:r>
      <w:r w:rsidR="00D122E4" w:rsidRPr="007F5A49">
        <w:rPr>
          <w:rFonts w:ascii="Book Antiqua" w:hAnsi="Book Antiqua" w:cs="Arial"/>
          <w:b w:val="0"/>
          <w:sz w:val="24"/>
          <w:szCs w:val="24"/>
          <w:lang w:val="en-US"/>
        </w:rPr>
        <w:t xml:space="preserve"> </w:t>
      </w:r>
      <w:r w:rsidR="003769FC" w:rsidRPr="007F5A49">
        <w:rPr>
          <w:rFonts w:ascii="Book Antiqua" w:hAnsi="Book Antiqua" w:cs="Arial"/>
          <w:b w:val="0"/>
          <w:sz w:val="24"/>
          <w:szCs w:val="24"/>
          <w:lang w:val="en-US"/>
        </w:rPr>
        <w:t xml:space="preserve">reduced as fibrosis progressed from mild to advanced stage and </w:t>
      </w:r>
      <w:r w:rsidR="00D122E4" w:rsidRPr="007F5A49">
        <w:rPr>
          <w:rFonts w:ascii="Book Antiqua" w:hAnsi="Book Antiqua" w:cs="Arial"/>
          <w:b w:val="0"/>
          <w:sz w:val="24"/>
          <w:szCs w:val="24"/>
          <w:lang w:val="en-US"/>
        </w:rPr>
        <w:t>was</w:t>
      </w:r>
      <w:r w:rsidR="003769FC" w:rsidRPr="007F5A49">
        <w:rPr>
          <w:rFonts w:ascii="Book Antiqua" w:hAnsi="Book Antiqua" w:cs="Arial"/>
          <w:b w:val="0"/>
          <w:sz w:val="24"/>
          <w:szCs w:val="24"/>
          <w:lang w:val="en-US"/>
        </w:rPr>
        <w:t xml:space="preserve"> lower in cirrhotic patients than non-cirrhotic patients</w:t>
      </w:r>
      <w:r w:rsidR="003769FC" w:rsidRPr="007F5A49">
        <w:rPr>
          <w:rFonts w:ascii="Book Antiqua" w:hAnsi="Book Antiqua" w:cs="Arial"/>
          <w:b w:val="0"/>
          <w:sz w:val="24"/>
          <w:szCs w:val="24"/>
          <w:vertAlign w:val="superscript"/>
          <w:lang w:val="en-US"/>
        </w:rPr>
        <w:fldChar w:fldCharType="begin"/>
      </w:r>
      <w:r w:rsidR="00D2645C" w:rsidRPr="007F5A49">
        <w:rPr>
          <w:rFonts w:ascii="Book Antiqua" w:hAnsi="Book Antiqua" w:cs="Arial"/>
          <w:b w:val="0"/>
          <w:sz w:val="24"/>
          <w:szCs w:val="24"/>
          <w:vertAlign w:val="superscript"/>
          <w:lang w:val="en-US"/>
        </w:rPr>
        <w:instrText xml:space="preserve"> ADDIN ZOTERO_ITEM CSL_CITATION {"citationID":"2sW9oQHI","properties":{"formattedCitation":"(116)","plainCitation":"(116)","noteIndex":0},"citationItems":[{"id":"z1PZoHrb/6jNNOkd0","uris":["http://zotero.org/users/4222068/items/QGJ2ACIV"],"uri":["http://zotero.org/users/4222068/items/QGJ2ACIV"],"itemData":{"id":1199,"type":"article-journal","title":"Abnormal serum iron markers in chronic hepatitis B virus infection may be because of liver injury","container-title":"European Journal of Gastroenterology &amp; Hepatology","page":"130-136","volume":"27","issue":"2","source":"PubMed","abstract":"OBJECTIVE: In patients with chronic hepatitis B virus (HBV) infection, it is not known whether altered serum iron markers are directly because of the infection or the associated liver injury. We determined the serum iron status of patients with chronic HBV infection, and investigated whether it is HBV infection or HBV-related liver injury that likely causes abnormal serum iron markers in chronic HBV infection.\nMATERIALS AND METHODS: For a retrospective study, chronic HBV-infected patients (80 patients with cirrhosis and 76 patients without cirrhosis) and 58 healthy controls were enrolled. Serum alanine transaminase levels were measured to ascertain liver damage. Indicators of iron status included serum iron, ferritin, and transferrin.\nRESULTS: Compared with noncirrhotic patients and healthy controls, the serum transferrin of cirrhotic patients was lower and the serum iron and ferritin values were higher (P &lt; 0.001, all). In cirrhotic patients, the serum iron and ferritin levels correlated positively with serum alanine transaminase levels and the transferrin levels were inversely related to both end-stage liver disease scores and iron levels (all P &lt; 0.01).\nCONCLUSION: Serum iron markers tended to be aberrant in chronic HBV-infected patients with cirrhosis. The liver injury associated with HBV infection, but not chronic HBV infection directly, is likely the main cause for iron metabolism disorder.","DOI":"10.1097/MEG.0000000000000247","ISSN":"1473-5687","note":"PMID: 25419642\nPMCID: PMC4280275","journalAbbreviation":"Eur J Gastroenterol Hepatol","language":"eng","author":[{"family":"Mao","given":"WeiLin"},{"family":"Hu","given":"Ying"},{"family":"Lou","given":"YuFeng"},{"family":"Chen","given":"YueMei"},{"family":"Zhang","given":"JuanWen"}],"issued":{"date-parts":[["2015",2]]}}}],"schema":"https://github.com/citation-style-language/schema/raw/master/csl-citation.json"} </w:instrText>
      </w:r>
      <w:r w:rsidR="003769FC" w:rsidRPr="007F5A49">
        <w:rPr>
          <w:rFonts w:ascii="Book Antiqua" w:hAnsi="Book Antiqua" w:cs="Arial"/>
          <w:b w:val="0"/>
          <w:sz w:val="24"/>
          <w:szCs w:val="24"/>
          <w:vertAlign w:val="superscript"/>
          <w:lang w:val="en-US"/>
        </w:rPr>
        <w:fldChar w:fldCharType="separate"/>
      </w:r>
      <w:r w:rsidR="000633AF" w:rsidRPr="007F5A49">
        <w:rPr>
          <w:rFonts w:ascii="Book Antiqua" w:hAnsi="Book Antiqua"/>
          <w:b w:val="0"/>
          <w:sz w:val="24"/>
          <w:szCs w:val="24"/>
          <w:vertAlign w:val="superscript"/>
          <w:lang w:val="en-US"/>
        </w:rPr>
        <w:t>[</w:t>
      </w:r>
      <w:r w:rsidR="00D2645C" w:rsidRPr="007F5A49">
        <w:rPr>
          <w:rFonts w:ascii="Book Antiqua" w:hAnsi="Book Antiqua"/>
          <w:b w:val="0"/>
          <w:sz w:val="24"/>
          <w:szCs w:val="24"/>
          <w:vertAlign w:val="superscript"/>
          <w:lang w:val="en-US"/>
        </w:rPr>
        <w:t>116</w:t>
      </w:r>
      <w:r w:rsidR="003769FC" w:rsidRPr="007F5A49">
        <w:rPr>
          <w:rFonts w:ascii="Book Antiqua" w:hAnsi="Book Antiqua" w:cs="Arial"/>
          <w:b w:val="0"/>
          <w:sz w:val="24"/>
          <w:szCs w:val="24"/>
          <w:vertAlign w:val="superscript"/>
          <w:lang w:val="en-US"/>
        </w:rPr>
        <w:fldChar w:fldCharType="end"/>
      </w:r>
      <w:r w:rsidR="000633AF" w:rsidRPr="007F5A49">
        <w:rPr>
          <w:rFonts w:ascii="Book Antiqua" w:hAnsi="Book Antiqua" w:cs="Arial"/>
          <w:b w:val="0"/>
          <w:sz w:val="24"/>
          <w:szCs w:val="24"/>
          <w:vertAlign w:val="superscript"/>
          <w:lang w:val="en-US"/>
        </w:rPr>
        <w:t>]</w:t>
      </w:r>
      <w:r w:rsidR="005965A0" w:rsidRPr="007F5A49">
        <w:rPr>
          <w:rFonts w:ascii="Book Antiqua" w:hAnsi="Book Antiqua" w:cs="Arial"/>
          <w:b w:val="0"/>
          <w:sz w:val="24"/>
          <w:szCs w:val="24"/>
          <w:lang w:val="en-US"/>
        </w:rPr>
        <w:t xml:space="preserve">. </w:t>
      </w:r>
      <w:r w:rsidR="003769FC" w:rsidRPr="007F5A49">
        <w:rPr>
          <w:rFonts w:ascii="Book Antiqua" w:hAnsi="Book Antiqua" w:cs="Arial"/>
          <w:b w:val="0"/>
          <w:sz w:val="24"/>
          <w:szCs w:val="24"/>
          <w:lang w:val="en-US"/>
        </w:rPr>
        <w:t xml:space="preserve">With regards to </w:t>
      </w:r>
      <w:r w:rsidR="00EB1D67" w:rsidRPr="007F5A49">
        <w:rPr>
          <w:rFonts w:ascii="Book Antiqua" w:hAnsi="Book Antiqua" w:cs="Arial"/>
          <w:b w:val="0"/>
          <w:sz w:val="24"/>
          <w:szCs w:val="24"/>
          <w:lang w:val="en-US"/>
        </w:rPr>
        <w:t>TFR</w:t>
      </w:r>
      <w:r w:rsidR="003769FC" w:rsidRPr="007F5A49">
        <w:rPr>
          <w:rFonts w:ascii="Book Antiqua" w:hAnsi="Book Antiqua" w:cs="Arial"/>
          <w:b w:val="0"/>
          <w:sz w:val="24"/>
          <w:szCs w:val="24"/>
          <w:lang w:val="en-US"/>
        </w:rPr>
        <w:t>1, no relation</w:t>
      </w:r>
      <w:r w:rsidR="000405D4" w:rsidRPr="007F5A49">
        <w:rPr>
          <w:rFonts w:ascii="Book Antiqua" w:hAnsi="Book Antiqua" w:cs="Arial"/>
          <w:b w:val="0"/>
          <w:sz w:val="24"/>
          <w:szCs w:val="24"/>
          <w:lang w:val="en-US"/>
        </w:rPr>
        <w:t>ship</w:t>
      </w:r>
      <w:r w:rsidR="003769FC" w:rsidRPr="007F5A49">
        <w:rPr>
          <w:rFonts w:ascii="Book Antiqua" w:hAnsi="Book Antiqua" w:cs="Arial"/>
          <w:b w:val="0"/>
          <w:sz w:val="24"/>
          <w:szCs w:val="24"/>
          <w:lang w:val="en-US"/>
        </w:rPr>
        <w:t xml:space="preserve"> was observed between its expression and the degree of fibrosis in hepatitis C patients. </w:t>
      </w:r>
      <w:r w:rsidR="000405D4" w:rsidRPr="007F5A49">
        <w:rPr>
          <w:rFonts w:ascii="Book Antiqua" w:hAnsi="Book Antiqua" w:cs="Arial"/>
          <w:b w:val="0"/>
          <w:sz w:val="24"/>
          <w:szCs w:val="24"/>
          <w:lang w:val="en-US"/>
        </w:rPr>
        <w:t>L</w:t>
      </w:r>
      <w:r w:rsidR="003769FC" w:rsidRPr="007F5A49">
        <w:rPr>
          <w:rFonts w:ascii="Book Antiqua" w:hAnsi="Book Antiqua" w:cs="Arial"/>
          <w:b w:val="0"/>
          <w:sz w:val="24"/>
          <w:szCs w:val="24"/>
          <w:lang w:val="en-US"/>
        </w:rPr>
        <w:t xml:space="preserve">evels were upregulated regardless of the degree of liver iron deposition, which suggest that elevated </w:t>
      </w:r>
      <w:r w:rsidR="00EB1D67" w:rsidRPr="007F5A49">
        <w:rPr>
          <w:rFonts w:ascii="Book Antiqua" w:hAnsi="Book Antiqua" w:cs="Arial"/>
          <w:b w:val="0"/>
          <w:sz w:val="24"/>
          <w:szCs w:val="24"/>
          <w:lang w:val="en-US"/>
        </w:rPr>
        <w:t>TFR</w:t>
      </w:r>
      <w:r w:rsidR="003769FC" w:rsidRPr="007F5A49">
        <w:rPr>
          <w:rFonts w:ascii="Book Antiqua" w:hAnsi="Book Antiqua" w:cs="Arial"/>
          <w:b w:val="0"/>
          <w:sz w:val="24"/>
          <w:szCs w:val="24"/>
          <w:lang w:val="en-US"/>
        </w:rPr>
        <w:t xml:space="preserve">1 </w:t>
      </w:r>
      <w:r w:rsidR="000405D4" w:rsidRPr="007F5A49">
        <w:rPr>
          <w:rFonts w:ascii="Book Antiqua" w:hAnsi="Book Antiqua" w:cs="Arial"/>
          <w:b w:val="0"/>
          <w:sz w:val="24"/>
          <w:szCs w:val="24"/>
          <w:lang w:val="en-US"/>
        </w:rPr>
        <w:t xml:space="preserve">may contribute to </w:t>
      </w:r>
      <w:r w:rsidR="003769FC" w:rsidRPr="007F5A49">
        <w:rPr>
          <w:rFonts w:ascii="Book Antiqua" w:hAnsi="Book Antiqua" w:cs="Arial"/>
          <w:b w:val="0"/>
          <w:sz w:val="24"/>
          <w:szCs w:val="24"/>
          <w:lang w:val="en-US"/>
        </w:rPr>
        <w:t>hepatic iron accumulation</w:t>
      </w:r>
      <w:r w:rsidR="000405D4" w:rsidRPr="007F5A49">
        <w:rPr>
          <w:rFonts w:ascii="Book Antiqua" w:hAnsi="Book Antiqua" w:cs="Arial"/>
          <w:b w:val="0"/>
          <w:sz w:val="24"/>
          <w:szCs w:val="24"/>
          <w:lang w:val="en-US"/>
        </w:rPr>
        <w:t xml:space="preserve"> in chronic hepatitis C infection</w:t>
      </w:r>
      <w:r w:rsidR="003769FC" w:rsidRPr="007F5A49">
        <w:rPr>
          <w:rFonts w:ascii="Book Antiqua" w:hAnsi="Book Antiqua" w:cs="Arial"/>
          <w:b w:val="0"/>
          <w:sz w:val="24"/>
          <w:szCs w:val="24"/>
          <w:vertAlign w:val="superscript"/>
          <w:lang w:val="en-US"/>
        </w:rPr>
        <w:fldChar w:fldCharType="begin"/>
      </w:r>
      <w:r w:rsidR="00D2645C" w:rsidRPr="007F5A49">
        <w:rPr>
          <w:rFonts w:ascii="Book Antiqua" w:hAnsi="Book Antiqua" w:cs="Arial"/>
          <w:b w:val="0"/>
          <w:sz w:val="24"/>
          <w:szCs w:val="24"/>
          <w:vertAlign w:val="superscript"/>
          <w:lang w:val="en-US"/>
        </w:rPr>
        <w:instrText xml:space="preserve"> ADDIN ZOTERO_ITEM CSL_CITATION {"citationID":"alvghttp7a","properties":{"formattedCitation":"(97)","plainCitation":"(97)","noteIndex":0},"citationItems":[{"id":"z1PZoHrb/g8HcCckq","uris":["http://zotero.org/users/4222068/items/RWMFI743"],"uri":["http://zotero.org/users/4222068/items/RWMFI743"],"itemData":{"id":1203,"type":"article-journal","title":"Up-regulation of transferrin receptor 1 in chronic hepatitis C: Implication in excess hepatic iron accumulation","container-title":"Hepatology Research: The Official Journal of the Japan Society of Hepatology","page":"203-210","volume":"31","issue":"4","source":"PubMed","abstract":"BACKGROUND/AIMS: : To clarify the mechanism of excess hepatic iron accumulation in chronic hepatitis C, we investigated the expressions of transferrin receptor 1 and divalent metal transporter 1 in hepatocytes, both of which are involved in cellular iron uptake, in relation to the degree of hepatic iron accumulation and hepatic fibrosis by immunohistochemistrical study.\nMETHODS: : Forty-six hepatic tissues with chronic hepatitis C and five normal hepatic tissues were examined. Chemical detection of hepatic iron accumulation was performed by Perl's Prussian blue stain. The immunohistochemistrical study was performed by avidin-biotin complex method with alkaline phosphatase.\nRESULTS: : In chronic hepatitis C: (1) Hepatic iron accumulation was significantly increased in relation to the advance of the fibrosis. (2) Divalent metal transporter 1 decreased significantly in relation to the advance of hepatic fibrosis. (3) Transferrin receptor 1 expression was always detected, although not in normal hepatic tissues; there was no relation between expression levels and the degree of hepatic fibrosis.\nCONCLUSIONS: : These data demonstrated that the transferrin receptor 1 expression was up-regulated irrespective of the degree of hepatic iron accumulation, suggesting that the up-regulation of transferrin receptor 1 might act as one of the key mechanisms implicated in the accumulation of hepatic iron in chronic hepatitis C.","DOI":"10.1016/j.hepres.2005.02.001","ISSN":"1386-6346","note":"PMID: 16890168","shortTitle":"Up-regulation of transferrin receptor 1 in chronic hepatitis C","journalAbbreviation":"Hepatol. Res.","language":"eng","author":[{"family":"Saito","given":"Hiroyuki"},{"family":"Fujimoto","given":"Yoshinori"},{"family":"Ohtake","given":"Takaaki"},{"family":"Suzuki","given":"Yasuaki"},{"family":"Sakurai","given":"Shinobu"},{"family":"Hosoki","given":"Yayoi"},{"family":"Ikuta","given":"Katsuya"},{"family":"Torimoto","given":"Yoshihiro"},{"family":"Kohgo","given":"Yutaka"}],"issued":{"date-parts":[["2005",4]]}}}],"schema":"https://github.com/citation-style-language/schema/raw/master/csl-citation.json"} </w:instrText>
      </w:r>
      <w:r w:rsidR="003769FC" w:rsidRPr="007F5A49">
        <w:rPr>
          <w:rFonts w:ascii="Book Antiqua" w:hAnsi="Book Antiqua" w:cs="Arial"/>
          <w:b w:val="0"/>
          <w:sz w:val="24"/>
          <w:szCs w:val="24"/>
          <w:vertAlign w:val="superscript"/>
          <w:lang w:val="en-US"/>
        </w:rPr>
        <w:fldChar w:fldCharType="separate"/>
      </w:r>
      <w:r w:rsidR="000633AF" w:rsidRPr="007F5A49">
        <w:rPr>
          <w:rFonts w:ascii="Book Antiqua" w:hAnsi="Book Antiqua"/>
          <w:b w:val="0"/>
          <w:sz w:val="24"/>
          <w:szCs w:val="24"/>
          <w:vertAlign w:val="superscript"/>
          <w:lang w:val="en-US"/>
        </w:rPr>
        <w:t>[</w:t>
      </w:r>
      <w:r w:rsidR="00D2645C" w:rsidRPr="007F5A49">
        <w:rPr>
          <w:rFonts w:ascii="Book Antiqua" w:hAnsi="Book Antiqua"/>
          <w:b w:val="0"/>
          <w:sz w:val="24"/>
          <w:szCs w:val="24"/>
          <w:vertAlign w:val="superscript"/>
          <w:lang w:val="en-US"/>
        </w:rPr>
        <w:t>97</w:t>
      </w:r>
      <w:r w:rsidR="003769FC" w:rsidRPr="007F5A49">
        <w:rPr>
          <w:rFonts w:ascii="Book Antiqua" w:hAnsi="Book Antiqua" w:cs="Arial"/>
          <w:b w:val="0"/>
          <w:sz w:val="24"/>
          <w:szCs w:val="24"/>
          <w:vertAlign w:val="superscript"/>
          <w:lang w:val="en-US"/>
        </w:rPr>
        <w:fldChar w:fldCharType="end"/>
      </w:r>
      <w:r w:rsidR="000633AF" w:rsidRPr="007F5A49">
        <w:rPr>
          <w:rFonts w:ascii="Book Antiqua" w:hAnsi="Book Antiqua" w:cs="Arial"/>
          <w:b w:val="0"/>
          <w:sz w:val="24"/>
          <w:szCs w:val="24"/>
          <w:vertAlign w:val="superscript"/>
          <w:lang w:val="en-US"/>
        </w:rPr>
        <w:t>]</w:t>
      </w:r>
      <w:r w:rsidR="00436079" w:rsidRPr="007F5A49">
        <w:rPr>
          <w:rFonts w:ascii="Book Antiqua" w:hAnsi="Book Antiqua" w:cs="Arial"/>
          <w:b w:val="0"/>
          <w:sz w:val="24"/>
          <w:szCs w:val="24"/>
          <w:lang w:val="en-US"/>
        </w:rPr>
        <w:t>.</w:t>
      </w:r>
    </w:p>
    <w:p w14:paraId="3FBFE713" w14:textId="4E589842" w:rsidR="00D90A5B" w:rsidRPr="007F5A49" w:rsidRDefault="004728E3" w:rsidP="008E1EBB">
      <w:pPr>
        <w:pStyle w:val="Heading1"/>
        <w:adjustRightInd w:val="0"/>
        <w:snapToGrid w:val="0"/>
        <w:spacing w:before="0" w:beforeAutospacing="0" w:after="0" w:afterAutospacing="0" w:line="360" w:lineRule="auto"/>
        <w:jc w:val="both"/>
        <w:rPr>
          <w:rFonts w:ascii="Book Antiqua" w:hAnsi="Book Antiqua" w:cs="Arial"/>
          <w:b w:val="0"/>
          <w:sz w:val="24"/>
          <w:szCs w:val="24"/>
          <w:lang w:val="en-US"/>
        </w:rPr>
      </w:pPr>
      <w:r>
        <w:rPr>
          <w:rFonts w:ascii="Book Antiqua" w:hAnsi="Book Antiqua" w:cs="Arial"/>
          <w:b w:val="0"/>
          <w:sz w:val="24"/>
          <w:szCs w:val="24"/>
          <w:lang w:val="en-US"/>
        </w:rPr>
        <w:t xml:space="preserve">  </w:t>
      </w:r>
      <w:r w:rsidR="002234DB" w:rsidRPr="007F5A49">
        <w:rPr>
          <w:rFonts w:ascii="Book Antiqua" w:hAnsi="Book Antiqua" w:cs="Arial"/>
          <w:b w:val="0"/>
          <w:sz w:val="24"/>
          <w:szCs w:val="24"/>
          <w:lang w:val="en-US"/>
        </w:rPr>
        <w:t>W</w:t>
      </w:r>
      <w:r w:rsidR="005D04EF" w:rsidRPr="007F5A49">
        <w:rPr>
          <w:rFonts w:ascii="Book Antiqua" w:hAnsi="Book Antiqua" w:cs="Arial"/>
          <w:b w:val="0"/>
          <w:sz w:val="24"/>
          <w:szCs w:val="24"/>
          <w:lang w:val="en-US"/>
        </w:rPr>
        <w:t xml:space="preserve">hether </w:t>
      </w:r>
      <w:r w:rsidR="00BB02B8" w:rsidRPr="007F5A49">
        <w:rPr>
          <w:rFonts w:ascii="Book Antiqua" w:hAnsi="Book Antiqua" w:cs="Arial"/>
          <w:b w:val="0"/>
          <w:sz w:val="24"/>
          <w:szCs w:val="24"/>
          <w:lang w:val="en-US"/>
        </w:rPr>
        <w:t xml:space="preserve">the </w:t>
      </w:r>
      <w:r w:rsidR="005D04EF" w:rsidRPr="007F5A49">
        <w:rPr>
          <w:rFonts w:ascii="Book Antiqua" w:hAnsi="Book Antiqua" w:cs="Arial"/>
          <w:b w:val="0"/>
          <w:sz w:val="24"/>
          <w:szCs w:val="24"/>
          <w:lang w:val="en-US"/>
        </w:rPr>
        <w:t xml:space="preserve">exclusive usage of </w:t>
      </w:r>
      <w:r w:rsidR="0008085A" w:rsidRPr="007F5A49">
        <w:rPr>
          <w:rFonts w:ascii="Book Antiqua" w:hAnsi="Book Antiqua" w:cs="Arial"/>
          <w:b w:val="0"/>
          <w:sz w:val="24"/>
          <w:szCs w:val="24"/>
          <w:lang w:val="en-US"/>
        </w:rPr>
        <w:t xml:space="preserve">such </w:t>
      </w:r>
      <w:r w:rsidR="005D04EF" w:rsidRPr="007F5A49">
        <w:rPr>
          <w:rFonts w:ascii="Book Antiqua" w:hAnsi="Book Antiqua" w:cs="Arial"/>
          <w:b w:val="0"/>
          <w:sz w:val="24"/>
          <w:szCs w:val="24"/>
          <w:lang w:val="en-US"/>
        </w:rPr>
        <w:t>iron-related proteins</w:t>
      </w:r>
      <w:r w:rsidR="007D478B" w:rsidRPr="007F5A49">
        <w:rPr>
          <w:rFonts w:ascii="Book Antiqua" w:hAnsi="Book Antiqua" w:cs="Arial"/>
          <w:b w:val="0"/>
          <w:sz w:val="24"/>
          <w:szCs w:val="24"/>
          <w:lang w:val="en-US"/>
        </w:rPr>
        <w:t xml:space="preserve"> </w:t>
      </w:r>
      <w:r w:rsidR="000723FC" w:rsidRPr="007F5A49">
        <w:rPr>
          <w:rFonts w:ascii="Book Antiqua" w:hAnsi="Book Antiqua" w:cs="Arial"/>
          <w:b w:val="0"/>
          <w:sz w:val="24"/>
          <w:szCs w:val="24"/>
          <w:lang w:val="en-US"/>
        </w:rPr>
        <w:t xml:space="preserve">would be </w:t>
      </w:r>
      <w:r w:rsidR="007D478B" w:rsidRPr="007F5A49">
        <w:rPr>
          <w:rFonts w:ascii="Book Antiqua" w:hAnsi="Book Antiqua" w:cs="Arial"/>
          <w:b w:val="0"/>
          <w:sz w:val="24"/>
          <w:szCs w:val="24"/>
          <w:lang w:val="en-US"/>
        </w:rPr>
        <w:t xml:space="preserve">sufficient </w:t>
      </w:r>
      <w:r w:rsidR="004C04A5" w:rsidRPr="007F5A49">
        <w:rPr>
          <w:rFonts w:ascii="Book Antiqua" w:hAnsi="Book Antiqua" w:cs="Arial"/>
          <w:b w:val="0"/>
          <w:sz w:val="24"/>
          <w:szCs w:val="24"/>
          <w:lang w:val="en-US"/>
        </w:rPr>
        <w:t xml:space="preserve">to predict, diagnose and stage </w:t>
      </w:r>
      <w:r w:rsidR="002234DB" w:rsidRPr="007F5A49">
        <w:rPr>
          <w:rFonts w:ascii="Book Antiqua" w:hAnsi="Book Antiqua" w:cs="Arial"/>
          <w:b w:val="0"/>
          <w:sz w:val="24"/>
          <w:szCs w:val="24"/>
          <w:lang w:val="en-US"/>
        </w:rPr>
        <w:t xml:space="preserve">fibrosis/cirrhosis </w:t>
      </w:r>
      <w:r w:rsidR="008A2786" w:rsidRPr="007F5A49">
        <w:rPr>
          <w:rFonts w:ascii="Book Antiqua" w:hAnsi="Book Antiqua" w:cs="Arial"/>
          <w:b w:val="0"/>
          <w:sz w:val="24"/>
          <w:szCs w:val="24"/>
          <w:lang w:val="en-US"/>
        </w:rPr>
        <w:t xml:space="preserve">in all liver pathologies </w:t>
      </w:r>
      <w:r w:rsidR="005D04EF" w:rsidRPr="007F5A49">
        <w:rPr>
          <w:rFonts w:ascii="Book Antiqua" w:hAnsi="Book Antiqua" w:cs="Arial"/>
          <w:b w:val="0"/>
          <w:sz w:val="24"/>
          <w:szCs w:val="24"/>
          <w:lang w:val="en-US"/>
        </w:rPr>
        <w:t xml:space="preserve">remains to be </w:t>
      </w:r>
      <w:r w:rsidR="008C7AAE" w:rsidRPr="007F5A49">
        <w:rPr>
          <w:rFonts w:ascii="Book Antiqua" w:hAnsi="Book Antiqua" w:cs="Arial"/>
          <w:b w:val="0"/>
          <w:sz w:val="24"/>
          <w:szCs w:val="24"/>
          <w:lang w:val="en-US"/>
        </w:rPr>
        <w:t xml:space="preserve">fully </w:t>
      </w:r>
      <w:r w:rsidR="005D04EF" w:rsidRPr="007F5A49">
        <w:rPr>
          <w:rFonts w:ascii="Book Antiqua" w:hAnsi="Book Antiqua" w:cs="Arial"/>
          <w:b w:val="0"/>
          <w:sz w:val="24"/>
          <w:szCs w:val="24"/>
          <w:lang w:val="en-US"/>
        </w:rPr>
        <w:t>answered.</w:t>
      </w:r>
      <w:r w:rsidR="00BB02B8" w:rsidRPr="007F5A49">
        <w:rPr>
          <w:rFonts w:ascii="Book Antiqua" w:hAnsi="Book Antiqua" w:cs="Arial"/>
          <w:b w:val="0"/>
          <w:sz w:val="24"/>
          <w:szCs w:val="24"/>
          <w:lang w:val="en-US"/>
        </w:rPr>
        <w:t xml:space="preserve"> </w:t>
      </w:r>
      <w:r w:rsidR="005D04EF" w:rsidRPr="007F5A49">
        <w:rPr>
          <w:rFonts w:ascii="Book Antiqua" w:hAnsi="Book Antiqua" w:cs="Arial"/>
          <w:b w:val="0"/>
          <w:sz w:val="24"/>
          <w:szCs w:val="24"/>
          <w:lang w:val="en-US"/>
        </w:rPr>
        <w:t xml:space="preserve">However, </w:t>
      </w:r>
      <w:r w:rsidR="00C87BE6" w:rsidRPr="007F5A49">
        <w:rPr>
          <w:rFonts w:ascii="Book Antiqua" w:hAnsi="Book Antiqua" w:cs="Arial"/>
          <w:b w:val="0"/>
          <w:sz w:val="24"/>
          <w:szCs w:val="24"/>
          <w:lang w:val="en-US"/>
        </w:rPr>
        <w:t xml:space="preserve">based on studies hitherto, </w:t>
      </w:r>
      <w:r w:rsidR="005D04EF" w:rsidRPr="007F5A49">
        <w:rPr>
          <w:rFonts w:ascii="Book Antiqua" w:hAnsi="Book Antiqua" w:cs="Arial"/>
          <w:b w:val="0"/>
          <w:sz w:val="24"/>
          <w:szCs w:val="24"/>
          <w:lang w:val="en-US"/>
        </w:rPr>
        <w:t>serum ferritin and hepcidin-</w:t>
      </w:r>
      <w:r w:rsidR="005D04EF" w:rsidRPr="007F5A49">
        <w:rPr>
          <w:rFonts w:ascii="Book Antiqua" w:hAnsi="Book Antiqua" w:cs="Arial"/>
          <w:b w:val="0"/>
          <w:sz w:val="24"/>
          <w:szCs w:val="24"/>
          <w:lang w:val="en-US"/>
        </w:rPr>
        <w:lastRenderedPageBreak/>
        <w:t xml:space="preserve">ferritin ratio </w:t>
      </w:r>
      <w:r w:rsidR="007A68CB" w:rsidRPr="007F5A49">
        <w:rPr>
          <w:rFonts w:ascii="Book Antiqua" w:hAnsi="Book Antiqua" w:cs="Arial"/>
          <w:b w:val="0"/>
          <w:sz w:val="24"/>
          <w:szCs w:val="24"/>
          <w:lang w:val="en-US"/>
        </w:rPr>
        <w:t>appear</w:t>
      </w:r>
      <w:r w:rsidR="005D04EF" w:rsidRPr="007F5A49">
        <w:rPr>
          <w:rFonts w:ascii="Book Antiqua" w:hAnsi="Book Antiqua" w:cs="Arial"/>
          <w:b w:val="0"/>
          <w:sz w:val="24"/>
          <w:szCs w:val="24"/>
          <w:lang w:val="en-US"/>
        </w:rPr>
        <w:t xml:space="preserve"> to </w:t>
      </w:r>
      <w:r w:rsidR="00BB02B8" w:rsidRPr="007F5A49">
        <w:rPr>
          <w:rFonts w:ascii="Book Antiqua" w:hAnsi="Book Antiqua" w:cs="Arial"/>
          <w:b w:val="0"/>
          <w:sz w:val="24"/>
          <w:szCs w:val="24"/>
          <w:lang w:val="en-US"/>
        </w:rPr>
        <w:t xml:space="preserve">be able to </w:t>
      </w:r>
      <w:r w:rsidR="005D04EF" w:rsidRPr="007F5A49">
        <w:rPr>
          <w:rFonts w:ascii="Book Antiqua" w:hAnsi="Book Antiqua" w:cs="Arial"/>
          <w:b w:val="0"/>
          <w:sz w:val="24"/>
          <w:szCs w:val="24"/>
          <w:lang w:val="en-US"/>
        </w:rPr>
        <w:t>significantly and sufficiently contribute to fibrosis</w:t>
      </w:r>
      <w:r w:rsidR="00C749D6" w:rsidRPr="007F5A49">
        <w:rPr>
          <w:rFonts w:ascii="Book Antiqua" w:hAnsi="Book Antiqua" w:cs="Arial"/>
          <w:b w:val="0"/>
          <w:sz w:val="24"/>
          <w:szCs w:val="24"/>
          <w:lang w:val="en-US"/>
        </w:rPr>
        <w:t xml:space="preserve"> evaluation. </w:t>
      </w:r>
    </w:p>
    <w:p w14:paraId="1837C890" w14:textId="77777777" w:rsidR="000633AF" w:rsidRPr="007F5A49" w:rsidRDefault="000633AF" w:rsidP="007F5A49">
      <w:pPr>
        <w:adjustRightInd w:val="0"/>
        <w:snapToGrid w:val="0"/>
        <w:spacing w:after="0" w:line="360" w:lineRule="auto"/>
        <w:jc w:val="both"/>
        <w:rPr>
          <w:rFonts w:ascii="Book Antiqua" w:hAnsi="Book Antiqua" w:cs="Arial"/>
          <w:b/>
          <w:sz w:val="24"/>
          <w:szCs w:val="24"/>
          <w:lang w:val="en-US"/>
        </w:rPr>
      </w:pPr>
    </w:p>
    <w:p w14:paraId="604A22E7" w14:textId="5E8B11D4" w:rsidR="0087362C" w:rsidRPr="007F5A49" w:rsidRDefault="00CF46AE" w:rsidP="008E1EBB">
      <w:pPr>
        <w:adjustRightInd w:val="0"/>
        <w:snapToGrid w:val="0"/>
        <w:spacing w:after="0" w:line="360" w:lineRule="auto"/>
        <w:jc w:val="both"/>
        <w:outlineLvl w:val="0"/>
        <w:rPr>
          <w:rFonts w:ascii="Book Antiqua" w:hAnsi="Book Antiqua" w:cs="Arial"/>
          <w:b/>
          <w:sz w:val="24"/>
          <w:szCs w:val="24"/>
          <w:lang w:val="en-US"/>
        </w:rPr>
      </w:pPr>
      <w:r w:rsidRPr="007F5A49">
        <w:rPr>
          <w:rFonts w:ascii="Book Antiqua" w:hAnsi="Book Antiqua" w:cs="Arial"/>
          <w:b/>
          <w:sz w:val="24"/>
          <w:szCs w:val="24"/>
          <w:lang w:val="en-US"/>
        </w:rPr>
        <w:t xml:space="preserve">IRON-RELATED THERAPEUTICS FOR LIVER FIBROSIS </w:t>
      </w:r>
    </w:p>
    <w:p w14:paraId="7849D2FF" w14:textId="37D5F2E5" w:rsidR="00E62252" w:rsidRPr="007F5A49" w:rsidRDefault="00542342" w:rsidP="007F5A49">
      <w:pPr>
        <w:pStyle w:val="NormalWeb"/>
        <w:adjustRightInd w:val="0"/>
        <w:snapToGrid w:val="0"/>
        <w:spacing w:before="0" w:beforeAutospacing="0" w:after="0" w:afterAutospacing="0" w:line="360" w:lineRule="auto"/>
        <w:jc w:val="both"/>
        <w:rPr>
          <w:rFonts w:ascii="Book Antiqua" w:hAnsi="Book Antiqua" w:cs="Arial"/>
          <w:lang w:val="en-US"/>
        </w:rPr>
      </w:pPr>
      <w:r w:rsidRPr="007F5A49">
        <w:rPr>
          <w:rFonts w:ascii="Book Antiqua" w:hAnsi="Book Antiqua" w:cs="Arial"/>
          <w:lang w:val="en-US"/>
        </w:rPr>
        <w:t>Presently, t</w:t>
      </w:r>
      <w:r w:rsidR="0004712B" w:rsidRPr="007F5A49">
        <w:rPr>
          <w:rFonts w:ascii="Book Antiqua" w:hAnsi="Book Antiqua" w:cs="Arial"/>
          <w:lang w:val="en-US"/>
        </w:rPr>
        <w:t xml:space="preserve">here </w:t>
      </w:r>
      <w:r w:rsidR="0069157B" w:rsidRPr="007F5A49">
        <w:rPr>
          <w:rFonts w:ascii="Book Antiqua" w:hAnsi="Book Antiqua" w:cs="Arial"/>
          <w:lang w:val="en-US"/>
        </w:rPr>
        <w:t xml:space="preserve">are </w:t>
      </w:r>
      <w:r w:rsidR="0004712B" w:rsidRPr="007F5A49">
        <w:rPr>
          <w:rFonts w:ascii="Book Antiqua" w:hAnsi="Book Antiqua" w:cs="Arial"/>
          <w:lang w:val="en-US"/>
        </w:rPr>
        <w:t>no clinically</w:t>
      </w:r>
      <w:r w:rsidR="0013798F" w:rsidRPr="007F5A49">
        <w:rPr>
          <w:rFonts w:ascii="Book Antiqua" w:hAnsi="Book Antiqua" w:cs="Arial"/>
          <w:lang w:val="en-US"/>
        </w:rPr>
        <w:t>-</w:t>
      </w:r>
      <w:r w:rsidR="0004712B" w:rsidRPr="007F5A49">
        <w:rPr>
          <w:rFonts w:ascii="Book Antiqua" w:hAnsi="Book Antiqua" w:cs="Arial"/>
          <w:lang w:val="en-US"/>
        </w:rPr>
        <w:t>approved treatment</w:t>
      </w:r>
      <w:r w:rsidR="00E62252" w:rsidRPr="007F5A49">
        <w:rPr>
          <w:rFonts w:ascii="Book Antiqua" w:hAnsi="Book Antiqua" w:cs="Arial"/>
          <w:lang w:val="en-US"/>
        </w:rPr>
        <w:t>s</w:t>
      </w:r>
      <w:r w:rsidR="0004712B" w:rsidRPr="007F5A49">
        <w:rPr>
          <w:rFonts w:ascii="Book Antiqua" w:hAnsi="Book Antiqua" w:cs="Arial"/>
          <w:lang w:val="en-US"/>
        </w:rPr>
        <w:t xml:space="preserve"> for fibrosis</w:t>
      </w:r>
      <w:r w:rsidR="00E62252" w:rsidRPr="007F5A49">
        <w:rPr>
          <w:rFonts w:ascii="Book Antiqua" w:hAnsi="Book Antiqua" w:cs="Arial"/>
          <w:vertAlign w:val="superscript"/>
          <w:lang w:val="en-US"/>
        </w:rPr>
        <w:fldChar w:fldCharType="begin"/>
      </w:r>
      <w:r w:rsidR="00D2645C" w:rsidRPr="007F5A49">
        <w:rPr>
          <w:rFonts w:ascii="Book Antiqua" w:hAnsi="Book Antiqua" w:cs="Arial"/>
          <w:vertAlign w:val="superscript"/>
          <w:lang w:val="en-US"/>
        </w:rPr>
        <w:instrText xml:space="preserve"> ADDIN ZOTERO_ITEM CSL_CITATION {"citationID":"a1it774pvtj","properties":{"formattedCitation":"(117)","plainCitation":"(117)","noteIndex":0},"citationItems":[{"id":"z1PZoHrb/4AXQEIrQ","uris":["http://zotero.org/users/4222068/items/JV3TZPSM"],"uri":["http://zotero.org/users/4222068/items/JV3TZPSM"],"itemData":{"id":1815,"type":"article-journal","title":"Fibroblasts and extracellular matrix: Targeting and therapeutic tools in fibrosis and cancer","container-title":"Advanced Drug Delivery Reviews","page":"1-2","volume":"121","source":"PubMed","DOI":"10.1016/j.addr.2017.11.008","ISSN":"1872-8294","note":"PMID: 29191284","shortTitle":"Fibroblasts and extracellular matrix","journalAbbreviation":"Adv. Drug Deliv. Rev.","language":"eng","author":[{"family":"Prakash","given":"Jai"},{"family":"Pinzani","given":"Massimo"}],"issued":{"date-parts":[["2017",11,1]]}}}],"schema":"https://github.com/citation-style-language/schema/raw/master/csl-citation.json"} </w:instrText>
      </w:r>
      <w:r w:rsidR="00E62252" w:rsidRPr="007F5A49">
        <w:rPr>
          <w:rFonts w:ascii="Book Antiqua" w:hAnsi="Book Antiqua" w:cs="Arial"/>
          <w:vertAlign w:val="superscript"/>
          <w:lang w:val="en-US"/>
        </w:rPr>
        <w:fldChar w:fldCharType="separate"/>
      </w:r>
      <w:r w:rsidR="000633AF" w:rsidRPr="007F5A49">
        <w:rPr>
          <w:rFonts w:ascii="Book Antiqua" w:hAnsi="Book Antiqua"/>
          <w:vertAlign w:val="superscript"/>
          <w:lang w:val="en-US"/>
        </w:rPr>
        <w:t>[</w:t>
      </w:r>
      <w:r w:rsidR="00D2645C" w:rsidRPr="007F5A49">
        <w:rPr>
          <w:rFonts w:ascii="Book Antiqua" w:hAnsi="Book Antiqua"/>
          <w:vertAlign w:val="superscript"/>
          <w:lang w:val="en-US"/>
        </w:rPr>
        <w:t>117</w:t>
      </w:r>
      <w:r w:rsidR="00E62252" w:rsidRPr="007F5A49">
        <w:rPr>
          <w:rFonts w:ascii="Book Antiqua" w:hAnsi="Book Antiqua" w:cs="Arial"/>
          <w:vertAlign w:val="superscript"/>
          <w:lang w:val="en-US"/>
        </w:rPr>
        <w:fldChar w:fldCharType="end"/>
      </w:r>
      <w:r w:rsidR="000633AF" w:rsidRPr="007F5A49">
        <w:rPr>
          <w:rFonts w:ascii="Book Antiqua" w:hAnsi="Book Antiqua" w:cs="Arial"/>
          <w:vertAlign w:val="superscript"/>
          <w:lang w:val="en-US"/>
        </w:rPr>
        <w:t>]</w:t>
      </w:r>
      <w:r w:rsidRPr="007F5A49">
        <w:rPr>
          <w:rFonts w:ascii="Book Antiqua" w:hAnsi="Book Antiqua" w:cs="Arial"/>
          <w:lang w:val="en-US"/>
        </w:rPr>
        <w:t xml:space="preserve">. </w:t>
      </w:r>
      <w:r w:rsidR="003E07F8" w:rsidRPr="007F5A49">
        <w:rPr>
          <w:rFonts w:ascii="Book Antiqua" w:hAnsi="Book Antiqua" w:cs="Arial"/>
          <w:lang w:val="en-US"/>
        </w:rPr>
        <w:t xml:space="preserve">For decades, </w:t>
      </w:r>
      <w:r w:rsidR="00BF769F" w:rsidRPr="007F5A49">
        <w:rPr>
          <w:rFonts w:ascii="Book Antiqua" w:hAnsi="Book Antiqua" w:cs="Arial"/>
          <w:lang w:val="en-US"/>
        </w:rPr>
        <w:t xml:space="preserve">several </w:t>
      </w:r>
      <w:r w:rsidR="003E07F8" w:rsidRPr="007F5A49">
        <w:rPr>
          <w:rFonts w:ascii="Book Antiqua" w:hAnsi="Book Antiqua" w:cs="Arial"/>
          <w:lang w:val="en-US"/>
        </w:rPr>
        <w:t xml:space="preserve">studies have been conducted on animal models and </w:t>
      </w:r>
      <w:r w:rsidR="00024F9F" w:rsidRPr="00252606">
        <w:rPr>
          <w:rFonts w:ascii="Book Antiqua" w:hAnsi="Book Antiqua" w:cs="Arial"/>
          <w:i/>
          <w:lang w:val="en-US"/>
        </w:rPr>
        <w:t>via</w:t>
      </w:r>
      <w:r w:rsidR="00024F9F" w:rsidRPr="007F5A49">
        <w:rPr>
          <w:rFonts w:ascii="Book Antiqua" w:hAnsi="Book Antiqua" w:cs="Arial"/>
          <w:lang w:val="en-US"/>
        </w:rPr>
        <w:t xml:space="preserve"> </w:t>
      </w:r>
      <w:r w:rsidR="003E07F8" w:rsidRPr="007F5A49">
        <w:rPr>
          <w:rFonts w:ascii="Book Antiqua" w:hAnsi="Book Antiqua" w:cs="Arial"/>
          <w:lang w:val="en-US"/>
        </w:rPr>
        <w:t xml:space="preserve">human clinical trials </w:t>
      </w:r>
      <w:r w:rsidR="00BF769F" w:rsidRPr="007F5A49">
        <w:rPr>
          <w:rFonts w:ascii="Book Antiqua" w:hAnsi="Book Antiqua" w:cs="Arial"/>
          <w:lang w:val="en-US"/>
        </w:rPr>
        <w:t xml:space="preserve">that </w:t>
      </w:r>
      <w:r w:rsidR="003E07F8" w:rsidRPr="007F5A49">
        <w:rPr>
          <w:rFonts w:ascii="Book Antiqua" w:hAnsi="Book Antiqua" w:cs="Arial"/>
          <w:lang w:val="en-US"/>
        </w:rPr>
        <w:t>evaluate</w:t>
      </w:r>
      <w:r w:rsidR="00BF769F" w:rsidRPr="007F5A49">
        <w:rPr>
          <w:rFonts w:ascii="Book Antiqua" w:hAnsi="Book Antiqua" w:cs="Arial"/>
          <w:lang w:val="en-US"/>
        </w:rPr>
        <w:t>d</w:t>
      </w:r>
      <w:r w:rsidR="003E07F8" w:rsidRPr="007F5A49">
        <w:rPr>
          <w:rFonts w:ascii="Book Antiqua" w:hAnsi="Book Antiqua" w:cs="Arial"/>
          <w:lang w:val="en-US"/>
        </w:rPr>
        <w:t xml:space="preserve"> the anti-fibrotic efficacy of herbal and pharmacological agents, but none have translated into established protocols for human use</w:t>
      </w:r>
      <w:r w:rsidR="00024F9F" w:rsidRPr="007F5A49">
        <w:rPr>
          <w:rFonts w:ascii="Book Antiqua" w:hAnsi="Book Antiqua" w:cs="Arial"/>
          <w:lang w:val="en-US"/>
        </w:rPr>
        <w:t xml:space="preserve"> till date</w:t>
      </w:r>
      <w:r w:rsidR="00BF769F" w:rsidRPr="007F5A49">
        <w:rPr>
          <w:rFonts w:ascii="Book Antiqua" w:hAnsi="Book Antiqua" w:cs="Arial"/>
          <w:lang w:val="en-US"/>
        </w:rPr>
        <w:t>.</w:t>
      </w:r>
      <w:r w:rsidR="001208F8" w:rsidRPr="007F5A49">
        <w:rPr>
          <w:rFonts w:ascii="Book Antiqua" w:hAnsi="Book Antiqua" w:cs="Arial"/>
          <w:lang w:val="en-US"/>
        </w:rPr>
        <w:t xml:space="preserve"> </w:t>
      </w:r>
      <w:r w:rsidR="00E62252" w:rsidRPr="007F5A49">
        <w:rPr>
          <w:rFonts w:ascii="Book Antiqua" w:hAnsi="Book Antiqua" w:cs="Arial"/>
          <w:lang w:val="en-US"/>
        </w:rPr>
        <w:t xml:space="preserve">While </w:t>
      </w:r>
      <w:r w:rsidR="001208F8" w:rsidRPr="007F5A49">
        <w:rPr>
          <w:rFonts w:ascii="Book Antiqua" w:hAnsi="Book Antiqua" w:cs="Arial"/>
          <w:lang w:val="en-US"/>
        </w:rPr>
        <w:t xml:space="preserve">in clinical settings, </w:t>
      </w:r>
      <w:r w:rsidR="00E62252" w:rsidRPr="007F5A49">
        <w:rPr>
          <w:rFonts w:ascii="Book Antiqua" w:hAnsi="Book Antiqua" w:cs="Arial"/>
          <w:lang w:val="en-US"/>
        </w:rPr>
        <w:t xml:space="preserve">fibrosis </w:t>
      </w:r>
      <w:r w:rsidR="00EF7C8E" w:rsidRPr="007F5A49">
        <w:rPr>
          <w:rFonts w:ascii="Book Antiqua" w:hAnsi="Book Antiqua" w:cs="Arial"/>
          <w:lang w:val="en-US"/>
        </w:rPr>
        <w:t xml:space="preserve">management is </w:t>
      </w:r>
      <w:r w:rsidR="00E62252" w:rsidRPr="007F5A49">
        <w:rPr>
          <w:rFonts w:ascii="Book Antiqua" w:hAnsi="Book Antiqua" w:cs="Arial"/>
          <w:lang w:val="en-US"/>
        </w:rPr>
        <w:t>considered holistically, here, we specifically review</w:t>
      </w:r>
      <w:r w:rsidR="00C81309" w:rsidRPr="007F5A49">
        <w:rPr>
          <w:rFonts w:ascii="Book Antiqua" w:hAnsi="Book Antiqua" w:cs="Arial"/>
          <w:lang w:val="en-US"/>
        </w:rPr>
        <w:t xml:space="preserve"> the</w:t>
      </w:r>
      <w:r w:rsidR="00E62252" w:rsidRPr="007F5A49">
        <w:rPr>
          <w:rFonts w:ascii="Book Antiqua" w:hAnsi="Book Antiqua" w:cs="Arial"/>
          <w:lang w:val="en-US"/>
        </w:rPr>
        <w:t xml:space="preserve"> iron-related strategies. </w:t>
      </w:r>
    </w:p>
    <w:p w14:paraId="773D1977" w14:textId="05DC95AB" w:rsidR="00E677E4" w:rsidRPr="007F5A49" w:rsidRDefault="004728E3" w:rsidP="007F5A49">
      <w:pPr>
        <w:pStyle w:val="NormalWeb"/>
        <w:adjustRightInd w:val="0"/>
        <w:snapToGrid w:val="0"/>
        <w:spacing w:before="0" w:beforeAutospacing="0" w:after="0" w:afterAutospacing="0" w:line="360" w:lineRule="auto"/>
        <w:jc w:val="both"/>
        <w:rPr>
          <w:rFonts w:ascii="Book Antiqua" w:hAnsi="Book Antiqua" w:cs="Arial"/>
          <w:lang w:val="en-US"/>
        </w:rPr>
      </w:pPr>
      <w:r>
        <w:rPr>
          <w:rFonts w:ascii="Book Antiqua" w:hAnsi="Book Antiqua" w:cs="Arial"/>
          <w:lang w:val="en-US"/>
        </w:rPr>
        <w:t xml:space="preserve">  </w:t>
      </w:r>
      <w:r w:rsidR="00304DFA" w:rsidRPr="007F5A49">
        <w:rPr>
          <w:rFonts w:ascii="Book Antiqua" w:hAnsi="Book Antiqua" w:cs="Arial"/>
          <w:lang w:val="en-US"/>
        </w:rPr>
        <w:t xml:space="preserve">Phlebotomy </w:t>
      </w:r>
      <w:r w:rsidR="00970B14" w:rsidRPr="007F5A49">
        <w:rPr>
          <w:rFonts w:ascii="Book Antiqua" w:hAnsi="Book Antiqua" w:cs="Arial"/>
          <w:lang w:val="en-US"/>
        </w:rPr>
        <w:t xml:space="preserve">is commonly used as a treatment for haemochromatosis. It not only removes excess systemic iron, but also triggers </w:t>
      </w:r>
      <w:proofErr w:type="spellStart"/>
      <w:r w:rsidR="00970B14" w:rsidRPr="007F5A49">
        <w:rPr>
          <w:rFonts w:ascii="Book Antiqua" w:hAnsi="Book Antiqua" w:cs="Arial"/>
          <w:lang w:val="en-US"/>
        </w:rPr>
        <w:t>haematopoiesis</w:t>
      </w:r>
      <w:proofErr w:type="spellEnd"/>
      <w:r w:rsidR="00970B14" w:rsidRPr="007F5A49">
        <w:rPr>
          <w:rFonts w:ascii="Book Antiqua" w:hAnsi="Book Antiqua" w:cs="Arial"/>
          <w:lang w:val="en-US"/>
        </w:rPr>
        <w:t xml:space="preserve"> that </w:t>
      </w:r>
      <w:proofErr w:type="spellStart"/>
      <w:r w:rsidR="00970B14" w:rsidRPr="007F5A49">
        <w:rPr>
          <w:rFonts w:ascii="Book Antiqua" w:hAnsi="Book Antiqua" w:cs="Arial"/>
          <w:lang w:val="en-US"/>
        </w:rPr>
        <w:t>utilises</w:t>
      </w:r>
      <w:proofErr w:type="spellEnd"/>
      <w:r w:rsidR="00970B14" w:rsidRPr="007F5A49">
        <w:rPr>
          <w:rFonts w:ascii="Book Antiqua" w:hAnsi="Book Antiqua" w:cs="Arial"/>
          <w:lang w:val="en-US"/>
        </w:rPr>
        <w:t xml:space="preserve"> the ongoing high absorption of iron for synthesis of new RBCs, thereby controlling the excess-iron-induced pathology. Thus, it control</w:t>
      </w:r>
      <w:r w:rsidR="009267A4" w:rsidRPr="007F5A49">
        <w:rPr>
          <w:rFonts w:ascii="Book Antiqua" w:hAnsi="Book Antiqua" w:cs="Arial"/>
          <w:lang w:val="en-US"/>
        </w:rPr>
        <w:t>s</w:t>
      </w:r>
      <w:r w:rsidR="00970B14" w:rsidRPr="007F5A49">
        <w:rPr>
          <w:rFonts w:ascii="Book Antiqua" w:hAnsi="Book Antiqua" w:cs="Arial"/>
          <w:lang w:val="en-US"/>
        </w:rPr>
        <w:t xml:space="preserve"> the excess iron-induced liver damage in haemochromatosis patients</w:t>
      </w:r>
      <w:r w:rsidR="009267A4" w:rsidRPr="007F5A49">
        <w:rPr>
          <w:rFonts w:ascii="Book Antiqua" w:hAnsi="Book Antiqua" w:cs="Arial"/>
          <w:lang w:val="en-US"/>
        </w:rPr>
        <w:t>,</w:t>
      </w:r>
      <w:r w:rsidR="00970B14" w:rsidRPr="007F5A49">
        <w:rPr>
          <w:rFonts w:ascii="Book Antiqua" w:hAnsi="Book Antiqua" w:cs="Arial"/>
          <w:lang w:val="en-US"/>
        </w:rPr>
        <w:t xml:space="preserve"> and has shown to effectively reverse liver fibrosis</w:t>
      </w:r>
      <w:r w:rsidR="00970B14" w:rsidRPr="007F5A49">
        <w:rPr>
          <w:rFonts w:ascii="Book Antiqua" w:hAnsi="Book Antiqua" w:cs="Arial"/>
          <w:vertAlign w:val="superscript"/>
          <w:lang w:val="en-US"/>
        </w:rPr>
        <w:fldChar w:fldCharType="begin"/>
      </w:r>
      <w:r w:rsidR="00D2645C" w:rsidRPr="007F5A49">
        <w:rPr>
          <w:rFonts w:ascii="Book Antiqua" w:hAnsi="Book Antiqua" w:cs="Arial"/>
          <w:vertAlign w:val="superscript"/>
          <w:lang w:val="en-US"/>
        </w:rPr>
        <w:instrText xml:space="preserve"> ADDIN ZOTERO_ITEM CSL_CITATION {"citationID":"c2tng1Np","properties":{"formattedCitation":"(14,66)","plainCitation":"(14,66)","noteIndex":0},"citationItems":[{"id":352,"uris":["http://zotero.org/users/2804724/items/GQMNZ36I"],"uri":["http://zotero.org/users/2804724/items/GQMNZ36I"],"itemData":{"id":352,"type":"article-journal","title":"Screening for hemochromatosis in asymptomatic subjects with or without a family history","container-title":"Archives of Internal Medicine","page":"294-301","volume":"166","issue":"3","source":"PubMed","abstract":"BACKGROUND: Hemochromatosis in white subjects is mostly due to homozygosity for the common C282Y substitution in HFE. Although clinical symptoms are preventable by early detection of the genetic predisposition and prophylactic treatment, population screening is not currently advocated because of the discrepancy between the common mutation prevalence and apparently lower frequency of clinical disease. This study compared screening for hemochromatosis in subjects with or without a family history.\nMETHODS: We assessed disease expression by clinical evaluation and liver biopsy in 672 essentially asymptomatic C282Y homozygous subjects identified by either family screening or health checks. We also observed a subgroup of untreated homozygotes with normal serum ferritin levels for up to 24 years.\nRESULTS: Prevalence of hepatic iron overload and fibrosis were comparable between the 2 groups. Disease-related conditions were more common in male subjects identified by health checks, but they were older. Hepatic iron overload (grades 2-4) was present in 56% and 34.5% of male and female subjects, respectively; hepatic fibrosis (stages 2-4) in 18.4% and 5.4%; and cirrhosis in 5.6% and 1.9%. Hepatic fibrosis and cirrhosis correlated significantly with the hepatic iron concentration, and except in cases of cirrhosis, there was a 7.5-fold reduction in the mean fibrosis score after phlebotomy. All subjects with cirrhosis were asymptomatic.\nCONCLUSIONS: Screening for hemochromatosis in apparently healthy subjects homozygous for the C282Y mutation with or without a family history reveals comparable levels of hepatic iron overload and disease. Significant hepatic fibrosis is frequently found in asymptomatic subjects with hemochromatosis and, except when cirrhosis is present, is reversed by iron removal.","DOI":"10.1001/archinte.166.3.294","ISSN":"0003-9926","note":"PMID: 16476869","journalAbbreviation":"Arch. Intern. Med.","language":"eng","author":[{"family":"Powell","given":"Lawrie W."},{"family":"Dixon","given":"Jeannette L."},{"family":"Ramm","given":"Grant A."},{"family":"Purdie","given":"David M."},{"family":"Lincoln","given":"Douglas J."},{"family":"Anderson","given":"Gregory J."},{"family":"Subramaniam","given":"V. Nathan"},{"family":"Hewett","given":"David G."},{"family":"Searle","given":"Jeffrey W."},{"family":"Fletcher","given":"Linda M."},{"family":"Crawford","given":"Darrell H."},{"family":"Rodgers","given":"Helen"},{"family":"Allen","given":"Katrina J."},{"family":"Cavanaugh","given":"Juleen A."},{"family":"Bassett","given":"Mark L."}],"issued":{"date-parts":[["2006",2,13]]}}},{"id":351,"uris":["http://zotero.org/users/2804724/items/TJAVIJBI"],"uri":["http://zotero.org/users/2804724/items/TJAVIJBI"],"itemData":{"id":351,"type":"article-journal","title":"Reversibility of hepatic fibrosis in treated genetic hemochromatosis: a study of 36 cases","container-title":"Hepatology (Baltimore, Md.)","page":"472-477","volume":"44","issue":"2","source":"PubMed","abstract":"The current study was undertaken to assess whether fibrosis could regress under venesection therapy in patients with C282Y homozygous genetic hemochromatosis. The 36 patients studied were recruited from a subfile of our database consisting of 125 C282Y homozygotes with either severe fibrosis or cirrhosis (F3 or F4 fibrosis stage, respectively, according to the METAVIR grading system). The second liver biopsy was performed for management of liver cancer, extrahepatic surgery, or assessment of liver fibrosis. All paired biopsies were reviewed by two pathologists without knowledge of clinical data. Among the 13 patients who had F3 fibrosis on their initial liver biopsy, 3 had F0, 6 had F1, and 2 had F2 on their second liver biopsy. Among the 23 patients with cirrhosis on their initial liver biopsy, 1 had F0, 4 had F1, 3 had F2, and 2 had F3 on their second liver biopsy. When defining regression of fibrosis as a decrease of at least 2 METAVIR units, fibrosis regressed in 9 of 13 (69%) F3 and in 8 of 23 (35%) F4. When the ratio of gammaglobulins (g/L) to (platelets [n/mm(3)] x prothrombin activity [%]) was greater than 7.5, fibrosis never regressed. In conclusion, these data extend the concept of regression of fibrosis to patients with treated genetic hemochromatosis and suggest that some simple biochemical tests would be predictive of further regression of fibrosis as a result of venesection therapy. If confirmed on larger series, this could modify the ultrasound screening policy of hepatocellular carcinoma in genetic hemochromatosis.","DOI":"10.1002/hep.21260","ISSN":"0270-9139","note":"PMID: 16871557","shortTitle":"Reversibility of hepatic fibrosis in treated genetic hemochromatosis","journalAbbreviation":"Hepatology","language":"eng","author":[{"family":"Falize","given":"Ludivine"},{"family":"Guillygomarc'h","given":"Anne"},{"family":"Perrin","given":"Michele"},{"family":"Lainé","given":"Fabrice"},{"family":"Guyader","given":"Dominique"},{"family":"Brissot","given":"Pierre"},{"family":"Turlin","given":"Bruno"},{"family":"Deugnier","given":"Yves"}],"issued":{"date-parts":[["2006",8]]}}}],"schema":"https://github.com/citation-style-language/schema/raw/master/csl-citation.json"} </w:instrText>
      </w:r>
      <w:r w:rsidR="00970B14" w:rsidRPr="007F5A49">
        <w:rPr>
          <w:rFonts w:ascii="Book Antiqua" w:hAnsi="Book Antiqua" w:cs="Arial"/>
          <w:vertAlign w:val="superscript"/>
          <w:lang w:val="en-US"/>
        </w:rPr>
        <w:fldChar w:fldCharType="separate"/>
      </w:r>
      <w:r w:rsidR="000633AF" w:rsidRPr="007F5A49">
        <w:rPr>
          <w:rFonts w:ascii="Book Antiqua" w:hAnsi="Book Antiqua"/>
          <w:vertAlign w:val="superscript"/>
          <w:lang w:val="en-US"/>
        </w:rPr>
        <w:t>[</w:t>
      </w:r>
      <w:r w:rsidR="00D2645C" w:rsidRPr="007F5A49">
        <w:rPr>
          <w:rFonts w:ascii="Book Antiqua" w:hAnsi="Book Antiqua"/>
          <w:vertAlign w:val="superscript"/>
          <w:lang w:val="en-US"/>
        </w:rPr>
        <w:t>14,66</w:t>
      </w:r>
      <w:r w:rsidR="00970B14" w:rsidRPr="007F5A49">
        <w:rPr>
          <w:rFonts w:ascii="Book Antiqua" w:hAnsi="Book Antiqua" w:cs="Arial"/>
          <w:vertAlign w:val="superscript"/>
          <w:lang w:val="en-US"/>
        </w:rPr>
        <w:fldChar w:fldCharType="end"/>
      </w:r>
      <w:r w:rsidR="000633AF" w:rsidRPr="007F5A49">
        <w:rPr>
          <w:rFonts w:ascii="Book Antiqua" w:hAnsi="Book Antiqua" w:cs="Arial"/>
          <w:vertAlign w:val="superscript"/>
          <w:lang w:val="en-US"/>
        </w:rPr>
        <w:t>]</w:t>
      </w:r>
      <w:r w:rsidR="00970B14" w:rsidRPr="007F5A49">
        <w:rPr>
          <w:rFonts w:ascii="Book Antiqua" w:hAnsi="Book Antiqua" w:cs="Arial"/>
          <w:lang w:val="en-US"/>
        </w:rPr>
        <w:t xml:space="preserve">, reduce the complications of </w:t>
      </w:r>
      <w:r w:rsidR="00216D3E" w:rsidRPr="007F5A49">
        <w:rPr>
          <w:rFonts w:ascii="Book Antiqua" w:hAnsi="Book Antiqua" w:cs="Arial"/>
          <w:lang w:val="en-US"/>
        </w:rPr>
        <w:t>portal hypertension and restore</w:t>
      </w:r>
      <w:r w:rsidR="00970B14" w:rsidRPr="007F5A49">
        <w:rPr>
          <w:rFonts w:ascii="Book Antiqua" w:hAnsi="Book Antiqua" w:cs="Arial"/>
          <w:lang w:val="en-US"/>
        </w:rPr>
        <w:t xml:space="preserve"> normal life expectancy in these patients</w:t>
      </w:r>
      <w:r w:rsidR="00970B14" w:rsidRPr="007F5A49">
        <w:rPr>
          <w:rFonts w:ascii="Book Antiqua" w:hAnsi="Book Antiqua" w:cs="Arial"/>
          <w:vertAlign w:val="superscript"/>
          <w:lang w:val="en-US"/>
        </w:rPr>
        <w:fldChar w:fldCharType="begin"/>
      </w:r>
      <w:r w:rsidR="00D2645C" w:rsidRPr="007F5A49">
        <w:rPr>
          <w:rFonts w:ascii="Book Antiqua" w:hAnsi="Book Antiqua" w:cs="Arial"/>
          <w:vertAlign w:val="superscript"/>
          <w:lang w:val="en-US"/>
        </w:rPr>
        <w:instrText xml:space="preserve"> ADDIN ZOTERO_ITEM CSL_CITATION {"citationID":"a17oioqe813","properties":{"formattedCitation":"(2)","plainCitation":"(2)","noteIndex":0},"citationItems":[{"id":"z1PZoHrb/AG6ANrHo","uris":["http://zotero.org/users/4222068/items/B4ILEK6N"],"uri":["http://zotero.org/users/4222068/items/B4ILEK6N"],"itemData":{"id":1732,"type":"article-journal","title":"Iron Overload in Patients With Chronic Liver Disease","container-title":"Gastroenterology &amp; Hepatology","page":"695-698","volume":"12","issue":"11","source":"PubMed Central","ISSN":"1554-7914","note":"PMID: 28035198\nPMCID: PMC5193089","journalAbbreviation":"Gastroenterol Hepatol (N Y)","author":[{"family":"Kowdley","given":"Kris V."}],"issued":{"date-parts":[["2016",11]]}}}],"schema":"https://github.com/citation-style-language/schema/raw/master/csl-citation.json"} </w:instrText>
      </w:r>
      <w:r w:rsidR="00970B14" w:rsidRPr="007F5A49">
        <w:rPr>
          <w:rFonts w:ascii="Book Antiqua" w:hAnsi="Book Antiqua" w:cs="Arial"/>
          <w:vertAlign w:val="superscript"/>
          <w:lang w:val="en-US"/>
        </w:rPr>
        <w:fldChar w:fldCharType="separate"/>
      </w:r>
      <w:r w:rsidR="000633AF" w:rsidRPr="007F5A49">
        <w:rPr>
          <w:rFonts w:ascii="Book Antiqua" w:hAnsi="Book Antiqua"/>
          <w:vertAlign w:val="superscript"/>
          <w:lang w:val="en-US"/>
        </w:rPr>
        <w:t>[</w:t>
      </w:r>
      <w:r w:rsidR="00D2645C" w:rsidRPr="007F5A49">
        <w:rPr>
          <w:rFonts w:ascii="Book Antiqua" w:hAnsi="Book Antiqua"/>
          <w:vertAlign w:val="superscript"/>
          <w:lang w:val="en-US"/>
        </w:rPr>
        <w:t>2</w:t>
      </w:r>
      <w:r w:rsidR="00970B14" w:rsidRPr="007F5A49">
        <w:rPr>
          <w:rFonts w:ascii="Book Antiqua" w:hAnsi="Book Antiqua" w:cs="Arial"/>
          <w:vertAlign w:val="superscript"/>
          <w:lang w:val="en-US"/>
        </w:rPr>
        <w:fldChar w:fldCharType="end"/>
      </w:r>
      <w:r w:rsidR="000633AF" w:rsidRPr="007F5A49">
        <w:rPr>
          <w:rFonts w:ascii="Book Antiqua" w:hAnsi="Book Antiqua" w:cs="Arial"/>
          <w:vertAlign w:val="superscript"/>
          <w:lang w:val="en-US"/>
        </w:rPr>
        <w:t>]</w:t>
      </w:r>
      <w:r w:rsidR="00970B14" w:rsidRPr="007F5A49">
        <w:rPr>
          <w:rFonts w:ascii="Book Antiqua" w:hAnsi="Book Antiqua" w:cs="Arial"/>
          <w:lang w:val="en-US"/>
        </w:rPr>
        <w:t>.</w:t>
      </w:r>
      <w:r w:rsidR="009267A4" w:rsidRPr="007F5A49">
        <w:rPr>
          <w:rFonts w:ascii="Book Antiqua" w:hAnsi="Book Antiqua" w:cs="Arial"/>
          <w:lang w:val="en-US"/>
        </w:rPr>
        <w:t xml:space="preserve"> </w:t>
      </w:r>
      <w:r w:rsidR="00CC7A05" w:rsidRPr="007F5A49">
        <w:rPr>
          <w:rFonts w:ascii="Book Antiqua" w:hAnsi="Book Antiqua" w:cs="Arial"/>
          <w:lang w:val="en-US"/>
        </w:rPr>
        <w:t>Long-term phlebotomy along with subsequent maintenance of low iron levels</w:t>
      </w:r>
      <w:r w:rsidR="0008298A" w:rsidRPr="007F5A49">
        <w:rPr>
          <w:rFonts w:ascii="Book Antiqua" w:hAnsi="Book Antiqua" w:cs="Arial"/>
          <w:lang w:val="en-US"/>
        </w:rPr>
        <w:t xml:space="preserve"> can</w:t>
      </w:r>
      <w:r w:rsidR="00CC7A05" w:rsidRPr="007F5A49">
        <w:rPr>
          <w:rFonts w:ascii="Book Antiqua" w:hAnsi="Book Antiqua" w:cs="Arial"/>
          <w:lang w:val="en-US"/>
        </w:rPr>
        <w:t xml:space="preserve"> reverse even cirrhosis, but this </w:t>
      </w:r>
      <w:r w:rsidR="001D1200" w:rsidRPr="007F5A49">
        <w:rPr>
          <w:rFonts w:ascii="Book Antiqua" w:hAnsi="Book Antiqua" w:cs="Arial"/>
          <w:lang w:val="en-US"/>
        </w:rPr>
        <w:t xml:space="preserve">data </w:t>
      </w:r>
      <w:r w:rsidR="00CC7A05" w:rsidRPr="007F5A49">
        <w:rPr>
          <w:rFonts w:ascii="Book Antiqua" w:hAnsi="Book Antiqua" w:cs="Arial"/>
          <w:lang w:val="en-US"/>
        </w:rPr>
        <w:t>needs to be supported by randomized trials</w:t>
      </w:r>
      <w:r w:rsidR="00FA0F6D" w:rsidRPr="007F5A49">
        <w:rPr>
          <w:rFonts w:ascii="Book Antiqua" w:hAnsi="Book Antiqua" w:cs="Arial"/>
          <w:vertAlign w:val="superscript"/>
          <w:lang w:val="en-US"/>
        </w:rPr>
        <w:fldChar w:fldCharType="begin"/>
      </w:r>
      <w:r w:rsidR="00D2645C" w:rsidRPr="007F5A49">
        <w:rPr>
          <w:rFonts w:ascii="Book Antiqua" w:hAnsi="Book Antiqua" w:cs="Arial"/>
          <w:vertAlign w:val="superscript"/>
          <w:lang w:val="en-US"/>
        </w:rPr>
        <w:instrText xml:space="preserve"> ADDIN ZOTERO_ITEM CSL_CITATION {"citationID":"a1k5igrhpq2","properties":{"formattedCitation":"(2)","plainCitation":"(2)","noteIndex":0},"citationItems":[{"id":"z1PZoHrb/AG6ANrHo","uris":["http://zotero.org/users/4222068/items/B4ILEK6N"],"uri":["http://zotero.org/users/4222068/items/B4ILEK6N"],"itemData":{"id":1732,"type":"article-journal","title":"Iron Overload in Patients With Chronic Liver Disease","container-title":"Gastroenterology &amp; Hepatology","page":"695-698","volume":"12","issue":"11","source":"PubMed Central","ISSN":"1554-7914","note":"PMID: 28035198\nPMCID: PMC5193089","journalAbbreviation":"Gastroenterol Hepatol (N Y)","author":[{"family":"Kowdley","given":"Kris V."}],"issued":{"date-parts":[["2016",11]]}}}],"schema":"https://github.com/citation-style-language/schema/raw/master/csl-citation.json"} </w:instrText>
      </w:r>
      <w:r w:rsidR="00FA0F6D" w:rsidRPr="007F5A49">
        <w:rPr>
          <w:rFonts w:ascii="Book Antiqua" w:hAnsi="Book Antiqua" w:cs="Arial"/>
          <w:vertAlign w:val="superscript"/>
          <w:lang w:val="en-US"/>
        </w:rPr>
        <w:fldChar w:fldCharType="separate"/>
      </w:r>
      <w:r w:rsidR="000633AF" w:rsidRPr="007F5A49">
        <w:rPr>
          <w:rFonts w:ascii="Book Antiqua" w:hAnsi="Book Antiqua"/>
          <w:vertAlign w:val="superscript"/>
          <w:lang w:val="en-US"/>
        </w:rPr>
        <w:t>[</w:t>
      </w:r>
      <w:r w:rsidR="00D2645C" w:rsidRPr="007F5A49">
        <w:rPr>
          <w:rFonts w:ascii="Book Antiqua" w:hAnsi="Book Antiqua"/>
          <w:vertAlign w:val="superscript"/>
          <w:lang w:val="en-US"/>
        </w:rPr>
        <w:t>2</w:t>
      </w:r>
      <w:r w:rsidR="00FA0F6D" w:rsidRPr="007F5A49">
        <w:rPr>
          <w:rFonts w:ascii="Book Antiqua" w:hAnsi="Book Antiqua" w:cs="Arial"/>
          <w:vertAlign w:val="superscript"/>
          <w:lang w:val="en-US"/>
        </w:rPr>
        <w:fldChar w:fldCharType="end"/>
      </w:r>
      <w:r w:rsidR="000633AF" w:rsidRPr="007F5A49">
        <w:rPr>
          <w:rFonts w:ascii="Book Antiqua" w:hAnsi="Book Antiqua" w:cs="Arial"/>
          <w:vertAlign w:val="superscript"/>
          <w:lang w:val="en-US"/>
        </w:rPr>
        <w:t>]</w:t>
      </w:r>
      <w:r w:rsidR="00FA0F6D" w:rsidRPr="007F5A49">
        <w:rPr>
          <w:rFonts w:ascii="Book Antiqua" w:hAnsi="Book Antiqua" w:cs="Arial"/>
          <w:lang w:val="en-US"/>
        </w:rPr>
        <w:t>.</w:t>
      </w:r>
      <w:r w:rsidR="00CD77BF" w:rsidRPr="007F5A49">
        <w:rPr>
          <w:rFonts w:ascii="Book Antiqua" w:hAnsi="Book Antiqua" w:cs="Arial"/>
          <w:lang w:val="en-US"/>
        </w:rPr>
        <w:t xml:space="preserve"> </w:t>
      </w:r>
      <w:r w:rsidR="00E01930" w:rsidRPr="007F5A49">
        <w:rPr>
          <w:rFonts w:ascii="Book Antiqua" w:hAnsi="Book Antiqua" w:cs="Arial"/>
          <w:lang w:val="en-US"/>
        </w:rPr>
        <w:t>Similarly, i</w:t>
      </w:r>
      <w:r w:rsidR="005A4829" w:rsidRPr="007F5A49">
        <w:rPr>
          <w:rFonts w:ascii="Book Antiqua" w:hAnsi="Book Antiqua" w:cs="Arial"/>
          <w:lang w:val="en-US"/>
        </w:rPr>
        <w:t xml:space="preserve">n NASH patients, </w:t>
      </w:r>
      <w:r w:rsidR="00643372" w:rsidRPr="007F5A49">
        <w:rPr>
          <w:rFonts w:ascii="Book Antiqua" w:hAnsi="Book Antiqua" w:cs="Arial"/>
          <w:lang w:val="en-US"/>
        </w:rPr>
        <w:t xml:space="preserve">phlebotomy </w:t>
      </w:r>
      <w:r w:rsidR="005A4829" w:rsidRPr="007F5A49">
        <w:rPr>
          <w:rFonts w:ascii="Book Antiqua" w:hAnsi="Book Antiqua" w:cs="Arial"/>
          <w:lang w:val="en-US"/>
        </w:rPr>
        <w:t xml:space="preserve">significantly reduced the staining for 7,8-dihydro-8-oxo-2’ </w:t>
      </w:r>
      <w:proofErr w:type="spellStart"/>
      <w:r w:rsidR="005A4829" w:rsidRPr="007F5A49">
        <w:rPr>
          <w:rFonts w:ascii="Book Antiqua" w:hAnsi="Book Antiqua" w:cs="Arial"/>
          <w:lang w:val="en-US"/>
        </w:rPr>
        <w:t>deoxyguanosine</w:t>
      </w:r>
      <w:proofErr w:type="spellEnd"/>
      <w:r w:rsidR="005A4829" w:rsidRPr="007F5A49">
        <w:rPr>
          <w:rFonts w:ascii="Book Antiqua" w:hAnsi="Book Antiqua" w:cs="Arial"/>
          <w:lang w:val="en-US"/>
        </w:rPr>
        <w:t>, a product of oxidative damage to DNA due to iron excess</w:t>
      </w:r>
      <w:r w:rsidR="005A4829" w:rsidRPr="007F5A49">
        <w:rPr>
          <w:rFonts w:ascii="Book Antiqua" w:hAnsi="Book Antiqua" w:cs="Arial"/>
          <w:vertAlign w:val="superscript"/>
          <w:lang w:val="en-US"/>
        </w:rPr>
        <w:fldChar w:fldCharType="begin"/>
      </w:r>
      <w:r w:rsidR="00D2645C" w:rsidRPr="007F5A49">
        <w:rPr>
          <w:rFonts w:ascii="Book Antiqua" w:hAnsi="Book Antiqua" w:cs="Arial"/>
          <w:vertAlign w:val="superscript"/>
          <w:lang w:val="en-US"/>
        </w:rPr>
        <w:instrText xml:space="preserve"> ADDIN ZOTERO_ITEM CSL_CITATION {"citationID":"a1vi4e97bvv","properties":{"formattedCitation":"(118)","plainCitation":"(118)","noteIndex":0},"citationItems":[{"id":"z1PZoHrb/Kk2d3fsq","uris":["http://zotero.org/users/4222068/items/26SN5VTJ"],"uri":["http://zotero.org/users/4222068/items/26SN5VTJ"],"itemData":{"id":1750,"type":"article-journal","title":"Iron overload is associated with hepatic oxidative damage to DNA in nonalcoholic steatohepatitis","container-title":"Cancer Epidemiology, Biomarkers &amp; Prevention: A Publication of the American Association for Cancer Research, Cosponsored by the American Society of Preventive Oncology","page":"424-432","volume":"18","issue":"2","source":"PubMed","abstract":"Several lines of evidence have suggested that oxidative stress plays an important role for the pathogenesis of nonalcoholic steatohepatitis (NASH). Therefore, by using immunohistochemical staining of liver biopsy samples, we measured hepatic 7,8-dihydro-8-oxo-2' deoxyguanosine (8-oxodG), a DNA base-modified product generated by hydroxyl radicals, of 38 NASH patients and compared with 24 simple steatosis and 10 healthy subjects. Relation of hepatic 8-oxodG with clinical, biochemical, and histologic variables and changes after iron reduction therapy (phlebotomy plus iron-restricted diet) were also examined. Hepatic 8-oxodG levels were significantly higher in NASH compared with simple steatosis (17.5 versus 2.0 8-oxodG-positive cells/10(5) microm(2); P &lt; 0.0001). 8-oxodG was significantly related to iron overload condition, glucose-insulin metabolic abnormality, and severities of hepatic steatosis in NASH patients. Logistic regression analysis also showed that hepatic iron deposit and insulin resistance were independent variables associated with elevated hepatic 8-oxodG. After the iron reduction therapy, hepatic 8-oxodG levels were significantly decreased (from 20.7 to 13.8 positive cells/10(5) microm(2); P &lt; 0.01) with concomitant reductions of serum transaminase levels in NASH patients. In conclusion, iron overload may play an important role in the pathogenesis of NASH by generating oxidative DNA damage and iron reduction therapy may reduce hepatocellular carcinoma incidence in patients with NASH.","DOI":"10.1158/1055-9965.EPI-08-0725","ISSN":"1055-9965","note":"PMID: 19190144","journalAbbreviation":"Cancer Epidemiol. Biomarkers Prev.","language":"eng","author":[{"family":"Fujita","given":"Naoki"},{"family":"Miyachi","given":"Hirohide"},{"family":"Tanaka","given":"Hideaki"},{"family":"Takeo","given":"Masaki"},{"family":"Nakagawa","given":"Naoki"},{"family":"Kobayashi","given":"Yoshinao"},{"family":"Iwasa","given":"Motoh"},{"family":"Watanabe","given":"Shozo"},{"family":"Takei","given":"Yoshiyuki"}],"issued":{"date-parts":[["2009",2]]}}}],"schema":"https://github.com/citation-style-language/schema/raw/master/csl-citation.json"} </w:instrText>
      </w:r>
      <w:r w:rsidR="005A4829" w:rsidRPr="007F5A49">
        <w:rPr>
          <w:rFonts w:ascii="Book Antiqua" w:hAnsi="Book Antiqua" w:cs="Arial"/>
          <w:vertAlign w:val="superscript"/>
          <w:lang w:val="en-US"/>
        </w:rPr>
        <w:fldChar w:fldCharType="separate"/>
      </w:r>
      <w:r w:rsidR="000633AF" w:rsidRPr="007F5A49">
        <w:rPr>
          <w:rFonts w:ascii="Book Antiqua" w:hAnsi="Book Antiqua"/>
          <w:vertAlign w:val="superscript"/>
          <w:lang w:val="en-US"/>
        </w:rPr>
        <w:t>[</w:t>
      </w:r>
      <w:r w:rsidR="00D2645C" w:rsidRPr="007F5A49">
        <w:rPr>
          <w:rFonts w:ascii="Book Antiqua" w:hAnsi="Book Antiqua"/>
          <w:vertAlign w:val="superscript"/>
          <w:lang w:val="en-US"/>
        </w:rPr>
        <w:t>118</w:t>
      </w:r>
      <w:r w:rsidR="005A4829" w:rsidRPr="007F5A49">
        <w:rPr>
          <w:rFonts w:ascii="Book Antiqua" w:hAnsi="Book Antiqua" w:cs="Arial"/>
          <w:vertAlign w:val="superscript"/>
          <w:lang w:val="en-US"/>
        </w:rPr>
        <w:fldChar w:fldCharType="end"/>
      </w:r>
      <w:r w:rsidR="000633AF" w:rsidRPr="007F5A49">
        <w:rPr>
          <w:rFonts w:ascii="Book Antiqua" w:hAnsi="Book Antiqua" w:cs="Arial"/>
          <w:vertAlign w:val="superscript"/>
          <w:lang w:val="en-US"/>
        </w:rPr>
        <w:t>]</w:t>
      </w:r>
      <w:r w:rsidR="005A4829" w:rsidRPr="007F5A49">
        <w:rPr>
          <w:rFonts w:ascii="Book Antiqua" w:hAnsi="Book Antiqua" w:cs="Arial"/>
          <w:lang w:val="en-US"/>
        </w:rPr>
        <w:t>.</w:t>
      </w:r>
      <w:r w:rsidR="00E926DE" w:rsidRPr="007F5A49">
        <w:rPr>
          <w:rFonts w:ascii="Book Antiqua" w:hAnsi="Book Antiqua" w:cs="Arial"/>
          <w:lang w:val="en-US"/>
        </w:rPr>
        <w:t xml:space="preserve"> It </w:t>
      </w:r>
      <w:r w:rsidR="000D4858" w:rsidRPr="007F5A49">
        <w:rPr>
          <w:rFonts w:ascii="Book Antiqua" w:hAnsi="Book Antiqua" w:cs="Arial"/>
          <w:lang w:val="en-US"/>
        </w:rPr>
        <w:t xml:space="preserve">improved glucose tolerance, insulin sensitivity in type II diabetics with </w:t>
      </w:r>
      <w:proofErr w:type="spellStart"/>
      <w:r w:rsidR="000D4858" w:rsidRPr="007F5A49">
        <w:rPr>
          <w:rFonts w:ascii="Book Antiqua" w:hAnsi="Book Antiqua" w:cs="Arial"/>
          <w:lang w:val="en-US"/>
        </w:rPr>
        <w:t>hyperferritinemia</w:t>
      </w:r>
      <w:proofErr w:type="spellEnd"/>
      <w:r w:rsidR="000D4858" w:rsidRPr="007F5A49">
        <w:rPr>
          <w:rFonts w:ascii="Book Antiqua" w:hAnsi="Book Antiqua" w:cs="Arial"/>
          <w:lang w:val="en-US"/>
        </w:rPr>
        <w:t xml:space="preserve">, and liver histology in majority of NAFLD patients in a </w:t>
      </w:r>
      <w:proofErr w:type="spellStart"/>
      <w:r w:rsidR="000D4858" w:rsidRPr="007F5A49">
        <w:rPr>
          <w:rFonts w:ascii="Book Antiqua" w:hAnsi="Book Antiqua" w:cs="Arial"/>
          <w:lang w:val="en-US"/>
        </w:rPr>
        <w:t>randomised</w:t>
      </w:r>
      <w:proofErr w:type="spellEnd"/>
      <w:r w:rsidR="000D4858" w:rsidRPr="007F5A49">
        <w:rPr>
          <w:rFonts w:ascii="Book Antiqua" w:hAnsi="Book Antiqua" w:cs="Arial"/>
          <w:lang w:val="en-US"/>
        </w:rPr>
        <w:t xml:space="preserve"> controlled trial</w:t>
      </w:r>
      <w:r w:rsidR="001C157C" w:rsidRPr="007F5A49">
        <w:rPr>
          <w:rFonts w:ascii="Book Antiqua" w:hAnsi="Book Antiqua" w:cs="Arial"/>
          <w:vertAlign w:val="superscript"/>
          <w:lang w:val="en-US"/>
        </w:rPr>
        <w:fldChar w:fldCharType="begin"/>
      </w:r>
      <w:r w:rsidR="00D2645C" w:rsidRPr="007F5A49">
        <w:rPr>
          <w:rFonts w:ascii="Book Antiqua" w:hAnsi="Book Antiqua" w:cs="Arial"/>
          <w:vertAlign w:val="superscript"/>
          <w:lang w:val="en-US"/>
        </w:rPr>
        <w:instrText xml:space="preserve"> ADDIN ZOTERO_ITEM CSL_CITATION {"citationID":"a2kiiep1j5o","properties":{"formattedCitation":"(79)","plainCitation":"(79)","noteIndex":0},"citationItems":[{"id":287,"uris":["http://zotero.org/users/2804724/items/V473K37H"],"uri":["http://zotero.org/users/2804724/items/V473K37H"],"itemData":{"id":287,"type":"article-journal","title":"Iron and non-alcoholic fatty liver disease","container-title":"World Journal of Gastroenterology","page":"8112-8122","volume":"22","issue":"36","source":"PubMed Central","abstract":"The mechanisms that promote liver injury in non-alcoholic fatty liver disease (NAFLD) are yet to be thoroughly elucidated. As such, effective treatment strategies are lacking and novel therapeutic targets are required. Iron has been widely implicated in the pathogenesis of NAFLD and represents a potential target for treatment. Relationships between serum ferritin concentration and NAFLD are noted in a majority of studies, although serum ferritin is an imprecise measure of iron loading. Numerous mechanisms for a pathogenic role of hepatic iron in NAFLD have been demonstrated in animal and cell culture models. However, the human data linking hepatic iron to liver injury in NAFLD is less clear, with seemingly conflicting evidence, supporting either an effect of iron in hepatocytes or within reticulo-endothelial cells. Adipose tissue has emerged as a key site at which iron may have a pathogenic role in NAFLD. Evidence for this comes indirectly from studies that have evaluated the role of adipose tissue iron with respect to insulin resistance. Adding further complexity, multiple strands of evidence support an effect of NAFLD itself on iron metabolism. In this review, we summarise the human and basic science data that has evaluated the role of iron in NAFLD pathogenesis.","DOI":"10.3748/wjg.v22.i36.8112","ISSN":"1007-9327","note":"PMID: 27688653\nPMCID: PMC5037080","journalAbbreviation":"World J Gastroenterol","author":[{"family":"Britton","given":"Laurence J"},{"family":"Subramaniam","given":"V Nathan"},{"family":"Crawford","given":"Darrell HG"}],"issued":{"date-parts":[["2016",9,28]]}}}],"schema":"https://github.com/citation-style-language/schema/raw/master/csl-citation.json"} </w:instrText>
      </w:r>
      <w:r w:rsidR="001C157C" w:rsidRPr="007F5A49">
        <w:rPr>
          <w:rFonts w:ascii="Book Antiqua" w:hAnsi="Book Antiqua" w:cs="Arial"/>
          <w:vertAlign w:val="superscript"/>
          <w:lang w:val="en-US"/>
        </w:rPr>
        <w:fldChar w:fldCharType="separate"/>
      </w:r>
      <w:r w:rsidR="000633AF" w:rsidRPr="007F5A49">
        <w:rPr>
          <w:rFonts w:ascii="Book Antiqua" w:hAnsi="Book Antiqua"/>
          <w:vertAlign w:val="superscript"/>
          <w:lang w:val="en-US"/>
        </w:rPr>
        <w:t>[</w:t>
      </w:r>
      <w:r w:rsidR="00D2645C" w:rsidRPr="007F5A49">
        <w:rPr>
          <w:rFonts w:ascii="Book Antiqua" w:hAnsi="Book Antiqua"/>
          <w:vertAlign w:val="superscript"/>
          <w:lang w:val="en-US"/>
        </w:rPr>
        <w:t>79</w:t>
      </w:r>
      <w:r w:rsidR="001C157C" w:rsidRPr="007F5A49">
        <w:rPr>
          <w:rFonts w:ascii="Book Antiqua" w:hAnsi="Book Antiqua" w:cs="Arial"/>
          <w:vertAlign w:val="superscript"/>
          <w:lang w:val="en-US"/>
        </w:rPr>
        <w:fldChar w:fldCharType="end"/>
      </w:r>
      <w:r w:rsidR="000633AF" w:rsidRPr="007F5A49">
        <w:rPr>
          <w:rFonts w:ascii="Book Antiqua" w:hAnsi="Book Antiqua" w:cs="Arial"/>
          <w:vertAlign w:val="superscript"/>
          <w:lang w:val="en-US"/>
        </w:rPr>
        <w:t>]</w:t>
      </w:r>
      <w:r w:rsidR="000D4858" w:rsidRPr="007F5A49">
        <w:rPr>
          <w:rFonts w:ascii="Book Antiqua" w:hAnsi="Book Antiqua" w:cs="Arial"/>
          <w:lang w:val="en-US"/>
        </w:rPr>
        <w:t xml:space="preserve">. </w:t>
      </w:r>
      <w:r w:rsidR="00E01930" w:rsidRPr="007F5A49">
        <w:rPr>
          <w:rFonts w:ascii="Book Antiqua" w:hAnsi="Book Antiqua" w:cs="Arial"/>
          <w:lang w:val="en-US"/>
        </w:rPr>
        <w:t>I</w:t>
      </w:r>
      <w:r w:rsidR="00E926DE" w:rsidRPr="007F5A49">
        <w:rPr>
          <w:rFonts w:ascii="Book Antiqua" w:hAnsi="Book Antiqua" w:cs="Arial"/>
          <w:lang w:val="en-US"/>
        </w:rPr>
        <w:t>t</w:t>
      </w:r>
      <w:r w:rsidR="006426BF" w:rsidRPr="007F5A49">
        <w:rPr>
          <w:rFonts w:ascii="Book Antiqua" w:hAnsi="Book Antiqua" w:cs="Arial"/>
          <w:lang w:val="en-US"/>
        </w:rPr>
        <w:t xml:space="preserve"> also</w:t>
      </w:r>
      <w:r w:rsidR="00E926DE" w:rsidRPr="007F5A49">
        <w:rPr>
          <w:rFonts w:ascii="Book Antiqua" w:hAnsi="Book Antiqua" w:cs="Arial"/>
          <w:lang w:val="en-US"/>
        </w:rPr>
        <w:t xml:space="preserve"> improved </w:t>
      </w:r>
      <w:r w:rsidR="000D4858" w:rsidRPr="007F5A49">
        <w:rPr>
          <w:rFonts w:ascii="Book Antiqua" w:hAnsi="Book Antiqua" w:cs="Arial"/>
          <w:lang w:val="en-US"/>
        </w:rPr>
        <w:t>ALT</w:t>
      </w:r>
      <w:r w:rsidR="00E926DE" w:rsidRPr="007F5A49">
        <w:rPr>
          <w:rFonts w:ascii="Book Antiqua" w:hAnsi="Book Antiqua" w:cs="Arial"/>
          <w:lang w:val="en-US"/>
        </w:rPr>
        <w:t xml:space="preserve"> levels</w:t>
      </w:r>
      <w:r w:rsidR="000D4858" w:rsidRPr="007F5A49">
        <w:rPr>
          <w:rFonts w:ascii="Book Antiqua" w:hAnsi="Book Antiqua" w:cs="Arial"/>
          <w:lang w:val="en-US"/>
        </w:rPr>
        <w:t xml:space="preserve"> and glucose-induced-insulin-response in c</w:t>
      </w:r>
      <w:r w:rsidR="001D1200" w:rsidRPr="007F5A49">
        <w:rPr>
          <w:rFonts w:ascii="Book Antiqua" w:hAnsi="Book Antiqua" w:cs="Arial"/>
          <w:lang w:val="en-US"/>
        </w:rPr>
        <w:t>arbohydrate-intolerant non-iron-</w:t>
      </w:r>
      <w:r w:rsidR="000D4858" w:rsidRPr="007F5A49">
        <w:rPr>
          <w:rFonts w:ascii="Book Antiqua" w:hAnsi="Book Antiqua" w:cs="Arial"/>
          <w:lang w:val="en-US"/>
        </w:rPr>
        <w:t>overloaded NAFLD patients</w:t>
      </w:r>
      <w:r w:rsidR="000D4858" w:rsidRPr="007F5A49">
        <w:rPr>
          <w:rFonts w:ascii="Book Antiqua" w:hAnsi="Book Antiqua" w:cs="Arial"/>
          <w:vertAlign w:val="superscript"/>
          <w:lang w:val="en-US"/>
        </w:rPr>
        <w:fldChar w:fldCharType="begin"/>
      </w:r>
      <w:r w:rsidR="00D2645C" w:rsidRPr="007F5A49">
        <w:rPr>
          <w:rFonts w:ascii="Book Antiqua" w:hAnsi="Book Antiqua" w:cs="Arial"/>
          <w:vertAlign w:val="superscript"/>
          <w:lang w:val="en-US"/>
        </w:rPr>
        <w:instrText xml:space="preserve"> ADDIN ZOTERO_ITEM CSL_CITATION {"citationID":"a1lg6kjlk94","properties":{"formattedCitation":"(119)","plainCitation":"(119)","noteIndex":0},"citationItems":[{"id":"z1PZoHrb/cM38TtGp","uris":["http://zotero.org/users/4222068/items/RTAPIA68"],"uri":["http://zotero.org/users/4222068/items/RTAPIA68"],"itemData":{"id":1182,"type":"article-journal","title":"Effect of iron depletion in carbohydrate-intolerant patients with clinical evidence of nonalcoholic fatty liver disease","container-title":"Gastroenterology","page":"931-939","volume":"122","issue":"4","source":"PubMed","abstract":"BACKGROUND &amp; AIMS: Increased body iron, genetic hemochromatosis (GH) mutations, and nonalcoholic fatty liver disease (NAFLD) tend to cluster in carbohydrate-intolerant patients. In an attempt to further clarify the interrelationships among these conditions, we studied 42 carbohydrate-intolerant patients who were free of the common GH mutations C282Y and H63D, and had a serum iron saturation lower than 50%.\nMETHODS: We measured body iron stores, and induced iron depletion to a level of near-iron deficiency (NID) by quantitative phlebotomy.\nRESULTS: In the 17 patients with clinical evidence of NAFLD, we could not demonstrate supranormal levels of body iron (1.6 +/- 0.2 vs. 1.4 +/- 0.2 g; P = 0.06). However, at NID, there was a 40%-55% improvement (P = 0.05-0.0001) of both fasting and glucose-stimulated plasma insulin concentrations, and near-normalization of serum alanine aminotransferase activity (from 61 +/- 5 to 32 +/- 2 IU/L; P &lt; 0.001).\nCONCLUSIONS: These results reflect the insulin-sparing effect of iron depletion and indicate a key role of iron and hyperinsulinemia in the pathogenesis of NAFLD.","ISSN":"0016-5085","note":"PMID: 11910345","journalAbbreviation":"Gastroenterology","language":"eng","author":[{"family":"Facchini","given":"Francesco S."},{"family":"Hua","given":"Nancy W."},{"family":"Stoohs","given":"Riccardo A."}],"issued":{"date-parts":[["2002",4]]}}}],"schema":"https://github.com/citation-style-language/schema/raw/master/csl-citation.json"} </w:instrText>
      </w:r>
      <w:r w:rsidR="000D4858" w:rsidRPr="007F5A49">
        <w:rPr>
          <w:rFonts w:ascii="Book Antiqua" w:hAnsi="Book Antiqua" w:cs="Arial"/>
          <w:vertAlign w:val="superscript"/>
          <w:lang w:val="en-US"/>
        </w:rPr>
        <w:fldChar w:fldCharType="separate"/>
      </w:r>
      <w:r w:rsidR="000633AF" w:rsidRPr="007F5A49">
        <w:rPr>
          <w:rFonts w:ascii="Book Antiqua" w:hAnsi="Book Antiqua"/>
          <w:vertAlign w:val="superscript"/>
          <w:lang w:val="en-US"/>
        </w:rPr>
        <w:t>[</w:t>
      </w:r>
      <w:r w:rsidR="00D2645C" w:rsidRPr="007F5A49">
        <w:rPr>
          <w:rFonts w:ascii="Book Antiqua" w:hAnsi="Book Antiqua"/>
          <w:vertAlign w:val="superscript"/>
          <w:lang w:val="en-US"/>
        </w:rPr>
        <w:t>119</w:t>
      </w:r>
      <w:r w:rsidR="000D4858" w:rsidRPr="007F5A49">
        <w:rPr>
          <w:rFonts w:ascii="Book Antiqua" w:hAnsi="Book Antiqua" w:cs="Arial"/>
          <w:vertAlign w:val="superscript"/>
          <w:lang w:val="en-US"/>
        </w:rPr>
        <w:fldChar w:fldCharType="end"/>
      </w:r>
      <w:r w:rsidR="000633AF" w:rsidRPr="007F5A49">
        <w:rPr>
          <w:rFonts w:ascii="Book Antiqua" w:hAnsi="Book Antiqua" w:cs="Arial"/>
          <w:vertAlign w:val="superscript"/>
          <w:lang w:val="en-US"/>
        </w:rPr>
        <w:t>]</w:t>
      </w:r>
      <w:r w:rsidR="000D4858" w:rsidRPr="007F5A49">
        <w:rPr>
          <w:rFonts w:ascii="Book Antiqua" w:hAnsi="Book Antiqua" w:cs="Arial"/>
          <w:lang w:val="en-US"/>
        </w:rPr>
        <w:t>, insulin resistance in NAFLD patients without impaired glucose tolerance</w:t>
      </w:r>
      <w:r w:rsidR="000D4858" w:rsidRPr="007F5A49">
        <w:rPr>
          <w:rFonts w:ascii="Book Antiqua" w:hAnsi="Book Antiqua" w:cs="Arial"/>
          <w:vertAlign w:val="superscript"/>
          <w:lang w:val="en-US"/>
        </w:rPr>
        <w:fldChar w:fldCharType="begin"/>
      </w:r>
      <w:r w:rsidR="00D2645C" w:rsidRPr="007F5A49">
        <w:rPr>
          <w:rFonts w:ascii="Book Antiqua" w:hAnsi="Book Antiqua" w:cs="Arial"/>
          <w:vertAlign w:val="superscript"/>
          <w:lang w:val="en-US"/>
        </w:rPr>
        <w:instrText xml:space="preserve"> ADDIN ZOTERO_ITEM CSL_CITATION {"citationID":"a1p4cq054c6","properties":{"formattedCitation":"(120)","plainCitation":"(120)","noteIndex":0},"citationItems":[{"id":"z1PZoHrb/VQ7AJvmn","uris":["http://zotero.org/users/4222068/items/AUPLDDDD"],"uri":["http://zotero.org/users/4222068/items/AUPLDDDD"],"itemData":{"id":1738,"type":"article-journal","title":"Effect of iron depletion in patients with nonalcoholic fatty liver disease without carbohydrate intolerance","container-title":"Gastroenterology","page":"866; author reply 866-867","volume":"124","issue":"3","source":"PubMed","DOI":"10.1053/gast.2003.50130","ISSN":"0016-5085","note":"PMID: 12612935","journalAbbreviation":"Gastroenterology","language":"eng","author":[{"family":"Valenti","given":"Luca"},{"family":"Fracanzani","given":"Anna Ludovica"},{"family":"Fargion","given":"Silvia"}],"issued":{"date-parts":[["2003",3]]}}}],"schema":"https://github.com/citation-style-language/schema/raw/master/csl-citation.json"} </w:instrText>
      </w:r>
      <w:r w:rsidR="000D4858" w:rsidRPr="007F5A49">
        <w:rPr>
          <w:rFonts w:ascii="Book Antiqua" w:hAnsi="Book Antiqua" w:cs="Arial"/>
          <w:vertAlign w:val="superscript"/>
          <w:lang w:val="en-US"/>
        </w:rPr>
        <w:fldChar w:fldCharType="separate"/>
      </w:r>
      <w:r w:rsidR="000633AF" w:rsidRPr="007F5A49">
        <w:rPr>
          <w:rFonts w:ascii="Book Antiqua" w:hAnsi="Book Antiqua"/>
          <w:vertAlign w:val="superscript"/>
          <w:lang w:val="en-US"/>
        </w:rPr>
        <w:t>[</w:t>
      </w:r>
      <w:r w:rsidR="00D2645C" w:rsidRPr="007F5A49">
        <w:rPr>
          <w:rFonts w:ascii="Book Antiqua" w:hAnsi="Book Antiqua"/>
          <w:vertAlign w:val="superscript"/>
          <w:lang w:val="en-US"/>
        </w:rPr>
        <w:t>120</w:t>
      </w:r>
      <w:r w:rsidR="000D4858" w:rsidRPr="007F5A49">
        <w:rPr>
          <w:rFonts w:ascii="Book Antiqua" w:hAnsi="Book Antiqua" w:cs="Arial"/>
          <w:vertAlign w:val="superscript"/>
          <w:lang w:val="en-US"/>
        </w:rPr>
        <w:fldChar w:fldCharType="end"/>
      </w:r>
      <w:r w:rsidR="000633AF" w:rsidRPr="007F5A49">
        <w:rPr>
          <w:rFonts w:ascii="Book Antiqua" w:hAnsi="Book Antiqua" w:cs="Arial"/>
          <w:vertAlign w:val="superscript"/>
          <w:lang w:val="en-US"/>
        </w:rPr>
        <w:t>]</w:t>
      </w:r>
      <w:r w:rsidR="000D4858" w:rsidRPr="007F5A49">
        <w:rPr>
          <w:rFonts w:ascii="Book Antiqua" w:hAnsi="Book Antiqua" w:cs="Arial"/>
          <w:lang w:val="en-US"/>
        </w:rPr>
        <w:t xml:space="preserve"> and ALT, AST and liver histology in NAFLD</w:t>
      </w:r>
      <w:r w:rsidR="006426BF" w:rsidRPr="007F5A49">
        <w:rPr>
          <w:rFonts w:ascii="Book Antiqua" w:hAnsi="Book Antiqua" w:cs="Arial"/>
          <w:lang w:val="en-US"/>
        </w:rPr>
        <w:t xml:space="preserve"> </w:t>
      </w:r>
      <w:r w:rsidR="000D4858" w:rsidRPr="007F5A49">
        <w:rPr>
          <w:rFonts w:ascii="Book Antiqua" w:hAnsi="Book Antiqua" w:cs="Arial"/>
          <w:lang w:val="en-US"/>
        </w:rPr>
        <w:t xml:space="preserve">with </w:t>
      </w:r>
      <w:proofErr w:type="spellStart"/>
      <w:r w:rsidR="000D4858" w:rsidRPr="007F5A49">
        <w:rPr>
          <w:rFonts w:ascii="Book Antiqua" w:hAnsi="Book Antiqua" w:cs="Arial"/>
          <w:lang w:val="en-US"/>
        </w:rPr>
        <w:t>hyperferritinemia</w:t>
      </w:r>
      <w:proofErr w:type="spellEnd"/>
      <w:r w:rsidR="000D4858" w:rsidRPr="007F5A49">
        <w:rPr>
          <w:rFonts w:ascii="Book Antiqua" w:hAnsi="Book Antiqua" w:cs="Arial"/>
          <w:vertAlign w:val="superscript"/>
          <w:lang w:val="en-US"/>
        </w:rPr>
        <w:fldChar w:fldCharType="begin"/>
      </w:r>
      <w:r w:rsidR="00D2645C" w:rsidRPr="007F5A49">
        <w:rPr>
          <w:rFonts w:ascii="Book Antiqua" w:hAnsi="Book Antiqua" w:cs="Arial"/>
          <w:vertAlign w:val="superscript"/>
          <w:lang w:val="en-US"/>
        </w:rPr>
        <w:instrText xml:space="preserve"> ADDIN ZOTERO_ITEM CSL_CITATION {"citationID":"a8afberhru","properties":{"formattedCitation":"(121)","plainCitation":"(121)","noteIndex":0},"citationItems":[{"id":62,"uris":["http://zotero.org/users/2804724/items/93E9M4FG"],"uri":["http://zotero.org/users/2804724/items/93E9M4FG"],"itemData":{"id":62,"type":"article-journal","title":"A randomized trial of iron depletion in patients with nonalcoholic fatty liver disease and hyperferritinemia","container-title":"World Journal of Gastroenterology : WJG","page":"3002-3010","volume":"20","issue":"11","source":"PubMed Central","abstract":"AIM: To compare iron depletion to lifestyle changes alone in patients with severe nonalcoholic fatty liver disease (NAFLD) and hyperferritinemia, a frequent feature associated with more severe liver damage, despite at least 6 mo of lifestyle changes., METHODS: Eligible subjects had to be 18-75 years old who underwent liver biopsy for ultrasonographically detected liver steatosis and hyperferritinemia, ferritin levels ≥ 250 ng/mL, and NAFLD activity score &gt; 1. Iron depletion had to be achieved by removing 350 cc of blood every 10-15 d according to baseline hemoglobin values and venesection tolerance, until ferritin &lt; 30 ng/mL and/or transferrin saturation (TS) &lt; 25%. Thirty-eight patients were randomized 1:1 to phlebotomy (n = 21) or lifestyle changes alone (n = 17). The main outcome of the study was improvement in liver damage according to the NAFLD activity score at 2 years, secondary outcomes were improvements in liver enzymes [alanine aminotransferases (ALT), aspartate aminotransferase (AST), and gamma-glutamyl-transferases (GGT)]., RESULTS: Phlebotomy was associated with normalization of iron parameters without adverse events. In the 21 patients compliant to the study protocol, the rate of histological improvement was higher in iron depleted vs control subjects (8/12, 67% vs 2/9, 22%, P = 0.039). There was a better improvement in steatosis grade in iron depleted vs control patients (P = 0.02). In patients followed-up at two years (n = 35), ALT, AST, and GGT levels were lower in iron-depleted than in control patients (P &lt; 0.05). The prevalence of subjects with improvement in histological damage or, in the absence of liver biopsy, ALT decrease ≥ 20% (associated with histological improvement in biopsied patients) was higher in the phlebotomy than in the control arm (P = 0.022). The effect of iron depletion on liver damage improvement as assessed by histology or ALT decrease ≥ 20% was independent of baseline AST/ALT ratio and insulin resistance (P = 0.0001)., CONCLUSION: Iron depletion by phlebotomy is likely associated with a higher rate of improvement of histological liver damage than lifestyle changes alone in patients with NAFLD and hyperferritinemia, and with amelioration of liver enzymes.","DOI":"10.3748/wjg.v20.i11.3002","ISSN":"1007-9327","note":"PMID: 24659891\nPMCID: PMC3961977","journalAbbreviation":"World J Gastroenterol","author":[{"family":"Valenti","given":"Luca"},{"family":"Fracanzani","given":"Anna Ludovica"},{"family":"Dongiovanni","given":"Paola"},{"family":"Rovida","given":"Serena"},{"family":"Rametta","given":"Raffaela"},{"family":"Fatta","given":"Erika"},{"family":"Pulixi","given":"Edoardo Alessandro"},{"family":"Maggioni","given":"Marco"},{"family":"Fargion","given":"Silvia"}],"issued":{"date-parts":[["2014",3,21]]}}}],"schema":"https://github.com/citation-style-language/schema/raw/master/csl-citation.json"} </w:instrText>
      </w:r>
      <w:r w:rsidR="000D4858" w:rsidRPr="007F5A49">
        <w:rPr>
          <w:rFonts w:ascii="Book Antiqua" w:hAnsi="Book Antiqua" w:cs="Arial"/>
          <w:vertAlign w:val="superscript"/>
          <w:lang w:val="en-US"/>
        </w:rPr>
        <w:fldChar w:fldCharType="separate"/>
      </w:r>
      <w:r w:rsidR="000633AF" w:rsidRPr="007F5A49">
        <w:rPr>
          <w:rFonts w:ascii="Book Antiqua" w:hAnsi="Book Antiqua"/>
          <w:vertAlign w:val="superscript"/>
          <w:lang w:val="en-US"/>
        </w:rPr>
        <w:t>[</w:t>
      </w:r>
      <w:r w:rsidR="00D2645C" w:rsidRPr="007F5A49">
        <w:rPr>
          <w:rFonts w:ascii="Book Antiqua" w:hAnsi="Book Antiqua"/>
          <w:vertAlign w:val="superscript"/>
          <w:lang w:val="en-US"/>
        </w:rPr>
        <w:t>121</w:t>
      </w:r>
      <w:r w:rsidR="000D4858" w:rsidRPr="007F5A49">
        <w:rPr>
          <w:rFonts w:ascii="Book Antiqua" w:hAnsi="Book Antiqua" w:cs="Arial"/>
          <w:vertAlign w:val="superscript"/>
          <w:lang w:val="en-US"/>
        </w:rPr>
        <w:fldChar w:fldCharType="end"/>
      </w:r>
      <w:r w:rsidR="000633AF" w:rsidRPr="007F5A49">
        <w:rPr>
          <w:rFonts w:ascii="Book Antiqua" w:hAnsi="Book Antiqua" w:cs="Arial"/>
          <w:vertAlign w:val="superscript"/>
          <w:lang w:val="en-US"/>
        </w:rPr>
        <w:t>]</w:t>
      </w:r>
      <w:r w:rsidR="000D4858" w:rsidRPr="007F5A49">
        <w:rPr>
          <w:rFonts w:ascii="Book Antiqua" w:hAnsi="Book Antiqua" w:cs="Arial"/>
          <w:lang w:val="en-US"/>
        </w:rPr>
        <w:t>.</w:t>
      </w:r>
      <w:r w:rsidR="0045150B" w:rsidRPr="007F5A49">
        <w:rPr>
          <w:rFonts w:ascii="Book Antiqua" w:hAnsi="Book Antiqua" w:cs="Arial"/>
          <w:lang w:val="en-US"/>
        </w:rPr>
        <w:t xml:space="preserve"> </w:t>
      </w:r>
      <w:r w:rsidR="00521C20" w:rsidRPr="007F5A49">
        <w:rPr>
          <w:rFonts w:ascii="Book Antiqua" w:hAnsi="Book Antiqua" w:cs="Arial"/>
          <w:lang w:val="en-US"/>
        </w:rPr>
        <w:t xml:space="preserve">In contrast, </w:t>
      </w:r>
      <w:r w:rsidR="001D1200" w:rsidRPr="007F5A49">
        <w:rPr>
          <w:rFonts w:ascii="Book Antiqua" w:hAnsi="Book Antiqua" w:cs="Arial"/>
          <w:lang w:val="en-US"/>
        </w:rPr>
        <w:t xml:space="preserve">phlebotomy showed no effect on liver enzymes, hepatic fat or insulin resistance in </w:t>
      </w:r>
      <w:r w:rsidR="00521C20" w:rsidRPr="007F5A49">
        <w:rPr>
          <w:rFonts w:ascii="Book Antiqua" w:hAnsi="Book Antiqua" w:cs="Arial"/>
          <w:lang w:val="en-US"/>
        </w:rPr>
        <w:t xml:space="preserve">a study in </w:t>
      </w:r>
      <w:r w:rsidR="001D1200" w:rsidRPr="007F5A49">
        <w:rPr>
          <w:rFonts w:ascii="Book Antiqua" w:hAnsi="Book Antiqua" w:cs="Arial"/>
          <w:lang w:val="en-US"/>
        </w:rPr>
        <w:t>NAFLD patients</w:t>
      </w:r>
      <w:r w:rsidR="000D4858" w:rsidRPr="007F5A49">
        <w:rPr>
          <w:rFonts w:ascii="Book Antiqua" w:hAnsi="Book Antiqua" w:cs="Arial"/>
          <w:vertAlign w:val="superscript"/>
          <w:lang w:val="en-US"/>
        </w:rPr>
        <w:fldChar w:fldCharType="begin"/>
      </w:r>
      <w:r w:rsidR="00D2645C" w:rsidRPr="007F5A49">
        <w:rPr>
          <w:rFonts w:ascii="Book Antiqua" w:hAnsi="Book Antiqua" w:cs="Arial"/>
          <w:vertAlign w:val="superscript"/>
          <w:lang w:val="en-US"/>
        </w:rPr>
        <w:instrText xml:space="preserve"> ADDIN ZOTERO_ITEM CSL_CITATION {"citationID":"yLRiCzzI","properties":{"formattedCitation":"(122)","plainCitation":"(122)","noteIndex":0},"citationItems":[{"id":"z1PZoHrb/jCzILHH5","uris":["http://zotero.org/users/4222068/items/HHQEQM6S"],"uri":["http://zotero.org/users/4222068/items/HHQEQM6S"],"itemData":{"id":1740,"type":"article-journal","title":"The impact of phlebotomy in nonalcoholic fatty liver disease: A prospective, randomized, controlled trial","container-title":"Hepatology (Baltimore, Md.)","page":"1555-1564","volume":"61","issue":"5","source":"PubMed","abstract":"Iron is implicated in the pathogenesis of liver injury and insulin resistance (IR) and thus phlebotomy has been proposed as a treatment for nonalcoholic fatty liver disease (NAFLD). We performed a prospective 6-month randomized, controlled trial examining the impact of phlebotomy on the background of lifestyle advice in patients with NAFLD. Primary endpoints were hepatic steatosis (HS; quantified by magnetic resonance imaging) and liver injury (determined by alanine aminotransaminase [ALT] and cytokeratin-18 [CK-18]). Secondary endpoints included insulin resistance measured by the insulin sensitivity index (ISI) and homeostasis model of assessment (HOMA), and systemic lipid peroxidation determined by plasma F2-isoprostane levels. A total of 74 subjects were randomized (33 phlebotomy and 41 control). The phlebotomy group underwent a median (range) of 7 (1-19) venesection sessions and had a significantly greater reduction in ferritin levels over 6 months, compared to controls (-148</w:instrText>
      </w:r>
      <w:r w:rsidR="00D2645C" w:rsidRPr="007F5A49">
        <w:rPr>
          <w:rFonts w:ascii="Calibri" w:eastAsia="Calibri" w:hAnsi="Calibri" w:cs="Calibri"/>
          <w:vertAlign w:val="superscript"/>
          <w:lang w:val="en-US"/>
        </w:rPr>
        <w:instrText> </w:instrText>
      </w:r>
      <w:r w:rsidR="00D2645C" w:rsidRPr="007F5A49">
        <w:rPr>
          <w:rFonts w:ascii="Book Antiqua" w:hAnsi="Book Antiqua" w:cs="Book Antiqua"/>
          <w:vertAlign w:val="superscript"/>
          <w:lang w:val="en-US"/>
        </w:rPr>
        <w:instrText>±</w:instrText>
      </w:r>
      <w:r w:rsidR="00D2645C" w:rsidRPr="007F5A49">
        <w:rPr>
          <w:rFonts w:ascii="Calibri" w:eastAsia="Calibri" w:hAnsi="Calibri" w:cs="Calibri"/>
          <w:vertAlign w:val="superscript"/>
          <w:lang w:val="en-US"/>
        </w:rPr>
        <w:instrText> </w:instrText>
      </w:r>
      <w:r w:rsidR="00D2645C" w:rsidRPr="007F5A49">
        <w:rPr>
          <w:rFonts w:ascii="Book Antiqua" w:hAnsi="Book Antiqua" w:cs="Arial"/>
          <w:vertAlign w:val="superscript"/>
          <w:lang w:val="en-US"/>
        </w:rPr>
        <w:instrText>114 vs. -38</w:instrText>
      </w:r>
      <w:r w:rsidR="00D2645C" w:rsidRPr="007F5A49">
        <w:rPr>
          <w:rFonts w:ascii="Calibri" w:eastAsia="Calibri" w:hAnsi="Calibri" w:cs="Calibri"/>
          <w:vertAlign w:val="superscript"/>
          <w:lang w:val="en-US"/>
        </w:rPr>
        <w:instrText> </w:instrText>
      </w:r>
      <w:r w:rsidR="00D2645C" w:rsidRPr="007F5A49">
        <w:rPr>
          <w:rFonts w:ascii="Book Antiqua" w:hAnsi="Book Antiqua" w:cs="Book Antiqua"/>
          <w:vertAlign w:val="superscript"/>
          <w:lang w:val="en-US"/>
        </w:rPr>
        <w:instrText>±</w:instrText>
      </w:r>
      <w:r w:rsidR="00D2645C" w:rsidRPr="007F5A49">
        <w:rPr>
          <w:rFonts w:ascii="Calibri" w:eastAsia="Calibri" w:hAnsi="Calibri" w:cs="Calibri"/>
          <w:vertAlign w:val="superscript"/>
          <w:lang w:val="en-US"/>
        </w:rPr>
        <w:instrText> </w:instrText>
      </w:r>
      <w:r w:rsidR="00D2645C" w:rsidRPr="007F5A49">
        <w:rPr>
          <w:rFonts w:ascii="Book Antiqua" w:hAnsi="Book Antiqua" w:cs="Arial"/>
          <w:vertAlign w:val="superscript"/>
          <w:lang w:val="en-US"/>
        </w:rPr>
        <w:instrText>89 ng/mL; P</w:instrText>
      </w:r>
      <w:r w:rsidR="00D2645C" w:rsidRPr="007F5A49">
        <w:rPr>
          <w:rFonts w:ascii="Calibri" w:eastAsia="Calibri" w:hAnsi="Calibri" w:cs="Calibri"/>
          <w:vertAlign w:val="superscript"/>
          <w:lang w:val="en-US"/>
        </w:rPr>
        <w:instrText> </w:instrText>
      </w:r>
      <w:r w:rsidR="00D2645C" w:rsidRPr="007F5A49">
        <w:rPr>
          <w:rFonts w:ascii="Book Antiqua" w:hAnsi="Book Antiqua" w:cs="Arial"/>
          <w:vertAlign w:val="superscript"/>
          <w:lang w:val="en-US"/>
        </w:rPr>
        <w:instrText>&lt;</w:instrText>
      </w:r>
      <w:r w:rsidR="00D2645C" w:rsidRPr="007F5A49">
        <w:rPr>
          <w:rFonts w:ascii="Calibri" w:eastAsia="Calibri" w:hAnsi="Calibri" w:cs="Calibri"/>
          <w:vertAlign w:val="superscript"/>
          <w:lang w:val="en-US"/>
        </w:rPr>
        <w:instrText> </w:instrText>
      </w:r>
      <w:r w:rsidR="00D2645C" w:rsidRPr="007F5A49">
        <w:rPr>
          <w:rFonts w:ascii="Book Antiqua" w:hAnsi="Book Antiqua" w:cs="Arial"/>
          <w:vertAlign w:val="superscript"/>
          <w:lang w:val="en-US"/>
        </w:rPr>
        <w:instrText>0.001). At 6 months, there was no difference between phlebotomy and control groups in HS (17.7% vs. 15.5%; P</w:instrText>
      </w:r>
      <w:r w:rsidR="00D2645C" w:rsidRPr="007F5A49">
        <w:rPr>
          <w:rFonts w:ascii="Calibri" w:eastAsia="Calibri" w:hAnsi="Calibri" w:cs="Calibri"/>
          <w:vertAlign w:val="superscript"/>
          <w:lang w:val="en-US"/>
        </w:rPr>
        <w:instrText> </w:instrText>
      </w:r>
      <w:r w:rsidR="00D2645C" w:rsidRPr="007F5A49">
        <w:rPr>
          <w:rFonts w:ascii="Book Antiqua" w:hAnsi="Book Antiqua" w:cs="Arial"/>
          <w:vertAlign w:val="superscript"/>
          <w:lang w:val="en-US"/>
        </w:rPr>
        <w:instrText>=</w:instrText>
      </w:r>
      <w:r w:rsidR="00D2645C" w:rsidRPr="007F5A49">
        <w:rPr>
          <w:rFonts w:ascii="Calibri" w:eastAsia="Calibri" w:hAnsi="Calibri" w:cs="Calibri"/>
          <w:vertAlign w:val="superscript"/>
          <w:lang w:val="en-US"/>
        </w:rPr>
        <w:instrText> </w:instrText>
      </w:r>
      <w:r w:rsidR="00D2645C" w:rsidRPr="007F5A49">
        <w:rPr>
          <w:rFonts w:ascii="Book Antiqua" w:hAnsi="Book Antiqua" w:cs="Arial"/>
          <w:vertAlign w:val="superscript"/>
          <w:lang w:val="en-US"/>
        </w:rPr>
        <w:instrText>0.4), serum ALT (36 vs. 46 IU/L; P</w:instrText>
      </w:r>
      <w:r w:rsidR="00D2645C" w:rsidRPr="007F5A49">
        <w:rPr>
          <w:rFonts w:ascii="Calibri" w:eastAsia="Calibri" w:hAnsi="Calibri" w:cs="Calibri"/>
          <w:vertAlign w:val="superscript"/>
          <w:lang w:val="en-US"/>
        </w:rPr>
        <w:instrText> </w:instrText>
      </w:r>
      <w:r w:rsidR="00D2645C" w:rsidRPr="007F5A49">
        <w:rPr>
          <w:rFonts w:ascii="Book Antiqua" w:hAnsi="Book Antiqua" w:cs="Arial"/>
          <w:vertAlign w:val="superscript"/>
          <w:lang w:val="en-US"/>
        </w:rPr>
        <w:instrText>=</w:instrText>
      </w:r>
      <w:r w:rsidR="00D2645C" w:rsidRPr="007F5A49">
        <w:rPr>
          <w:rFonts w:ascii="Calibri" w:eastAsia="Calibri" w:hAnsi="Calibri" w:cs="Calibri"/>
          <w:vertAlign w:val="superscript"/>
          <w:lang w:val="en-US"/>
        </w:rPr>
        <w:instrText> </w:instrText>
      </w:r>
      <w:r w:rsidR="00D2645C" w:rsidRPr="007F5A49">
        <w:rPr>
          <w:rFonts w:ascii="Book Antiqua" w:hAnsi="Book Antiqua" w:cs="Arial"/>
          <w:vertAlign w:val="superscript"/>
          <w:lang w:val="en-US"/>
        </w:rPr>
        <w:instrText>0.4), or CK-18 levels (175 vs. 196 U/L; P</w:instrText>
      </w:r>
      <w:r w:rsidR="00D2645C" w:rsidRPr="007F5A49">
        <w:rPr>
          <w:rFonts w:ascii="Calibri" w:eastAsia="Calibri" w:hAnsi="Calibri" w:cs="Calibri"/>
          <w:vertAlign w:val="superscript"/>
          <w:lang w:val="en-US"/>
        </w:rPr>
        <w:instrText> </w:instrText>
      </w:r>
      <w:r w:rsidR="00D2645C" w:rsidRPr="007F5A49">
        <w:rPr>
          <w:rFonts w:ascii="Book Antiqua" w:hAnsi="Book Antiqua" w:cs="Arial"/>
          <w:vertAlign w:val="superscript"/>
          <w:lang w:val="en-US"/>
        </w:rPr>
        <w:instrText>=</w:instrText>
      </w:r>
      <w:r w:rsidR="00D2645C" w:rsidRPr="007F5A49">
        <w:rPr>
          <w:rFonts w:ascii="Calibri" w:eastAsia="Calibri" w:hAnsi="Calibri" w:cs="Calibri"/>
          <w:vertAlign w:val="superscript"/>
          <w:lang w:val="en-US"/>
        </w:rPr>
        <w:instrText> </w:instrText>
      </w:r>
      <w:r w:rsidR="00D2645C" w:rsidRPr="007F5A49">
        <w:rPr>
          <w:rFonts w:ascii="Book Antiqua" w:hAnsi="Book Antiqua" w:cs="Arial"/>
          <w:vertAlign w:val="superscript"/>
          <w:lang w:val="en-US"/>
        </w:rPr>
        <w:instrText>0.9). Similarly, there was no difference in end-of-study ISI (2.5 vs. 2.7; P</w:instrText>
      </w:r>
      <w:r w:rsidR="00D2645C" w:rsidRPr="007F5A49">
        <w:rPr>
          <w:rFonts w:ascii="Calibri" w:eastAsia="Calibri" w:hAnsi="Calibri" w:cs="Calibri"/>
          <w:vertAlign w:val="superscript"/>
          <w:lang w:val="en-US"/>
        </w:rPr>
        <w:instrText> </w:instrText>
      </w:r>
      <w:r w:rsidR="00D2645C" w:rsidRPr="007F5A49">
        <w:rPr>
          <w:rFonts w:ascii="Book Antiqua" w:hAnsi="Book Antiqua" w:cs="Arial"/>
          <w:vertAlign w:val="superscript"/>
          <w:lang w:val="en-US"/>
        </w:rPr>
        <w:instrText>=</w:instrText>
      </w:r>
      <w:r w:rsidR="00D2645C" w:rsidRPr="007F5A49">
        <w:rPr>
          <w:rFonts w:ascii="Calibri" w:eastAsia="Calibri" w:hAnsi="Calibri" w:cs="Calibri"/>
          <w:vertAlign w:val="superscript"/>
          <w:lang w:val="en-US"/>
        </w:rPr>
        <w:instrText> </w:instrText>
      </w:r>
      <w:r w:rsidR="00D2645C" w:rsidRPr="007F5A49">
        <w:rPr>
          <w:rFonts w:ascii="Book Antiqua" w:hAnsi="Book Antiqua" w:cs="Arial"/>
          <w:vertAlign w:val="superscript"/>
          <w:lang w:val="en-US"/>
        </w:rPr>
        <w:instrText>0.9), HOMA (3.2 vs. 3.2; P</w:instrText>
      </w:r>
      <w:r w:rsidR="00D2645C" w:rsidRPr="007F5A49">
        <w:rPr>
          <w:rFonts w:ascii="Calibri" w:eastAsia="Calibri" w:hAnsi="Calibri" w:cs="Calibri"/>
          <w:vertAlign w:val="superscript"/>
          <w:lang w:val="en-US"/>
        </w:rPr>
        <w:instrText> </w:instrText>
      </w:r>
      <w:r w:rsidR="00D2645C" w:rsidRPr="007F5A49">
        <w:rPr>
          <w:rFonts w:ascii="Book Antiqua" w:hAnsi="Book Antiqua" w:cs="Arial"/>
          <w:vertAlign w:val="superscript"/>
          <w:lang w:val="en-US"/>
        </w:rPr>
        <w:instrText>=</w:instrText>
      </w:r>
      <w:r w:rsidR="00D2645C" w:rsidRPr="007F5A49">
        <w:rPr>
          <w:rFonts w:ascii="Calibri" w:eastAsia="Calibri" w:hAnsi="Calibri" w:cs="Calibri"/>
          <w:vertAlign w:val="superscript"/>
          <w:lang w:val="en-US"/>
        </w:rPr>
        <w:instrText> </w:instrText>
      </w:r>
      <w:r w:rsidR="00D2645C" w:rsidRPr="007F5A49">
        <w:rPr>
          <w:rFonts w:ascii="Book Antiqua" w:hAnsi="Book Antiqua" w:cs="Arial"/>
          <w:vertAlign w:val="superscript"/>
          <w:lang w:val="en-US"/>
        </w:rPr>
        <w:instrText>0.6), or F2-isoprostane levels (1,332 vs. 1,190 pmmol/L; P</w:instrText>
      </w:r>
      <w:r w:rsidR="00D2645C" w:rsidRPr="007F5A49">
        <w:rPr>
          <w:rFonts w:ascii="Calibri" w:eastAsia="Calibri" w:hAnsi="Calibri" w:cs="Calibri"/>
          <w:vertAlign w:val="superscript"/>
          <w:lang w:val="en-US"/>
        </w:rPr>
        <w:instrText> </w:instrText>
      </w:r>
      <w:r w:rsidR="00D2645C" w:rsidRPr="007F5A49">
        <w:rPr>
          <w:rFonts w:ascii="Book Antiqua" w:hAnsi="Book Antiqua" w:cs="Arial"/>
          <w:vertAlign w:val="superscript"/>
          <w:lang w:val="en-US"/>
        </w:rPr>
        <w:instrText>=</w:instrText>
      </w:r>
      <w:r w:rsidR="00D2645C" w:rsidRPr="007F5A49">
        <w:rPr>
          <w:rFonts w:ascii="Calibri" w:eastAsia="Calibri" w:hAnsi="Calibri" w:cs="Calibri"/>
          <w:vertAlign w:val="superscript"/>
          <w:lang w:val="en-US"/>
        </w:rPr>
        <w:instrText> </w:instrText>
      </w:r>
      <w:r w:rsidR="00D2645C" w:rsidRPr="007F5A49">
        <w:rPr>
          <w:rFonts w:ascii="Book Antiqua" w:hAnsi="Book Antiqua" w:cs="Arial"/>
          <w:vertAlign w:val="superscript"/>
          <w:lang w:val="en-US"/>
        </w:rPr>
        <w:instrText xml:space="preserve">0.6) between phlebotomy and control groups. No differences in any endpoint were noted in patients with hyperferritinemia at baseline. Among patients undergoing phlebotomy, there was no correlation between number of phlebotomy sessions and change in HS, liver injury, or IR from baseline to end of study.\nCONCLUSION: Reduction in ferritin by phlebotomy does not improve liver enzymes, hepatic fat, or IR in subjects with NAFLD.","DOI":"10.1002/hep.27662","ISSN":"1527-3350","note":"PMID: 25524401","shortTitle":"The impact of phlebotomy in nonalcoholic fatty liver disease","journalAbbreviation":"Hepatology","language":"eng","author":[{"family":"Adams","given":"Leon A."},{"family":"Crawford","given":"Darrell H."},{"family":"Stuart","given":"Katherine"},{"family":"House","given":"Michael J."},{"family":"St Pierre","given":"Timothy G."},{"family":"Webb","given":"Malcolm"},{"family":"Ching","given":"Helena L. I."},{"family":"Kava","given":"Jenny"},{"family":"Bynevelt","given":"Michael"},{"family":"MacQuillan","given":"Gerry C."},{"family":"Garas","given":"George"},{"family":"Ayonrinde","given":"Oyekoya T."},{"family":"Mori","given":"Trevor A."},{"family":"Croft","given":"Kevin D."},{"family":"Niu","given":"Xianwa"},{"family":"Jeffrey","given":"Gary P."},{"family":"Olynyk","given":"John K."}],"issued":{"date-parts":[["2015",5]]}}}],"schema":"https://github.com/citation-style-language/schema/raw/master/csl-citation.json"} </w:instrText>
      </w:r>
      <w:r w:rsidR="000D4858" w:rsidRPr="007F5A49">
        <w:rPr>
          <w:rFonts w:ascii="Book Antiqua" w:hAnsi="Book Antiqua" w:cs="Arial"/>
          <w:vertAlign w:val="superscript"/>
          <w:lang w:val="en-US"/>
        </w:rPr>
        <w:fldChar w:fldCharType="separate"/>
      </w:r>
      <w:r w:rsidR="000633AF" w:rsidRPr="007F5A49">
        <w:rPr>
          <w:rFonts w:ascii="Book Antiqua" w:hAnsi="Book Antiqua"/>
          <w:vertAlign w:val="superscript"/>
          <w:lang w:val="en-US"/>
        </w:rPr>
        <w:t>[</w:t>
      </w:r>
      <w:r w:rsidR="00D2645C" w:rsidRPr="007F5A49">
        <w:rPr>
          <w:rFonts w:ascii="Book Antiqua" w:hAnsi="Book Antiqua"/>
          <w:vertAlign w:val="superscript"/>
          <w:lang w:val="en-US"/>
        </w:rPr>
        <w:t>122</w:t>
      </w:r>
      <w:r w:rsidR="000D4858" w:rsidRPr="007F5A49">
        <w:rPr>
          <w:rFonts w:ascii="Book Antiqua" w:hAnsi="Book Antiqua" w:cs="Arial"/>
          <w:vertAlign w:val="superscript"/>
          <w:lang w:val="en-US"/>
        </w:rPr>
        <w:fldChar w:fldCharType="end"/>
      </w:r>
      <w:r w:rsidR="000633AF" w:rsidRPr="007F5A49">
        <w:rPr>
          <w:rFonts w:ascii="Book Antiqua" w:hAnsi="Book Antiqua" w:cs="Arial"/>
          <w:vertAlign w:val="superscript"/>
          <w:lang w:val="en-US"/>
        </w:rPr>
        <w:t>]</w:t>
      </w:r>
      <w:r w:rsidR="000D4858" w:rsidRPr="007F5A49">
        <w:rPr>
          <w:rFonts w:ascii="Book Antiqua" w:hAnsi="Book Antiqua" w:cs="Arial"/>
          <w:lang w:val="en-US"/>
        </w:rPr>
        <w:t xml:space="preserve">. </w:t>
      </w:r>
      <w:r w:rsidR="00CD77BF" w:rsidRPr="007F5A49">
        <w:rPr>
          <w:rFonts w:ascii="Book Antiqua" w:hAnsi="Book Antiqua" w:cs="Arial"/>
          <w:lang w:val="en-US"/>
        </w:rPr>
        <w:t xml:space="preserve">Also, </w:t>
      </w:r>
      <w:r w:rsidR="00AD5707" w:rsidRPr="007F5A49">
        <w:rPr>
          <w:rFonts w:ascii="Book Antiqua" w:hAnsi="Book Antiqua" w:cs="Arial"/>
          <w:lang w:val="en-US"/>
        </w:rPr>
        <w:t xml:space="preserve">it was </w:t>
      </w:r>
      <w:r w:rsidR="001C157C" w:rsidRPr="007F5A49">
        <w:rPr>
          <w:rFonts w:ascii="Book Antiqua" w:hAnsi="Book Antiqua" w:cs="Arial"/>
          <w:lang w:val="en-US"/>
        </w:rPr>
        <w:t xml:space="preserve">not fully </w:t>
      </w:r>
      <w:r w:rsidR="000D4858" w:rsidRPr="007F5A49">
        <w:rPr>
          <w:rFonts w:ascii="Book Antiqua" w:hAnsi="Book Antiqua" w:cs="Arial"/>
          <w:lang w:val="en-US"/>
        </w:rPr>
        <w:t xml:space="preserve">successful in dysmetabolic iron overload syndrome, where there </w:t>
      </w:r>
      <w:r w:rsidR="00A5632F" w:rsidRPr="007F5A49">
        <w:rPr>
          <w:rFonts w:ascii="Book Antiqua" w:hAnsi="Book Antiqua" w:cs="Arial"/>
          <w:lang w:val="en-US"/>
        </w:rPr>
        <w:t xml:space="preserve">was </w:t>
      </w:r>
      <w:r w:rsidR="000D4858" w:rsidRPr="007F5A49">
        <w:rPr>
          <w:rFonts w:ascii="Book Antiqua" w:hAnsi="Book Antiqua" w:cs="Arial"/>
          <w:lang w:val="en-US"/>
        </w:rPr>
        <w:t>a subtle increase in iron stores (ferritin) in insulin resistant patients</w:t>
      </w:r>
      <w:r w:rsidR="000D4858" w:rsidRPr="007F5A49">
        <w:rPr>
          <w:rFonts w:ascii="Book Antiqua" w:hAnsi="Book Antiqua" w:cs="Arial"/>
          <w:vertAlign w:val="superscript"/>
          <w:lang w:val="en-US"/>
        </w:rPr>
        <w:fldChar w:fldCharType="begin"/>
      </w:r>
      <w:r w:rsidR="00D2645C" w:rsidRPr="007F5A49">
        <w:rPr>
          <w:rFonts w:ascii="Book Antiqua" w:hAnsi="Book Antiqua" w:cs="Arial"/>
          <w:vertAlign w:val="superscript"/>
          <w:lang w:val="en-US"/>
        </w:rPr>
        <w:instrText xml:space="preserve"> ADDIN ZOTERO_ITEM CSL_CITATION {"citationID":"a2eemk5gqmb","properties":{"formattedCitation":"(79)","plainCitation":"(79)","noteIndex":0},"citationItems":[{"id":287,"uris":["http://zotero.org/users/2804724/items/V473K37H"],"uri":["http://zotero.org/users/2804724/items/V473K37H"],"itemData":{"id":287,"type":"article-journal","title":"Iron and non-alcoholic fatty liver disease","container-title":"World Journal of Gastroenterology","page":"8112-8122","volume":"22","issue":"36","source":"PubMed Central","abstract":"The mechanisms that promote liver injury in non-alcoholic fatty liver disease (NAFLD) are yet to be thoroughly elucidated. As such, effective treatment strategies are lacking and novel therapeutic targets are required. Iron has been widely implicated in the pathogenesis of NAFLD and represents a potential target for treatment. Relationships between serum ferritin concentration and NAFLD are noted in a majority of studies, although serum ferritin is an imprecise measure of iron loading. Numerous mechanisms for a pathogenic role of hepatic iron in NAFLD have been demonstrated in animal and cell culture models. However, the human data linking hepatic iron to liver injury in NAFLD is less clear, with seemingly conflicting evidence, supporting either an effect of iron in hepatocytes or within reticulo-endothelial cells. Adipose tissue has emerged as a key site at which iron may have a pathogenic role in NAFLD. Evidence for this comes indirectly from studies that have evaluated the role of adipose tissue iron with respect to insulin resistance. Adding further complexity, multiple strands of evidence support an effect of NAFLD itself on iron metabolism. In this review, we summarise the human and basic science data that has evaluated the role of iron in NAFLD pathogenesis.","DOI":"10.3748/wjg.v22.i36.8112","ISSN":"1007-9327","note":"PMID: 27688653\nPMCID: PMC5037080","journalAbbreviation":"World J Gastroenterol","author":[{"family":"Britton","given":"Laurence J"},{"family":"Subramaniam","given":"V Nathan"},{"family":"Crawford","given":"Darrell HG"}],"issued":{"date-parts":[["2016",9,28]]}}}],"schema":"https://github.com/citation-style-language/schema/raw/master/csl-citation.json"} </w:instrText>
      </w:r>
      <w:r w:rsidR="000D4858" w:rsidRPr="007F5A49">
        <w:rPr>
          <w:rFonts w:ascii="Book Antiqua" w:hAnsi="Book Antiqua" w:cs="Arial"/>
          <w:vertAlign w:val="superscript"/>
          <w:lang w:val="en-US"/>
        </w:rPr>
        <w:fldChar w:fldCharType="separate"/>
      </w:r>
      <w:r w:rsidR="000633AF" w:rsidRPr="007F5A49">
        <w:rPr>
          <w:rFonts w:ascii="Book Antiqua" w:hAnsi="Book Antiqua"/>
          <w:vertAlign w:val="superscript"/>
          <w:lang w:val="en-US"/>
        </w:rPr>
        <w:t>[</w:t>
      </w:r>
      <w:r w:rsidR="00D2645C" w:rsidRPr="007F5A49">
        <w:rPr>
          <w:rFonts w:ascii="Book Antiqua" w:hAnsi="Book Antiqua"/>
          <w:vertAlign w:val="superscript"/>
          <w:lang w:val="en-US"/>
        </w:rPr>
        <w:t>79</w:t>
      </w:r>
      <w:r w:rsidR="000D4858" w:rsidRPr="007F5A49">
        <w:rPr>
          <w:rFonts w:ascii="Book Antiqua" w:hAnsi="Book Antiqua" w:cs="Arial"/>
          <w:vertAlign w:val="superscript"/>
          <w:lang w:val="en-US"/>
        </w:rPr>
        <w:fldChar w:fldCharType="end"/>
      </w:r>
      <w:r w:rsidR="000633AF" w:rsidRPr="007F5A49">
        <w:rPr>
          <w:rFonts w:ascii="Book Antiqua" w:hAnsi="Book Antiqua" w:cs="Arial"/>
          <w:vertAlign w:val="superscript"/>
          <w:lang w:val="en-US"/>
        </w:rPr>
        <w:t>]</w:t>
      </w:r>
      <w:r w:rsidR="000D4858" w:rsidRPr="007F5A49">
        <w:rPr>
          <w:rFonts w:ascii="Book Antiqua" w:hAnsi="Book Antiqua" w:cs="Arial"/>
          <w:lang w:val="en-US"/>
        </w:rPr>
        <w:t xml:space="preserve">. Here, </w:t>
      </w:r>
      <w:r w:rsidR="006C40F9" w:rsidRPr="007F5A49">
        <w:rPr>
          <w:rFonts w:ascii="Book Antiqua" w:hAnsi="Book Antiqua" w:cs="Arial"/>
          <w:lang w:val="en-US"/>
        </w:rPr>
        <w:t xml:space="preserve">it </w:t>
      </w:r>
      <w:r w:rsidR="00D40260" w:rsidRPr="007F5A49">
        <w:rPr>
          <w:rFonts w:ascii="Book Antiqua" w:hAnsi="Book Antiqua" w:cs="Arial"/>
          <w:lang w:val="en-US"/>
        </w:rPr>
        <w:t>did not improve the metabolic features,</w:t>
      </w:r>
      <w:r w:rsidR="0040437A" w:rsidRPr="007F5A49">
        <w:rPr>
          <w:rFonts w:ascii="Book Antiqua" w:hAnsi="Book Antiqua" w:cs="Arial"/>
          <w:lang w:val="en-US"/>
        </w:rPr>
        <w:t xml:space="preserve"> but</w:t>
      </w:r>
      <w:r w:rsidR="00D40260" w:rsidRPr="007F5A49">
        <w:rPr>
          <w:rFonts w:ascii="Book Antiqua" w:hAnsi="Book Antiqua" w:cs="Arial"/>
          <w:lang w:val="en-US"/>
        </w:rPr>
        <w:t xml:space="preserve"> improved insulin resistance</w:t>
      </w:r>
      <w:r w:rsidR="00D40260" w:rsidRPr="007F5A49">
        <w:rPr>
          <w:rFonts w:ascii="Book Antiqua" w:hAnsi="Book Antiqua" w:cs="Arial"/>
          <w:vertAlign w:val="superscript"/>
          <w:lang w:val="en-US"/>
        </w:rPr>
        <w:fldChar w:fldCharType="begin"/>
      </w:r>
      <w:r w:rsidR="00D2645C" w:rsidRPr="007F5A49">
        <w:rPr>
          <w:rFonts w:ascii="Book Antiqua" w:hAnsi="Book Antiqua" w:cs="Arial"/>
          <w:vertAlign w:val="superscript"/>
          <w:lang w:val="en-US"/>
        </w:rPr>
        <w:instrText xml:space="preserve"> ADDIN ZOTERO_ITEM CSL_CITATION {"citationID":"OSE1e6j3","properties":{"formattedCitation":"(123)","plainCitation":"(123)","noteIndex":0},"citationItems":[{"id":"z1PZoHrb/SXIR8jEh","uris":["http://zotero.org/users/4222068/items/KB6M3CSF"],"uri":["http://zotero.org/users/4222068/items/KB6M3CSF"],"itemData":{"id":1685,"type":"article-journal","title":"Metabolic and hepatic effects of bloodletting in dysmetabolic iron overload syndrome: A randomized controlled study in 274 patients","container-title":"Hepatology (Baltimore, Md.)","page":"465-474","volume":"65","issue":"2","source":"PubMed","abstract":"Dysmetabolic iron overload syndrome (DIOS) is a common cause of hyperferritinemia, accounting for a mild increase of iron stores in insulin-resistant subjects. Iron removal could improve insulin sensitivity. We performed a prospective, randomized, controlled trial (NCT01015525) in nondiabetic DIOS patients with hepatic iron &gt;50 μmol/g at magnetic resonance imaging to compare the metabolic and hepatic outcomes of 1-year maintenance of serum ferritin levels &lt;50 μg/L by bloodletting associated with lifestyle and diet advice (LFDA) to those of LFDA only. Patients were randomly assigned (1:1) with stratification by center (n = 8) and hyperglycemia (&gt;5.6 mmol/L). Sample size was calculated to provide 90% power and a difference in fasting glycemia of 0.25 mmol/L. Analysis was done in an intention-to-treat population. In 2010-2014, 146 patients were randomly assigned to receive venesections with LFDA and 128 to LFDA only. At the end of the study, comparison of iron-depleted patients and controls showed ferritin levels 71 ± 48 μg/L after removal of 4.9 ± 1.6 L of blood versus 733 ± 277 μg/L (P &lt; 0.0001), glycemia 5.44 ± 0.7 versus 5.49 ± 0.7 mmol/L (P = 0.57), body weight +0.5 ± 4.3% versus -0.6 ± 3.3% (P = 0.03), homeostasis model of assessment of insulin resistance 3.39 versus 2.40 (P = 0.002), alanine aminotransaminase 33 ± 22 versus 37 ± 21 IU/L (P = 0.10), aspartate aminotransaminase 27 ± 13 versus 27 ± 10 IU/L (P = 0.81), gamma-glutamyl transferase 54 ± 138 versus 49 ± 35 IU/L (P = 0.72), Fatty Liver Index 58.9 ± 24.6 versus 61.2 ± 22.9 (P = 0.37), and Fibrosis-4 score 1.5 ± 0.6 versus 1.30 ± 0.6 (P = 0.51). Fatigue occurred in 25.3% of venesected patients versus 2.3% of controls (P &lt; 0.0001). In the subgroup of patients who lost weight, glycemia, homeostasis model of assessment of insulin resistance, serum ferritin, lipid profile, and liver function tests improved irrespective of bloodletting.\nCONCLUSION: In DIOS patients, iron depletion by bloodletting does not improve metabolic and hepatic features, is associated with weight gain, and is not as well tolerated as expected; sustained modification of diet and lifestyle habits remains the first therapeutic intervention in DIOS. (Hepatology 2017;65:465-474).","DOI":"10.1002/hep.28856","ISSN":"1527-3350","note":"PMID: 27685251","shortTitle":"Metabolic and hepatic effects of bloodletting in dysmetabolic iron overload syndrome","journalAbbreviation":"Hepatology","language":"eng","author":[{"family":"Lainé","given":"Fabrice"},{"family":"Ruivard","given":"Marc"},{"family":"Loustaud-Ratti","given":"Véronique"},{"family":"Bonnet","given":"Fabrice"},{"family":"Calès","given":"Paul"},{"family":"Bardou-Jacquet","given":"Edouard"},{"family":"Sacher-Huvelin","given":"Sylvie"},{"family":"Causse","given":"Xavier"},{"family":"Beusnel","given":"Christine"},{"family":"Renault","given":"Alain"},{"family":"Bellissant","given":"Eric"},{"family":"Deugnier","given":"Yves"},{"literal":"Study Group"}],"issued":{"date-parts":[["2017"]]}}}],"schema":"https://github.com/citation-style-language/schema/raw/master/csl-citation.json"} </w:instrText>
      </w:r>
      <w:r w:rsidR="00D40260" w:rsidRPr="007F5A49">
        <w:rPr>
          <w:rFonts w:ascii="Book Antiqua" w:hAnsi="Book Antiqua" w:cs="Arial"/>
          <w:vertAlign w:val="superscript"/>
          <w:lang w:val="en-US"/>
        </w:rPr>
        <w:fldChar w:fldCharType="separate"/>
      </w:r>
      <w:r w:rsidR="000633AF" w:rsidRPr="007F5A49">
        <w:rPr>
          <w:rFonts w:ascii="Book Antiqua" w:hAnsi="Book Antiqua"/>
          <w:vertAlign w:val="superscript"/>
          <w:lang w:val="en-US"/>
        </w:rPr>
        <w:t>[</w:t>
      </w:r>
      <w:r w:rsidR="00D2645C" w:rsidRPr="007F5A49">
        <w:rPr>
          <w:rFonts w:ascii="Book Antiqua" w:hAnsi="Book Antiqua"/>
          <w:vertAlign w:val="superscript"/>
          <w:lang w:val="en-US"/>
        </w:rPr>
        <w:t>123</w:t>
      </w:r>
      <w:r w:rsidR="00D40260" w:rsidRPr="007F5A49">
        <w:rPr>
          <w:rFonts w:ascii="Book Antiqua" w:hAnsi="Book Antiqua" w:cs="Arial"/>
          <w:vertAlign w:val="superscript"/>
          <w:lang w:val="en-US"/>
        </w:rPr>
        <w:fldChar w:fldCharType="end"/>
      </w:r>
      <w:r w:rsidR="000633AF" w:rsidRPr="007F5A49">
        <w:rPr>
          <w:rFonts w:ascii="Book Antiqua" w:hAnsi="Book Antiqua" w:cs="Arial"/>
          <w:vertAlign w:val="superscript"/>
          <w:lang w:val="en-US"/>
        </w:rPr>
        <w:t>]</w:t>
      </w:r>
      <w:r w:rsidR="0040437A" w:rsidRPr="007F5A49">
        <w:rPr>
          <w:rFonts w:ascii="Book Antiqua" w:hAnsi="Book Antiqua" w:cs="Arial"/>
          <w:lang w:val="en-US"/>
        </w:rPr>
        <w:t>.</w:t>
      </w:r>
      <w:r w:rsidR="005B1559" w:rsidRPr="007F5A49">
        <w:rPr>
          <w:rFonts w:ascii="Book Antiqua" w:hAnsi="Book Antiqua" w:cs="Arial"/>
          <w:lang w:val="en-US"/>
        </w:rPr>
        <w:t xml:space="preserve"> </w:t>
      </w:r>
    </w:p>
    <w:p w14:paraId="3D494FA7" w14:textId="1E61DF51" w:rsidR="000919D2" w:rsidRPr="007F5A49" w:rsidRDefault="00252606" w:rsidP="007F5A49">
      <w:pPr>
        <w:pStyle w:val="NormalWeb"/>
        <w:adjustRightInd w:val="0"/>
        <w:snapToGrid w:val="0"/>
        <w:spacing w:before="0" w:beforeAutospacing="0" w:after="0" w:afterAutospacing="0" w:line="360" w:lineRule="auto"/>
        <w:jc w:val="both"/>
        <w:rPr>
          <w:rFonts w:ascii="Book Antiqua" w:hAnsi="Book Antiqua" w:cs="Arial"/>
          <w:lang w:val="en-US"/>
        </w:rPr>
      </w:pPr>
      <w:r>
        <w:rPr>
          <w:rFonts w:ascii="Book Antiqua" w:hAnsi="Book Antiqua" w:cs="Arial"/>
          <w:color w:val="00B050"/>
          <w:lang w:val="en-US"/>
        </w:rPr>
        <w:lastRenderedPageBreak/>
        <w:t xml:space="preserve">  </w:t>
      </w:r>
      <w:r w:rsidR="009F6266" w:rsidRPr="007F5A49">
        <w:rPr>
          <w:rFonts w:ascii="Book Antiqua" w:hAnsi="Book Antiqua" w:cs="Arial"/>
          <w:lang w:val="en-US"/>
        </w:rPr>
        <w:t>I</w:t>
      </w:r>
      <w:r w:rsidR="006426BF" w:rsidRPr="007F5A49">
        <w:rPr>
          <w:rFonts w:ascii="Book Antiqua" w:hAnsi="Book Antiqua" w:cs="Arial"/>
          <w:lang w:val="en-US"/>
        </w:rPr>
        <w:t xml:space="preserve">ron chelation has been considered </w:t>
      </w:r>
      <w:r w:rsidR="00AD5707" w:rsidRPr="007F5A49">
        <w:rPr>
          <w:rFonts w:ascii="Book Antiqua" w:hAnsi="Book Antiqua" w:cs="Arial"/>
          <w:lang w:val="en-US"/>
        </w:rPr>
        <w:t>for</w:t>
      </w:r>
      <w:r w:rsidR="006426BF" w:rsidRPr="007F5A49">
        <w:rPr>
          <w:rFonts w:ascii="Book Antiqua" w:hAnsi="Book Antiqua" w:cs="Arial"/>
          <w:lang w:val="en-US"/>
        </w:rPr>
        <w:t xml:space="preserve"> haemochromatosis patients that </w:t>
      </w:r>
      <w:r w:rsidR="00630F05" w:rsidRPr="007F5A49">
        <w:rPr>
          <w:rFonts w:ascii="Book Antiqua" w:hAnsi="Book Antiqua" w:cs="Arial"/>
          <w:lang w:val="en-US"/>
        </w:rPr>
        <w:t>could not undergo</w:t>
      </w:r>
      <w:r w:rsidR="006426BF" w:rsidRPr="007F5A49">
        <w:rPr>
          <w:rFonts w:ascii="Book Antiqua" w:hAnsi="Book Antiqua" w:cs="Arial"/>
          <w:lang w:val="en-US"/>
        </w:rPr>
        <w:t xml:space="preserve"> phlebotomy</w:t>
      </w:r>
      <w:r w:rsidR="00351BBE" w:rsidRPr="007F5A49">
        <w:rPr>
          <w:rFonts w:ascii="Book Antiqua" w:hAnsi="Book Antiqua" w:cs="Arial"/>
          <w:lang w:val="en-US"/>
        </w:rPr>
        <w:t xml:space="preserve">, where </w:t>
      </w:r>
      <w:r w:rsidR="00630F05" w:rsidRPr="007F5A49">
        <w:rPr>
          <w:rFonts w:ascii="Book Antiqua" w:hAnsi="Book Antiqua" w:cs="Arial"/>
          <w:lang w:val="en-US"/>
        </w:rPr>
        <w:t xml:space="preserve">the iron chelator </w:t>
      </w:r>
      <w:r w:rsidR="002168E1" w:rsidRPr="007F5A49">
        <w:rPr>
          <w:rFonts w:ascii="Book Antiqua" w:hAnsi="Book Antiqua" w:cs="Arial"/>
          <w:lang w:val="en-US"/>
        </w:rPr>
        <w:t>deferoxamine</w:t>
      </w:r>
      <w:r w:rsidR="00630F05" w:rsidRPr="007F5A49">
        <w:rPr>
          <w:rFonts w:ascii="Book Antiqua" w:hAnsi="Book Antiqua" w:cs="Arial"/>
          <w:lang w:val="en-US"/>
        </w:rPr>
        <w:t xml:space="preserve"> (DFO) s</w:t>
      </w:r>
      <w:r w:rsidR="00227585" w:rsidRPr="007F5A49">
        <w:rPr>
          <w:rFonts w:ascii="Book Antiqua" w:hAnsi="Book Antiqua" w:cs="Arial"/>
          <w:lang w:val="en-US"/>
        </w:rPr>
        <w:t>uccessfully remove</w:t>
      </w:r>
      <w:r w:rsidR="00630F05" w:rsidRPr="007F5A49">
        <w:rPr>
          <w:rFonts w:ascii="Book Antiqua" w:hAnsi="Book Antiqua" w:cs="Arial"/>
          <w:lang w:val="en-US"/>
        </w:rPr>
        <w:t xml:space="preserve"> liver iron</w:t>
      </w:r>
      <w:r w:rsidR="00630F05" w:rsidRPr="007F5A49">
        <w:rPr>
          <w:rFonts w:ascii="Book Antiqua" w:hAnsi="Book Antiqua" w:cs="Arial"/>
          <w:vertAlign w:val="superscript"/>
          <w:lang w:val="en-US"/>
        </w:rPr>
        <w:fldChar w:fldCharType="begin"/>
      </w:r>
      <w:r w:rsidR="00D2645C" w:rsidRPr="007F5A49">
        <w:rPr>
          <w:rFonts w:ascii="Book Antiqua" w:hAnsi="Book Antiqua" w:cs="Arial"/>
          <w:vertAlign w:val="superscript"/>
          <w:lang w:val="en-US"/>
        </w:rPr>
        <w:instrText xml:space="preserve"> ADDIN ZOTERO_ITEM CSL_CITATION {"citationID":"a29ano3okm7","properties":{"formattedCitation":"(124)","plainCitation":"(124)","noteIndex":0},"citationItems":[{"id":32,"uris":["http://zotero.org/users/2804724/items/GW6IT8G4"],"uri":["http://zotero.org/users/2804724/items/GW6IT8G4"],"itemData":{"id":32,"type":"article-journal","title":"Effective treatment of hereditary haemochromatosis with desferrioxamine in selected cases","container-title":"British Journal of Haematology","page":"952-953","volume":"123","issue":"5","source":"PubMed","abstract":"The treatment of iron overload by s.c. desferrioxamine (DFO) was studied in three patients with hereditary haemochromatosis in which phlebotomy treatment was not, or transiently not, possible because of their serious clinical condition or the lack of appropriate peripheral veins. Repeated non-invasive liver iron concentration measurements by superconducting quantum interference device biosusceptometry showed that DFO treatment (2 g/d for 9-11 months) was as effective (liver iron elimination rate: 12 mg/d) as normal phlebotomy treatment (5.9 or 14.3 mg/d respectively) with weekly 500-ml blood removals. This demonstrates that DFO is an effective alternative therapy for haemochromatosis when phlebotomy is not possible.","ISSN":"0007-1048","note":"PMID: 14632789","journalAbbreviation":"Br. J. Haematol.","language":"eng","author":[{"family":"Nielsen","given":"Peter"},{"family":"Fischer","given":"Roland"},{"family":"Buggisch","given":"Peter"},{"family":"Janka-Schaub","given":"Gritta"}],"issued":{"date-parts":[["2003",12]]}}}],"schema":"https://github.com/citation-style-language/schema/raw/master/csl-citation.json"} </w:instrText>
      </w:r>
      <w:r w:rsidR="00630F05" w:rsidRPr="007F5A49">
        <w:rPr>
          <w:rFonts w:ascii="Book Antiqua" w:hAnsi="Book Antiqua" w:cs="Arial"/>
          <w:vertAlign w:val="superscript"/>
          <w:lang w:val="en-US"/>
        </w:rPr>
        <w:fldChar w:fldCharType="separate"/>
      </w:r>
      <w:r w:rsidR="001A1FEB" w:rsidRPr="007F5A49">
        <w:rPr>
          <w:rFonts w:ascii="Book Antiqua" w:hAnsi="Book Antiqua"/>
          <w:vertAlign w:val="superscript"/>
          <w:lang w:val="en-US"/>
        </w:rPr>
        <w:t>[</w:t>
      </w:r>
      <w:r w:rsidR="00D2645C" w:rsidRPr="007F5A49">
        <w:rPr>
          <w:rFonts w:ascii="Book Antiqua" w:hAnsi="Book Antiqua"/>
          <w:vertAlign w:val="superscript"/>
          <w:lang w:val="en-US"/>
        </w:rPr>
        <w:t>124</w:t>
      </w:r>
      <w:r w:rsidR="00630F05" w:rsidRPr="007F5A49">
        <w:rPr>
          <w:rFonts w:ascii="Book Antiqua" w:hAnsi="Book Antiqua" w:cs="Arial"/>
          <w:vertAlign w:val="superscript"/>
          <w:lang w:val="en-US"/>
        </w:rPr>
        <w:fldChar w:fldCharType="end"/>
      </w:r>
      <w:r w:rsidR="001A1FEB" w:rsidRPr="007F5A49">
        <w:rPr>
          <w:rFonts w:ascii="Book Antiqua" w:hAnsi="Book Antiqua" w:cs="Arial"/>
          <w:vertAlign w:val="superscript"/>
          <w:lang w:val="en-US"/>
        </w:rPr>
        <w:t>]</w:t>
      </w:r>
      <w:r w:rsidR="00174218" w:rsidRPr="007F5A49">
        <w:rPr>
          <w:rFonts w:ascii="Book Antiqua" w:hAnsi="Book Antiqua" w:cs="Arial"/>
          <w:lang w:val="en-US"/>
        </w:rPr>
        <w:t xml:space="preserve"> and thereby contributed to fibrosis control</w:t>
      </w:r>
      <w:r w:rsidR="00351BBE" w:rsidRPr="007F5A49">
        <w:rPr>
          <w:rFonts w:ascii="Book Antiqua" w:hAnsi="Book Antiqua" w:cs="Arial"/>
          <w:lang w:val="en-US"/>
        </w:rPr>
        <w:t xml:space="preserve">. </w:t>
      </w:r>
      <w:r w:rsidR="00227585" w:rsidRPr="007F5A49">
        <w:rPr>
          <w:rFonts w:ascii="Book Antiqua" w:hAnsi="Book Antiqua" w:cs="Arial"/>
          <w:lang w:val="en-US"/>
        </w:rPr>
        <w:t xml:space="preserve">However, </w:t>
      </w:r>
      <w:r w:rsidR="00AD5707" w:rsidRPr="007F5A49">
        <w:rPr>
          <w:rFonts w:ascii="Book Antiqua" w:hAnsi="Book Antiqua" w:cs="Arial"/>
          <w:lang w:val="en-US"/>
        </w:rPr>
        <w:t>to tackle fibrosis in non-</w:t>
      </w:r>
      <w:r w:rsidR="009F6266" w:rsidRPr="007F5A49">
        <w:rPr>
          <w:rFonts w:ascii="Book Antiqua" w:hAnsi="Book Antiqua" w:cs="Arial"/>
          <w:lang w:val="en-US"/>
        </w:rPr>
        <w:t xml:space="preserve">hereditary </w:t>
      </w:r>
      <w:r w:rsidR="00640AC6" w:rsidRPr="007F5A49">
        <w:rPr>
          <w:rFonts w:ascii="Book Antiqua" w:hAnsi="Book Antiqua" w:cs="Arial"/>
          <w:lang w:val="en-US"/>
        </w:rPr>
        <w:t xml:space="preserve">mild-moderately </w:t>
      </w:r>
      <w:r w:rsidR="00AD5707" w:rsidRPr="007F5A49">
        <w:rPr>
          <w:rFonts w:ascii="Book Antiqua" w:hAnsi="Book Antiqua" w:cs="Arial"/>
          <w:lang w:val="en-US"/>
        </w:rPr>
        <w:t>iron-loaded CLDs</w:t>
      </w:r>
      <w:r w:rsidR="00227585" w:rsidRPr="007F5A49">
        <w:rPr>
          <w:rFonts w:ascii="Book Antiqua" w:hAnsi="Book Antiqua" w:cs="Arial"/>
          <w:lang w:val="en-US"/>
        </w:rPr>
        <w:t xml:space="preserve">, </w:t>
      </w:r>
      <w:r w:rsidR="00AD5707" w:rsidRPr="007F5A49">
        <w:rPr>
          <w:rFonts w:ascii="Book Antiqua" w:hAnsi="Book Antiqua" w:cs="Arial"/>
          <w:lang w:val="en-US"/>
        </w:rPr>
        <w:t>where phlebotomy</w:t>
      </w:r>
      <w:r w:rsidR="009F6266" w:rsidRPr="007F5A49">
        <w:rPr>
          <w:rFonts w:ascii="Book Antiqua" w:hAnsi="Book Antiqua" w:cs="Arial"/>
          <w:lang w:val="en-US"/>
        </w:rPr>
        <w:t xml:space="preserve"> </w:t>
      </w:r>
      <w:r w:rsidR="00AD5707" w:rsidRPr="007F5A49">
        <w:rPr>
          <w:rFonts w:ascii="Book Antiqua" w:hAnsi="Book Antiqua" w:cs="Arial"/>
          <w:lang w:val="en-US"/>
        </w:rPr>
        <w:t xml:space="preserve">is </w:t>
      </w:r>
      <w:r w:rsidR="009F6266" w:rsidRPr="007F5A49">
        <w:rPr>
          <w:rFonts w:ascii="Book Antiqua" w:hAnsi="Book Antiqua" w:cs="Arial"/>
          <w:lang w:val="en-US"/>
        </w:rPr>
        <w:t>not the norm</w:t>
      </w:r>
      <w:r w:rsidR="00227585" w:rsidRPr="007F5A49">
        <w:rPr>
          <w:rFonts w:ascii="Book Antiqua" w:hAnsi="Book Antiqua" w:cs="Arial"/>
          <w:lang w:val="en-US"/>
        </w:rPr>
        <w:t xml:space="preserve">, </w:t>
      </w:r>
      <w:r w:rsidR="00640AC6" w:rsidRPr="007F5A49">
        <w:rPr>
          <w:rFonts w:ascii="Book Antiqua" w:hAnsi="Book Antiqua" w:cs="Arial"/>
          <w:lang w:val="en-US"/>
        </w:rPr>
        <w:t>th</w:t>
      </w:r>
      <w:r w:rsidR="004F15C6" w:rsidRPr="007F5A49">
        <w:rPr>
          <w:rFonts w:ascii="Book Antiqua" w:hAnsi="Book Antiqua" w:cs="Arial"/>
          <w:lang w:val="en-US"/>
        </w:rPr>
        <w:t>e</w:t>
      </w:r>
      <w:r w:rsidR="00640AC6" w:rsidRPr="007F5A49">
        <w:rPr>
          <w:rFonts w:ascii="Book Antiqua" w:hAnsi="Book Antiqua" w:cs="Arial"/>
          <w:lang w:val="en-US"/>
        </w:rPr>
        <w:t xml:space="preserve"> </w:t>
      </w:r>
      <w:r w:rsidR="004F15C6" w:rsidRPr="007F5A49">
        <w:rPr>
          <w:rFonts w:ascii="Book Antiqua" w:hAnsi="Book Antiqua" w:cs="Arial"/>
          <w:lang w:val="en-US"/>
        </w:rPr>
        <w:t>iron chelation</w:t>
      </w:r>
      <w:r w:rsidR="008211E3" w:rsidRPr="007F5A49">
        <w:rPr>
          <w:rFonts w:ascii="Book Antiqua" w:hAnsi="Book Antiqua" w:cs="Arial"/>
          <w:lang w:val="en-US"/>
        </w:rPr>
        <w:t xml:space="preserve"> strategy </w:t>
      </w:r>
      <w:r w:rsidR="00640AC6" w:rsidRPr="007F5A49">
        <w:rPr>
          <w:rFonts w:ascii="Book Antiqua" w:hAnsi="Book Antiqua" w:cs="Arial"/>
          <w:lang w:val="en-US"/>
        </w:rPr>
        <w:t xml:space="preserve">is </w:t>
      </w:r>
      <w:r w:rsidR="008211E3" w:rsidRPr="007F5A49">
        <w:rPr>
          <w:rFonts w:ascii="Book Antiqua" w:hAnsi="Book Antiqua" w:cs="Arial"/>
          <w:lang w:val="en-US"/>
        </w:rPr>
        <w:t>not fully developed yet</w:t>
      </w:r>
      <w:r w:rsidR="00833DBC" w:rsidRPr="007F5A49">
        <w:rPr>
          <w:rFonts w:ascii="Book Antiqua" w:hAnsi="Book Antiqua" w:cs="Arial"/>
          <w:lang w:val="en-US"/>
        </w:rPr>
        <w:t>, although promising results are in sight.</w:t>
      </w:r>
      <w:r w:rsidR="001765DB">
        <w:rPr>
          <w:rFonts w:ascii="Book Antiqua" w:hAnsi="Book Antiqua" w:cs="Arial"/>
          <w:lang w:val="en-US"/>
        </w:rPr>
        <w:t xml:space="preserve"> </w:t>
      </w:r>
      <w:r w:rsidR="004F15C6" w:rsidRPr="007F5A49">
        <w:rPr>
          <w:rFonts w:ascii="Book Antiqua" w:hAnsi="Book Antiqua" w:cs="Arial"/>
          <w:lang w:val="en-US"/>
        </w:rPr>
        <w:t>S</w:t>
      </w:r>
      <w:r w:rsidR="003F5A99" w:rsidRPr="007F5A49">
        <w:rPr>
          <w:rFonts w:ascii="Book Antiqua" w:hAnsi="Book Antiqua" w:cs="Arial"/>
          <w:lang w:val="en-US"/>
        </w:rPr>
        <w:t xml:space="preserve">tudies </w:t>
      </w:r>
      <w:r w:rsidR="00DF0C59" w:rsidRPr="007F5A49">
        <w:rPr>
          <w:rFonts w:ascii="Book Antiqua" w:hAnsi="Book Antiqua" w:cs="Arial"/>
          <w:lang w:val="en-US"/>
        </w:rPr>
        <w:t xml:space="preserve">in </w:t>
      </w:r>
      <w:r w:rsidR="006F651F" w:rsidRPr="007F5A49">
        <w:rPr>
          <w:rFonts w:ascii="Book Antiqua" w:hAnsi="Book Antiqua" w:cs="Arial"/>
          <w:lang w:val="en-US"/>
        </w:rPr>
        <w:t xml:space="preserve">various </w:t>
      </w:r>
      <w:r w:rsidR="00DF0C59" w:rsidRPr="007F5A49">
        <w:rPr>
          <w:rFonts w:ascii="Book Antiqua" w:hAnsi="Book Antiqua" w:cs="Arial"/>
          <w:lang w:val="en-US"/>
        </w:rPr>
        <w:t>cell lines and animal models</w:t>
      </w:r>
      <w:r w:rsidR="003F5A99" w:rsidRPr="007F5A49">
        <w:rPr>
          <w:rFonts w:ascii="Book Antiqua" w:hAnsi="Book Antiqua" w:cs="Arial"/>
          <w:lang w:val="en-US"/>
        </w:rPr>
        <w:t xml:space="preserve"> revealed that </w:t>
      </w:r>
      <w:r w:rsidR="00F83376" w:rsidRPr="007F5A49">
        <w:rPr>
          <w:rFonts w:ascii="Book Antiqua" w:hAnsi="Book Antiqua" w:cs="Arial"/>
          <w:lang w:val="en-US"/>
        </w:rPr>
        <w:t>i</w:t>
      </w:r>
      <w:r w:rsidR="00CF24EE" w:rsidRPr="007F5A49">
        <w:rPr>
          <w:rFonts w:ascii="Book Antiqua" w:hAnsi="Book Antiqua" w:cs="Arial"/>
          <w:lang w:val="en-US"/>
        </w:rPr>
        <w:t>ron chelation decrease</w:t>
      </w:r>
      <w:r w:rsidR="0024009A" w:rsidRPr="007F5A49">
        <w:rPr>
          <w:rFonts w:ascii="Book Antiqua" w:hAnsi="Book Antiqua" w:cs="Arial"/>
          <w:lang w:val="en-US"/>
        </w:rPr>
        <w:t>d</w:t>
      </w:r>
      <w:r w:rsidR="00CF24EE" w:rsidRPr="007F5A49">
        <w:rPr>
          <w:rFonts w:ascii="Book Antiqua" w:hAnsi="Book Antiqua" w:cs="Arial"/>
          <w:lang w:val="en-US"/>
        </w:rPr>
        <w:t xml:space="preserve"> </w:t>
      </w:r>
      <w:r w:rsidR="00936390" w:rsidRPr="007F5A49">
        <w:rPr>
          <w:rFonts w:ascii="Book Antiqua" w:hAnsi="Book Antiqua" w:cs="Arial"/>
          <w:lang w:val="en-US"/>
        </w:rPr>
        <w:t>the stability of procollagen mRNA</w:t>
      </w:r>
      <w:r w:rsidR="006F651F" w:rsidRPr="007F5A49">
        <w:rPr>
          <w:rFonts w:ascii="Book Antiqua" w:hAnsi="Book Antiqua" w:cs="Arial"/>
          <w:lang w:val="en-US"/>
        </w:rPr>
        <w:t xml:space="preserve"> in human </w:t>
      </w:r>
      <w:proofErr w:type="spellStart"/>
      <w:r w:rsidR="006F651F" w:rsidRPr="007F5A49">
        <w:rPr>
          <w:rFonts w:ascii="Book Antiqua" w:hAnsi="Book Antiqua" w:cs="Arial"/>
          <w:lang w:val="en-US"/>
        </w:rPr>
        <w:t>foetal</w:t>
      </w:r>
      <w:proofErr w:type="spellEnd"/>
      <w:r w:rsidR="006F651F" w:rsidRPr="007F5A49">
        <w:rPr>
          <w:rFonts w:ascii="Book Antiqua" w:hAnsi="Book Antiqua" w:cs="Arial"/>
          <w:lang w:val="en-US"/>
        </w:rPr>
        <w:t xml:space="preserve"> fibroblasts</w:t>
      </w:r>
      <w:r w:rsidR="00CF24EE" w:rsidRPr="007F5A49">
        <w:rPr>
          <w:rFonts w:ascii="Book Antiqua" w:hAnsi="Book Antiqua" w:cs="Arial"/>
          <w:vertAlign w:val="superscript"/>
          <w:lang w:val="en-US"/>
        </w:rPr>
        <w:fldChar w:fldCharType="begin"/>
      </w:r>
      <w:r w:rsidR="00D2645C" w:rsidRPr="007F5A49">
        <w:rPr>
          <w:rFonts w:ascii="Book Antiqua" w:hAnsi="Book Antiqua" w:cs="Arial"/>
          <w:vertAlign w:val="superscript"/>
          <w:lang w:val="en-US"/>
        </w:rPr>
        <w:instrText xml:space="preserve"> ADDIN ZOTERO_ITEM CSL_CITATION {"citationID":"JnCGVQz3","properties":{"formattedCitation":"(125)","plainCitation":"(125)","noteIndex":0},"citationItems":[{"id":133,"uris":["http://zotero.org/users/2804724/items/4EVH4JI2"],"uri":["http://zotero.org/users/2804724/items/4EVH4JI2"],"itemData":{"id":133,"type":"article-journal","title":"Evidence that an iron chelator regulates collagen synthesis by decreasing the stability of procollagen mRNA","container-title":"Hepatology (Baltimore, Md.)","page":"282-287","volume":"15","issue":"2","source":"PubMed","abstract":"Iron chelation has been shown previously to decrease collagen synthesis at a posttranslational level by inhibiting prolyl 4-hydroxylase, one of the key enzymes in collagen metabolism. On the other hand, recent in vivo studies of iron overload in rats suggest that iron could specifically activate collagen gene expression in liver tissues. These findings led us to investigate whether iron chelation might also affect collagen gene expression and posttranslational modification. Our data indicate that alpha,alpha'-dipyridyl, an iron chelator, at a concentration of 1 mmol/L, decreased steady-state levels of type I procollagen messenger RNA by 42% (p less than 0.001) without affecting beta-actin messenger RNA levels. Nuclear runoff studies demonstrated that transcription of the type I procollagen gene was unchanged by alpha,alpha'-dipyridyl. However, the turnover rate of type I procollagen messenger RNA was increased by 30%. This pretranslational inhibition of collagen synthesis was not due to decreased lipid peroxidation, because thiobarbituric acid-reactive substances were unchanged by alpha,alpha'-dipyridyl. However, cycloheximide totally abolished the effect, indicating that de novo protein synthesis was required.","ISSN":"0270-9139","note":"PMID: 1735531","journalAbbreviation":"Hepatology","language":"eng","author":[{"family":"Ikeda","given":"H."},{"family":"Wu","given":"G. Y."},{"family":"Wu","given":"C. H."}],"issued":{"date-parts":[["1992",2]]}}}],"schema":"https://github.com/citation-style-language/schema/raw/master/csl-citation.json"} </w:instrText>
      </w:r>
      <w:r w:rsidR="00CF24EE" w:rsidRPr="007F5A49">
        <w:rPr>
          <w:rFonts w:ascii="Book Antiqua" w:hAnsi="Book Antiqua" w:cs="Arial"/>
          <w:vertAlign w:val="superscript"/>
          <w:lang w:val="en-US"/>
        </w:rPr>
        <w:fldChar w:fldCharType="separate"/>
      </w:r>
      <w:r w:rsidR="001A1FEB" w:rsidRPr="007F5A49">
        <w:rPr>
          <w:rFonts w:ascii="Book Antiqua" w:hAnsi="Book Antiqua"/>
          <w:vertAlign w:val="superscript"/>
          <w:lang w:val="en-US"/>
        </w:rPr>
        <w:t>[</w:t>
      </w:r>
      <w:r w:rsidR="00D2645C" w:rsidRPr="007F5A49">
        <w:rPr>
          <w:rFonts w:ascii="Book Antiqua" w:hAnsi="Book Antiqua"/>
          <w:vertAlign w:val="superscript"/>
          <w:lang w:val="en-US"/>
        </w:rPr>
        <w:t>125</w:t>
      </w:r>
      <w:r w:rsidR="00CF24EE" w:rsidRPr="007F5A49">
        <w:rPr>
          <w:rFonts w:ascii="Book Antiqua" w:hAnsi="Book Antiqua" w:cs="Arial"/>
          <w:vertAlign w:val="superscript"/>
          <w:lang w:val="en-US"/>
        </w:rPr>
        <w:fldChar w:fldCharType="end"/>
      </w:r>
      <w:r w:rsidR="001A1FEB" w:rsidRPr="007F5A49">
        <w:rPr>
          <w:rFonts w:ascii="Book Antiqua" w:hAnsi="Book Antiqua" w:cs="Arial"/>
          <w:vertAlign w:val="superscript"/>
          <w:lang w:val="en-US"/>
        </w:rPr>
        <w:t>]</w:t>
      </w:r>
      <w:r w:rsidR="001C157C" w:rsidRPr="007F5A49">
        <w:rPr>
          <w:rFonts w:ascii="Book Antiqua" w:hAnsi="Book Antiqua" w:cs="Arial"/>
          <w:lang w:val="en-US"/>
        </w:rPr>
        <w:t xml:space="preserve">, </w:t>
      </w:r>
      <w:r w:rsidR="00E752B3" w:rsidRPr="007F5A49">
        <w:rPr>
          <w:rFonts w:ascii="Book Antiqua" w:hAnsi="Book Antiqua" w:cs="Arial"/>
          <w:lang w:val="en-US"/>
        </w:rPr>
        <w:t xml:space="preserve">and </w:t>
      </w:r>
      <w:r w:rsidR="0057017B" w:rsidRPr="007F5A49">
        <w:rPr>
          <w:rFonts w:ascii="Book Antiqua" w:hAnsi="Book Antiqua" w:cs="Arial"/>
          <w:lang w:val="en-US"/>
        </w:rPr>
        <w:t>reduced</w:t>
      </w:r>
      <w:r w:rsidR="0024009A" w:rsidRPr="007F5A49">
        <w:rPr>
          <w:rFonts w:ascii="Book Antiqua" w:hAnsi="Book Antiqua" w:cs="Arial"/>
          <w:lang w:val="en-US"/>
        </w:rPr>
        <w:t xml:space="preserve"> </w:t>
      </w:r>
      <w:r w:rsidR="00CF24EE" w:rsidRPr="007F5A49">
        <w:rPr>
          <w:rFonts w:ascii="Book Antiqua" w:hAnsi="Book Antiqua" w:cs="Arial"/>
          <w:lang w:val="en-US"/>
        </w:rPr>
        <w:t>elastin mRNA</w:t>
      </w:r>
      <w:r w:rsidR="0057017B" w:rsidRPr="007F5A49">
        <w:rPr>
          <w:rFonts w:ascii="Book Antiqua" w:hAnsi="Book Antiqua" w:cs="Arial"/>
          <w:lang w:val="en-US"/>
        </w:rPr>
        <w:t xml:space="preserve"> </w:t>
      </w:r>
      <w:r w:rsidR="0024009A" w:rsidRPr="007F5A49">
        <w:rPr>
          <w:rFonts w:ascii="Book Antiqua" w:hAnsi="Book Antiqua" w:cs="Arial"/>
          <w:lang w:val="en-US"/>
        </w:rPr>
        <w:t>and elastin d</w:t>
      </w:r>
      <w:r w:rsidR="00CF24EE" w:rsidRPr="007F5A49">
        <w:rPr>
          <w:rFonts w:ascii="Book Antiqua" w:hAnsi="Book Antiqua" w:cs="Arial"/>
          <w:lang w:val="en-US"/>
        </w:rPr>
        <w:t>eposition i</w:t>
      </w:r>
      <w:r w:rsidR="00E6033F" w:rsidRPr="007F5A49">
        <w:rPr>
          <w:rFonts w:ascii="Book Antiqua" w:hAnsi="Book Antiqua" w:cs="Arial"/>
          <w:lang w:val="en-US"/>
        </w:rPr>
        <w:t>n human skin fibroblasts</w:t>
      </w:r>
      <w:r w:rsidR="00CF24EE" w:rsidRPr="007F5A49">
        <w:rPr>
          <w:rFonts w:ascii="Book Antiqua" w:hAnsi="Book Antiqua" w:cs="Arial"/>
          <w:vertAlign w:val="superscript"/>
          <w:lang w:val="en-US"/>
        </w:rPr>
        <w:fldChar w:fldCharType="begin"/>
      </w:r>
      <w:r w:rsidR="00D2645C" w:rsidRPr="007F5A49">
        <w:rPr>
          <w:rFonts w:ascii="Book Antiqua" w:hAnsi="Book Antiqua" w:cs="Arial"/>
          <w:vertAlign w:val="superscript"/>
          <w:lang w:val="en-US"/>
        </w:rPr>
        <w:instrText xml:space="preserve"> ADDIN ZOTERO_ITEM CSL_CITATION {"citationID":"a17m0oqihp7","properties":{"formattedCitation":"(63)","plainCitation":"(63)","noteIndex":0},"citationItems":[{"id":"z1PZoHrb/tHYhZa9v","uris":["http://zotero.org/users/4222068/items/K7RUSTUS"],"uri":["http://zotero.org/users/4222068/items/K7RUSTUS"],"itemData":{"id":1169,"type":"article-journal","title":"Fluctuations of intracellular iron modulate elastin production","container-title":"The Journal of Biological Chemistry","page":"2341-2351","volume":"280","issue":"3","source":"PubMed","abstract":"Production of insoluble elastin, the major component of elastic fibers, can be modulated by numerous intrinsic and exogenous factors. Because patients with hemolytic disorders characterized with fluctuations in iron concentration demonstrate defective elastic fibers, we speculated that iron might also modulate elastogenesis. In the present report we demonstrate that treatment of cultured human skin fibroblasts with low concentration of iron 2-20 microm (ferric ammonium citrate) induced a significant increase in the synthesis of tropoelastin and deposition of insoluble elastin. Northern blot and real-time reverse transcription-PCR analysis revealed that treatment with 20 microm iron led to an increase of approximately 3-fold in elastin mRNA levels. Because treatment with an intracellular iron chelator, desferrioxamine, caused a significant decrease in elastin mRNA level and consequent inhibition of elastin deposition, we conclude that iron facilitates elastin gene expression. Our experimental evidence also demonstrates the existence of an opposite effect, in which higher, but not cytotoxic concentrations of iron (100-400 microm) induced the production of intracellular reactive oxygen species that coincided with a significant decrease in elastin message stability and the disappearance of iron-dependent stimulatory effect on elastogenesis. This stimulatory elastogenic effect was reversed, however, in cultures simultaneously treated with high iron concentration (200 microm) and the intracellular hydroxyl radical scavenger, dimethylthiourea. Thus, presented data, for the first time, demonstrate the existence of two opposite iron-dependent mechanisms that may affect the steady state of elastin message. We speculate that extreme fluctuations in intracellular iron levels result in impaired elastic fiber production as observed in hemolytic diseases.","DOI":"10.1074/jbc.M409897200","ISSN":"0021-9258","note":"PMID: 15537639","journalAbbreviation":"J. Biol. Chem.","language":"eng","author":[{"family":"Bunda","given":"Severa"},{"family":"Kaviani","given":"Nilo"},{"family":"Hinek","given":"Aleksander"}],"issued":{"date-parts":[["2005",1,21]]}}}],"schema":"https://github.com/citation-style-language/schema/raw/master/csl-citation.json"} </w:instrText>
      </w:r>
      <w:r w:rsidR="00CF24EE" w:rsidRPr="007F5A49">
        <w:rPr>
          <w:rFonts w:ascii="Book Antiqua" w:hAnsi="Book Antiqua" w:cs="Arial"/>
          <w:vertAlign w:val="superscript"/>
          <w:lang w:val="en-US"/>
        </w:rPr>
        <w:fldChar w:fldCharType="separate"/>
      </w:r>
      <w:r w:rsidR="001A1FEB" w:rsidRPr="007F5A49">
        <w:rPr>
          <w:rFonts w:ascii="Book Antiqua" w:hAnsi="Book Antiqua"/>
          <w:vertAlign w:val="superscript"/>
          <w:lang w:val="en-US"/>
        </w:rPr>
        <w:t>[</w:t>
      </w:r>
      <w:r w:rsidR="00D2645C" w:rsidRPr="007F5A49">
        <w:rPr>
          <w:rFonts w:ascii="Book Antiqua" w:hAnsi="Book Antiqua"/>
          <w:vertAlign w:val="superscript"/>
          <w:lang w:val="en-US"/>
        </w:rPr>
        <w:t>63</w:t>
      </w:r>
      <w:r w:rsidR="00CF24EE" w:rsidRPr="007F5A49">
        <w:rPr>
          <w:rFonts w:ascii="Book Antiqua" w:hAnsi="Book Antiqua" w:cs="Arial"/>
          <w:vertAlign w:val="superscript"/>
          <w:lang w:val="en-US"/>
        </w:rPr>
        <w:fldChar w:fldCharType="end"/>
      </w:r>
      <w:r w:rsidR="001A1FEB" w:rsidRPr="007F5A49">
        <w:rPr>
          <w:rFonts w:ascii="Book Antiqua" w:hAnsi="Book Antiqua" w:cs="Arial"/>
          <w:vertAlign w:val="superscript"/>
          <w:lang w:val="en-US"/>
        </w:rPr>
        <w:t>]</w:t>
      </w:r>
      <w:r w:rsidR="00E752B3" w:rsidRPr="007F5A49">
        <w:rPr>
          <w:rFonts w:ascii="Book Antiqua" w:hAnsi="Book Antiqua" w:cs="Arial"/>
          <w:lang w:val="en-US"/>
        </w:rPr>
        <w:t xml:space="preserve">. </w:t>
      </w:r>
      <w:r w:rsidR="006F651F" w:rsidRPr="007F5A49">
        <w:rPr>
          <w:rFonts w:ascii="Book Antiqua" w:hAnsi="Book Antiqua" w:cs="Arial"/>
          <w:lang w:val="en-US"/>
        </w:rPr>
        <w:t xml:space="preserve">In another study, </w:t>
      </w:r>
      <w:r w:rsidR="00E752B3" w:rsidRPr="007F5A49">
        <w:rPr>
          <w:rFonts w:ascii="Book Antiqua" w:hAnsi="Book Antiqua" w:cs="Arial"/>
          <w:lang w:val="en-US"/>
        </w:rPr>
        <w:t>DFO</w:t>
      </w:r>
      <w:r w:rsidR="00DF0C59" w:rsidRPr="007F5A49">
        <w:rPr>
          <w:rFonts w:ascii="Book Antiqua" w:hAnsi="Book Antiqua" w:cs="Arial"/>
          <w:lang w:val="en-US"/>
        </w:rPr>
        <w:t xml:space="preserve"> </w:t>
      </w:r>
      <w:r w:rsidR="00543BC5" w:rsidRPr="007F5A49">
        <w:rPr>
          <w:rFonts w:ascii="Book Antiqua" w:hAnsi="Book Antiqua" w:cs="Arial"/>
          <w:lang w:val="en-US"/>
        </w:rPr>
        <w:t xml:space="preserve">inhibited and </w:t>
      </w:r>
      <w:r w:rsidR="006D5074" w:rsidRPr="007F5A49">
        <w:rPr>
          <w:rFonts w:ascii="Book Antiqua" w:hAnsi="Book Antiqua" w:cs="Arial"/>
          <w:lang w:val="en-US"/>
        </w:rPr>
        <w:t>reverse</w:t>
      </w:r>
      <w:r w:rsidR="00543BC5" w:rsidRPr="007F5A49">
        <w:rPr>
          <w:rFonts w:ascii="Book Antiqua" w:hAnsi="Book Antiqua" w:cs="Arial"/>
          <w:lang w:val="en-US"/>
        </w:rPr>
        <w:t>d</w:t>
      </w:r>
      <w:r w:rsidR="006D5074" w:rsidRPr="007F5A49">
        <w:rPr>
          <w:rFonts w:ascii="Book Antiqua" w:hAnsi="Book Antiqua" w:cs="Arial"/>
          <w:lang w:val="en-US"/>
        </w:rPr>
        <w:t xml:space="preserve"> </w:t>
      </w:r>
      <w:r w:rsidR="003B6AC6" w:rsidRPr="007F5A49">
        <w:rPr>
          <w:rFonts w:ascii="Book Antiqua" w:hAnsi="Book Antiqua" w:cs="Arial"/>
          <w:lang w:val="en-US"/>
        </w:rPr>
        <w:t>HSC</w:t>
      </w:r>
      <w:r w:rsidR="00F62D44" w:rsidRPr="007F5A49">
        <w:rPr>
          <w:rFonts w:ascii="Book Antiqua" w:hAnsi="Book Antiqua" w:cs="Arial"/>
          <w:lang w:val="en-US"/>
        </w:rPr>
        <w:t>-</w:t>
      </w:r>
      <w:r w:rsidR="003B6AC6" w:rsidRPr="007F5A49">
        <w:rPr>
          <w:rFonts w:ascii="Book Antiqua" w:hAnsi="Book Antiqua" w:cs="Arial"/>
          <w:lang w:val="en-US"/>
        </w:rPr>
        <w:t>activation</w:t>
      </w:r>
      <w:r w:rsidR="00CE2BD7" w:rsidRPr="007F5A49">
        <w:rPr>
          <w:rFonts w:ascii="Book Antiqua" w:hAnsi="Book Antiqua" w:cs="Arial"/>
          <w:lang w:val="en-US"/>
        </w:rPr>
        <w:t xml:space="preserve">, </w:t>
      </w:r>
      <w:r w:rsidR="00E02E0C" w:rsidRPr="007F5A49">
        <w:rPr>
          <w:rFonts w:ascii="Book Antiqua" w:hAnsi="Book Antiqua" w:cs="Arial"/>
          <w:lang w:val="en-US"/>
        </w:rPr>
        <w:t xml:space="preserve">induced apoptosis of activated </w:t>
      </w:r>
      <w:r w:rsidR="006F651F" w:rsidRPr="007F5A49">
        <w:rPr>
          <w:rFonts w:ascii="Book Antiqua" w:hAnsi="Book Antiqua" w:cs="Arial"/>
          <w:lang w:val="en-US"/>
        </w:rPr>
        <w:t xml:space="preserve">rat </w:t>
      </w:r>
      <w:r w:rsidR="00E02E0C" w:rsidRPr="007F5A49">
        <w:rPr>
          <w:rFonts w:ascii="Book Antiqua" w:hAnsi="Book Antiqua" w:cs="Arial"/>
          <w:lang w:val="en-US"/>
        </w:rPr>
        <w:t xml:space="preserve">HSCs, and </w:t>
      </w:r>
      <w:r w:rsidR="00CE2BD7" w:rsidRPr="007F5A49">
        <w:rPr>
          <w:rFonts w:ascii="Book Antiqua" w:hAnsi="Book Antiqua" w:cs="Arial"/>
          <w:lang w:val="en-US"/>
        </w:rPr>
        <w:t>reduce</w:t>
      </w:r>
      <w:r w:rsidR="00543BC5" w:rsidRPr="007F5A49">
        <w:rPr>
          <w:rFonts w:ascii="Book Antiqua" w:hAnsi="Book Antiqua" w:cs="Arial"/>
          <w:lang w:val="en-US"/>
        </w:rPr>
        <w:t>d</w:t>
      </w:r>
      <w:r w:rsidR="00CE2BD7" w:rsidRPr="007F5A49">
        <w:rPr>
          <w:rFonts w:ascii="Book Antiqua" w:hAnsi="Book Antiqua" w:cs="Arial"/>
          <w:lang w:val="en-US"/>
        </w:rPr>
        <w:t xml:space="preserve"> the expression</w:t>
      </w:r>
      <w:r w:rsidR="00CF24EE" w:rsidRPr="007F5A49">
        <w:rPr>
          <w:rFonts w:ascii="Book Antiqua" w:hAnsi="Book Antiqua" w:cs="Arial"/>
          <w:lang w:val="en-US"/>
        </w:rPr>
        <w:t>s</w:t>
      </w:r>
      <w:r w:rsidR="00CE2BD7" w:rsidRPr="007F5A49">
        <w:rPr>
          <w:rFonts w:ascii="Book Antiqua" w:hAnsi="Book Antiqua" w:cs="Arial"/>
          <w:lang w:val="en-US"/>
        </w:rPr>
        <w:t xml:space="preserve"> of </w:t>
      </w:r>
      <w:r w:rsidR="00135A5D" w:rsidRPr="007F5A49">
        <w:rPr>
          <w:rFonts w:ascii="Book Antiqua" w:hAnsi="Book Antiqua" w:cs="Arial"/>
          <w:i/>
          <w:lang w:val="en-US"/>
        </w:rPr>
        <w:t>α</w:t>
      </w:r>
      <w:r w:rsidR="005E45B1" w:rsidRPr="007F5A49">
        <w:rPr>
          <w:rFonts w:ascii="Book Antiqua" w:hAnsi="Book Antiqua" w:cs="Arial"/>
          <w:i/>
          <w:lang w:val="en-US"/>
        </w:rPr>
        <w:t>-</w:t>
      </w:r>
      <w:proofErr w:type="spellStart"/>
      <w:r w:rsidR="004A3E9D" w:rsidRPr="007F5A49">
        <w:rPr>
          <w:rFonts w:ascii="Book Antiqua" w:hAnsi="Book Antiqua" w:cs="Arial"/>
          <w:i/>
          <w:lang w:val="en-US"/>
        </w:rPr>
        <w:t>sma</w:t>
      </w:r>
      <w:proofErr w:type="spellEnd"/>
      <w:r w:rsidR="00CE2BD7" w:rsidRPr="007F5A49">
        <w:rPr>
          <w:rFonts w:ascii="Book Antiqua" w:hAnsi="Book Antiqua" w:cs="Arial"/>
          <w:lang w:val="en-US"/>
        </w:rPr>
        <w:t>, procollagen</w:t>
      </w:r>
      <w:r w:rsidR="00CF24EE" w:rsidRPr="007F5A49">
        <w:rPr>
          <w:rFonts w:ascii="Book Antiqua" w:hAnsi="Book Antiqua" w:cs="Arial"/>
          <w:lang w:val="en-US"/>
        </w:rPr>
        <w:t xml:space="preserve"> and </w:t>
      </w:r>
      <w:r w:rsidR="00543BC5" w:rsidRPr="007F5A49">
        <w:rPr>
          <w:rFonts w:ascii="Book Antiqua" w:hAnsi="Book Antiqua" w:cs="Arial"/>
          <w:lang w:val="en-US"/>
        </w:rPr>
        <w:t>TIMPs</w:t>
      </w:r>
      <w:r w:rsidR="003B6AC6" w:rsidRPr="007F5A49">
        <w:rPr>
          <w:rFonts w:ascii="Book Antiqua" w:hAnsi="Book Antiqua" w:cs="Arial"/>
          <w:vertAlign w:val="superscript"/>
          <w:lang w:val="en-US"/>
        </w:rPr>
        <w:fldChar w:fldCharType="begin"/>
      </w:r>
      <w:r w:rsidR="00D2645C" w:rsidRPr="007F5A49">
        <w:rPr>
          <w:rFonts w:ascii="Book Antiqua" w:hAnsi="Book Antiqua" w:cs="Arial"/>
          <w:vertAlign w:val="superscript"/>
          <w:lang w:val="en-US"/>
        </w:rPr>
        <w:instrText xml:space="preserve"> ADDIN ZOTERO_ITEM CSL_CITATION {"citationID":"anipublhfg","properties":{"formattedCitation":"(126)","plainCitation":"(126)","noteIndex":0},"citationItems":[{"id":429,"uris":["http://zotero.org/users/2804724/items/T6HXE6S2"],"uri":["http://zotero.org/users/2804724/items/T6HXE6S2"],"itemData":{"id":429,"type":"article-journal","title":"The iron chelator deferoxamine causes activated hepatic stellate cells to become quiescent and to undergo apoptosis","container-title":"Journal of Gastroenterology","page":"475-484","volume":"42","issue":"6","source":"link.springer.com","abstract":"Background Hepatic stellate cells (HSCs) play a pivotal role in liver fibrogenesis. Here, we studied whether the iron chelator deferoxamine (DFO) affected cultured HSC activation and apoptosis. Methods The effect of DFO on HSCs was investigated using quiescent and activated stellate cells. Results Treatment with DFO inhibited HSC activation, resulting in the reduced expression of α-smooth muscle actin protein and type I procollagen, matrix metalloproteinase-2 and -9, and tissue inhibitors of metalloproteinase-1 and -2 mRNAs. DFO induced apoptosis of activated HSCs, which was associated with decreasing Bcl-2 expression and the release of cytochrome c from the mitochondria to the cytosol with enhanced caspase-3 activity. DFO also induced activated HSCs to express peroxisome proliferator-activated receptor γ with the reaccumulation of intracellular lipids. Conclusions The iron chelation of stellate cells inhibits their activation, causing them to become deactivated as well as to undergo apoptosis. These data suggest a potential role for an iron chelation treatment of liver fibrosis.","DOI":"10.1007/s00535-007-2020-5","ISSN":"0944-1174, 1435-5922","journalAbbreviation":"J Gastroenterol","language":"en","author":[{"family":"Jin","given":"Haiyan"},{"family":"Terai","given":"Shuji"},{"family":"Sakaida","given":"Isao"}],"issued":{"date-parts":[["2007",6,29]]}}}],"schema":"https://github.com/citation-style-language/schema/raw/master/csl-citation.json"} </w:instrText>
      </w:r>
      <w:r w:rsidR="003B6AC6" w:rsidRPr="007F5A49">
        <w:rPr>
          <w:rFonts w:ascii="Book Antiqua" w:hAnsi="Book Antiqua" w:cs="Arial"/>
          <w:vertAlign w:val="superscript"/>
          <w:lang w:val="en-US"/>
        </w:rPr>
        <w:fldChar w:fldCharType="separate"/>
      </w:r>
      <w:r w:rsidR="001A1FEB" w:rsidRPr="007F5A49">
        <w:rPr>
          <w:rFonts w:ascii="Book Antiqua" w:hAnsi="Book Antiqua"/>
          <w:vertAlign w:val="superscript"/>
          <w:lang w:val="en-US"/>
        </w:rPr>
        <w:t>[</w:t>
      </w:r>
      <w:r w:rsidR="00D2645C" w:rsidRPr="007F5A49">
        <w:rPr>
          <w:rFonts w:ascii="Book Antiqua" w:hAnsi="Book Antiqua"/>
          <w:vertAlign w:val="superscript"/>
          <w:lang w:val="en-US"/>
        </w:rPr>
        <w:t>126</w:t>
      </w:r>
      <w:r w:rsidR="003B6AC6" w:rsidRPr="007F5A49">
        <w:rPr>
          <w:rFonts w:ascii="Book Antiqua" w:hAnsi="Book Antiqua" w:cs="Arial"/>
          <w:vertAlign w:val="superscript"/>
          <w:lang w:val="en-US"/>
        </w:rPr>
        <w:fldChar w:fldCharType="end"/>
      </w:r>
      <w:r w:rsidR="001A1FEB" w:rsidRPr="007F5A49">
        <w:rPr>
          <w:rFonts w:ascii="Book Antiqua" w:hAnsi="Book Antiqua" w:cs="Arial"/>
          <w:vertAlign w:val="superscript"/>
          <w:lang w:val="en-US"/>
        </w:rPr>
        <w:t>]</w:t>
      </w:r>
      <w:r w:rsidR="006F651F" w:rsidRPr="007F5A49">
        <w:rPr>
          <w:rFonts w:ascii="Book Antiqua" w:hAnsi="Book Antiqua" w:cs="Arial"/>
          <w:lang w:val="en-US"/>
        </w:rPr>
        <w:t>.</w:t>
      </w:r>
      <w:r w:rsidR="003F5A99" w:rsidRPr="007F5A49">
        <w:rPr>
          <w:rFonts w:ascii="Book Antiqua" w:hAnsi="Book Antiqua" w:cs="Arial"/>
          <w:lang w:val="en-US"/>
        </w:rPr>
        <w:t xml:space="preserve"> More recently</w:t>
      </w:r>
      <w:r w:rsidR="00545B65" w:rsidRPr="007F5A49">
        <w:rPr>
          <w:rFonts w:ascii="Book Antiqua" w:hAnsi="Book Antiqua" w:cs="Arial"/>
          <w:lang w:val="en-US"/>
        </w:rPr>
        <w:t>,</w:t>
      </w:r>
      <w:r w:rsidR="006F651F" w:rsidRPr="007F5A49">
        <w:rPr>
          <w:rFonts w:ascii="Book Antiqua" w:hAnsi="Book Antiqua" w:cs="Arial"/>
          <w:lang w:val="en-US"/>
        </w:rPr>
        <w:t xml:space="preserve"> a </w:t>
      </w:r>
      <w:r w:rsidR="00ED06D0" w:rsidRPr="007F5A49">
        <w:rPr>
          <w:rFonts w:ascii="Book Antiqua" w:hAnsi="Book Antiqua" w:cs="Arial"/>
          <w:lang w:val="en-US"/>
        </w:rPr>
        <w:t>combination</w:t>
      </w:r>
      <w:r w:rsidR="005F6D83" w:rsidRPr="007F5A49">
        <w:rPr>
          <w:rFonts w:ascii="Book Antiqua" w:hAnsi="Book Antiqua" w:cs="Arial"/>
          <w:lang w:val="en-US"/>
        </w:rPr>
        <w:t xml:space="preserve"> of DFO with pegylated interferon-α show</w:t>
      </w:r>
      <w:r w:rsidR="00545B65" w:rsidRPr="007F5A49">
        <w:rPr>
          <w:rFonts w:ascii="Book Antiqua" w:hAnsi="Book Antiqua" w:cs="Arial"/>
          <w:lang w:val="en-US"/>
        </w:rPr>
        <w:t>ed</w:t>
      </w:r>
      <w:r w:rsidR="005F6D83" w:rsidRPr="007F5A49">
        <w:rPr>
          <w:rFonts w:ascii="Book Antiqua" w:hAnsi="Book Antiqua" w:cs="Arial"/>
          <w:lang w:val="en-US"/>
        </w:rPr>
        <w:t xml:space="preserve"> better antifibrotic effects than either treatment alone</w:t>
      </w:r>
      <w:r w:rsidR="00ED06D0" w:rsidRPr="007F5A49">
        <w:rPr>
          <w:rFonts w:ascii="Book Antiqua" w:hAnsi="Book Antiqua" w:cs="Arial"/>
          <w:lang w:val="en-US"/>
        </w:rPr>
        <w:t xml:space="preserve"> and increased hepcidin expression </w:t>
      </w:r>
      <w:r w:rsidR="005F6D83" w:rsidRPr="007F5A49">
        <w:rPr>
          <w:rFonts w:ascii="Book Antiqua" w:hAnsi="Book Antiqua" w:cs="Arial"/>
          <w:lang w:val="en-US"/>
        </w:rPr>
        <w:t>in concanavalin A-induced liver fibrosis in rats</w:t>
      </w:r>
      <w:r w:rsidR="005F6D83" w:rsidRPr="007F5A49">
        <w:rPr>
          <w:rFonts w:ascii="Book Antiqua" w:hAnsi="Book Antiqua" w:cs="Arial"/>
          <w:vertAlign w:val="superscript"/>
          <w:lang w:val="en-US"/>
        </w:rPr>
        <w:fldChar w:fldCharType="begin"/>
      </w:r>
      <w:r w:rsidR="00D2645C" w:rsidRPr="007F5A49">
        <w:rPr>
          <w:rFonts w:ascii="Book Antiqua" w:hAnsi="Book Antiqua" w:cs="Arial"/>
          <w:vertAlign w:val="superscript"/>
          <w:lang w:val="en-US"/>
        </w:rPr>
        <w:instrText xml:space="preserve"> ADDIN ZOTERO_ITEM CSL_CITATION {"citationID":"a201lofe5mj","properties":{"formattedCitation":"(127)","plainCitation":"(127)","noteIndex":0},"citationItems":[{"id":"z1PZoHrb/TBwnCSvk","uris":["http://zotero.org/users/4222068/items/EDHVXNFG"],"uri":["http://zotero.org/users/4222068/items/EDHVXNFG"],"itemData":{"id":1225,"type":"article-journal","title":"Antifibrotic mechanism of deferoxamine in concanavalin A induced-liver fibrosis: Impact on interferon therapy","container-title":"Biochemical Pharmacology","page":"231-242","volume":"98","issue":"1","source":"PubMed","abstract":"Iron-overload is a well-known factor of hepatotoxicity and liver fibrosis, which found to be a common finding among hepatitis C virus patients and related to interferon resistance. We aimed to elucidate the potential antifibrotic effect of deferoxamine; the main iron chelator, and its additional usefulness to interferon-based therapy in concanavalin A-induced immunological model of liver fibrosis. Rats were treated with deferoxamine and/or pegylated interferon-α for 6 weeks. Hepatotoxicity indices, oxidative stress, inflammatory and liver fibrosis markers were assessed. Concanavalin A induced a significant increase in hepatotoxicity indices and lipid peroxidation accompanied with a significant depletion of total antioxidant capacity, glutathione level and superoxide dismutase activity. Besides, it increased CD4(+) T-cells content and the downstream inflammatory cascades, including NF-κB, TNF-α, iNOS, COX-2, IL-6 and IFN-γ. Furthermore, α-SMA, TGF-β1 and hydroxyproline were increased markedly, which confirmed by histopathology. Treatment with either deferoxamine or pegylated interferon-α alone reduced liver fibrosis markers significantly and improved liver histology. However, some of the hepatotoxicity indices and oxidative stress markers did not improve upon pegylated interferon-α treatment alone, besides the remarkable increase in IL-6. Combination therapy of deferoxamine with pegylated interferon-α further improved all previous markers, ameliorated IL-6 elevation, as well as increased hepcidin expression. In conclusion, our study provides evidences for the potent antifibrotic effects of deferoxamine and the underlying mechanisms that involved attenuating oxidative stress and subsequent inflammatory cascade, as well as the production of profibrogenic factors. Addition of deferoxamine to interferon regimen for HCV patients may offer a promising adjuvant modality to enhance therapeutic response.","DOI":"10.1016/j.bcp.2015.09.001","ISSN":"1873-2968","note":"PMID: 26358138","shortTitle":"Antifibrotic mechanism of deferoxamine in concanavalin A induced-liver fibrosis","journalAbbreviation":"Biochem. Pharmacol.","language":"eng","author":[{"family":"Darwish","given":"Samar F."},{"family":"El-Bakly","given":"Wesam M."},{"family":"El-Naga","given":"Reem N."},{"family":"Awad","given":"Azza S."},{"family":"El-Demerdash","given":"Ebtehal"}],"issued":{"date-parts":[["2015",11,1]]}}}],"schema":"https://github.com/citation-style-language/schema/raw/master/csl-citation.json"} </w:instrText>
      </w:r>
      <w:r w:rsidR="005F6D83" w:rsidRPr="007F5A49">
        <w:rPr>
          <w:rFonts w:ascii="Book Antiqua" w:hAnsi="Book Antiqua" w:cs="Arial"/>
          <w:vertAlign w:val="superscript"/>
          <w:lang w:val="en-US"/>
        </w:rPr>
        <w:fldChar w:fldCharType="separate"/>
      </w:r>
      <w:r w:rsidR="0032037D" w:rsidRPr="007F5A49">
        <w:rPr>
          <w:rFonts w:ascii="Book Antiqua" w:hAnsi="Book Antiqua"/>
          <w:vertAlign w:val="superscript"/>
          <w:lang w:val="en-US"/>
        </w:rPr>
        <w:t>[</w:t>
      </w:r>
      <w:r w:rsidR="00D2645C" w:rsidRPr="007F5A49">
        <w:rPr>
          <w:rFonts w:ascii="Book Antiqua" w:hAnsi="Book Antiqua"/>
          <w:vertAlign w:val="superscript"/>
          <w:lang w:val="en-US"/>
        </w:rPr>
        <w:t>127</w:t>
      </w:r>
      <w:r w:rsidR="005F6D83" w:rsidRPr="007F5A49">
        <w:rPr>
          <w:rFonts w:ascii="Book Antiqua" w:hAnsi="Book Antiqua" w:cs="Arial"/>
          <w:vertAlign w:val="superscript"/>
          <w:lang w:val="en-US"/>
        </w:rPr>
        <w:fldChar w:fldCharType="end"/>
      </w:r>
      <w:r w:rsidR="0032037D" w:rsidRPr="007F5A49">
        <w:rPr>
          <w:rFonts w:ascii="Book Antiqua" w:hAnsi="Book Antiqua" w:cs="Arial"/>
          <w:vertAlign w:val="superscript"/>
          <w:lang w:val="en-US"/>
        </w:rPr>
        <w:t>]</w:t>
      </w:r>
      <w:r w:rsidR="00E752B3" w:rsidRPr="007F5A49">
        <w:rPr>
          <w:rFonts w:ascii="Book Antiqua" w:hAnsi="Book Antiqua" w:cs="Arial"/>
          <w:lang w:val="en-US"/>
        </w:rPr>
        <w:t xml:space="preserve">. </w:t>
      </w:r>
      <w:r w:rsidR="00ED06D0" w:rsidRPr="007F5A49">
        <w:rPr>
          <w:rFonts w:ascii="Book Antiqua" w:hAnsi="Book Antiqua" w:cs="Arial"/>
          <w:lang w:val="en-US"/>
        </w:rPr>
        <w:t xml:space="preserve">This </w:t>
      </w:r>
      <w:r w:rsidR="00E752B3" w:rsidRPr="007F5A49">
        <w:rPr>
          <w:rFonts w:ascii="Book Antiqua" w:hAnsi="Book Antiqua" w:cs="Arial"/>
          <w:lang w:val="en-US"/>
        </w:rPr>
        <w:t xml:space="preserve">shows </w:t>
      </w:r>
      <w:r w:rsidR="00ED06D0" w:rsidRPr="007F5A49">
        <w:rPr>
          <w:rFonts w:ascii="Book Antiqua" w:hAnsi="Book Antiqua" w:cs="Arial"/>
          <w:lang w:val="en-US"/>
        </w:rPr>
        <w:t>t</w:t>
      </w:r>
      <w:r w:rsidR="00545B65" w:rsidRPr="007F5A49">
        <w:rPr>
          <w:rFonts w:ascii="Book Antiqua" w:hAnsi="Book Antiqua" w:cs="Arial"/>
          <w:lang w:val="en-US"/>
        </w:rPr>
        <w:t xml:space="preserve">he potential </w:t>
      </w:r>
      <w:r w:rsidR="0094759A" w:rsidRPr="007F5A49">
        <w:rPr>
          <w:rFonts w:ascii="Book Antiqua" w:hAnsi="Book Antiqua" w:cs="Arial"/>
          <w:lang w:val="en-US"/>
        </w:rPr>
        <w:t xml:space="preserve">for </w:t>
      </w:r>
      <w:r w:rsidR="00ED06D0" w:rsidRPr="007F5A49">
        <w:rPr>
          <w:rFonts w:ascii="Book Antiqua" w:hAnsi="Book Antiqua" w:cs="Arial"/>
          <w:lang w:val="en-US"/>
        </w:rPr>
        <w:t>combining</w:t>
      </w:r>
      <w:r w:rsidR="00545B65" w:rsidRPr="007F5A49">
        <w:rPr>
          <w:rFonts w:ascii="Book Antiqua" w:hAnsi="Book Antiqua" w:cs="Arial"/>
          <w:lang w:val="en-US"/>
        </w:rPr>
        <w:t xml:space="preserve"> iron</w:t>
      </w:r>
      <w:r w:rsidR="00E02E0C" w:rsidRPr="007F5A49">
        <w:rPr>
          <w:rFonts w:ascii="Book Antiqua" w:hAnsi="Book Antiqua" w:cs="Arial"/>
          <w:lang w:val="en-US"/>
        </w:rPr>
        <w:t>-</w:t>
      </w:r>
      <w:r w:rsidR="00545B65" w:rsidRPr="007F5A49">
        <w:rPr>
          <w:rFonts w:ascii="Book Antiqua" w:hAnsi="Book Antiqua" w:cs="Arial"/>
          <w:lang w:val="en-US"/>
        </w:rPr>
        <w:t xml:space="preserve">chelation with </w:t>
      </w:r>
      <w:r w:rsidR="00ED06D0" w:rsidRPr="007F5A49">
        <w:rPr>
          <w:rFonts w:ascii="Book Antiqua" w:hAnsi="Book Antiqua" w:cs="Arial"/>
          <w:lang w:val="en-US"/>
        </w:rPr>
        <w:t xml:space="preserve">antifibrotic agents </w:t>
      </w:r>
      <w:r w:rsidR="00E02E0C" w:rsidRPr="007F5A49">
        <w:rPr>
          <w:rFonts w:ascii="Book Antiqua" w:hAnsi="Book Antiqua" w:cs="Arial"/>
          <w:lang w:val="en-US"/>
        </w:rPr>
        <w:t xml:space="preserve">to </w:t>
      </w:r>
      <w:r w:rsidR="00ED06D0" w:rsidRPr="007F5A49">
        <w:rPr>
          <w:rFonts w:ascii="Book Antiqua" w:hAnsi="Book Antiqua" w:cs="Arial"/>
          <w:lang w:val="en-US"/>
        </w:rPr>
        <w:t>accelerat</w:t>
      </w:r>
      <w:r w:rsidR="00E02E0C" w:rsidRPr="007F5A49">
        <w:rPr>
          <w:rFonts w:ascii="Book Antiqua" w:hAnsi="Book Antiqua" w:cs="Arial"/>
          <w:lang w:val="en-US"/>
        </w:rPr>
        <w:t>e</w:t>
      </w:r>
      <w:r w:rsidR="00ED06D0" w:rsidRPr="007F5A49">
        <w:rPr>
          <w:rFonts w:ascii="Book Antiqua" w:hAnsi="Book Antiqua" w:cs="Arial"/>
          <w:lang w:val="en-US"/>
        </w:rPr>
        <w:t xml:space="preserve"> fibrosis recovery.</w:t>
      </w:r>
      <w:r w:rsidR="00C56CE1" w:rsidRPr="007F5A49">
        <w:rPr>
          <w:rFonts w:ascii="Book Antiqua" w:hAnsi="Book Antiqua" w:cs="Arial"/>
          <w:lang w:val="en-US"/>
        </w:rPr>
        <w:t xml:space="preserve"> Oxidative stress degrades </w:t>
      </w:r>
      <w:r w:rsidR="00F43336" w:rsidRPr="007F5A49">
        <w:rPr>
          <w:rFonts w:ascii="Book Antiqua" w:hAnsi="Book Antiqua" w:cs="Arial"/>
          <w:lang w:val="en-US"/>
        </w:rPr>
        <w:t>a</w:t>
      </w:r>
      <w:r w:rsidR="00C56CE1" w:rsidRPr="007F5A49">
        <w:rPr>
          <w:rFonts w:ascii="Book Antiqua" w:hAnsi="Book Antiqua" w:cs="Arial"/>
          <w:lang w:val="en-US"/>
        </w:rPr>
        <w:t xml:space="preserve">polipoprotein B100 (apoB100), </w:t>
      </w:r>
      <w:r w:rsidR="00F43336" w:rsidRPr="007F5A49">
        <w:rPr>
          <w:rFonts w:ascii="Book Antiqua" w:hAnsi="Book Antiqua" w:cs="Arial"/>
          <w:lang w:val="en-US"/>
        </w:rPr>
        <w:t>a major component</w:t>
      </w:r>
      <w:r w:rsidR="00C56CE1" w:rsidRPr="007F5A49">
        <w:rPr>
          <w:rFonts w:ascii="Book Antiqua" w:hAnsi="Book Antiqua" w:cs="Arial"/>
          <w:lang w:val="en-US"/>
        </w:rPr>
        <w:t xml:space="preserve"> of </w:t>
      </w:r>
      <w:r w:rsidR="00F43336" w:rsidRPr="007F5A49">
        <w:rPr>
          <w:rFonts w:ascii="Book Antiqua" w:hAnsi="Book Antiqua" w:cs="Arial"/>
          <w:lang w:val="en-US"/>
        </w:rPr>
        <w:t>very-low density lipo-protein (VLDL) that</w:t>
      </w:r>
      <w:r w:rsidR="001B0914" w:rsidRPr="007F5A49">
        <w:rPr>
          <w:rFonts w:ascii="Book Antiqua" w:hAnsi="Book Antiqua" w:cs="Arial"/>
          <w:lang w:val="en-US"/>
        </w:rPr>
        <w:t xml:space="preserve"> transports c</w:t>
      </w:r>
      <w:r w:rsidR="00C56CE1" w:rsidRPr="007F5A49">
        <w:rPr>
          <w:rFonts w:ascii="Book Antiqua" w:hAnsi="Book Antiqua" w:cs="Arial"/>
          <w:lang w:val="en-US"/>
        </w:rPr>
        <w:t xml:space="preserve">holesterol </w:t>
      </w:r>
      <w:r w:rsidR="00F43336" w:rsidRPr="007F5A49">
        <w:rPr>
          <w:rFonts w:ascii="Book Antiqua" w:hAnsi="Book Antiqua" w:cs="Arial"/>
          <w:lang w:val="en-US"/>
        </w:rPr>
        <w:t>throughout the body. This hinders the secretion of VLDL and thereby enhances steatosis. In primary rodent hepatocytes, DFO could restore ApoB100 and increase VLDL secretion</w:t>
      </w:r>
      <w:r w:rsidR="00F43336" w:rsidRPr="007F5A49">
        <w:rPr>
          <w:rFonts w:ascii="Book Antiqua" w:hAnsi="Book Antiqua" w:cs="Arial"/>
          <w:vertAlign w:val="superscript"/>
          <w:lang w:val="en-US"/>
        </w:rPr>
        <w:fldChar w:fldCharType="begin"/>
      </w:r>
      <w:r w:rsidR="00D2645C" w:rsidRPr="007F5A49">
        <w:rPr>
          <w:rFonts w:ascii="Book Antiqua" w:hAnsi="Book Antiqua" w:cs="Arial"/>
          <w:vertAlign w:val="superscript"/>
          <w:lang w:val="en-US"/>
        </w:rPr>
        <w:instrText xml:space="preserve"> ADDIN ZOTERO_ITEM CSL_CITATION {"citationID":"a27n40legtt","properties":{"formattedCitation":"(128)","plainCitation":"(128)","noteIndex":0},"citationItems":[{"id":"z1PZoHrb/413eMjHA","uris":["http://zotero.org/users/4222068/items/U8EBEHRF"],"uri":["http://zotero.org/users/4222068/items/U8EBEHRF"],"itemData":{"id":1747,"type":"article-journal","title":"Lipid peroxidation and oxidant stress regulate hepatic apolipoprotein B degradation and VLDL production","container-title":"Journal of Clinical Investigation","page":"1277-1287","volume":"113","issue":"9","source":"PubMed Central","abstract":"How ω-3 and ω-6 polyunsaturated fatty acids (PUFAs) lower plasma lipid levels is incompletely understood. We previously showed that marine ω-3 PUFAs (docosahexaenoic acid [DHA] and eicosapentaenoic acid) stimulate a novel pathway, post-ER presecretory proteolysis (PERPP), that degrades apolipoprotein B100 (ApoB100), thereby reducing lipoprotein secretion from liver cells. To identify signals stimulating PERPP, we examined known actions of ω-3 PUFA. In rat hepatoma or primary rodent hepatocytes incubated with ω-3 PUFA, cotreatment with the iron chelator desferrioxamine, an inhibitor of iron-dependent lipid peroxidation, or vitamin E, a lipid antioxidant, suppressed increases in thiobarbituric acid–reactive substances (TBARSs; a measure of lipid peroxidation products) and restored ApoB100 recovery and VLDL secretion. Moreover, ω-6 and nonmarine ω-3 PUFA, also prone to peroxidation, increased ApoB100 degradation via intracellular induction of TBARSs. Even without added fatty acids, degradation of ApoB100 in primary hepatocytes was blocked by desferrioxamine or antioxidant cotreatment. To extend these results in vivo, mice were infused with DHA, which increased hepatic TBARSs and reduced VLDL-ApoB100 secretion. These results establish a novel link between lipid peroxidation and oxidant stress with ApoB100 degradation via PERPP, and may be relevant to the hypolipidemic actions of dietary PUFAs, the basal regulation of ApoB100 secretion, and hyperlipidemias arising from ApoB100 overproduction.","DOI":"10.1172/JCI200419197","ISSN":"0021-9738","note":"PMID: 15124019\nPMCID: PMC398425","journalAbbreviation":"J Clin Invest","author":[{"family":"Pan","given":"Meihui"},{"family":"Cederbaum","given":"Arthur I."},{"family":"Zhang","given":"Yuan-Li"},{"family":"Ginsberg","given":"Henry N."},{"family":"Williams","given":"Kevin Jon"},{"family":"Fisher","given":"Edward A."}],"issued":{"date-parts":[["2004",5,1]]}}}],"schema":"https://github.com/citation-style-language/schema/raw/master/csl-citation.json"} </w:instrText>
      </w:r>
      <w:r w:rsidR="00F43336" w:rsidRPr="007F5A49">
        <w:rPr>
          <w:rFonts w:ascii="Book Antiqua" w:hAnsi="Book Antiqua" w:cs="Arial"/>
          <w:vertAlign w:val="superscript"/>
          <w:lang w:val="en-US"/>
        </w:rPr>
        <w:fldChar w:fldCharType="separate"/>
      </w:r>
      <w:r w:rsidR="0032037D" w:rsidRPr="007F5A49">
        <w:rPr>
          <w:rFonts w:ascii="Book Antiqua" w:hAnsi="Book Antiqua"/>
          <w:vertAlign w:val="superscript"/>
          <w:lang w:val="en-US"/>
        </w:rPr>
        <w:t>[</w:t>
      </w:r>
      <w:r w:rsidR="00D2645C" w:rsidRPr="007F5A49">
        <w:rPr>
          <w:rFonts w:ascii="Book Antiqua" w:hAnsi="Book Antiqua"/>
          <w:vertAlign w:val="superscript"/>
          <w:lang w:val="en-US"/>
        </w:rPr>
        <w:t>128</w:t>
      </w:r>
      <w:r w:rsidR="00F43336" w:rsidRPr="007F5A49">
        <w:rPr>
          <w:rFonts w:ascii="Book Antiqua" w:hAnsi="Book Antiqua" w:cs="Arial"/>
          <w:vertAlign w:val="superscript"/>
          <w:lang w:val="en-US"/>
        </w:rPr>
        <w:fldChar w:fldCharType="end"/>
      </w:r>
      <w:r w:rsidR="0032037D" w:rsidRPr="007F5A49">
        <w:rPr>
          <w:rFonts w:ascii="Book Antiqua" w:hAnsi="Book Antiqua" w:cs="Arial"/>
          <w:vertAlign w:val="superscript"/>
          <w:lang w:val="en-US"/>
        </w:rPr>
        <w:t>]</w:t>
      </w:r>
      <w:r w:rsidR="00F43336" w:rsidRPr="007F5A49">
        <w:rPr>
          <w:rFonts w:ascii="Book Antiqua" w:hAnsi="Book Antiqua" w:cs="Arial"/>
          <w:lang w:val="en-US"/>
        </w:rPr>
        <w:t xml:space="preserve">. </w:t>
      </w:r>
      <w:r w:rsidR="00833DBC" w:rsidRPr="007F5A49">
        <w:rPr>
          <w:rFonts w:ascii="Book Antiqua" w:hAnsi="Book Antiqua" w:cs="Arial"/>
          <w:lang w:val="en-US"/>
        </w:rPr>
        <w:t xml:space="preserve">In contrast, </w:t>
      </w:r>
      <w:proofErr w:type="spellStart"/>
      <w:r w:rsidR="00833DBC" w:rsidRPr="007F5A49">
        <w:rPr>
          <w:rFonts w:ascii="Book Antiqua" w:hAnsi="Book Antiqua" w:cs="Arial"/>
          <w:lang w:val="en-US"/>
        </w:rPr>
        <w:t>d</w:t>
      </w:r>
      <w:r w:rsidR="00CF24EE" w:rsidRPr="007F5A49">
        <w:rPr>
          <w:rFonts w:ascii="Book Antiqua" w:hAnsi="Book Antiqua" w:cs="Arial"/>
          <w:lang w:val="en-US"/>
        </w:rPr>
        <w:t>eferasirox</w:t>
      </w:r>
      <w:proofErr w:type="spellEnd"/>
      <w:r w:rsidR="006D5074" w:rsidRPr="007F5A49">
        <w:rPr>
          <w:rFonts w:ascii="Book Antiqua" w:hAnsi="Book Antiqua" w:cs="Arial"/>
          <w:lang w:val="en-US"/>
        </w:rPr>
        <w:t xml:space="preserve"> (</w:t>
      </w:r>
      <w:r w:rsidR="00CF24EE" w:rsidRPr="007F5A49">
        <w:rPr>
          <w:rFonts w:ascii="Book Antiqua" w:hAnsi="Book Antiqua" w:cs="Arial"/>
          <w:lang w:val="en-US"/>
        </w:rPr>
        <w:t>another iron chelator</w:t>
      </w:r>
      <w:r w:rsidR="006D5074" w:rsidRPr="007F5A49">
        <w:rPr>
          <w:rFonts w:ascii="Book Antiqua" w:hAnsi="Book Antiqua" w:cs="Arial"/>
          <w:lang w:val="en-US"/>
        </w:rPr>
        <w:t xml:space="preserve">) </w:t>
      </w:r>
      <w:r w:rsidR="00601A6E" w:rsidRPr="007F5A49">
        <w:rPr>
          <w:rFonts w:ascii="Book Antiqua" w:hAnsi="Book Antiqua" w:cs="Arial"/>
          <w:lang w:val="en-US"/>
        </w:rPr>
        <w:t xml:space="preserve">showed some </w:t>
      </w:r>
      <w:r w:rsidR="00CF24EE" w:rsidRPr="007F5A49">
        <w:rPr>
          <w:rFonts w:ascii="Book Antiqua" w:hAnsi="Book Antiqua" w:cs="Arial"/>
          <w:lang w:val="en-US"/>
        </w:rPr>
        <w:t>inconsistent anti-fibrotic effects in cell lines and animal models</w:t>
      </w:r>
      <w:r w:rsidR="00487E3B" w:rsidRPr="007F5A49">
        <w:rPr>
          <w:rFonts w:ascii="Book Antiqua" w:hAnsi="Book Antiqua" w:cs="Arial"/>
          <w:vertAlign w:val="superscript"/>
          <w:lang w:val="en-US"/>
        </w:rPr>
        <w:fldChar w:fldCharType="begin"/>
      </w:r>
      <w:r w:rsidR="00D2645C" w:rsidRPr="007F5A49">
        <w:rPr>
          <w:rFonts w:ascii="Book Antiqua" w:hAnsi="Book Antiqua" w:cs="Arial"/>
          <w:vertAlign w:val="superscript"/>
          <w:lang w:val="en-US"/>
        </w:rPr>
        <w:instrText xml:space="preserve"> ADDIN ZOTERO_ITEM CSL_CITATION {"citationID":"amq666rep6","properties":{"formattedCitation":"(129)","plainCitation":"(129)","noteIndex":0},"citationItems":[{"id":"z1PZoHrb/8BRFvIst","uris":["http://zotero.org/users/4222068/items/P9I6G3HX"],"uri":["http://zotero.org/users/4222068/items/P9I6G3HX"],"itemData":{"id":1433,"type":"article-journal","title":"Inconsistent hepatic antifibrotic effects with the iron chelator deferasirox","container-title":"Journal of Gastroenterology and Hepatology","page":"638-645","volume":"30","issue":"3","source":"PubMed","abstract":"BACKGROUND AND AIM: Development of effective antifibrotic treatments that can be translated to clinical practice is an important challenge in contemporary hepatology. A recent report on β-thalassemia patients demonstrated that deferasirox treatment reversed or stabilized liver fibrosis independent of its iron-chelating properties. In this study, we investigated deferasirox in cell and animal models to better understand its potential antifibrotic effects.\nMETHODS: The LX-2 stellate cell line was treated with 5</w:instrText>
      </w:r>
      <w:r w:rsidR="00D2645C" w:rsidRPr="007F5A49">
        <w:rPr>
          <w:rFonts w:ascii="Calibri" w:eastAsia="Calibri" w:hAnsi="Calibri" w:cs="Calibri"/>
          <w:vertAlign w:val="superscript"/>
          <w:lang w:val="en-US"/>
        </w:rPr>
        <w:instrText> </w:instrText>
      </w:r>
      <w:r w:rsidR="00D2645C" w:rsidRPr="007F5A49">
        <w:rPr>
          <w:rFonts w:ascii="Book Antiqua" w:hAnsi="Book Antiqua" w:cs="Book Antiqua"/>
          <w:vertAlign w:val="superscript"/>
          <w:lang w:val="en-US"/>
        </w:rPr>
        <w:instrText>μ</w:instrText>
      </w:r>
      <w:r w:rsidR="00D2645C" w:rsidRPr="007F5A49">
        <w:rPr>
          <w:rFonts w:ascii="Book Antiqua" w:hAnsi="Book Antiqua" w:cs="Arial"/>
          <w:vertAlign w:val="superscript"/>
          <w:lang w:val="en-US"/>
        </w:rPr>
        <w:instrText>M or 50</w:instrText>
      </w:r>
      <w:r w:rsidR="00D2645C" w:rsidRPr="007F5A49">
        <w:rPr>
          <w:rFonts w:ascii="Calibri" w:eastAsia="Calibri" w:hAnsi="Calibri" w:cs="Calibri"/>
          <w:vertAlign w:val="superscript"/>
          <w:lang w:val="en-US"/>
        </w:rPr>
        <w:instrText> </w:instrText>
      </w:r>
      <w:r w:rsidR="00D2645C" w:rsidRPr="007F5A49">
        <w:rPr>
          <w:rFonts w:ascii="Book Antiqua" w:hAnsi="Book Antiqua" w:cs="Book Antiqua"/>
          <w:vertAlign w:val="superscript"/>
          <w:lang w:val="en-US"/>
        </w:rPr>
        <w:instrText>μ</w:instrText>
      </w:r>
      <w:r w:rsidR="00D2645C" w:rsidRPr="007F5A49">
        <w:rPr>
          <w:rFonts w:ascii="Book Antiqua" w:hAnsi="Book Antiqua" w:cs="Arial"/>
          <w:vertAlign w:val="superscript"/>
          <w:lang w:val="en-US"/>
        </w:rPr>
        <w:instrText>M deferasirox (Exjade, Novartis Pharmaceuticals Australia, North Ryde, NSW, Australia) for up to 120</w:instrText>
      </w:r>
      <w:r w:rsidR="00D2645C" w:rsidRPr="007F5A49">
        <w:rPr>
          <w:rFonts w:ascii="Calibri" w:eastAsia="Calibri" w:hAnsi="Calibri" w:cs="Calibri"/>
          <w:vertAlign w:val="superscript"/>
          <w:lang w:val="en-US"/>
        </w:rPr>
        <w:instrText> </w:instrText>
      </w:r>
      <w:r w:rsidR="00D2645C" w:rsidRPr="007F5A49">
        <w:rPr>
          <w:rFonts w:ascii="Book Antiqua" w:hAnsi="Book Antiqua" w:cs="Arial"/>
          <w:vertAlign w:val="superscript"/>
          <w:lang w:val="en-US"/>
        </w:rPr>
        <w:instrText>h. Three-week-old multidrug resistance 2 null (Mdr2(-/-) ) mice received oral deferasirox or vehicle for 4 weeks (30</w:instrText>
      </w:r>
      <w:r w:rsidR="00D2645C" w:rsidRPr="007F5A49">
        <w:rPr>
          <w:rFonts w:ascii="Calibri" w:eastAsia="Calibri" w:hAnsi="Calibri" w:cs="Calibri"/>
          <w:vertAlign w:val="superscript"/>
          <w:lang w:val="en-US"/>
        </w:rPr>
        <w:instrText> </w:instrText>
      </w:r>
      <w:r w:rsidR="00D2645C" w:rsidRPr="007F5A49">
        <w:rPr>
          <w:rFonts w:ascii="Book Antiqua" w:hAnsi="Book Antiqua" w:cs="Arial"/>
          <w:vertAlign w:val="superscript"/>
          <w:lang w:val="en-US"/>
        </w:rPr>
        <w:instrText>mg/kg/day). Cells and liver tissue were collected for assessment of fibrosis and fibrogenic gene expression.\nRESULTS: In LX-2 cells treated with 50</w:instrText>
      </w:r>
      <w:r w:rsidR="00D2645C" w:rsidRPr="007F5A49">
        <w:rPr>
          <w:rFonts w:ascii="Calibri" w:eastAsia="Calibri" w:hAnsi="Calibri" w:cs="Calibri"/>
          <w:vertAlign w:val="superscript"/>
          <w:lang w:val="en-US"/>
        </w:rPr>
        <w:instrText> </w:instrText>
      </w:r>
      <w:r w:rsidR="00D2645C" w:rsidRPr="007F5A49">
        <w:rPr>
          <w:rFonts w:ascii="Book Antiqua" w:hAnsi="Book Antiqua" w:cs="Book Antiqua"/>
          <w:vertAlign w:val="superscript"/>
          <w:lang w:val="en-US"/>
        </w:rPr>
        <w:instrText>μ</w:instrText>
      </w:r>
      <w:r w:rsidR="00D2645C" w:rsidRPr="007F5A49">
        <w:rPr>
          <w:rFonts w:ascii="Book Antiqua" w:hAnsi="Book Antiqua" w:cs="Arial"/>
          <w:vertAlign w:val="superscript"/>
          <w:lang w:val="en-US"/>
        </w:rPr>
        <w:instrText>M deferasirox for 12</w:instrText>
      </w:r>
      <w:r w:rsidR="00D2645C" w:rsidRPr="007F5A49">
        <w:rPr>
          <w:rFonts w:ascii="Calibri" w:eastAsia="Calibri" w:hAnsi="Calibri" w:cs="Calibri"/>
          <w:vertAlign w:val="superscript"/>
          <w:lang w:val="en-US"/>
        </w:rPr>
        <w:instrText> </w:instrText>
      </w:r>
      <w:r w:rsidR="00D2645C" w:rsidRPr="007F5A49">
        <w:rPr>
          <w:rFonts w:ascii="Book Antiqua" w:hAnsi="Book Antiqua" w:cs="Arial"/>
          <w:vertAlign w:val="superscript"/>
          <w:lang w:val="en-US"/>
        </w:rPr>
        <w:instrText xml:space="preserve">h, </w:instrText>
      </w:r>
      <w:r w:rsidR="00D2645C" w:rsidRPr="007F5A49">
        <w:rPr>
          <w:rFonts w:ascii="Book Antiqua" w:hAnsi="Book Antiqua" w:cs="Book Antiqua"/>
          <w:vertAlign w:val="superscript"/>
          <w:lang w:val="en-US"/>
        </w:rPr>
        <w:instrText>α</w:instrText>
      </w:r>
      <w:r w:rsidR="00D2645C" w:rsidRPr="007F5A49">
        <w:rPr>
          <w:rFonts w:ascii="Book Antiqua" w:hAnsi="Book Antiqua" w:cs="Arial"/>
          <w:vertAlign w:val="superscript"/>
          <w:lang w:val="en-US"/>
        </w:rPr>
        <w:instrText>1(I)procollagen expression was decreased by 25%, with maximal reductions (10-fold) seen following 24-120</w:instrText>
      </w:r>
      <w:r w:rsidR="00D2645C" w:rsidRPr="007F5A49">
        <w:rPr>
          <w:rFonts w:ascii="Calibri" w:eastAsia="Calibri" w:hAnsi="Calibri" w:cs="Calibri"/>
          <w:vertAlign w:val="superscript"/>
          <w:lang w:val="en-US"/>
        </w:rPr>
        <w:instrText> </w:instrText>
      </w:r>
      <w:r w:rsidR="00D2645C" w:rsidRPr="007F5A49">
        <w:rPr>
          <w:rFonts w:ascii="Book Antiqua" w:hAnsi="Book Antiqua" w:cs="Arial"/>
          <w:vertAlign w:val="superscript"/>
          <w:lang w:val="en-US"/>
        </w:rPr>
        <w:instrText xml:space="preserve">h of treatment. Similarly, </w:instrText>
      </w:r>
      <w:r w:rsidR="00D2645C" w:rsidRPr="007F5A49">
        <w:rPr>
          <w:rFonts w:ascii="Book Antiqua" w:hAnsi="Book Antiqua" w:cs="Book Antiqua"/>
          <w:vertAlign w:val="superscript"/>
          <w:lang w:val="en-US"/>
        </w:rPr>
        <w:instrText>α</w:instrText>
      </w:r>
      <w:r w:rsidR="00D2645C" w:rsidRPr="007F5A49">
        <w:rPr>
          <w:rFonts w:ascii="Book Antiqua" w:hAnsi="Book Antiqua" w:cs="Arial"/>
          <w:vertAlign w:val="superscript"/>
          <w:lang w:val="en-US"/>
        </w:rPr>
        <w:instrText>-smooth muscle actin (</w:instrText>
      </w:r>
      <w:r w:rsidR="00D2645C" w:rsidRPr="007F5A49">
        <w:rPr>
          <w:rFonts w:ascii="Book Antiqua" w:hAnsi="Book Antiqua" w:cs="Book Antiqua"/>
          <w:vertAlign w:val="superscript"/>
          <w:lang w:val="en-US"/>
        </w:rPr>
        <w:instrText>α</w:instrText>
      </w:r>
      <w:r w:rsidR="00D2645C" w:rsidRPr="007F5A49">
        <w:rPr>
          <w:rFonts w:ascii="Book Antiqua" w:hAnsi="Book Antiqua" w:cs="Arial"/>
          <w:vertAlign w:val="superscript"/>
          <w:lang w:val="en-US"/>
        </w:rPr>
        <w:instrText>SMA) expression was significantly lower. Alterations in matrix remodeling genes, specifically decreased expression of matrix metalloproteinase-2 and tissue inhibitor of metalloproteinase-2, were observed. There was no significant difference in hepatic hydroxyproline content in Mdr2(-/-) mice following deferasirox administration (vehicle: 395</w:instrText>
      </w:r>
      <w:r w:rsidR="00D2645C" w:rsidRPr="007F5A49">
        <w:rPr>
          <w:rFonts w:ascii="Calibri" w:eastAsia="Calibri" w:hAnsi="Calibri" w:cs="Calibri"/>
          <w:vertAlign w:val="superscript"/>
          <w:lang w:val="en-US"/>
        </w:rPr>
        <w:instrText> </w:instrText>
      </w:r>
      <w:r w:rsidR="00D2645C" w:rsidRPr="007F5A49">
        <w:rPr>
          <w:rFonts w:ascii="Book Antiqua" w:hAnsi="Book Antiqua" w:cs="Book Antiqua"/>
          <w:vertAlign w:val="superscript"/>
          <w:lang w:val="en-US"/>
        </w:rPr>
        <w:instrText>±</w:instrText>
      </w:r>
      <w:r w:rsidR="00D2645C" w:rsidRPr="007F5A49">
        <w:rPr>
          <w:rFonts w:ascii="Calibri" w:eastAsia="Calibri" w:hAnsi="Calibri" w:cs="Calibri"/>
          <w:vertAlign w:val="superscript"/>
          <w:lang w:val="en-US"/>
        </w:rPr>
        <w:instrText> </w:instrText>
      </w:r>
      <w:r w:rsidR="00D2645C" w:rsidRPr="007F5A49">
        <w:rPr>
          <w:rFonts w:ascii="Book Antiqua" w:hAnsi="Book Antiqua" w:cs="Arial"/>
          <w:vertAlign w:val="superscript"/>
          <w:lang w:val="en-US"/>
        </w:rPr>
        <w:instrText>27</w:instrText>
      </w:r>
      <w:r w:rsidR="00D2645C" w:rsidRPr="007F5A49">
        <w:rPr>
          <w:rFonts w:ascii="Calibri" w:eastAsia="Calibri" w:hAnsi="Calibri" w:cs="Calibri"/>
          <w:vertAlign w:val="superscript"/>
          <w:lang w:val="en-US"/>
        </w:rPr>
        <w:instrText> </w:instrText>
      </w:r>
      <w:r w:rsidR="00D2645C" w:rsidRPr="007F5A49">
        <w:rPr>
          <w:rFonts w:ascii="Book Antiqua" w:hAnsi="Book Antiqua" w:cs="Book Antiqua"/>
          <w:vertAlign w:val="superscript"/>
          <w:lang w:val="en-US"/>
        </w:rPr>
        <w:instrText>μ</w:instrText>
      </w:r>
      <w:r w:rsidR="00D2645C" w:rsidRPr="007F5A49">
        <w:rPr>
          <w:rFonts w:ascii="Book Antiqua" w:hAnsi="Book Antiqua" w:cs="Arial"/>
          <w:vertAlign w:val="superscript"/>
          <w:lang w:val="en-US"/>
        </w:rPr>
        <w:instrText>g/g vs deferasirox: 421</w:instrText>
      </w:r>
      <w:r w:rsidR="00D2645C" w:rsidRPr="007F5A49">
        <w:rPr>
          <w:rFonts w:ascii="Calibri" w:eastAsia="Calibri" w:hAnsi="Calibri" w:cs="Calibri"/>
          <w:vertAlign w:val="superscript"/>
          <w:lang w:val="en-US"/>
        </w:rPr>
        <w:instrText> </w:instrText>
      </w:r>
      <w:r w:rsidR="00D2645C" w:rsidRPr="007F5A49">
        <w:rPr>
          <w:rFonts w:ascii="Book Antiqua" w:hAnsi="Book Antiqua" w:cs="Book Antiqua"/>
          <w:vertAlign w:val="superscript"/>
          <w:lang w:val="en-US"/>
        </w:rPr>
        <w:instrText>±</w:instrText>
      </w:r>
      <w:r w:rsidR="00D2645C" w:rsidRPr="007F5A49">
        <w:rPr>
          <w:rFonts w:ascii="Calibri" w:eastAsia="Calibri" w:hAnsi="Calibri" w:cs="Calibri"/>
          <w:vertAlign w:val="superscript"/>
          <w:lang w:val="en-US"/>
        </w:rPr>
        <w:instrText> </w:instrText>
      </w:r>
      <w:r w:rsidR="00D2645C" w:rsidRPr="007F5A49">
        <w:rPr>
          <w:rFonts w:ascii="Book Antiqua" w:hAnsi="Book Antiqua" w:cs="Arial"/>
          <w:vertAlign w:val="superscript"/>
          <w:lang w:val="en-US"/>
        </w:rPr>
        <w:instrText>33</w:instrText>
      </w:r>
      <w:r w:rsidR="00D2645C" w:rsidRPr="007F5A49">
        <w:rPr>
          <w:rFonts w:ascii="Calibri" w:eastAsia="Calibri" w:hAnsi="Calibri" w:cs="Calibri"/>
          <w:vertAlign w:val="superscript"/>
          <w:lang w:val="en-US"/>
        </w:rPr>
        <w:instrText> </w:instrText>
      </w:r>
      <w:r w:rsidR="00D2645C" w:rsidRPr="007F5A49">
        <w:rPr>
          <w:rFonts w:ascii="Book Antiqua" w:hAnsi="Book Antiqua" w:cs="Book Antiqua"/>
          <w:vertAlign w:val="superscript"/>
          <w:lang w:val="en-US"/>
        </w:rPr>
        <w:instrText>μ</w:instrText>
      </w:r>
      <w:r w:rsidR="00D2645C" w:rsidRPr="007F5A49">
        <w:rPr>
          <w:rFonts w:ascii="Book Antiqua" w:hAnsi="Book Antiqua" w:cs="Arial"/>
          <w:vertAlign w:val="superscript"/>
          <w:lang w:val="en-US"/>
        </w:rPr>
        <w:instrText xml:space="preserve">g/g). Similarly, no changes in the expression of fibrogenic genes were observed.\nCONCLUSION: Despite reductions in </w:instrText>
      </w:r>
      <w:r w:rsidR="00D2645C" w:rsidRPr="007F5A49">
        <w:rPr>
          <w:rFonts w:ascii="Book Antiqua" w:hAnsi="Book Antiqua" w:cs="Book Antiqua"/>
          <w:vertAlign w:val="superscript"/>
          <w:lang w:val="en-US"/>
        </w:rPr>
        <w:instrText>α</w:instrText>
      </w:r>
      <w:r w:rsidR="00D2645C" w:rsidRPr="007F5A49">
        <w:rPr>
          <w:rFonts w:ascii="Book Antiqua" w:hAnsi="Book Antiqua" w:cs="Arial"/>
          <w:vertAlign w:val="superscript"/>
          <w:lang w:val="en-US"/>
        </w:rPr>
        <w:instrText xml:space="preserve">1(I)procollagen and </w:instrText>
      </w:r>
      <w:r w:rsidR="00D2645C" w:rsidRPr="007F5A49">
        <w:rPr>
          <w:rFonts w:ascii="Book Antiqua" w:hAnsi="Book Antiqua" w:cs="Book Antiqua"/>
          <w:vertAlign w:val="superscript"/>
          <w:lang w:val="en-US"/>
        </w:rPr>
        <w:instrText>α</w:instrText>
      </w:r>
      <w:r w:rsidR="00D2645C" w:rsidRPr="007F5A49">
        <w:rPr>
          <w:rFonts w:ascii="Book Antiqua" w:hAnsi="Book Antiqua" w:cs="Arial"/>
          <w:vertAlign w:val="superscript"/>
          <w:lang w:val="en-US"/>
        </w:rPr>
        <w:instrText xml:space="preserve">SMA expression and alterations in matrix degradation genes in LX-2 cells, deferasirox did not exhibit antifibrotic activity in Mdr2(-/-) mice. Given the positive outcomes seen in human trials, it may be appropriate to study deferasirox in other animal models of fibrosis and/or for a longer duration of therapy.","DOI":"10.1111/jgh.12720","ISSN":"1440-1746","note":"PMID: 25168203","journalAbbreviation":"J. Gastroenterol. Hepatol.","language":"eng","author":[{"family":"Sobbe","given":"Amy"},{"family":"Bridle","given":"Kim R."},{"family":"Jaskowski","given":"Lesley"},{"family":"Guzman","given":"C. Erika","non-dropping-particle":"de"},{"family":"Santrampurwala","given":"Nishreen"},{"family":"Clouston","given":"Andrew D."},{"family":"Campbell","given":"Catherine M."},{"family":"Subramaniam","given":"V. Nathan"},{"family":"Crawford","given":"Darrell H. G."}],"issued":{"date-parts":[["2015",3]]}}}],"schema":"https://github.com/citation-style-language/schema/raw/master/csl-citation.json"} </w:instrText>
      </w:r>
      <w:r w:rsidR="00487E3B" w:rsidRPr="007F5A49">
        <w:rPr>
          <w:rFonts w:ascii="Book Antiqua" w:hAnsi="Book Antiqua" w:cs="Arial"/>
          <w:vertAlign w:val="superscript"/>
          <w:lang w:val="en-US"/>
        </w:rPr>
        <w:fldChar w:fldCharType="separate"/>
      </w:r>
      <w:r w:rsidR="0032037D" w:rsidRPr="007F5A49">
        <w:rPr>
          <w:rFonts w:ascii="Book Antiqua" w:hAnsi="Book Antiqua"/>
          <w:vertAlign w:val="superscript"/>
          <w:lang w:val="en-US"/>
        </w:rPr>
        <w:t>[</w:t>
      </w:r>
      <w:r w:rsidR="00D2645C" w:rsidRPr="007F5A49">
        <w:rPr>
          <w:rFonts w:ascii="Book Antiqua" w:hAnsi="Book Antiqua"/>
          <w:vertAlign w:val="superscript"/>
          <w:lang w:val="en-US"/>
        </w:rPr>
        <w:t>129</w:t>
      </w:r>
      <w:r w:rsidR="00487E3B" w:rsidRPr="007F5A49">
        <w:rPr>
          <w:rFonts w:ascii="Book Antiqua" w:hAnsi="Book Antiqua" w:cs="Arial"/>
          <w:vertAlign w:val="superscript"/>
          <w:lang w:val="en-US"/>
        </w:rPr>
        <w:fldChar w:fldCharType="end"/>
      </w:r>
      <w:r w:rsidR="0032037D" w:rsidRPr="007F5A49">
        <w:rPr>
          <w:rFonts w:ascii="Book Antiqua" w:hAnsi="Book Antiqua" w:cs="Arial"/>
          <w:vertAlign w:val="superscript"/>
          <w:lang w:val="en-US"/>
        </w:rPr>
        <w:t>]</w:t>
      </w:r>
      <w:r w:rsidR="00833DBC" w:rsidRPr="007F5A49">
        <w:rPr>
          <w:rFonts w:ascii="Book Antiqua" w:hAnsi="Book Antiqua" w:cs="Arial"/>
          <w:lang w:val="en-US"/>
        </w:rPr>
        <w:t xml:space="preserve">. </w:t>
      </w:r>
      <w:r w:rsidR="008211E3" w:rsidRPr="007F5A49">
        <w:rPr>
          <w:rFonts w:ascii="Book Antiqua" w:hAnsi="Book Antiqua" w:cs="Arial"/>
          <w:lang w:val="en-US"/>
        </w:rPr>
        <w:t>Thus,</w:t>
      </w:r>
      <w:r w:rsidR="00833DBC" w:rsidRPr="007F5A49">
        <w:rPr>
          <w:rFonts w:ascii="Book Antiqua" w:hAnsi="Book Antiqua" w:cs="Arial"/>
          <w:lang w:val="en-US"/>
        </w:rPr>
        <w:t xml:space="preserve"> the benefits need to be ascertained </w:t>
      </w:r>
      <w:r w:rsidR="00833DBC" w:rsidRPr="00252606">
        <w:rPr>
          <w:rFonts w:ascii="Book Antiqua" w:hAnsi="Book Antiqua" w:cs="Arial"/>
          <w:i/>
          <w:lang w:val="en-US"/>
        </w:rPr>
        <w:t>via</w:t>
      </w:r>
      <w:r w:rsidR="00833DBC" w:rsidRPr="007F5A49">
        <w:rPr>
          <w:rFonts w:ascii="Book Antiqua" w:hAnsi="Book Antiqua" w:cs="Arial"/>
          <w:lang w:val="en-US"/>
        </w:rPr>
        <w:t xml:space="preserve"> clinical trials before drawing </w:t>
      </w:r>
      <w:r w:rsidR="00AC6527" w:rsidRPr="007F5A49">
        <w:rPr>
          <w:rFonts w:ascii="Book Antiqua" w:hAnsi="Book Antiqua" w:cs="Arial"/>
          <w:lang w:val="en-US"/>
        </w:rPr>
        <w:t>final</w:t>
      </w:r>
      <w:r>
        <w:rPr>
          <w:rFonts w:ascii="Book Antiqua" w:hAnsi="Book Antiqua" w:cs="Arial"/>
          <w:lang w:val="en-US"/>
        </w:rPr>
        <w:t xml:space="preserve"> conclusions.</w:t>
      </w:r>
    </w:p>
    <w:p w14:paraId="6E830B87" w14:textId="2CB37E11" w:rsidR="00D43A2D" w:rsidRPr="007F5A49" w:rsidRDefault="00252606" w:rsidP="007F5A49">
      <w:pPr>
        <w:pStyle w:val="NormalWeb"/>
        <w:adjustRightInd w:val="0"/>
        <w:snapToGrid w:val="0"/>
        <w:spacing w:before="0" w:beforeAutospacing="0" w:after="0" w:afterAutospacing="0" w:line="360" w:lineRule="auto"/>
        <w:jc w:val="both"/>
        <w:rPr>
          <w:rFonts w:ascii="Book Antiqua" w:hAnsi="Book Antiqua" w:cs="Arial"/>
          <w:lang w:val="en-US"/>
        </w:rPr>
      </w:pPr>
      <w:r>
        <w:rPr>
          <w:rFonts w:ascii="Book Antiqua" w:hAnsi="Book Antiqua" w:cs="Arial"/>
          <w:lang w:val="en-US"/>
        </w:rPr>
        <w:t xml:space="preserve">  </w:t>
      </w:r>
      <w:r w:rsidR="008E2BD7" w:rsidRPr="007F5A49">
        <w:rPr>
          <w:rFonts w:ascii="Book Antiqua" w:hAnsi="Book Antiqua" w:cs="Arial"/>
          <w:lang w:val="en-US"/>
        </w:rPr>
        <w:t>In addition to</w:t>
      </w:r>
      <w:r w:rsidR="005E615C" w:rsidRPr="007F5A49">
        <w:rPr>
          <w:rFonts w:ascii="Book Antiqua" w:hAnsi="Book Antiqua" w:cs="Arial"/>
          <w:lang w:val="en-US"/>
        </w:rPr>
        <w:t xml:space="preserve"> phlebotomy and </w:t>
      </w:r>
      <w:r w:rsidR="008E2BD7" w:rsidRPr="007F5A49">
        <w:rPr>
          <w:rFonts w:ascii="Book Antiqua" w:hAnsi="Book Antiqua" w:cs="Arial"/>
          <w:lang w:val="en-US"/>
        </w:rPr>
        <w:t>iron</w:t>
      </w:r>
      <w:r w:rsidR="00871AFA" w:rsidRPr="007F5A49">
        <w:rPr>
          <w:rFonts w:ascii="Book Antiqua" w:hAnsi="Book Antiqua" w:cs="Arial"/>
          <w:lang w:val="en-US"/>
        </w:rPr>
        <w:t>-</w:t>
      </w:r>
      <w:r w:rsidR="005F6D83" w:rsidRPr="007F5A49">
        <w:rPr>
          <w:rFonts w:ascii="Book Antiqua" w:hAnsi="Book Antiqua" w:cs="Arial"/>
          <w:lang w:val="en-US"/>
        </w:rPr>
        <w:t>chelation</w:t>
      </w:r>
      <w:r w:rsidR="008E2BD7" w:rsidRPr="007F5A49">
        <w:rPr>
          <w:rFonts w:ascii="Book Antiqua" w:hAnsi="Book Antiqua" w:cs="Arial"/>
          <w:lang w:val="en-US"/>
        </w:rPr>
        <w:t>, attempts have been made to modul</w:t>
      </w:r>
      <w:r w:rsidR="006D5074" w:rsidRPr="007F5A49">
        <w:rPr>
          <w:rFonts w:ascii="Book Antiqua" w:hAnsi="Book Antiqua" w:cs="Arial"/>
          <w:lang w:val="en-US"/>
        </w:rPr>
        <w:t>ate</w:t>
      </w:r>
      <w:r w:rsidR="008E2BD7" w:rsidRPr="007F5A49">
        <w:rPr>
          <w:rFonts w:ascii="Book Antiqua" w:hAnsi="Book Antiqua" w:cs="Arial"/>
          <w:lang w:val="en-US"/>
        </w:rPr>
        <w:t xml:space="preserve"> iron-related proteins to </w:t>
      </w:r>
      <w:r w:rsidR="00906125" w:rsidRPr="007F5A49">
        <w:rPr>
          <w:rFonts w:ascii="Book Antiqua" w:hAnsi="Book Antiqua" w:cs="Arial"/>
          <w:lang w:val="en-US"/>
        </w:rPr>
        <w:t xml:space="preserve">ameliorate </w:t>
      </w:r>
      <w:r w:rsidR="008E2BD7" w:rsidRPr="007F5A49">
        <w:rPr>
          <w:rFonts w:ascii="Book Antiqua" w:hAnsi="Book Antiqua" w:cs="Arial"/>
          <w:lang w:val="en-US"/>
        </w:rPr>
        <w:t xml:space="preserve">fibrosis. </w:t>
      </w:r>
      <w:r w:rsidR="00E3575C" w:rsidRPr="007F5A49">
        <w:rPr>
          <w:rFonts w:ascii="Book Antiqua" w:hAnsi="Book Antiqua" w:cs="Arial"/>
          <w:lang w:val="en-US"/>
        </w:rPr>
        <w:t xml:space="preserve">Wang </w:t>
      </w:r>
      <w:r w:rsidR="00E3575C" w:rsidRPr="00252606">
        <w:rPr>
          <w:rFonts w:ascii="Book Antiqua" w:hAnsi="Book Antiqua" w:cs="Arial"/>
          <w:i/>
          <w:lang w:val="en-US"/>
        </w:rPr>
        <w:t>et al</w:t>
      </w:r>
      <w:r w:rsidRPr="007F5A49">
        <w:rPr>
          <w:rFonts w:ascii="Book Antiqua" w:hAnsi="Book Antiqua" w:cs="Arial"/>
          <w:vertAlign w:val="superscript"/>
          <w:lang w:val="en-US"/>
        </w:rPr>
        <w:fldChar w:fldCharType="begin"/>
      </w:r>
      <w:r w:rsidRPr="007F5A49">
        <w:rPr>
          <w:rFonts w:ascii="Book Antiqua" w:hAnsi="Book Antiqua" w:cs="Arial"/>
          <w:vertAlign w:val="superscript"/>
          <w:lang w:val="en-US"/>
        </w:rPr>
        <w:instrText xml:space="preserve"> ADDIN ZOTERO_ITEM CSL_CITATION {"citationID":"a1epl4ed21k","properties":{"formattedCitation":"(130)","plainCitation":"(130)","noteIndex":0},"citationItems":[{"id":"z1PZoHrb/M11TvaPO","uris":["http://zotero.org/users/4222068/items/JX29QT2V"],"uri":["http://zotero.org/users/4222068/items/JX29QT2V"],"itemData":{"id":1233,"type":"article-journal","title":"Inhibiting heme oxygenase-1 attenuates rat liver fibrosis by removing iron accumulation","container-title":"World Journal of Gastroenterology","page":"2921-2934","volume":"19","issue":"19","source":"PubMed","abstract":"AIM: To investigate the effects of the heme oxygenase (HO)-1/carbon monoxide system on iron deposition and portal pressure in rats with hepatic fibrosis induced by bile duct ligation (BDL).\nMETHODS: Male Sprague-Dawley rats were divided randomly into a Sham group, BDL group, Fe group, deferoxamine (DFX) group, zinc protoporphyrin (ZnPP) group and cobalt protoporphyrin (CoPP) group. The levels of HO-1 were detected using different methods. The serum carboxyhemoglobin (COHb), iron, and portal vein pressure (PVP) were also quantified. The plasma and mRNA levels of hepcidin were measured. Hepatic fibrosis and its main pathway were assessed using Van Gieson's stain, hydroxyproline, transforming growth factor-β1 (TGF-β1), nuclear factor-E2-related factor 2 (Nrf2), matrix metalloproteinase-2 (MMP-2) and tissue inhibitor of metalloproteinase-1 (TIMP-1).\nRESULTS: Serum COHb and protein and mRNA expression levels of HO-1 and Nrf2 were increased in the BDL group compared with the Sham group and were much higher in the CoPP group. The ZnPP group showed lower expression of HO-1 and Nrf2 and lower COHb. The levels of iron and PVP were enhanced in the BDL group but were lower in the ZnPP and DFX groups and were higher in the CoPP and Fe groups. Hepcidin levels were higher, whereas superoxide dismutase levels were increased and malonaldehyde levels were decreased in the ZnPP and DFX groups. The ZnPP group also showed inhibited TGF-β1 expression and regulated TIMP-1/MMP-2 expression, as well as obviously attenuated liver fibrosis.\nCONCLUSION: Reducing hepatic iron deposition and CO levels by inhibiting HO-1 activity though the Nrf2/Keap pathway could be helpful in improving hepatic fibrosis and regulating PVP.","DOI":"10.3748/wjg.v19.i19.2921","ISSN":"2219-2840","note":"PMID: 23704825\nPMCID: PMC3660817","journalAbbreviation":"World J. Gastroenterol.","language":"eng","author":[{"family":"Wang","given":"Qiu-Ming"},{"family":"Du","given":"Jian-Ling"},{"family":"Duan","given":"Zhi-Jun"},{"family":"Guo","given":"Shi-Bin"},{"family":"Sun","given":"Xiao-Yu"},{"family":"Liu","given":"Zhen"}],"issued":{"date-parts":[["2013",5,21]]}}}],"schema":"https://github.com/citation-style-language/schema/raw/master/csl-citation.json"} </w:instrText>
      </w:r>
      <w:r w:rsidRPr="007F5A49">
        <w:rPr>
          <w:rFonts w:ascii="Book Antiqua" w:hAnsi="Book Antiqua" w:cs="Arial"/>
          <w:vertAlign w:val="superscript"/>
          <w:lang w:val="en-US"/>
        </w:rPr>
        <w:fldChar w:fldCharType="separate"/>
      </w:r>
      <w:r w:rsidRPr="007F5A49">
        <w:rPr>
          <w:rFonts w:ascii="Book Antiqua" w:hAnsi="Book Antiqua"/>
          <w:vertAlign w:val="superscript"/>
          <w:lang w:val="en-US"/>
        </w:rPr>
        <w:t>[130</w:t>
      </w:r>
      <w:r w:rsidRPr="007F5A49">
        <w:rPr>
          <w:rFonts w:ascii="Book Antiqua" w:hAnsi="Book Antiqua" w:cs="Arial"/>
          <w:vertAlign w:val="superscript"/>
          <w:lang w:val="en-US"/>
        </w:rPr>
        <w:fldChar w:fldCharType="end"/>
      </w:r>
      <w:r w:rsidRPr="007F5A49">
        <w:rPr>
          <w:rFonts w:ascii="Book Antiqua" w:hAnsi="Book Antiqua" w:cs="Arial"/>
          <w:vertAlign w:val="superscript"/>
          <w:lang w:val="en-US"/>
        </w:rPr>
        <w:t>]</w:t>
      </w:r>
      <w:r w:rsidR="00AD6082" w:rsidRPr="007F5A49">
        <w:rPr>
          <w:rFonts w:ascii="Book Antiqua" w:hAnsi="Book Antiqua" w:cs="Arial"/>
          <w:lang w:val="en-US"/>
        </w:rPr>
        <w:t xml:space="preserve"> (</w:t>
      </w:r>
      <w:r w:rsidR="00025BD4" w:rsidRPr="007F5A49">
        <w:rPr>
          <w:rFonts w:ascii="Book Antiqua" w:hAnsi="Book Antiqua" w:cs="Arial"/>
          <w:lang w:val="en-US"/>
        </w:rPr>
        <w:t>2013</w:t>
      </w:r>
      <w:r w:rsidR="00AD6082" w:rsidRPr="007F5A49">
        <w:rPr>
          <w:rFonts w:ascii="Book Antiqua" w:hAnsi="Book Antiqua" w:cs="Arial"/>
          <w:lang w:val="en-US"/>
        </w:rPr>
        <w:t>)</w:t>
      </w:r>
      <w:r w:rsidR="00E3575C" w:rsidRPr="007F5A49">
        <w:rPr>
          <w:rFonts w:ascii="Book Antiqua" w:hAnsi="Book Antiqua" w:cs="Arial"/>
          <w:lang w:val="en-US"/>
        </w:rPr>
        <w:t xml:space="preserve"> demonstrated </w:t>
      </w:r>
      <w:r w:rsidR="0094759A" w:rsidRPr="007F5A49">
        <w:rPr>
          <w:rFonts w:ascii="Book Antiqua" w:hAnsi="Book Antiqua" w:cs="Arial"/>
          <w:lang w:val="en-US"/>
        </w:rPr>
        <w:t xml:space="preserve">that inhibition of </w:t>
      </w:r>
      <w:proofErr w:type="spellStart"/>
      <w:r w:rsidR="00871AFA" w:rsidRPr="007F5A49">
        <w:rPr>
          <w:rFonts w:ascii="Book Antiqua" w:hAnsi="Book Antiqua" w:cs="Arial"/>
          <w:lang w:val="en-US"/>
        </w:rPr>
        <w:t>h</w:t>
      </w:r>
      <w:r w:rsidR="007225DD" w:rsidRPr="007F5A49">
        <w:rPr>
          <w:rFonts w:ascii="Book Antiqua" w:hAnsi="Book Antiqua" w:cs="Arial"/>
          <w:lang w:val="en-US"/>
        </w:rPr>
        <w:t>aem</w:t>
      </w:r>
      <w:proofErr w:type="spellEnd"/>
      <w:r w:rsidR="00871AFA" w:rsidRPr="007F5A49">
        <w:rPr>
          <w:rFonts w:ascii="Book Antiqua" w:hAnsi="Book Antiqua" w:cs="Arial"/>
          <w:lang w:val="en-US"/>
        </w:rPr>
        <w:t xml:space="preserve"> oxygenase-1 (</w:t>
      </w:r>
      <w:r w:rsidR="0094759A" w:rsidRPr="007F5A49">
        <w:rPr>
          <w:rFonts w:ascii="Book Antiqua" w:hAnsi="Book Antiqua" w:cs="Arial"/>
          <w:lang w:val="en-US"/>
        </w:rPr>
        <w:t xml:space="preserve">the </w:t>
      </w:r>
      <w:r w:rsidR="00871AFA" w:rsidRPr="007F5A49">
        <w:rPr>
          <w:rFonts w:ascii="Book Antiqua" w:hAnsi="Book Antiqua" w:cs="Arial"/>
          <w:lang w:val="en-US"/>
        </w:rPr>
        <w:t xml:space="preserve">rate-limiting enzyme in </w:t>
      </w:r>
      <w:proofErr w:type="spellStart"/>
      <w:r w:rsidR="00871AFA" w:rsidRPr="007F5A49">
        <w:rPr>
          <w:rFonts w:ascii="Book Antiqua" w:hAnsi="Book Antiqua" w:cs="Arial"/>
          <w:lang w:val="en-US"/>
        </w:rPr>
        <w:t>h</w:t>
      </w:r>
      <w:r w:rsidR="007225DD" w:rsidRPr="007F5A49">
        <w:rPr>
          <w:rFonts w:ascii="Book Antiqua" w:hAnsi="Book Antiqua" w:cs="Arial"/>
          <w:lang w:val="en-US"/>
        </w:rPr>
        <w:t>aem</w:t>
      </w:r>
      <w:proofErr w:type="spellEnd"/>
      <w:r w:rsidR="00871AFA" w:rsidRPr="007F5A49">
        <w:rPr>
          <w:rFonts w:ascii="Book Antiqua" w:hAnsi="Book Antiqua" w:cs="Arial"/>
          <w:lang w:val="en-US"/>
        </w:rPr>
        <w:t xml:space="preserve"> catabolism) reduce</w:t>
      </w:r>
      <w:r w:rsidR="00D622C9" w:rsidRPr="007F5A49">
        <w:rPr>
          <w:rFonts w:ascii="Book Antiqua" w:hAnsi="Book Antiqua" w:cs="Arial"/>
          <w:lang w:val="en-US"/>
        </w:rPr>
        <w:t>d</w:t>
      </w:r>
      <w:r w:rsidR="001B0914" w:rsidRPr="007F5A49">
        <w:rPr>
          <w:rFonts w:ascii="Book Antiqua" w:hAnsi="Book Antiqua" w:cs="Arial"/>
          <w:lang w:val="en-US"/>
        </w:rPr>
        <w:t xml:space="preserve"> hepatic iron accumulation, </w:t>
      </w:r>
      <w:r w:rsidR="00871AFA" w:rsidRPr="007F5A49">
        <w:rPr>
          <w:rFonts w:ascii="Book Antiqua" w:hAnsi="Book Antiqua" w:cs="Arial"/>
          <w:lang w:val="en-US"/>
        </w:rPr>
        <w:t>improve</w:t>
      </w:r>
      <w:r w:rsidR="00D622C9" w:rsidRPr="007F5A49">
        <w:rPr>
          <w:rFonts w:ascii="Book Antiqua" w:hAnsi="Book Antiqua" w:cs="Arial"/>
          <w:lang w:val="en-US"/>
        </w:rPr>
        <w:t>d</w:t>
      </w:r>
      <w:r w:rsidR="00871AFA" w:rsidRPr="007F5A49">
        <w:rPr>
          <w:rFonts w:ascii="Book Antiqua" w:hAnsi="Book Antiqua" w:cs="Arial"/>
          <w:lang w:val="en-US"/>
        </w:rPr>
        <w:t xml:space="preserve"> portal vein pressure</w:t>
      </w:r>
      <w:r w:rsidR="0094759A" w:rsidRPr="007F5A49">
        <w:rPr>
          <w:rFonts w:ascii="Book Antiqua" w:hAnsi="Book Antiqua" w:cs="Arial"/>
          <w:lang w:val="en-US"/>
        </w:rPr>
        <w:t xml:space="preserve"> and attenuated rat liver fibrosis</w:t>
      </w:r>
      <w:r w:rsidR="00C84E62" w:rsidRPr="007F5A49">
        <w:rPr>
          <w:rFonts w:ascii="Book Antiqua" w:hAnsi="Book Antiqua" w:cs="Arial"/>
          <w:lang w:val="en-US"/>
        </w:rPr>
        <w:t>.</w:t>
      </w:r>
      <w:r w:rsidR="00FB1AE8" w:rsidRPr="007F5A49">
        <w:rPr>
          <w:rFonts w:ascii="Book Antiqua" w:hAnsi="Book Antiqua" w:cs="Arial"/>
          <w:lang w:val="en-US"/>
        </w:rPr>
        <w:t xml:space="preserve"> </w:t>
      </w:r>
      <w:r w:rsidR="00095542" w:rsidRPr="007F5A49">
        <w:rPr>
          <w:rFonts w:ascii="Book Antiqua" w:hAnsi="Book Antiqua" w:cs="Arial"/>
          <w:lang w:val="en-US"/>
        </w:rPr>
        <w:t xml:space="preserve">Hepcidin is yet another </w:t>
      </w:r>
      <w:r w:rsidR="00871AFA" w:rsidRPr="007F5A49">
        <w:rPr>
          <w:rFonts w:ascii="Book Antiqua" w:hAnsi="Book Antiqua" w:cs="Arial"/>
          <w:lang w:val="en-US"/>
        </w:rPr>
        <w:t xml:space="preserve">promising </w:t>
      </w:r>
      <w:r w:rsidR="00FB1AE8" w:rsidRPr="007F5A49">
        <w:rPr>
          <w:rFonts w:ascii="Book Antiqua" w:hAnsi="Book Antiqua" w:cs="Arial"/>
          <w:lang w:val="en-US"/>
        </w:rPr>
        <w:t>therapeutic agent</w:t>
      </w:r>
      <w:r w:rsidR="0063419E" w:rsidRPr="007F5A49">
        <w:rPr>
          <w:rFonts w:ascii="Book Antiqua" w:hAnsi="Book Antiqua" w:cs="Arial"/>
          <w:lang w:val="en-US"/>
        </w:rPr>
        <w:t>.</w:t>
      </w:r>
      <w:r w:rsidR="00FB1AE8" w:rsidRPr="007F5A49">
        <w:rPr>
          <w:rFonts w:ascii="Book Antiqua" w:hAnsi="Book Antiqua" w:cs="Arial"/>
          <w:lang w:val="en-US"/>
        </w:rPr>
        <w:t xml:space="preserve"> Previously, intraperitoneal injections of mini-hepcidin to mice models of hereditary haemochromatosis showed reduced iron loading</w:t>
      </w:r>
      <w:r w:rsidR="00FB1AE8" w:rsidRPr="007F5A49">
        <w:rPr>
          <w:rFonts w:ascii="Book Antiqua" w:hAnsi="Book Antiqua" w:cs="Arial"/>
          <w:vertAlign w:val="superscript"/>
          <w:lang w:val="en-US"/>
        </w:rPr>
        <w:fldChar w:fldCharType="begin"/>
      </w:r>
      <w:r w:rsidR="00D2645C" w:rsidRPr="007F5A49">
        <w:rPr>
          <w:rFonts w:ascii="Book Antiqua" w:hAnsi="Book Antiqua" w:cs="Arial"/>
          <w:vertAlign w:val="superscript"/>
          <w:lang w:val="en-US"/>
        </w:rPr>
        <w:instrText xml:space="preserve"> ADDIN ZOTERO_ITEM CSL_CITATION {"citationID":"aci1p7smoq","properties":{"formattedCitation":"(131)","plainCitation":"(131)","noteIndex":0},"citationItems":[{"id":"z1PZoHrb/ufojm9GM","uris":["http://zotero.org/users/4222068/items/4T32Q5GQ"],"uri":["http://zotero.org/users/4222068/items/4T32Q5GQ"],"itemData":{"id":1567,"type":"article-journal","title":"Minihepcidins are rationally designed small peptides that mimic hepcidin activity in mice and may be useful for the treatment of iron overload","container-title":"The Journal of Clinical Investigation","page":"4880-4888","volume":"121","issue":"12","source":"PubMed","abstract":"Iron overload is the hallmark of hereditary hemochromatosis and a complication of iron-loading anemias such as β-thalassemia. Treatment can be burdensome and have significant side effects, and new therapeutic options are needed. Iron overload in hereditary hemochromatosis and β-thalassemia intermedia is caused by hepcidin deficiency. Although transgenic hepcidin replacement in mouse models of these diseases prevents iron overload or decreases its potential toxicity, natural hepcidin is prohibitively expensive for human application and has unfavorable pharmacologic properties. Here, we report the rational design of hepcidin agonists based on the mutagenesis of hepcidin and the hepcidin-binding region of ferroportin and computer modeling of their docking. We identified specific hydrophobic/aromatic residues required for hepcidin-ferroportin binding and obtained evidence in vitro that a thiol-disulfide interaction between ferroportin C326 and the hepcidin disulfide cage may stabilize binding. Guided by this model, we showed that 7–9 N-terminal amino acids of hepcidin, including a single thiol cysteine, comprised the minimal structure that retained hepcidin activity, as shown by the induction of ferroportin degradation in reporter cells. Further modifications to increase resistance to proteolysis and oral bioavailability yielded minihepcidins that, after parenteral or oral administration to mice, lowered serum iron levels comparably to those after parenteral native hepcidin. Moreover, liver iron concentrations were lower in mice chronically treated with minihepcidins than those in mice treated with solvent alone. Minihepcidins may be useful for the treatment of iron overload disorders.","DOI":"10.1172/JCI57693","ISSN":"1558-8238","note":"PMID: 22045566\nPMCID: PMC3225996","journalAbbreviation":"J. Clin. Invest.","language":"eng","author":[{"family":"Preza","given":"Gloria C."},{"family":"Ruchala","given":"Piotr"},{"family":"Pinon","given":"Rogelio"},{"family":"Ramos","given":"Emilio"},{"family":"Qiao","given":"Bo"},{"family":"Peralta","given":"Michael A."},{"family":"Sharma","given":"Shantanu"},{"family":"Waring","given":"Alan"},{"family":"Ganz","given":"Tomas"},{"family":"Nemeth","given":"Elizabeta"}],"issued":{"date-parts":[["2011",12]]}}}],"schema":"https://github.com/citation-style-language/schema/raw/master/csl-citation.json"} </w:instrText>
      </w:r>
      <w:r w:rsidR="00FB1AE8" w:rsidRPr="007F5A49">
        <w:rPr>
          <w:rFonts w:ascii="Book Antiqua" w:hAnsi="Book Antiqua" w:cs="Arial"/>
          <w:vertAlign w:val="superscript"/>
          <w:lang w:val="en-US"/>
        </w:rPr>
        <w:fldChar w:fldCharType="separate"/>
      </w:r>
      <w:r w:rsidR="0032037D" w:rsidRPr="007F5A49">
        <w:rPr>
          <w:rFonts w:ascii="Book Antiqua" w:hAnsi="Book Antiqua"/>
          <w:vertAlign w:val="superscript"/>
          <w:lang w:val="en-US"/>
        </w:rPr>
        <w:t>[</w:t>
      </w:r>
      <w:r w:rsidR="00D2645C" w:rsidRPr="007F5A49">
        <w:rPr>
          <w:rFonts w:ascii="Book Antiqua" w:hAnsi="Book Antiqua"/>
          <w:vertAlign w:val="superscript"/>
          <w:lang w:val="en-US"/>
        </w:rPr>
        <w:t>131</w:t>
      </w:r>
      <w:r w:rsidR="00FB1AE8" w:rsidRPr="007F5A49">
        <w:rPr>
          <w:rFonts w:ascii="Book Antiqua" w:hAnsi="Book Antiqua" w:cs="Arial"/>
          <w:vertAlign w:val="superscript"/>
          <w:lang w:val="en-US"/>
        </w:rPr>
        <w:fldChar w:fldCharType="end"/>
      </w:r>
      <w:r w:rsidR="0032037D" w:rsidRPr="007F5A49">
        <w:rPr>
          <w:rFonts w:ascii="Book Antiqua" w:hAnsi="Book Antiqua" w:cs="Arial"/>
          <w:vertAlign w:val="superscript"/>
          <w:lang w:val="en-US"/>
        </w:rPr>
        <w:t>]</w:t>
      </w:r>
      <w:r w:rsidR="00FB1AE8" w:rsidRPr="007F5A49">
        <w:rPr>
          <w:rFonts w:ascii="Book Antiqua" w:hAnsi="Book Antiqua" w:cs="Arial"/>
          <w:lang w:val="en-US"/>
        </w:rPr>
        <w:t xml:space="preserve">. Later, </w:t>
      </w:r>
      <w:r>
        <w:rPr>
          <w:rFonts w:ascii="Book Antiqua" w:hAnsi="Book Antiqua" w:cs="Arial"/>
          <w:lang w:val="en-US"/>
        </w:rPr>
        <w:t xml:space="preserve">Han </w:t>
      </w:r>
      <w:r w:rsidRPr="00252606">
        <w:rPr>
          <w:rFonts w:ascii="Book Antiqua" w:hAnsi="Book Antiqua" w:cs="Arial"/>
          <w:i/>
          <w:lang w:val="en-US"/>
        </w:rPr>
        <w:t xml:space="preserve">et </w:t>
      </w:r>
      <w:r w:rsidR="0063419E" w:rsidRPr="00252606">
        <w:rPr>
          <w:rFonts w:ascii="Book Antiqua" w:hAnsi="Book Antiqua" w:cs="Arial"/>
          <w:i/>
          <w:lang w:val="en-US"/>
        </w:rPr>
        <w:t>al</w:t>
      </w:r>
      <w:r w:rsidRPr="007F5A49">
        <w:rPr>
          <w:rFonts w:ascii="Book Antiqua" w:hAnsi="Book Antiqua" w:cs="Arial"/>
          <w:vertAlign w:val="superscript"/>
          <w:lang w:val="en-US"/>
        </w:rPr>
        <w:fldChar w:fldCharType="begin"/>
      </w:r>
      <w:r w:rsidRPr="007F5A49">
        <w:rPr>
          <w:rFonts w:ascii="Book Antiqua" w:hAnsi="Book Antiqua" w:cs="Arial"/>
          <w:vertAlign w:val="superscript"/>
          <w:lang w:val="en-US"/>
        </w:rPr>
        <w:instrText xml:space="preserve"> ADDIN ZOTERO_ITEM CSL_CITATION {"citationID":"atc0nm9ccm","properties":{"formattedCitation":"(132)","plainCitation":"(132)","noteIndex":0},"citationItems":[{"id":159,"uris":["http://zotero.org/users/2804724/items/8DH4KXMC"],"uri":["http://zotero.org/users/2804724/items/8DH4KXMC"],"itemData":{"id":159,"type":"article-journal","title":"Hepcidin inhibits Smad3 phosphorylation in hepatic stellate cells by impeding ferroportin-mediated regulation of Akt","container-title":"Nature Communications","page":"13817","volume":"7","source":"PubMed","abstract":"Hepatic stellate cell (HSC) activation on liver injury facilitates fibrosis. Hepatokines affecting HSCs are largely unknown. Here we show that hepcidin inhibits HSC activation and ameliorates liver fibrosis. We observe that hepcidin levels are inversely correlated with exacerbation of fibrosis in patients, and also confirm the relationship in animal models. Adenoviral delivery of hepcidin to mice attenuates liver fibrosis induced by CCl4 treatment or bile duct ligation. In cell-based assays, either hepcidin from hepatocytes or exogenous hepcidin suppresses HSC activation by inhibiting TGFβ1-mediated Smad3 phosphorylation via Akt. In activated HSCs, ferroportin is upregulated, which can be prevented by hepcidin treatment. Similarly, ferroportin knockdown in HSCs prohibits TGFβ1-inducible Smad3 phosphorylation and increases Akt phosphorylation, whereas ferroportin over-expression has the opposite effect. HSC-specific ferroportin deletion also ameliorates liver fibrosis. In summary, hepcidin suppresses liver fibrosis by impeding TGFβ1-induced Smad3 phosphorylation in HSCs, which depends on Akt activated by a deficiency of ferroportin.","DOI":"10.1038/ncomms13817","ISSN":"2041-1723","note":"PMID: 28004654\nPMCID: PMC5192182","journalAbbreviation":"Nat Commun","language":"eng","author":[{"family":"Han","given":"Chang Yeob"},{"family":"Koo","given":"Ja Hyun"},{"family":"Kim","given":"Sung Hoon"},{"family":"Gardenghi","given":"Sara"},{"family":"Rivella","given":"Stefano"},{"family":"Strnad","given":"Pavel"},{"family":"Hwang","given":"Se Jin"},{"family":"Kim","given":"Sang Geon"}],"issued":{"date-parts":[["2016",12,22]]}}}],"schema":"https://github.com/citation-style-language/schema/raw/master/csl-citation.json"} </w:instrText>
      </w:r>
      <w:r w:rsidRPr="007F5A49">
        <w:rPr>
          <w:rFonts w:ascii="Book Antiqua" w:hAnsi="Book Antiqua" w:cs="Arial"/>
          <w:vertAlign w:val="superscript"/>
          <w:lang w:val="en-US"/>
        </w:rPr>
        <w:fldChar w:fldCharType="separate"/>
      </w:r>
      <w:r w:rsidRPr="007F5A49">
        <w:rPr>
          <w:rFonts w:ascii="Book Antiqua" w:hAnsi="Book Antiqua"/>
          <w:vertAlign w:val="superscript"/>
          <w:lang w:val="en-US"/>
        </w:rPr>
        <w:t>[132</w:t>
      </w:r>
      <w:r w:rsidRPr="007F5A49">
        <w:rPr>
          <w:rFonts w:ascii="Book Antiqua" w:hAnsi="Book Antiqua" w:cs="Arial"/>
          <w:vertAlign w:val="superscript"/>
          <w:lang w:val="en-US"/>
        </w:rPr>
        <w:fldChar w:fldCharType="end"/>
      </w:r>
      <w:r w:rsidRPr="007F5A49">
        <w:rPr>
          <w:rFonts w:ascii="Book Antiqua" w:hAnsi="Book Antiqua" w:cs="Arial"/>
          <w:vertAlign w:val="superscript"/>
          <w:lang w:val="en-US"/>
        </w:rPr>
        <w:t>]</w:t>
      </w:r>
      <w:r w:rsidR="001B0914" w:rsidRPr="007F5A49">
        <w:rPr>
          <w:rFonts w:ascii="Book Antiqua" w:hAnsi="Book Antiqua" w:cs="Arial"/>
          <w:lang w:val="en-US"/>
        </w:rPr>
        <w:t xml:space="preserve"> conducted elaborate studies and </w:t>
      </w:r>
      <w:r w:rsidR="0063419E" w:rsidRPr="007F5A49">
        <w:rPr>
          <w:rFonts w:ascii="Book Antiqua" w:hAnsi="Book Antiqua" w:cs="Arial"/>
          <w:lang w:val="en-US"/>
        </w:rPr>
        <w:t>demonstrated that</w:t>
      </w:r>
      <w:r w:rsidR="00C84E62" w:rsidRPr="007F5A49">
        <w:rPr>
          <w:rFonts w:ascii="Book Antiqua" w:hAnsi="Book Antiqua" w:cs="Arial"/>
          <w:lang w:val="en-US"/>
        </w:rPr>
        <w:t xml:space="preserve"> </w:t>
      </w:r>
      <w:r w:rsidR="0063419E" w:rsidRPr="007F5A49">
        <w:rPr>
          <w:rFonts w:ascii="Book Antiqua" w:hAnsi="Book Antiqua" w:cs="Arial"/>
          <w:lang w:val="en-US"/>
        </w:rPr>
        <w:t>hepcidin expression inversely corelated with the fibrosis severity in human and rodent models</w:t>
      </w:r>
      <w:r w:rsidR="00FB1AE8" w:rsidRPr="007F5A49">
        <w:rPr>
          <w:rFonts w:ascii="Book Antiqua" w:hAnsi="Book Antiqua" w:cs="Arial"/>
          <w:lang w:val="en-US"/>
        </w:rPr>
        <w:t xml:space="preserve">. Also, </w:t>
      </w:r>
      <w:r w:rsidR="0063419E" w:rsidRPr="007F5A49">
        <w:rPr>
          <w:rFonts w:ascii="Book Antiqua" w:hAnsi="Book Antiqua" w:cs="Arial"/>
          <w:lang w:val="en-US"/>
        </w:rPr>
        <w:t xml:space="preserve">over-expression of </w:t>
      </w:r>
      <w:r w:rsidR="0063419E" w:rsidRPr="007F5A49">
        <w:rPr>
          <w:rFonts w:ascii="Book Antiqua" w:hAnsi="Book Antiqua" w:cs="Arial"/>
          <w:lang w:val="en-US"/>
        </w:rPr>
        <w:lastRenderedPageBreak/>
        <w:t xml:space="preserve">hepcidin in rodents </w:t>
      </w:r>
      <w:r w:rsidR="001B0914" w:rsidRPr="007F5A49">
        <w:rPr>
          <w:rFonts w:ascii="Book Antiqua" w:hAnsi="Book Antiqua" w:cs="Arial"/>
          <w:lang w:val="en-US"/>
        </w:rPr>
        <w:t>attenuated</w:t>
      </w:r>
      <w:r w:rsidR="0063419E" w:rsidRPr="007F5A49">
        <w:rPr>
          <w:rFonts w:ascii="Book Antiqua" w:hAnsi="Book Antiqua" w:cs="Arial"/>
          <w:lang w:val="en-US"/>
        </w:rPr>
        <w:t xml:space="preserve"> fibrosis, as demonstrated </w:t>
      </w:r>
      <w:r w:rsidR="0063419E" w:rsidRPr="00252606">
        <w:rPr>
          <w:rFonts w:ascii="Book Antiqua" w:hAnsi="Book Antiqua" w:cs="Arial"/>
          <w:i/>
          <w:lang w:val="en-US"/>
        </w:rPr>
        <w:t>via</w:t>
      </w:r>
      <w:r w:rsidR="0063419E" w:rsidRPr="007F5A49">
        <w:rPr>
          <w:rFonts w:ascii="Book Antiqua" w:hAnsi="Book Antiqua" w:cs="Arial"/>
          <w:lang w:val="en-US"/>
        </w:rPr>
        <w:t xml:space="preserve"> reduced expressions of α-SMA</w:t>
      </w:r>
      <w:r w:rsidR="000E3FAF" w:rsidRPr="007F5A49">
        <w:rPr>
          <w:rFonts w:ascii="Book Antiqua" w:hAnsi="Book Antiqua" w:cs="Arial"/>
          <w:lang w:val="en-US"/>
        </w:rPr>
        <w:t xml:space="preserve">, </w:t>
      </w:r>
      <w:r w:rsidR="0063419E" w:rsidRPr="007F5A49">
        <w:rPr>
          <w:rFonts w:ascii="Book Antiqua" w:hAnsi="Book Antiqua" w:cs="Arial"/>
          <w:lang w:val="en-US"/>
        </w:rPr>
        <w:t xml:space="preserve">collagen type 1 and other markers. </w:t>
      </w:r>
      <w:r w:rsidR="009E34C6" w:rsidRPr="007F5A49">
        <w:rPr>
          <w:rFonts w:ascii="Book Antiqua" w:hAnsi="Book Antiqua" w:cs="Arial"/>
          <w:lang w:val="en-US"/>
        </w:rPr>
        <w:t>C</w:t>
      </w:r>
      <w:r w:rsidR="0063419E" w:rsidRPr="007F5A49">
        <w:rPr>
          <w:rFonts w:ascii="Book Antiqua" w:hAnsi="Book Antiqua" w:cs="Arial"/>
          <w:lang w:val="en-US"/>
        </w:rPr>
        <w:t>ell based assays</w:t>
      </w:r>
      <w:r w:rsidR="009E34C6" w:rsidRPr="007F5A49">
        <w:rPr>
          <w:rFonts w:ascii="Book Antiqua" w:hAnsi="Book Antiqua" w:cs="Arial"/>
          <w:lang w:val="en-US"/>
        </w:rPr>
        <w:t xml:space="preserve"> showed </w:t>
      </w:r>
      <w:r w:rsidR="00A650FC" w:rsidRPr="007F5A49">
        <w:rPr>
          <w:rFonts w:ascii="Book Antiqua" w:hAnsi="Book Antiqua" w:cs="Arial"/>
          <w:lang w:val="en-US"/>
        </w:rPr>
        <w:t xml:space="preserve">a </w:t>
      </w:r>
      <w:r w:rsidR="009E34C6" w:rsidRPr="007F5A49">
        <w:rPr>
          <w:rFonts w:ascii="Book Antiqua" w:hAnsi="Book Antiqua" w:cs="Arial"/>
          <w:lang w:val="en-US"/>
        </w:rPr>
        <w:t xml:space="preserve">mechanism whereby </w:t>
      </w:r>
      <w:r w:rsidR="00F41563" w:rsidRPr="007F5A49">
        <w:rPr>
          <w:rFonts w:ascii="Book Antiqua" w:hAnsi="Book Antiqua" w:cs="Arial"/>
          <w:lang w:val="en-US"/>
        </w:rPr>
        <w:t>exogenous hepcidin hindered TGF-β1-induced SMAD-3 phosphorylation in HSCs and inhibited HSC-activation</w:t>
      </w:r>
      <w:r w:rsidR="000525F9" w:rsidRPr="007F5A49">
        <w:rPr>
          <w:rFonts w:ascii="Book Antiqua" w:hAnsi="Book Antiqua" w:cs="Arial"/>
          <w:lang w:val="en-US"/>
        </w:rPr>
        <w:t>.</w:t>
      </w:r>
      <w:r w:rsidR="00A650FC" w:rsidRPr="007F5A49">
        <w:rPr>
          <w:rFonts w:ascii="Book Antiqua" w:hAnsi="Book Antiqua" w:cs="Arial"/>
          <w:lang w:val="en-US"/>
        </w:rPr>
        <w:t xml:space="preserve"> </w:t>
      </w:r>
      <w:r w:rsidR="00D1577A" w:rsidRPr="007F5A49">
        <w:rPr>
          <w:rFonts w:ascii="Book Antiqua" w:hAnsi="Book Antiqua" w:cs="Arial"/>
          <w:lang w:val="en-US"/>
        </w:rPr>
        <w:t>Thus</w:t>
      </w:r>
      <w:r w:rsidR="0027046D" w:rsidRPr="007F5A49">
        <w:rPr>
          <w:rFonts w:ascii="Book Antiqua" w:hAnsi="Book Antiqua" w:cs="Arial"/>
          <w:lang w:val="en-US"/>
        </w:rPr>
        <w:t xml:space="preserve">, </w:t>
      </w:r>
      <w:r w:rsidR="00D1577A" w:rsidRPr="007F5A49">
        <w:rPr>
          <w:rFonts w:ascii="Book Antiqua" w:hAnsi="Book Antiqua" w:cs="Arial"/>
          <w:lang w:val="en-US"/>
        </w:rPr>
        <w:t xml:space="preserve">hepcidin therapy </w:t>
      </w:r>
      <w:r w:rsidR="0094759A" w:rsidRPr="007F5A49">
        <w:rPr>
          <w:rFonts w:ascii="Book Antiqua" w:hAnsi="Book Antiqua" w:cs="Arial"/>
          <w:lang w:val="en-US"/>
        </w:rPr>
        <w:t xml:space="preserve">may be </w:t>
      </w:r>
      <w:r w:rsidR="00F11D56" w:rsidRPr="007F5A49">
        <w:rPr>
          <w:rFonts w:ascii="Book Antiqua" w:hAnsi="Book Antiqua" w:cs="Arial"/>
          <w:lang w:val="en-US"/>
        </w:rPr>
        <w:t xml:space="preserve">capable of modulating </w:t>
      </w:r>
      <w:r w:rsidR="00D622C9" w:rsidRPr="007F5A49">
        <w:rPr>
          <w:rFonts w:ascii="Book Antiqua" w:hAnsi="Book Antiqua" w:cs="Arial"/>
          <w:lang w:val="en-US"/>
        </w:rPr>
        <w:t xml:space="preserve">liver </w:t>
      </w:r>
      <w:r w:rsidR="00D1577A" w:rsidRPr="007F5A49">
        <w:rPr>
          <w:rFonts w:ascii="Book Antiqua" w:hAnsi="Book Antiqua" w:cs="Arial"/>
          <w:lang w:val="en-US"/>
        </w:rPr>
        <w:t>fibrosis</w:t>
      </w:r>
      <w:r w:rsidR="00D43A2D" w:rsidRPr="007F5A49">
        <w:rPr>
          <w:rFonts w:ascii="Book Antiqua" w:hAnsi="Book Antiqua" w:cs="Arial"/>
          <w:lang w:val="en-US"/>
        </w:rPr>
        <w:t xml:space="preserve"> in</w:t>
      </w:r>
      <w:r w:rsidR="00FB1AE8" w:rsidRPr="007F5A49">
        <w:rPr>
          <w:rFonts w:ascii="Book Antiqua" w:hAnsi="Book Antiqua" w:cs="Arial"/>
          <w:lang w:val="en-US"/>
        </w:rPr>
        <w:t xml:space="preserve"> the</w:t>
      </w:r>
      <w:r w:rsidR="0015453A" w:rsidRPr="007F5A49">
        <w:rPr>
          <w:rFonts w:ascii="Book Antiqua" w:hAnsi="Book Antiqua" w:cs="Arial"/>
          <w:lang w:val="en-US"/>
        </w:rPr>
        <w:t xml:space="preserve"> future</w:t>
      </w:r>
      <w:r w:rsidR="009E34C6" w:rsidRPr="007F5A49">
        <w:rPr>
          <w:rFonts w:ascii="Book Antiqua" w:hAnsi="Book Antiqua" w:cs="Arial"/>
          <w:lang w:val="en-US"/>
        </w:rPr>
        <w:t>.</w:t>
      </w:r>
    </w:p>
    <w:p w14:paraId="5183E311" w14:textId="57D22F97" w:rsidR="007777DC" w:rsidRPr="007F5A49" w:rsidRDefault="00252606" w:rsidP="007F5A49">
      <w:pPr>
        <w:adjustRightInd w:val="0"/>
        <w:snapToGrid w:val="0"/>
        <w:spacing w:after="0" w:line="360" w:lineRule="auto"/>
        <w:jc w:val="both"/>
        <w:rPr>
          <w:rFonts w:ascii="Book Antiqua" w:hAnsi="Book Antiqua" w:cs="Arial"/>
          <w:sz w:val="24"/>
          <w:szCs w:val="24"/>
          <w:lang w:val="en-US"/>
        </w:rPr>
      </w:pPr>
      <w:r>
        <w:rPr>
          <w:rFonts w:ascii="Book Antiqua" w:eastAsia="Times New Roman" w:hAnsi="Book Antiqua" w:cs="Arial"/>
          <w:sz w:val="24"/>
          <w:szCs w:val="24"/>
          <w:lang w:val="en-US"/>
        </w:rPr>
        <w:t xml:space="preserve">  </w:t>
      </w:r>
      <w:r w:rsidR="007777DC" w:rsidRPr="007F5A49">
        <w:rPr>
          <w:rFonts w:ascii="Book Antiqua" w:hAnsi="Book Antiqua" w:cs="Arial"/>
          <w:sz w:val="24"/>
          <w:szCs w:val="24"/>
          <w:lang w:val="en-US"/>
        </w:rPr>
        <w:t>The significance of formulating novel iron-related therapies emerges from the iron-imposed acceleration of fibrosis progression. Even after liver transplantation in CLD patients, iron loading can increase the probability of post-operative infections and can show poor survival, as demonstrated by the HFE-related hereditary haemochromatosis patients following t</w:t>
      </w:r>
      <w:r w:rsidR="00AA23FE" w:rsidRPr="007F5A49">
        <w:rPr>
          <w:rFonts w:ascii="Book Antiqua" w:hAnsi="Book Antiqua" w:cs="Arial"/>
          <w:sz w:val="24"/>
          <w:szCs w:val="24"/>
          <w:lang w:val="en-US"/>
        </w:rPr>
        <w:t>ransplantation</w:t>
      </w:r>
      <w:r w:rsidR="007777DC"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23niks6ipp","properties":{"formattedCitation":"(2)","plainCitation":"(2)","noteIndex":0},"citationItems":[{"id":"z1PZoHrb/AG6ANrHo","uris":["http://zotero.org/users/4222068/items/B4ILEK6N"],"uri":["http://zotero.org/users/4222068/items/B4ILEK6N"],"itemData":{"id":1732,"type":"article-journal","title":"Iron Overload in Patients With Chronic Liver Disease","container-title":"Gastroenterology &amp; Hepatology","page":"695-698","volume":"12","issue":"11","source":"PubMed Central","ISSN":"1554-7914","note":"PMID: 28035198\nPMCID: PMC5193089","journalAbbreviation":"Gastroenterol Hepatol (N Y)","author":[{"family":"Kowdley","given":"Kris V."}],"issued":{"date-parts":[["2016",11]]}}}],"schema":"https://github.com/citation-style-language/schema/raw/master/csl-citation.json"} </w:instrText>
      </w:r>
      <w:r w:rsidR="007777DC" w:rsidRPr="007F5A49">
        <w:rPr>
          <w:rFonts w:ascii="Book Antiqua" w:hAnsi="Book Antiqua" w:cs="Arial"/>
          <w:sz w:val="24"/>
          <w:szCs w:val="24"/>
          <w:vertAlign w:val="superscript"/>
          <w:lang w:val="en-US"/>
        </w:rPr>
        <w:fldChar w:fldCharType="separate"/>
      </w:r>
      <w:r w:rsidR="00AA23FE"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2</w:t>
      </w:r>
      <w:r w:rsidR="007777DC" w:rsidRPr="007F5A49">
        <w:rPr>
          <w:rFonts w:ascii="Book Antiqua" w:hAnsi="Book Antiqua" w:cs="Arial"/>
          <w:sz w:val="24"/>
          <w:szCs w:val="24"/>
          <w:vertAlign w:val="superscript"/>
          <w:lang w:val="en-US"/>
        </w:rPr>
        <w:fldChar w:fldCharType="end"/>
      </w:r>
      <w:r w:rsidR="00AA23FE" w:rsidRPr="007F5A49">
        <w:rPr>
          <w:rFonts w:ascii="Book Antiqua" w:hAnsi="Book Antiqua" w:cs="Arial"/>
          <w:sz w:val="24"/>
          <w:szCs w:val="24"/>
          <w:vertAlign w:val="superscript"/>
          <w:lang w:val="en-US"/>
        </w:rPr>
        <w:t>]</w:t>
      </w:r>
      <w:r w:rsidR="007777DC" w:rsidRPr="007F5A49">
        <w:rPr>
          <w:rFonts w:ascii="Book Antiqua" w:hAnsi="Book Antiqua" w:cs="Arial"/>
          <w:sz w:val="24"/>
          <w:szCs w:val="24"/>
          <w:lang w:val="en-US"/>
        </w:rPr>
        <w:t>. Thus, targeting iron metabolism for fibrosis resolution is a valuable and promising adjunctive strategy</w:t>
      </w:r>
      <w:r w:rsidR="00CB4D54" w:rsidRPr="007F5A49">
        <w:rPr>
          <w:rFonts w:ascii="Book Antiqua" w:hAnsi="Book Antiqua" w:cs="Arial"/>
          <w:sz w:val="24"/>
          <w:szCs w:val="24"/>
          <w:lang w:val="en-US"/>
        </w:rPr>
        <w:t xml:space="preserve">. </w:t>
      </w:r>
      <w:r w:rsidR="0093549A" w:rsidRPr="007F5A49">
        <w:rPr>
          <w:rFonts w:ascii="Book Antiqua" w:eastAsia="Times New Roman" w:hAnsi="Book Antiqua" w:cs="Arial"/>
          <w:sz w:val="24"/>
          <w:szCs w:val="24"/>
          <w:lang w:val="en-US"/>
        </w:rPr>
        <w:t>Note that all CLDs do not necessarily trigger</w:t>
      </w:r>
      <w:r w:rsidR="00C84E62" w:rsidRPr="007F5A49">
        <w:rPr>
          <w:rFonts w:ascii="Book Antiqua" w:eastAsia="Times New Roman" w:hAnsi="Book Antiqua" w:cs="Arial"/>
          <w:sz w:val="24"/>
          <w:szCs w:val="24"/>
          <w:lang w:val="en-US"/>
        </w:rPr>
        <w:t xml:space="preserve"> fibrosis</w:t>
      </w:r>
      <w:r w:rsidR="005F5564" w:rsidRPr="007F5A49">
        <w:rPr>
          <w:rFonts w:ascii="Book Antiqua" w:eastAsia="Times New Roman" w:hAnsi="Book Antiqua" w:cs="Arial"/>
          <w:sz w:val="24"/>
          <w:szCs w:val="24"/>
          <w:lang w:val="en-US"/>
        </w:rPr>
        <w:t xml:space="preserve">, </w:t>
      </w:r>
      <w:r w:rsidR="00C84E62" w:rsidRPr="007F5A49">
        <w:rPr>
          <w:rFonts w:ascii="Book Antiqua" w:eastAsia="Times New Roman" w:hAnsi="Book Antiqua" w:cs="Arial"/>
          <w:sz w:val="24"/>
          <w:szCs w:val="24"/>
          <w:lang w:val="en-US"/>
        </w:rPr>
        <w:t>so fibrosis may not be present in all patients. Likewise, the levels of iron loading and other iron related parameters may differ between patients and between stages of the disease</w:t>
      </w:r>
      <w:r w:rsidR="00C84E62" w:rsidRPr="007F5A49">
        <w:rPr>
          <w:rFonts w:ascii="Book Antiqua" w:eastAsia="Times New Roman" w:hAnsi="Book Antiqua" w:cs="Arial"/>
          <w:sz w:val="24"/>
          <w:szCs w:val="24"/>
          <w:vertAlign w:val="superscript"/>
          <w:lang w:val="en-US"/>
        </w:rPr>
        <w:fldChar w:fldCharType="begin"/>
      </w:r>
      <w:r w:rsidR="00D2645C" w:rsidRPr="007F5A49">
        <w:rPr>
          <w:rFonts w:ascii="Book Antiqua" w:eastAsia="Times New Roman" w:hAnsi="Book Antiqua" w:cs="Arial"/>
          <w:sz w:val="24"/>
          <w:szCs w:val="24"/>
          <w:vertAlign w:val="superscript"/>
          <w:lang w:val="en-US"/>
        </w:rPr>
        <w:instrText xml:space="preserve"> ADDIN ZOTERO_ITEM CSL_CITATION {"citationID":"a2q0rdi3uhc","properties":{"formattedCitation":"(111)","plainCitation":"(111)","noteIndex":0},"citationItems":[{"id":"z1PZoHrb/eDyALzFj","uris":["http://zotero.org/users/4222068/items/PXDC4TST"],"uri":["http://zotero.org/users/4222068/items/PXDC4TST"],"itemData":{"id":1758,"type":"article-journal","title":"Low hepcidin in liver fibrosis and cirrhosis; a tale of progressive disorder and a case for a new biochemical marker","container-title":"Molecular Medicine","page":"5","volume":"24","source":"BioMed Central","abstract":"Liver fibrosis is a precursor of liver cirrhosis, which is associated with increased mortality. Though liver biopsy remains the gold standard for the diagnosis of fibrosis, noninvasive biochemical methods are cost-effective, practical and are not linked with major risks of complications. In this respect, serum hepcidin, has emerged as a new marker of fibrosis and cirrhosis. In this review the discussion uncovers molecular links between hepcidin disturbance and liver fibrosis/cirrhosis. The discussion also expands on clinical studies that suggest that hepcidin can potentially be used as a biochemical parameter of fibrosis/cirrhosis and target of therapeutic strategies to treat liver diseases. The debatable issues such as the complicated nature of hepcidin disturbance in non-alcoholic liver disease, serum levels of hepcidin in acute hepatitis C virus infection, cause of hepcidin disturbance in autoimmune hepatitis and hepatic insulin resistance are discussed, with potential solutions unveiled in order to be studied by future research.","DOI":"10.1186/s10020-018-0008-7","ISSN":"1528-3658","journalAbbreviation":"Molecular Medicine","author":[{"family":"Vela","given":"Driton"}],"issued":{"date-parts":[["2018",3,15]]}}}],"schema":"https://github.com/citation-style-language/schema/raw/master/csl-citation.json"} </w:instrText>
      </w:r>
      <w:r w:rsidR="00C84E62" w:rsidRPr="007F5A49">
        <w:rPr>
          <w:rFonts w:ascii="Book Antiqua" w:eastAsia="Times New Roman" w:hAnsi="Book Antiqua" w:cs="Arial"/>
          <w:sz w:val="24"/>
          <w:szCs w:val="24"/>
          <w:vertAlign w:val="superscript"/>
          <w:lang w:val="en-US"/>
        </w:rPr>
        <w:fldChar w:fldCharType="separate"/>
      </w:r>
      <w:r w:rsidR="00AA23FE"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111</w:t>
      </w:r>
      <w:r w:rsidR="00C84E62" w:rsidRPr="007F5A49">
        <w:rPr>
          <w:rFonts w:ascii="Book Antiqua" w:eastAsia="Times New Roman" w:hAnsi="Book Antiqua" w:cs="Arial"/>
          <w:sz w:val="24"/>
          <w:szCs w:val="24"/>
          <w:vertAlign w:val="superscript"/>
          <w:lang w:val="en-US"/>
        </w:rPr>
        <w:fldChar w:fldCharType="end"/>
      </w:r>
      <w:r w:rsidR="00AA23FE" w:rsidRPr="007F5A49">
        <w:rPr>
          <w:rFonts w:ascii="Book Antiqua" w:eastAsia="Times New Roman" w:hAnsi="Book Antiqua" w:cs="Arial"/>
          <w:sz w:val="24"/>
          <w:szCs w:val="24"/>
          <w:vertAlign w:val="superscript"/>
          <w:lang w:val="en-US"/>
        </w:rPr>
        <w:t>]</w:t>
      </w:r>
      <w:r w:rsidR="00C84E62" w:rsidRPr="007F5A49">
        <w:rPr>
          <w:rFonts w:ascii="Book Antiqua" w:eastAsia="Times New Roman" w:hAnsi="Book Antiqua" w:cs="Arial"/>
          <w:sz w:val="24"/>
          <w:szCs w:val="24"/>
          <w:lang w:val="en-US"/>
        </w:rPr>
        <w:t xml:space="preserve">. </w:t>
      </w:r>
    </w:p>
    <w:p w14:paraId="3E5508C1" w14:textId="77777777" w:rsidR="00CB4D54" w:rsidRPr="007F5A49" w:rsidRDefault="00CB4D54" w:rsidP="007F5A49">
      <w:pPr>
        <w:adjustRightInd w:val="0"/>
        <w:snapToGrid w:val="0"/>
        <w:spacing w:after="0" w:line="360" w:lineRule="auto"/>
        <w:jc w:val="both"/>
        <w:rPr>
          <w:rFonts w:ascii="Book Antiqua" w:hAnsi="Book Antiqua" w:cs="Arial"/>
          <w:b/>
          <w:sz w:val="24"/>
          <w:szCs w:val="24"/>
          <w:lang w:val="en-US"/>
        </w:rPr>
      </w:pPr>
    </w:p>
    <w:p w14:paraId="186F4E61" w14:textId="1B1665D0" w:rsidR="00490E83" w:rsidRPr="007F5A49" w:rsidRDefault="009705F3" w:rsidP="008E1EBB">
      <w:pPr>
        <w:adjustRightInd w:val="0"/>
        <w:snapToGrid w:val="0"/>
        <w:spacing w:after="0" w:line="360" w:lineRule="auto"/>
        <w:jc w:val="both"/>
        <w:outlineLvl w:val="0"/>
        <w:rPr>
          <w:rFonts w:ascii="Book Antiqua" w:hAnsi="Book Antiqua" w:cs="Arial"/>
          <w:b/>
          <w:sz w:val="24"/>
          <w:szCs w:val="24"/>
          <w:lang w:val="en-US"/>
        </w:rPr>
      </w:pPr>
      <w:r w:rsidRPr="007F5A49">
        <w:rPr>
          <w:rFonts w:ascii="Book Antiqua" w:hAnsi="Book Antiqua" w:cs="Arial"/>
          <w:b/>
          <w:sz w:val="24"/>
          <w:szCs w:val="24"/>
          <w:lang w:val="en-US"/>
        </w:rPr>
        <w:t>CONCLUSION</w:t>
      </w:r>
    </w:p>
    <w:p w14:paraId="011E8C33" w14:textId="475FD993" w:rsidR="00611EA0" w:rsidRPr="007F5A49" w:rsidRDefault="00EA1B69" w:rsidP="007F5A49">
      <w:pPr>
        <w:adjustRightInd w:val="0"/>
        <w:snapToGrid w:val="0"/>
        <w:spacing w:after="0" w:line="360" w:lineRule="auto"/>
        <w:jc w:val="both"/>
        <w:rPr>
          <w:rFonts w:ascii="Book Antiqua" w:hAnsi="Book Antiqua" w:cs="Arial"/>
          <w:sz w:val="24"/>
          <w:szCs w:val="24"/>
          <w:lang w:val="en-US"/>
        </w:rPr>
      </w:pPr>
      <w:r w:rsidRPr="007F5A49">
        <w:rPr>
          <w:rFonts w:ascii="Book Antiqua" w:hAnsi="Book Antiqua" w:cs="Arial"/>
          <w:sz w:val="24"/>
          <w:szCs w:val="24"/>
          <w:lang w:val="en-US"/>
        </w:rPr>
        <w:t>E</w:t>
      </w:r>
      <w:r w:rsidR="008E022C" w:rsidRPr="007F5A49">
        <w:rPr>
          <w:rFonts w:ascii="Book Antiqua" w:hAnsi="Book Antiqua" w:cs="Arial"/>
          <w:sz w:val="24"/>
          <w:szCs w:val="24"/>
          <w:lang w:val="en-US"/>
        </w:rPr>
        <w:t>xcess iron</w:t>
      </w:r>
      <w:r w:rsidR="009E468F" w:rsidRPr="007F5A49">
        <w:rPr>
          <w:rFonts w:ascii="Book Antiqua" w:hAnsi="Book Antiqua" w:cs="Arial"/>
          <w:sz w:val="24"/>
          <w:szCs w:val="24"/>
          <w:lang w:val="en-US"/>
        </w:rPr>
        <w:t xml:space="preserve"> is toxic. It is</w:t>
      </w:r>
      <w:r w:rsidRPr="007F5A49">
        <w:rPr>
          <w:rFonts w:ascii="Book Antiqua" w:hAnsi="Book Antiqua" w:cs="Arial"/>
          <w:sz w:val="24"/>
          <w:szCs w:val="24"/>
          <w:lang w:val="en-US"/>
        </w:rPr>
        <w:t xml:space="preserve"> </w:t>
      </w:r>
      <w:r w:rsidR="002219B6" w:rsidRPr="007F5A49">
        <w:rPr>
          <w:rFonts w:ascii="Book Antiqua" w:hAnsi="Book Antiqua" w:cs="Arial"/>
          <w:sz w:val="24"/>
          <w:szCs w:val="24"/>
          <w:lang w:val="en-US"/>
        </w:rPr>
        <w:t xml:space="preserve">frequently observed in CLDs and can accelerate </w:t>
      </w:r>
      <w:r w:rsidRPr="007F5A49">
        <w:rPr>
          <w:rFonts w:ascii="Book Antiqua" w:hAnsi="Book Antiqua" w:cs="Arial"/>
          <w:sz w:val="24"/>
          <w:szCs w:val="24"/>
          <w:lang w:val="en-US"/>
        </w:rPr>
        <w:t xml:space="preserve">the progression of </w:t>
      </w:r>
      <w:r w:rsidR="00816CD7" w:rsidRPr="007F5A49">
        <w:rPr>
          <w:rFonts w:ascii="Book Antiqua" w:hAnsi="Book Antiqua" w:cs="Arial"/>
          <w:sz w:val="24"/>
          <w:szCs w:val="24"/>
          <w:lang w:val="en-US"/>
        </w:rPr>
        <w:t>liver fibrosis</w:t>
      </w:r>
      <w:r w:rsidRPr="007F5A49">
        <w:rPr>
          <w:rFonts w:ascii="Book Antiqua" w:hAnsi="Book Antiqua" w:cs="Arial"/>
          <w:sz w:val="24"/>
          <w:szCs w:val="24"/>
          <w:lang w:val="en-US"/>
        </w:rPr>
        <w:t xml:space="preserve"> to </w:t>
      </w:r>
      <w:r w:rsidR="00816CD7" w:rsidRPr="007F5A49">
        <w:rPr>
          <w:rFonts w:ascii="Book Antiqua" w:hAnsi="Book Antiqua" w:cs="Arial"/>
          <w:sz w:val="24"/>
          <w:szCs w:val="24"/>
          <w:lang w:val="en-US"/>
        </w:rPr>
        <w:t>cirrhosis and hepatocellular carcinom</w:t>
      </w:r>
      <w:r w:rsidR="005B3F07" w:rsidRPr="007F5A49">
        <w:rPr>
          <w:rFonts w:ascii="Book Antiqua" w:hAnsi="Book Antiqua" w:cs="Arial"/>
          <w:sz w:val="24"/>
          <w:szCs w:val="24"/>
          <w:lang w:val="en-US"/>
        </w:rPr>
        <w:t>a</w:t>
      </w:r>
      <w:r w:rsidRPr="007F5A49">
        <w:rPr>
          <w:rFonts w:ascii="Book Antiqua" w:hAnsi="Book Antiqua" w:cs="Arial"/>
          <w:sz w:val="24"/>
          <w:szCs w:val="24"/>
          <w:lang w:val="en-US"/>
        </w:rPr>
        <w:t>, r</w:t>
      </w:r>
      <w:r w:rsidR="00816CD7" w:rsidRPr="007F5A49">
        <w:rPr>
          <w:rFonts w:ascii="Book Antiqua" w:hAnsi="Book Antiqua" w:cs="Arial"/>
          <w:sz w:val="24"/>
          <w:szCs w:val="24"/>
          <w:lang w:val="en-US"/>
        </w:rPr>
        <w:t xml:space="preserve">egardless of </w:t>
      </w:r>
      <w:r w:rsidRPr="007F5A49">
        <w:rPr>
          <w:rFonts w:ascii="Book Antiqua" w:hAnsi="Book Antiqua" w:cs="Arial"/>
          <w:sz w:val="24"/>
          <w:szCs w:val="24"/>
          <w:lang w:val="en-US"/>
        </w:rPr>
        <w:t xml:space="preserve">disease </w:t>
      </w:r>
      <w:proofErr w:type="spellStart"/>
      <w:r w:rsidR="00816CD7" w:rsidRPr="007F5A49">
        <w:rPr>
          <w:rFonts w:ascii="Book Antiqua" w:hAnsi="Book Antiqua" w:cs="Arial"/>
          <w:sz w:val="24"/>
          <w:szCs w:val="24"/>
          <w:lang w:val="en-US"/>
        </w:rPr>
        <w:t>aetiology</w:t>
      </w:r>
      <w:proofErr w:type="spellEnd"/>
      <w:r w:rsidRPr="007F5A49">
        <w:rPr>
          <w:rFonts w:ascii="Book Antiqua" w:hAnsi="Book Antiqua" w:cs="Arial"/>
          <w:sz w:val="24"/>
          <w:szCs w:val="24"/>
          <w:lang w:val="en-US"/>
        </w:rPr>
        <w:t xml:space="preserve">. </w:t>
      </w:r>
      <w:r w:rsidR="002219B6" w:rsidRPr="007F5A49">
        <w:rPr>
          <w:rFonts w:ascii="Book Antiqua" w:hAnsi="Book Antiqua" w:cs="Arial"/>
          <w:sz w:val="24"/>
          <w:szCs w:val="24"/>
          <w:lang w:val="en-US"/>
        </w:rPr>
        <w:t xml:space="preserve">From an iron-perspective, mechanisms that promote liver fibrosis include </w:t>
      </w:r>
      <w:r w:rsidR="00836484" w:rsidRPr="007F5A49">
        <w:rPr>
          <w:rFonts w:ascii="Book Antiqua" w:hAnsi="Book Antiqua" w:cs="Arial"/>
          <w:sz w:val="24"/>
          <w:szCs w:val="24"/>
          <w:lang w:val="en-US"/>
        </w:rPr>
        <w:t xml:space="preserve">the </w:t>
      </w:r>
      <w:r w:rsidR="00611EA0" w:rsidRPr="007F5A49">
        <w:rPr>
          <w:rFonts w:ascii="Book Antiqua" w:hAnsi="Book Antiqua" w:cs="Arial"/>
          <w:sz w:val="24"/>
          <w:szCs w:val="24"/>
          <w:lang w:val="en-US"/>
        </w:rPr>
        <w:t xml:space="preserve">free-radical generating </w:t>
      </w:r>
      <w:r w:rsidRPr="007F5A49">
        <w:rPr>
          <w:rFonts w:ascii="Book Antiqua" w:hAnsi="Book Antiqua" w:cs="Arial"/>
          <w:sz w:val="24"/>
          <w:szCs w:val="24"/>
          <w:lang w:val="en-US"/>
        </w:rPr>
        <w:t>F</w:t>
      </w:r>
      <w:r w:rsidR="008E022C" w:rsidRPr="007F5A49">
        <w:rPr>
          <w:rFonts w:ascii="Book Antiqua" w:hAnsi="Book Antiqua" w:cs="Arial"/>
          <w:sz w:val="24"/>
          <w:szCs w:val="24"/>
          <w:lang w:val="en-US"/>
        </w:rPr>
        <w:t>enton reaction</w:t>
      </w:r>
      <w:r w:rsidRPr="007F5A49">
        <w:rPr>
          <w:rFonts w:ascii="Book Antiqua" w:hAnsi="Book Antiqua" w:cs="Arial"/>
          <w:sz w:val="24"/>
          <w:szCs w:val="24"/>
          <w:lang w:val="en-US"/>
        </w:rPr>
        <w:t xml:space="preserve">, </w:t>
      </w:r>
      <w:r w:rsidR="00186F37" w:rsidRPr="007F5A49">
        <w:rPr>
          <w:rFonts w:ascii="Book Antiqua" w:hAnsi="Book Antiqua" w:cs="Arial"/>
          <w:sz w:val="24"/>
          <w:szCs w:val="24"/>
          <w:lang w:val="en-US"/>
        </w:rPr>
        <w:t>direct</w:t>
      </w:r>
      <w:r w:rsidRPr="007F5A49">
        <w:rPr>
          <w:rFonts w:ascii="Book Antiqua" w:hAnsi="Book Antiqua" w:cs="Arial"/>
          <w:sz w:val="24"/>
          <w:szCs w:val="24"/>
          <w:lang w:val="en-US"/>
        </w:rPr>
        <w:t xml:space="preserve"> or indirect </w:t>
      </w:r>
      <w:r w:rsidR="008E022C" w:rsidRPr="007F5A49">
        <w:rPr>
          <w:rFonts w:ascii="Book Antiqua" w:hAnsi="Book Antiqua" w:cs="Arial"/>
          <w:sz w:val="24"/>
          <w:szCs w:val="24"/>
          <w:lang w:val="en-US"/>
        </w:rPr>
        <w:t>HSC-activation by iron or iron-related protein-receptor complexes</w:t>
      </w:r>
      <w:r w:rsidR="00611EA0" w:rsidRPr="007F5A49">
        <w:rPr>
          <w:rFonts w:ascii="Book Antiqua" w:hAnsi="Book Antiqua" w:cs="Arial"/>
          <w:sz w:val="24"/>
          <w:szCs w:val="24"/>
          <w:lang w:val="en-US"/>
        </w:rPr>
        <w:t xml:space="preserve">, </w:t>
      </w:r>
      <w:r w:rsidR="00836484" w:rsidRPr="007F5A49">
        <w:rPr>
          <w:rFonts w:ascii="Book Antiqua" w:hAnsi="Book Antiqua" w:cs="Arial"/>
          <w:sz w:val="24"/>
          <w:szCs w:val="24"/>
          <w:lang w:val="en-US"/>
        </w:rPr>
        <w:t xml:space="preserve">iron-induced </w:t>
      </w:r>
      <w:r w:rsidR="00F4260D" w:rsidRPr="007F5A49">
        <w:rPr>
          <w:rFonts w:ascii="Book Antiqua" w:hAnsi="Book Antiqua" w:cs="Arial"/>
          <w:sz w:val="24"/>
          <w:szCs w:val="24"/>
          <w:lang w:val="en-US"/>
        </w:rPr>
        <w:t xml:space="preserve">intercellular interactions that provide an inflammatory milieu, </w:t>
      </w:r>
      <w:r w:rsidR="00967481" w:rsidRPr="007F5A49">
        <w:rPr>
          <w:rFonts w:ascii="Book Antiqua" w:hAnsi="Book Antiqua" w:cs="Arial"/>
          <w:sz w:val="24"/>
          <w:szCs w:val="24"/>
          <w:lang w:val="en-US"/>
        </w:rPr>
        <w:t xml:space="preserve">cross-connection between iron and </w:t>
      </w:r>
      <w:r w:rsidR="008E022C" w:rsidRPr="007F5A49">
        <w:rPr>
          <w:rFonts w:ascii="Book Antiqua" w:hAnsi="Book Antiqua" w:cs="Arial"/>
          <w:sz w:val="24"/>
          <w:szCs w:val="24"/>
          <w:lang w:val="en-US"/>
        </w:rPr>
        <w:t xml:space="preserve">TGF-β </w:t>
      </w:r>
      <w:proofErr w:type="spellStart"/>
      <w:r w:rsidR="008E022C" w:rsidRPr="007F5A49">
        <w:rPr>
          <w:rFonts w:ascii="Book Antiqua" w:hAnsi="Book Antiqua" w:cs="Arial"/>
          <w:sz w:val="24"/>
          <w:szCs w:val="24"/>
          <w:lang w:val="en-US"/>
        </w:rPr>
        <w:t>signalling</w:t>
      </w:r>
      <w:proofErr w:type="spellEnd"/>
      <w:r w:rsidR="00967481" w:rsidRPr="007F5A49">
        <w:rPr>
          <w:rFonts w:ascii="Book Antiqua" w:hAnsi="Book Antiqua" w:cs="Arial"/>
          <w:sz w:val="24"/>
          <w:szCs w:val="24"/>
          <w:lang w:val="en-US"/>
        </w:rPr>
        <w:t xml:space="preserve">, </w:t>
      </w:r>
      <w:r w:rsidR="008E022C" w:rsidRPr="007F5A49">
        <w:rPr>
          <w:rFonts w:ascii="Book Antiqua" w:hAnsi="Book Antiqua" w:cs="Arial"/>
          <w:sz w:val="24"/>
          <w:szCs w:val="24"/>
          <w:lang w:val="en-US"/>
        </w:rPr>
        <w:t xml:space="preserve">and </w:t>
      </w:r>
      <w:r w:rsidR="00733139" w:rsidRPr="007F5A49">
        <w:rPr>
          <w:rFonts w:ascii="Book Antiqua" w:hAnsi="Book Antiqua" w:cs="Arial"/>
          <w:sz w:val="24"/>
          <w:szCs w:val="24"/>
          <w:lang w:val="en-US"/>
        </w:rPr>
        <w:t>a</w:t>
      </w:r>
      <w:r w:rsidR="008E022C" w:rsidRPr="007F5A49">
        <w:rPr>
          <w:rFonts w:ascii="Book Antiqua" w:hAnsi="Book Antiqua" w:cs="Arial"/>
          <w:sz w:val="24"/>
          <w:szCs w:val="24"/>
          <w:lang w:val="en-US"/>
        </w:rPr>
        <w:t xml:space="preserve"> putative role of iron in ECM </w:t>
      </w:r>
      <w:proofErr w:type="spellStart"/>
      <w:r w:rsidR="008E022C" w:rsidRPr="007F5A49">
        <w:rPr>
          <w:rFonts w:ascii="Book Antiqua" w:hAnsi="Book Antiqua" w:cs="Arial"/>
          <w:sz w:val="24"/>
          <w:szCs w:val="24"/>
          <w:lang w:val="en-US"/>
        </w:rPr>
        <w:t>remodelling</w:t>
      </w:r>
      <w:proofErr w:type="spellEnd"/>
      <w:r w:rsidR="008E022C" w:rsidRPr="007F5A49">
        <w:rPr>
          <w:rFonts w:ascii="Book Antiqua" w:hAnsi="Book Antiqua" w:cs="Arial"/>
          <w:sz w:val="24"/>
          <w:szCs w:val="24"/>
          <w:lang w:val="en-US"/>
        </w:rPr>
        <w:t>.</w:t>
      </w:r>
      <w:r w:rsidR="00131685" w:rsidRPr="007F5A49">
        <w:rPr>
          <w:rFonts w:ascii="Book Antiqua" w:hAnsi="Book Antiqua" w:cs="Arial"/>
          <w:sz w:val="24"/>
          <w:szCs w:val="24"/>
          <w:lang w:val="en-US"/>
        </w:rPr>
        <w:t xml:space="preserve"> I</w:t>
      </w:r>
      <w:r w:rsidR="00F4260D" w:rsidRPr="007F5A49">
        <w:rPr>
          <w:rFonts w:ascii="Book Antiqua" w:hAnsi="Book Antiqua" w:cs="Arial"/>
          <w:sz w:val="24"/>
          <w:szCs w:val="24"/>
          <w:lang w:val="en-US"/>
        </w:rPr>
        <w:t>ron-related proteins such as ferr</w:t>
      </w:r>
      <w:r w:rsidR="004122A5" w:rsidRPr="007F5A49">
        <w:rPr>
          <w:rFonts w:ascii="Book Antiqua" w:hAnsi="Book Antiqua" w:cs="Arial"/>
          <w:sz w:val="24"/>
          <w:szCs w:val="24"/>
          <w:lang w:val="en-US"/>
        </w:rPr>
        <w:t>itin</w:t>
      </w:r>
      <w:r w:rsidR="00131685" w:rsidRPr="007F5A49">
        <w:rPr>
          <w:rFonts w:ascii="Book Antiqua" w:hAnsi="Book Antiqua" w:cs="Arial"/>
          <w:sz w:val="24"/>
          <w:szCs w:val="24"/>
          <w:lang w:val="en-US"/>
        </w:rPr>
        <w:t xml:space="preserve">, </w:t>
      </w:r>
      <w:r w:rsidR="004122A5" w:rsidRPr="007F5A49">
        <w:rPr>
          <w:rFonts w:ascii="Book Antiqua" w:hAnsi="Book Antiqua" w:cs="Arial"/>
          <w:sz w:val="24"/>
          <w:szCs w:val="24"/>
          <w:lang w:val="en-US"/>
        </w:rPr>
        <w:t>hepcidin (</w:t>
      </w:r>
      <w:proofErr w:type="spellStart"/>
      <w:r w:rsidR="004122A5" w:rsidRPr="007F5A49">
        <w:rPr>
          <w:rFonts w:ascii="Book Antiqua" w:hAnsi="Book Antiqua" w:cs="Arial"/>
          <w:sz w:val="24"/>
          <w:szCs w:val="24"/>
          <w:lang w:val="en-US"/>
        </w:rPr>
        <w:t>hepcidin:</w:t>
      </w:r>
      <w:r w:rsidR="00F4260D" w:rsidRPr="007F5A49">
        <w:rPr>
          <w:rFonts w:ascii="Book Antiqua" w:hAnsi="Book Antiqua" w:cs="Arial"/>
          <w:sz w:val="24"/>
          <w:szCs w:val="24"/>
          <w:lang w:val="en-US"/>
        </w:rPr>
        <w:t>ferritin</w:t>
      </w:r>
      <w:proofErr w:type="spellEnd"/>
      <w:r w:rsidR="00F4260D" w:rsidRPr="007F5A49">
        <w:rPr>
          <w:rFonts w:ascii="Book Antiqua" w:hAnsi="Book Antiqua" w:cs="Arial"/>
          <w:sz w:val="24"/>
          <w:szCs w:val="24"/>
          <w:lang w:val="en-US"/>
        </w:rPr>
        <w:t xml:space="preserve"> ratio)</w:t>
      </w:r>
      <w:r w:rsidR="00131685" w:rsidRPr="007F5A49">
        <w:rPr>
          <w:rFonts w:ascii="Book Antiqua" w:hAnsi="Book Antiqua" w:cs="Arial"/>
          <w:sz w:val="24"/>
          <w:szCs w:val="24"/>
          <w:lang w:val="en-US"/>
        </w:rPr>
        <w:t xml:space="preserve"> and transferrin have successfully contributed to disease prognosis and acted as markers of fibrosis severity and progression in certain liver pathologies. </w:t>
      </w:r>
      <w:r w:rsidR="00F4260D" w:rsidRPr="007F5A49">
        <w:rPr>
          <w:rFonts w:ascii="Book Antiqua" w:hAnsi="Book Antiqua" w:cs="Arial"/>
          <w:sz w:val="24"/>
          <w:szCs w:val="24"/>
          <w:lang w:val="en-US"/>
        </w:rPr>
        <w:t xml:space="preserve">Presently, there are no approved antifibrotic protocols for </w:t>
      </w:r>
      <w:r w:rsidR="004122A5" w:rsidRPr="007F5A49">
        <w:rPr>
          <w:rFonts w:ascii="Book Antiqua" w:hAnsi="Book Antiqua" w:cs="Arial"/>
          <w:sz w:val="24"/>
          <w:szCs w:val="24"/>
          <w:lang w:val="en-US"/>
        </w:rPr>
        <w:t xml:space="preserve">CLDs </w:t>
      </w:r>
      <w:r w:rsidR="00F4260D" w:rsidRPr="007F5A49">
        <w:rPr>
          <w:rFonts w:ascii="Book Antiqua" w:hAnsi="Book Antiqua" w:cs="Arial"/>
          <w:sz w:val="24"/>
          <w:szCs w:val="24"/>
          <w:lang w:val="en-US"/>
        </w:rPr>
        <w:t xml:space="preserve">with mid-moderate iron-loading. </w:t>
      </w:r>
      <w:r w:rsidR="00131685" w:rsidRPr="007F5A49">
        <w:rPr>
          <w:rFonts w:ascii="Book Antiqua" w:hAnsi="Book Antiqua" w:cs="Arial"/>
          <w:sz w:val="24"/>
          <w:szCs w:val="24"/>
          <w:lang w:val="en-US"/>
        </w:rPr>
        <w:t>Although i</w:t>
      </w:r>
      <w:r w:rsidR="00F4260D" w:rsidRPr="007F5A49">
        <w:rPr>
          <w:rFonts w:ascii="Book Antiqua" w:hAnsi="Book Antiqua" w:cs="Arial"/>
          <w:sz w:val="24"/>
          <w:szCs w:val="24"/>
          <w:lang w:val="en-US"/>
        </w:rPr>
        <w:t>ron-chelation</w:t>
      </w:r>
      <w:r w:rsidR="00131685" w:rsidRPr="007F5A49">
        <w:rPr>
          <w:rFonts w:ascii="Book Antiqua" w:hAnsi="Book Antiqua" w:cs="Arial"/>
          <w:sz w:val="24"/>
          <w:szCs w:val="24"/>
          <w:lang w:val="en-US"/>
        </w:rPr>
        <w:t xml:space="preserve"> and </w:t>
      </w:r>
      <w:r w:rsidR="00F4260D" w:rsidRPr="007F5A49">
        <w:rPr>
          <w:rFonts w:ascii="Book Antiqua" w:hAnsi="Book Antiqua" w:cs="Arial"/>
          <w:sz w:val="24"/>
          <w:szCs w:val="24"/>
          <w:lang w:val="en-US"/>
        </w:rPr>
        <w:t xml:space="preserve">modulation of iron-related proteins </w:t>
      </w:r>
      <w:r w:rsidR="00131685" w:rsidRPr="007F5A49">
        <w:rPr>
          <w:rFonts w:ascii="Book Antiqua" w:hAnsi="Book Antiqua" w:cs="Arial"/>
          <w:sz w:val="24"/>
          <w:szCs w:val="24"/>
          <w:lang w:val="en-US"/>
        </w:rPr>
        <w:t xml:space="preserve">show potential therapeutic </w:t>
      </w:r>
      <w:r w:rsidR="00EE0701" w:rsidRPr="007F5A49">
        <w:rPr>
          <w:rFonts w:ascii="Book Antiqua" w:hAnsi="Book Antiqua" w:cs="Arial"/>
          <w:sz w:val="24"/>
          <w:szCs w:val="24"/>
          <w:lang w:val="en-US"/>
        </w:rPr>
        <w:t>benefits</w:t>
      </w:r>
      <w:r w:rsidR="00131685" w:rsidRPr="007F5A49">
        <w:rPr>
          <w:rFonts w:ascii="Book Antiqua" w:hAnsi="Book Antiqua" w:cs="Arial"/>
          <w:sz w:val="24"/>
          <w:szCs w:val="24"/>
          <w:lang w:val="en-US"/>
        </w:rPr>
        <w:t xml:space="preserve">, these </w:t>
      </w:r>
      <w:r w:rsidR="00F4260D" w:rsidRPr="007F5A49">
        <w:rPr>
          <w:rFonts w:ascii="Book Antiqua" w:hAnsi="Book Antiqua" w:cs="Arial"/>
          <w:sz w:val="24"/>
          <w:szCs w:val="24"/>
          <w:lang w:val="en-US"/>
        </w:rPr>
        <w:t>need to be tested rigorously in clinical trials before drawing definitive conclusions on their anti-fibrotic effects.</w:t>
      </w:r>
      <w:r w:rsidR="00131685" w:rsidRPr="007F5A49">
        <w:rPr>
          <w:rFonts w:ascii="Book Antiqua" w:hAnsi="Book Antiqua" w:cs="Arial"/>
          <w:sz w:val="24"/>
          <w:szCs w:val="24"/>
          <w:lang w:val="en-US"/>
        </w:rPr>
        <w:t xml:space="preserve"> </w:t>
      </w:r>
      <w:r w:rsidR="004122A5" w:rsidRPr="007F5A49">
        <w:rPr>
          <w:rFonts w:ascii="Book Antiqua" w:hAnsi="Book Antiqua" w:cs="Arial"/>
          <w:sz w:val="24"/>
          <w:szCs w:val="24"/>
          <w:lang w:val="en-US"/>
        </w:rPr>
        <w:t>The</w:t>
      </w:r>
      <w:r w:rsidR="00131685" w:rsidRPr="007F5A49">
        <w:rPr>
          <w:rFonts w:ascii="Book Antiqua" w:hAnsi="Book Antiqua" w:cs="Arial"/>
          <w:sz w:val="24"/>
          <w:szCs w:val="24"/>
          <w:lang w:val="en-US"/>
        </w:rPr>
        <w:t xml:space="preserve"> </w:t>
      </w:r>
      <w:r w:rsidR="005F5564" w:rsidRPr="007F5A49">
        <w:rPr>
          <w:rFonts w:ascii="Book Antiqua" w:hAnsi="Book Antiqua" w:cs="Arial"/>
          <w:sz w:val="24"/>
          <w:szCs w:val="24"/>
          <w:lang w:val="en-US"/>
        </w:rPr>
        <w:t>aim</w:t>
      </w:r>
      <w:r w:rsidR="004122A5" w:rsidRPr="007F5A49">
        <w:rPr>
          <w:rFonts w:ascii="Book Antiqua" w:hAnsi="Book Antiqua" w:cs="Arial"/>
          <w:sz w:val="24"/>
          <w:szCs w:val="24"/>
          <w:lang w:val="en-US"/>
        </w:rPr>
        <w:t xml:space="preserve"> would be to design </w:t>
      </w:r>
      <w:r w:rsidR="00B85F82" w:rsidRPr="007F5A49">
        <w:rPr>
          <w:rFonts w:ascii="Book Antiqua" w:hAnsi="Book Antiqua" w:cs="Arial"/>
          <w:sz w:val="24"/>
          <w:szCs w:val="24"/>
          <w:lang w:val="en-US"/>
        </w:rPr>
        <w:t xml:space="preserve">adjunctive </w:t>
      </w:r>
      <w:r w:rsidR="00611EA0" w:rsidRPr="007F5A49">
        <w:rPr>
          <w:rFonts w:ascii="Book Antiqua" w:hAnsi="Book Antiqua" w:cs="Arial"/>
          <w:sz w:val="24"/>
          <w:szCs w:val="24"/>
          <w:lang w:val="en-US"/>
        </w:rPr>
        <w:lastRenderedPageBreak/>
        <w:t xml:space="preserve">strategies to halt, decelerate and/or reverse fibrosis progression, before it reaches the irreversible stages of advanced cirrhosis and hepatocellular carcinoma. </w:t>
      </w:r>
    </w:p>
    <w:p w14:paraId="1539284D" w14:textId="77777777" w:rsidR="00252606" w:rsidRDefault="00252606">
      <w:pPr>
        <w:rPr>
          <w:rFonts w:ascii="Book Antiqua" w:hAnsi="Book Antiqua" w:cs="Arial"/>
          <w:b/>
          <w:sz w:val="24"/>
          <w:szCs w:val="24"/>
          <w:lang w:val="en-US"/>
        </w:rPr>
      </w:pPr>
      <w:r>
        <w:rPr>
          <w:rFonts w:ascii="Book Antiqua" w:hAnsi="Book Antiqua" w:cs="Arial"/>
          <w:b/>
          <w:sz w:val="24"/>
          <w:szCs w:val="24"/>
          <w:lang w:val="en-US"/>
        </w:rPr>
        <w:br w:type="page"/>
      </w:r>
    </w:p>
    <w:p w14:paraId="6100ECFA" w14:textId="58D241F5" w:rsidR="00E946DC" w:rsidRPr="007F5A49" w:rsidRDefault="00CF46AE" w:rsidP="008E1EBB">
      <w:pPr>
        <w:adjustRightInd w:val="0"/>
        <w:snapToGrid w:val="0"/>
        <w:spacing w:after="0" w:line="360" w:lineRule="auto"/>
        <w:jc w:val="both"/>
        <w:outlineLvl w:val="0"/>
        <w:rPr>
          <w:rFonts w:ascii="Book Antiqua" w:hAnsi="Book Antiqua" w:cs="Arial"/>
          <w:b/>
          <w:sz w:val="24"/>
          <w:szCs w:val="24"/>
          <w:lang w:val="en-US"/>
        </w:rPr>
      </w:pPr>
      <w:r w:rsidRPr="007F5A49">
        <w:rPr>
          <w:rFonts w:ascii="Book Antiqua" w:hAnsi="Book Antiqua" w:cs="Arial"/>
          <w:b/>
          <w:sz w:val="24"/>
          <w:szCs w:val="24"/>
          <w:lang w:val="en-US"/>
        </w:rPr>
        <w:lastRenderedPageBreak/>
        <w:t xml:space="preserve">REFERENCES </w:t>
      </w:r>
    </w:p>
    <w:p w14:paraId="457A1DE9" w14:textId="77777777" w:rsidR="001B167E" w:rsidRPr="001B167E" w:rsidRDefault="00E946DC" w:rsidP="001B167E">
      <w:pPr>
        <w:adjustRightInd w:val="0"/>
        <w:snapToGrid w:val="0"/>
        <w:spacing w:after="0" w:line="360" w:lineRule="auto"/>
        <w:jc w:val="both"/>
        <w:rPr>
          <w:rFonts w:ascii="Book Antiqua" w:hAnsi="Book Antiqua"/>
          <w:sz w:val="24"/>
          <w:szCs w:val="24"/>
          <w:lang w:val="en-US"/>
        </w:rPr>
      </w:pPr>
      <w:r w:rsidRPr="007F5A49">
        <w:rPr>
          <w:rFonts w:ascii="Book Antiqua" w:hAnsi="Book Antiqua" w:cs="Arial"/>
          <w:sz w:val="24"/>
          <w:szCs w:val="24"/>
          <w:lang w:val="en-US"/>
        </w:rPr>
        <w:fldChar w:fldCharType="begin"/>
      </w:r>
      <w:r w:rsidR="00D2645C" w:rsidRPr="007F5A49">
        <w:rPr>
          <w:rFonts w:ascii="Book Antiqua" w:hAnsi="Book Antiqua" w:cs="Arial"/>
          <w:sz w:val="24"/>
          <w:szCs w:val="24"/>
          <w:lang w:val="en-US"/>
        </w:rPr>
        <w:instrText xml:space="preserve"> ADDIN ZOTERO_BIBL {"uncited":[],"omitted":[],"custom":[]} CSL_BIBLIOGRAPHY </w:instrText>
      </w:r>
      <w:r w:rsidRPr="007F5A49">
        <w:rPr>
          <w:rFonts w:ascii="Book Antiqua" w:hAnsi="Book Antiqua" w:cs="Arial"/>
          <w:sz w:val="24"/>
          <w:szCs w:val="24"/>
          <w:lang w:val="en-US"/>
        </w:rPr>
        <w:fldChar w:fldCharType="separate"/>
      </w:r>
      <w:r w:rsidR="001B167E" w:rsidRPr="001B167E">
        <w:rPr>
          <w:rFonts w:ascii="Book Antiqua" w:hAnsi="Book Antiqua"/>
          <w:sz w:val="24"/>
          <w:szCs w:val="24"/>
          <w:lang w:val="en-US"/>
        </w:rPr>
        <w:t>1 </w:t>
      </w:r>
      <w:r w:rsidR="001B167E" w:rsidRPr="001B167E">
        <w:rPr>
          <w:rFonts w:ascii="Book Antiqua" w:hAnsi="Book Antiqua"/>
          <w:b/>
          <w:bCs/>
          <w:sz w:val="24"/>
          <w:szCs w:val="24"/>
          <w:lang w:val="en-US"/>
        </w:rPr>
        <w:t>Lee UE</w:t>
      </w:r>
      <w:r w:rsidR="001B167E" w:rsidRPr="001B167E">
        <w:rPr>
          <w:rFonts w:ascii="Book Antiqua" w:hAnsi="Book Antiqua"/>
          <w:sz w:val="24"/>
          <w:szCs w:val="24"/>
          <w:lang w:val="en-US"/>
        </w:rPr>
        <w:t>, Friedman SL. Mechanisms of hepatic fibrogenesis. </w:t>
      </w:r>
      <w:r w:rsidR="001B167E" w:rsidRPr="001B167E">
        <w:rPr>
          <w:rFonts w:ascii="Book Antiqua" w:hAnsi="Book Antiqua"/>
          <w:i/>
          <w:iCs/>
          <w:sz w:val="24"/>
          <w:szCs w:val="24"/>
          <w:lang w:val="en-US"/>
        </w:rPr>
        <w:t>Best Pract Res Clin Gastroenterol</w:t>
      </w:r>
      <w:r w:rsidR="001B167E" w:rsidRPr="001B167E">
        <w:rPr>
          <w:rFonts w:ascii="Book Antiqua" w:hAnsi="Book Antiqua"/>
          <w:sz w:val="24"/>
          <w:szCs w:val="24"/>
          <w:lang w:val="en-US"/>
        </w:rPr>
        <w:t> 2011; </w:t>
      </w:r>
      <w:r w:rsidR="001B167E" w:rsidRPr="001B167E">
        <w:rPr>
          <w:rFonts w:ascii="Book Antiqua" w:hAnsi="Book Antiqua"/>
          <w:b/>
          <w:bCs/>
          <w:sz w:val="24"/>
          <w:szCs w:val="24"/>
          <w:lang w:val="en-US"/>
        </w:rPr>
        <w:t>25</w:t>
      </w:r>
      <w:r w:rsidR="001B167E" w:rsidRPr="001B167E">
        <w:rPr>
          <w:rFonts w:ascii="Book Antiqua" w:hAnsi="Book Antiqua"/>
          <w:sz w:val="24"/>
          <w:szCs w:val="24"/>
          <w:lang w:val="en-US"/>
        </w:rPr>
        <w:t>: 195-206 [PMID: 21497738 DOI: 10.1016/j.bpg.2011.02.005]</w:t>
      </w:r>
    </w:p>
    <w:p w14:paraId="78DA5905"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627594">
        <w:rPr>
          <w:rFonts w:ascii="Book Antiqua" w:hAnsi="Book Antiqua"/>
          <w:sz w:val="24"/>
          <w:szCs w:val="24"/>
          <w:lang w:val="en-US"/>
        </w:rPr>
        <w:t>2 </w:t>
      </w:r>
      <w:r w:rsidRPr="00627594">
        <w:rPr>
          <w:rFonts w:ascii="Book Antiqua" w:hAnsi="Book Antiqua"/>
          <w:b/>
          <w:bCs/>
          <w:sz w:val="24"/>
          <w:szCs w:val="24"/>
          <w:lang w:val="en-US"/>
        </w:rPr>
        <w:t>Kowdley KV</w:t>
      </w:r>
      <w:r w:rsidRPr="00627594">
        <w:rPr>
          <w:rFonts w:ascii="Book Antiqua" w:hAnsi="Book Antiqua"/>
          <w:sz w:val="24"/>
          <w:szCs w:val="24"/>
          <w:lang w:val="en-US"/>
        </w:rPr>
        <w:t>. Iron Overload in Patients With Chronic Liver Disease. </w:t>
      </w:r>
      <w:r w:rsidRPr="00627594">
        <w:rPr>
          <w:rFonts w:ascii="Book Antiqua" w:hAnsi="Book Antiqua"/>
          <w:i/>
          <w:iCs/>
          <w:sz w:val="24"/>
          <w:szCs w:val="24"/>
          <w:lang w:val="en-US"/>
        </w:rPr>
        <w:t>Gastroenterol Hepatol (N Y)</w:t>
      </w:r>
      <w:r w:rsidRPr="00627594">
        <w:rPr>
          <w:rFonts w:ascii="Book Antiqua" w:hAnsi="Book Antiqua"/>
          <w:sz w:val="24"/>
          <w:szCs w:val="24"/>
          <w:lang w:val="en-US"/>
        </w:rPr>
        <w:t> 2016; </w:t>
      </w:r>
      <w:r w:rsidRPr="00627594">
        <w:rPr>
          <w:rFonts w:ascii="Book Antiqua" w:hAnsi="Book Antiqua"/>
          <w:b/>
          <w:bCs/>
          <w:sz w:val="24"/>
          <w:szCs w:val="24"/>
          <w:lang w:val="en-US"/>
        </w:rPr>
        <w:t>12</w:t>
      </w:r>
      <w:r w:rsidRPr="00627594">
        <w:rPr>
          <w:rFonts w:ascii="Book Antiqua" w:hAnsi="Book Antiqua"/>
          <w:sz w:val="24"/>
          <w:szCs w:val="24"/>
          <w:lang w:val="en-US"/>
        </w:rPr>
        <w:t>: 695-698 [PMID: 28035198]</w:t>
      </w:r>
    </w:p>
    <w:p w14:paraId="6B960BCD"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3 </w:t>
      </w:r>
      <w:r w:rsidRPr="001B167E">
        <w:rPr>
          <w:rFonts w:ascii="Book Antiqua" w:hAnsi="Book Antiqua"/>
          <w:b/>
          <w:bCs/>
          <w:sz w:val="24"/>
          <w:szCs w:val="24"/>
          <w:lang w:val="en-US"/>
        </w:rPr>
        <w:t>Sharp P</w:t>
      </w:r>
      <w:r w:rsidRPr="001B167E">
        <w:rPr>
          <w:rFonts w:ascii="Book Antiqua" w:hAnsi="Book Antiqua"/>
          <w:sz w:val="24"/>
          <w:szCs w:val="24"/>
          <w:lang w:val="en-US"/>
        </w:rPr>
        <w:t>, Srai SK. Molecular mechanisms involved in intestinal iron absorption. </w:t>
      </w:r>
      <w:r w:rsidRPr="001B167E">
        <w:rPr>
          <w:rFonts w:ascii="Book Antiqua" w:hAnsi="Book Antiqua"/>
          <w:i/>
          <w:iCs/>
          <w:sz w:val="24"/>
          <w:szCs w:val="24"/>
          <w:lang w:val="en-US"/>
        </w:rPr>
        <w:t>World J Gastroenterol</w:t>
      </w:r>
      <w:r w:rsidRPr="001B167E">
        <w:rPr>
          <w:rFonts w:ascii="Book Antiqua" w:hAnsi="Book Antiqua"/>
          <w:sz w:val="24"/>
          <w:szCs w:val="24"/>
          <w:lang w:val="en-US"/>
        </w:rPr>
        <w:t> 2007; </w:t>
      </w:r>
      <w:r w:rsidRPr="001B167E">
        <w:rPr>
          <w:rFonts w:ascii="Book Antiqua" w:hAnsi="Book Antiqua"/>
          <w:b/>
          <w:bCs/>
          <w:sz w:val="24"/>
          <w:szCs w:val="24"/>
          <w:lang w:val="en-US"/>
        </w:rPr>
        <w:t>13</w:t>
      </w:r>
      <w:r w:rsidRPr="001B167E">
        <w:rPr>
          <w:rFonts w:ascii="Book Antiqua" w:hAnsi="Book Antiqua"/>
          <w:sz w:val="24"/>
          <w:szCs w:val="24"/>
          <w:lang w:val="en-US"/>
        </w:rPr>
        <w:t>: 4716-4724 [PMID: 17729393 DOI: 10.3748/wjg.v13.i35.4716]</w:t>
      </w:r>
    </w:p>
    <w:p w14:paraId="764FA264"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4 </w:t>
      </w:r>
      <w:r w:rsidRPr="001B167E">
        <w:rPr>
          <w:rFonts w:ascii="Book Antiqua" w:hAnsi="Book Antiqua"/>
          <w:b/>
          <w:bCs/>
          <w:sz w:val="24"/>
          <w:szCs w:val="24"/>
          <w:lang w:val="en-US"/>
        </w:rPr>
        <w:t>Pigeon C</w:t>
      </w:r>
      <w:r w:rsidRPr="001B167E">
        <w:rPr>
          <w:rFonts w:ascii="Book Antiqua" w:hAnsi="Book Antiqua"/>
          <w:sz w:val="24"/>
          <w:szCs w:val="24"/>
          <w:lang w:val="en-US"/>
        </w:rPr>
        <w:t>, Ilyin G, Courselaud B, Leroyer P, Turlin B, Brissot P, Loréal O. A new mouse liver-specific gene, encoding a protein homologous to human antimicrobial peptide hepcidin, is overexpressed during iron overload. </w:t>
      </w:r>
      <w:r w:rsidRPr="001B167E">
        <w:rPr>
          <w:rFonts w:ascii="Book Antiqua" w:hAnsi="Book Antiqua"/>
          <w:i/>
          <w:iCs/>
          <w:sz w:val="24"/>
          <w:szCs w:val="24"/>
          <w:lang w:val="en-US"/>
        </w:rPr>
        <w:t>J Biol Chem</w:t>
      </w:r>
      <w:r w:rsidRPr="001B167E">
        <w:rPr>
          <w:rFonts w:ascii="Book Antiqua" w:hAnsi="Book Antiqua"/>
          <w:sz w:val="24"/>
          <w:szCs w:val="24"/>
          <w:lang w:val="en-US"/>
        </w:rPr>
        <w:t> 2001; </w:t>
      </w:r>
      <w:r w:rsidRPr="001B167E">
        <w:rPr>
          <w:rFonts w:ascii="Book Antiqua" w:hAnsi="Book Antiqua"/>
          <w:b/>
          <w:bCs/>
          <w:sz w:val="24"/>
          <w:szCs w:val="24"/>
          <w:lang w:val="en-US"/>
        </w:rPr>
        <w:t>276</w:t>
      </w:r>
      <w:r w:rsidRPr="001B167E">
        <w:rPr>
          <w:rFonts w:ascii="Book Antiqua" w:hAnsi="Book Antiqua"/>
          <w:sz w:val="24"/>
          <w:szCs w:val="24"/>
          <w:lang w:val="en-US"/>
        </w:rPr>
        <w:t>: 7811-7819 [PMID: 11113132 DOI: 10.1074/jbc.M008923200]</w:t>
      </w:r>
    </w:p>
    <w:p w14:paraId="6815DE52"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5 </w:t>
      </w:r>
      <w:r w:rsidRPr="001B167E">
        <w:rPr>
          <w:rFonts w:ascii="Book Antiqua" w:hAnsi="Book Antiqua"/>
          <w:b/>
          <w:bCs/>
          <w:sz w:val="24"/>
          <w:szCs w:val="24"/>
          <w:lang w:val="en-US"/>
        </w:rPr>
        <w:t>Nemeth E</w:t>
      </w:r>
      <w:r w:rsidRPr="001B167E">
        <w:rPr>
          <w:rFonts w:ascii="Book Antiqua" w:hAnsi="Book Antiqua"/>
          <w:sz w:val="24"/>
          <w:szCs w:val="24"/>
          <w:lang w:val="en-US"/>
        </w:rPr>
        <w:t>, Tuttle MS, Powelson J, Vaughn MB, Donovan A, Ward DM, Ganz T, Kaplan J. Hepcidin regulates cellular iron efflux by binding to ferroportin and inducing its internalization. </w:t>
      </w:r>
      <w:r w:rsidRPr="001B167E">
        <w:rPr>
          <w:rFonts w:ascii="Book Antiqua" w:hAnsi="Book Antiqua"/>
          <w:i/>
          <w:iCs/>
          <w:sz w:val="24"/>
          <w:szCs w:val="24"/>
          <w:lang w:val="en-US"/>
        </w:rPr>
        <w:t>Science</w:t>
      </w:r>
      <w:r w:rsidRPr="001B167E">
        <w:rPr>
          <w:rFonts w:ascii="Book Antiqua" w:hAnsi="Book Antiqua"/>
          <w:sz w:val="24"/>
          <w:szCs w:val="24"/>
          <w:lang w:val="en-US"/>
        </w:rPr>
        <w:t> 2004; </w:t>
      </w:r>
      <w:r w:rsidRPr="001B167E">
        <w:rPr>
          <w:rFonts w:ascii="Book Antiqua" w:hAnsi="Book Antiqua"/>
          <w:b/>
          <w:bCs/>
          <w:sz w:val="24"/>
          <w:szCs w:val="24"/>
          <w:lang w:val="en-US"/>
        </w:rPr>
        <w:t>306</w:t>
      </w:r>
      <w:r w:rsidRPr="001B167E">
        <w:rPr>
          <w:rFonts w:ascii="Book Antiqua" w:hAnsi="Book Antiqua"/>
          <w:sz w:val="24"/>
          <w:szCs w:val="24"/>
          <w:lang w:val="en-US"/>
        </w:rPr>
        <w:t>: 2090-2093 [PMID: 15514116 DOI: 10.1126/science.1104742]</w:t>
      </w:r>
    </w:p>
    <w:p w14:paraId="29FEE3B4"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6 </w:t>
      </w:r>
      <w:r w:rsidRPr="001B167E">
        <w:rPr>
          <w:rFonts w:ascii="Book Antiqua" w:hAnsi="Book Antiqua"/>
          <w:b/>
          <w:bCs/>
          <w:sz w:val="24"/>
          <w:szCs w:val="24"/>
          <w:lang w:val="en-US"/>
        </w:rPr>
        <w:t>Brasse-Lagnel C</w:t>
      </w:r>
      <w:r w:rsidRPr="001B167E">
        <w:rPr>
          <w:rFonts w:ascii="Book Antiqua" w:hAnsi="Book Antiqua"/>
          <w:sz w:val="24"/>
          <w:szCs w:val="24"/>
          <w:lang w:val="en-US"/>
        </w:rPr>
        <w:t>, Karim Z, Letteron P, Bekri S, Bado A, Beaumont C. Intestinal DMT1 cotransporter is down-regulated by hepcidin via proteasome internalization and degradation. </w:t>
      </w:r>
      <w:r w:rsidRPr="001B167E">
        <w:rPr>
          <w:rFonts w:ascii="Book Antiqua" w:hAnsi="Book Antiqua"/>
          <w:i/>
          <w:iCs/>
          <w:sz w:val="24"/>
          <w:szCs w:val="24"/>
          <w:lang w:val="en-US"/>
        </w:rPr>
        <w:t>Gastroenterology</w:t>
      </w:r>
      <w:r w:rsidRPr="001B167E">
        <w:rPr>
          <w:rFonts w:ascii="Book Antiqua" w:hAnsi="Book Antiqua"/>
          <w:sz w:val="24"/>
          <w:szCs w:val="24"/>
          <w:lang w:val="en-US"/>
        </w:rPr>
        <w:t> 2011; </w:t>
      </w:r>
      <w:r w:rsidRPr="001B167E">
        <w:rPr>
          <w:rFonts w:ascii="Book Antiqua" w:hAnsi="Book Antiqua"/>
          <w:b/>
          <w:bCs/>
          <w:sz w:val="24"/>
          <w:szCs w:val="24"/>
          <w:lang w:val="en-US"/>
        </w:rPr>
        <w:t>140</w:t>
      </w:r>
      <w:r w:rsidRPr="001B167E">
        <w:rPr>
          <w:rFonts w:ascii="Book Antiqua" w:hAnsi="Book Antiqua"/>
          <w:sz w:val="24"/>
          <w:szCs w:val="24"/>
          <w:lang w:val="en-US"/>
        </w:rPr>
        <w:t>: 1261-1271.e1 [PMID: 21199652 DOI: 10.1053/j.gastro.2010.12.037]</w:t>
      </w:r>
    </w:p>
    <w:p w14:paraId="32724A28"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7 </w:t>
      </w:r>
      <w:r w:rsidRPr="001B167E">
        <w:rPr>
          <w:rFonts w:ascii="Book Antiqua" w:hAnsi="Book Antiqua"/>
          <w:b/>
          <w:bCs/>
          <w:sz w:val="24"/>
          <w:szCs w:val="24"/>
          <w:lang w:val="en-US"/>
        </w:rPr>
        <w:t>Pietrangelo A</w:t>
      </w:r>
      <w:r w:rsidRPr="001B167E">
        <w:rPr>
          <w:rFonts w:ascii="Book Antiqua" w:hAnsi="Book Antiqua"/>
          <w:sz w:val="24"/>
          <w:szCs w:val="24"/>
          <w:lang w:val="en-US"/>
        </w:rPr>
        <w:t>. Iron and the liver. </w:t>
      </w:r>
      <w:r w:rsidRPr="001B167E">
        <w:rPr>
          <w:rFonts w:ascii="Book Antiqua" w:hAnsi="Book Antiqua"/>
          <w:i/>
          <w:iCs/>
          <w:sz w:val="24"/>
          <w:szCs w:val="24"/>
          <w:lang w:val="en-US"/>
        </w:rPr>
        <w:t>Liver Int</w:t>
      </w:r>
      <w:r w:rsidRPr="001B167E">
        <w:rPr>
          <w:rFonts w:ascii="Book Antiqua" w:hAnsi="Book Antiqua"/>
          <w:sz w:val="24"/>
          <w:szCs w:val="24"/>
          <w:lang w:val="en-US"/>
        </w:rPr>
        <w:t> 2016; </w:t>
      </w:r>
      <w:r w:rsidRPr="001B167E">
        <w:rPr>
          <w:rFonts w:ascii="Book Antiqua" w:hAnsi="Book Antiqua"/>
          <w:b/>
          <w:bCs/>
          <w:sz w:val="24"/>
          <w:szCs w:val="24"/>
          <w:lang w:val="en-US"/>
        </w:rPr>
        <w:t xml:space="preserve">36 </w:t>
      </w:r>
      <w:r w:rsidRPr="00D778E4">
        <w:rPr>
          <w:rFonts w:ascii="Book Antiqua" w:hAnsi="Book Antiqua"/>
          <w:bCs/>
          <w:sz w:val="24"/>
          <w:szCs w:val="24"/>
          <w:lang w:val="en-US"/>
        </w:rPr>
        <w:t>Suppl 1</w:t>
      </w:r>
      <w:r w:rsidRPr="001B167E">
        <w:rPr>
          <w:rFonts w:ascii="Book Antiqua" w:hAnsi="Book Antiqua"/>
          <w:sz w:val="24"/>
          <w:szCs w:val="24"/>
          <w:lang w:val="en-US"/>
        </w:rPr>
        <w:t>: 116-123 [PMID: 26725908 DOI: 10.1111/liv.13020]</w:t>
      </w:r>
    </w:p>
    <w:p w14:paraId="6593AB3C"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8 </w:t>
      </w:r>
      <w:r w:rsidRPr="001B167E">
        <w:rPr>
          <w:rFonts w:ascii="Book Antiqua" w:hAnsi="Book Antiqua"/>
          <w:b/>
          <w:bCs/>
          <w:sz w:val="24"/>
          <w:szCs w:val="24"/>
          <w:lang w:val="en-US"/>
        </w:rPr>
        <w:t>Senoo H</w:t>
      </w:r>
      <w:r w:rsidRPr="001B167E">
        <w:rPr>
          <w:rFonts w:ascii="Book Antiqua" w:hAnsi="Book Antiqua"/>
          <w:sz w:val="24"/>
          <w:szCs w:val="24"/>
          <w:lang w:val="en-US"/>
        </w:rPr>
        <w:t>, Yoshikawa K, Morii M, Miura M, Imai K, Mezaki Y. Hepatic stellate cell (vitamin A-storing cell) and its relative--past, present and future. </w:t>
      </w:r>
      <w:r w:rsidRPr="001B167E">
        <w:rPr>
          <w:rFonts w:ascii="Book Antiqua" w:hAnsi="Book Antiqua"/>
          <w:i/>
          <w:iCs/>
          <w:sz w:val="24"/>
          <w:szCs w:val="24"/>
          <w:lang w:val="en-US"/>
        </w:rPr>
        <w:t>Cell Biol Int</w:t>
      </w:r>
      <w:r w:rsidRPr="001B167E">
        <w:rPr>
          <w:rFonts w:ascii="Book Antiqua" w:hAnsi="Book Antiqua"/>
          <w:sz w:val="24"/>
          <w:szCs w:val="24"/>
          <w:lang w:val="en-US"/>
        </w:rPr>
        <w:t> 2010; </w:t>
      </w:r>
      <w:r w:rsidRPr="001B167E">
        <w:rPr>
          <w:rFonts w:ascii="Book Antiqua" w:hAnsi="Book Antiqua"/>
          <w:b/>
          <w:bCs/>
          <w:sz w:val="24"/>
          <w:szCs w:val="24"/>
          <w:lang w:val="en-US"/>
        </w:rPr>
        <w:t>34</w:t>
      </w:r>
      <w:r w:rsidRPr="001B167E">
        <w:rPr>
          <w:rFonts w:ascii="Book Antiqua" w:hAnsi="Book Antiqua"/>
          <w:sz w:val="24"/>
          <w:szCs w:val="24"/>
          <w:lang w:val="en-US"/>
        </w:rPr>
        <w:t>: 1247-1272 [PMID: 21067523 DOI: 10.1042/CBI20100321]</w:t>
      </w:r>
    </w:p>
    <w:p w14:paraId="6D1CFA4E"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9 </w:t>
      </w:r>
      <w:r w:rsidRPr="001B167E">
        <w:rPr>
          <w:rFonts w:ascii="Book Antiqua" w:hAnsi="Book Antiqua"/>
          <w:b/>
          <w:bCs/>
          <w:sz w:val="24"/>
          <w:szCs w:val="24"/>
          <w:lang w:val="en-US"/>
        </w:rPr>
        <w:t>Massagué J</w:t>
      </w:r>
      <w:r w:rsidRPr="001B167E">
        <w:rPr>
          <w:rFonts w:ascii="Book Antiqua" w:hAnsi="Book Antiqua"/>
          <w:sz w:val="24"/>
          <w:szCs w:val="24"/>
          <w:lang w:val="en-US"/>
        </w:rPr>
        <w:t>. TGFβ signalling in context. </w:t>
      </w:r>
      <w:r w:rsidRPr="001B167E">
        <w:rPr>
          <w:rFonts w:ascii="Book Antiqua" w:hAnsi="Book Antiqua"/>
          <w:i/>
          <w:iCs/>
          <w:sz w:val="24"/>
          <w:szCs w:val="24"/>
          <w:lang w:val="en-US"/>
        </w:rPr>
        <w:t>Nat Rev Mol Cell Biol</w:t>
      </w:r>
      <w:r w:rsidRPr="001B167E">
        <w:rPr>
          <w:rFonts w:ascii="Book Antiqua" w:hAnsi="Book Antiqua"/>
          <w:sz w:val="24"/>
          <w:szCs w:val="24"/>
          <w:lang w:val="en-US"/>
        </w:rPr>
        <w:t> 2012; </w:t>
      </w:r>
      <w:r w:rsidRPr="001B167E">
        <w:rPr>
          <w:rFonts w:ascii="Book Antiqua" w:hAnsi="Book Antiqua"/>
          <w:b/>
          <w:bCs/>
          <w:sz w:val="24"/>
          <w:szCs w:val="24"/>
          <w:lang w:val="en-US"/>
        </w:rPr>
        <w:t>13</w:t>
      </w:r>
      <w:r w:rsidRPr="001B167E">
        <w:rPr>
          <w:rFonts w:ascii="Book Antiqua" w:hAnsi="Book Antiqua"/>
          <w:sz w:val="24"/>
          <w:szCs w:val="24"/>
          <w:lang w:val="en-US"/>
        </w:rPr>
        <w:t>: 616-630 [PMID: 22992590 DOI: 10.1038/nrm3434]</w:t>
      </w:r>
    </w:p>
    <w:p w14:paraId="0BBB768E"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10 </w:t>
      </w:r>
      <w:r w:rsidRPr="001B167E">
        <w:rPr>
          <w:rFonts w:ascii="Book Antiqua" w:hAnsi="Book Antiqua"/>
          <w:b/>
          <w:bCs/>
          <w:sz w:val="24"/>
          <w:szCs w:val="24"/>
          <w:lang w:val="en-US"/>
        </w:rPr>
        <w:t>Bataller R</w:t>
      </w:r>
      <w:r w:rsidRPr="001B167E">
        <w:rPr>
          <w:rFonts w:ascii="Book Antiqua" w:hAnsi="Book Antiqua"/>
          <w:sz w:val="24"/>
          <w:szCs w:val="24"/>
          <w:lang w:val="en-US"/>
        </w:rPr>
        <w:t>, Brenner DA. Liver fibrosis. </w:t>
      </w:r>
      <w:r w:rsidRPr="001B167E">
        <w:rPr>
          <w:rFonts w:ascii="Book Antiqua" w:hAnsi="Book Antiqua"/>
          <w:i/>
          <w:iCs/>
          <w:sz w:val="24"/>
          <w:szCs w:val="24"/>
          <w:lang w:val="en-US"/>
        </w:rPr>
        <w:t>J Clin Invest</w:t>
      </w:r>
      <w:r w:rsidRPr="001B167E">
        <w:rPr>
          <w:rFonts w:ascii="Book Antiqua" w:hAnsi="Book Antiqua"/>
          <w:sz w:val="24"/>
          <w:szCs w:val="24"/>
          <w:lang w:val="en-US"/>
        </w:rPr>
        <w:t> 2005; </w:t>
      </w:r>
      <w:r w:rsidRPr="001B167E">
        <w:rPr>
          <w:rFonts w:ascii="Book Antiqua" w:hAnsi="Book Antiqua"/>
          <w:b/>
          <w:bCs/>
          <w:sz w:val="24"/>
          <w:szCs w:val="24"/>
          <w:lang w:val="en-US"/>
        </w:rPr>
        <w:t>115</w:t>
      </w:r>
      <w:r w:rsidRPr="001B167E">
        <w:rPr>
          <w:rFonts w:ascii="Book Antiqua" w:hAnsi="Book Antiqua"/>
          <w:sz w:val="24"/>
          <w:szCs w:val="24"/>
          <w:lang w:val="en-US"/>
        </w:rPr>
        <w:t>: 209-218 [PMID: 15690074 DOI: 10.1172/JCI24282]</w:t>
      </w:r>
    </w:p>
    <w:p w14:paraId="31BFCE93"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11 </w:t>
      </w:r>
      <w:r w:rsidRPr="001B167E">
        <w:rPr>
          <w:rFonts w:ascii="Book Antiqua" w:hAnsi="Book Antiqua"/>
          <w:b/>
          <w:bCs/>
          <w:sz w:val="24"/>
          <w:szCs w:val="24"/>
          <w:lang w:val="en-US"/>
        </w:rPr>
        <w:t>Wells RG</w:t>
      </w:r>
      <w:r w:rsidRPr="001B167E">
        <w:rPr>
          <w:rFonts w:ascii="Book Antiqua" w:hAnsi="Book Antiqua"/>
          <w:sz w:val="24"/>
          <w:szCs w:val="24"/>
          <w:lang w:val="en-US"/>
        </w:rPr>
        <w:t>. Cellular sources of extracellular matrix in hepatic fibrosis. </w:t>
      </w:r>
      <w:r w:rsidRPr="001B167E">
        <w:rPr>
          <w:rFonts w:ascii="Book Antiqua" w:hAnsi="Book Antiqua"/>
          <w:i/>
          <w:iCs/>
          <w:sz w:val="24"/>
          <w:szCs w:val="24"/>
          <w:lang w:val="en-US"/>
        </w:rPr>
        <w:t>Clin Liver Dis</w:t>
      </w:r>
      <w:r w:rsidRPr="001B167E">
        <w:rPr>
          <w:rFonts w:ascii="Book Antiqua" w:hAnsi="Book Antiqua"/>
          <w:sz w:val="24"/>
          <w:szCs w:val="24"/>
          <w:lang w:val="en-US"/>
        </w:rPr>
        <w:t> 2008; </w:t>
      </w:r>
      <w:r w:rsidRPr="001B167E">
        <w:rPr>
          <w:rFonts w:ascii="Book Antiqua" w:hAnsi="Book Antiqua"/>
          <w:b/>
          <w:bCs/>
          <w:sz w:val="24"/>
          <w:szCs w:val="24"/>
          <w:lang w:val="en-US"/>
        </w:rPr>
        <w:t>12</w:t>
      </w:r>
      <w:r w:rsidRPr="001B167E">
        <w:rPr>
          <w:rFonts w:ascii="Book Antiqua" w:hAnsi="Book Antiqua"/>
          <w:sz w:val="24"/>
          <w:szCs w:val="24"/>
          <w:lang w:val="en-US"/>
        </w:rPr>
        <w:t>: 759-768, viii [PMID: 18984465 DOI: 10.1016/j.cld.2008.07.008]</w:t>
      </w:r>
    </w:p>
    <w:p w14:paraId="26649E98"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lastRenderedPageBreak/>
        <w:t>12 </w:t>
      </w:r>
      <w:r w:rsidRPr="001B167E">
        <w:rPr>
          <w:rFonts w:ascii="Book Antiqua" w:hAnsi="Book Antiqua"/>
          <w:b/>
          <w:bCs/>
          <w:sz w:val="24"/>
          <w:szCs w:val="24"/>
          <w:lang w:val="en-US"/>
        </w:rPr>
        <w:t>Friedman SL</w:t>
      </w:r>
      <w:r w:rsidRPr="001B167E">
        <w:rPr>
          <w:rFonts w:ascii="Book Antiqua" w:hAnsi="Book Antiqua"/>
          <w:sz w:val="24"/>
          <w:szCs w:val="24"/>
          <w:lang w:val="en-US"/>
        </w:rPr>
        <w:t>. Seminars in medicine of the Beth Israel Hospital, Boston. The cellular basis of hepatic fibrosis. Mechanisms and treatment strategies. </w:t>
      </w:r>
      <w:r w:rsidRPr="001B167E">
        <w:rPr>
          <w:rFonts w:ascii="Book Antiqua" w:hAnsi="Book Antiqua"/>
          <w:i/>
          <w:iCs/>
          <w:sz w:val="24"/>
          <w:szCs w:val="24"/>
          <w:lang w:val="en-US"/>
        </w:rPr>
        <w:t>N Engl J Med</w:t>
      </w:r>
      <w:r w:rsidRPr="001B167E">
        <w:rPr>
          <w:rFonts w:ascii="Book Antiqua" w:hAnsi="Book Antiqua"/>
          <w:sz w:val="24"/>
          <w:szCs w:val="24"/>
          <w:lang w:val="en-US"/>
        </w:rPr>
        <w:t> 1993; </w:t>
      </w:r>
      <w:r w:rsidRPr="001B167E">
        <w:rPr>
          <w:rFonts w:ascii="Book Antiqua" w:hAnsi="Book Antiqua"/>
          <w:b/>
          <w:bCs/>
          <w:sz w:val="24"/>
          <w:szCs w:val="24"/>
          <w:lang w:val="en-US"/>
        </w:rPr>
        <w:t>328</w:t>
      </w:r>
      <w:r w:rsidRPr="001B167E">
        <w:rPr>
          <w:rFonts w:ascii="Book Antiqua" w:hAnsi="Book Antiqua"/>
          <w:sz w:val="24"/>
          <w:szCs w:val="24"/>
          <w:lang w:val="en-US"/>
        </w:rPr>
        <w:t>: 1828-1835 [PMID: 8502273 DOI: 10.1056/NEJM199306243282508]</w:t>
      </w:r>
    </w:p>
    <w:p w14:paraId="7D24E1BD" w14:textId="402D8361"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13 </w:t>
      </w:r>
      <w:r w:rsidRPr="001B167E">
        <w:rPr>
          <w:rFonts w:ascii="Book Antiqua" w:hAnsi="Book Antiqua"/>
          <w:b/>
          <w:bCs/>
          <w:sz w:val="24"/>
          <w:szCs w:val="24"/>
          <w:lang w:val="en-US"/>
        </w:rPr>
        <w:t>Kisseleva T</w:t>
      </w:r>
      <w:r w:rsidRPr="001B167E">
        <w:rPr>
          <w:rFonts w:ascii="Book Antiqua" w:hAnsi="Book Antiqua"/>
          <w:sz w:val="24"/>
          <w:szCs w:val="24"/>
          <w:lang w:val="en-US"/>
        </w:rPr>
        <w:t>, Cong M, Paik Y, Scholten D, Jiang C, Benner C, Iwaisako K, Moore-Morris T, Scott B, Tsukamoto H, Evans SM, Dillmann W, Glass CK, Brenner DA. Myofibroblasts revert to an inactive phenotype during regression of liver fibrosis. </w:t>
      </w:r>
      <w:r w:rsidR="00D778E4">
        <w:rPr>
          <w:rFonts w:ascii="Book Antiqua" w:hAnsi="Book Antiqua"/>
          <w:i/>
          <w:iCs/>
          <w:sz w:val="24"/>
          <w:szCs w:val="24"/>
          <w:lang w:val="en-US"/>
        </w:rPr>
        <w:t>Proc Natl Acad Sci US</w:t>
      </w:r>
      <w:r w:rsidRPr="001B167E">
        <w:rPr>
          <w:rFonts w:ascii="Book Antiqua" w:hAnsi="Book Antiqua"/>
          <w:i/>
          <w:iCs/>
          <w:sz w:val="24"/>
          <w:szCs w:val="24"/>
          <w:lang w:val="en-US"/>
        </w:rPr>
        <w:t>A</w:t>
      </w:r>
      <w:r w:rsidRPr="001B167E">
        <w:rPr>
          <w:rFonts w:ascii="Book Antiqua" w:hAnsi="Book Antiqua"/>
          <w:sz w:val="24"/>
          <w:szCs w:val="24"/>
          <w:lang w:val="en-US"/>
        </w:rPr>
        <w:t> 2012; </w:t>
      </w:r>
      <w:r w:rsidRPr="001B167E">
        <w:rPr>
          <w:rFonts w:ascii="Book Antiqua" w:hAnsi="Book Antiqua"/>
          <w:b/>
          <w:bCs/>
          <w:sz w:val="24"/>
          <w:szCs w:val="24"/>
          <w:lang w:val="en-US"/>
        </w:rPr>
        <w:t>109</w:t>
      </w:r>
      <w:r w:rsidRPr="001B167E">
        <w:rPr>
          <w:rFonts w:ascii="Book Antiqua" w:hAnsi="Book Antiqua"/>
          <w:sz w:val="24"/>
          <w:szCs w:val="24"/>
          <w:lang w:val="en-US"/>
        </w:rPr>
        <w:t>: 9448-9453 [PMID: 22566629 DOI: 10.1073/pnas.1201840109]</w:t>
      </w:r>
    </w:p>
    <w:p w14:paraId="0AF51C87"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14 </w:t>
      </w:r>
      <w:r w:rsidRPr="001B167E">
        <w:rPr>
          <w:rFonts w:ascii="Book Antiqua" w:hAnsi="Book Antiqua"/>
          <w:b/>
          <w:bCs/>
          <w:sz w:val="24"/>
          <w:szCs w:val="24"/>
          <w:lang w:val="en-US"/>
        </w:rPr>
        <w:t>Falize L</w:t>
      </w:r>
      <w:r w:rsidRPr="001B167E">
        <w:rPr>
          <w:rFonts w:ascii="Book Antiqua" w:hAnsi="Book Antiqua"/>
          <w:sz w:val="24"/>
          <w:szCs w:val="24"/>
          <w:lang w:val="en-US"/>
        </w:rPr>
        <w:t>, Guillygomarc'h A, Perrin M, Lainé F, Guyader D, Brissot P, Turlin B, Deugnier Y. Reversibility of hepatic fibrosis in treated genetic hemochromatosis: a study of 36 cases. </w:t>
      </w:r>
      <w:r w:rsidRPr="001B167E">
        <w:rPr>
          <w:rFonts w:ascii="Book Antiqua" w:hAnsi="Book Antiqua"/>
          <w:i/>
          <w:iCs/>
          <w:sz w:val="24"/>
          <w:szCs w:val="24"/>
          <w:lang w:val="en-US"/>
        </w:rPr>
        <w:t>Hepatology</w:t>
      </w:r>
      <w:r w:rsidRPr="001B167E">
        <w:rPr>
          <w:rFonts w:ascii="Book Antiqua" w:hAnsi="Book Antiqua"/>
          <w:sz w:val="24"/>
          <w:szCs w:val="24"/>
          <w:lang w:val="en-US"/>
        </w:rPr>
        <w:t> 2006; </w:t>
      </w:r>
      <w:r w:rsidRPr="001B167E">
        <w:rPr>
          <w:rFonts w:ascii="Book Antiqua" w:hAnsi="Book Antiqua"/>
          <w:b/>
          <w:bCs/>
          <w:sz w:val="24"/>
          <w:szCs w:val="24"/>
          <w:lang w:val="en-US"/>
        </w:rPr>
        <w:t>44</w:t>
      </w:r>
      <w:r w:rsidRPr="001B167E">
        <w:rPr>
          <w:rFonts w:ascii="Book Antiqua" w:hAnsi="Book Antiqua"/>
          <w:sz w:val="24"/>
          <w:szCs w:val="24"/>
          <w:lang w:val="en-US"/>
        </w:rPr>
        <w:t>: 472-477 [PMID: 16871557 DOI: 10.1002/hep.21260]</w:t>
      </w:r>
    </w:p>
    <w:p w14:paraId="78542D19"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15 </w:t>
      </w:r>
      <w:r w:rsidRPr="001B167E">
        <w:rPr>
          <w:rFonts w:ascii="Book Antiqua" w:hAnsi="Book Antiqua"/>
          <w:b/>
          <w:bCs/>
          <w:sz w:val="24"/>
          <w:szCs w:val="24"/>
          <w:lang w:val="en-US"/>
        </w:rPr>
        <w:t>Iwakiri Y</w:t>
      </w:r>
      <w:r w:rsidRPr="001B167E">
        <w:rPr>
          <w:rFonts w:ascii="Book Antiqua" w:hAnsi="Book Antiqua"/>
          <w:sz w:val="24"/>
          <w:szCs w:val="24"/>
          <w:lang w:val="en-US"/>
        </w:rPr>
        <w:t>. Pathophysiology of portal hypertension. </w:t>
      </w:r>
      <w:r w:rsidRPr="001B167E">
        <w:rPr>
          <w:rFonts w:ascii="Book Antiqua" w:hAnsi="Book Antiqua"/>
          <w:i/>
          <w:iCs/>
          <w:sz w:val="24"/>
          <w:szCs w:val="24"/>
          <w:lang w:val="en-US"/>
        </w:rPr>
        <w:t>Clin Liver Dis</w:t>
      </w:r>
      <w:r w:rsidRPr="001B167E">
        <w:rPr>
          <w:rFonts w:ascii="Book Antiqua" w:hAnsi="Book Antiqua"/>
          <w:sz w:val="24"/>
          <w:szCs w:val="24"/>
          <w:lang w:val="en-US"/>
        </w:rPr>
        <w:t> 2014; </w:t>
      </w:r>
      <w:r w:rsidRPr="001B167E">
        <w:rPr>
          <w:rFonts w:ascii="Book Antiqua" w:hAnsi="Book Antiqua"/>
          <w:b/>
          <w:bCs/>
          <w:sz w:val="24"/>
          <w:szCs w:val="24"/>
          <w:lang w:val="en-US"/>
        </w:rPr>
        <w:t>18</w:t>
      </w:r>
      <w:r w:rsidRPr="001B167E">
        <w:rPr>
          <w:rFonts w:ascii="Book Antiqua" w:hAnsi="Book Antiqua"/>
          <w:sz w:val="24"/>
          <w:szCs w:val="24"/>
          <w:lang w:val="en-US"/>
        </w:rPr>
        <w:t>: 281-291 [PMID: 24679494 DOI: 10.1016/j.cld.2013.12.001]</w:t>
      </w:r>
    </w:p>
    <w:p w14:paraId="505311EA"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16 </w:t>
      </w:r>
      <w:r w:rsidRPr="001B167E">
        <w:rPr>
          <w:rFonts w:ascii="Book Antiqua" w:hAnsi="Book Antiqua"/>
          <w:b/>
          <w:bCs/>
          <w:sz w:val="24"/>
          <w:szCs w:val="24"/>
          <w:lang w:val="en-US"/>
        </w:rPr>
        <w:t>Pietrangelo A</w:t>
      </w:r>
      <w:r w:rsidRPr="001B167E">
        <w:rPr>
          <w:rFonts w:ascii="Book Antiqua" w:hAnsi="Book Antiqua"/>
          <w:sz w:val="24"/>
          <w:szCs w:val="24"/>
          <w:lang w:val="en-US"/>
        </w:rPr>
        <w:t>. Iron in NASH, chronic liver diseases and HCC: how much iron is too much? </w:t>
      </w:r>
      <w:r w:rsidRPr="001B167E">
        <w:rPr>
          <w:rFonts w:ascii="Book Antiqua" w:hAnsi="Book Antiqua"/>
          <w:i/>
          <w:iCs/>
          <w:sz w:val="24"/>
          <w:szCs w:val="24"/>
          <w:lang w:val="en-US"/>
        </w:rPr>
        <w:t>J Hepatol</w:t>
      </w:r>
      <w:r w:rsidRPr="001B167E">
        <w:rPr>
          <w:rFonts w:ascii="Book Antiqua" w:hAnsi="Book Antiqua"/>
          <w:sz w:val="24"/>
          <w:szCs w:val="24"/>
          <w:lang w:val="en-US"/>
        </w:rPr>
        <w:t> 2009; </w:t>
      </w:r>
      <w:r w:rsidRPr="001B167E">
        <w:rPr>
          <w:rFonts w:ascii="Book Antiqua" w:hAnsi="Book Antiqua"/>
          <w:b/>
          <w:bCs/>
          <w:sz w:val="24"/>
          <w:szCs w:val="24"/>
          <w:lang w:val="en-US"/>
        </w:rPr>
        <w:t>50</w:t>
      </w:r>
      <w:r w:rsidRPr="001B167E">
        <w:rPr>
          <w:rFonts w:ascii="Book Antiqua" w:hAnsi="Book Antiqua"/>
          <w:sz w:val="24"/>
          <w:szCs w:val="24"/>
          <w:lang w:val="en-US"/>
        </w:rPr>
        <w:t>: 249-251 [PMID: 19070915 DOI: 10.1016/j.jhep.2008.11.011]</w:t>
      </w:r>
    </w:p>
    <w:p w14:paraId="1DE32556"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17 </w:t>
      </w:r>
      <w:r w:rsidRPr="001B167E">
        <w:rPr>
          <w:rFonts w:ascii="Book Antiqua" w:hAnsi="Book Antiqua"/>
          <w:b/>
          <w:bCs/>
          <w:sz w:val="24"/>
          <w:szCs w:val="24"/>
          <w:lang w:val="en-US"/>
        </w:rPr>
        <w:t>Philippe MA</w:t>
      </w:r>
      <w:r w:rsidRPr="001B167E">
        <w:rPr>
          <w:rFonts w:ascii="Book Antiqua" w:hAnsi="Book Antiqua"/>
          <w:sz w:val="24"/>
          <w:szCs w:val="24"/>
          <w:lang w:val="en-US"/>
        </w:rPr>
        <w:t>, Ruddell RG, Ramm GA. Role of iron in hepatic fibrosis: one piece in the puzzle. </w:t>
      </w:r>
      <w:r w:rsidRPr="001B167E">
        <w:rPr>
          <w:rFonts w:ascii="Book Antiqua" w:hAnsi="Book Antiqua"/>
          <w:i/>
          <w:iCs/>
          <w:sz w:val="24"/>
          <w:szCs w:val="24"/>
          <w:lang w:val="en-US"/>
        </w:rPr>
        <w:t>World J Gastroenterol</w:t>
      </w:r>
      <w:r w:rsidRPr="001B167E">
        <w:rPr>
          <w:rFonts w:ascii="Book Antiqua" w:hAnsi="Book Antiqua"/>
          <w:sz w:val="24"/>
          <w:szCs w:val="24"/>
          <w:lang w:val="en-US"/>
        </w:rPr>
        <w:t> 2007; </w:t>
      </w:r>
      <w:r w:rsidRPr="001B167E">
        <w:rPr>
          <w:rFonts w:ascii="Book Antiqua" w:hAnsi="Book Antiqua"/>
          <w:b/>
          <w:bCs/>
          <w:sz w:val="24"/>
          <w:szCs w:val="24"/>
          <w:lang w:val="en-US"/>
        </w:rPr>
        <w:t>13</w:t>
      </w:r>
      <w:r w:rsidRPr="001B167E">
        <w:rPr>
          <w:rFonts w:ascii="Book Antiqua" w:hAnsi="Book Antiqua"/>
          <w:sz w:val="24"/>
          <w:szCs w:val="24"/>
          <w:lang w:val="en-US"/>
        </w:rPr>
        <w:t>: 4746-4754 [PMID: 17729396 DOI: 10.3748/wjg.v13.i35.4746]</w:t>
      </w:r>
    </w:p>
    <w:p w14:paraId="2E1C1A3A"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18 </w:t>
      </w:r>
      <w:r w:rsidRPr="001B167E">
        <w:rPr>
          <w:rFonts w:ascii="Book Antiqua" w:hAnsi="Book Antiqua"/>
          <w:b/>
          <w:bCs/>
          <w:sz w:val="24"/>
          <w:szCs w:val="24"/>
          <w:lang w:val="en-US"/>
        </w:rPr>
        <w:t>Houglum K</w:t>
      </w:r>
      <w:r w:rsidRPr="001B167E">
        <w:rPr>
          <w:rFonts w:ascii="Book Antiqua" w:hAnsi="Book Antiqua"/>
          <w:sz w:val="24"/>
          <w:szCs w:val="24"/>
          <w:lang w:val="en-US"/>
        </w:rPr>
        <w:t>, Bedossa P, Chojkier M. TGF-beta and collagen-alpha 1 (I) gene expression are increased in hepatic acinar zone 1 of rats with iron overload. </w:t>
      </w:r>
      <w:r w:rsidRPr="001B167E">
        <w:rPr>
          <w:rFonts w:ascii="Book Antiqua" w:hAnsi="Book Antiqua"/>
          <w:i/>
          <w:iCs/>
          <w:sz w:val="24"/>
          <w:szCs w:val="24"/>
          <w:lang w:val="en-US"/>
        </w:rPr>
        <w:t>Am J Physiol</w:t>
      </w:r>
      <w:r w:rsidRPr="001B167E">
        <w:rPr>
          <w:rFonts w:ascii="Book Antiqua" w:hAnsi="Book Antiqua"/>
          <w:sz w:val="24"/>
          <w:szCs w:val="24"/>
          <w:lang w:val="en-US"/>
        </w:rPr>
        <w:t> 1994; </w:t>
      </w:r>
      <w:r w:rsidRPr="001B167E">
        <w:rPr>
          <w:rFonts w:ascii="Book Antiqua" w:hAnsi="Book Antiqua"/>
          <w:b/>
          <w:bCs/>
          <w:sz w:val="24"/>
          <w:szCs w:val="24"/>
          <w:lang w:val="en-US"/>
        </w:rPr>
        <w:t>267</w:t>
      </w:r>
      <w:r w:rsidRPr="001B167E">
        <w:rPr>
          <w:rFonts w:ascii="Book Antiqua" w:hAnsi="Book Antiqua"/>
          <w:sz w:val="24"/>
          <w:szCs w:val="24"/>
          <w:lang w:val="en-US"/>
        </w:rPr>
        <w:t>: G908-G913 [PMID: 7977754 DOI: 10.1152/ajpgi.1994.267.5.G908]</w:t>
      </w:r>
    </w:p>
    <w:p w14:paraId="0726EF93"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19 </w:t>
      </w:r>
      <w:r w:rsidRPr="001B167E">
        <w:rPr>
          <w:rFonts w:ascii="Book Antiqua" w:hAnsi="Book Antiqua"/>
          <w:b/>
          <w:bCs/>
          <w:sz w:val="24"/>
          <w:szCs w:val="24"/>
          <w:lang w:val="en-US"/>
        </w:rPr>
        <w:t>Carthew P</w:t>
      </w:r>
      <w:r w:rsidRPr="001B167E">
        <w:rPr>
          <w:rFonts w:ascii="Book Antiqua" w:hAnsi="Book Antiqua"/>
          <w:sz w:val="24"/>
          <w:szCs w:val="24"/>
          <w:lang w:val="en-US"/>
        </w:rPr>
        <w:t>, Edwards RE, Smith AG, Dorman B, Francis JE. Rapid induction of hepatic fibrosis in the gerbil after the parenteral administration of iron-dextran complex. </w:t>
      </w:r>
      <w:r w:rsidRPr="001B167E">
        <w:rPr>
          <w:rFonts w:ascii="Book Antiqua" w:hAnsi="Book Antiqua"/>
          <w:i/>
          <w:iCs/>
          <w:sz w:val="24"/>
          <w:szCs w:val="24"/>
          <w:lang w:val="en-US"/>
        </w:rPr>
        <w:t>Hepatology</w:t>
      </w:r>
      <w:r w:rsidRPr="001B167E">
        <w:rPr>
          <w:rFonts w:ascii="Book Antiqua" w:hAnsi="Book Antiqua"/>
          <w:sz w:val="24"/>
          <w:szCs w:val="24"/>
          <w:lang w:val="en-US"/>
        </w:rPr>
        <w:t> 1991; </w:t>
      </w:r>
      <w:r w:rsidRPr="001B167E">
        <w:rPr>
          <w:rFonts w:ascii="Book Antiqua" w:hAnsi="Book Antiqua"/>
          <w:b/>
          <w:bCs/>
          <w:sz w:val="24"/>
          <w:szCs w:val="24"/>
          <w:lang w:val="en-US"/>
        </w:rPr>
        <w:t>13</w:t>
      </w:r>
      <w:r w:rsidRPr="001B167E">
        <w:rPr>
          <w:rFonts w:ascii="Book Antiqua" w:hAnsi="Book Antiqua"/>
          <w:sz w:val="24"/>
          <w:szCs w:val="24"/>
          <w:lang w:val="en-US"/>
        </w:rPr>
        <w:t>: 534-539 [PMID: 1999322 DOI: 10.1002/hep.1840130322]</w:t>
      </w:r>
    </w:p>
    <w:p w14:paraId="7BC19F55"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20 </w:t>
      </w:r>
      <w:r w:rsidRPr="001B167E">
        <w:rPr>
          <w:rFonts w:ascii="Book Antiqua" w:hAnsi="Book Antiqua"/>
          <w:b/>
          <w:bCs/>
          <w:sz w:val="24"/>
          <w:szCs w:val="24"/>
          <w:lang w:val="en-US"/>
        </w:rPr>
        <w:t>Arezzini B</w:t>
      </w:r>
      <w:r w:rsidRPr="001B167E">
        <w:rPr>
          <w:rFonts w:ascii="Book Antiqua" w:hAnsi="Book Antiqua"/>
          <w:sz w:val="24"/>
          <w:szCs w:val="24"/>
          <w:lang w:val="en-US"/>
        </w:rPr>
        <w:t>, Lunghi B, Lungarella G, Gardi C. Iron overload enhances the development of experimental liver cirrhosis in mice. </w:t>
      </w:r>
      <w:r w:rsidRPr="001B167E">
        <w:rPr>
          <w:rFonts w:ascii="Book Antiqua" w:hAnsi="Book Antiqua"/>
          <w:i/>
          <w:iCs/>
          <w:sz w:val="24"/>
          <w:szCs w:val="24"/>
          <w:lang w:val="en-US"/>
        </w:rPr>
        <w:t>Int J Biochem Cell Biol</w:t>
      </w:r>
      <w:r w:rsidRPr="001B167E">
        <w:rPr>
          <w:rFonts w:ascii="Book Antiqua" w:hAnsi="Book Antiqua"/>
          <w:sz w:val="24"/>
          <w:szCs w:val="24"/>
          <w:lang w:val="en-US"/>
        </w:rPr>
        <w:t> 2003; </w:t>
      </w:r>
      <w:r w:rsidRPr="001B167E">
        <w:rPr>
          <w:rFonts w:ascii="Book Antiqua" w:hAnsi="Book Antiqua"/>
          <w:b/>
          <w:bCs/>
          <w:sz w:val="24"/>
          <w:szCs w:val="24"/>
          <w:lang w:val="en-US"/>
        </w:rPr>
        <w:t>35</w:t>
      </w:r>
      <w:r w:rsidRPr="001B167E">
        <w:rPr>
          <w:rFonts w:ascii="Book Antiqua" w:hAnsi="Book Antiqua"/>
          <w:sz w:val="24"/>
          <w:szCs w:val="24"/>
          <w:lang w:val="en-US"/>
        </w:rPr>
        <w:t>: 486-495 [PMID: 12565710 DOI: 10.1016/S1357-2725(02)00298-4]</w:t>
      </w:r>
    </w:p>
    <w:p w14:paraId="4E0A8447"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21 </w:t>
      </w:r>
      <w:r w:rsidRPr="001B167E">
        <w:rPr>
          <w:rFonts w:ascii="Book Antiqua" w:hAnsi="Book Antiqua"/>
          <w:b/>
          <w:bCs/>
          <w:sz w:val="24"/>
          <w:szCs w:val="24"/>
          <w:lang w:val="en-US"/>
        </w:rPr>
        <w:t>Ramm GA</w:t>
      </w:r>
      <w:r w:rsidRPr="001B167E">
        <w:rPr>
          <w:rFonts w:ascii="Book Antiqua" w:hAnsi="Book Antiqua"/>
          <w:sz w:val="24"/>
          <w:szCs w:val="24"/>
          <w:lang w:val="en-US"/>
        </w:rPr>
        <w:t xml:space="preserve">, Crawford DH, Powell LW, Walker NI, Fletcher LM, Halliday JW. Hepatic stellate cell activation in genetic haemochromatosis. Lobular distribution, </w:t>
      </w:r>
      <w:r w:rsidRPr="001B167E">
        <w:rPr>
          <w:rFonts w:ascii="Book Antiqua" w:hAnsi="Book Antiqua"/>
          <w:sz w:val="24"/>
          <w:szCs w:val="24"/>
          <w:lang w:val="en-US"/>
        </w:rPr>
        <w:lastRenderedPageBreak/>
        <w:t>effect of increasing hepatic iron and response to phlebotomy. </w:t>
      </w:r>
      <w:r w:rsidRPr="001B167E">
        <w:rPr>
          <w:rFonts w:ascii="Book Antiqua" w:hAnsi="Book Antiqua"/>
          <w:i/>
          <w:iCs/>
          <w:sz w:val="24"/>
          <w:szCs w:val="24"/>
          <w:lang w:val="en-US"/>
        </w:rPr>
        <w:t>J Hepatol</w:t>
      </w:r>
      <w:r w:rsidRPr="001B167E">
        <w:rPr>
          <w:rFonts w:ascii="Book Antiqua" w:hAnsi="Book Antiqua"/>
          <w:sz w:val="24"/>
          <w:szCs w:val="24"/>
          <w:lang w:val="en-US"/>
        </w:rPr>
        <w:t> 1997; </w:t>
      </w:r>
      <w:r w:rsidRPr="001B167E">
        <w:rPr>
          <w:rFonts w:ascii="Book Antiqua" w:hAnsi="Book Antiqua"/>
          <w:b/>
          <w:bCs/>
          <w:sz w:val="24"/>
          <w:szCs w:val="24"/>
          <w:lang w:val="en-US"/>
        </w:rPr>
        <w:t>26</w:t>
      </w:r>
      <w:r w:rsidRPr="001B167E">
        <w:rPr>
          <w:rFonts w:ascii="Book Antiqua" w:hAnsi="Book Antiqua"/>
          <w:sz w:val="24"/>
          <w:szCs w:val="24"/>
          <w:lang w:val="en-US"/>
        </w:rPr>
        <w:t>: 584-592 [PMID: 9075666 DOI: 10.1016/S0168-8278(97)80424-2]</w:t>
      </w:r>
    </w:p>
    <w:p w14:paraId="04817023"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22 </w:t>
      </w:r>
      <w:r w:rsidRPr="001B167E">
        <w:rPr>
          <w:rFonts w:ascii="Book Antiqua" w:hAnsi="Book Antiqua"/>
          <w:b/>
          <w:bCs/>
          <w:sz w:val="24"/>
          <w:szCs w:val="24"/>
          <w:lang w:val="en-US"/>
        </w:rPr>
        <w:t>Gardi C</w:t>
      </w:r>
      <w:r w:rsidRPr="001B167E">
        <w:rPr>
          <w:rFonts w:ascii="Book Antiqua" w:hAnsi="Book Antiqua"/>
          <w:sz w:val="24"/>
          <w:szCs w:val="24"/>
          <w:lang w:val="en-US"/>
        </w:rPr>
        <w:t>, Arezzini B, Fortino V, Comporti M. Effect of free iron on collagen synthesis, cell proliferation and MMP-2 expression in rat hepatic stellate cells. </w:t>
      </w:r>
      <w:r w:rsidRPr="001B167E">
        <w:rPr>
          <w:rFonts w:ascii="Book Antiqua" w:hAnsi="Book Antiqua"/>
          <w:i/>
          <w:iCs/>
          <w:sz w:val="24"/>
          <w:szCs w:val="24"/>
          <w:lang w:val="en-US"/>
        </w:rPr>
        <w:t>Biochem Pharmacol</w:t>
      </w:r>
      <w:r w:rsidRPr="001B167E">
        <w:rPr>
          <w:rFonts w:ascii="Book Antiqua" w:hAnsi="Book Antiqua"/>
          <w:sz w:val="24"/>
          <w:szCs w:val="24"/>
          <w:lang w:val="en-US"/>
        </w:rPr>
        <w:t>2002; </w:t>
      </w:r>
      <w:r w:rsidRPr="001B167E">
        <w:rPr>
          <w:rFonts w:ascii="Book Antiqua" w:hAnsi="Book Antiqua"/>
          <w:b/>
          <w:bCs/>
          <w:sz w:val="24"/>
          <w:szCs w:val="24"/>
          <w:lang w:val="en-US"/>
        </w:rPr>
        <w:t>64</w:t>
      </w:r>
      <w:r w:rsidRPr="001B167E">
        <w:rPr>
          <w:rFonts w:ascii="Book Antiqua" w:hAnsi="Book Antiqua"/>
          <w:sz w:val="24"/>
          <w:szCs w:val="24"/>
          <w:lang w:val="en-US"/>
        </w:rPr>
        <w:t>: 1139-1145 [PMID: 12234617 DOI: 10.1016/S0006-2952(02)01257-1]</w:t>
      </w:r>
    </w:p>
    <w:p w14:paraId="74B7A81B"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23 </w:t>
      </w:r>
      <w:r w:rsidRPr="001B167E">
        <w:rPr>
          <w:rFonts w:ascii="Book Antiqua" w:hAnsi="Book Antiqua"/>
          <w:b/>
          <w:bCs/>
          <w:sz w:val="24"/>
          <w:szCs w:val="24"/>
          <w:lang w:val="en-US"/>
        </w:rPr>
        <w:t>Bridle KR</w:t>
      </w:r>
      <w:r w:rsidRPr="001B167E">
        <w:rPr>
          <w:rFonts w:ascii="Book Antiqua" w:hAnsi="Book Antiqua"/>
          <w:sz w:val="24"/>
          <w:szCs w:val="24"/>
          <w:lang w:val="en-US"/>
        </w:rPr>
        <w:t>, Crawford DH, Ramm GA. Identification and characterization of the hepatic stellate cell transferrin receptor. </w:t>
      </w:r>
      <w:r w:rsidRPr="001B167E">
        <w:rPr>
          <w:rFonts w:ascii="Book Antiqua" w:hAnsi="Book Antiqua"/>
          <w:i/>
          <w:iCs/>
          <w:sz w:val="24"/>
          <w:szCs w:val="24"/>
          <w:lang w:val="en-US"/>
        </w:rPr>
        <w:t>Am J Pathol</w:t>
      </w:r>
      <w:r w:rsidRPr="001B167E">
        <w:rPr>
          <w:rFonts w:ascii="Book Antiqua" w:hAnsi="Book Antiqua"/>
          <w:sz w:val="24"/>
          <w:szCs w:val="24"/>
          <w:lang w:val="en-US"/>
        </w:rPr>
        <w:t> 2003; </w:t>
      </w:r>
      <w:r w:rsidRPr="001B167E">
        <w:rPr>
          <w:rFonts w:ascii="Book Antiqua" w:hAnsi="Book Antiqua"/>
          <w:b/>
          <w:bCs/>
          <w:sz w:val="24"/>
          <w:szCs w:val="24"/>
          <w:lang w:val="en-US"/>
        </w:rPr>
        <w:t>162</w:t>
      </w:r>
      <w:r w:rsidRPr="001B167E">
        <w:rPr>
          <w:rFonts w:ascii="Book Antiqua" w:hAnsi="Book Antiqua"/>
          <w:sz w:val="24"/>
          <w:szCs w:val="24"/>
          <w:lang w:val="en-US"/>
        </w:rPr>
        <w:t>: 1661-1667 [PMID: 12707050 DOI: 10.1016/S0002-9440(10)64300-3]</w:t>
      </w:r>
    </w:p>
    <w:p w14:paraId="44B91942"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24 </w:t>
      </w:r>
      <w:r w:rsidRPr="001B167E">
        <w:rPr>
          <w:rFonts w:ascii="Book Antiqua" w:hAnsi="Book Antiqua"/>
          <w:b/>
          <w:bCs/>
          <w:sz w:val="24"/>
          <w:szCs w:val="24"/>
          <w:lang w:val="en-US"/>
        </w:rPr>
        <w:t>Ruddell RG</w:t>
      </w:r>
      <w:r w:rsidRPr="001B167E">
        <w:rPr>
          <w:rFonts w:ascii="Book Antiqua" w:hAnsi="Book Antiqua"/>
          <w:sz w:val="24"/>
          <w:szCs w:val="24"/>
          <w:lang w:val="en-US"/>
        </w:rPr>
        <w:t>, Hoang-Le D, Barwood JM, Rutherford PS, Piva TJ, Watters DJ, Santambrogio P, Arosio P, Ramm GA. Ferritin functions as a proinflammatory cytokine via iron-independent protein kinase C zeta/nuclear factor kappaB-regulated signaling in rat hepatic stellate cells. </w:t>
      </w:r>
      <w:r w:rsidRPr="001B167E">
        <w:rPr>
          <w:rFonts w:ascii="Book Antiqua" w:hAnsi="Book Antiqua"/>
          <w:i/>
          <w:iCs/>
          <w:sz w:val="24"/>
          <w:szCs w:val="24"/>
          <w:lang w:val="en-US"/>
        </w:rPr>
        <w:t>Hepatology</w:t>
      </w:r>
      <w:r w:rsidRPr="001B167E">
        <w:rPr>
          <w:rFonts w:ascii="Book Antiqua" w:hAnsi="Book Antiqua"/>
          <w:sz w:val="24"/>
          <w:szCs w:val="24"/>
          <w:lang w:val="en-US"/>
        </w:rPr>
        <w:t> 2009; </w:t>
      </w:r>
      <w:r w:rsidRPr="001B167E">
        <w:rPr>
          <w:rFonts w:ascii="Book Antiqua" w:hAnsi="Book Antiqua"/>
          <w:b/>
          <w:bCs/>
          <w:sz w:val="24"/>
          <w:szCs w:val="24"/>
          <w:lang w:val="en-US"/>
        </w:rPr>
        <w:t>49</w:t>
      </w:r>
      <w:r w:rsidRPr="001B167E">
        <w:rPr>
          <w:rFonts w:ascii="Book Antiqua" w:hAnsi="Book Antiqua"/>
          <w:sz w:val="24"/>
          <w:szCs w:val="24"/>
          <w:lang w:val="en-US"/>
        </w:rPr>
        <w:t>: 887-900 [PMID: 19241483 DOI: 10.1002/hep.22716]</w:t>
      </w:r>
    </w:p>
    <w:p w14:paraId="0C0ABFCA"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25 </w:t>
      </w:r>
      <w:r w:rsidRPr="001B167E">
        <w:rPr>
          <w:rFonts w:ascii="Book Antiqua" w:hAnsi="Book Antiqua"/>
          <w:b/>
          <w:bCs/>
          <w:sz w:val="24"/>
          <w:szCs w:val="24"/>
          <w:lang w:val="en-US"/>
        </w:rPr>
        <w:t>Mehta KJ</w:t>
      </w:r>
      <w:r w:rsidRPr="001B167E">
        <w:rPr>
          <w:rFonts w:ascii="Book Antiqua" w:hAnsi="Book Antiqua"/>
          <w:sz w:val="24"/>
          <w:szCs w:val="24"/>
          <w:lang w:val="en-US"/>
        </w:rPr>
        <w:t>, Coombes JD, Briones-Orta M, Manka PP, Williams R, Patel VB, Syn WK. Iron Enhances Hepatic Fibrogenesis and Activates Transforming Growth Factor-β Signaling in Murine Hepatic Stellate Cells. </w:t>
      </w:r>
      <w:r w:rsidRPr="001B167E">
        <w:rPr>
          <w:rFonts w:ascii="Book Antiqua" w:hAnsi="Book Antiqua"/>
          <w:i/>
          <w:iCs/>
          <w:sz w:val="24"/>
          <w:szCs w:val="24"/>
          <w:lang w:val="en-US"/>
        </w:rPr>
        <w:t>Am J Med Sci</w:t>
      </w:r>
      <w:r w:rsidRPr="001B167E">
        <w:rPr>
          <w:rFonts w:ascii="Book Antiqua" w:hAnsi="Book Antiqua"/>
          <w:sz w:val="24"/>
          <w:szCs w:val="24"/>
          <w:lang w:val="en-US"/>
        </w:rPr>
        <w:t> 2018; </w:t>
      </w:r>
      <w:r w:rsidRPr="001B167E">
        <w:rPr>
          <w:rFonts w:ascii="Book Antiqua" w:hAnsi="Book Antiqua"/>
          <w:b/>
          <w:bCs/>
          <w:sz w:val="24"/>
          <w:szCs w:val="24"/>
          <w:lang w:val="en-US"/>
        </w:rPr>
        <w:t>355</w:t>
      </w:r>
      <w:r w:rsidRPr="001B167E">
        <w:rPr>
          <w:rFonts w:ascii="Book Antiqua" w:hAnsi="Book Antiqua"/>
          <w:sz w:val="24"/>
          <w:szCs w:val="24"/>
          <w:lang w:val="en-US"/>
        </w:rPr>
        <w:t>: 183-190 [PMID: 29406047 DOI: 10.1016/j.amjms.2017.08.012]</w:t>
      </w:r>
    </w:p>
    <w:p w14:paraId="136C4E73"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26 </w:t>
      </w:r>
      <w:r w:rsidRPr="001B167E">
        <w:rPr>
          <w:rFonts w:ascii="Book Antiqua" w:hAnsi="Book Antiqua"/>
          <w:b/>
          <w:bCs/>
          <w:sz w:val="24"/>
          <w:szCs w:val="24"/>
          <w:lang w:val="en-US"/>
        </w:rPr>
        <w:t>Wood MJ</w:t>
      </w:r>
      <w:r w:rsidRPr="001B167E">
        <w:rPr>
          <w:rFonts w:ascii="Book Antiqua" w:hAnsi="Book Antiqua"/>
          <w:sz w:val="24"/>
          <w:szCs w:val="24"/>
          <w:lang w:val="en-US"/>
        </w:rPr>
        <w:t>, Gadd VL, Powell LW, Ramm GA, Clouston AD. Ductular reaction in hereditary hemochromatosis: the link between hepatocyte senescence and fibrosis progression. </w:t>
      </w:r>
      <w:r w:rsidRPr="001B167E">
        <w:rPr>
          <w:rFonts w:ascii="Book Antiqua" w:hAnsi="Book Antiqua"/>
          <w:i/>
          <w:iCs/>
          <w:sz w:val="24"/>
          <w:szCs w:val="24"/>
          <w:lang w:val="en-US"/>
        </w:rPr>
        <w:t>Hepatology</w:t>
      </w:r>
      <w:r w:rsidRPr="001B167E">
        <w:rPr>
          <w:rFonts w:ascii="Book Antiqua" w:hAnsi="Book Antiqua"/>
          <w:sz w:val="24"/>
          <w:szCs w:val="24"/>
          <w:lang w:val="en-US"/>
        </w:rPr>
        <w:t> 2014; </w:t>
      </w:r>
      <w:r w:rsidRPr="001B167E">
        <w:rPr>
          <w:rFonts w:ascii="Book Antiqua" w:hAnsi="Book Antiqua"/>
          <w:b/>
          <w:bCs/>
          <w:sz w:val="24"/>
          <w:szCs w:val="24"/>
          <w:lang w:val="en-US"/>
        </w:rPr>
        <w:t>59</w:t>
      </w:r>
      <w:r w:rsidRPr="001B167E">
        <w:rPr>
          <w:rFonts w:ascii="Book Antiqua" w:hAnsi="Book Antiqua"/>
          <w:sz w:val="24"/>
          <w:szCs w:val="24"/>
          <w:lang w:val="en-US"/>
        </w:rPr>
        <w:t>: 848-857 [PMID: 24037895 DOI: 10.1002/hep.26706]</w:t>
      </w:r>
    </w:p>
    <w:p w14:paraId="3D0A4FBE"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27 </w:t>
      </w:r>
      <w:r w:rsidRPr="001B167E">
        <w:rPr>
          <w:rFonts w:ascii="Book Antiqua" w:hAnsi="Book Antiqua"/>
          <w:b/>
          <w:bCs/>
          <w:sz w:val="24"/>
          <w:szCs w:val="24"/>
          <w:lang w:val="en-US"/>
        </w:rPr>
        <w:t>Li H</w:t>
      </w:r>
      <w:r w:rsidRPr="001B167E">
        <w:rPr>
          <w:rFonts w:ascii="Book Antiqua" w:hAnsi="Book Antiqua"/>
          <w:sz w:val="24"/>
          <w:szCs w:val="24"/>
          <w:lang w:val="en-US"/>
        </w:rPr>
        <w:t>, You H, Fan X, Jia J. Hepatic macrophages in liver fibrosis: pathogenesis and potential therapeutic targets. </w:t>
      </w:r>
      <w:r w:rsidRPr="001B167E">
        <w:rPr>
          <w:rFonts w:ascii="Book Antiqua" w:hAnsi="Book Antiqua"/>
          <w:i/>
          <w:iCs/>
          <w:sz w:val="24"/>
          <w:szCs w:val="24"/>
          <w:lang w:val="en-US"/>
        </w:rPr>
        <w:t>BMJ Open Gastroenterol</w:t>
      </w:r>
      <w:r w:rsidRPr="001B167E">
        <w:rPr>
          <w:rFonts w:ascii="Book Antiqua" w:hAnsi="Book Antiqua"/>
          <w:sz w:val="24"/>
          <w:szCs w:val="24"/>
          <w:lang w:val="en-US"/>
        </w:rPr>
        <w:t> 2016; </w:t>
      </w:r>
      <w:r w:rsidRPr="001B167E">
        <w:rPr>
          <w:rFonts w:ascii="Book Antiqua" w:hAnsi="Book Antiqua"/>
          <w:b/>
          <w:bCs/>
          <w:sz w:val="24"/>
          <w:szCs w:val="24"/>
          <w:lang w:val="en-US"/>
        </w:rPr>
        <w:t>3</w:t>
      </w:r>
      <w:r w:rsidRPr="001B167E">
        <w:rPr>
          <w:rFonts w:ascii="Book Antiqua" w:hAnsi="Book Antiqua"/>
          <w:sz w:val="24"/>
          <w:szCs w:val="24"/>
          <w:lang w:val="en-US"/>
        </w:rPr>
        <w:t>: e000079 [PMID: 27252881 DOI: 10.1136/bmjgast-2016-000079]</w:t>
      </w:r>
    </w:p>
    <w:p w14:paraId="4FA20E2E"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28 </w:t>
      </w:r>
      <w:r w:rsidRPr="001B167E">
        <w:rPr>
          <w:rFonts w:ascii="Book Antiqua" w:hAnsi="Book Antiqua"/>
          <w:b/>
          <w:bCs/>
          <w:sz w:val="24"/>
          <w:szCs w:val="24"/>
          <w:lang w:val="en-US"/>
        </w:rPr>
        <w:t>Dooley S</w:t>
      </w:r>
      <w:r w:rsidRPr="001B167E">
        <w:rPr>
          <w:rFonts w:ascii="Book Antiqua" w:hAnsi="Book Antiqua"/>
          <w:sz w:val="24"/>
          <w:szCs w:val="24"/>
          <w:lang w:val="en-US"/>
        </w:rPr>
        <w:t>, ten Dijke P. TGF-β in progression of liver disease. </w:t>
      </w:r>
      <w:r w:rsidRPr="001B167E">
        <w:rPr>
          <w:rFonts w:ascii="Book Antiqua" w:hAnsi="Book Antiqua"/>
          <w:i/>
          <w:iCs/>
          <w:sz w:val="24"/>
          <w:szCs w:val="24"/>
          <w:lang w:val="en-US"/>
        </w:rPr>
        <w:t>Cell Tissue Res</w:t>
      </w:r>
      <w:r w:rsidRPr="001B167E">
        <w:rPr>
          <w:rFonts w:ascii="Book Antiqua" w:hAnsi="Book Antiqua"/>
          <w:sz w:val="24"/>
          <w:szCs w:val="24"/>
          <w:lang w:val="en-US"/>
        </w:rPr>
        <w:t> 2012; </w:t>
      </w:r>
      <w:r w:rsidRPr="001B167E">
        <w:rPr>
          <w:rFonts w:ascii="Book Antiqua" w:hAnsi="Book Antiqua"/>
          <w:b/>
          <w:bCs/>
          <w:sz w:val="24"/>
          <w:szCs w:val="24"/>
          <w:lang w:val="en-US"/>
        </w:rPr>
        <w:t>347</w:t>
      </w:r>
      <w:r w:rsidRPr="001B167E">
        <w:rPr>
          <w:rFonts w:ascii="Book Antiqua" w:hAnsi="Book Antiqua"/>
          <w:sz w:val="24"/>
          <w:szCs w:val="24"/>
          <w:lang w:val="en-US"/>
        </w:rPr>
        <w:t>: 245-256 [PMID: 22006249 DOI: 10.1007/s00441-011-1246-y]</w:t>
      </w:r>
    </w:p>
    <w:p w14:paraId="1706D29B"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29 </w:t>
      </w:r>
      <w:r w:rsidRPr="001B167E">
        <w:rPr>
          <w:rFonts w:ascii="Book Antiqua" w:hAnsi="Book Antiqua"/>
          <w:b/>
          <w:bCs/>
          <w:sz w:val="24"/>
          <w:szCs w:val="24"/>
          <w:lang w:val="en-US"/>
        </w:rPr>
        <w:t>Houglum K</w:t>
      </w:r>
      <w:r w:rsidRPr="001B167E">
        <w:rPr>
          <w:rFonts w:ascii="Book Antiqua" w:hAnsi="Book Antiqua"/>
          <w:sz w:val="24"/>
          <w:szCs w:val="24"/>
          <w:lang w:val="en-US"/>
        </w:rPr>
        <w:t>, Ramm GA, Crawford DH, Witztum JL, Powell LW, Chojkier M. Excess iron induces hepatic oxidative stress and transforming growth factor beta1 in genetic hemochromatosis. </w:t>
      </w:r>
      <w:r w:rsidRPr="001B167E">
        <w:rPr>
          <w:rFonts w:ascii="Book Antiqua" w:hAnsi="Book Antiqua"/>
          <w:i/>
          <w:iCs/>
          <w:sz w:val="24"/>
          <w:szCs w:val="24"/>
          <w:lang w:val="en-US"/>
        </w:rPr>
        <w:t>Hepatology</w:t>
      </w:r>
      <w:r w:rsidRPr="001B167E">
        <w:rPr>
          <w:rFonts w:ascii="Book Antiqua" w:hAnsi="Book Antiqua"/>
          <w:sz w:val="24"/>
          <w:szCs w:val="24"/>
          <w:lang w:val="en-US"/>
        </w:rPr>
        <w:t> 1997; </w:t>
      </w:r>
      <w:r w:rsidRPr="001B167E">
        <w:rPr>
          <w:rFonts w:ascii="Book Antiqua" w:hAnsi="Book Antiqua"/>
          <w:b/>
          <w:bCs/>
          <w:sz w:val="24"/>
          <w:szCs w:val="24"/>
          <w:lang w:val="en-US"/>
        </w:rPr>
        <w:t>26</w:t>
      </w:r>
      <w:r w:rsidRPr="001B167E">
        <w:rPr>
          <w:rFonts w:ascii="Book Antiqua" w:hAnsi="Book Antiqua"/>
          <w:sz w:val="24"/>
          <w:szCs w:val="24"/>
          <w:lang w:val="en-US"/>
        </w:rPr>
        <w:t>: 605-610 [PMID: 9303489 DOI: 10.1002/hep.510260311]</w:t>
      </w:r>
    </w:p>
    <w:p w14:paraId="7BCA3A41"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3677A3">
        <w:rPr>
          <w:rFonts w:ascii="Book Antiqua" w:hAnsi="Book Antiqua"/>
          <w:sz w:val="24"/>
          <w:szCs w:val="24"/>
          <w:lang w:val="en-US"/>
        </w:rPr>
        <w:lastRenderedPageBreak/>
        <w:t>30 </w:t>
      </w:r>
      <w:r w:rsidRPr="003677A3">
        <w:rPr>
          <w:rFonts w:ascii="Book Antiqua" w:hAnsi="Book Antiqua"/>
          <w:b/>
          <w:bCs/>
          <w:sz w:val="24"/>
          <w:szCs w:val="24"/>
          <w:lang w:val="en-US"/>
        </w:rPr>
        <w:t>Bagchi D</w:t>
      </w:r>
      <w:r w:rsidRPr="003677A3">
        <w:rPr>
          <w:rFonts w:ascii="Book Antiqua" w:hAnsi="Book Antiqua"/>
          <w:sz w:val="24"/>
          <w:szCs w:val="24"/>
          <w:lang w:val="en-US"/>
        </w:rPr>
        <w:t>, Garg A, Krohn RL, Bagchi M, Tran MX, Stohs SJ. Oxygen free radical scavenging abilities of vitamins C and E, and a grape seed proanthocyanidin extract in vitro. </w:t>
      </w:r>
      <w:r w:rsidRPr="003677A3">
        <w:rPr>
          <w:rFonts w:ascii="Book Antiqua" w:hAnsi="Book Antiqua"/>
          <w:i/>
          <w:iCs/>
          <w:sz w:val="24"/>
          <w:szCs w:val="24"/>
          <w:lang w:val="en-US"/>
        </w:rPr>
        <w:t>Res Commun Mol Pathol Pharmacol</w:t>
      </w:r>
      <w:r w:rsidRPr="003677A3">
        <w:rPr>
          <w:rFonts w:ascii="Book Antiqua" w:hAnsi="Book Antiqua"/>
          <w:sz w:val="24"/>
          <w:szCs w:val="24"/>
          <w:lang w:val="en-US"/>
        </w:rPr>
        <w:t> 1997; </w:t>
      </w:r>
      <w:r w:rsidRPr="003677A3">
        <w:rPr>
          <w:rFonts w:ascii="Book Antiqua" w:hAnsi="Book Antiqua"/>
          <w:b/>
          <w:bCs/>
          <w:sz w:val="24"/>
          <w:szCs w:val="24"/>
          <w:lang w:val="en-US"/>
        </w:rPr>
        <w:t>95</w:t>
      </w:r>
      <w:r w:rsidRPr="003677A3">
        <w:rPr>
          <w:rFonts w:ascii="Book Antiqua" w:hAnsi="Book Antiqua"/>
          <w:sz w:val="24"/>
          <w:szCs w:val="24"/>
          <w:lang w:val="en-US"/>
        </w:rPr>
        <w:t>: 179-189 [PMID: 9090754]</w:t>
      </w:r>
    </w:p>
    <w:p w14:paraId="1829C76D"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31 </w:t>
      </w:r>
      <w:r w:rsidRPr="001B167E">
        <w:rPr>
          <w:rFonts w:ascii="Book Antiqua" w:hAnsi="Book Antiqua"/>
          <w:b/>
          <w:bCs/>
          <w:sz w:val="24"/>
          <w:szCs w:val="24"/>
          <w:lang w:val="en-US"/>
        </w:rPr>
        <w:t>Ramey G</w:t>
      </w:r>
      <w:r w:rsidRPr="001B167E">
        <w:rPr>
          <w:rFonts w:ascii="Book Antiqua" w:hAnsi="Book Antiqua"/>
          <w:sz w:val="24"/>
          <w:szCs w:val="24"/>
          <w:lang w:val="en-US"/>
        </w:rPr>
        <w:t>, Deschemin JC, Durel B, Canonne-Hergaux F, Nicolas G, Vaulont S. Hepcidin targets ferroportin for degradation in hepatocytes. </w:t>
      </w:r>
      <w:r w:rsidRPr="001B167E">
        <w:rPr>
          <w:rFonts w:ascii="Book Antiqua" w:hAnsi="Book Antiqua"/>
          <w:i/>
          <w:iCs/>
          <w:sz w:val="24"/>
          <w:szCs w:val="24"/>
          <w:lang w:val="en-US"/>
        </w:rPr>
        <w:t>Haematologica</w:t>
      </w:r>
      <w:r w:rsidRPr="001B167E">
        <w:rPr>
          <w:rFonts w:ascii="Book Antiqua" w:hAnsi="Book Antiqua"/>
          <w:sz w:val="24"/>
          <w:szCs w:val="24"/>
          <w:lang w:val="en-US"/>
        </w:rPr>
        <w:t> 2010; </w:t>
      </w:r>
      <w:r w:rsidRPr="001B167E">
        <w:rPr>
          <w:rFonts w:ascii="Book Antiqua" w:hAnsi="Book Antiqua"/>
          <w:b/>
          <w:bCs/>
          <w:sz w:val="24"/>
          <w:szCs w:val="24"/>
          <w:lang w:val="en-US"/>
        </w:rPr>
        <w:t>95</w:t>
      </w:r>
      <w:r w:rsidRPr="001B167E">
        <w:rPr>
          <w:rFonts w:ascii="Book Antiqua" w:hAnsi="Book Antiqua"/>
          <w:sz w:val="24"/>
          <w:szCs w:val="24"/>
          <w:lang w:val="en-US"/>
        </w:rPr>
        <w:t>: 501-504 [PMID: 19773263 DOI: 10.3324/haematol.2009.014399]</w:t>
      </w:r>
    </w:p>
    <w:p w14:paraId="15D46529"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32 </w:t>
      </w:r>
      <w:r w:rsidRPr="001B167E">
        <w:rPr>
          <w:rFonts w:ascii="Book Antiqua" w:hAnsi="Book Antiqua"/>
          <w:b/>
          <w:bCs/>
          <w:sz w:val="24"/>
          <w:szCs w:val="24"/>
          <w:lang w:val="en-US"/>
        </w:rPr>
        <w:t>de Valk B</w:t>
      </w:r>
      <w:r w:rsidRPr="001B167E">
        <w:rPr>
          <w:rFonts w:ascii="Book Antiqua" w:hAnsi="Book Antiqua"/>
          <w:sz w:val="24"/>
          <w:szCs w:val="24"/>
          <w:lang w:val="en-US"/>
        </w:rPr>
        <w:t>, Addicks MA, Gosriwatana I, Lu S, Hider RC, Marx JJ. Non-transferrin-bound iron is present in serum of hereditary haemochromatosis heterozygotes. </w:t>
      </w:r>
      <w:r w:rsidRPr="001B167E">
        <w:rPr>
          <w:rFonts w:ascii="Book Antiqua" w:hAnsi="Book Antiqua"/>
          <w:i/>
          <w:iCs/>
          <w:sz w:val="24"/>
          <w:szCs w:val="24"/>
          <w:lang w:val="en-US"/>
        </w:rPr>
        <w:t>Eur J Clin Invest</w:t>
      </w:r>
      <w:r w:rsidRPr="001B167E">
        <w:rPr>
          <w:rFonts w:ascii="Book Antiqua" w:hAnsi="Book Antiqua"/>
          <w:sz w:val="24"/>
          <w:szCs w:val="24"/>
          <w:lang w:val="en-US"/>
        </w:rPr>
        <w:t> 2000; </w:t>
      </w:r>
      <w:r w:rsidRPr="001B167E">
        <w:rPr>
          <w:rFonts w:ascii="Book Antiqua" w:hAnsi="Book Antiqua"/>
          <w:b/>
          <w:bCs/>
          <w:sz w:val="24"/>
          <w:szCs w:val="24"/>
          <w:lang w:val="en-US"/>
        </w:rPr>
        <w:t>30</w:t>
      </w:r>
      <w:r w:rsidRPr="001B167E">
        <w:rPr>
          <w:rFonts w:ascii="Book Antiqua" w:hAnsi="Book Antiqua"/>
          <w:sz w:val="24"/>
          <w:szCs w:val="24"/>
          <w:lang w:val="en-US"/>
        </w:rPr>
        <w:t>: 248-251 [PMID: 10692002 DOI: 10.1046/j.1365-2362.2000.00628.x]</w:t>
      </w:r>
    </w:p>
    <w:p w14:paraId="10399117"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33 </w:t>
      </w:r>
      <w:r w:rsidRPr="001B167E">
        <w:rPr>
          <w:rFonts w:ascii="Book Antiqua" w:hAnsi="Book Antiqua"/>
          <w:b/>
          <w:bCs/>
          <w:sz w:val="24"/>
          <w:szCs w:val="24"/>
          <w:lang w:val="en-US"/>
        </w:rPr>
        <w:t>Pietrangelo A</w:t>
      </w:r>
      <w:r w:rsidRPr="001B167E">
        <w:rPr>
          <w:rFonts w:ascii="Book Antiqua" w:hAnsi="Book Antiqua"/>
          <w:sz w:val="24"/>
          <w:szCs w:val="24"/>
          <w:lang w:val="en-US"/>
        </w:rPr>
        <w:t>. Metals, oxidative stress, and hepatic fibrogenesis. </w:t>
      </w:r>
      <w:r w:rsidRPr="001B167E">
        <w:rPr>
          <w:rFonts w:ascii="Book Antiqua" w:hAnsi="Book Antiqua"/>
          <w:i/>
          <w:iCs/>
          <w:sz w:val="24"/>
          <w:szCs w:val="24"/>
          <w:lang w:val="en-US"/>
        </w:rPr>
        <w:t>Semin Liver Dis</w:t>
      </w:r>
      <w:r w:rsidRPr="001B167E">
        <w:rPr>
          <w:rFonts w:ascii="Book Antiqua" w:hAnsi="Book Antiqua"/>
          <w:sz w:val="24"/>
          <w:szCs w:val="24"/>
          <w:lang w:val="en-US"/>
        </w:rPr>
        <w:t> 1996; </w:t>
      </w:r>
      <w:r w:rsidRPr="001B167E">
        <w:rPr>
          <w:rFonts w:ascii="Book Antiqua" w:hAnsi="Book Antiqua"/>
          <w:b/>
          <w:bCs/>
          <w:sz w:val="24"/>
          <w:szCs w:val="24"/>
          <w:lang w:val="en-US"/>
        </w:rPr>
        <w:t>16</w:t>
      </w:r>
      <w:r w:rsidRPr="001B167E">
        <w:rPr>
          <w:rFonts w:ascii="Book Antiqua" w:hAnsi="Book Antiqua"/>
          <w:sz w:val="24"/>
          <w:szCs w:val="24"/>
          <w:lang w:val="en-US"/>
        </w:rPr>
        <w:t>: 13-30 [PMID: 8723320 DOI: 10.1055/s-2007-1007215]</w:t>
      </w:r>
    </w:p>
    <w:p w14:paraId="0B7FE5DE"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34 </w:t>
      </w:r>
      <w:r w:rsidRPr="001B167E">
        <w:rPr>
          <w:rFonts w:ascii="Book Antiqua" w:hAnsi="Book Antiqua"/>
          <w:b/>
          <w:bCs/>
          <w:sz w:val="24"/>
          <w:szCs w:val="24"/>
          <w:lang w:val="en-US"/>
        </w:rPr>
        <w:t>Lemire JA</w:t>
      </w:r>
      <w:r w:rsidRPr="001B167E">
        <w:rPr>
          <w:rFonts w:ascii="Book Antiqua" w:hAnsi="Book Antiqua"/>
          <w:sz w:val="24"/>
          <w:szCs w:val="24"/>
          <w:lang w:val="en-US"/>
        </w:rPr>
        <w:t>, Harrison JJ, Turner RJ. Antimicrobial activity of metals: mechanisms, molecular targets and applications. </w:t>
      </w:r>
      <w:r w:rsidRPr="001B167E">
        <w:rPr>
          <w:rFonts w:ascii="Book Antiqua" w:hAnsi="Book Antiqua"/>
          <w:i/>
          <w:iCs/>
          <w:sz w:val="24"/>
          <w:szCs w:val="24"/>
          <w:lang w:val="en-US"/>
        </w:rPr>
        <w:t>Nat Rev Microbiol</w:t>
      </w:r>
      <w:r w:rsidRPr="001B167E">
        <w:rPr>
          <w:rFonts w:ascii="Book Antiqua" w:hAnsi="Book Antiqua"/>
          <w:sz w:val="24"/>
          <w:szCs w:val="24"/>
          <w:lang w:val="en-US"/>
        </w:rPr>
        <w:t> 2013; </w:t>
      </w:r>
      <w:r w:rsidRPr="001B167E">
        <w:rPr>
          <w:rFonts w:ascii="Book Antiqua" w:hAnsi="Book Antiqua"/>
          <w:b/>
          <w:bCs/>
          <w:sz w:val="24"/>
          <w:szCs w:val="24"/>
          <w:lang w:val="en-US"/>
        </w:rPr>
        <w:t>11</w:t>
      </w:r>
      <w:r w:rsidRPr="001B167E">
        <w:rPr>
          <w:rFonts w:ascii="Book Antiqua" w:hAnsi="Book Antiqua"/>
          <w:sz w:val="24"/>
          <w:szCs w:val="24"/>
          <w:lang w:val="en-US"/>
        </w:rPr>
        <w:t>: 371-384 [PMID: 23669886 DOI: 10.1038/nrmicro3028]</w:t>
      </w:r>
    </w:p>
    <w:p w14:paraId="44A22634"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35 </w:t>
      </w:r>
      <w:r w:rsidRPr="001B167E">
        <w:rPr>
          <w:rFonts w:ascii="Book Antiqua" w:hAnsi="Book Antiqua"/>
          <w:b/>
          <w:bCs/>
          <w:sz w:val="24"/>
          <w:szCs w:val="24"/>
          <w:lang w:val="en-US"/>
        </w:rPr>
        <w:t>Houglum K</w:t>
      </w:r>
      <w:r w:rsidRPr="001B167E">
        <w:rPr>
          <w:rFonts w:ascii="Book Antiqua" w:hAnsi="Book Antiqua"/>
          <w:sz w:val="24"/>
          <w:szCs w:val="24"/>
          <w:lang w:val="en-US"/>
        </w:rPr>
        <w:t>, Filip M, Witztum JL, Chojkier M. Malondialdehyde and 4-hydroxynonenal protein adducts in plasma and liver of rats with iron overload. </w:t>
      </w:r>
      <w:r w:rsidRPr="001B167E">
        <w:rPr>
          <w:rFonts w:ascii="Book Antiqua" w:hAnsi="Book Antiqua"/>
          <w:i/>
          <w:iCs/>
          <w:sz w:val="24"/>
          <w:szCs w:val="24"/>
          <w:lang w:val="en-US"/>
        </w:rPr>
        <w:t>J Clin Invest</w:t>
      </w:r>
      <w:r w:rsidRPr="001B167E">
        <w:rPr>
          <w:rFonts w:ascii="Book Antiqua" w:hAnsi="Book Antiqua"/>
          <w:sz w:val="24"/>
          <w:szCs w:val="24"/>
          <w:lang w:val="en-US"/>
        </w:rPr>
        <w:t> 1990; </w:t>
      </w:r>
      <w:r w:rsidRPr="001B167E">
        <w:rPr>
          <w:rFonts w:ascii="Book Antiqua" w:hAnsi="Book Antiqua"/>
          <w:b/>
          <w:bCs/>
          <w:sz w:val="24"/>
          <w:szCs w:val="24"/>
          <w:lang w:val="en-US"/>
        </w:rPr>
        <w:t>86</w:t>
      </w:r>
      <w:r w:rsidRPr="001B167E">
        <w:rPr>
          <w:rFonts w:ascii="Book Antiqua" w:hAnsi="Book Antiqua"/>
          <w:sz w:val="24"/>
          <w:szCs w:val="24"/>
          <w:lang w:val="en-US"/>
        </w:rPr>
        <w:t>: 1991-1998 [PMID: 2123889 DOI: 10.1172/JCI114934]</w:t>
      </w:r>
    </w:p>
    <w:p w14:paraId="1BA06758"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36 </w:t>
      </w:r>
      <w:r w:rsidRPr="001B167E">
        <w:rPr>
          <w:rFonts w:ascii="Book Antiqua" w:hAnsi="Book Antiqua"/>
          <w:b/>
          <w:bCs/>
          <w:sz w:val="24"/>
          <w:szCs w:val="24"/>
          <w:lang w:val="en-US"/>
        </w:rPr>
        <w:t>Comporti M</w:t>
      </w:r>
      <w:r w:rsidRPr="001B167E">
        <w:rPr>
          <w:rFonts w:ascii="Book Antiqua" w:hAnsi="Book Antiqua"/>
          <w:sz w:val="24"/>
          <w:szCs w:val="24"/>
          <w:lang w:val="en-US"/>
        </w:rPr>
        <w:t>, Arezzini B, Signorini C, Vecchio D, Gardi C. Oxidative stress, isoprostanes and hepatic fibrosis. </w:t>
      </w:r>
      <w:r w:rsidRPr="001B167E">
        <w:rPr>
          <w:rFonts w:ascii="Book Antiqua" w:hAnsi="Book Antiqua"/>
          <w:i/>
          <w:iCs/>
          <w:sz w:val="24"/>
          <w:szCs w:val="24"/>
          <w:lang w:val="en-US"/>
        </w:rPr>
        <w:t>Histol Histopathol</w:t>
      </w:r>
      <w:r w:rsidRPr="001B167E">
        <w:rPr>
          <w:rFonts w:ascii="Book Antiqua" w:hAnsi="Book Antiqua"/>
          <w:sz w:val="24"/>
          <w:szCs w:val="24"/>
          <w:lang w:val="en-US"/>
        </w:rPr>
        <w:t> 2009; </w:t>
      </w:r>
      <w:r w:rsidRPr="001B167E">
        <w:rPr>
          <w:rFonts w:ascii="Book Antiqua" w:hAnsi="Book Antiqua"/>
          <w:b/>
          <w:bCs/>
          <w:sz w:val="24"/>
          <w:szCs w:val="24"/>
          <w:lang w:val="en-US"/>
        </w:rPr>
        <w:t>24</w:t>
      </w:r>
      <w:r w:rsidRPr="001B167E">
        <w:rPr>
          <w:rFonts w:ascii="Book Antiqua" w:hAnsi="Book Antiqua"/>
          <w:sz w:val="24"/>
          <w:szCs w:val="24"/>
          <w:lang w:val="en-US"/>
        </w:rPr>
        <w:t>: 893-900 [PMID: 19475535 DOI: 10.14670/HH-24.893]</w:t>
      </w:r>
    </w:p>
    <w:p w14:paraId="73A95543"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37 </w:t>
      </w:r>
      <w:r w:rsidRPr="001B167E">
        <w:rPr>
          <w:rFonts w:ascii="Book Antiqua" w:hAnsi="Book Antiqua"/>
          <w:b/>
          <w:bCs/>
          <w:sz w:val="24"/>
          <w:szCs w:val="24"/>
          <w:lang w:val="en-US"/>
        </w:rPr>
        <w:t>Zamara E</w:t>
      </w:r>
      <w:r w:rsidRPr="001B167E">
        <w:rPr>
          <w:rFonts w:ascii="Book Antiqua" w:hAnsi="Book Antiqua"/>
          <w:sz w:val="24"/>
          <w:szCs w:val="24"/>
          <w:lang w:val="en-US"/>
        </w:rPr>
        <w:t>, Novo E, Marra F, Gentilini A, Romanelli RG, Caligiuri A, Robino G, Tamagno E, Aragno M, Danni O, Autelli R, Colombatto S, Dianzani MU, Pinzani M, Parola M. 4-Hydroxynonenal as a selective pro-fibrogenic stimulus for activated human hepatic stellate cells. </w:t>
      </w:r>
      <w:r w:rsidRPr="001B167E">
        <w:rPr>
          <w:rFonts w:ascii="Book Antiqua" w:hAnsi="Book Antiqua"/>
          <w:i/>
          <w:iCs/>
          <w:sz w:val="24"/>
          <w:szCs w:val="24"/>
          <w:lang w:val="en-US"/>
        </w:rPr>
        <w:t>J Hepatol</w:t>
      </w:r>
      <w:r w:rsidRPr="001B167E">
        <w:rPr>
          <w:rFonts w:ascii="Book Antiqua" w:hAnsi="Book Antiqua"/>
          <w:sz w:val="24"/>
          <w:szCs w:val="24"/>
          <w:lang w:val="en-US"/>
        </w:rPr>
        <w:t> 2004; </w:t>
      </w:r>
      <w:r w:rsidRPr="001B167E">
        <w:rPr>
          <w:rFonts w:ascii="Book Antiqua" w:hAnsi="Book Antiqua"/>
          <w:b/>
          <w:bCs/>
          <w:sz w:val="24"/>
          <w:szCs w:val="24"/>
          <w:lang w:val="en-US"/>
        </w:rPr>
        <w:t>40</w:t>
      </w:r>
      <w:r w:rsidRPr="001B167E">
        <w:rPr>
          <w:rFonts w:ascii="Book Antiqua" w:hAnsi="Book Antiqua"/>
          <w:sz w:val="24"/>
          <w:szCs w:val="24"/>
          <w:lang w:val="en-US"/>
        </w:rPr>
        <w:t>: 60-68 [PMID: 14672615 DOI: 10.1016/S0168-8278(03)00480-X]</w:t>
      </w:r>
    </w:p>
    <w:p w14:paraId="4238D151"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38 </w:t>
      </w:r>
      <w:r w:rsidRPr="001B167E">
        <w:rPr>
          <w:rFonts w:ascii="Book Antiqua" w:hAnsi="Book Antiqua"/>
          <w:b/>
          <w:bCs/>
          <w:sz w:val="24"/>
          <w:szCs w:val="24"/>
          <w:lang w:val="en-US"/>
        </w:rPr>
        <w:t>Ranganathan P</w:t>
      </w:r>
      <w:r w:rsidRPr="001B167E">
        <w:rPr>
          <w:rFonts w:ascii="Book Antiqua" w:hAnsi="Book Antiqua"/>
          <w:sz w:val="24"/>
          <w:szCs w:val="24"/>
          <w:lang w:val="en-US"/>
        </w:rPr>
        <w:t>, Agrawal A, Bhushan R, Chavalmane AK, Kalathur RK, Takahashi T, Kondaiah P. Expression profiling of genes regulated by TGF-beta: differential regulation in normal and tumour cells. </w:t>
      </w:r>
      <w:r w:rsidRPr="001B167E">
        <w:rPr>
          <w:rFonts w:ascii="Book Antiqua" w:hAnsi="Book Antiqua"/>
          <w:i/>
          <w:iCs/>
          <w:sz w:val="24"/>
          <w:szCs w:val="24"/>
          <w:lang w:val="en-US"/>
        </w:rPr>
        <w:t>BMC Genomics</w:t>
      </w:r>
      <w:r w:rsidRPr="001B167E">
        <w:rPr>
          <w:rFonts w:ascii="Book Antiqua" w:hAnsi="Book Antiqua"/>
          <w:sz w:val="24"/>
          <w:szCs w:val="24"/>
          <w:lang w:val="en-US"/>
        </w:rPr>
        <w:t> 2007; </w:t>
      </w:r>
      <w:r w:rsidRPr="001B167E">
        <w:rPr>
          <w:rFonts w:ascii="Book Antiqua" w:hAnsi="Book Antiqua"/>
          <w:b/>
          <w:bCs/>
          <w:sz w:val="24"/>
          <w:szCs w:val="24"/>
          <w:lang w:val="en-US"/>
        </w:rPr>
        <w:t>8</w:t>
      </w:r>
      <w:r w:rsidRPr="001B167E">
        <w:rPr>
          <w:rFonts w:ascii="Book Antiqua" w:hAnsi="Book Antiqua"/>
          <w:sz w:val="24"/>
          <w:szCs w:val="24"/>
          <w:lang w:val="en-US"/>
        </w:rPr>
        <w:t>: 98 [PMID: 17425807 DOI: 10.1186/1471-2164-8-98]</w:t>
      </w:r>
    </w:p>
    <w:p w14:paraId="18C2F282"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lastRenderedPageBreak/>
        <w:t>39 </w:t>
      </w:r>
      <w:r w:rsidRPr="001B167E">
        <w:rPr>
          <w:rFonts w:ascii="Book Antiqua" w:hAnsi="Book Antiqua"/>
          <w:b/>
          <w:bCs/>
          <w:sz w:val="24"/>
          <w:szCs w:val="24"/>
          <w:lang w:val="en-US"/>
        </w:rPr>
        <w:t>Parrow NL</w:t>
      </w:r>
      <w:r w:rsidRPr="001B167E">
        <w:rPr>
          <w:rFonts w:ascii="Book Antiqua" w:hAnsi="Book Antiqua"/>
          <w:sz w:val="24"/>
          <w:szCs w:val="24"/>
          <w:lang w:val="en-US"/>
        </w:rPr>
        <w:t>, Fleming RE. Bone morphogenetic proteins as regulators of iron metabolism. </w:t>
      </w:r>
      <w:r w:rsidRPr="001B167E">
        <w:rPr>
          <w:rFonts w:ascii="Book Antiqua" w:hAnsi="Book Antiqua"/>
          <w:i/>
          <w:iCs/>
          <w:sz w:val="24"/>
          <w:szCs w:val="24"/>
          <w:lang w:val="en-US"/>
        </w:rPr>
        <w:t>Annu Rev Nutr</w:t>
      </w:r>
      <w:r w:rsidRPr="001B167E">
        <w:rPr>
          <w:rFonts w:ascii="Book Antiqua" w:hAnsi="Book Antiqua"/>
          <w:sz w:val="24"/>
          <w:szCs w:val="24"/>
          <w:lang w:val="en-US"/>
        </w:rPr>
        <w:t> 2014; </w:t>
      </w:r>
      <w:r w:rsidRPr="001B167E">
        <w:rPr>
          <w:rFonts w:ascii="Book Antiqua" w:hAnsi="Book Antiqua"/>
          <w:b/>
          <w:bCs/>
          <w:sz w:val="24"/>
          <w:szCs w:val="24"/>
          <w:lang w:val="en-US"/>
        </w:rPr>
        <w:t>34</w:t>
      </w:r>
      <w:r w:rsidRPr="001B167E">
        <w:rPr>
          <w:rFonts w:ascii="Book Antiqua" w:hAnsi="Book Antiqua"/>
          <w:sz w:val="24"/>
          <w:szCs w:val="24"/>
          <w:lang w:val="en-US"/>
        </w:rPr>
        <w:t>: 77-94 [PMID: 24995692 DOI: 10.1146/annurev-nutr-071813-105646]</w:t>
      </w:r>
    </w:p>
    <w:p w14:paraId="09DE3627"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40 </w:t>
      </w:r>
      <w:r w:rsidRPr="001B167E">
        <w:rPr>
          <w:rFonts w:ascii="Book Antiqua" w:hAnsi="Book Antiqua"/>
          <w:b/>
          <w:bCs/>
          <w:sz w:val="24"/>
          <w:szCs w:val="24"/>
          <w:lang w:val="en-US"/>
        </w:rPr>
        <w:t>Kautz L</w:t>
      </w:r>
      <w:r w:rsidRPr="001B167E">
        <w:rPr>
          <w:rFonts w:ascii="Book Antiqua" w:hAnsi="Book Antiqua"/>
          <w:sz w:val="24"/>
          <w:szCs w:val="24"/>
          <w:lang w:val="en-US"/>
        </w:rPr>
        <w:t>, Meynard D, Monnier A, Darnaud V, Bouvet R, Wang RH, Deng C, Vaulont S, Mosser J, Coppin H, Roth MP. Iron regulates phosphorylation of Smad1/5/8 and gene expression of Bmp6, Smad7, Id1, and Atoh8 in the mouse liver. </w:t>
      </w:r>
      <w:r w:rsidRPr="001B167E">
        <w:rPr>
          <w:rFonts w:ascii="Book Antiqua" w:hAnsi="Book Antiqua"/>
          <w:i/>
          <w:iCs/>
          <w:sz w:val="24"/>
          <w:szCs w:val="24"/>
          <w:lang w:val="en-US"/>
        </w:rPr>
        <w:t>Blood</w:t>
      </w:r>
      <w:r w:rsidRPr="001B167E">
        <w:rPr>
          <w:rFonts w:ascii="Book Antiqua" w:hAnsi="Book Antiqua"/>
          <w:sz w:val="24"/>
          <w:szCs w:val="24"/>
          <w:lang w:val="en-US"/>
        </w:rPr>
        <w:t> 2008; </w:t>
      </w:r>
      <w:r w:rsidRPr="001B167E">
        <w:rPr>
          <w:rFonts w:ascii="Book Antiqua" w:hAnsi="Book Antiqua"/>
          <w:b/>
          <w:bCs/>
          <w:sz w:val="24"/>
          <w:szCs w:val="24"/>
          <w:lang w:val="en-US"/>
        </w:rPr>
        <w:t>112</w:t>
      </w:r>
      <w:r w:rsidRPr="001B167E">
        <w:rPr>
          <w:rFonts w:ascii="Book Antiqua" w:hAnsi="Book Antiqua"/>
          <w:sz w:val="24"/>
          <w:szCs w:val="24"/>
          <w:lang w:val="en-US"/>
        </w:rPr>
        <w:t>: 1503-1509 [PMID: 18539898 DOI: 10.1182/blood-2008-03-143354]</w:t>
      </w:r>
    </w:p>
    <w:p w14:paraId="2CD0303D"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41 </w:t>
      </w:r>
      <w:r w:rsidRPr="001B167E">
        <w:rPr>
          <w:rFonts w:ascii="Book Antiqua" w:hAnsi="Book Antiqua"/>
          <w:b/>
          <w:bCs/>
          <w:sz w:val="24"/>
          <w:szCs w:val="24"/>
          <w:lang w:val="en-US"/>
        </w:rPr>
        <w:t>Miyazono K</w:t>
      </w:r>
      <w:r w:rsidRPr="001B167E">
        <w:rPr>
          <w:rFonts w:ascii="Book Antiqua" w:hAnsi="Book Antiqua"/>
          <w:sz w:val="24"/>
          <w:szCs w:val="24"/>
          <w:lang w:val="en-US"/>
        </w:rPr>
        <w:t>, Kamiya Y, Morikawa M. Bone morphogenetic protein receptors and signal transduction. </w:t>
      </w:r>
      <w:r w:rsidRPr="001B167E">
        <w:rPr>
          <w:rFonts w:ascii="Book Antiqua" w:hAnsi="Book Antiqua"/>
          <w:i/>
          <w:iCs/>
          <w:sz w:val="24"/>
          <w:szCs w:val="24"/>
          <w:lang w:val="en-US"/>
        </w:rPr>
        <w:t>J Biochem</w:t>
      </w:r>
      <w:r w:rsidRPr="001B167E">
        <w:rPr>
          <w:rFonts w:ascii="Book Antiqua" w:hAnsi="Book Antiqua"/>
          <w:sz w:val="24"/>
          <w:szCs w:val="24"/>
          <w:lang w:val="en-US"/>
        </w:rPr>
        <w:t> 2010; </w:t>
      </w:r>
      <w:r w:rsidRPr="001B167E">
        <w:rPr>
          <w:rFonts w:ascii="Book Antiqua" w:hAnsi="Book Antiqua"/>
          <w:b/>
          <w:bCs/>
          <w:sz w:val="24"/>
          <w:szCs w:val="24"/>
          <w:lang w:val="en-US"/>
        </w:rPr>
        <w:t>147</w:t>
      </w:r>
      <w:r w:rsidRPr="001B167E">
        <w:rPr>
          <w:rFonts w:ascii="Book Antiqua" w:hAnsi="Book Antiqua"/>
          <w:sz w:val="24"/>
          <w:szCs w:val="24"/>
          <w:lang w:val="en-US"/>
        </w:rPr>
        <w:t>: 35-51 [PMID: 19762341 DOI: 10.1093/jb/mvp148]</w:t>
      </w:r>
    </w:p>
    <w:p w14:paraId="49D7653B"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42 </w:t>
      </w:r>
      <w:r w:rsidRPr="001B167E">
        <w:rPr>
          <w:rFonts w:ascii="Book Antiqua" w:hAnsi="Book Antiqua"/>
          <w:b/>
          <w:bCs/>
          <w:sz w:val="24"/>
          <w:szCs w:val="24"/>
          <w:lang w:val="en-US"/>
        </w:rPr>
        <w:t>Corradini E</w:t>
      </w:r>
      <w:r w:rsidRPr="001B167E">
        <w:rPr>
          <w:rFonts w:ascii="Book Antiqua" w:hAnsi="Book Antiqua"/>
          <w:sz w:val="24"/>
          <w:szCs w:val="24"/>
          <w:lang w:val="en-US"/>
        </w:rPr>
        <w:t>, Meynard D, Wu Q, Chen S, Ventura P, Pietrangelo A, Babitt JL. Serum and liver iron differently regulate the bone morphogenetic protein 6 (BMP6)-SMAD signaling pathway in mice. </w:t>
      </w:r>
      <w:r w:rsidRPr="001B167E">
        <w:rPr>
          <w:rFonts w:ascii="Book Antiqua" w:hAnsi="Book Antiqua"/>
          <w:i/>
          <w:iCs/>
          <w:sz w:val="24"/>
          <w:szCs w:val="24"/>
          <w:lang w:val="en-US"/>
        </w:rPr>
        <w:t>Hepatology</w:t>
      </w:r>
      <w:r w:rsidRPr="001B167E">
        <w:rPr>
          <w:rFonts w:ascii="Book Antiqua" w:hAnsi="Book Antiqua"/>
          <w:sz w:val="24"/>
          <w:szCs w:val="24"/>
          <w:lang w:val="en-US"/>
        </w:rPr>
        <w:t> 2011; </w:t>
      </w:r>
      <w:r w:rsidRPr="001B167E">
        <w:rPr>
          <w:rFonts w:ascii="Book Antiqua" w:hAnsi="Book Antiqua"/>
          <w:b/>
          <w:bCs/>
          <w:sz w:val="24"/>
          <w:szCs w:val="24"/>
          <w:lang w:val="en-US"/>
        </w:rPr>
        <w:t>54</w:t>
      </w:r>
      <w:r w:rsidRPr="001B167E">
        <w:rPr>
          <w:rFonts w:ascii="Book Antiqua" w:hAnsi="Book Antiqua"/>
          <w:sz w:val="24"/>
          <w:szCs w:val="24"/>
          <w:lang w:val="en-US"/>
        </w:rPr>
        <w:t>: 273-284 [PMID: 21488083 DOI: 10.1002/hep.24359]</w:t>
      </w:r>
    </w:p>
    <w:p w14:paraId="675376CD"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43 </w:t>
      </w:r>
      <w:r w:rsidRPr="001B167E">
        <w:rPr>
          <w:rFonts w:ascii="Book Antiqua" w:hAnsi="Book Antiqua"/>
          <w:b/>
          <w:bCs/>
          <w:sz w:val="24"/>
          <w:szCs w:val="24"/>
          <w:lang w:val="en-US"/>
        </w:rPr>
        <w:t>Wang RH</w:t>
      </w:r>
      <w:r w:rsidRPr="001B167E">
        <w:rPr>
          <w:rFonts w:ascii="Book Antiqua" w:hAnsi="Book Antiqua"/>
          <w:sz w:val="24"/>
          <w:szCs w:val="24"/>
          <w:lang w:val="en-US"/>
        </w:rPr>
        <w:t>, Li C, Xu X, Zheng Y, Xiao C, Zerfas P, Cooperman S, Eckhaus M, Rouault T, Mishra L, Deng CX. A role of SMAD4 in iron metabolism through the positive regulation of hepcidin expression. </w:t>
      </w:r>
      <w:r w:rsidRPr="001B167E">
        <w:rPr>
          <w:rFonts w:ascii="Book Antiqua" w:hAnsi="Book Antiqua"/>
          <w:i/>
          <w:iCs/>
          <w:sz w:val="24"/>
          <w:szCs w:val="24"/>
          <w:lang w:val="en-US"/>
        </w:rPr>
        <w:t>Cell Metab</w:t>
      </w:r>
      <w:r w:rsidRPr="001B167E">
        <w:rPr>
          <w:rFonts w:ascii="Book Antiqua" w:hAnsi="Book Antiqua"/>
          <w:sz w:val="24"/>
          <w:szCs w:val="24"/>
          <w:lang w:val="en-US"/>
        </w:rPr>
        <w:t> 2005; </w:t>
      </w:r>
      <w:r w:rsidRPr="001B167E">
        <w:rPr>
          <w:rFonts w:ascii="Book Antiqua" w:hAnsi="Book Antiqua"/>
          <w:b/>
          <w:bCs/>
          <w:sz w:val="24"/>
          <w:szCs w:val="24"/>
          <w:lang w:val="en-US"/>
        </w:rPr>
        <w:t>2</w:t>
      </w:r>
      <w:r w:rsidRPr="001B167E">
        <w:rPr>
          <w:rFonts w:ascii="Book Antiqua" w:hAnsi="Book Antiqua"/>
          <w:sz w:val="24"/>
          <w:szCs w:val="24"/>
          <w:lang w:val="en-US"/>
        </w:rPr>
        <w:t>: 399-409 [PMID: 16330325 DOI: 10.1016/j.cmet.2005.10.010]</w:t>
      </w:r>
    </w:p>
    <w:p w14:paraId="080185AC"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44 </w:t>
      </w:r>
      <w:r w:rsidRPr="001B167E">
        <w:rPr>
          <w:rFonts w:ascii="Book Antiqua" w:hAnsi="Book Antiqua"/>
          <w:b/>
          <w:bCs/>
          <w:sz w:val="24"/>
          <w:szCs w:val="24"/>
          <w:lang w:val="en-US"/>
        </w:rPr>
        <w:t>Chen S</w:t>
      </w:r>
      <w:r w:rsidRPr="001B167E">
        <w:rPr>
          <w:rFonts w:ascii="Book Antiqua" w:hAnsi="Book Antiqua"/>
          <w:sz w:val="24"/>
          <w:szCs w:val="24"/>
          <w:lang w:val="en-US"/>
        </w:rPr>
        <w:t>, Feng T, Vujić Spasić M, Altamura S, Breitkopf-Heinlein K, Altenöder J, Weiss TS, Dooley S, Muckenthaler MU. Transforming Growth Factor β1 (TGF-β1) Activates Hepcidin mRNA Expression in Hepatocytes. </w:t>
      </w:r>
      <w:r w:rsidRPr="001B167E">
        <w:rPr>
          <w:rFonts w:ascii="Book Antiqua" w:hAnsi="Book Antiqua"/>
          <w:i/>
          <w:iCs/>
          <w:sz w:val="24"/>
          <w:szCs w:val="24"/>
          <w:lang w:val="en-US"/>
        </w:rPr>
        <w:t>J Biol Chem</w:t>
      </w:r>
      <w:r w:rsidRPr="001B167E">
        <w:rPr>
          <w:rFonts w:ascii="Book Antiqua" w:hAnsi="Book Antiqua"/>
          <w:sz w:val="24"/>
          <w:szCs w:val="24"/>
          <w:lang w:val="en-US"/>
        </w:rPr>
        <w:t> 2016; </w:t>
      </w:r>
      <w:r w:rsidRPr="001B167E">
        <w:rPr>
          <w:rFonts w:ascii="Book Antiqua" w:hAnsi="Book Antiqua"/>
          <w:b/>
          <w:bCs/>
          <w:sz w:val="24"/>
          <w:szCs w:val="24"/>
          <w:lang w:val="en-US"/>
        </w:rPr>
        <w:t>291</w:t>
      </w:r>
      <w:r w:rsidRPr="001B167E">
        <w:rPr>
          <w:rFonts w:ascii="Book Antiqua" w:hAnsi="Book Antiqua"/>
          <w:sz w:val="24"/>
          <w:szCs w:val="24"/>
          <w:lang w:val="en-US"/>
        </w:rPr>
        <w:t>: 13160-13174 [PMID: 27129231 DOI: 10.1074/jbc.M115.691543]</w:t>
      </w:r>
    </w:p>
    <w:p w14:paraId="3D71B9E0"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45 </w:t>
      </w:r>
      <w:r w:rsidRPr="001B167E">
        <w:rPr>
          <w:rFonts w:ascii="Book Antiqua" w:hAnsi="Book Antiqua"/>
          <w:b/>
          <w:bCs/>
          <w:sz w:val="24"/>
          <w:szCs w:val="24"/>
          <w:lang w:val="en-US"/>
        </w:rPr>
        <w:t>Daly AC</w:t>
      </w:r>
      <w:r w:rsidRPr="001B167E">
        <w:rPr>
          <w:rFonts w:ascii="Book Antiqua" w:hAnsi="Book Antiqua"/>
          <w:sz w:val="24"/>
          <w:szCs w:val="24"/>
          <w:lang w:val="en-US"/>
        </w:rPr>
        <w:t>, Randall RA, Hill CS. Transforming growth factor beta-induced Smad1/5 phosphorylation in epithelial cells is mediated by novel receptor complexes and is essential for anchorage-independent growth. </w:t>
      </w:r>
      <w:r w:rsidRPr="001B167E">
        <w:rPr>
          <w:rFonts w:ascii="Book Antiqua" w:hAnsi="Book Antiqua"/>
          <w:i/>
          <w:iCs/>
          <w:sz w:val="24"/>
          <w:szCs w:val="24"/>
          <w:lang w:val="en-US"/>
        </w:rPr>
        <w:t>Mol Cell Biol</w:t>
      </w:r>
      <w:r w:rsidRPr="001B167E">
        <w:rPr>
          <w:rFonts w:ascii="Book Antiqua" w:hAnsi="Book Antiqua"/>
          <w:sz w:val="24"/>
          <w:szCs w:val="24"/>
          <w:lang w:val="en-US"/>
        </w:rPr>
        <w:t> 2008; </w:t>
      </w:r>
      <w:r w:rsidRPr="001B167E">
        <w:rPr>
          <w:rFonts w:ascii="Book Antiqua" w:hAnsi="Book Antiqua"/>
          <w:b/>
          <w:bCs/>
          <w:sz w:val="24"/>
          <w:szCs w:val="24"/>
          <w:lang w:val="en-US"/>
        </w:rPr>
        <w:t>28</w:t>
      </w:r>
      <w:r w:rsidRPr="001B167E">
        <w:rPr>
          <w:rFonts w:ascii="Book Antiqua" w:hAnsi="Book Antiqua"/>
          <w:sz w:val="24"/>
          <w:szCs w:val="24"/>
          <w:lang w:val="en-US"/>
        </w:rPr>
        <w:t>: 6889-6902 [PMID: 18794361 DOI: 10.1128/MCB.01192-08]</w:t>
      </w:r>
    </w:p>
    <w:p w14:paraId="4EF4AE86"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46 </w:t>
      </w:r>
      <w:r w:rsidRPr="001B167E">
        <w:rPr>
          <w:rFonts w:ascii="Book Antiqua" w:hAnsi="Book Antiqua"/>
          <w:b/>
          <w:bCs/>
          <w:sz w:val="24"/>
          <w:szCs w:val="24"/>
          <w:lang w:val="en-US"/>
        </w:rPr>
        <w:t>Wrighton KH</w:t>
      </w:r>
      <w:r w:rsidRPr="001B167E">
        <w:rPr>
          <w:rFonts w:ascii="Book Antiqua" w:hAnsi="Book Antiqua"/>
          <w:sz w:val="24"/>
          <w:szCs w:val="24"/>
          <w:lang w:val="en-US"/>
        </w:rPr>
        <w:t>, Lin X, Yu PB, Feng XH. Transforming Growth Factor {beta} Can Stimulate Smad1 Phosphorylation Independently of Bone Morphogenic Protein Receptors. </w:t>
      </w:r>
      <w:r w:rsidRPr="001B167E">
        <w:rPr>
          <w:rFonts w:ascii="Book Antiqua" w:hAnsi="Book Antiqua"/>
          <w:i/>
          <w:iCs/>
          <w:sz w:val="24"/>
          <w:szCs w:val="24"/>
          <w:lang w:val="en-US"/>
        </w:rPr>
        <w:t>J Biol Chem</w:t>
      </w:r>
      <w:r w:rsidRPr="001B167E">
        <w:rPr>
          <w:rFonts w:ascii="Book Antiqua" w:hAnsi="Book Antiqua"/>
          <w:sz w:val="24"/>
          <w:szCs w:val="24"/>
          <w:lang w:val="en-US"/>
        </w:rPr>
        <w:t> 2009; </w:t>
      </w:r>
      <w:r w:rsidRPr="001B167E">
        <w:rPr>
          <w:rFonts w:ascii="Book Antiqua" w:hAnsi="Book Antiqua"/>
          <w:b/>
          <w:bCs/>
          <w:sz w:val="24"/>
          <w:szCs w:val="24"/>
          <w:lang w:val="en-US"/>
        </w:rPr>
        <w:t>284</w:t>
      </w:r>
      <w:r w:rsidRPr="001B167E">
        <w:rPr>
          <w:rFonts w:ascii="Book Antiqua" w:hAnsi="Book Antiqua"/>
          <w:sz w:val="24"/>
          <w:szCs w:val="24"/>
          <w:lang w:val="en-US"/>
        </w:rPr>
        <w:t>: 9755-9763 [PMID: 19224917 DOI: 10.1074/jbc.M809223200]</w:t>
      </w:r>
    </w:p>
    <w:p w14:paraId="1BD836F4"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lastRenderedPageBreak/>
        <w:t>47 </w:t>
      </w:r>
      <w:r w:rsidRPr="001B167E">
        <w:rPr>
          <w:rFonts w:ascii="Book Antiqua" w:hAnsi="Book Antiqua"/>
          <w:b/>
          <w:bCs/>
          <w:sz w:val="24"/>
          <w:szCs w:val="24"/>
          <w:lang w:val="en-US"/>
        </w:rPr>
        <w:t>Akhmetshina A</w:t>
      </w:r>
      <w:r w:rsidRPr="001B167E">
        <w:rPr>
          <w:rFonts w:ascii="Book Antiqua" w:hAnsi="Book Antiqua"/>
          <w:sz w:val="24"/>
          <w:szCs w:val="24"/>
          <w:lang w:val="en-US"/>
        </w:rPr>
        <w:t>, Palumbo K, Dees C, Bergmann C, Venalis P, Zerr P, Horn A, Kireva T, Beyer C, Zwerina J, Schneider H, Sadowski A, Riener MO, MacDougald OA, Distler O, Schett G, Distler JH. Activation of canonical Wnt signalling is required for TGF-β-mediated fibrosis. </w:t>
      </w:r>
      <w:r w:rsidRPr="001B167E">
        <w:rPr>
          <w:rFonts w:ascii="Book Antiqua" w:hAnsi="Book Antiqua"/>
          <w:i/>
          <w:iCs/>
          <w:sz w:val="24"/>
          <w:szCs w:val="24"/>
          <w:lang w:val="en-US"/>
        </w:rPr>
        <w:t>Nat Commun</w:t>
      </w:r>
      <w:r w:rsidRPr="001B167E">
        <w:rPr>
          <w:rFonts w:ascii="Book Antiqua" w:hAnsi="Book Antiqua"/>
          <w:sz w:val="24"/>
          <w:szCs w:val="24"/>
          <w:lang w:val="en-US"/>
        </w:rPr>
        <w:t> 2012; </w:t>
      </w:r>
      <w:r w:rsidRPr="001B167E">
        <w:rPr>
          <w:rFonts w:ascii="Book Antiqua" w:hAnsi="Book Antiqua"/>
          <w:b/>
          <w:bCs/>
          <w:sz w:val="24"/>
          <w:szCs w:val="24"/>
          <w:lang w:val="en-US"/>
        </w:rPr>
        <w:t>3</w:t>
      </w:r>
      <w:r w:rsidRPr="001B167E">
        <w:rPr>
          <w:rFonts w:ascii="Book Antiqua" w:hAnsi="Book Antiqua"/>
          <w:sz w:val="24"/>
          <w:szCs w:val="24"/>
          <w:lang w:val="en-US"/>
        </w:rPr>
        <w:t>: 735 [PMID: 22415826 DOI: 10.1038/ncomms1734]</w:t>
      </w:r>
    </w:p>
    <w:p w14:paraId="50C0F42C"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48 </w:t>
      </w:r>
      <w:r w:rsidRPr="001B167E">
        <w:rPr>
          <w:rFonts w:ascii="Book Antiqua" w:hAnsi="Book Antiqua"/>
          <w:b/>
          <w:bCs/>
          <w:sz w:val="24"/>
          <w:szCs w:val="24"/>
          <w:lang w:val="en-US"/>
        </w:rPr>
        <w:t>Wang Y</w:t>
      </w:r>
      <w:r w:rsidRPr="001B167E">
        <w:rPr>
          <w:rFonts w:ascii="Book Antiqua" w:hAnsi="Book Antiqua"/>
          <w:sz w:val="24"/>
          <w:szCs w:val="24"/>
          <w:lang w:val="en-US"/>
        </w:rPr>
        <w:t>, Shen RW, Han B, Li Z, Xiong L, Zhang FY, Cong BB, Zhang B. Notch signaling mediated by TGF-β/Smad pathway in concanavalin A-induced liver fibrosis in rats. </w:t>
      </w:r>
      <w:r w:rsidRPr="001B167E">
        <w:rPr>
          <w:rFonts w:ascii="Book Antiqua" w:hAnsi="Book Antiqua"/>
          <w:i/>
          <w:iCs/>
          <w:sz w:val="24"/>
          <w:szCs w:val="24"/>
          <w:lang w:val="en-US"/>
        </w:rPr>
        <w:t>World J Gastroenterol</w:t>
      </w:r>
      <w:r w:rsidRPr="001B167E">
        <w:rPr>
          <w:rFonts w:ascii="Book Antiqua" w:hAnsi="Book Antiqua"/>
          <w:sz w:val="24"/>
          <w:szCs w:val="24"/>
          <w:lang w:val="en-US"/>
        </w:rPr>
        <w:t> 2017; </w:t>
      </w:r>
      <w:r w:rsidRPr="001B167E">
        <w:rPr>
          <w:rFonts w:ascii="Book Antiqua" w:hAnsi="Book Antiqua"/>
          <w:b/>
          <w:bCs/>
          <w:sz w:val="24"/>
          <w:szCs w:val="24"/>
          <w:lang w:val="en-US"/>
        </w:rPr>
        <w:t>23</w:t>
      </w:r>
      <w:r w:rsidRPr="001B167E">
        <w:rPr>
          <w:rFonts w:ascii="Book Antiqua" w:hAnsi="Book Antiqua"/>
          <w:sz w:val="24"/>
          <w:szCs w:val="24"/>
          <w:lang w:val="en-US"/>
        </w:rPr>
        <w:t>: 2330-2336 [PMID: 28428712 DOI: 10.3748/wjg.v23.i13.2330]</w:t>
      </w:r>
    </w:p>
    <w:p w14:paraId="15642B68"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49 </w:t>
      </w:r>
      <w:r w:rsidRPr="001B167E">
        <w:rPr>
          <w:rFonts w:ascii="Book Antiqua" w:hAnsi="Book Antiqua"/>
          <w:b/>
          <w:bCs/>
          <w:sz w:val="24"/>
          <w:szCs w:val="24"/>
          <w:lang w:val="en-US"/>
        </w:rPr>
        <w:t>Xie G</w:t>
      </w:r>
      <w:r w:rsidRPr="001B167E">
        <w:rPr>
          <w:rFonts w:ascii="Book Antiqua" w:hAnsi="Book Antiqua"/>
          <w:sz w:val="24"/>
          <w:szCs w:val="24"/>
          <w:lang w:val="en-US"/>
        </w:rPr>
        <w:t>, Karaca G, Swiderska-Syn M, Michelotti GA, Krüger L, Chen Y, Premont RT, Choi SS, Diehl AM. Cross-talk between Notch and Hedgehog regulates hepatic stellate cell fate in mice. </w:t>
      </w:r>
      <w:r w:rsidRPr="001B167E">
        <w:rPr>
          <w:rFonts w:ascii="Book Antiqua" w:hAnsi="Book Antiqua"/>
          <w:i/>
          <w:iCs/>
          <w:sz w:val="24"/>
          <w:szCs w:val="24"/>
          <w:lang w:val="en-US"/>
        </w:rPr>
        <w:t>Hepatology</w:t>
      </w:r>
      <w:r w:rsidRPr="001B167E">
        <w:rPr>
          <w:rFonts w:ascii="Book Antiqua" w:hAnsi="Book Antiqua"/>
          <w:sz w:val="24"/>
          <w:szCs w:val="24"/>
          <w:lang w:val="en-US"/>
        </w:rPr>
        <w:t> 2013; </w:t>
      </w:r>
      <w:r w:rsidRPr="001B167E">
        <w:rPr>
          <w:rFonts w:ascii="Book Antiqua" w:hAnsi="Book Antiqua"/>
          <w:b/>
          <w:bCs/>
          <w:sz w:val="24"/>
          <w:szCs w:val="24"/>
          <w:lang w:val="en-US"/>
        </w:rPr>
        <w:t>58</w:t>
      </w:r>
      <w:r w:rsidRPr="001B167E">
        <w:rPr>
          <w:rFonts w:ascii="Book Antiqua" w:hAnsi="Book Antiqua"/>
          <w:sz w:val="24"/>
          <w:szCs w:val="24"/>
          <w:lang w:val="en-US"/>
        </w:rPr>
        <w:t>: 1801-1813 [PMID: 23703657 DOI: 10.1002/hep.26511]</w:t>
      </w:r>
    </w:p>
    <w:p w14:paraId="3EE1EC14"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50 </w:t>
      </w:r>
      <w:r w:rsidRPr="001B167E">
        <w:rPr>
          <w:rFonts w:ascii="Book Antiqua" w:hAnsi="Book Antiqua"/>
          <w:b/>
          <w:bCs/>
          <w:sz w:val="24"/>
          <w:szCs w:val="24"/>
          <w:lang w:val="en-US"/>
        </w:rPr>
        <w:t>Cheng JH</w:t>
      </w:r>
      <w:r w:rsidRPr="001B167E">
        <w:rPr>
          <w:rFonts w:ascii="Book Antiqua" w:hAnsi="Book Antiqua"/>
          <w:sz w:val="24"/>
          <w:szCs w:val="24"/>
          <w:lang w:val="en-US"/>
        </w:rPr>
        <w:t>, She H, Han YP, Wang J, Xiong S, Asahina K, Tsukamoto H. Wnt antagonism inhibits hepatic stellate cell activation and liver fibrosis. </w:t>
      </w:r>
      <w:r w:rsidRPr="001B167E">
        <w:rPr>
          <w:rFonts w:ascii="Book Antiqua" w:hAnsi="Book Antiqua"/>
          <w:i/>
          <w:iCs/>
          <w:sz w:val="24"/>
          <w:szCs w:val="24"/>
          <w:lang w:val="en-US"/>
        </w:rPr>
        <w:t>Am J Physiol Gastrointest Liver Physiol</w:t>
      </w:r>
      <w:r w:rsidRPr="001B167E">
        <w:rPr>
          <w:rFonts w:ascii="Book Antiqua" w:hAnsi="Book Antiqua"/>
          <w:sz w:val="24"/>
          <w:szCs w:val="24"/>
          <w:lang w:val="en-US"/>
        </w:rPr>
        <w:t> 2008; </w:t>
      </w:r>
      <w:r w:rsidRPr="001B167E">
        <w:rPr>
          <w:rFonts w:ascii="Book Antiqua" w:hAnsi="Book Antiqua"/>
          <w:b/>
          <w:bCs/>
          <w:sz w:val="24"/>
          <w:szCs w:val="24"/>
          <w:lang w:val="en-US"/>
        </w:rPr>
        <w:t>294</w:t>
      </w:r>
      <w:r w:rsidRPr="001B167E">
        <w:rPr>
          <w:rFonts w:ascii="Book Antiqua" w:hAnsi="Book Antiqua"/>
          <w:sz w:val="24"/>
          <w:szCs w:val="24"/>
          <w:lang w:val="en-US"/>
        </w:rPr>
        <w:t>: G39-G49 [PMID: 18006602 DOI: 10.1152/ajpgi.00263.2007]</w:t>
      </w:r>
    </w:p>
    <w:p w14:paraId="7C2A970D"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51 </w:t>
      </w:r>
      <w:r w:rsidRPr="001B167E">
        <w:rPr>
          <w:rFonts w:ascii="Book Antiqua" w:hAnsi="Book Antiqua"/>
          <w:b/>
          <w:bCs/>
          <w:sz w:val="24"/>
          <w:szCs w:val="24"/>
          <w:lang w:val="en-US"/>
        </w:rPr>
        <w:t>Philips GM</w:t>
      </w:r>
      <w:r w:rsidRPr="001B167E">
        <w:rPr>
          <w:rFonts w:ascii="Book Antiqua" w:hAnsi="Book Antiqua"/>
          <w:sz w:val="24"/>
          <w:szCs w:val="24"/>
          <w:lang w:val="en-US"/>
        </w:rPr>
        <w:t>, Chan IS, Swiderska M, Schroder VT, Guy C, Karaca GF, Moylan C, Venkatraman T, Feuerlein S, Syn WK, Jung Y, Witek RP, Choi S, Michelotti GA, Rangwala F, Merkle E, Lascola C, Diehl AM. Hedgehog signaling antagonist promotes regression of both liver fibrosis and hepatocellular carcinoma in a murine model of primary liver cancer. </w:t>
      </w:r>
      <w:r w:rsidRPr="001B167E">
        <w:rPr>
          <w:rFonts w:ascii="Book Antiqua" w:hAnsi="Book Antiqua"/>
          <w:i/>
          <w:iCs/>
          <w:sz w:val="24"/>
          <w:szCs w:val="24"/>
          <w:lang w:val="en-US"/>
        </w:rPr>
        <w:t>PLoS One</w:t>
      </w:r>
      <w:r w:rsidRPr="001B167E">
        <w:rPr>
          <w:rFonts w:ascii="Book Antiqua" w:hAnsi="Book Antiqua"/>
          <w:sz w:val="24"/>
          <w:szCs w:val="24"/>
          <w:lang w:val="en-US"/>
        </w:rPr>
        <w:t> 2011; </w:t>
      </w:r>
      <w:r w:rsidRPr="001B167E">
        <w:rPr>
          <w:rFonts w:ascii="Book Antiqua" w:hAnsi="Book Antiqua"/>
          <w:b/>
          <w:bCs/>
          <w:sz w:val="24"/>
          <w:szCs w:val="24"/>
          <w:lang w:val="en-US"/>
        </w:rPr>
        <w:t>6</w:t>
      </w:r>
      <w:r w:rsidRPr="001B167E">
        <w:rPr>
          <w:rFonts w:ascii="Book Antiqua" w:hAnsi="Book Antiqua"/>
          <w:sz w:val="24"/>
          <w:szCs w:val="24"/>
          <w:lang w:val="en-US"/>
        </w:rPr>
        <w:t>: e23943 [PMID: 21912653 DOI: 10.1371/journal.pone.0023943]</w:t>
      </w:r>
    </w:p>
    <w:p w14:paraId="08F1BB1F"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52 </w:t>
      </w:r>
      <w:r w:rsidRPr="001B167E">
        <w:rPr>
          <w:rFonts w:ascii="Book Antiqua" w:hAnsi="Book Antiqua"/>
          <w:b/>
          <w:bCs/>
          <w:sz w:val="24"/>
          <w:szCs w:val="24"/>
          <w:lang w:val="en-US"/>
        </w:rPr>
        <w:t>Zhang X</w:t>
      </w:r>
      <w:r w:rsidRPr="001B167E">
        <w:rPr>
          <w:rFonts w:ascii="Book Antiqua" w:hAnsi="Book Antiqua"/>
          <w:sz w:val="24"/>
          <w:szCs w:val="24"/>
          <w:lang w:val="en-US"/>
        </w:rPr>
        <w:t>, Du G, Xu Y, Li X, Fan W, Chen J, Liu C, Chen G, Liu C, Zern MA, Mu Y, Liu P. Inhibition of notch signaling pathway prevents cholestatic liver fibrosis by decreasing the differentiation of hepatic progenitor cells into cholangiocytes. </w:t>
      </w:r>
      <w:r w:rsidRPr="001B167E">
        <w:rPr>
          <w:rFonts w:ascii="Book Antiqua" w:hAnsi="Book Antiqua"/>
          <w:i/>
          <w:iCs/>
          <w:sz w:val="24"/>
          <w:szCs w:val="24"/>
          <w:lang w:val="en-US"/>
        </w:rPr>
        <w:t>Lab Invest</w:t>
      </w:r>
      <w:r w:rsidRPr="001B167E">
        <w:rPr>
          <w:rFonts w:ascii="Book Antiqua" w:hAnsi="Book Antiqua"/>
          <w:sz w:val="24"/>
          <w:szCs w:val="24"/>
          <w:lang w:val="en-US"/>
        </w:rPr>
        <w:t> 2016; </w:t>
      </w:r>
      <w:r w:rsidRPr="001B167E">
        <w:rPr>
          <w:rFonts w:ascii="Book Antiqua" w:hAnsi="Book Antiqua"/>
          <w:b/>
          <w:bCs/>
          <w:sz w:val="24"/>
          <w:szCs w:val="24"/>
          <w:lang w:val="en-US"/>
        </w:rPr>
        <w:t>96</w:t>
      </w:r>
      <w:r w:rsidRPr="001B167E">
        <w:rPr>
          <w:rFonts w:ascii="Book Antiqua" w:hAnsi="Book Antiqua"/>
          <w:sz w:val="24"/>
          <w:szCs w:val="24"/>
          <w:lang w:val="en-US"/>
        </w:rPr>
        <w:t>: 350-360 [PMID: 26692291 DOI: 10.1038/labinvest.2015.149]</w:t>
      </w:r>
    </w:p>
    <w:p w14:paraId="3CA44F3B"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53 </w:t>
      </w:r>
      <w:r w:rsidRPr="001B167E">
        <w:rPr>
          <w:rFonts w:ascii="Book Antiqua" w:hAnsi="Book Antiqua"/>
          <w:b/>
          <w:bCs/>
          <w:sz w:val="24"/>
          <w:szCs w:val="24"/>
          <w:lang w:val="en-US"/>
        </w:rPr>
        <w:t>Jian J</w:t>
      </w:r>
      <w:r w:rsidRPr="001B167E">
        <w:rPr>
          <w:rFonts w:ascii="Book Antiqua" w:hAnsi="Book Antiqua"/>
          <w:sz w:val="24"/>
          <w:szCs w:val="24"/>
          <w:lang w:val="en-US"/>
        </w:rPr>
        <w:t>, Yang Q, Shao Y, Axelrod D, Smith J, Singh B, Krauter S, Chiriboga L, Yang Z, Li J, Huang X. A link between premenopausal iron deficiency and breast cancer malignancy. </w:t>
      </w:r>
      <w:r w:rsidRPr="001B167E">
        <w:rPr>
          <w:rFonts w:ascii="Book Antiqua" w:hAnsi="Book Antiqua"/>
          <w:i/>
          <w:iCs/>
          <w:sz w:val="24"/>
          <w:szCs w:val="24"/>
          <w:lang w:val="en-US"/>
        </w:rPr>
        <w:t>BMC Cancer</w:t>
      </w:r>
      <w:r w:rsidRPr="001B167E">
        <w:rPr>
          <w:rFonts w:ascii="Book Antiqua" w:hAnsi="Book Antiqua"/>
          <w:sz w:val="24"/>
          <w:szCs w:val="24"/>
          <w:lang w:val="en-US"/>
        </w:rPr>
        <w:t> 2013; </w:t>
      </w:r>
      <w:r w:rsidRPr="001B167E">
        <w:rPr>
          <w:rFonts w:ascii="Book Antiqua" w:hAnsi="Book Antiqua"/>
          <w:b/>
          <w:bCs/>
          <w:sz w:val="24"/>
          <w:szCs w:val="24"/>
          <w:lang w:val="en-US"/>
        </w:rPr>
        <w:t>13</w:t>
      </w:r>
      <w:r w:rsidRPr="001B167E">
        <w:rPr>
          <w:rFonts w:ascii="Book Antiqua" w:hAnsi="Book Antiqua"/>
          <w:sz w:val="24"/>
          <w:szCs w:val="24"/>
          <w:lang w:val="en-US"/>
        </w:rPr>
        <w:t>: 307 [PMID: 23800380 DOI: 10.1186/1471-2407-13-307]</w:t>
      </w:r>
    </w:p>
    <w:p w14:paraId="06806267"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lastRenderedPageBreak/>
        <w:t>54 </w:t>
      </w:r>
      <w:r w:rsidRPr="001B167E">
        <w:rPr>
          <w:rFonts w:ascii="Book Antiqua" w:hAnsi="Book Antiqua"/>
          <w:b/>
          <w:bCs/>
          <w:sz w:val="24"/>
          <w:szCs w:val="24"/>
          <w:lang w:val="en-US"/>
        </w:rPr>
        <w:t>Preziosi ME</w:t>
      </w:r>
      <w:r w:rsidRPr="001B167E">
        <w:rPr>
          <w:rFonts w:ascii="Book Antiqua" w:hAnsi="Book Antiqua"/>
          <w:sz w:val="24"/>
          <w:szCs w:val="24"/>
          <w:lang w:val="en-US"/>
        </w:rPr>
        <w:t>, Singh S, Valore EV, Jung G, Popovic B, Poddar M, Nagarajan S, Ganz T, Monga SP. Mice lacking liver-specific β-catenin develop steatohepatitis and fibrosis after iron overload. </w:t>
      </w:r>
      <w:r w:rsidRPr="001B167E">
        <w:rPr>
          <w:rFonts w:ascii="Book Antiqua" w:hAnsi="Book Antiqua"/>
          <w:i/>
          <w:iCs/>
          <w:sz w:val="24"/>
          <w:szCs w:val="24"/>
          <w:lang w:val="en-US"/>
        </w:rPr>
        <w:t>J Hepatol</w:t>
      </w:r>
      <w:r w:rsidRPr="001B167E">
        <w:rPr>
          <w:rFonts w:ascii="Book Antiqua" w:hAnsi="Book Antiqua"/>
          <w:sz w:val="24"/>
          <w:szCs w:val="24"/>
          <w:lang w:val="en-US"/>
        </w:rPr>
        <w:t> 2017; </w:t>
      </w:r>
      <w:r w:rsidRPr="001B167E">
        <w:rPr>
          <w:rFonts w:ascii="Book Antiqua" w:hAnsi="Book Antiqua"/>
          <w:b/>
          <w:bCs/>
          <w:sz w:val="24"/>
          <w:szCs w:val="24"/>
          <w:lang w:val="en-US"/>
        </w:rPr>
        <w:t>67</w:t>
      </w:r>
      <w:r w:rsidRPr="001B167E">
        <w:rPr>
          <w:rFonts w:ascii="Book Antiqua" w:hAnsi="Book Antiqua"/>
          <w:sz w:val="24"/>
          <w:szCs w:val="24"/>
          <w:lang w:val="en-US"/>
        </w:rPr>
        <w:t>: 360-369 [PMID: 28341391 DOI: 10.1016/j.jhep.2017.03.012]</w:t>
      </w:r>
    </w:p>
    <w:p w14:paraId="064BC657"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55 </w:t>
      </w:r>
      <w:r w:rsidRPr="001B167E">
        <w:rPr>
          <w:rFonts w:ascii="Book Antiqua" w:hAnsi="Book Antiqua"/>
          <w:b/>
          <w:bCs/>
          <w:sz w:val="24"/>
          <w:szCs w:val="24"/>
          <w:lang w:val="en-US"/>
        </w:rPr>
        <w:t>Ramm GA</w:t>
      </w:r>
      <w:r w:rsidRPr="001B167E">
        <w:rPr>
          <w:rFonts w:ascii="Book Antiqua" w:hAnsi="Book Antiqua"/>
          <w:sz w:val="24"/>
          <w:szCs w:val="24"/>
          <w:lang w:val="en-US"/>
        </w:rPr>
        <w:t>, Britton RS, O'Neill R, Bacon BR. Identification and characterization of a receptor for tissue ferritin on activated rat lipocytes. </w:t>
      </w:r>
      <w:r w:rsidRPr="001B167E">
        <w:rPr>
          <w:rFonts w:ascii="Book Antiqua" w:hAnsi="Book Antiqua"/>
          <w:i/>
          <w:iCs/>
          <w:sz w:val="24"/>
          <w:szCs w:val="24"/>
          <w:lang w:val="en-US"/>
        </w:rPr>
        <w:t>J Clin Invest</w:t>
      </w:r>
      <w:r w:rsidRPr="001B167E">
        <w:rPr>
          <w:rFonts w:ascii="Book Antiqua" w:hAnsi="Book Antiqua"/>
          <w:sz w:val="24"/>
          <w:szCs w:val="24"/>
          <w:lang w:val="en-US"/>
        </w:rPr>
        <w:t> 1994; </w:t>
      </w:r>
      <w:r w:rsidRPr="001B167E">
        <w:rPr>
          <w:rFonts w:ascii="Book Antiqua" w:hAnsi="Book Antiqua"/>
          <w:b/>
          <w:bCs/>
          <w:sz w:val="24"/>
          <w:szCs w:val="24"/>
          <w:lang w:val="en-US"/>
        </w:rPr>
        <w:t>94</w:t>
      </w:r>
      <w:r w:rsidRPr="001B167E">
        <w:rPr>
          <w:rFonts w:ascii="Book Antiqua" w:hAnsi="Book Antiqua"/>
          <w:sz w:val="24"/>
          <w:szCs w:val="24"/>
          <w:lang w:val="en-US"/>
        </w:rPr>
        <w:t>: 9-15 [PMID: 8040296 DOI: 10.1172/JCI117353]</w:t>
      </w:r>
    </w:p>
    <w:p w14:paraId="24049E92" w14:textId="2D1609BD"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56 </w:t>
      </w:r>
      <w:r w:rsidRPr="001B167E">
        <w:rPr>
          <w:rFonts w:ascii="Book Antiqua" w:hAnsi="Book Antiqua"/>
          <w:b/>
          <w:bCs/>
          <w:sz w:val="24"/>
          <w:szCs w:val="24"/>
          <w:lang w:val="en-US"/>
        </w:rPr>
        <w:t>Sibille JC</w:t>
      </w:r>
      <w:r w:rsidRPr="001B167E">
        <w:rPr>
          <w:rFonts w:ascii="Book Antiqua" w:hAnsi="Book Antiqua"/>
          <w:sz w:val="24"/>
          <w:szCs w:val="24"/>
          <w:lang w:val="en-US"/>
        </w:rPr>
        <w:t>, Kondo H, Aisen P. Interactions between isolated hepatocytes and Kupffer cells in iron metabolism: a possible role for ferritin as an iron carrier protein. </w:t>
      </w:r>
      <w:r w:rsidRPr="001B167E">
        <w:rPr>
          <w:rFonts w:ascii="Book Antiqua" w:hAnsi="Book Antiqua"/>
          <w:i/>
          <w:iCs/>
          <w:sz w:val="24"/>
          <w:szCs w:val="24"/>
          <w:lang w:val="en-US"/>
        </w:rPr>
        <w:t>Hepatology</w:t>
      </w:r>
      <w:r w:rsidR="00D778E4">
        <w:rPr>
          <w:rFonts w:ascii="Book Antiqua" w:hAnsi="Book Antiqua"/>
          <w:i/>
          <w:iCs/>
          <w:sz w:val="24"/>
          <w:szCs w:val="24"/>
          <w:lang w:val="en-US"/>
        </w:rPr>
        <w:t xml:space="preserve"> </w:t>
      </w:r>
      <w:r w:rsidRPr="001B167E">
        <w:rPr>
          <w:rFonts w:ascii="Book Antiqua" w:hAnsi="Book Antiqua"/>
          <w:sz w:val="24"/>
          <w:szCs w:val="24"/>
          <w:lang w:val="en-US"/>
        </w:rPr>
        <w:t>1988; </w:t>
      </w:r>
      <w:r w:rsidRPr="001B167E">
        <w:rPr>
          <w:rFonts w:ascii="Book Antiqua" w:hAnsi="Book Antiqua"/>
          <w:b/>
          <w:bCs/>
          <w:sz w:val="24"/>
          <w:szCs w:val="24"/>
          <w:lang w:val="en-US"/>
        </w:rPr>
        <w:t>8</w:t>
      </w:r>
      <w:r w:rsidRPr="001B167E">
        <w:rPr>
          <w:rFonts w:ascii="Book Antiqua" w:hAnsi="Book Antiqua"/>
          <w:sz w:val="24"/>
          <w:szCs w:val="24"/>
          <w:lang w:val="en-US"/>
        </w:rPr>
        <w:t>: 296-301 [PMID: 3356411 DOI: 10.1002/hep.1840080218]</w:t>
      </w:r>
    </w:p>
    <w:p w14:paraId="60440BE6"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57 </w:t>
      </w:r>
      <w:r w:rsidRPr="001B167E">
        <w:rPr>
          <w:rFonts w:ascii="Book Antiqua" w:hAnsi="Book Antiqua"/>
          <w:b/>
          <w:bCs/>
          <w:sz w:val="24"/>
          <w:szCs w:val="24"/>
          <w:lang w:val="en-US"/>
        </w:rPr>
        <w:t>Mao Q</w:t>
      </w:r>
      <w:r w:rsidRPr="001B167E">
        <w:rPr>
          <w:rFonts w:ascii="Book Antiqua" w:hAnsi="Book Antiqua"/>
          <w:sz w:val="24"/>
          <w:szCs w:val="24"/>
          <w:lang w:val="en-US"/>
        </w:rPr>
        <w:t>, Xie Z, Wang X, Chen W, Ren M, Shang M, Lei H, Tian Y, Li S, Liang P, Chen T, Liang C, Xu J, Li X, Huang Y, Yu X. Clonorchis sinensis ferritin heavy chain triggers free radicals and mediates inflammation signaling in human hepatic stellate cells. </w:t>
      </w:r>
      <w:r w:rsidRPr="001B167E">
        <w:rPr>
          <w:rFonts w:ascii="Book Antiqua" w:hAnsi="Book Antiqua"/>
          <w:i/>
          <w:iCs/>
          <w:sz w:val="24"/>
          <w:szCs w:val="24"/>
          <w:lang w:val="en-US"/>
        </w:rPr>
        <w:t>Parasitol Res</w:t>
      </w:r>
      <w:r w:rsidRPr="001B167E">
        <w:rPr>
          <w:rFonts w:ascii="Book Antiqua" w:hAnsi="Book Antiqua"/>
          <w:sz w:val="24"/>
          <w:szCs w:val="24"/>
          <w:lang w:val="en-US"/>
        </w:rPr>
        <w:t> 2015; </w:t>
      </w:r>
      <w:r w:rsidRPr="001B167E">
        <w:rPr>
          <w:rFonts w:ascii="Book Antiqua" w:hAnsi="Book Antiqua"/>
          <w:b/>
          <w:bCs/>
          <w:sz w:val="24"/>
          <w:szCs w:val="24"/>
          <w:lang w:val="en-US"/>
        </w:rPr>
        <w:t>114</w:t>
      </w:r>
      <w:r w:rsidRPr="001B167E">
        <w:rPr>
          <w:rFonts w:ascii="Book Antiqua" w:hAnsi="Book Antiqua"/>
          <w:sz w:val="24"/>
          <w:szCs w:val="24"/>
          <w:lang w:val="en-US"/>
        </w:rPr>
        <w:t>: 659-670 [PMID: 25413629 DOI: 10.1007/s00436-014-4230-0]</w:t>
      </w:r>
    </w:p>
    <w:p w14:paraId="2D894D9F"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3677A3">
        <w:rPr>
          <w:rFonts w:ascii="Book Antiqua" w:hAnsi="Book Antiqua"/>
          <w:sz w:val="24"/>
          <w:szCs w:val="24"/>
          <w:lang w:val="en-US"/>
        </w:rPr>
        <w:t>58 </w:t>
      </w:r>
      <w:r w:rsidRPr="003677A3">
        <w:rPr>
          <w:rFonts w:ascii="Book Antiqua" w:hAnsi="Book Antiqua"/>
          <w:b/>
          <w:bCs/>
          <w:sz w:val="24"/>
          <w:szCs w:val="24"/>
          <w:lang w:val="en-US"/>
        </w:rPr>
        <w:t>Iacopetta BJ</w:t>
      </w:r>
      <w:r w:rsidRPr="003677A3">
        <w:rPr>
          <w:rFonts w:ascii="Book Antiqua" w:hAnsi="Book Antiqua"/>
          <w:sz w:val="24"/>
          <w:szCs w:val="24"/>
          <w:lang w:val="en-US"/>
        </w:rPr>
        <w:t>, Morgan EH. The kinetics of transferrin endocytosis and iron uptake from transferrin in rabbit reticulocytes. </w:t>
      </w:r>
      <w:r w:rsidRPr="003677A3">
        <w:rPr>
          <w:rFonts w:ascii="Book Antiqua" w:hAnsi="Book Antiqua"/>
          <w:i/>
          <w:iCs/>
          <w:sz w:val="24"/>
          <w:szCs w:val="24"/>
          <w:lang w:val="en-US"/>
        </w:rPr>
        <w:t>J Biol Chem</w:t>
      </w:r>
      <w:r w:rsidRPr="003677A3">
        <w:rPr>
          <w:rFonts w:ascii="Book Antiqua" w:hAnsi="Book Antiqua"/>
          <w:sz w:val="24"/>
          <w:szCs w:val="24"/>
          <w:lang w:val="en-US"/>
        </w:rPr>
        <w:t> 1983; </w:t>
      </w:r>
      <w:r w:rsidRPr="003677A3">
        <w:rPr>
          <w:rFonts w:ascii="Book Antiqua" w:hAnsi="Book Antiqua"/>
          <w:b/>
          <w:bCs/>
          <w:sz w:val="24"/>
          <w:szCs w:val="24"/>
          <w:lang w:val="en-US"/>
        </w:rPr>
        <w:t>258</w:t>
      </w:r>
      <w:r w:rsidRPr="003677A3">
        <w:rPr>
          <w:rFonts w:ascii="Book Antiqua" w:hAnsi="Book Antiqua"/>
          <w:sz w:val="24"/>
          <w:szCs w:val="24"/>
          <w:lang w:val="en-US"/>
        </w:rPr>
        <w:t>: 9108-9115 [PMID: 6135697]</w:t>
      </w:r>
    </w:p>
    <w:p w14:paraId="0773A927"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59 </w:t>
      </w:r>
      <w:r w:rsidRPr="001B167E">
        <w:rPr>
          <w:rFonts w:ascii="Book Antiqua" w:hAnsi="Book Antiqua"/>
          <w:b/>
          <w:bCs/>
          <w:sz w:val="24"/>
          <w:szCs w:val="24"/>
          <w:lang w:val="en-US"/>
        </w:rPr>
        <w:t>van der Slot-Verhoeven AJ</w:t>
      </w:r>
      <w:r w:rsidRPr="001B167E">
        <w:rPr>
          <w:rFonts w:ascii="Book Antiqua" w:hAnsi="Book Antiqua"/>
          <w:sz w:val="24"/>
          <w:szCs w:val="24"/>
          <w:lang w:val="en-US"/>
        </w:rPr>
        <w:t>, van Dura EA, Attema J, Blauw B, Degroot J, Huizinga TW, Zuurmond AM, Bank RA. The type of collagen cross-link determines the reversibility of experimental skin fibrosis. </w:t>
      </w:r>
      <w:r w:rsidRPr="001B167E">
        <w:rPr>
          <w:rFonts w:ascii="Book Antiqua" w:hAnsi="Book Antiqua"/>
          <w:i/>
          <w:iCs/>
          <w:sz w:val="24"/>
          <w:szCs w:val="24"/>
          <w:lang w:val="en-US"/>
        </w:rPr>
        <w:t>Biochim Biophys Acta</w:t>
      </w:r>
      <w:r w:rsidRPr="001B167E">
        <w:rPr>
          <w:rFonts w:ascii="Book Antiqua" w:hAnsi="Book Antiqua"/>
          <w:sz w:val="24"/>
          <w:szCs w:val="24"/>
          <w:lang w:val="en-US"/>
        </w:rPr>
        <w:t> 2005; </w:t>
      </w:r>
      <w:r w:rsidRPr="001B167E">
        <w:rPr>
          <w:rFonts w:ascii="Book Antiqua" w:hAnsi="Book Antiqua"/>
          <w:b/>
          <w:bCs/>
          <w:sz w:val="24"/>
          <w:szCs w:val="24"/>
          <w:lang w:val="en-US"/>
        </w:rPr>
        <w:t>1740</w:t>
      </w:r>
      <w:r w:rsidRPr="001B167E">
        <w:rPr>
          <w:rFonts w:ascii="Book Antiqua" w:hAnsi="Book Antiqua"/>
          <w:sz w:val="24"/>
          <w:szCs w:val="24"/>
          <w:lang w:val="en-US"/>
        </w:rPr>
        <w:t>: 60-67 [PMID: 15878742 DOI: 10.1016/j.bbadis.2005.02.007]</w:t>
      </w:r>
    </w:p>
    <w:p w14:paraId="7B2CEF37" w14:textId="1CF4081E"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2E266E">
        <w:rPr>
          <w:rFonts w:ascii="Book Antiqua" w:hAnsi="Book Antiqua"/>
          <w:sz w:val="24"/>
          <w:szCs w:val="24"/>
          <w:lang w:val="en-US"/>
        </w:rPr>
        <w:t>60 </w:t>
      </w:r>
      <w:r w:rsidRPr="002E266E">
        <w:rPr>
          <w:rFonts w:ascii="Book Antiqua" w:hAnsi="Book Antiqua"/>
          <w:b/>
          <w:bCs/>
          <w:sz w:val="24"/>
          <w:szCs w:val="24"/>
          <w:lang w:val="en-US"/>
        </w:rPr>
        <w:t>Risteli J</w:t>
      </w:r>
      <w:r w:rsidRPr="002E266E">
        <w:rPr>
          <w:rFonts w:ascii="Book Antiqua" w:hAnsi="Book Antiqua"/>
          <w:sz w:val="24"/>
          <w:szCs w:val="24"/>
          <w:lang w:val="en-US"/>
        </w:rPr>
        <w:t>, Kivirikko KI. Activities of prolyl hydroxylase, lysyl hydroxylase, collagen galactosyltransferase and collagen glucosyltransferase in the liver of rats with hepatic injury. </w:t>
      </w:r>
      <w:r w:rsidRPr="002E266E">
        <w:rPr>
          <w:rFonts w:ascii="Book Antiqua" w:hAnsi="Book Antiqua"/>
          <w:i/>
          <w:iCs/>
          <w:sz w:val="24"/>
          <w:szCs w:val="24"/>
          <w:lang w:val="en-US"/>
        </w:rPr>
        <w:t>Biochem J</w:t>
      </w:r>
      <w:r w:rsidRPr="002E266E">
        <w:rPr>
          <w:rFonts w:ascii="Book Antiqua" w:hAnsi="Book Antiqua"/>
          <w:sz w:val="24"/>
          <w:szCs w:val="24"/>
          <w:lang w:val="en-US"/>
        </w:rPr>
        <w:t> 1974; </w:t>
      </w:r>
      <w:r w:rsidRPr="002E266E">
        <w:rPr>
          <w:rFonts w:ascii="Book Antiqua" w:hAnsi="Book Antiqua"/>
          <w:b/>
          <w:bCs/>
          <w:sz w:val="24"/>
          <w:szCs w:val="24"/>
          <w:lang w:val="en-US"/>
        </w:rPr>
        <w:t>144</w:t>
      </w:r>
      <w:r w:rsidRPr="002E266E">
        <w:rPr>
          <w:rFonts w:ascii="Book Antiqua" w:hAnsi="Book Antiqua"/>
          <w:sz w:val="24"/>
          <w:szCs w:val="24"/>
          <w:lang w:val="en-US"/>
        </w:rPr>
        <w:t>: 115-122 [PMID: 4376954</w:t>
      </w:r>
      <w:r w:rsidR="002E266E">
        <w:rPr>
          <w:rFonts w:ascii="Book Antiqua" w:hAnsi="Book Antiqua"/>
          <w:sz w:val="24"/>
          <w:szCs w:val="24"/>
          <w:lang w:val="en-US"/>
        </w:rPr>
        <w:t xml:space="preserve"> DOI: </w:t>
      </w:r>
      <w:r w:rsidR="00BB19F1" w:rsidRPr="00BB19F1">
        <w:rPr>
          <w:rFonts w:ascii="Book Antiqua" w:hAnsi="Book Antiqua"/>
          <w:sz w:val="24"/>
          <w:szCs w:val="24"/>
          <w:lang w:val="en-US"/>
        </w:rPr>
        <w:t>10.1042/bj1440115</w:t>
      </w:r>
      <w:r w:rsidRPr="002E266E">
        <w:rPr>
          <w:rFonts w:ascii="Book Antiqua" w:hAnsi="Book Antiqua"/>
          <w:sz w:val="24"/>
          <w:szCs w:val="24"/>
          <w:lang w:val="en-US"/>
        </w:rPr>
        <w:t>]</w:t>
      </w:r>
    </w:p>
    <w:p w14:paraId="05E21E13"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61 </w:t>
      </w:r>
      <w:r w:rsidRPr="001B167E">
        <w:rPr>
          <w:rFonts w:ascii="Book Antiqua" w:hAnsi="Book Antiqua"/>
          <w:b/>
          <w:bCs/>
          <w:sz w:val="24"/>
          <w:szCs w:val="24"/>
          <w:lang w:val="en-US"/>
        </w:rPr>
        <w:t>Díaz-Castro J</w:t>
      </w:r>
      <w:r w:rsidRPr="001B167E">
        <w:rPr>
          <w:rFonts w:ascii="Book Antiqua" w:hAnsi="Book Antiqua"/>
          <w:sz w:val="24"/>
          <w:szCs w:val="24"/>
          <w:lang w:val="en-US"/>
        </w:rPr>
        <w:t>, López-Frías MR, Campos MS, López-Frías M, Alférez MJ, Nestares T, Ojeda ML, López-Aliaga I. Severe nutritional iron-deficiency anaemia has a negative effect on some bone turnover biomarkers in rats. </w:t>
      </w:r>
      <w:r w:rsidRPr="001B167E">
        <w:rPr>
          <w:rFonts w:ascii="Book Antiqua" w:hAnsi="Book Antiqua"/>
          <w:i/>
          <w:iCs/>
          <w:sz w:val="24"/>
          <w:szCs w:val="24"/>
          <w:lang w:val="en-US"/>
        </w:rPr>
        <w:t>Eur J Nutr</w:t>
      </w:r>
      <w:r w:rsidRPr="001B167E">
        <w:rPr>
          <w:rFonts w:ascii="Book Antiqua" w:hAnsi="Book Antiqua"/>
          <w:sz w:val="24"/>
          <w:szCs w:val="24"/>
          <w:lang w:val="en-US"/>
        </w:rPr>
        <w:t> 2012; </w:t>
      </w:r>
      <w:r w:rsidRPr="001B167E">
        <w:rPr>
          <w:rFonts w:ascii="Book Antiqua" w:hAnsi="Book Antiqua"/>
          <w:b/>
          <w:bCs/>
          <w:sz w:val="24"/>
          <w:szCs w:val="24"/>
          <w:lang w:val="en-US"/>
        </w:rPr>
        <w:t>51</w:t>
      </w:r>
      <w:r w:rsidRPr="001B167E">
        <w:rPr>
          <w:rFonts w:ascii="Book Antiqua" w:hAnsi="Book Antiqua"/>
          <w:sz w:val="24"/>
          <w:szCs w:val="24"/>
          <w:lang w:val="en-US"/>
        </w:rPr>
        <w:t>: 241-247 [PMID: 21647667 DOI: 10.1007/s00394-011-0212-5]</w:t>
      </w:r>
    </w:p>
    <w:p w14:paraId="4EA87394" w14:textId="7CC4672B"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BB19F1">
        <w:rPr>
          <w:rFonts w:ascii="Book Antiqua" w:hAnsi="Book Antiqua"/>
          <w:sz w:val="24"/>
          <w:szCs w:val="24"/>
          <w:lang w:val="en-US"/>
        </w:rPr>
        <w:lastRenderedPageBreak/>
        <w:t>62 </w:t>
      </w:r>
      <w:r w:rsidRPr="00BB19F1">
        <w:rPr>
          <w:rFonts w:ascii="Book Antiqua" w:hAnsi="Book Antiqua"/>
          <w:b/>
          <w:bCs/>
          <w:sz w:val="24"/>
          <w:szCs w:val="24"/>
          <w:lang w:val="en-US"/>
        </w:rPr>
        <w:t>Elgawish A</w:t>
      </w:r>
      <w:r w:rsidRPr="00BB19F1">
        <w:rPr>
          <w:rFonts w:ascii="Book Antiqua" w:hAnsi="Book Antiqua"/>
          <w:sz w:val="24"/>
          <w:szCs w:val="24"/>
          <w:lang w:val="en-US"/>
        </w:rPr>
        <w:t>, Glomb M, Friedlander M, Monnier VM. Involvement of hydrogen peroxide in collagen cross-linking by high glucose in vitro and in vivo. </w:t>
      </w:r>
      <w:r w:rsidRPr="00BB19F1">
        <w:rPr>
          <w:rFonts w:ascii="Book Antiqua" w:hAnsi="Book Antiqua"/>
          <w:i/>
          <w:iCs/>
          <w:sz w:val="24"/>
          <w:szCs w:val="24"/>
          <w:lang w:val="en-US"/>
        </w:rPr>
        <w:t>J Biol Chem</w:t>
      </w:r>
      <w:r w:rsidRPr="00BB19F1">
        <w:rPr>
          <w:rFonts w:ascii="Book Antiqua" w:hAnsi="Book Antiqua"/>
          <w:sz w:val="24"/>
          <w:szCs w:val="24"/>
          <w:lang w:val="en-US"/>
        </w:rPr>
        <w:t> 1996; </w:t>
      </w:r>
      <w:r w:rsidRPr="00BB19F1">
        <w:rPr>
          <w:rFonts w:ascii="Book Antiqua" w:hAnsi="Book Antiqua"/>
          <w:b/>
          <w:bCs/>
          <w:sz w:val="24"/>
          <w:szCs w:val="24"/>
          <w:lang w:val="en-US"/>
        </w:rPr>
        <w:t>271</w:t>
      </w:r>
      <w:r w:rsidRPr="00BB19F1">
        <w:rPr>
          <w:rFonts w:ascii="Book Antiqua" w:hAnsi="Book Antiqua"/>
          <w:sz w:val="24"/>
          <w:szCs w:val="24"/>
          <w:lang w:val="en-US"/>
        </w:rPr>
        <w:t>: 12964-12971 [PMID: 8662699</w:t>
      </w:r>
      <w:r w:rsidR="00BB19F1">
        <w:rPr>
          <w:rFonts w:ascii="Book Antiqua" w:hAnsi="Book Antiqua"/>
          <w:sz w:val="24"/>
          <w:szCs w:val="24"/>
          <w:lang w:val="en-US"/>
        </w:rPr>
        <w:t xml:space="preserve"> DOI: </w:t>
      </w:r>
      <w:r w:rsidR="00BB19F1" w:rsidRPr="00BB19F1">
        <w:rPr>
          <w:rFonts w:ascii="Book Antiqua" w:hAnsi="Book Antiqua"/>
          <w:sz w:val="24"/>
          <w:szCs w:val="24"/>
          <w:lang w:val="en-US"/>
        </w:rPr>
        <w:t>10.1074/jbc.271.22.12964</w:t>
      </w:r>
      <w:r w:rsidRPr="00BB19F1">
        <w:rPr>
          <w:rFonts w:ascii="Book Antiqua" w:hAnsi="Book Antiqua"/>
          <w:sz w:val="24"/>
          <w:szCs w:val="24"/>
          <w:lang w:val="en-US"/>
        </w:rPr>
        <w:t>]</w:t>
      </w:r>
    </w:p>
    <w:p w14:paraId="2F66C2D8"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63 </w:t>
      </w:r>
      <w:r w:rsidRPr="001B167E">
        <w:rPr>
          <w:rFonts w:ascii="Book Antiqua" w:hAnsi="Book Antiqua"/>
          <w:b/>
          <w:bCs/>
          <w:sz w:val="24"/>
          <w:szCs w:val="24"/>
          <w:lang w:val="en-US"/>
        </w:rPr>
        <w:t>Bunda S</w:t>
      </w:r>
      <w:r w:rsidRPr="001B167E">
        <w:rPr>
          <w:rFonts w:ascii="Book Antiqua" w:hAnsi="Book Antiqua"/>
          <w:sz w:val="24"/>
          <w:szCs w:val="24"/>
          <w:lang w:val="en-US"/>
        </w:rPr>
        <w:t>, Kaviani N, Hinek A. Fluctuations of intracellular iron modulate elastin production. </w:t>
      </w:r>
      <w:r w:rsidRPr="001B167E">
        <w:rPr>
          <w:rFonts w:ascii="Book Antiqua" w:hAnsi="Book Antiqua"/>
          <w:i/>
          <w:iCs/>
          <w:sz w:val="24"/>
          <w:szCs w:val="24"/>
          <w:lang w:val="en-US"/>
        </w:rPr>
        <w:t>J Biol Chem</w:t>
      </w:r>
      <w:r w:rsidRPr="001B167E">
        <w:rPr>
          <w:rFonts w:ascii="Book Antiqua" w:hAnsi="Book Antiqua"/>
          <w:sz w:val="24"/>
          <w:szCs w:val="24"/>
          <w:lang w:val="en-US"/>
        </w:rPr>
        <w:t> 2005; </w:t>
      </w:r>
      <w:r w:rsidRPr="001B167E">
        <w:rPr>
          <w:rFonts w:ascii="Book Antiqua" w:hAnsi="Book Antiqua"/>
          <w:b/>
          <w:bCs/>
          <w:sz w:val="24"/>
          <w:szCs w:val="24"/>
          <w:lang w:val="en-US"/>
        </w:rPr>
        <w:t>280</w:t>
      </w:r>
      <w:r w:rsidRPr="001B167E">
        <w:rPr>
          <w:rFonts w:ascii="Book Antiqua" w:hAnsi="Book Antiqua"/>
          <w:sz w:val="24"/>
          <w:szCs w:val="24"/>
          <w:lang w:val="en-US"/>
        </w:rPr>
        <w:t>: 2341-2351 [PMID: 15537639 DOI: 10.1074/jbc.M409897200]</w:t>
      </w:r>
    </w:p>
    <w:p w14:paraId="144D964A"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64 </w:t>
      </w:r>
      <w:r w:rsidRPr="001B167E">
        <w:rPr>
          <w:rFonts w:ascii="Book Antiqua" w:hAnsi="Book Antiqua"/>
          <w:b/>
          <w:bCs/>
          <w:sz w:val="24"/>
          <w:szCs w:val="24"/>
          <w:lang w:val="en-US"/>
        </w:rPr>
        <w:t>Pietrangelo A</w:t>
      </w:r>
      <w:r w:rsidRPr="001B167E">
        <w:rPr>
          <w:rFonts w:ascii="Book Antiqua" w:hAnsi="Book Antiqua"/>
          <w:sz w:val="24"/>
          <w:szCs w:val="24"/>
          <w:lang w:val="en-US"/>
        </w:rPr>
        <w:t>. Hereditary hemochromatosis: pathogenesis, diagnosis, and treatment. </w:t>
      </w:r>
      <w:r w:rsidRPr="001B167E">
        <w:rPr>
          <w:rFonts w:ascii="Book Antiqua" w:hAnsi="Book Antiqua"/>
          <w:i/>
          <w:iCs/>
          <w:sz w:val="24"/>
          <w:szCs w:val="24"/>
          <w:lang w:val="en-US"/>
        </w:rPr>
        <w:t>Gastroenterology</w:t>
      </w:r>
      <w:r w:rsidRPr="001B167E">
        <w:rPr>
          <w:rFonts w:ascii="Book Antiqua" w:hAnsi="Book Antiqua"/>
          <w:sz w:val="24"/>
          <w:szCs w:val="24"/>
          <w:lang w:val="en-US"/>
        </w:rPr>
        <w:t> 2010; </w:t>
      </w:r>
      <w:r w:rsidRPr="001B167E">
        <w:rPr>
          <w:rFonts w:ascii="Book Antiqua" w:hAnsi="Book Antiqua"/>
          <w:b/>
          <w:bCs/>
          <w:sz w:val="24"/>
          <w:szCs w:val="24"/>
          <w:lang w:val="en-US"/>
        </w:rPr>
        <w:t>139</w:t>
      </w:r>
      <w:r w:rsidRPr="001B167E">
        <w:rPr>
          <w:rFonts w:ascii="Book Antiqua" w:hAnsi="Book Antiqua"/>
          <w:sz w:val="24"/>
          <w:szCs w:val="24"/>
          <w:lang w:val="en-US"/>
        </w:rPr>
        <w:t>: 393-408, 408.e1-408.e2 [PMID: 20542038 DOI: 10.1053/j.gastro.2010.06.013]</w:t>
      </w:r>
    </w:p>
    <w:p w14:paraId="7F8B42BC"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65 </w:t>
      </w:r>
      <w:r w:rsidRPr="001B167E">
        <w:rPr>
          <w:rFonts w:ascii="Book Antiqua" w:hAnsi="Book Antiqua"/>
          <w:b/>
          <w:bCs/>
          <w:sz w:val="24"/>
          <w:szCs w:val="24"/>
          <w:lang w:val="en-US"/>
        </w:rPr>
        <w:t>Loréal O</w:t>
      </w:r>
      <w:r w:rsidRPr="001B167E">
        <w:rPr>
          <w:rFonts w:ascii="Book Antiqua" w:hAnsi="Book Antiqua"/>
          <w:sz w:val="24"/>
          <w:szCs w:val="24"/>
          <w:lang w:val="en-US"/>
        </w:rPr>
        <w:t>, Deugnier Y, Moirand R, Lauvin L, Guyader D, Jouanolle H, Turlin B, Lescoat G, Brissot P. Liver fibrosis in genetic hemochromatosis. Respective roles of iron and non-iron-related factors in 127 homozygous patients. </w:t>
      </w:r>
      <w:r w:rsidRPr="001B167E">
        <w:rPr>
          <w:rFonts w:ascii="Book Antiqua" w:hAnsi="Book Antiqua"/>
          <w:i/>
          <w:iCs/>
          <w:sz w:val="24"/>
          <w:szCs w:val="24"/>
          <w:lang w:val="en-US"/>
        </w:rPr>
        <w:t>J Hepatol</w:t>
      </w:r>
      <w:r w:rsidRPr="001B167E">
        <w:rPr>
          <w:rFonts w:ascii="Book Antiqua" w:hAnsi="Book Antiqua"/>
          <w:sz w:val="24"/>
          <w:szCs w:val="24"/>
          <w:lang w:val="en-US"/>
        </w:rPr>
        <w:t> 1992; </w:t>
      </w:r>
      <w:r w:rsidRPr="001B167E">
        <w:rPr>
          <w:rFonts w:ascii="Book Antiqua" w:hAnsi="Book Antiqua"/>
          <w:b/>
          <w:bCs/>
          <w:sz w:val="24"/>
          <w:szCs w:val="24"/>
          <w:lang w:val="en-US"/>
        </w:rPr>
        <w:t>16</w:t>
      </w:r>
      <w:r w:rsidRPr="001B167E">
        <w:rPr>
          <w:rFonts w:ascii="Book Antiqua" w:hAnsi="Book Antiqua"/>
          <w:sz w:val="24"/>
          <w:szCs w:val="24"/>
          <w:lang w:val="en-US"/>
        </w:rPr>
        <w:t>: 122-127 [PMID: 1484146 DOI: 10.1016/S0168-8278(05)80104-7]</w:t>
      </w:r>
    </w:p>
    <w:p w14:paraId="1C8C2CCC"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66 </w:t>
      </w:r>
      <w:r w:rsidRPr="001B167E">
        <w:rPr>
          <w:rFonts w:ascii="Book Antiqua" w:hAnsi="Book Antiqua"/>
          <w:b/>
          <w:bCs/>
          <w:sz w:val="24"/>
          <w:szCs w:val="24"/>
          <w:lang w:val="en-US"/>
        </w:rPr>
        <w:t>Powell LW</w:t>
      </w:r>
      <w:r w:rsidRPr="001B167E">
        <w:rPr>
          <w:rFonts w:ascii="Book Antiqua" w:hAnsi="Book Antiqua"/>
          <w:sz w:val="24"/>
          <w:szCs w:val="24"/>
          <w:lang w:val="en-US"/>
        </w:rPr>
        <w:t>, Dixon JL, Ramm GA, Purdie DM, Lincoln DJ, Anderson GJ, Subramaniam VN, Hewett DG, Searle JW, Fletcher LM, Crawford DH, Rodgers H, Allen KJ, Cavanaugh JA, Bassett ML. Screening for hemochromatosis in asymptomatic subjects with or without a family history. </w:t>
      </w:r>
      <w:r w:rsidRPr="001B167E">
        <w:rPr>
          <w:rFonts w:ascii="Book Antiqua" w:hAnsi="Book Antiqua"/>
          <w:i/>
          <w:iCs/>
          <w:sz w:val="24"/>
          <w:szCs w:val="24"/>
          <w:lang w:val="en-US"/>
        </w:rPr>
        <w:t>Arch Intern Med</w:t>
      </w:r>
      <w:r w:rsidRPr="001B167E">
        <w:rPr>
          <w:rFonts w:ascii="Book Antiqua" w:hAnsi="Book Antiqua"/>
          <w:sz w:val="24"/>
          <w:szCs w:val="24"/>
          <w:lang w:val="en-US"/>
        </w:rPr>
        <w:t> 2006; </w:t>
      </w:r>
      <w:r w:rsidRPr="001B167E">
        <w:rPr>
          <w:rFonts w:ascii="Book Antiqua" w:hAnsi="Book Antiqua"/>
          <w:b/>
          <w:bCs/>
          <w:sz w:val="24"/>
          <w:szCs w:val="24"/>
          <w:lang w:val="en-US"/>
        </w:rPr>
        <w:t>166</w:t>
      </w:r>
      <w:r w:rsidRPr="001B167E">
        <w:rPr>
          <w:rFonts w:ascii="Book Antiqua" w:hAnsi="Book Antiqua"/>
          <w:sz w:val="24"/>
          <w:szCs w:val="24"/>
          <w:lang w:val="en-US"/>
        </w:rPr>
        <w:t>: 294-301 [PMID: 16476869 DOI: 10.1001/archinte.166.3.294]</w:t>
      </w:r>
    </w:p>
    <w:p w14:paraId="489F4362"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67 </w:t>
      </w:r>
      <w:r w:rsidRPr="001B167E">
        <w:rPr>
          <w:rFonts w:ascii="Book Antiqua" w:hAnsi="Book Antiqua"/>
          <w:b/>
          <w:bCs/>
          <w:sz w:val="24"/>
          <w:szCs w:val="24"/>
          <w:lang w:val="en-US"/>
        </w:rPr>
        <w:t>Shang H</w:t>
      </w:r>
      <w:r w:rsidRPr="001B167E">
        <w:rPr>
          <w:rFonts w:ascii="Book Antiqua" w:hAnsi="Book Antiqua"/>
          <w:sz w:val="24"/>
          <w:szCs w:val="24"/>
          <w:lang w:val="en-US"/>
        </w:rPr>
        <w:t>, Wang Z, Song Y. Liver progenitor cells-mediated liver regeneration in liver cirrhosis. </w:t>
      </w:r>
      <w:r w:rsidRPr="001B167E">
        <w:rPr>
          <w:rFonts w:ascii="Book Antiqua" w:hAnsi="Book Antiqua"/>
          <w:i/>
          <w:iCs/>
          <w:sz w:val="24"/>
          <w:szCs w:val="24"/>
          <w:lang w:val="en-US"/>
        </w:rPr>
        <w:t>Hepatol Int</w:t>
      </w:r>
      <w:r w:rsidRPr="001B167E">
        <w:rPr>
          <w:rFonts w:ascii="Book Antiqua" w:hAnsi="Book Antiqua"/>
          <w:sz w:val="24"/>
          <w:szCs w:val="24"/>
          <w:lang w:val="en-US"/>
        </w:rPr>
        <w:t> 2016; </w:t>
      </w:r>
      <w:r w:rsidRPr="001B167E">
        <w:rPr>
          <w:rFonts w:ascii="Book Antiqua" w:hAnsi="Book Antiqua"/>
          <w:b/>
          <w:bCs/>
          <w:sz w:val="24"/>
          <w:szCs w:val="24"/>
          <w:lang w:val="en-US"/>
        </w:rPr>
        <w:t>10</w:t>
      </w:r>
      <w:r w:rsidRPr="001B167E">
        <w:rPr>
          <w:rFonts w:ascii="Book Antiqua" w:hAnsi="Book Antiqua"/>
          <w:sz w:val="24"/>
          <w:szCs w:val="24"/>
          <w:lang w:val="en-US"/>
        </w:rPr>
        <w:t>: 440-447 [PMID: 26742763 DOI: 10.1007/s12072-015-9693-2]</w:t>
      </w:r>
    </w:p>
    <w:p w14:paraId="20E8E610"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68 </w:t>
      </w:r>
      <w:r w:rsidRPr="001B167E">
        <w:rPr>
          <w:rFonts w:ascii="Book Antiqua" w:hAnsi="Book Antiqua"/>
          <w:b/>
          <w:bCs/>
          <w:sz w:val="24"/>
          <w:szCs w:val="24"/>
          <w:lang w:val="en-US"/>
        </w:rPr>
        <w:t>Milic S</w:t>
      </w:r>
      <w:r w:rsidRPr="001B167E">
        <w:rPr>
          <w:rFonts w:ascii="Book Antiqua" w:hAnsi="Book Antiqua"/>
          <w:sz w:val="24"/>
          <w:szCs w:val="24"/>
          <w:lang w:val="en-US"/>
        </w:rPr>
        <w:t>, Mikolasevic I, Orlic L, Devcic E, Starcevic-Cizmarevic N, Stimac D, Kapovic M, Ristic S. The Role of Iron and Iron Overload in Chronic Liver Disease. </w:t>
      </w:r>
      <w:r w:rsidRPr="001B167E">
        <w:rPr>
          <w:rFonts w:ascii="Book Antiqua" w:hAnsi="Book Antiqua"/>
          <w:i/>
          <w:iCs/>
          <w:sz w:val="24"/>
          <w:szCs w:val="24"/>
          <w:lang w:val="en-US"/>
        </w:rPr>
        <w:t>Med Sci Monit</w:t>
      </w:r>
      <w:r w:rsidRPr="001B167E">
        <w:rPr>
          <w:rFonts w:ascii="Book Antiqua" w:hAnsi="Book Antiqua"/>
          <w:sz w:val="24"/>
          <w:szCs w:val="24"/>
          <w:lang w:val="en-US"/>
        </w:rPr>
        <w:t>2016; </w:t>
      </w:r>
      <w:r w:rsidRPr="001B167E">
        <w:rPr>
          <w:rFonts w:ascii="Book Antiqua" w:hAnsi="Book Antiqua"/>
          <w:b/>
          <w:bCs/>
          <w:sz w:val="24"/>
          <w:szCs w:val="24"/>
          <w:lang w:val="en-US"/>
        </w:rPr>
        <w:t>22</w:t>
      </w:r>
      <w:r w:rsidRPr="001B167E">
        <w:rPr>
          <w:rFonts w:ascii="Book Antiqua" w:hAnsi="Book Antiqua"/>
          <w:sz w:val="24"/>
          <w:szCs w:val="24"/>
          <w:lang w:val="en-US"/>
        </w:rPr>
        <w:t>: 2144-2151 [PMID: 27332079 DOI: 10.12659/MSM.896494]</w:t>
      </w:r>
    </w:p>
    <w:p w14:paraId="21CEB706"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69 </w:t>
      </w:r>
      <w:r w:rsidRPr="001B167E">
        <w:rPr>
          <w:rFonts w:ascii="Book Antiqua" w:hAnsi="Book Antiqua"/>
          <w:b/>
          <w:bCs/>
          <w:sz w:val="24"/>
          <w:szCs w:val="24"/>
          <w:lang w:val="en-US"/>
        </w:rPr>
        <w:t>Costa-Matos L</w:t>
      </w:r>
      <w:r w:rsidRPr="001B167E">
        <w:rPr>
          <w:rFonts w:ascii="Book Antiqua" w:hAnsi="Book Antiqua"/>
          <w:sz w:val="24"/>
          <w:szCs w:val="24"/>
          <w:lang w:val="en-US"/>
        </w:rPr>
        <w:t>, Batista P, Monteiro N, Simões M, Egas C, Pereira J, Pinho H, Santos N, Ribeiro J, Cipriano MA, Henriques P, Girão F, Rodrigues A, Carvalho A. Liver hepcidin mRNA expression is inappropriately low in alcoholic patients compared with healthy controls. </w:t>
      </w:r>
      <w:r w:rsidRPr="001B167E">
        <w:rPr>
          <w:rFonts w:ascii="Book Antiqua" w:hAnsi="Book Antiqua"/>
          <w:i/>
          <w:iCs/>
          <w:sz w:val="24"/>
          <w:szCs w:val="24"/>
          <w:lang w:val="en-US"/>
        </w:rPr>
        <w:t>Eur J Gastroenterol Hepatol</w:t>
      </w:r>
      <w:r w:rsidRPr="001B167E">
        <w:rPr>
          <w:rFonts w:ascii="Book Antiqua" w:hAnsi="Book Antiqua"/>
          <w:sz w:val="24"/>
          <w:szCs w:val="24"/>
          <w:lang w:val="en-US"/>
        </w:rPr>
        <w:t> 2012; </w:t>
      </w:r>
      <w:r w:rsidRPr="001B167E">
        <w:rPr>
          <w:rFonts w:ascii="Book Antiqua" w:hAnsi="Book Antiqua"/>
          <w:b/>
          <w:bCs/>
          <w:sz w:val="24"/>
          <w:szCs w:val="24"/>
          <w:lang w:val="en-US"/>
        </w:rPr>
        <w:t>24</w:t>
      </w:r>
      <w:r w:rsidRPr="001B167E">
        <w:rPr>
          <w:rFonts w:ascii="Book Antiqua" w:hAnsi="Book Antiqua"/>
          <w:sz w:val="24"/>
          <w:szCs w:val="24"/>
          <w:lang w:val="en-US"/>
        </w:rPr>
        <w:t>: 1158-1165 [PMID: 22732356 DOI: 10.1097/MEG.0b013e328355cfd0]</w:t>
      </w:r>
    </w:p>
    <w:p w14:paraId="12503866"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lastRenderedPageBreak/>
        <w:t>70 </w:t>
      </w:r>
      <w:r w:rsidRPr="001B167E">
        <w:rPr>
          <w:rFonts w:ascii="Book Antiqua" w:hAnsi="Book Antiqua"/>
          <w:b/>
          <w:bCs/>
          <w:sz w:val="24"/>
          <w:szCs w:val="24"/>
          <w:lang w:val="en-US"/>
        </w:rPr>
        <w:t>Harrison-Findik DD</w:t>
      </w:r>
      <w:r w:rsidRPr="001B167E">
        <w:rPr>
          <w:rFonts w:ascii="Book Antiqua" w:hAnsi="Book Antiqua"/>
          <w:sz w:val="24"/>
          <w:szCs w:val="24"/>
          <w:lang w:val="en-US"/>
        </w:rPr>
        <w:t>, Schafer D, Klein E, Timchenko NA, Kulaksiz H, Clemens D, Fein E, Andriopoulos B, Pantopoulos K, Gollan J. Alcohol metabolism-mediated oxidative stress down-regulates hepcidin transcription and leads to increased duodenal iron transporter expression. </w:t>
      </w:r>
      <w:r w:rsidRPr="001B167E">
        <w:rPr>
          <w:rFonts w:ascii="Book Antiqua" w:hAnsi="Book Antiqua"/>
          <w:i/>
          <w:iCs/>
          <w:sz w:val="24"/>
          <w:szCs w:val="24"/>
          <w:lang w:val="en-US"/>
        </w:rPr>
        <w:t>J Biol Chem</w:t>
      </w:r>
      <w:r w:rsidRPr="001B167E">
        <w:rPr>
          <w:rFonts w:ascii="Book Antiqua" w:hAnsi="Book Antiqua"/>
          <w:sz w:val="24"/>
          <w:szCs w:val="24"/>
          <w:lang w:val="en-US"/>
        </w:rPr>
        <w:t> 2006; </w:t>
      </w:r>
      <w:r w:rsidRPr="001B167E">
        <w:rPr>
          <w:rFonts w:ascii="Book Antiqua" w:hAnsi="Book Antiqua"/>
          <w:b/>
          <w:bCs/>
          <w:sz w:val="24"/>
          <w:szCs w:val="24"/>
          <w:lang w:val="en-US"/>
        </w:rPr>
        <w:t>281</w:t>
      </w:r>
      <w:r w:rsidRPr="001B167E">
        <w:rPr>
          <w:rFonts w:ascii="Book Antiqua" w:hAnsi="Book Antiqua"/>
          <w:sz w:val="24"/>
          <w:szCs w:val="24"/>
          <w:lang w:val="en-US"/>
        </w:rPr>
        <w:t>: 22974-22982 [PMID: 16737972 DOI: 10.1074/jbc.M602098200]</w:t>
      </w:r>
    </w:p>
    <w:p w14:paraId="2A906504"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71 </w:t>
      </w:r>
      <w:r w:rsidRPr="001B167E">
        <w:rPr>
          <w:rFonts w:ascii="Book Antiqua" w:hAnsi="Book Antiqua"/>
          <w:b/>
          <w:bCs/>
          <w:sz w:val="24"/>
          <w:szCs w:val="24"/>
          <w:lang w:val="en-US"/>
        </w:rPr>
        <w:t>Ohtake T</w:t>
      </w:r>
      <w:r w:rsidRPr="001B167E">
        <w:rPr>
          <w:rFonts w:ascii="Book Antiqua" w:hAnsi="Book Antiqua"/>
          <w:sz w:val="24"/>
          <w:szCs w:val="24"/>
          <w:lang w:val="en-US"/>
        </w:rPr>
        <w:t>, Saito H, Hosoki Y, Inoue M, Miyoshi S, Suzuki Y, Fujimoto Y, Kohgo Y. Hepcidin is down-regulated in alcohol loading. </w:t>
      </w:r>
      <w:r w:rsidRPr="001B167E">
        <w:rPr>
          <w:rFonts w:ascii="Book Antiqua" w:hAnsi="Book Antiqua"/>
          <w:i/>
          <w:iCs/>
          <w:sz w:val="24"/>
          <w:szCs w:val="24"/>
          <w:lang w:val="en-US"/>
        </w:rPr>
        <w:t>Alcohol Clin Exp Res</w:t>
      </w:r>
      <w:r w:rsidRPr="001B167E">
        <w:rPr>
          <w:rFonts w:ascii="Book Antiqua" w:hAnsi="Book Antiqua"/>
          <w:sz w:val="24"/>
          <w:szCs w:val="24"/>
          <w:lang w:val="en-US"/>
        </w:rPr>
        <w:t> 2007; </w:t>
      </w:r>
      <w:r w:rsidRPr="001B167E">
        <w:rPr>
          <w:rFonts w:ascii="Book Antiqua" w:hAnsi="Book Antiqua"/>
          <w:b/>
          <w:bCs/>
          <w:sz w:val="24"/>
          <w:szCs w:val="24"/>
          <w:lang w:val="en-US"/>
        </w:rPr>
        <w:t>31</w:t>
      </w:r>
      <w:r w:rsidRPr="001B167E">
        <w:rPr>
          <w:rFonts w:ascii="Book Antiqua" w:hAnsi="Book Antiqua"/>
          <w:sz w:val="24"/>
          <w:szCs w:val="24"/>
          <w:lang w:val="en-US"/>
        </w:rPr>
        <w:t>: S2-S8 [PMID: 17331161 DOI: 10.1111/j.1530-0277.2006.00279.x]</w:t>
      </w:r>
    </w:p>
    <w:p w14:paraId="00801AA1"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72 </w:t>
      </w:r>
      <w:r w:rsidRPr="001B167E">
        <w:rPr>
          <w:rFonts w:ascii="Book Antiqua" w:hAnsi="Book Antiqua"/>
          <w:b/>
          <w:bCs/>
          <w:sz w:val="24"/>
          <w:szCs w:val="24"/>
          <w:lang w:val="en-US"/>
        </w:rPr>
        <w:t>Suzuki Y</w:t>
      </w:r>
      <w:r w:rsidRPr="001B167E">
        <w:rPr>
          <w:rFonts w:ascii="Book Antiqua" w:hAnsi="Book Antiqua"/>
          <w:sz w:val="24"/>
          <w:szCs w:val="24"/>
          <w:lang w:val="en-US"/>
        </w:rPr>
        <w:t>, Saito H, Suzuki M, Hosoki Y, Sakurai S, Fujimoto Y, Kohgo Y. Up-regulation of transferrin receptor expression in hepatocytes by habitual alcohol drinking is implicated in hepatic iron overload in alcoholic liver disease. </w:t>
      </w:r>
      <w:r w:rsidRPr="001B167E">
        <w:rPr>
          <w:rFonts w:ascii="Book Antiqua" w:hAnsi="Book Antiqua"/>
          <w:i/>
          <w:iCs/>
          <w:sz w:val="24"/>
          <w:szCs w:val="24"/>
          <w:lang w:val="en-US"/>
        </w:rPr>
        <w:t>Alcohol Clin Exp Res</w:t>
      </w:r>
      <w:r w:rsidRPr="001B167E">
        <w:rPr>
          <w:rFonts w:ascii="Book Antiqua" w:hAnsi="Book Antiqua"/>
          <w:sz w:val="24"/>
          <w:szCs w:val="24"/>
          <w:lang w:val="en-US"/>
        </w:rPr>
        <w:t> 2002; </w:t>
      </w:r>
      <w:r w:rsidRPr="001B167E">
        <w:rPr>
          <w:rFonts w:ascii="Book Antiqua" w:hAnsi="Book Antiqua"/>
          <w:b/>
          <w:bCs/>
          <w:sz w:val="24"/>
          <w:szCs w:val="24"/>
          <w:lang w:val="en-US"/>
        </w:rPr>
        <w:t>26</w:t>
      </w:r>
      <w:r w:rsidRPr="001B167E">
        <w:rPr>
          <w:rFonts w:ascii="Book Antiqua" w:hAnsi="Book Antiqua"/>
          <w:sz w:val="24"/>
          <w:szCs w:val="24"/>
          <w:lang w:val="en-US"/>
        </w:rPr>
        <w:t>: 26S-31S [PMID: 12198371 DOI: 10.1097/01.ALC.0000026830.27338.23]</w:t>
      </w:r>
    </w:p>
    <w:p w14:paraId="4D8A539A"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73 </w:t>
      </w:r>
      <w:r w:rsidRPr="001B167E">
        <w:rPr>
          <w:rFonts w:ascii="Book Antiqua" w:hAnsi="Book Antiqua"/>
          <w:b/>
          <w:bCs/>
          <w:sz w:val="24"/>
          <w:szCs w:val="24"/>
          <w:lang w:val="en-US"/>
        </w:rPr>
        <w:t>Gerjevic LN</w:t>
      </w:r>
      <w:r w:rsidRPr="001B167E">
        <w:rPr>
          <w:rFonts w:ascii="Book Antiqua" w:hAnsi="Book Antiqua"/>
          <w:sz w:val="24"/>
          <w:szCs w:val="24"/>
          <w:lang w:val="en-US"/>
        </w:rPr>
        <w:t>, Liu N, Lu S, Harrison-Findik DD. Alcohol Activates TGF-Beta but Inhibits BMP Receptor-Mediated Smad Signaling and Smad4 Binding to Hepcidin Promoter in the Liver. </w:t>
      </w:r>
      <w:r w:rsidRPr="001B167E">
        <w:rPr>
          <w:rFonts w:ascii="Book Antiqua" w:hAnsi="Book Antiqua"/>
          <w:i/>
          <w:iCs/>
          <w:sz w:val="24"/>
          <w:szCs w:val="24"/>
          <w:lang w:val="en-US"/>
        </w:rPr>
        <w:t>Int J Hepatol</w:t>
      </w:r>
      <w:r w:rsidRPr="001B167E">
        <w:rPr>
          <w:rFonts w:ascii="Book Antiqua" w:hAnsi="Book Antiqua"/>
          <w:sz w:val="24"/>
          <w:szCs w:val="24"/>
          <w:lang w:val="en-US"/>
        </w:rPr>
        <w:t> 2012; </w:t>
      </w:r>
      <w:r w:rsidRPr="001B167E">
        <w:rPr>
          <w:rFonts w:ascii="Book Antiqua" w:hAnsi="Book Antiqua"/>
          <w:b/>
          <w:bCs/>
          <w:sz w:val="24"/>
          <w:szCs w:val="24"/>
          <w:lang w:val="en-US"/>
        </w:rPr>
        <w:t>2012</w:t>
      </w:r>
      <w:r w:rsidRPr="001B167E">
        <w:rPr>
          <w:rFonts w:ascii="Book Antiqua" w:hAnsi="Book Antiqua"/>
          <w:sz w:val="24"/>
          <w:szCs w:val="24"/>
          <w:lang w:val="en-US"/>
        </w:rPr>
        <w:t>: 459278 [PMID: 22121494 DOI: 10.1155/2012/459278]</w:t>
      </w:r>
    </w:p>
    <w:p w14:paraId="4EB60EDE" w14:textId="418067E9"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74 </w:t>
      </w:r>
      <w:r w:rsidRPr="001B167E">
        <w:rPr>
          <w:rFonts w:ascii="Book Antiqua" w:hAnsi="Book Antiqua"/>
          <w:b/>
          <w:bCs/>
          <w:sz w:val="24"/>
          <w:szCs w:val="24"/>
          <w:lang w:val="en-US"/>
        </w:rPr>
        <w:t>Fletcher LM</w:t>
      </w:r>
      <w:r w:rsidRPr="001B167E">
        <w:rPr>
          <w:rFonts w:ascii="Book Antiqua" w:hAnsi="Book Antiqua"/>
          <w:sz w:val="24"/>
          <w:szCs w:val="24"/>
          <w:lang w:val="en-US"/>
        </w:rPr>
        <w:t>, Dixon JL, Purdie DM, Powell LW, Crawford DH. Excess alcohol greatly increases the prevalence of cirrhosis in hereditary hemochromatosis. </w:t>
      </w:r>
      <w:r w:rsidRPr="001B167E">
        <w:rPr>
          <w:rFonts w:ascii="Book Antiqua" w:hAnsi="Book Antiqua"/>
          <w:i/>
          <w:iCs/>
          <w:sz w:val="24"/>
          <w:szCs w:val="24"/>
          <w:lang w:val="en-US"/>
        </w:rPr>
        <w:t>Gastroenterology</w:t>
      </w:r>
      <w:r w:rsidR="00D778E4">
        <w:rPr>
          <w:rFonts w:ascii="Book Antiqua" w:hAnsi="Book Antiqua"/>
          <w:i/>
          <w:iCs/>
          <w:sz w:val="24"/>
          <w:szCs w:val="24"/>
          <w:lang w:val="en-US"/>
        </w:rPr>
        <w:t xml:space="preserve"> </w:t>
      </w:r>
      <w:r w:rsidRPr="001B167E">
        <w:rPr>
          <w:rFonts w:ascii="Book Antiqua" w:hAnsi="Book Antiqua"/>
          <w:sz w:val="24"/>
          <w:szCs w:val="24"/>
          <w:lang w:val="en-US"/>
        </w:rPr>
        <w:t>2002; </w:t>
      </w:r>
      <w:r w:rsidRPr="001B167E">
        <w:rPr>
          <w:rFonts w:ascii="Book Antiqua" w:hAnsi="Book Antiqua"/>
          <w:b/>
          <w:bCs/>
          <w:sz w:val="24"/>
          <w:szCs w:val="24"/>
          <w:lang w:val="en-US"/>
        </w:rPr>
        <w:t>122</w:t>
      </w:r>
      <w:r w:rsidRPr="001B167E">
        <w:rPr>
          <w:rFonts w:ascii="Book Antiqua" w:hAnsi="Book Antiqua"/>
          <w:sz w:val="24"/>
          <w:szCs w:val="24"/>
          <w:lang w:val="en-US"/>
        </w:rPr>
        <w:t>: 281-289 [PMID: 11832443 DOI: 10.1053/gast.2002.30992]</w:t>
      </w:r>
    </w:p>
    <w:p w14:paraId="39652A5F"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75 </w:t>
      </w:r>
      <w:r w:rsidRPr="001B167E">
        <w:rPr>
          <w:rFonts w:ascii="Book Antiqua" w:hAnsi="Book Antiqua"/>
          <w:b/>
          <w:bCs/>
          <w:sz w:val="24"/>
          <w:szCs w:val="24"/>
          <w:lang w:val="en-US"/>
        </w:rPr>
        <w:t>Fletcher LM</w:t>
      </w:r>
      <w:r w:rsidRPr="001B167E">
        <w:rPr>
          <w:rFonts w:ascii="Book Antiqua" w:hAnsi="Book Antiqua"/>
          <w:sz w:val="24"/>
          <w:szCs w:val="24"/>
          <w:lang w:val="en-US"/>
        </w:rPr>
        <w:t>, Powell LW. Hemochromatosis and alcoholic liver disease. </w:t>
      </w:r>
      <w:r w:rsidRPr="001B167E">
        <w:rPr>
          <w:rFonts w:ascii="Book Antiqua" w:hAnsi="Book Antiqua"/>
          <w:i/>
          <w:iCs/>
          <w:sz w:val="24"/>
          <w:szCs w:val="24"/>
          <w:lang w:val="en-US"/>
        </w:rPr>
        <w:t>Alcohol</w:t>
      </w:r>
      <w:r w:rsidRPr="001B167E">
        <w:rPr>
          <w:rFonts w:ascii="Book Antiqua" w:hAnsi="Book Antiqua"/>
          <w:sz w:val="24"/>
          <w:szCs w:val="24"/>
          <w:lang w:val="en-US"/>
        </w:rPr>
        <w:t> 2003; </w:t>
      </w:r>
      <w:r w:rsidRPr="001B167E">
        <w:rPr>
          <w:rFonts w:ascii="Book Antiqua" w:hAnsi="Book Antiqua"/>
          <w:b/>
          <w:bCs/>
          <w:sz w:val="24"/>
          <w:szCs w:val="24"/>
          <w:lang w:val="en-US"/>
        </w:rPr>
        <w:t>30</w:t>
      </w:r>
      <w:r w:rsidRPr="001B167E">
        <w:rPr>
          <w:rFonts w:ascii="Book Antiqua" w:hAnsi="Book Antiqua"/>
          <w:sz w:val="24"/>
          <w:szCs w:val="24"/>
          <w:lang w:val="en-US"/>
        </w:rPr>
        <w:t>: 131-136 [PMID: 12957297 DOI: 10.1016/S0741-8329(03)00128-9]</w:t>
      </w:r>
    </w:p>
    <w:p w14:paraId="7917628A"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76 </w:t>
      </w:r>
      <w:r w:rsidRPr="001B167E">
        <w:rPr>
          <w:rFonts w:ascii="Book Antiqua" w:hAnsi="Book Antiqua"/>
          <w:b/>
          <w:bCs/>
          <w:sz w:val="24"/>
          <w:szCs w:val="24"/>
          <w:lang w:val="en-US"/>
        </w:rPr>
        <w:t>Xu R</w:t>
      </w:r>
      <w:r w:rsidRPr="001B167E">
        <w:rPr>
          <w:rFonts w:ascii="Book Antiqua" w:hAnsi="Book Antiqua"/>
          <w:sz w:val="24"/>
          <w:szCs w:val="24"/>
          <w:lang w:val="en-US"/>
        </w:rPr>
        <w:t>, Tao A, Zhang S, Deng Y, Chen G. Association between patatin-like phospholipase domain containing 3 gene (PNPLA3) polymorphisms and nonalcoholic fatty liver disease: a HuGE review and meta-analysis. </w:t>
      </w:r>
      <w:r w:rsidRPr="001B167E">
        <w:rPr>
          <w:rFonts w:ascii="Book Antiqua" w:hAnsi="Book Antiqua"/>
          <w:i/>
          <w:iCs/>
          <w:sz w:val="24"/>
          <w:szCs w:val="24"/>
          <w:lang w:val="en-US"/>
        </w:rPr>
        <w:t>Sci Rep</w:t>
      </w:r>
      <w:r w:rsidRPr="001B167E">
        <w:rPr>
          <w:rFonts w:ascii="Book Antiqua" w:hAnsi="Book Antiqua"/>
          <w:sz w:val="24"/>
          <w:szCs w:val="24"/>
          <w:lang w:val="en-US"/>
        </w:rPr>
        <w:t> 2015; </w:t>
      </w:r>
      <w:r w:rsidRPr="001B167E">
        <w:rPr>
          <w:rFonts w:ascii="Book Antiqua" w:hAnsi="Book Antiqua"/>
          <w:b/>
          <w:bCs/>
          <w:sz w:val="24"/>
          <w:szCs w:val="24"/>
          <w:lang w:val="en-US"/>
        </w:rPr>
        <w:t>5</w:t>
      </w:r>
      <w:r w:rsidRPr="001B167E">
        <w:rPr>
          <w:rFonts w:ascii="Book Antiqua" w:hAnsi="Book Antiqua"/>
          <w:sz w:val="24"/>
          <w:szCs w:val="24"/>
          <w:lang w:val="en-US"/>
        </w:rPr>
        <w:t>: 9284 [PMID: 25791171 DOI: 10.1038/srep09284]</w:t>
      </w:r>
    </w:p>
    <w:p w14:paraId="112C34C8"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77 </w:t>
      </w:r>
      <w:r w:rsidRPr="001B167E">
        <w:rPr>
          <w:rFonts w:ascii="Book Antiqua" w:hAnsi="Book Antiqua"/>
          <w:b/>
          <w:bCs/>
          <w:sz w:val="24"/>
          <w:szCs w:val="24"/>
          <w:lang w:val="en-US"/>
        </w:rPr>
        <w:t>Chalasani N</w:t>
      </w:r>
      <w:r w:rsidRPr="001B167E">
        <w:rPr>
          <w:rFonts w:ascii="Book Antiqua" w:hAnsi="Book Antiqua"/>
          <w:sz w:val="24"/>
          <w:szCs w:val="24"/>
          <w:lang w:val="en-US"/>
        </w:rPr>
        <w:t xml:space="preserve">, Younossi Z, Lavine JE, Charlton M, Cusi K, Rinella M, Harrison SA, Brunt EM, Sanyal AJ. The diagnosis and management of nonalcoholic fatty liver </w:t>
      </w:r>
      <w:r w:rsidRPr="001B167E">
        <w:rPr>
          <w:rFonts w:ascii="Book Antiqua" w:hAnsi="Book Antiqua"/>
          <w:sz w:val="24"/>
          <w:szCs w:val="24"/>
          <w:lang w:val="en-US"/>
        </w:rPr>
        <w:lastRenderedPageBreak/>
        <w:t>disease: Practice guidance from the American Association for the Study of Liver Diseases. </w:t>
      </w:r>
      <w:r w:rsidRPr="001B167E">
        <w:rPr>
          <w:rFonts w:ascii="Book Antiqua" w:hAnsi="Book Antiqua"/>
          <w:i/>
          <w:iCs/>
          <w:sz w:val="24"/>
          <w:szCs w:val="24"/>
          <w:lang w:val="en-US"/>
        </w:rPr>
        <w:t>Hepatology</w:t>
      </w:r>
      <w:r w:rsidRPr="001B167E">
        <w:rPr>
          <w:rFonts w:ascii="Book Antiqua" w:hAnsi="Book Antiqua"/>
          <w:sz w:val="24"/>
          <w:szCs w:val="24"/>
          <w:lang w:val="en-US"/>
        </w:rPr>
        <w:t> 2018; </w:t>
      </w:r>
      <w:r w:rsidRPr="001B167E">
        <w:rPr>
          <w:rFonts w:ascii="Book Antiqua" w:hAnsi="Book Antiqua"/>
          <w:b/>
          <w:bCs/>
          <w:sz w:val="24"/>
          <w:szCs w:val="24"/>
          <w:lang w:val="en-US"/>
        </w:rPr>
        <w:t>67</w:t>
      </w:r>
      <w:r w:rsidRPr="001B167E">
        <w:rPr>
          <w:rFonts w:ascii="Book Antiqua" w:hAnsi="Book Antiqua"/>
          <w:sz w:val="24"/>
          <w:szCs w:val="24"/>
          <w:lang w:val="en-US"/>
        </w:rPr>
        <w:t>: 328-357 [PMID: 28714183 DOI: 10.1002/hep.29367]</w:t>
      </w:r>
    </w:p>
    <w:p w14:paraId="67F19ED1" w14:textId="118BABC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BB19F1">
        <w:rPr>
          <w:rFonts w:ascii="Book Antiqua" w:hAnsi="Book Antiqua"/>
          <w:sz w:val="24"/>
          <w:szCs w:val="24"/>
          <w:lang w:val="en-US"/>
        </w:rPr>
        <w:t>78 </w:t>
      </w:r>
      <w:r w:rsidRPr="00BB19F1">
        <w:rPr>
          <w:rFonts w:ascii="Book Antiqua" w:hAnsi="Book Antiqua"/>
          <w:b/>
          <w:bCs/>
          <w:sz w:val="24"/>
          <w:szCs w:val="24"/>
          <w:lang w:val="en-US"/>
        </w:rPr>
        <w:t>George DK</w:t>
      </w:r>
      <w:r w:rsidRPr="00BB19F1">
        <w:rPr>
          <w:rFonts w:ascii="Book Antiqua" w:hAnsi="Book Antiqua"/>
          <w:sz w:val="24"/>
          <w:szCs w:val="24"/>
          <w:lang w:val="en-US"/>
        </w:rPr>
        <w:t>, Goldwurm S, MacDonald GA, Cowley LL, Walker NI, Ward PJ, Jazwinska EC, Powell LW. Increased hepatic iron concentration in nonalcoholic steatohepatitis is associated with increased fibrosis. </w:t>
      </w:r>
      <w:r w:rsidRPr="00BB19F1">
        <w:rPr>
          <w:rFonts w:ascii="Book Antiqua" w:hAnsi="Book Antiqua"/>
          <w:i/>
          <w:iCs/>
          <w:sz w:val="24"/>
          <w:szCs w:val="24"/>
          <w:lang w:val="en-US"/>
        </w:rPr>
        <w:t>Gastroenterology</w:t>
      </w:r>
      <w:r w:rsidRPr="00BB19F1">
        <w:rPr>
          <w:rFonts w:ascii="Book Antiqua" w:hAnsi="Book Antiqua"/>
          <w:sz w:val="24"/>
          <w:szCs w:val="24"/>
          <w:lang w:val="en-US"/>
        </w:rPr>
        <w:t> 1998; </w:t>
      </w:r>
      <w:r w:rsidRPr="00BB19F1">
        <w:rPr>
          <w:rFonts w:ascii="Book Antiqua" w:hAnsi="Book Antiqua"/>
          <w:b/>
          <w:bCs/>
          <w:sz w:val="24"/>
          <w:szCs w:val="24"/>
          <w:lang w:val="en-US"/>
        </w:rPr>
        <w:t>114</w:t>
      </w:r>
      <w:r w:rsidRPr="00BB19F1">
        <w:rPr>
          <w:rFonts w:ascii="Book Antiqua" w:hAnsi="Book Antiqua"/>
          <w:sz w:val="24"/>
          <w:szCs w:val="24"/>
          <w:lang w:val="en-US"/>
        </w:rPr>
        <w:t>: 311-318 [PMID: 9453491</w:t>
      </w:r>
      <w:r w:rsidR="00BB19F1">
        <w:rPr>
          <w:rFonts w:ascii="Book Antiqua" w:hAnsi="Book Antiqua"/>
          <w:sz w:val="24"/>
          <w:szCs w:val="24"/>
          <w:lang w:val="en-US"/>
        </w:rPr>
        <w:t xml:space="preserve"> DOI: </w:t>
      </w:r>
      <w:r w:rsidR="00BB19F1" w:rsidRPr="00BB19F1">
        <w:rPr>
          <w:rFonts w:ascii="Book Antiqua" w:hAnsi="Book Antiqua"/>
          <w:sz w:val="24"/>
          <w:szCs w:val="24"/>
          <w:lang w:val="en-US"/>
        </w:rPr>
        <w:t>10.1016/S0016-5085(98)70482-2</w:t>
      </w:r>
      <w:r w:rsidRPr="00BB19F1">
        <w:rPr>
          <w:rFonts w:ascii="Book Antiqua" w:hAnsi="Book Antiqua"/>
          <w:sz w:val="24"/>
          <w:szCs w:val="24"/>
          <w:lang w:val="en-US"/>
        </w:rPr>
        <w:t>]</w:t>
      </w:r>
    </w:p>
    <w:p w14:paraId="3B66A0AD"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79 </w:t>
      </w:r>
      <w:r w:rsidRPr="001B167E">
        <w:rPr>
          <w:rFonts w:ascii="Book Antiqua" w:hAnsi="Book Antiqua"/>
          <w:b/>
          <w:bCs/>
          <w:sz w:val="24"/>
          <w:szCs w:val="24"/>
          <w:lang w:val="en-US"/>
        </w:rPr>
        <w:t>Britton LJ</w:t>
      </w:r>
      <w:r w:rsidRPr="001B167E">
        <w:rPr>
          <w:rFonts w:ascii="Book Antiqua" w:hAnsi="Book Antiqua"/>
          <w:sz w:val="24"/>
          <w:szCs w:val="24"/>
          <w:lang w:val="en-US"/>
        </w:rPr>
        <w:t>, Subramaniam VN, Crawford DH. Iron and non-alcoholic fatty liver disease. </w:t>
      </w:r>
      <w:r w:rsidRPr="001B167E">
        <w:rPr>
          <w:rFonts w:ascii="Book Antiqua" w:hAnsi="Book Antiqua"/>
          <w:i/>
          <w:iCs/>
          <w:sz w:val="24"/>
          <w:szCs w:val="24"/>
          <w:lang w:val="en-US"/>
        </w:rPr>
        <w:t>World J Gastroenterol</w:t>
      </w:r>
      <w:r w:rsidRPr="001B167E">
        <w:rPr>
          <w:rFonts w:ascii="Book Antiqua" w:hAnsi="Book Antiqua"/>
          <w:sz w:val="24"/>
          <w:szCs w:val="24"/>
          <w:lang w:val="en-US"/>
        </w:rPr>
        <w:t> 2016; </w:t>
      </w:r>
      <w:r w:rsidRPr="001B167E">
        <w:rPr>
          <w:rFonts w:ascii="Book Antiqua" w:hAnsi="Book Antiqua"/>
          <w:b/>
          <w:bCs/>
          <w:sz w:val="24"/>
          <w:szCs w:val="24"/>
          <w:lang w:val="en-US"/>
        </w:rPr>
        <w:t>22</w:t>
      </w:r>
      <w:r w:rsidRPr="001B167E">
        <w:rPr>
          <w:rFonts w:ascii="Book Antiqua" w:hAnsi="Book Antiqua"/>
          <w:sz w:val="24"/>
          <w:szCs w:val="24"/>
          <w:lang w:val="en-US"/>
        </w:rPr>
        <w:t>: 8112-8122 [PMID: 27688653 DOI: 10.3748/wjg.v22.i36.8112]</w:t>
      </w:r>
    </w:p>
    <w:p w14:paraId="6B2EE423"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80 </w:t>
      </w:r>
      <w:r w:rsidRPr="001B167E">
        <w:rPr>
          <w:rFonts w:ascii="Book Antiqua" w:hAnsi="Book Antiqua"/>
          <w:b/>
          <w:bCs/>
          <w:sz w:val="24"/>
          <w:szCs w:val="24"/>
          <w:lang w:val="en-US"/>
        </w:rPr>
        <w:t>Senates E</w:t>
      </w:r>
      <w:r w:rsidRPr="001B167E">
        <w:rPr>
          <w:rFonts w:ascii="Book Antiqua" w:hAnsi="Book Antiqua"/>
          <w:sz w:val="24"/>
          <w:szCs w:val="24"/>
          <w:lang w:val="en-US"/>
        </w:rPr>
        <w:t>, Yilmaz Y, Colak Y, Ozturk O, Altunoz ME, Kurt R, Ozkara S, Aksaray S, Tuncer I, Ovunc AO. Serum levels of hepcidin in patients with biopsy-proven nonalcoholic fatty liver disease. </w:t>
      </w:r>
      <w:r w:rsidRPr="001B167E">
        <w:rPr>
          <w:rFonts w:ascii="Book Antiqua" w:hAnsi="Book Antiqua"/>
          <w:i/>
          <w:iCs/>
          <w:sz w:val="24"/>
          <w:szCs w:val="24"/>
          <w:lang w:val="en-US"/>
        </w:rPr>
        <w:t>Metab Syndr Relat Disord</w:t>
      </w:r>
      <w:r w:rsidRPr="001B167E">
        <w:rPr>
          <w:rFonts w:ascii="Book Antiqua" w:hAnsi="Book Antiqua"/>
          <w:sz w:val="24"/>
          <w:szCs w:val="24"/>
          <w:lang w:val="en-US"/>
        </w:rPr>
        <w:t> 2011; </w:t>
      </w:r>
      <w:r w:rsidRPr="001B167E">
        <w:rPr>
          <w:rFonts w:ascii="Book Antiqua" w:hAnsi="Book Antiqua"/>
          <w:b/>
          <w:bCs/>
          <w:sz w:val="24"/>
          <w:szCs w:val="24"/>
          <w:lang w:val="en-US"/>
        </w:rPr>
        <w:t>9</w:t>
      </w:r>
      <w:r w:rsidRPr="001B167E">
        <w:rPr>
          <w:rFonts w:ascii="Book Antiqua" w:hAnsi="Book Antiqua"/>
          <w:sz w:val="24"/>
          <w:szCs w:val="24"/>
          <w:lang w:val="en-US"/>
        </w:rPr>
        <w:t>: 287-290 [PMID: 21417913 DOI: 10.1089/met.2010.0121]</w:t>
      </w:r>
    </w:p>
    <w:p w14:paraId="00F30403" w14:textId="50926DDF"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BB19F1">
        <w:rPr>
          <w:rFonts w:ascii="Book Antiqua" w:hAnsi="Book Antiqua"/>
          <w:sz w:val="24"/>
          <w:szCs w:val="24"/>
          <w:lang w:val="en-US"/>
        </w:rPr>
        <w:t>81 </w:t>
      </w:r>
      <w:r w:rsidRPr="00BB19F1">
        <w:rPr>
          <w:rFonts w:ascii="Book Antiqua" w:hAnsi="Book Antiqua"/>
          <w:b/>
          <w:bCs/>
          <w:sz w:val="24"/>
          <w:szCs w:val="24"/>
          <w:lang w:val="en-US"/>
        </w:rPr>
        <w:t>Mendler MH</w:t>
      </w:r>
      <w:r w:rsidRPr="00BB19F1">
        <w:rPr>
          <w:rFonts w:ascii="Book Antiqua" w:hAnsi="Book Antiqua"/>
          <w:sz w:val="24"/>
          <w:szCs w:val="24"/>
          <w:lang w:val="en-US"/>
        </w:rPr>
        <w:t>, Turlin B, Moirand R, Jouanolle AM, Sapey T, Guyader D, Le Gall JY, Brissot P, David V, Deugnier Y. Insulin resistance-associated hepatic iron overload. </w:t>
      </w:r>
      <w:r w:rsidRPr="00BB19F1">
        <w:rPr>
          <w:rFonts w:ascii="Book Antiqua" w:hAnsi="Book Antiqua"/>
          <w:i/>
          <w:iCs/>
          <w:sz w:val="24"/>
          <w:szCs w:val="24"/>
          <w:lang w:val="en-US"/>
        </w:rPr>
        <w:t>Gastroenterology</w:t>
      </w:r>
      <w:r w:rsidRPr="00BB19F1">
        <w:rPr>
          <w:rFonts w:ascii="Book Antiqua" w:hAnsi="Book Antiqua"/>
          <w:sz w:val="24"/>
          <w:szCs w:val="24"/>
          <w:lang w:val="en-US"/>
        </w:rPr>
        <w:t> 1999; </w:t>
      </w:r>
      <w:r w:rsidRPr="00BB19F1">
        <w:rPr>
          <w:rFonts w:ascii="Book Antiqua" w:hAnsi="Book Antiqua"/>
          <w:b/>
          <w:bCs/>
          <w:sz w:val="24"/>
          <w:szCs w:val="24"/>
          <w:lang w:val="en-US"/>
        </w:rPr>
        <w:t>117</w:t>
      </w:r>
      <w:r w:rsidRPr="00BB19F1">
        <w:rPr>
          <w:rFonts w:ascii="Book Antiqua" w:hAnsi="Book Antiqua"/>
          <w:sz w:val="24"/>
          <w:szCs w:val="24"/>
          <w:lang w:val="en-US"/>
        </w:rPr>
        <w:t>: 1155-1163 [PMID: 10535879</w:t>
      </w:r>
      <w:r w:rsidR="00BB19F1">
        <w:rPr>
          <w:rFonts w:ascii="Book Antiqua" w:hAnsi="Book Antiqua"/>
          <w:sz w:val="24"/>
          <w:szCs w:val="24"/>
          <w:lang w:val="en-US"/>
        </w:rPr>
        <w:t xml:space="preserve"> DOI: </w:t>
      </w:r>
      <w:r w:rsidR="00BB19F1" w:rsidRPr="00BB19F1">
        <w:rPr>
          <w:rFonts w:ascii="Book Antiqua" w:hAnsi="Book Antiqua"/>
          <w:sz w:val="24"/>
          <w:szCs w:val="24"/>
          <w:lang w:val="en-US"/>
        </w:rPr>
        <w:t>10.1016/S0016-5085(99)70401-4</w:t>
      </w:r>
      <w:r w:rsidRPr="00BB19F1">
        <w:rPr>
          <w:rFonts w:ascii="Book Antiqua" w:hAnsi="Book Antiqua"/>
          <w:sz w:val="24"/>
          <w:szCs w:val="24"/>
          <w:lang w:val="en-US"/>
        </w:rPr>
        <w:t>]</w:t>
      </w:r>
    </w:p>
    <w:p w14:paraId="05ED8CC8"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82 </w:t>
      </w:r>
      <w:r w:rsidRPr="001B167E">
        <w:rPr>
          <w:rFonts w:ascii="Book Antiqua" w:hAnsi="Book Antiqua"/>
          <w:b/>
          <w:bCs/>
          <w:sz w:val="24"/>
          <w:szCs w:val="24"/>
          <w:lang w:val="en-US"/>
        </w:rPr>
        <w:t>Bugianesi E</w:t>
      </w:r>
      <w:r w:rsidRPr="001B167E">
        <w:rPr>
          <w:rFonts w:ascii="Book Antiqua" w:hAnsi="Book Antiqua"/>
          <w:sz w:val="24"/>
          <w:szCs w:val="24"/>
          <w:lang w:val="en-US"/>
        </w:rPr>
        <w:t>, Manzini P, D'Antico S, Vanni E, Longo F, Leone N, Massarenti P, Piga A, Marchesini G, Rizzetto M. Relative contribution of iron burden, HFE mutations, and insulin resistance to fibrosis in nonalcoholic fatty liver. </w:t>
      </w:r>
      <w:r w:rsidRPr="001B167E">
        <w:rPr>
          <w:rFonts w:ascii="Book Antiqua" w:hAnsi="Book Antiqua"/>
          <w:i/>
          <w:iCs/>
          <w:sz w:val="24"/>
          <w:szCs w:val="24"/>
          <w:lang w:val="en-US"/>
        </w:rPr>
        <w:t>Hepatology</w:t>
      </w:r>
      <w:r w:rsidRPr="001B167E">
        <w:rPr>
          <w:rFonts w:ascii="Book Antiqua" w:hAnsi="Book Antiqua"/>
          <w:sz w:val="24"/>
          <w:szCs w:val="24"/>
          <w:lang w:val="en-US"/>
        </w:rPr>
        <w:t> 2004; </w:t>
      </w:r>
      <w:r w:rsidRPr="001B167E">
        <w:rPr>
          <w:rFonts w:ascii="Book Antiqua" w:hAnsi="Book Antiqua"/>
          <w:b/>
          <w:bCs/>
          <w:sz w:val="24"/>
          <w:szCs w:val="24"/>
          <w:lang w:val="en-US"/>
        </w:rPr>
        <w:t>39</w:t>
      </w:r>
      <w:r w:rsidRPr="001B167E">
        <w:rPr>
          <w:rFonts w:ascii="Book Antiqua" w:hAnsi="Book Antiqua"/>
          <w:sz w:val="24"/>
          <w:szCs w:val="24"/>
          <w:lang w:val="en-US"/>
        </w:rPr>
        <w:t>: 179-187 [PMID: 14752836 DOI: 10.1002/hep.20023]</w:t>
      </w:r>
    </w:p>
    <w:p w14:paraId="053E9626"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83 </w:t>
      </w:r>
      <w:r w:rsidRPr="001B167E">
        <w:rPr>
          <w:rFonts w:ascii="Book Antiqua" w:hAnsi="Book Antiqua"/>
          <w:b/>
          <w:bCs/>
          <w:sz w:val="24"/>
          <w:szCs w:val="24"/>
          <w:lang w:val="en-US"/>
        </w:rPr>
        <w:t>Adams LA</w:t>
      </w:r>
      <w:r w:rsidRPr="001B167E">
        <w:rPr>
          <w:rFonts w:ascii="Book Antiqua" w:hAnsi="Book Antiqua"/>
          <w:sz w:val="24"/>
          <w:szCs w:val="24"/>
          <w:lang w:val="en-US"/>
        </w:rPr>
        <w:t>, Angulo P, Abraham SC, Torgerson H, Brandhagen D. The effect of the metabolic syndrome, hepatic steatosis and steatohepatitis on liver fibrosis in hereditary hemochromatosis. </w:t>
      </w:r>
      <w:r w:rsidRPr="001B167E">
        <w:rPr>
          <w:rFonts w:ascii="Book Antiqua" w:hAnsi="Book Antiqua"/>
          <w:i/>
          <w:iCs/>
          <w:sz w:val="24"/>
          <w:szCs w:val="24"/>
          <w:lang w:val="en-US"/>
        </w:rPr>
        <w:t>Liver Int</w:t>
      </w:r>
      <w:r w:rsidRPr="001B167E">
        <w:rPr>
          <w:rFonts w:ascii="Book Antiqua" w:hAnsi="Book Antiqua"/>
          <w:sz w:val="24"/>
          <w:szCs w:val="24"/>
          <w:lang w:val="en-US"/>
        </w:rPr>
        <w:t> 2006; </w:t>
      </w:r>
      <w:r w:rsidRPr="001B167E">
        <w:rPr>
          <w:rFonts w:ascii="Book Antiqua" w:hAnsi="Book Antiqua"/>
          <w:b/>
          <w:bCs/>
          <w:sz w:val="24"/>
          <w:szCs w:val="24"/>
          <w:lang w:val="en-US"/>
        </w:rPr>
        <w:t>26</w:t>
      </w:r>
      <w:r w:rsidRPr="001B167E">
        <w:rPr>
          <w:rFonts w:ascii="Book Antiqua" w:hAnsi="Book Antiqua"/>
          <w:sz w:val="24"/>
          <w:szCs w:val="24"/>
          <w:lang w:val="en-US"/>
        </w:rPr>
        <w:t>: 298-304 [PMID: 16584391 DOI: 10.1111/j.1478-3231.2005.01238.x]</w:t>
      </w:r>
    </w:p>
    <w:p w14:paraId="4D12E556"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84 </w:t>
      </w:r>
      <w:r w:rsidRPr="001B167E">
        <w:rPr>
          <w:rFonts w:ascii="Book Antiqua" w:hAnsi="Book Antiqua"/>
          <w:b/>
          <w:bCs/>
          <w:sz w:val="24"/>
          <w:szCs w:val="24"/>
          <w:lang w:val="en-US"/>
        </w:rPr>
        <w:t>Nelson JE</w:t>
      </w:r>
      <w:r w:rsidRPr="001B167E">
        <w:rPr>
          <w:rFonts w:ascii="Book Antiqua" w:hAnsi="Book Antiqua"/>
          <w:sz w:val="24"/>
          <w:szCs w:val="24"/>
          <w:lang w:val="en-US"/>
        </w:rPr>
        <w:t>, Wilson L, Brunt EM, Yeh MM, Kleiner DE, Unalp-Arida A, Kowdley KV; Nonalcoholic Steatohepatitis Clinical Research Network. Relationship between the pattern of hepatic iron deposition and histological severity in nonalcoholic fatty liver disease. </w:t>
      </w:r>
      <w:r w:rsidRPr="001B167E">
        <w:rPr>
          <w:rFonts w:ascii="Book Antiqua" w:hAnsi="Book Antiqua"/>
          <w:i/>
          <w:iCs/>
          <w:sz w:val="24"/>
          <w:szCs w:val="24"/>
          <w:lang w:val="en-US"/>
        </w:rPr>
        <w:t>Hepatology</w:t>
      </w:r>
      <w:r w:rsidRPr="001B167E">
        <w:rPr>
          <w:rFonts w:ascii="Book Antiqua" w:hAnsi="Book Antiqua"/>
          <w:sz w:val="24"/>
          <w:szCs w:val="24"/>
          <w:lang w:val="en-US"/>
        </w:rPr>
        <w:t> 2011; </w:t>
      </w:r>
      <w:r w:rsidRPr="001B167E">
        <w:rPr>
          <w:rFonts w:ascii="Book Antiqua" w:hAnsi="Book Antiqua"/>
          <w:b/>
          <w:bCs/>
          <w:sz w:val="24"/>
          <w:szCs w:val="24"/>
          <w:lang w:val="en-US"/>
        </w:rPr>
        <w:t>53</w:t>
      </w:r>
      <w:r w:rsidRPr="001B167E">
        <w:rPr>
          <w:rFonts w:ascii="Book Antiqua" w:hAnsi="Book Antiqua"/>
          <w:sz w:val="24"/>
          <w:szCs w:val="24"/>
          <w:lang w:val="en-US"/>
        </w:rPr>
        <w:t>: 448-457 [PMID: 21274866 DOI: 10.1002/hep.24038]</w:t>
      </w:r>
    </w:p>
    <w:p w14:paraId="68F4F147"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85 </w:t>
      </w:r>
      <w:r w:rsidRPr="001B167E">
        <w:rPr>
          <w:rFonts w:ascii="Book Antiqua" w:hAnsi="Book Antiqua"/>
          <w:b/>
          <w:bCs/>
          <w:sz w:val="24"/>
          <w:szCs w:val="24"/>
          <w:lang w:val="en-US"/>
        </w:rPr>
        <w:t>Valenti L</w:t>
      </w:r>
      <w:r w:rsidRPr="001B167E">
        <w:rPr>
          <w:rFonts w:ascii="Book Antiqua" w:hAnsi="Book Antiqua"/>
          <w:sz w:val="24"/>
          <w:szCs w:val="24"/>
          <w:lang w:val="en-US"/>
        </w:rPr>
        <w:t xml:space="preserve">, Fracanzani AL, Bugianesi E, Dongiovanni P, Galmozzi E, Vanni E, Canavesi E, Lattuada E, Roviaro G, Marchesini G, Fargion S. HFE genotype, </w:t>
      </w:r>
      <w:r w:rsidRPr="001B167E">
        <w:rPr>
          <w:rFonts w:ascii="Book Antiqua" w:hAnsi="Book Antiqua"/>
          <w:sz w:val="24"/>
          <w:szCs w:val="24"/>
          <w:lang w:val="en-US"/>
        </w:rPr>
        <w:lastRenderedPageBreak/>
        <w:t>parenchymal iron accumulation, and liver fibrosis in patients with nonalcoholic fatty liver disease. </w:t>
      </w:r>
      <w:r w:rsidRPr="001B167E">
        <w:rPr>
          <w:rFonts w:ascii="Book Antiqua" w:hAnsi="Book Antiqua"/>
          <w:i/>
          <w:iCs/>
          <w:sz w:val="24"/>
          <w:szCs w:val="24"/>
          <w:lang w:val="en-US"/>
        </w:rPr>
        <w:t>Gastroenterology</w:t>
      </w:r>
      <w:r w:rsidRPr="001B167E">
        <w:rPr>
          <w:rFonts w:ascii="Book Antiqua" w:hAnsi="Book Antiqua"/>
          <w:sz w:val="24"/>
          <w:szCs w:val="24"/>
          <w:lang w:val="en-US"/>
        </w:rPr>
        <w:t> 2010; </w:t>
      </w:r>
      <w:r w:rsidRPr="001B167E">
        <w:rPr>
          <w:rFonts w:ascii="Book Antiqua" w:hAnsi="Book Antiqua"/>
          <w:b/>
          <w:bCs/>
          <w:sz w:val="24"/>
          <w:szCs w:val="24"/>
          <w:lang w:val="en-US"/>
        </w:rPr>
        <w:t>138</w:t>
      </w:r>
      <w:r w:rsidRPr="001B167E">
        <w:rPr>
          <w:rFonts w:ascii="Book Antiqua" w:hAnsi="Book Antiqua"/>
          <w:sz w:val="24"/>
          <w:szCs w:val="24"/>
          <w:lang w:val="en-US"/>
        </w:rPr>
        <w:t>: 905-912 [PMID: 19931264 DOI: 10.1053/j.gastro.2009.11.013]</w:t>
      </w:r>
    </w:p>
    <w:p w14:paraId="17D921CA"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86 </w:t>
      </w:r>
      <w:r w:rsidRPr="001B167E">
        <w:rPr>
          <w:rFonts w:ascii="Book Antiqua" w:hAnsi="Book Antiqua"/>
          <w:b/>
          <w:bCs/>
          <w:sz w:val="24"/>
          <w:szCs w:val="24"/>
          <w:lang w:val="en-US"/>
        </w:rPr>
        <w:t>Siddique A</w:t>
      </w:r>
      <w:r w:rsidRPr="001B167E">
        <w:rPr>
          <w:rFonts w:ascii="Book Antiqua" w:hAnsi="Book Antiqua"/>
          <w:sz w:val="24"/>
          <w:szCs w:val="24"/>
          <w:lang w:val="en-US"/>
        </w:rPr>
        <w:t>, Nelson JE, Aouizerat B, Yeh MM, Kowdley KV; NASH Clinical Research Network. Iron deficiency in patients with nonalcoholic Fatty liver disease is associated with obesity, female gender, and low serum hepcidin. </w:t>
      </w:r>
      <w:r w:rsidRPr="001B167E">
        <w:rPr>
          <w:rFonts w:ascii="Book Antiqua" w:hAnsi="Book Antiqua"/>
          <w:i/>
          <w:iCs/>
          <w:sz w:val="24"/>
          <w:szCs w:val="24"/>
          <w:lang w:val="en-US"/>
        </w:rPr>
        <w:t>Clin Gastroenterol Hepatol</w:t>
      </w:r>
      <w:r w:rsidRPr="001B167E">
        <w:rPr>
          <w:rFonts w:ascii="Book Antiqua" w:hAnsi="Book Antiqua"/>
          <w:sz w:val="24"/>
          <w:szCs w:val="24"/>
          <w:lang w:val="en-US"/>
        </w:rPr>
        <w:t> 2014; </w:t>
      </w:r>
      <w:r w:rsidRPr="001B167E">
        <w:rPr>
          <w:rFonts w:ascii="Book Antiqua" w:hAnsi="Book Antiqua"/>
          <w:b/>
          <w:bCs/>
          <w:sz w:val="24"/>
          <w:szCs w:val="24"/>
          <w:lang w:val="en-US"/>
        </w:rPr>
        <w:t>12</w:t>
      </w:r>
      <w:r w:rsidRPr="001B167E">
        <w:rPr>
          <w:rFonts w:ascii="Book Antiqua" w:hAnsi="Book Antiqua"/>
          <w:sz w:val="24"/>
          <w:szCs w:val="24"/>
          <w:lang w:val="en-US"/>
        </w:rPr>
        <w:t>: 1170-1178 [PMID: 24269922 DOI: 10.1016/j.cgh.2013.11.017]</w:t>
      </w:r>
    </w:p>
    <w:p w14:paraId="7FF1F28F"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B06992">
        <w:rPr>
          <w:rFonts w:ascii="Book Antiqua" w:hAnsi="Book Antiqua"/>
          <w:sz w:val="24"/>
          <w:szCs w:val="24"/>
          <w:lang w:val="en-US"/>
        </w:rPr>
        <w:t>87 </w:t>
      </w:r>
      <w:r w:rsidRPr="00B06992">
        <w:rPr>
          <w:rFonts w:ascii="Book Antiqua" w:hAnsi="Book Antiqua"/>
          <w:b/>
          <w:bCs/>
          <w:sz w:val="24"/>
          <w:szCs w:val="24"/>
          <w:lang w:val="en-US"/>
        </w:rPr>
        <w:t>Hengeveld P</w:t>
      </w:r>
      <w:r w:rsidRPr="00B06992">
        <w:rPr>
          <w:rFonts w:ascii="Book Antiqua" w:hAnsi="Book Antiqua"/>
          <w:sz w:val="24"/>
          <w:szCs w:val="24"/>
          <w:lang w:val="en-US"/>
        </w:rPr>
        <w:t>, Zuyderhoudt FM, Jöbsis AC, van Gool J. Some aspects of iron metabolism during acute viral hepatitis. </w:t>
      </w:r>
      <w:r w:rsidRPr="00B06992">
        <w:rPr>
          <w:rFonts w:ascii="Book Antiqua" w:hAnsi="Book Antiqua"/>
          <w:i/>
          <w:iCs/>
          <w:sz w:val="24"/>
          <w:szCs w:val="24"/>
          <w:lang w:val="en-US"/>
        </w:rPr>
        <w:t>Hepatogastroenterology</w:t>
      </w:r>
      <w:r w:rsidRPr="00B06992">
        <w:rPr>
          <w:rFonts w:ascii="Book Antiqua" w:hAnsi="Book Antiqua"/>
          <w:sz w:val="24"/>
          <w:szCs w:val="24"/>
          <w:lang w:val="en-US"/>
        </w:rPr>
        <w:t> 1982; </w:t>
      </w:r>
      <w:r w:rsidRPr="00B06992">
        <w:rPr>
          <w:rFonts w:ascii="Book Antiqua" w:hAnsi="Book Antiqua"/>
          <w:b/>
          <w:bCs/>
          <w:sz w:val="24"/>
          <w:szCs w:val="24"/>
          <w:lang w:val="en-US"/>
        </w:rPr>
        <w:t>29</w:t>
      </w:r>
      <w:r w:rsidRPr="00B06992">
        <w:rPr>
          <w:rFonts w:ascii="Book Antiqua" w:hAnsi="Book Antiqua"/>
          <w:sz w:val="24"/>
          <w:szCs w:val="24"/>
          <w:lang w:val="en-US"/>
        </w:rPr>
        <w:t>: 138-141 [PMID: 7129335]</w:t>
      </w:r>
    </w:p>
    <w:p w14:paraId="7FF35048"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88 </w:t>
      </w:r>
      <w:r w:rsidRPr="001B167E">
        <w:rPr>
          <w:rFonts w:ascii="Book Antiqua" w:hAnsi="Book Antiqua"/>
          <w:b/>
          <w:bCs/>
          <w:sz w:val="24"/>
          <w:szCs w:val="24"/>
          <w:lang w:val="en-US"/>
        </w:rPr>
        <w:t>Georgopoulou U</w:t>
      </w:r>
      <w:r w:rsidRPr="001B167E">
        <w:rPr>
          <w:rFonts w:ascii="Book Antiqua" w:hAnsi="Book Antiqua"/>
          <w:sz w:val="24"/>
          <w:szCs w:val="24"/>
          <w:lang w:val="en-US"/>
        </w:rPr>
        <w:t>, Dimitriadis A, Foka P, Karamichali E, Mamalaki A. Hepcidin and the iron enigma in HCV infection. </w:t>
      </w:r>
      <w:r w:rsidRPr="001B167E">
        <w:rPr>
          <w:rFonts w:ascii="Book Antiqua" w:hAnsi="Book Antiqua"/>
          <w:i/>
          <w:iCs/>
          <w:sz w:val="24"/>
          <w:szCs w:val="24"/>
          <w:lang w:val="en-US"/>
        </w:rPr>
        <w:t>Virulence</w:t>
      </w:r>
      <w:r w:rsidRPr="001B167E">
        <w:rPr>
          <w:rFonts w:ascii="Book Antiqua" w:hAnsi="Book Antiqua"/>
          <w:sz w:val="24"/>
          <w:szCs w:val="24"/>
          <w:lang w:val="en-US"/>
        </w:rPr>
        <w:t> 2014; </w:t>
      </w:r>
      <w:r w:rsidRPr="001B167E">
        <w:rPr>
          <w:rFonts w:ascii="Book Antiqua" w:hAnsi="Book Antiqua"/>
          <w:b/>
          <w:bCs/>
          <w:sz w:val="24"/>
          <w:szCs w:val="24"/>
          <w:lang w:val="en-US"/>
        </w:rPr>
        <w:t>5</w:t>
      </w:r>
      <w:r w:rsidRPr="001B167E">
        <w:rPr>
          <w:rFonts w:ascii="Book Antiqua" w:hAnsi="Book Antiqua"/>
          <w:sz w:val="24"/>
          <w:szCs w:val="24"/>
          <w:lang w:val="en-US"/>
        </w:rPr>
        <w:t>: 465-476 [PMID: 24626108 DOI: 10.4161/viru.28508]</w:t>
      </w:r>
    </w:p>
    <w:p w14:paraId="345BCF92" w14:textId="38040173"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BB19F1">
        <w:rPr>
          <w:rFonts w:ascii="Book Antiqua" w:hAnsi="Book Antiqua"/>
          <w:sz w:val="24"/>
          <w:szCs w:val="24"/>
          <w:lang w:val="en-US"/>
        </w:rPr>
        <w:t>89 </w:t>
      </w:r>
      <w:r w:rsidRPr="00BB19F1">
        <w:rPr>
          <w:rFonts w:ascii="Book Antiqua" w:hAnsi="Book Antiqua"/>
          <w:b/>
          <w:bCs/>
          <w:sz w:val="24"/>
          <w:szCs w:val="24"/>
          <w:lang w:val="en-US"/>
        </w:rPr>
        <w:t>Rigamonti C</w:t>
      </w:r>
      <w:r w:rsidRPr="00BB19F1">
        <w:rPr>
          <w:rFonts w:ascii="Book Antiqua" w:hAnsi="Book Antiqua"/>
          <w:sz w:val="24"/>
          <w:szCs w:val="24"/>
          <w:lang w:val="en-US"/>
        </w:rPr>
        <w:t>, Andorno S, Maduli E, Morelli S, Pittau S, Nicosia G, Boldorini R, Sartori M. Iron, hepatic stellate cells and fibrosis in chronic hepatitis C. </w:t>
      </w:r>
      <w:r w:rsidRPr="00BB19F1">
        <w:rPr>
          <w:rFonts w:ascii="Book Antiqua" w:hAnsi="Book Antiqua"/>
          <w:i/>
          <w:iCs/>
          <w:sz w:val="24"/>
          <w:szCs w:val="24"/>
          <w:lang w:val="en-US"/>
        </w:rPr>
        <w:t>Eur J Clin Invest</w:t>
      </w:r>
      <w:r w:rsidRPr="00BB19F1">
        <w:rPr>
          <w:rFonts w:ascii="Book Antiqua" w:hAnsi="Book Antiqua"/>
          <w:sz w:val="24"/>
          <w:szCs w:val="24"/>
          <w:lang w:val="en-US"/>
        </w:rPr>
        <w:t> 2002; </w:t>
      </w:r>
      <w:r w:rsidRPr="00BB19F1">
        <w:rPr>
          <w:rFonts w:ascii="Book Antiqua" w:hAnsi="Book Antiqua"/>
          <w:b/>
          <w:bCs/>
          <w:sz w:val="24"/>
          <w:szCs w:val="24"/>
          <w:lang w:val="en-US"/>
        </w:rPr>
        <w:t xml:space="preserve">32 </w:t>
      </w:r>
      <w:r w:rsidRPr="00BB19F1">
        <w:rPr>
          <w:rFonts w:ascii="Book Antiqua" w:hAnsi="Book Antiqua"/>
          <w:bCs/>
          <w:sz w:val="24"/>
          <w:szCs w:val="24"/>
          <w:lang w:val="en-US"/>
        </w:rPr>
        <w:t>Suppl 1</w:t>
      </w:r>
      <w:r w:rsidRPr="00BB19F1">
        <w:rPr>
          <w:rFonts w:ascii="Book Antiqua" w:hAnsi="Book Antiqua"/>
          <w:sz w:val="24"/>
          <w:szCs w:val="24"/>
          <w:lang w:val="en-US"/>
        </w:rPr>
        <w:t>: 28-35 [PMID: 11886429</w:t>
      </w:r>
      <w:r w:rsidR="00BB19F1">
        <w:rPr>
          <w:rFonts w:ascii="Book Antiqua" w:hAnsi="Book Antiqua"/>
          <w:sz w:val="24"/>
          <w:szCs w:val="24"/>
          <w:lang w:val="en-US"/>
        </w:rPr>
        <w:t xml:space="preserve"> DOI: </w:t>
      </w:r>
      <w:r w:rsidR="00BB19F1" w:rsidRPr="00BB19F1">
        <w:rPr>
          <w:rFonts w:ascii="Book Antiqua" w:hAnsi="Book Antiqua"/>
          <w:sz w:val="24"/>
          <w:szCs w:val="24"/>
          <w:lang w:val="en-US"/>
        </w:rPr>
        <w:t>10.1046/j.1365-2362.2002.0320s1028.x</w:t>
      </w:r>
      <w:r w:rsidRPr="00BB19F1">
        <w:rPr>
          <w:rFonts w:ascii="Book Antiqua" w:hAnsi="Book Antiqua"/>
          <w:sz w:val="24"/>
          <w:szCs w:val="24"/>
          <w:lang w:val="en-US"/>
        </w:rPr>
        <w:t>]</w:t>
      </w:r>
    </w:p>
    <w:p w14:paraId="4136DFCB"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90 </w:t>
      </w:r>
      <w:r w:rsidRPr="001B167E">
        <w:rPr>
          <w:rFonts w:ascii="Book Antiqua" w:hAnsi="Book Antiqua"/>
          <w:b/>
          <w:bCs/>
          <w:sz w:val="24"/>
          <w:szCs w:val="24"/>
          <w:lang w:val="en-US"/>
        </w:rPr>
        <w:t>Sikorska K</w:t>
      </w:r>
      <w:r w:rsidRPr="001B167E">
        <w:rPr>
          <w:rFonts w:ascii="Book Antiqua" w:hAnsi="Book Antiqua"/>
          <w:sz w:val="24"/>
          <w:szCs w:val="24"/>
          <w:lang w:val="en-US"/>
        </w:rPr>
        <w:t>. The iron homeostasis network and hepatitis C virus - a new challenge in the era of directly acting antivirals. </w:t>
      </w:r>
      <w:r w:rsidRPr="001B167E">
        <w:rPr>
          <w:rFonts w:ascii="Book Antiqua" w:hAnsi="Book Antiqua"/>
          <w:i/>
          <w:iCs/>
          <w:sz w:val="24"/>
          <w:szCs w:val="24"/>
          <w:lang w:val="en-US"/>
        </w:rPr>
        <w:t>Virulence</w:t>
      </w:r>
      <w:r w:rsidRPr="001B167E">
        <w:rPr>
          <w:rFonts w:ascii="Book Antiqua" w:hAnsi="Book Antiqua"/>
          <w:sz w:val="24"/>
          <w:szCs w:val="24"/>
          <w:lang w:val="en-US"/>
        </w:rPr>
        <w:t> 2016; </w:t>
      </w:r>
      <w:r w:rsidRPr="001B167E">
        <w:rPr>
          <w:rFonts w:ascii="Book Antiqua" w:hAnsi="Book Antiqua"/>
          <w:b/>
          <w:bCs/>
          <w:sz w:val="24"/>
          <w:szCs w:val="24"/>
          <w:lang w:val="en-US"/>
        </w:rPr>
        <w:t>7</w:t>
      </w:r>
      <w:r w:rsidRPr="001B167E">
        <w:rPr>
          <w:rFonts w:ascii="Book Antiqua" w:hAnsi="Book Antiqua"/>
          <w:sz w:val="24"/>
          <w:szCs w:val="24"/>
          <w:lang w:val="en-US"/>
        </w:rPr>
        <w:t>: 620-622 [PMID: 27196953 DOI: 10.1080/21505594.2016.1191739]</w:t>
      </w:r>
    </w:p>
    <w:p w14:paraId="71343AB9"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91 </w:t>
      </w:r>
      <w:r w:rsidRPr="001B167E">
        <w:rPr>
          <w:rFonts w:ascii="Book Antiqua" w:hAnsi="Book Antiqua"/>
          <w:b/>
          <w:bCs/>
          <w:sz w:val="24"/>
          <w:szCs w:val="24"/>
          <w:lang w:val="en-US"/>
        </w:rPr>
        <w:t>Sikorska K</w:t>
      </w:r>
      <w:r w:rsidRPr="001B167E">
        <w:rPr>
          <w:rFonts w:ascii="Book Antiqua" w:hAnsi="Book Antiqua"/>
          <w:sz w:val="24"/>
          <w:szCs w:val="24"/>
          <w:lang w:val="en-US"/>
        </w:rPr>
        <w:t>, Romanowski T, Stalke P, Izycka Swieszewska E, Bielawski KP. Association of hepcidin mRNA expression with hepatocyte iron accumulation and effects of antiviral therapy in chronic hepatitis C infection. </w:t>
      </w:r>
      <w:r w:rsidRPr="001B167E">
        <w:rPr>
          <w:rFonts w:ascii="Book Antiqua" w:hAnsi="Book Antiqua"/>
          <w:i/>
          <w:iCs/>
          <w:sz w:val="24"/>
          <w:szCs w:val="24"/>
          <w:lang w:val="en-US"/>
        </w:rPr>
        <w:t>Hepat Mon</w:t>
      </w:r>
      <w:r w:rsidRPr="001B167E">
        <w:rPr>
          <w:rFonts w:ascii="Book Antiqua" w:hAnsi="Book Antiqua"/>
          <w:sz w:val="24"/>
          <w:szCs w:val="24"/>
          <w:lang w:val="en-US"/>
        </w:rPr>
        <w:t> 2014; </w:t>
      </w:r>
      <w:r w:rsidRPr="001B167E">
        <w:rPr>
          <w:rFonts w:ascii="Book Antiqua" w:hAnsi="Book Antiqua"/>
          <w:b/>
          <w:bCs/>
          <w:sz w:val="24"/>
          <w:szCs w:val="24"/>
          <w:lang w:val="en-US"/>
        </w:rPr>
        <w:t>14</w:t>
      </w:r>
      <w:r w:rsidRPr="001B167E">
        <w:rPr>
          <w:rFonts w:ascii="Book Antiqua" w:hAnsi="Book Antiqua"/>
          <w:sz w:val="24"/>
          <w:szCs w:val="24"/>
          <w:lang w:val="en-US"/>
        </w:rPr>
        <w:t>: e21184 [PMID: 25598789 DOI: 10.5812/hepatmon.21184]</w:t>
      </w:r>
    </w:p>
    <w:p w14:paraId="7BBDAC16" w14:textId="761F1DB9"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92 </w:t>
      </w:r>
      <w:r w:rsidRPr="001B167E">
        <w:rPr>
          <w:rFonts w:ascii="Book Antiqua" w:hAnsi="Book Antiqua"/>
          <w:b/>
          <w:bCs/>
          <w:sz w:val="24"/>
          <w:szCs w:val="24"/>
          <w:lang w:val="en-US"/>
        </w:rPr>
        <w:t>Sebastiani G</w:t>
      </w:r>
      <w:r w:rsidRPr="001B167E">
        <w:rPr>
          <w:rFonts w:ascii="Book Antiqua" w:hAnsi="Book Antiqua"/>
          <w:sz w:val="24"/>
          <w:szCs w:val="24"/>
          <w:lang w:val="en-US"/>
        </w:rPr>
        <w:t>, Tempesta D, Alberti A. Hepatic iron overload is common in chronic hepatitis B and is more severe in patients coinfected with hepatitis D virus. </w:t>
      </w:r>
      <w:r w:rsidRPr="001B167E">
        <w:rPr>
          <w:rFonts w:ascii="Book Antiqua" w:hAnsi="Book Antiqua"/>
          <w:i/>
          <w:iCs/>
          <w:sz w:val="24"/>
          <w:szCs w:val="24"/>
          <w:lang w:val="en-US"/>
        </w:rPr>
        <w:t>J Viral Hepat</w:t>
      </w:r>
      <w:r w:rsidR="00D778E4">
        <w:rPr>
          <w:rFonts w:ascii="Book Antiqua" w:hAnsi="Book Antiqua"/>
          <w:i/>
          <w:iCs/>
          <w:sz w:val="24"/>
          <w:szCs w:val="24"/>
          <w:lang w:val="en-US"/>
        </w:rPr>
        <w:t xml:space="preserve"> </w:t>
      </w:r>
      <w:r w:rsidRPr="001B167E">
        <w:rPr>
          <w:rFonts w:ascii="Book Antiqua" w:hAnsi="Book Antiqua"/>
          <w:sz w:val="24"/>
          <w:szCs w:val="24"/>
          <w:lang w:val="en-US"/>
        </w:rPr>
        <w:t>2012; </w:t>
      </w:r>
      <w:r w:rsidRPr="001B167E">
        <w:rPr>
          <w:rFonts w:ascii="Book Antiqua" w:hAnsi="Book Antiqua"/>
          <w:b/>
          <w:bCs/>
          <w:sz w:val="24"/>
          <w:szCs w:val="24"/>
          <w:lang w:val="en-US"/>
        </w:rPr>
        <w:t>19</w:t>
      </w:r>
      <w:r w:rsidRPr="001B167E">
        <w:rPr>
          <w:rFonts w:ascii="Book Antiqua" w:hAnsi="Book Antiqua"/>
          <w:sz w:val="24"/>
          <w:szCs w:val="24"/>
          <w:lang w:val="en-US"/>
        </w:rPr>
        <w:t>: e170-e176 [PMID: 22239515 DOI: 10.1111/j.1365-2893.2011.01508.x]</w:t>
      </w:r>
    </w:p>
    <w:p w14:paraId="367FC2F3"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93 </w:t>
      </w:r>
      <w:r w:rsidRPr="001B167E">
        <w:rPr>
          <w:rFonts w:ascii="Book Antiqua" w:hAnsi="Book Antiqua"/>
          <w:b/>
          <w:bCs/>
          <w:sz w:val="24"/>
          <w:szCs w:val="24"/>
          <w:lang w:val="en-US"/>
        </w:rPr>
        <w:t>Park SO</w:t>
      </w:r>
      <w:r w:rsidRPr="001B167E">
        <w:rPr>
          <w:rFonts w:ascii="Book Antiqua" w:hAnsi="Book Antiqua"/>
          <w:sz w:val="24"/>
          <w:szCs w:val="24"/>
          <w:lang w:val="en-US"/>
        </w:rPr>
        <w:t>, Kumar M, Gupta S. TGF-β and iron differently alter HBV replication in human hepatocytes through TGF-β/BMP signaling and cellular microRNA expression. </w:t>
      </w:r>
      <w:r w:rsidRPr="001B167E">
        <w:rPr>
          <w:rFonts w:ascii="Book Antiqua" w:hAnsi="Book Antiqua"/>
          <w:i/>
          <w:iCs/>
          <w:sz w:val="24"/>
          <w:szCs w:val="24"/>
          <w:lang w:val="en-US"/>
        </w:rPr>
        <w:t>PLoS One</w:t>
      </w:r>
      <w:r w:rsidRPr="001B167E">
        <w:rPr>
          <w:rFonts w:ascii="Book Antiqua" w:hAnsi="Book Antiqua"/>
          <w:sz w:val="24"/>
          <w:szCs w:val="24"/>
          <w:lang w:val="en-US"/>
        </w:rPr>
        <w:t>2012; </w:t>
      </w:r>
      <w:r w:rsidRPr="001B167E">
        <w:rPr>
          <w:rFonts w:ascii="Book Antiqua" w:hAnsi="Book Antiqua"/>
          <w:b/>
          <w:bCs/>
          <w:sz w:val="24"/>
          <w:szCs w:val="24"/>
          <w:lang w:val="en-US"/>
        </w:rPr>
        <w:t>7</w:t>
      </w:r>
      <w:r w:rsidRPr="001B167E">
        <w:rPr>
          <w:rFonts w:ascii="Book Antiqua" w:hAnsi="Book Antiqua"/>
          <w:sz w:val="24"/>
          <w:szCs w:val="24"/>
          <w:lang w:val="en-US"/>
        </w:rPr>
        <w:t>: e39276 [PMID: 22723983 DOI: 10.1371/journal.pone.0039276]</w:t>
      </w:r>
    </w:p>
    <w:p w14:paraId="5E66C0F6"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lastRenderedPageBreak/>
        <w:t>94 </w:t>
      </w:r>
      <w:r w:rsidRPr="001B167E">
        <w:rPr>
          <w:rFonts w:ascii="Book Antiqua" w:hAnsi="Book Antiqua"/>
          <w:b/>
          <w:bCs/>
          <w:sz w:val="24"/>
          <w:szCs w:val="24"/>
          <w:lang w:val="en-US"/>
        </w:rPr>
        <w:t>Lurie Y</w:t>
      </w:r>
      <w:r w:rsidRPr="001B167E">
        <w:rPr>
          <w:rFonts w:ascii="Book Antiqua" w:hAnsi="Book Antiqua"/>
          <w:sz w:val="24"/>
          <w:szCs w:val="24"/>
          <w:lang w:val="en-US"/>
        </w:rPr>
        <w:t>, Webb M, Cytter-Kuint R, Shteingart S, Lederkremer GZ. Non-invasive diagnosis of liver fibrosis and cirrhosis. </w:t>
      </w:r>
      <w:r w:rsidRPr="001B167E">
        <w:rPr>
          <w:rFonts w:ascii="Book Antiqua" w:hAnsi="Book Antiqua"/>
          <w:i/>
          <w:iCs/>
          <w:sz w:val="24"/>
          <w:szCs w:val="24"/>
          <w:lang w:val="en-US"/>
        </w:rPr>
        <w:t>World J Gastroenterol</w:t>
      </w:r>
      <w:r w:rsidRPr="001B167E">
        <w:rPr>
          <w:rFonts w:ascii="Book Antiqua" w:hAnsi="Book Antiqua"/>
          <w:sz w:val="24"/>
          <w:szCs w:val="24"/>
          <w:lang w:val="en-US"/>
        </w:rPr>
        <w:t> 2015; </w:t>
      </w:r>
      <w:r w:rsidRPr="001B167E">
        <w:rPr>
          <w:rFonts w:ascii="Book Antiqua" w:hAnsi="Book Antiqua"/>
          <w:b/>
          <w:bCs/>
          <w:sz w:val="24"/>
          <w:szCs w:val="24"/>
          <w:lang w:val="en-US"/>
        </w:rPr>
        <w:t>21</w:t>
      </w:r>
      <w:r w:rsidRPr="001B167E">
        <w:rPr>
          <w:rFonts w:ascii="Book Antiqua" w:hAnsi="Book Antiqua"/>
          <w:sz w:val="24"/>
          <w:szCs w:val="24"/>
          <w:lang w:val="en-US"/>
        </w:rPr>
        <w:t>: 11567-11583 [PMID: 26556987 DOI: 10.3748/wjg.v21.i41.11567]</w:t>
      </w:r>
    </w:p>
    <w:p w14:paraId="270591A8"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95 </w:t>
      </w:r>
      <w:r w:rsidRPr="001B167E">
        <w:rPr>
          <w:rFonts w:ascii="Book Antiqua" w:hAnsi="Book Antiqua"/>
          <w:b/>
          <w:bCs/>
          <w:sz w:val="24"/>
          <w:szCs w:val="24"/>
          <w:lang w:val="en-US"/>
        </w:rPr>
        <w:t>Castiella A</w:t>
      </w:r>
      <w:r w:rsidRPr="001B167E">
        <w:rPr>
          <w:rFonts w:ascii="Book Antiqua" w:hAnsi="Book Antiqua"/>
          <w:sz w:val="24"/>
          <w:szCs w:val="24"/>
          <w:lang w:val="en-US"/>
        </w:rPr>
        <w:t>, Zapata E, Alústiza JM. Non-invasive methods for liver fibrosis prediction in hemochromatosis: One step beyond. </w:t>
      </w:r>
      <w:r w:rsidRPr="001B167E">
        <w:rPr>
          <w:rFonts w:ascii="Book Antiqua" w:hAnsi="Book Antiqua"/>
          <w:i/>
          <w:iCs/>
          <w:sz w:val="24"/>
          <w:szCs w:val="24"/>
          <w:lang w:val="en-US"/>
        </w:rPr>
        <w:t>World J Hepatol</w:t>
      </w:r>
      <w:r w:rsidRPr="001B167E">
        <w:rPr>
          <w:rFonts w:ascii="Book Antiqua" w:hAnsi="Book Antiqua"/>
          <w:sz w:val="24"/>
          <w:szCs w:val="24"/>
          <w:lang w:val="en-US"/>
        </w:rPr>
        <w:t> 2010; </w:t>
      </w:r>
      <w:r w:rsidRPr="001B167E">
        <w:rPr>
          <w:rFonts w:ascii="Book Antiqua" w:hAnsi="Book Antiqua"/>
          <w:b/>
          <w:bCs/>
          <w:sz w:val="24"/>
          <w:szCs w:val="24"/>
          <w:lang w:val="en-US"/>
        </w:rPr>
        <w:t>2</w:t>
      </w:r>
      <w:r w:rsidRPr="001B167E">
        <w:rPr>
          <w:rFonts w:ascii="Book Antiqua" w:hAnsi="Book Antiqua"/>
          <w:sz w:val="24"/>
          <w:szCs w:val="24"/>
          <w:lang w:val="en-US"/>
        </w:rPr>
        <w:t>: 251-255 [PMID: 21161006 DOI: 10.4254/wjh.v2.i7.251]</w:t>
      </w:r>
    </w:p>
    <w:p w14:paraId="1BB1B047" w14:textId="003FC17B"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BB19F1">
        <w:rPr>
          <w:rFonts w:ascii="Book Antiqua" w:hAnsi="Book Antiqua"/>
          <w:sz w:val="24"/>
          <w:szCs w:val="24"/>
          <w:lang w:val="en-US"/>
        </w:rPr>
        <w:t>96 </w:t>
      </w:r>
      <w:r w:rsidRPr="00BB19F1">
        <w:rPr>
          <w:rFonts w:ascii="Book Antiqua" w:hAnsi="Book Antiqua"/>
          <w:b/>
          <w:bCs/>
          <w:sz w:val="24"/>
          <w:szCs w:val="24"/>
          <w:lang w:val="en-US"/>
        </w:rPr>
        <w:t>Metwally MA</w:t>
      </w:r>
      <w:r w:rsidRPr="00BB19F1">
        <w:rPr>
          <w:rFonts w:ascii="Book Antiqua" w:hAnsi="Book Antiqua"/>
          <w:sz w:val="24"/>
          <w:szCs w:val="24"/>
          <w:lang w:val="en-US"/>
        </w:rPr>
        <w:t>, Zein CO, Zein NN. Clinical significance of hepatic iron deposition and serum iron values in patients with chronic hepatitis C infection. </w:t>
      </w:r>
      <w:r w:rsidRPr="00BB19F1">
        <w:rPr>
          <w:rFonts w:ascii="Book Antiqua" w:hAnsi="Book Antiqua"/>
          <w:i/>
          <w:iCs/>
          <w:sz w:val="24"/>
          <w:szCs w:val="24"/>
          <w:lang w:val="en-US"/>
        </w:rPr>
        <w:t>Am J Gastroenterol</w:t>
      </w:r>
      <w:r w:rsidRPr="00BB19F1">
        <w:rPr>
          <w:rFonts w:ascii="Book Antiqua" w:hAnsi="Book Antiqua"/>
          <w:sz w:val="24"/>
          <w:szCs w:val="24"/>
          <w:lang w:val="en-US"/>
        </w:rPr>
        <w:t> 2004; </w:t>
      </w:r>
      <w:r w:rsidRPr="00BB19F1">
        <w:rPr>
          <w:rFonts w:ascii="Book Antiqua" w:hAnsi="Book Antiqua"/>
          <w:b/>
          <w:bCs/>
          <w:sz w:val="24"/>
          <w:szCs w:val="24"/>
          <w:lang w:val="en-US"/>
        </w:rPr>
        <w:t>99</w:t>
      </w:r>
      <w:r w:rsidRPr="00BB19F1">
        <w:rPr>
          <w:rFonts w:ascii="Book Antiqua" w:hAnsi="Book Antiqua"/>
          <w:sz w:val="24"/>
          <w:szCs w:val="24"/>
          <w:lang w:val="en-US"/>
        </w:rPr>
        <w:t>: 286-291 [PMID: 15046219</w:t>
      </w:r>
      <w:r w:rsidR="00BB19F1">
        <w:rPr>
          <w:rFonts w:ascii="Book Antiqua" w:hAnsi="Book Antiqua"/>
          <w:sz w:val="24"/>
          <w:szCs w:val="24"/>
          <w:lang w:val="en-US"/>
        </w:rPr>
        <w:t xml:space="preserve"> DOI: </w:t>
      </w:r>
      <w:r w:rsidR="00BB19F1" w:rsidRPr="00BB19F1">
        <w:rPr>
          <w:rFonts w:ascii="Book Antiqua" w:hAnsi="Book Antiqua"/>
          <w:sz w:val="24"/>
          <w:szCs w:val="24"/>
          <w:lang w:val="en-US"/>
        </w:rPr>
        <w:t>10.1111/j.1572-0241.2004.04049.x</w:t>
      </w:r>
      <w:r w:rsidRPr="00BB19F1">
        <w:rPr>
          <w:rFonts w:ascii="Book Antiqua" w:hAnsi="Book Antiqua"/>
          <w:sz w:val="24"/>
          <w:szCs w:val="24"/>
          <w:lang w:val="en-US"/>
        </w:rPr>
        <w:t>]</w:t>
      </w:r>
    </w:p>
    <w:p w14:paraId="0AC449E5"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97 </w:t>
      </w:r>
      <w:r w:rsidRPr="001B167E">
        <w:rPr>
          <w:rFonts w:ascii="Book Antiqua" w:hAnsi="Book Antiqua"/>
          <w:b/>
          <w:bCs/>
          <w:sz w:val="24"/>
          <w:szCs w:val="24"/>
          <w:lang w:val="en-US"/>
        </w:rPr>
        <w:t>Saito H</w:t>
      </w:r>
      <w:r w:rsidRPr="001B167E">
        <w:rPr>
          <w:rFonts w:ascii="Book Antiqua" w:hAnsi="Book Antiqua"/>
          <w:sz w:val="24"/>
          <w:szCs w:val="24"/>
          <w:lang w:val="en-US"/>
        </w:rPr>
        <w:t>, Fujimoto Y, Ohtake T, Suzuki Y, Sakurai S, Hosoki Y, Ikuta K, Torimoto Y, Kohgo Y. Up-regulation of transferrin receptor 1 in chronic hepatitis C: Implication in excess hepatic iron accumulation. </w:t>
      </w:r>
      <w:r w:rsidRPr="001B167E">
        <w:rPr>
          <w:rFonts w:ascii="Book Antiqua" w:hAnsi="Book Antiqua"/>
          <w:i/>
          <w:iCs/>
          <w:sz w:val="24"/>
          <w:szCs w:val="24"/>
          <w:lang w:val="en-US"/>
        </w:rPr>
        <w:t>Hepatol Res</w:t>
      </w:r>
      <w:r w:rsidRPr="001B167E">
        <w:rPr>
          <w:rFonts w:ascii="Book Antiqua" w:hAnsi="Book Antiqua"/>
          <w:sz w:val="24"/>
          <w:szCs w:val="24"/>
          <w:lang w:val="en-US"/>
        </w:rPr>
        <w:t> 2005; </w:t>
      </w:r>
      <w:r w:rsidRPr="001B167E">
        <w:rPr>
          <w:rFonts w:ascii="Book Antiqua" w:hAnsi="Book Antiqua"/>
          <w:b/>
          <w:bCs/>
          <w:sz w:val="24"/>
          <w:szCs w:val="24"/>
          <w:lang w:val="en-US"/>
        </w:rPr>
        <w:t>31</w:t>
      </w:r>
      <w:r w:rsidRPr="001B167E">
        <w:rPr>
          <w:rFonts w:ascii="Book Antiqua" w:hAnsi="Book Antiqua"/>
          <w:sz w:val="24"/>
          <w:szCs w:val="24"/>
          <w:lang w:val="en-US"/>
        </w:rPr>
        <w:t>: 203-210 [PMID: 16890168 DOI: 10.1016/j.hepres.2005.02.001]</w:t>
      </w:r>
    </w:p>
    <w:p w14:paraId="27538F37"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98 </w:t>
      </w:r>
      <w:r w:rsidRPr="001B167E">
        <w:rPr>
          <w:rFonts w:ascii="Book Antiqua" w:hAnsi="Book Antiqua"/>
          <w:b/>
          <w:bCs/>
          <w:sz w:val="24"/>
          <w:szCs w:val="24"/>
          <w:lang w:val="en-US"/>
        </w:rPr>
        <w:t>Guyader D</w:t>
      </w:r>
      <w:r w:rsidRPr="001B167E">
        <w:rPr>
          <w:rFonts w:ascii="Book Antiqua" w:hAnsi="Book Antiqua"/>
          <w:sz w:val="24"/>
          <w:szCs w:val="24"/>
          <w:lang w:val="en-US"/>
        </w:rPr>
        <w:t>, Thirouard AS, Erdtmann L, Rakba N, Jacquelinet S, Danielou H, Perrin M, Jouanolle AM, Brissot P, Deugnier Y. Liver iron is a surrogate marker of severe fibrosis in chronic hepatitis C. </w:t>
      </w:r>
      <w:r w:rsidRPr="001B167E">
        <w:rPr>
          <w:rFonts w:ascii="Book Antiqua" w:hAnsi="Book Antiqua"/>
          <w:i/>
          <w:iCs/>
          <w:sz w:val="24"/>
          <w:szCs w:val="24"/>
          <w:lang w:val="en-US"/>
        </w:rPr>
        <w:t>J Hepatol</w:t>
      </w:r>
      <w:r w:rsidRPr="001B167E">
        <w:rPr>
          <w:rFonts w:ascii="Book Antiqua" w:hAnsi="Book Antiqua"/>
          <w:sz w:val="24"/>
          <w:szCs w:val="24"/>
          <w:lang w:val="en-US"/>
        </w:rPr>
        <w:t> 2007; </w:t>
      </w:r>
      <w:r w:rsidRPr="001B167E">
        <w:rPr>
          <w:rFonts w:ascii="Book Antiqua" w:hAnsi="Book Antiqua"/>
          <w:b/>
          <w:bCs/>
          <w:sz w:val="24"/>
          <w:szCs w:val="24"/>
          <w:lang w:val="en-US"/>
        </w:rPr>
        <w:t>46</w:t>
      </w:r>
      <w:r w:rsidRPr="001B167E">
        <w:rPr>
          <w:rFonts w:ascii="Book Antiqua" w:hAnsi="Book Antiqua"/>
          <w:sz w:val="24"/>
          <w:szCs w:val="24"/>
          <w:lang w:val="en-US"/>
        </w:rPr>
        <w:t>: 587-595 [PMID: 17156889 DOI: 10.1016/j.jhep.2006.09.021]</w:t>
      </w:r>
    </w:p>
    <w:p w14:paraId="4BA9ED39"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99 </w:t>
      </w:r>
      <w:r w:rsidRPr="001B167E">
        <w:rPr>
          <w:rFonts w:ascii="Book Antiqua" w:hAnsi="Book Antiqua"/>
          <w:b/>
          <w:bCs/>
          <w:sz w:val="24"/>
          <w:szCs w:val="24"/>
          <w:lang w:val="en-US"/>
        </w:rPr>
        <w:t>Sirlin CB</w:t>
      </w:r>
      <w:r w:rsidRPr="001B167E">
        <w:rPr>
          <w:rFonts w:ascii="Book Antiqua" w:hAnsi="Book Antiqua"/>
          <w:sz w:val="24"/>
          <w:szCs w:val="24"/>
          <w:lang w:val="en-US"/>
        </w:rPr>
        <w:t>, Reeder SB. Magnetic resonance imaging quantification of liver iron. </w:t>
      </w:r>
      <w:r w:rsidRPr="001B167E">
        <w:rPr>
          <w:rFonts w:ascii="Book Antiqua" w:hAnsi="Book Antiqua"/>
          <w:i/>
          <w:iCs/>
          <w:sz w:val="24"/>
          <w:szCs w:val="24"/>
          <w:lang w:val="en-US"/>
        </w:rPr>
        <w:t>Magn Reson Imaging Clin N Am</w:t>
      </w:r>
      <w:r w:rsidRPr="001B167E">
        <w:rPr>
          <w:rFonts w:ascii="Book Antiqua" w:hAnsi="Book Antiqua"/>
          <w:sz w:val="24"/>
          <w:szCs w:val="24"/>
          <w:lang w:val="en-US"/>
        </w:rPr>
        <w:t> 2010; </w:t>
      </w:r>
      <w:r w:rsidRPr="001B167E">
        <w:rPr>
          <w:rFonts w:ascii="Book Antiqua" w:hAnsi="Book Antiqua"/>
          <w:b/>
          <w:bCs/>
          <w:sz w:val="24"/>
          <w:szCs w:val="24"/>
          <w:lang w:val="en-US"/>
        </w:rPr>
        <w:t>18</w:t>
      </w:r>
      <w:r w:rsidRPr="001B167E">
        <w:rPr>
          <w:rFonts w:ascii="Book Antiqua" w:hAnsi="Book Antiqua"/>
          <w:sz w:val="24"/>
          <w:szCs w:val="24"/>
          <w:lang w:val="en-US"/>
        </w:rPr>
        <w:t>: 359-381, ix [PMID: 21094445 DOI: 10.1016/j.mric.2010.08.014]</w:t>
      </w:r>
    </w:p>
    <w:p w14:paraId="50FE7F0B"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100 </w:t>
      </w:r>
      <w:r w:rsidRPr="001B167E">
        <w:rPr>
          <w:rFonts w:ascii="Book Antiqua" w:hAnsi="Book Antiqua"/>
          <w:b/>
          <w:bCs/>
          <w:sz w:val="24"/>
          <w:szCs w:val="24"/>
          <w:lang w:val="en-US"/>
        </w:rPr>
        <w:t>Cohen LA</w:t>
      </w:r>
      <w:r w:rsidRPr="001B167E">
        <w:rPr>
          <w:rFonts w:ascii="Book Antiqua" w:hAnsi="Book Antiqua"/>
          <w:sz w:val="24"/>
          <w:szCs w:val="24"/>
          <w:lang w:val="en-US"/>
        </w:rPr>
        <w:t>, Gutierrez L, Weiss A, Leichtmann-Bardoogo Y, Zhang DL, Crooks DR, Sougrat R, Morgenstern A, Galy B, Hentze MW, Lazaro FJ, Rouault TA, Meyron-Holtz EG. Serum ferritin is derived primarily from macrophages through a nonclassical secretory pathway. </w:t>
      </w:r>
      <w:r w:rsidRPr="001B167E">
        <w:rPr>
          <w:rFonts w:ascii="Book Antiqua" w:hAnsi="Book Antiqua"/>
          <w:i/>
          <w:iCs/>
          <w:sz w:val="24"/>
          <w:szCs w:val="24"/>
          <w:lang w:val="en-US"/>
        </w:rPr>
        <w:t>Blood</w:t>
      </w:r>
      <w:r w:rsidRPr="001B167E">
        <w:rPr>
          <w:rFonts w:ascii="Book Antiqua" w:hAnsi="Book Antiqua"/>
          <w:sz w:val="24"/>
          <w:szCs w:val="24"/>
          <w:lang w:val="en-US"/>
        </w:rPr>
        <w:t> 2010; </w:t>
      </w:r>
      <w:r w:rsidRPr="001B167E">
        <w:rPr>
          <w:rFonts w:ascii="Book Antiqua" w:hAnsi="Book Antiqua"/>
          <w:b/>
          <w:bCs/>
          <w:sz w:val="24"/>
          <w:szCs w:val="24"/>
          <w:lang w:val="en-US"/>
        </w:rPr>
        <w:t>116</w:t>
      </w:r>
      <w:r w:rsidRPr="001B167E">
        <w:rPr>
          <w:rFonts w:ascii="Book Antiqua" w:hAnsi="Book Antiqua"/>
          <w:sz w:val="24"/>
          <w:szCs w:val="24"/>
          <w:lang w:val="en-US"/>
        </w:rPr>
        <w:t>: 1574-1584 [PMID: 20472835 DOI: 10.1182/blood-2009-11-253815]</w:t>
      </w:r>
    </w:p>
    <w:p w14:paraId="4E5CB2F2"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101 </w:t>
      </w:r>
      <w:r w:rsidRPr="001B167E">
        <w:rPr>
          <w:rFonts w:ascii="Book Antiqua" w:hAnsi="Book Antiqua"/>
          <w:b/>
          <w:bCs/>
          <w:sz w:val="24"/>
          <w:szCs w:val="24"/>
          <w:lang w:val="en-US"/>
        </w:rPr>
        <w:t>Bacon BR</w:t>
      </w:r>
      <w:r w:rsidRPr="001B167E">
        <w:rPr>
          <w:rFonts w:ascii="Book Antiqua" w:hAnsi="Book Antiqua"/>
          <w:sz w:val="24"/>
          <w:szCs w:val="24"/>
          <w:lang w:val="en-US"/>
        </w:rPr>
        <w:t>, Adams PC, Kowdley KV, Powell LW, Tavill AS; American Association for the Study of Liver Diseases. Diagnosis and management of hemochromatosis: 2011 practice guideline by the American Association for the Study of Liver Diseases. </w:t>
      </w:r>
      <w:r w:rsidRPr="001B167E">
        <w:rPr>
          <w:rFonts w:ascii="Book Antiqua" w:hAnsi="Book Antiqua"/>
          <w:i/>
          <w:iCs/>
          <w:sz w:val="24"/>
          <w:szCs w:val="24"/>
          <w:lang w:val="en-US"/>
        </w:rPr>
        <w:t>Hepatology</w:t>
      </w:r>
      <w:r w:rsidRPr="001B167E">
        <w:rPr>
          <w:rFonts w:ascii="Book Antiqua" w:hAnsi="Book Antiqua"/>
          <w:sz w:val="24"/>
          <w:szCs w:val="24"/>
          <w:lang w:val="en-US"/>
        </w:rPr>
        <w:t> 2011; </w:t>
      </w:r>
      <w:r w:rsidRPr="001B167E">
        <w:rPr>
          <w:rFonts w:ascii="Book Antiqua" w:hAnsi="Book Antiqua"/>
          <w:b/>
          <w:bCs/>
          <w:sz w:val="24"/>
          <w:szCs w:val="24"/>
          <w:lang w:val="en-US"/>
        </w:rPr>
        <w:t>54</w:t>
      </w:r>
      <w:r w:rsidRPr="001B167E">
        <w:rPr>
          <w:rFonts w:ascii="Book Antiqua" w:hAnsi="Book Antiqua"/>
          <w:sz w:val="24"/>
          <w:szCs w:val="24"/>
          <w:lang w:val="en-US"/>
        </w:rPr>
        <w:t>: 328-343 [PMID: 21452290 DOI: 10.1002/hep.24330]</w:t>
      </w:r>
    </w:p>
    <w:p w14:paraId="5549C19C"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lastRenderedPageBreak/>
        <w:t>102 </w:t>
      </w:r>
      <w:r w:rsidRPr="001B167E">
        <w:rPr>
          <w:rFonts w:ascii="Book Antiqua" w:hAnsi="Book Antiqua"/>
          <w:b/>
          <w:bCs/>
          <w:sz w:val="24"/>
          <w:szCs w:val="24"/>
          <w:lang w:val="en-US"/>
        </w:rPr>
        <w:t>Legros L</w:t>
      </w:r>
      <w:r w:rsidRPr="001B167E">
        <w:rPr>
          <w:rFonts w:ascii="Book Antiqua" w:hAnsi="Book Antiqua"/>
          <w:sz w:val="24"/>
          <w:szCs w:val="24"/>
          <w:lang w:val="en-US"/>
        </w:rPr>
        <w:t>, Bardou-Jacquet E, Latournerie M, Guillygomarc'h A, Turlin B, Le Lan C, Désille Y, Lainé F, Moirand R, Brissot P, Deugnier Y, Guyader D. Non-invasive assessment of liver fibrosis in C282Y homozygous HFE hemochromatosis. </w:t>
      </w:r>
      <w:r w:rsidRPr="001B167E">
        <w:rPr>
          <w:rFonts w:ascii="Book Antiqua" w:hAnsi="Book Antiqua"/>
          <w:i/>
          <w:iCs/>
          <w:sz w:val="24"/>
          <w:szCs w:val="24"/>
          <w:lang w:val="en-US"/>
        </w:rPr>
        <w:t>Liver Int</w:t>
      </w:r>
      <w:r w:rsidRPr="001B167E">
        <w:rPr>
          <w:rFonts w:ascii="Book Antiqua" w:hAnsi="Book Antiqua"/>
          <w:sz w:val="24"/>
          <w:szCs w:val="24"/>
          <w:lang w:val="en-US"/>
        </w:rPr>
        <w:t> 2015; </w:t>
      </w:r>
      <w:r w:rsidRPr="001B167E">
        <w:rPr>
          <w:rFonts w:ascii="Book Antiqua" w:hAnsi="Book Antiqua"/>
          <w:b/>
          <w:bCs/>
          <w:sz w:val="24"/>
          <w:szCs w:val="24"/>
          <w:lang w:val="en-US"/>
        </w:rPr>
        <w:t>35</w:t>
      </w:r>
      <w:r w:rsidRPr="001B167E">
        <w:rPr>
          <w:rFonts w:ascii="Book Antiqua" w:hAnsi="Book Antiqua"/>
          <w:sz w:val="24"/>
          <w:szCs w:val="24"/>
          <w:lang w:val="en-US"/>
        </w:rPr>
        <w:t>: 1731-1738 [PMID: 25495562 DOI: 10.1111/liv.12762]</w:t>
      </w:r>
    </w:p>
    <w:p w14:paraId="09955365"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103 </w:t>
      </w:r>
      <w:r w:rsidRPr="001B167E">
        <w:rPr>
          <w:rFonts w:ascii="Book Antiqua" w:hAnsi="Book Antiqua"/>
          <w:b/>
          <w:bCs/>
          <w:sz w:val="24"/>
          <w:szCs w:val="24"/>
          <w:lang w:val="en-US"/>
        </w:rPr>
        <w:t>Wood MJ</w:t>
      </w:r>
      <w:r w:rsidRPr="001B167E">
        <w:rPr>
          <w:rFonts w:ascii="Book Antiqua" w:hAnsi="Book Antiqua"/>
          <w:sz w:val="24"/>
          <w:szCs w:val="24"/>
          <w:lang w:val="en-US"/>
        </w:rPr>
        <w:t>, Crawford DHG, Wockner LF, Powell LW, Ramm GA. Serum ferritin concentration predicts hepatic fibrosis better than hepatic iron concentration in human HFE-Haemochromatosis. </w:t>
      </w:r>
      <w:r w:rsidRPr="001B167E">
        <w:rPr>
          <w:rFonts w:ascii="Book Antiqua" w:hAnsi="Book Antiqua"/>
          <w:i/>
          <w:iCs/>
          <w:sz w:val="24"/>
          <w:szCs w:val="24"/>
          <w:lang w:val="en-US"/>
        </w:rPr>
        <w:t>Liver Int</w:t>
      </w:r>
      <w:r w:rsidRPr="001B167E">
        <w:rPr>
          <w:rFonts w:ascii="Book Antiqua" w:hAnsi="Book Antiqua"/>
          <w:sz w:val="24"/>
          <w:szCs w:val="24"/>
          <w:lang w:val="en-US"/>
        </w:rPr>
        <w:t> 2017; </w:t>
      </w:r>
      <w:r w:rsidRPr="001B167E">
        <w:rPr>
          <w:rFonts w:ascii="Book Antiqua" w:hAnsi="Book Antiqua"/>
          <w:b/>
          <w:bCs/>
          <w:sz w:val="24"/>
          <w:szCs w:val="24"/>
          <w:lang w:val="en-US"/>
        </w:rPr>
        <w:t>37</w:t>
      </w:r>
      <w:r w:rsidRPr="001B167E">
        <w:rPr>
          <w:rFonts w:ascii="Book Antiqua" w:hAnsi="Book Antiqua"/>
          <w:sz w:val="24"/>
          <w:szCs w:val="24"/>
          <w:lang w:val="en-US"/>
        </w:rPr>
        <w:t>: 1382-1388 [PMID: 28231420 DOI: 10.1111/liv.13395]</w:t>
      </w:r>
    </w:p>
    <w:p w14:paraId="40ACF560"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104 </w:t>
      </w:r>
      <w:r w:rsidRPr="001B167E">
        <w:rPr>
          <w:rFonts w:ascii="Book Antiqua" w:hAnsi="Book Antiqua"/>
          <w:b/>
          <w:bCs/>
          <w:sz w:val="24"/>
          <w:szCs w:val="24"/>
          <w:lang w:val="en-US"/>
        </w:rPr>
        <w:t>Kowdley KV</w:t>
      </w:r>
      <w:r w:rsidRPr="001B167E">
        <w:rPr>
          <w:rFonts w:ascii="Book Antiqua" w:hAnsi="Book Antiqua"/>
          <w:sz w:val="24"/>
          <w:szCs w:val="24"/>
          <w:lang w:val="en-US"/>
        </w:rPr>
        <w:t>, Belt P, Wilson LA, Yeh MM, Neuschwander-Tetri BA, Chalasani N, Sanyal AJ, Nelson JE; NASH Clinical Research Network. Serum ferritin is an independent predictor of histologic severity and advanced fibrosis in patients with nonalcoholic fatty liver disease. </w:t>
      </w:r>
      <w:r w:rsidRPr="001B167E">
        <w:rPr>
          <w:rFonts w:ascii="Book Antiqua" w:hAnsi="Book Antiqua"/>
          <w:i/>
          <w:iCs/>
          <w:sz w:val="24"/>
          <w:szCs w:val="24"/>
          <w:lang w:val="en-US"/>
        </w:rPr>
        <w:t>Hepatology</w:t>
      </w:r>
      <w:r w:rsidRPr="001B167E">
        <w:rPr>
          <w:rFonts w:ascii="Book Antiqua" w:hAnsi="Book Antiqua"/>
          <w:sz w:val="24"/>
          <w:szCs w:val="24"/>
          <w:lang w:val="en-US"/>
        </w:rPr>
        <w:t> 2012; </w:t>
      </w:r>
      <w:r w:rsidRPr="001B167E">
        <w:rPr>
          <w:rFonts w:ascii="Book Antiqua" w:hAnsi="Book Antiqua"/>
          <w:b/>
          <w:bCs/>
          <w:sz w:val="24"/>
          <w:szCs w:val="24"/>
          <w:lang w:val="en-US"/>
        </w:rPr>
        <w:t>55</w:t>
      </w:r>
      <w:r w:rsidRPr="001B167E">
        <w:rPr>
          <w:rFonts w:ascii="Book Antiqua" w:hAnsi="Book Antiqua"/>
          <w:sz w:val="24"/>
          <w:szCs w:val="24"/>
          <w:lang w:val="en-US"/>
        </w:rPr>
        <w:t>: 77-85 [PMID: 21953442 DOI: 10.1002/hep.24706]</w:t>
      </w:r>
    </w:p>
    <w:p w14:paraId="464E39BE"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105 </w:t>
      </w:r>
      <w:r w:rsidRPr="001B167E">
        <w:rPr>
          <w:rFonts w:ascii="Book Antiqua" w:hAnsi="Book Antiqua"/>
          <w:b/>
          <w:bCs/>
          <w:sz w:val="24"/>
          <w:szCs w:val="24"/>
          <w:lang w:val="en-US"/>
        </w:rPr>
        <w:t>Hagström H</w:t>
      </w:r>
      <w:r w:rsidRPr="001B167E">
        <w:rPr>
          <w:rFonts w:ascii="Book Antiqua" w:hAnsi="Book Antiqua"/>
          <w:sz w:val="24"/>
          <w:szCs w:val="24"/>
          <w:lang w:val="en-US"/>
        </w:rPr>
        <w:t>, Nasr P, Bottai M, Ekstedt M, Kechagias S, Hultcrantz R, Stål P. Elevated serum ferritin is associated with increased mortality in non-alcoholic fatty liver disease after 16 years of follow-up. </w:t>
      </w:r>
      <w:r w:rsidRPr="001B167E">
        <w:rPr>
          <w:rFonts w:ascii="Book Antiqua" w:hAnsi="Book Antiqua"/>
          <w:i/>
          <w:iCs/>
          <w:sz w:val="24"/>
          <w:szCs w:val="24"/>
          <w:lang w:val="en-US"/>
        </w:rPr>
        <w:t>Liver Int</w:t>
      </w:r>
      <w:r w:rsidRPr="001B167E">
        <w:rPr>
          <w:rFonts w:ascii="Book Antiqua" w:hAnsi="Book Antiqua"/>
          <w:sz w:val="24"/>
          <w:szCs w:val="24"/>
          <w:lang w:val="en-US"/>
        </w:rPr>
        <w:t> 2016; </w:t>
      </w:r>
      <w:r w:rsidRPr="001B167E">
        <w:rPr>
          <w:rFonts w:ascii="Book Antiqua" w:hAnsi="Book Antiqua"/>
          <w:b/>
          <w:bCs/>
          <w:sz w:val="24"/>
          <w:szCs w:val="24"/>
          <w:lang w:val="en-US"/>
        </w:rPr>
        <w:t>36</w:t>
      </w:r>
      <w:r w:rsidRPr="001B167E">
        <w:rPr>
          <w:rFonts w:ascii="Book Antiqua" w:hAnsi="Book Antiqua"/>
          <w:sz w:val="24"/>
          <w:szCs w:val="24"/>
          <w:lang w:val="en-US"/>
        </w:rPr>
        <w:t>: 1688-1695 [PMID: 27064133 DOI: 10.1111/liv.13144]</w:t>
      </w:r>
    </w:p>
    <w:p w14:paraId="420A0E02"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106 </w:t>
      </w:r>
      <w:r w:rsidRPr="001B167E">
        <w:rPr>
          <w:rFonts w:ascii="Book Antiqua" w:hAnsi="Book Antiqua"/>
          <w:b/>
          <w:bCs/>
          <w:sz w:val="24"/>
          <w:szCs w:val="24"/>
          <w:lang w:val="en-US"/>
        </w:rPr>
        <w:t>Maiwall R</w:t>
      </w:r>
      <w:r w:rsidRPr="001B167E">
        <w:rPr>
          <w:rFonts w:ascii="Book Antiqua" w:hAnsi="Book Antiqua"/>
          <w:sz w:val="24"/>
          <w:szCs w:val="24"/>
          <w:lang w:val="en-US"/>
        </w:rPr>
        <w:t>, Kumar S, Chaudhary AK, Maras J, Wani Z, Kumar C, Rastogi A, Bihari C, Vashisht C, Sarin SK. Serum ferritin predicts early mortality in patients with decompensated cirrhosis. </w:t>
      </w:r>
      <w:r w:rsidRPr="001B167E">
        <w:rPr>
          <w:rFonts w:ascii="Book Antiqua" w:hAnsi="Book Antiqua"/>
          <w:i/>
          <w:iCs/>
          <w:sz w:val="24"/>
          <w:szCs w:val="24"/>
          <w:lang w:val="en-US"/>
        </w:rPr>
        <w:t>J Hepatol</w:t>
      </w:r>
      <w:r w:rsidRPr="001B167E">
        <w:rPr>
          <w:rFonts w:ascii="Book Antiqua" w:hAnsi="Book Antiqua"/>
          <w:sz w:val="24"/>
          <w:szCs w:val="24"/>
          <w:lang w:val="en-US"/>
        </w:rPr>
        <w:t> 2014; </w:t>
      </w:r>
      <w:r w:rsidRPr="001B167E">
        <w:rPr>
          <w:rFonts w:ascii="Book Antiqua" w:hAnsi="Book Antiqua"/>
          <w:b/>
          <w:bCs/>
          <w:sz w:val="24"/>
          <w:szCs w:val="24"/>
          <w:lang w:val="en-US"/>
        </w:rPr>
        <w:t>61</w:t>
      </w:r>
      <w:r w:rsidRPr="001B167E">
        <w:rPr>
          <w:rFonts w:ascii="Book Antiqua" w:hAnsi="Book Antiqua"/>
          <w:sz w:val="24"/>
          <w:szCs w:val="24"/>
          <w:lang w:val="en-US"/>
        </w:rPr>
        <w:t>: 43-50 [PMID: 24681346 DOI: 10.1016/j.jhep.2014.03.027]</w:t>
      </w:r>
    </w:p>
    <w:p w14:paraId="16C8305B"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B06992">
        <w:rPr>
          <w:rFonts w:ascii="Book Antiqua" w:hAnsi="Book Antiqua"/>
          <w:sz w:val="24"/>
          <w:szCs w:val="24"/>
          <w:lang w:val="en-US"/>
        </w:rPr>
        <w:t>107 </w:t>
      </w:r>
      <w:r w:rsidRPr="00B06992">
        <w:rPr>
          <w:rFonts w:ascii="Book Antiqua" w:hAnsi="Book Antiqua"/>
          <w:b/>
          <w:bCs/>
          <w:sz w:val="24"/>
          <w:szCs w:val="24"/>
          <w:lang w:val="en-US"/>
        </w:rPr>
        <w:t>Chandok N</w:t>
      </w:r>
      <w:r w:rsidRPr="00B06992">
        <w:rPr>
          <w:rFonts w:ascii="Book Antiqua" w:hAnsi="Book Antiqua"/>
          <w:sz w:val="24"/>
          <w:szCs w:val="24"/>
          <w:lang w:val="en-US"/>
        </w:rPr>
        <w:t>, Minuk G, Wengiel M, Uhanova J. Serum ferritin levels do not predict the stage of underlying non-alcoholic fatty liver disease. </w:t>
      </w:r>
      <w:r w:rsidRPr="00B06992">
        <w:rPr>
          <w:rFonts w:ascii="Book Antiqua" w:hAnsi="Book Antiqua"/>
          <w:i/>
          <w:iCs/>
          <w:sz w:val="24"/>
          <w:szCs w:val="24"/>
          <w:lang w:val="en-US"/>
        </w:rPr>
        <w:t>J Gastrointestin Liver Dis</w:t>
      </w:r>
      <w:r w:rsidRPr="00B06992">
        <w:rPr>
          <w:rFonts w:ascii="Book Antiqua" w:hAnsi="Book Antiqua"/>
          <w:sz w:val="24"/>
          <w:szCs w:val="24"/>
          <w:lang w:val="en-US"/>
        </w:rPr>
        <w:t> 2012; </w:t>
      </w:r>
      <w:r w:rsidRPr="00B06992">
        <w:rPr>
          <w:rFonts w:ascii="Book Antiqua" w:hAnsi="Book Antiqua"/>
          <w:b/>
          <w:bCs/>
          <w:sz w:val="24"/>
          <w:szCs w:val="24"/>
          <w:lang w:val="en-US"/>
        </w:rPr>
        <w:t>21</w:t>
      </w:r>
      <w:r w:rsidRPr="00B06992">
        <w:rPr>
          <w:rFonts w:ascii="Book Antiqua" w:hAnsi="Book Antiqua"/>
          <w:sz w:val="24"/>
          <w:szCs w:val="24"/>
          <w:lang w:val="en-US"/>
        </w:rPr>
        <w:t>: 53-58 [PMID: 22457860]</w:t>
      </w:r>
    </w:p>
    <w:p w14:paraId="18F3CD6E"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108 </w:t>
      </w:r>
      <w:r w:rsidRPr="001B167E">
        <w:rPr>
          <w:rFonts w:ascii="Book Antiqua" w:hAnsi="Book Antiqua"/>
          <w:b/>
          <w:bCs/>
          <w:sz w:val="24"/>
          <w:szCs w:val="24"/>
          <w:lang w:val="en-US"/>
        </w:rPr>
        <w:t>Chitturi S</w:t>
      </w:r>
      <w:r w:rsidRPr="001B167E">
        <w:rPr>
          <w:rFonts w:ascii="Book Antiqua" w:hAnsi="Book Antiqua"/>
          <w:sz w:val="24"/>
          <w:szCs w:val="24"/>
          <w:lang w:val="en-US"/>
        </w:rPr>
        <w:t>, Weltman M, Farrell GC, McDonald D, Kench J, Liddle C, Samarasinghe D, Lin R, Abeygunasekera S, George J. HFE mutations, hepatic iron, and fibrosis: ethnic-specific association of NASH with C282Y but not with fibrotic severity. </w:t>
      </w:r>
      <w:r w:rsidRPr="001B167E">
        <w:rPr>
          <w:rFonts w:ascii="Book Antiqua" w:hAnsi="Book Antiqua"/>
          <w:i/>
          <w:iCs/>
          <w:sz w:val="24"/>
          <w:szCs w:val="24"/>
          <w:lang w:val="en-US"/>
        </w:rPr>
        <w:t>Hepatology</w:t>
      </w:r>
      <w:r w:rsidRPr="001B167E">
        <w:rPr>
          <w:rFonts w:ascii="Book Antiqua" w:hAnsi="Book Antiqua"/>
          <w:sz w:val="24"/>
          <w:szCs w:val="24"/>
          <w:lang w:val="en-US"/>
        </w:rPr>
        <w:t> 2002; </w:t>
      </w:r>
      <w:r w:rsidRPr="001B167E">
        <w:rPr>
          <w:rFonts w:ascii="Book Antiqua" w:hAnsi="Book Antiqua"/>
          <w:b/>
          <w:bCs/>
          <w:sz w:val="24"/>
          <w:szCs w:val="24"/>
          <w:lang w:val="en-US"/>
        </w:rPr>
        <w:t>36</w:t>
      </w:r>
      <w:r w:rsidRPr="001B167E">
        <w:rPr>
          <w:rFonts w:ascii="Book Antiqua" w:hAnsi="Book Antiqua"/>
          <w:sz w:val="24"/>
          <w:szCs w:val="24"/>
          <w:lang w:val="en-US"/>
        </w:rPr>
        <w:t>: 142-149 [PMID: 12085358 DOI: 10.1053/jhep.2002.33892]</w:t>
      </w:r>
    </w:p>
    <w:p w14:paraId="5C1CBB8B"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109 </w:t>
      </w:r>
      <w:r w:rsidRPr="001B167E">
        <w:rPr>
          <w:rFonts w:ascii="Book Antiqua" w:hAnsi="Book Antiqua"/>
          <w:b/>
          <w:bCs/>
          <w:sz w:val="24"/>
          <w:szCs w:val="24"/>
          <w:lang w:val="en-US"/>
        </w:rPr>
        <w:t>Koperdanova M</w:t>
      </w:r>
      <w:r w:rsidRPr="001B167E">
        <w:rPr>
          <w:rFonts w:ascii="Book Antiqua" w:hAnsi="Book Antiqua"/>
          <w:sz w:val="24"/>
          <w:szCs w:val="24"/>
          <w:lang w:val="en-US"/>
        </w:rPr>
        <w:t>, Cullis JO. Interpreting raised serum ferritin levels. </w:t>
      </w:r>
      <w:r w:rsidRPr="001B167E">
        <w:rPr>
          <w:rFonts w:ascii="Book Antiqua" w:hAnsi="Book Antiqua"/>
          <w:i/>
          <w:iCs/>
          <w:sz w:val="24"/>
          <w:szCs w:val="24"/>
          <w:lang w:val="en-US"/>
        </w:rPr>
        <w:t>BMJ</w:t>
      </w:r>
      <w:r w:rsidRPr="001B167E">
        <w:rPr>
          <w:rFonts w:ascii="Book Antiqua" w:hAnsi="Book Antiqua"/>
          <w:sz w:val="24"/>
          <w:szCs w:val="24"/>
          <w:lang w:val="en-US"/>
        </w:rPr>
        <w:t> 2015; </w:t>
      </w:r>
      <w:r w:rsidRPr="001B167E">
        <w:rPr>
          <w:rFonts w:ascii="Book Antiqua" w:hAnsi="Book Antiqua"/>
          <w:b/>
          <w:bCs/>
          <w:sz w:val="24"/>
          <w:szCs w:val="24"/>
          <w:lang w:val="en-US"/>
        </w:rPr>
        <w:t>351</w:t>
      </w:r>
      <w:r w:rsidRPr="001B167E">
        <w:rPr>
          <w:rFonts w:ascii="Book Antiqua" w:hAnsi="Book Antiqua"/>
          <w:sz w:val="24"/>
          <w:szCs w:val="24"/>
          <w:lang w:val="en-US"/>
        </w:rPr>
        <w:t>: h3692 [PMID: 26239322 DOI: 10.1136/bmj.h3692]</w:t>
      </w:r>
    </w:p>
    <w:p w14:paraId="5553A161"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lastRenderedPageBreak/>
        <w:t>110 </w:t>
      </w:r>
      <w:r w:rsidRPr="001B167E">
        <w:rPr>
          <w:rFonts w:ascii="Book Antiqua" w:hAnsi="Book Antiqua"/>
          <w:b/>
          <w:bCs/>
          <w:sz w:val="24"/>
          <w:szCs w:val="24"/>
          <w:lang w:val="en-US"/>
        </w:rPr>
        <w:t>Ganz T</w:t>
      </w:r>
      <w:r w:rsidRPr="001B167E">
        <w:rPr>
          <w:rFonts w:ascii="Book Antiqua" w:hAnsi="Book Antiqua"/>
          <w:sz w:val="24"/>
          <w:szCs w:val="24"/>
          <w:lang w:val="en-US"/>
        </w:rPr>
        <w:t>. Hepcidin and iron regulation, 10 years later. </w:t>
      </w:r>
      <w:r w:rsidRPr="001B167E">
        <w:rPr>
          <w:rFonts w:ascii="Book Antiqua" w:hAnsi="Book Antiqua"/>
          <w:i/>
          <w:iCs/>
          <w:sz w:val="24"/>
          <w:szCs w:val="24"/>
          <w:lang w:val="en-US"/>
        </w:rPr>
        <w:t>Blood</w:t>
      </w:r>
      <w:r w:rsidRPr="001B167E">
        <w:rPr>
          <w:rFonts w:ascii="Book Antiqua" w:hAnsi="Book Antiqua"/>
          <w:sz w:val="24"/>
          <w:szCs w:val="24"/>
          <w:lang w:val="en-US"/>
        </w:rPr>
        <w:t> 2011; </w:t>
      </w:r>
      <w:r w:rsidRPr="001B167E">
        <w:rPr>
          <w:rFonts w:ascii="Book Antiqua" w:hAnsi="Book Antiqua"/>
          <w:b/>
          <w:bCs/>
          <w:sz w:val="24"/>
          <w:szCs w:val="24"/>
          <w:lang w:val="en-US"/>
        </w:rPr>
        <w:t>117</w:t>
      </w:r>
      <w:r w:rsidRPr="001B167E">
        <w:rPr>
          <w:rFonts w:ascii="Book Antiqua" w:hAnsi="Book Antiqua"/>
          <w:sz w:val="24"/>
          <w:szCs w:val="24"/>
          <w:lang w:val="en-US"/>
        </w:rPr>
        <w:t>: 4425-4433 [PMID: 21346250 DOI: 10.1182/blood-2011-01-258467]</w:t>
      </w:r>
    </w:p>
    <w:p w14:paraId="0462F6EF"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111 </w:t>
      </w:r>
      <w:r w:rsidRPr="001B167E">
        <w:rPr>
          <w:rFonts w:ascii="Book Antiqua" w:hAnsi="Book Antiqua"/>
          <w:b/>
          <w:bCs/>
          <w:sz w:val="24"/>
          <w:szCs w:val="24"/>
          <w:lang w:val="en-US"/>
        </w:rPr>
        <w:t>Vela D</w:t>
      </w:r>
      <w:r w:rsidRPr="001B167E">
        <w:rPr>
          <w:rFonts w:ascii="Book Antiqua" w:hAnsi="Book Antiqua"/>
          <w:sz w:val="24"/>
          <w:szCs w:val="24"/>
          <w:lang w:val="en-US"/>
        </w:rPr>
        <w:t>. Low hepcidin in liver fibrosis and cirrhosis; a tale of progressive disorder and a case for a new biochemical marker. </w:t>
      </w:r>
      <w:r w:rsidRPr="001B167E">
        <w:rPr>
          <w:rFonts w:ascii="Book Antiqua" w:hAnsi="Book Antiqua"/>
          <w:i/>
          <w:iCs/>
          <w:sz w:val="24"/>
          <w:szCs w:val="24"/>
          <w:lang w:val="en-US"/>
        </w:rPr>
        <w:t>Mol Med</w:t>
      </w:r>
      <w:r w:rsidRPr="001B167E">
        <w:rPr>
          <w:rFonts w:ascii="Book Antiqua" w:hAnsi="Book Antiqua"/>
          <w:sz w:val="24"/>
          <w:szCs w:val="24"/>
          <w:lang w:val="en-US"/>
        </w:rPr>
        <w:t> 2018; </w:t>
      </w:r>
      <w:r w:rsidRPr="001B167E">
        <w:rPr>
          <w:rFonts w:ascii="Book Antiqua" w:hAnsi="Book Antiqua"/>
          <w:b/>
          <w:bCs/>
          <w:sz w:val="24"/>
          <w:szCs w:val="24"/>
          <w:lang w:val="en-US"/>
        </w:rPr>
        <w:t>24</w:t>
      </w:r>
      <w:r w:rsidRPr="001B167E">
        <w:rPr>
          <w:rFonts w:ascii="Book Antiqua" w:hAnsi="Book Antiqua"/>
          <w:sz w:val="24"/>
          <w:szCs w:val="24"/>
          <w:lang w:val="en-US"/>
        </w:rPr>
        <w:t>: 5 [PMID: 30134796 DOI: 10.1186/s10020-018-0008-7]</w:t>
      </w:r>
    </w:p>
    <w:p w14:paraId="63A7E97E"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112 </w:t>
      </w:r>
      <w:r w:rsidRPr="001B167E">
        <w:rPr>
          <w:rFonts w:ascii="Book Antiqua" w:hAnsi="Book Antiqua"/>
          <w:b/>
          <w:bCs/>
          <w:sz w:val="24"/>
          <w:szCs w:val="24"/>
          <w:lang w:val="en-US"/>
        </w:rPr>
        <w:t>Tan TC</w:t>
      </w:r>
      <w:r w:rsidRPr="001B167E">
        <w:rPr>
          <w:rFonts w:ascii="Book Antiqua" w:hAnsi="Book Antiqua"/>
          <w:sz w:val="24"/>
          <w:szCs w:val="24"/>
          <w:lang w:val="en-US"/>
        </w:rPr>
        <w:t>, Crawford DH, Franklin ME, Jaskowski LA, Macdonald GA, Jonsson JR, Watson MJ, Taylor PJ, Fletcher LM. The serum hepcidin:ferritin ratio is a potential biomarker for cirrhosis. </w:t>
      </w:r>
      <w:r w:rsidRPr="001B167E">
        <w:rPr>
          <w:rFonts w:ascii="Book Antiqua" w:hAnsi="Book Antiqua"/>
          <w:i/>
          <w:iCs/>
          <w:sz w:val="24"/>
          <w:szCs w:val="24"/>
          <w:lang w:val="en-US"/>
        </w:rPr>
        <w:t>Liver Int</w:t>
      </w:r>
      <w:r w:rsidRPr="001B167E">
        <w:rPr>
          <w:rFonts w:ascii="Book Antiqua" w:hAnsi="Book Antiqua"/>
          <w:sz w:val="24"/>
          <w:szCs w:val="24"/>
          <w:lang w:val="en-US"/>
        </w:rPr>
        <w:t> 2012; </w:t>
      </w:r>
      <w:r w:rsidRPr="001B167E">
        <w:rPr>
          <w:rFonts w:ascii="Book Antiqua" w:hAnsi="Book Antiqua"/>
          <w:b/>
          <w:bCs/>
          <w:sz w:val="24"/>
          <w:szCs w:val="24"/>
          <w:lang w:val="en-US"/>
        </w:rPr>
        <w:t>32</w:t>
      </w:r>
      <w:r w:rsidRPr="001B167E">
        <w:rPr>
          <w:rFonts w:ascii="Book Antiqua" w:hAnsi="Book Antiqua"/>
          <w:sz w:val="24"/>
          <w:szCs w:val="24"/>
          <w:lang w:val="en-US"/>
        </w:rPr>
        <w:t>: 1391-1399 [PMID: 22676252 DOI: 10.1111/j.1478-3231.2012.02828.x]</w:t>
      </w:r>
    </w:p>
    <w:p w14:paraId="3BB5693B"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113 </w:t>
      </w:r>
      <w:r w:rsidRPr="001B167E">
        <w:rPr>
          <w:rFonts w:ascii="Book Antiqua" w:hAnsi="Book Antiqua"/>
          <w:b/>
          <w:bCs/>
          <w:sz w:val="24"/>
          <w:szCs w:val="24"/>
          <w:lang w:val="en-US"/>
        </w:rPr>
        <w:t>Cakir M</w:t>
      </w:r>
      <w:r w:rsidRPr="001B167E">
        <w:rPr>
          <w:rFonts w:ascii="Book Antiqua" w:hAnsi="Book Antiqua"/>
          <w:sz w:val="24"/>
          <w:szCs w:val="24"/>
          <w:lang w:val="en-US"/>
        </w:rPr>
        <w:t>, Erduran E, Turkmen ES, Aliyazicioglu Y, Reis GP, Cobanoglu U, Demir S. Hepcidin levels in children with chronic liver disease. </w:t>
      </w:r>
      <w:r w:rsidRPr="001B167E">
        <w:rPr>
          <w:rFonts w:ascii="Book Antiqua" w:hAnsi="Book Antiqua"/>
          <w:i/>
          <w:iCs/>
          <w:sz w:val="24"/>
          <w:szCs w:val="24"/>
          <w:lang w:val="en-US"/>
        </w:rPr>
        <w:t>Saudi J Gastroenterol</w:t>
      </w:r>
      <w:r w:rsidRPr="001B167E">
        <w:rPr>
          <w:rFonts w:ascii="Book Antiqua" w:hAnsi="Book Antiqua"/>
          <w:sz w:val="24"/>
          <w:szCs w:val="24"/>
          <w:lang w:val="en-US"/>
        </w:rPr>
        <w:t> 2015; </w:t>
      </w:r>
      <w:r w:rsidRPr="001B167E">
        <w:rPr>
          <w:rFonts w:ascii="Book Antiqua" w:hAnsi="Book Antiqua"/>
          <w:b/>
          <w:bCs/>
          <w:sz w:val="24"/>
          <w:szCs w:val="24"/>
          <w:lang w:val="en-US"/>
        </w:rPr>
        <w:t>21</w:t>
      </w:r>
      <w:r w:rsidRPr="001B167E">
        <w:rPr>
          <w:rFonts w:ascii="Book Antiqua" w:hAnsi="Book Antiqua"/>
          <w:sz w:val="24"/>
          <w:szCs w:val="24"/>
          <w:lang w:val="en-US"/>
        </w:rPr>
        <w:t>: 300-305 [PMID: 26458857 DOI: 10.4103/1319-3767.166205]</w:t>
      </w:r>
    </w:p>
    <w:p w14:paraId="3992C9D6"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114 </w:t>
      </w:r>
      <w:r w:rsidRPr="001B167E">
        <w:rPr>
          <w:rFonts w:ascii="Book Antiqua" w:hAnsi="Book Antiqua"/>
          <w:b/>
          <w:bCs/>
          <w:sz w:val="24"/>
          <w:szCs w:val="24"/>
          <w:lang w:val="en-US"/>
        </w:rPr>
        <w:t>Trinder D</w:t>
      </w:r>
      <w:r w:rsidRPr="001B167E">
        <w:rPr>
          <w:rFonts w:ascii="Book Antiqua" w:hAnsi="Book Antiqua"/>
          <w:sz w:val="24"/>
          <w:szCs w:val="24"/>
          <w:lang w:val="en-US"/>
        </w:rPr>
        <w:t>, Ayonrinde OT, Olynyk JK. HCV, iron, and oxidative stress: the new choreography of hepcidin. </w:t>
      </w:r>
      <w:r w:rsidRPr="001B167E">
        <w:rPr>
          <w:rFonts w:ascii="Book Antiqua" w:hAnsi="Book Antiqua"/>
          <w:i/>
          <w:iCs/>
          <w:sz w:val="24"/>
          <w:szCs w:val="24"/>
          <w:lang w:val="en-US"/>
        </w:rPr>
        <w:t>Gastroenterology</w:t>
      </w:r>
      <w:r w:rsidRPr="001B167E">
        <w:rPr>
          <w:rFonts w:ascii="Book Antiqua" w:hAnsi="Book Antiqua"/>
          <w:sz w:val="24"/>
          <w:szCs w:val="24"/>
          <w:lang w:val="en-US"/>
        </w:rPr>
        <w:t> 2008; </w:t>
      </w:r>
      <w:r w:rsidRPr="001B167E">
        <w:rPr>
          <w:rFonts w:ascii="Book Antiqua" w:hAnsi="Book Antiqua"/>
          <w:b/>
          <w:bCs/>
          <w:sz w:val="24"/>
          <w:szCs w:val="24"/>
          <w:lang w:val="en-US"/>
        </w:rPr>
        <w:t>134</w:t>
      </w:r>
      <w:r w:rsidRPr="001B167E">
        <w:rPr>
          <w:rFonts w:ascii="Book Antiqua" w:hAnsi="Book Antiqua"/>
          <w:sz w:val="24"/>
          <w:szCs w:val="24"/>
          <w:lang w:val="en-US"/>
        </w:rPr>
        <w:t>: 348-351 [PMID: 18166363 DOI: 10.1053/j.gastro.2007.11.048]</w:t>
      </w:r>
    </w:p>
    <w:p w14:paraId="4F55E292"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115 </w:t>
      </w:r>
      <w:r w:rsidRPr="001B167E">
        <w:rPr>
          <w:rFonts w:ascii="Book Antiqua" w:hAnsi="Book Antiqua"/>
          <w:b/>
          <w:bCs/>
          <w:sz w:val="24"/>
          <w:szCs w:val="24"/>
          <w:lang w:val="en-US"/>
        </w:rPr>
        <w:t>Viveiros A</w:t>
      </w:r>
      <w:r w:rsidRPr="001B167E">
        <w:rPr>
          <w:rFonts w:ascii="Book Antiqua" w:hAnsi="Book Antiqua"/>
          <w:sz w:val="24"/>
          <w:szCs w:val="24"/>
          <w:lang w:val="en-US"/>
        </w:rPr>
        <w:t>, Finkenstedt A, Schaefer B, Mandorfer M, Scheiner B, Lehner K, Tobiasch M, Reiberger T, Tilg H, Edlinger M, Zoller H. Transferrin as a predictor of survival in cirrhosis. </w:t>
      </w:r>
      <w:r w:rsidRPr="001B167E">
        <w:rPr>
          <w:rFonts w:ascii="Book Antiqua" w:hAnsi="Book Antiqua"/>
          <w:i/>
          <w:iCs/>
          <w:sz w:val="24"/>
          <w:szCs w:val="24"/>
          <w:lang w:val="en-US"/>
        </w:rPr>
        <w:t>Liver Transpl</w:t>
      </w:r>
      <w:r w:rsidRPr="001B167E">
        <w:rPr>
          <w:rFonts w:ascii="Book Antiqua" w:hAnsi="Book Antiqua"/>
          <w:sz w:val="24"/>
          <w:szCs w:val="24"/>
          <w:lang w:val="en-US"/>
        </w:rPr>
        <w:t> 2018; </w:t>
      </w:r>
      <w:r w:rsidRPr="001B167E">
        <w:rPr>
          <w:rFonts w:ascii="Book Antiqua" w:hAnsi="Book Antiqua"/>
          <w:b/>
          <w:bCs/>
          <w:sz w:val="24"/>
          <w:szCs w:val="24"/>
          <w:lang w:val="en-US"/>
        </w:rPr>
        <w:t>24</w:t>
      </w:r>
      <w:r w:rsidRPr="001B167E">
        <w:rPr>
          <w:rFonts w:ascii="Book Antiqua" w:hAnsi="Book Antiqua"/>
          <w:sz w:val="24"/>
          <w:szCs w:val="24"/>
          <w:lang w:val="en-US"/>
        </w:rPr>
        <w:t>: 343-351 [PMID: 29149510 DOI: 10.1002/lt.24981]</w:t>
      </w:r>
    </w:p>
    <w:p w14:paraId="2CE1CDFC"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116 </w:t>
      </w:r>
      <w:r w:rsidRPr="001B167E">
        <w:rPr>
          <w:rFonts w:ascii="Book Antiqua" w:hAnsi="Book Antiqua"/>
          <w:b/>
          <w:bCs/>
          <w:sz w:val="24"/>
          <w:szCs w:val="24"/>
          <w:lang w:val="en-US"/>
        </w:rPr>
        <w:t>Mao W</w:t>
      </w:r>
      <w:r w:rsidRPr="001B167E">
        <w:rPr>
          <w:rFonts w:ascii="Book Antiqua" w:hAnsi="Book Antiqua"/>
          <w:sz w:val="24"/>
          <w:szCs w:val="24"/>
          <w:lang w:val="en-US"/>
        </w:rPr>
        <w:t>, Hu Y, Lou Y, Chen Y, Zhang J. Abnormal serum iron markers in chronic hepatitis B virus infection may be because of liver injury. </w:t>
      </w:r>
      <w:r w:rsidRPr="001B167E">
        <w:rPr>
          <w:rFonts w:ascii="Book Antiqua" w:hAnsi="Book Antiqua"/>
          <w:i/>
          <w:iCs/>
          <w:sz w:val="24"/>
          <w:szCs w:val="24"/>
          <w:lang w:val="en-US"/>
        </w:rPr>
        <w:t>Eur J Gastroenterol Hepatol</w:t>
      </w:r>
      <w:r w:rsidRPr="001B167E">
        <w:rPr>
          <w:rFonts w:ascii="Book Antiqua" w:hAnsi="Book Antiqua"/>
          <w:sz w:val="24"/>
          <w:szCs w:val="24"/>
          <w:lang w:val="en-US"/>
        </w:rPr>
        <w:t> 2015; </w:t>
      </w:r>
      <w:r w:rsidRPr="001B167E">
        <w:rPr>
          <w:rFonts w:ascii="Book Antiqua" w:hAnsi="Book Antiqua"/>
          <w:b/>
          <w:bCs/>
          <w:sz w:val="24"/>
          <w:szCs w:val="24"/>
          <w:lang w:val="en-US"/>
        </w:rPr>
        <w:t>27</w:t>
      </w:r>
      <w:r w:rsidRPr="001B167E">
        <w:rPr>
          <w:rFonts w:ascii="Book Antiqua" w:hAnsi="Book Antiqua"/>
          <w:sz w:val="24"/>
          <w:szCs w:val="24"/>
          <w:lang w:val="en-US"/>
        </w:rPr>
        <w:t>: 130-136 [PMID: 25419642 DOI: 10.1097/MEG.0000000000000247]</w:t>
      </w:r>
    </w:p>
    <w:p w14:paraId="6DA8194E"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117 </w:t>
      </w:r>
      <w:r w:rsidRPr="001B167E">
        <w:rPr>
          <w:rFonts w:ascii="Book Antiqua" w:hAnsi="Book Antiqua"/>
          <w:b/>
          <w:bCs/>
          <w:sz w:val="24"/>
          <w:szCs w:val="24"/>
          <w:lang w:val="en-US"/>
        </w:rPr>
        <w:t>Prakash J</w:t>
      </w:r>
      <w:r w:rsidRPr="001B167E">
        <w:rPr>
          <w:rFonts w:ascii="Book Antiqua" w:hAnsi="Book Antiqua"/>
          <w:sz w:val="24"/>
          <w:szCs w:val="24"/>
          <w:lang w:val="en-US"/>
        </w:rPr>
        <w:t>, Pinzani M. Fibroblasts and extracellular matrix: Targeting and therapeutic tools in fibrosis and cancer. </w:t>
      </w:r>
      <w:r w:rsidRPr="001B167E">
        <w:rPr>
          <w:rFonts w:ascii="Book Antiqua" w:hAnsi="Book Antiqua"/>
          <w:i/>
          <w:iCs/>
          <w:sz w:val="24"/>
          <w:szCs w:val="24"/>
          <w:lang w:val="en-US"/>
        </w:rPr>
        <w:t>Adv Drug Deliv Rev</w:t>
      </w:r>
      <w:r w:rsidRPr="001B167E">
        <w:rPr>
          <w:rFonts w:ascii="Book Antiqua" w:hAnsi="Book Antiqua"/>
          <w:sz w:val="24"/>
          <w:szCs w:val="24"/>
          <w:lang w:val="en-US"/>
        </w:rPr>
        <w:t> 2017; </w:t>
      </w:r>
      <w:r w:rsidRPr="001B167E">
        <w:rPr>
          <w:rFonts w:ascii="Book Antiqua" w:hAnsi="Book Antiqua"/>
          <w:b/>
          <w:bCs/>
          <w:sz w:val="24"/>
          <w:szCs w:val="24"/>
          <w:lang w:val="en-US"/>
        </w:rPr>
        <w:t>121</w:t>
      </w:r>
      <w:r w:rsidRPr="001B167E">
        <w:rPr>
          <w:rFonts w:ascii="Book Antiqua" w:hAnsi="Book Antiqua"/>
          <w:sz w:val="24"/>
          <w:szCs w:val="24"/>
          <w:lang w:val="en-US"/>
        </w:rPr>
        <w:t>: 1-2 [PMID: 29191284 DOI: 10.1016/j.addr.2017.11.008]</w:t>
      </w:r>
    </w:p>
    <w:p w14:paraId="64DFC097"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118 </w:t>
      </w:r>
      <w:r w:rsidRPr="001B167E">
        <w:rPr>
          <w:rFonts w:ascii="Book Antiqua" w:hAnsi="Book Antiqua"/>
          <w:b/>
          <w:bCs/>
          <w:sz w:val="24"/>
          <w:szCs w:val="24"/>
          <w:lang w:val="en-US"/>
        </w:rPr>
        <w:t>Fujita N</w:t>
      </w:r>
      <w:r w:rsidRPr="001B167E">
        <w:rPr>
          <w:rFonts w:ascii="Book Antiqua" w:hAnsi="Book Antiqua"/>
          <w:sz w:val="24"/>
          <w:szCs w:val="24"/>
          <w:lang w:val="en-US"/>
        </w:rPr>
        <w:t>, Miyachi H, Tanaka H, Takeo M, Nakagawa N, Kobayashi Y, Iwasa M, Watanabe S, Takei Y. Iron overload is associated with hepatic oxidative damage to DNA in nonalcoholic steatohepatitis. </w:t>
      </w:r>
      <w:r w:rsidRPr="001B167E">
        <w:rPr>
          <w:rFonts w:ascii="Book Antiqua" w:hAnsi="Book Antiqua"/>
          <w:i/>
          <w:iCs/>
          <w:sz w:val="24"/>
          <w:szCs w:val="24"/>
          <w:lang w:val="en-US"/>
        </w:rPr>
        <w:t>Cancer Epidemiol Biomarkers Prev</w:t>
      </w:r>
      <w:r w:rsidRPr="001B167E">
        <w:rPr>
          <w:rFonts w:ascii="Book Antiqua" w:hAnsi="Book Antiqua"/>
          <w:sz w:val="24"/>
          <w:szCs w:val="24"/>
          <w:lang w:val="en-US"/>
        </w:rPr>
        <w:t> 2009; </w:t>
      </w:r>
      <w:r w:rsidRPr="001B167E">
        <w:rPr>
          <w:rFonts w:ascii="Book Antiqua" w:hAnsi="Book Antiqua"/>
          <w:b/>
          <w:bCs/>
          <w:sz w:val="24"/>
          <w:szCs w:val="24"/>
          <w:lang w:val="en-US"/>
        </w:rPr>
        <w:t>18</w:t>
      </w:r>
      <w:r w:rsidRPr="001B167E">
        <w:rPr>
          <w:rFonts w:ascii="Book Antiqua" w:hAnsi="Book Antiqua"/>
          <w:sz w:val="24"/>
          <w:szCs w:val="24"/>
          <w:lang w:val="en-US"/>
        </w:rPr>
        <w:t>: 424-432 [PMID: 19190144 DOI: 10.1158/1055-9965.EPI-08-0725]</w:t>
      </w:r>
    </w:p>
    <w:p w14:paraId="76EC5969" w14:textId="22C4385F"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119 </w:t>
      </w:r>
      <w:r w:rsidRPr="001B167E">
        <w:rPr>
          <w:rFonts w:ascii="Book Antiqua" w:hAnsi="Book Antiqua"/>
          <w:b/>
          <w:bCs/>
          <w:sz w:val="24"/>
          <w:szCs w:val="24"/>
          <w:lang w:val="en-US"/>
        </w:rPr>
        <w:t>Facchini FS</w:t>
      </w:r>
      <w:r w:rsidRPr="001B167E">
        <w:rPr>
          <w:rFonts w:ascii="Book Antiqua" w:hAnsi="Book Antiqua"/>
          <w:sz w:val="24"/>
          <w:szCs w:val="24"/>
          <w:lang w:val="en-US"/>
        </w:rPr>
        <w:t xml:space="preserve">, Hua NW, Stoohs RA. Effect of iron depletion in carbohydrate-intolerant patients with clinical evidence of nonalcoholic fatty liver </w:t>
      </w:r>
      <w:r w:rsidRPr="001B167E">
        <w:rPr>
          <w:rFonts w:ascii="Book Antiqua" w:hAnsi="Book Antiqua"/>
          <w:sz w:val="24"/>
          <w:szCs w:val="24"/>
          <w:lang w:val="en-US"/>
        </w:rPr>
        <w:lastRenderedPageBreak/>
        <w:t>disease. </w:t>
      </w:r>
      <w:r w:rsidRPr="001B167E">
        <w:rPr>
          <w:rFonts w:ascii="Book Antiqua" w:hAnsi="Book Antiqua"/>
          <w:i/>
          <w:iCs/>
          <w:sz w:val="24"/>
          <w:szCs w:val="24"/>
          <w:lang w:val="en-US"/>
        </w:rPr>
        <w:t>Gastroenterology</w:t>
      </w:r>
      <w:r w:rsidR="00D778E4">
        <w:rPr>
          <w:rFonts w:ascii="Book Antiqua" w:hAnsi="Book Antiqua"/>
          <w:i/>
          <w:iCs/>
          <w:sz w:val="24"/>
          <w:szCs w:val="24"/>
          <w:lang w:val="en-US"/>
        </w:rPr>
        <w:t xml:space="preserve"> </w:t>
      </w:r>
      <w:r w:rsidRPr="001B167E">
        <w:rPr>
          <w:rFonts w:ascii="Book Antiqua" w:hAnsi="Book Antiqua"/>
          <w:sz w:val="24"/>
          <w:szCs w:val="24"/>
          <w:lang w:val="en-US"/>
        </w:rPr>
        <w:t>2002; </w:t>
      </w:r>
      <w:r w:rsidRPr="001B167E">
        <w:rPr>
          <w:rFonts w:ascii="Book Antiqua" w:hAnsi="Book Antiqua"/>
          <w:b/>
          <w:bCs/>
          <w:sz w:val="24"/>
          <w:szCs w:val="24"/>
          <w:lang w:val="en-US"/>
        </w:rPr>
        <w:t>122</w:t>
      </w:r>
      <w:r w:rsidRPr="001B167E">
        <w:rPr>
          <w:rFonts w:ascii="Book Antiqua" w:hAnsi="Book Antiqua"/>
          <w:sz w:val="24"/>
          <w:szCs w:val="24"/>
          <w:lang w:val="en-US"/>
        </w:rPr>
        <w:t>: 931-939 [PMID: 11910345 DOI: 10.1053/gast.2002.32403]</w:t>
      </w:r>
    </w:p>
    <w:p w14:paraId="642F1B4F"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120 </w:t>
      </w:r>
      <w:r w:rsidRPr="001B167E">
        <w:rPr>
          <w:rFonts w:ascii="Book Antiqua" w:hAnsi="Book Antiqua"/>
          <w:b/>
          <w:bCs/>
          <w:sz w:val="24"/>
          <w:szCs w:val="24"/>
          <w:lang w:val="en-US"/>
        </w:rPr>
        <w:t>Valenti L</w:t>
      </w:r>
      <w:r w:rsidRPr="001B167E">
        <w:rPr>
          <w:rFonts w:ascii="Book Antiqua" w:hAnsi="Book Antiqua"/>
          <w:sz w:val="24"/>
          <w:szCs w:val="24"/>
          <w:lang w:val="en-US"/>
        </w:rPr>
        <w:t>, Fracanzani AL, Fargion S. Effect of iron depletion in patients with nonalcoholic fatty liver disease without carbohydrate intolerance. </w:t>
      </w:r>
      <w:r w:rsidRPr="001B167E">
        <w:rPr>
          <w:rFonts w:ascii="Book Antiqua" w:hAnsi="Book Antiqua"/>
          <w:i/>
          <w:iCs/>
          <w:sz w:val="24"/>
          <w:szCs w:val="24"/>
          <w:lang w:val="en-US"/>
        </w:rPr>
        <w:t>Gastroenterology</w:t>
      </w:r>
      <w:r w:rsidRPr="001B167E">
        <w:rPr>
          <w:rFonts w:ascii="Book Antiqua" w:hAnsi="Book Antiqua"/>
          <w:sz w:val="24"/>
          <w:szCs w:val="24"/>
          <w:lang w:val="en-US"/>
        </w:rPr>
        <w:t> 2003; </w:t>
      </w:r>
      <w:r w:rsidRPr="001B167E">
        <w:rPr>
          <w:rFonts w:ascii="Book Antiqua" w:hAnsi="Book Antiqua"/>
          <w:b/>
          <w:bCs/>
          <w:sz w:val="24"/>
          <w:szCs w:val="24"/>
          <w:lang w:val="en-US"/>
        </w:rPr>
        <w:t>124</w:t>
      </w:r>
      <w:r w:rsidRPr="001B167E">
        <w:rPr>
          <w:rFonts w:ascii="Book Antiqua" w:hAnsi="Book Antiqua"/>
          <w:sz w:val="24"/>
          <w:szCs w:val="24"/>
          <w:lang w:val="en-US"/>
        </w:rPr>
        <w:t>: 866; author reply 866-866; author reply 867 [PMID: 12612935 DOI: 10.1053/gast.2003.50130]</w:t>
      </w:r>
    </w:p>
    <w:p w14:paraId="7E37A3CD"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121 </w:t>
      </w:r>
      <w:r w:rsidRPr="001B167E">
        <w:rPr>
          <w:rFonts w:ascii="Book Antiqua" w:hAnsi="Book Antiqua"/>
          <w:b/>
          <w:bCs/>
          <w:sz w:val="24"/>
          <w:szCs w:val="24"/>
          <w:lang w:val="en-US"/>
        </w:rPr>
        <w:t>Valenti L</w:t>
      </w:r>
      <w:r w:rsidRPr="001B167E">
        <w:rPr>
          <w:rFonts w:ascii="Book Antiqua" w:hAnsi="Book Antiqua"/>
          <w:sz w:val="24"/>
          <w:szCs w:val="24"/>
          <w:lang w:val="en-US"/>
        </w:rPr>
        <w:t>, Fracanzani AL, Dongiovanni P, Rovida S, Rametta R, Fatta E, Pulixi EA, Maggioni M, Fargion S. A randomized trial of iron depletion in patients with nonalcoholic fatty liver disease and hyperferritinemia. </w:t>
      </w:r>
      <w:r w:rsidRPr="001B167E">
        <w:rPr>
          <w:rFonts w:ascii="Book Antiqua" w:hAnsi="Book Antiqua"/>
          <w:i/>
          <w:iCs/>
          <w:sz w:val="24"/>
          <w:szCs w:val="24"/>
          <w:lang w:val="en-US"/>
        </w:rPr>
        <w:t>World J Gastroenterol</w:t>
      </w:r>
      <w:r w:rsidRPr="001B167E">
        <w:rPr>
          <w:rFonts w:ascii="Book Antiqua" w:hAnsi="Book Antiqua"/>
          <w:sz w:val="24"/>
          <w:szCs w:val="24"/>
          <w:lang w:val="en-US"/>
        </w:rPr>
        <w:t> 2014; </w:t>
      </w:r>
      <w:r w:rsidRPr="001B167E">
        <w:rPr>
          <w:rFonts w:ascii="Book Antiqua" w:hAnsi="Book Antiqua"/>
          <w:b/>
          <w:bCs/>
          <w:sz w:val="24"/>
          <w:szCs w:val="24"/>
          <w:lang w:val="en-US"/>
        </w:rPr>
        <w:t>20</w:t>
      </w:r>
      <w:r w:rsidRPr="001B167E">
        <w:rPr>
          <w:rFonts w:ascii="Book Antiqua" w:hAnsi="Book Antiqua"/>
          <w:sz w:val="24"/>
          <w:szCs w:val="24"/>
          <w:lang w:val="en-US"/>
        </w:rPr>
        <w:t>: 3002-3010 [PMID: 24659891 DOI: 10.3748/wjg.v20.i11.3002]</w:t>
      </w:r>
    </w:p>
    <w:p w14:paraId="3793E436"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122 </w:t>
      </w:r>
      <w:r w:rsidRPr="001B167E">
        <w:rPr>
          <w:rFonts w:ascii="Book Antiqua" w:hAnsi="Book Antiqua"/>
          <w:b/>
          <w:bCs/>
          <w:sz w:val="24"/>
          <w:szCs w:val="24"/>
          <w:lang w:val="en-US"/>
        </w:rPr>
        <w:t>Adams LA</w:t>
      </w:r>
      <w:r w:rsidRPr="001B167E">
        <w:rPr>
          <w:rFonts w:ascii="Book Antiqua" w:hAnsi="Book Antiqua"/>
          <w:sz w:val="24"/>
          <w:szCs w:val="24"/>
          <w:lang w:val="en-US"/>
        </w:rPr>
        <w:t>, Crawford DH, Stuart K, House MJ, St Pierre TG, Webb M, Ching HL, Kava J, Bynevelt M, MacQuillan GC, Garas G, Ayonrinde OT, Mori TA, Croft KD, Niu X, Jeffrey GP, Olynyk JK. The impact of phlebotomy in nonalcoholic fatty liver disease: A prospective, randomized, controlled trial. </w:t>
      </w:r>
      <w:r w:rsidRPr="001B167E">
        <w:rPr>
          <w:rFonts w:ascii="Book Antiqua" w:hAnsi="Book Antiqua"/>
          <w:i/>
          <w:iCs/>
          <w:sz w:val="24"/>
          <w:szCs w:val="24"/>
          <w:lang w:val="en-US"/>
        </w:rPr>
        <w:t>Hepatology</w:t>
      </w:r>
      <w:r w:rsidRPr="001B167E">
        <w:rPr>
          <w:rFonts w:ascii="Book Antiqua" w:hAnsi="Book Antiqua"/>
          <w:sz w:val="24"/>
          <w:szCs w:val="24"/>
          <w:lang w:val="en-US"/>
        </w:rPr>
        <w:t> 2015; </w:t>
      </w:r>
      <w:r w:rsidRPr="001B167E">
        <w:rPr>
          <w:rFonts w:ascii="Book Antiqua" w:hAnsi="Book Antiqua"/>
          <w:b/>
          <w:bCs/>
          <w:sz w:val="24"/>
          <w:szCs w:val="24"/>
          <w:lang w:val="en-US"/>
        </w:rPr>
        <w:t>61</w:t>
      </w:r>
      <w:r w:rsidRPr="001B167E">
        <w:rPr>
          <w:rFonts w:ascii="Book Antiqua" w:hAnsi="Book Antiqua"/>
          <w:sz w:val="24"/>
          <w:szCs w:val="24"/>
          <w:lang w:val="en-US"/>
        </w:rPr>
        <w:t>: 1555-1564 [PMID: 25524401 DOI: 10.1002/hep.27662]</w:t>
      </w:r>
    </w:p>
    <w:p w14:paraId="3FA6C575"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123 </w:t>
      </w:r>
      <w:r w:rsidRPr="001B167E">
        <w:rPr>
          <w:rFonts w:ascii="Book Antiqua" w:hAnsi="Book Antiqua"/>
          <w:b/>
          <w:bCs/>
          <w:sz w:val="24"/>
          <w:szCs w:val="24"/>
          <w:lang w:val="en-US"/>
        </w:rPr>
        <w:t>Lainé F</w:t>
      </w:r>
      <w:r w:rsidRPr="001B167E">
        <w:rPr>
          <w:rFonts w:ascii="Book Antiqua" w:hAnsi="Book Antiqua"/>
          <w:sz w:val="24"/>
          <w:szCs w:val="24"/>
          <w:lang w:val="en-US"/>
        </w:rPr>
        <w:t>, Ruivard M, Loustaud-Ratti V, Bonnet F, Calès P, Bardou-Jacquet E, Sacher-Huvelin S, Causse X, Beusnel C, Renault A, Bellissant E, Deugnier Y; Study Group. Metabolic and hepatic effects of bloodletting in dysmetabolic iron overload syndrome: A randomized controlled study in 274 patients. </w:t>
      </w:r>
      <w:r w:rsidRPr="001B167E">
        <w:rPr>
          <w:rFonts w:ascii="Book Antiqua" w:hAnsi="Book Antiqua"/>
          <w:i/>
          <w:iCs/>
          <w:sz w:val="24"/>
          <w:szCs w:val="24"/>
          <w:lang w:val="en-US"/>
        </w:rPr>
        <w:t>Hepatology</w:t>
      </w:r>
      <w:r w:rsidRPr="001B167E">
        <w:rPr>
          <w:rFonts w:ascii="Book Antiqua" w:hAnsi="Book Antiqua"/>
          <w:sz w:val="24"/>
          <w:szCs w:val="24"/>
          <w:lang w:val="en-US"/>
        </w:rPr>
        <w:t> 2017; </w:t>
      </w:r>
      <w:r w:rsidRPr="001B167E">
        <w:rPr>
          <w:rFonts w:ascii="Book Antiqua" w:hAnsi="Book Antiqua"/>
          <w:b/>
          <w:bCs/>
          <w:sz w:val="24"/>
          <w:szCs w:val="24"/>
          <w:lang w:val="en-US"/>
        </w:rPr>
        <w:t>65</w:t>
      </w:r>
      <w:r w:rsidRPr="001B167E">
        <w:rPr>
          <w:rFonts w:ascii="Book Antiqua" w:hAnsi="Book Antiqua"/>
          <w:sz w:val="24"/>
          <w:szCs w:val="24"/>
          <w:lang w:val="en-US"/>
        </w:rPr>
        <w:t>: 465-474 [PMID: 27685251 DOI: 10.1002/hep.28856]</w:t>
      </w:r>
    </w:p>
    <w:p w14:paraId="7BF1EB2C"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124 </w:t>
      </w:r>
      <w:r w:rsidRPr="001B167E">
        <w:rPr>
          <w:rFonts w:ascii="Book Antiqua" w:hAnsi="Book Antiqua"/>
          <w:b/>
          <w:bCs/>
          <w:sz w:val="24"/>
          <w:szCs w:val="24"/>
          <w:lang w:val="en-US"/>
        </w:rPr>
        <w:t>Nielsen P</w:t>
      </w:r>
      <w:r w:rsidRPr="001B167E">
        <w:rPr>
          <w:rFonts w:ascii="Book Antiqua" w:hAnsi="Book Antiqua"/>
          <w:sz w:val="24"/>
          <w:szCs w:val="24"/>
          <w:lang w:val="en-US"/>
        </w:rPr>
        <w:t>, Fischer R, Buggisch P, Janka-Schaub G. Effective treatment of hereditary haemochromatosis with desferrioxamine in selected cases. </w:t>
      </w:r>
      <w:r w:rsidRPr="001B167E">
        <w:rPr>
          <w:rFonts w:ascii="Book Antiqua" w:hAnsi="Book Antiqua"/>
          <w:i/>
          <w:iCs/>
          <w:sz w:val="24"/>
          <w:szCs w:val="24"/>
          <w:lang w:val="en-US"/>
        </w:rPr>
        <w:t>Br J Haematol</w:t>
      </w:r>
      <w:r w:rsidRPr="001B167E">
        <w:rPr>
          <w:rFonts w:ascii="Book Antiqua" w:hAnsi="Book Antiqua"/>
          <w:sz w:val="24"/>
          <w:szCs w:val="24"/>
          <w:lang w:val="en-US"/>
        </w:rPr>
        <w:t> 2003; </w:t>
      </w:r>
      <w:r w:rsidRPr="001B167E">
        <w:rPr>
          <w:rFonts w:ascii="Book Antiqua" w:hAnsi="Book Antiqua"/>
          <w:b/>
          <w:bCs/>
          <w:sz w:val="24"/>
          <w:szCs w:val="24"/>
          <w:lang w:val="en-US"/>
        </w:rPr>
        <w:t>123</w:t>
      </w:r>
      <w:r w:rsidRPr="001B167E">
        <w:rPr>
          <w:rFonts w:ascii="Book Antiqua" w:hAnsi="Book Antiqua"/>
          <w:sz w:val="24"/>
          <w:szCs w:val="24"/>
          <w:lang w:val="en-US"/>
        </w:rPr>
        <w:t>: 952-953 [PMID: 14632789 DOI: 10.1046/j.1365-2141.2003.04708.x]</w:t>
      </w:r>
    </w:p>
    <w:p w14:paraId="0AD7F6BE"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125 </w:t>
      </w:r>
      <w:r w:rsidRPr="001B167E">
        <w:rPr>
          <w:rFonts w:ascii="Book Antiqua" w:hAnsi="Book Antiqua"/>
          <w:b/>
          <w:bCs/>
          <w:sz w:val="24"/>
          <w:szCs w:val="24"/>
          <w:lang w:val="en-US"/>
        </w:rPr>
        <w:t>Ikeda H</w:t>
      </w:r>
      <w:r w:rsidRPr="001B167E">
        <w:rPr>
          <w:rFonts w:ascii="Book Antiqua" w:hAnsi="Book Antiqua"/>
          <w:sz w:val="24"/>
          <w:szCs w:val="24"/>
          <w:lang w:val="en-US"/>
        </w:rPr>
        <w:t>, Wu GY, Wu CH. Evidence that an iron chelator regulates collagen synthesis by decreasing the stability of procollagen mRNA. </w:t>
      </w:r>
      <w:r w:rsidRPr="001B167E">
        <w:rPr>
          <w:rFonts w:ascii="Book Antiqua" w:hAnsi="Book Antiqua"/>
          <w:i/>
          <w:iCs/>
          <w:sz w:val="24"/>
          <w:szCs w:val="24"/>
          <w:lang w:val="en-US"/>
        </w:rPr>
        <w:t>Hepatology</w:t>
      </w:r>
      <w:r w:rsidRPr="001B167E">
        <w:rPr>
          <w:rFonts w:ascii="Book Antiqua" w:hAnsi="Book Antiqua"/>
          <w:sz w:val="24"/>
          <w:szCs w:val="24"/>
          <w:lang w:val="en-US"/>
        </w:rPr>
        <w:t> 1992; </w:t>
      </w:r>
      <w:r w:rsidRPr="001B167E">
        <w:rPr>
          <w:rFonts w:ascii="Book Antiqua" w:hAnsi="Book Antiqua"/>
          <w:b/>
          <w:bCs/>
          <w:sz w:val="24"/>
          <w:szCs w:val="24"/>
          <w:lang w:val="en-US"/>
        </w:rPr>
        <w:t>15</w:t>
      </w:r>
      <w:r w:rsidRPr="001B167E">
        <w:rPr>
          <w:rFonts w:ascii="Book Antiqua" w:hAnsi="Book Antiqua"/>
          <w:sz w:val="24"/>
          <w:szCs w:val="24"/>
          <w:lang w:val="en-US"/>
        </w:rPr>
        <w:t>: 282-287 [PMID: 1735531 DOI: 10.1002/hep.1840150218]</w:t>
      </w:r>
    </w:p>
    <w:p w14:paraId="1A217EF6"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126 </w:t>
      </w:r>
      <w:r w:rsidRPr="001B167E">
        <w:rPr>
          <w:rFonts w:ascii="Book Antiqua" w:hAnsi="Book Antiqua"/>
          <w:b/>
          <w:bCs/>
          <w:sz w:val="24"/>
          <w:szCs w:val="24"/>
          <w:lang w:val="en-US"/>
        </w:rPr>
        <w:t>Jin H</w:t>
      </w:r>
      <w:r w:rsidRPr="001B167E">
        <w:rPr>
          <w:rFonts w:ascii="Book Antiqua" w:hAnsi="Book Antiqua"/>
          <w:sz w:val="24"/>
          <w:szCs w:val="24"/>
          <w:lang w:val="en-US"/>
        </w:rPr>
        <w:t>, Terai S, Sakaida I. The iron chelator deferoxamine causes activated hepatic stellate cells to become quiescent and to undergo apoptosis. </w:t>
      </w:r>
      <w:r w:rsidRPr="001B167E">
        <w:rPr>
          <w:rFonts w:ascii="Book Antiqua" w:hAnsi="Book Antiqua"/>
          <w:i/>
          <w:iCs/>
          <w:sz w:val="24"/>
          <w:szCs w:val="24"/>
          <w:lang w:val="en-US"/>
        </w:rPr>
        <w:t>J Gastroenterol</w:t>
      </w:r>
      <w:r w:rsidRPr="001B167E">
        <w:rPr>
          <w:rFonts w:ascii="Book Antiqua" w:hAnsi="Book Antiqua"/>
          <w:sz w:val="24"/>
          <w:szCs w:val="24"/>
          <w:lang w:val="en-US"/>
        </w:rPr>
        <w:t> 2007; </w:t>
      </w:r>
      <w:r w:rsidRPr="001B167E">
        <w:rPr>
          <w:rFonts w:ascii="Book Antiqua" w:hAnsi="Book Antiqua"/>
          <w:b/>
          <w:bCs/>
          <w:sz w:val="24"/>
          <w:szCs w:val="24"/>
          <w:lang w:val="en-US"/>
        </w:rPr>
        <w:t>42</w:t>
      </w:r>
      <w:r w:rsidRPr="001B167E">
        <w:rPr>
          <w:rFonts w:ascii="Book Antiqua" w:hAnsi="Book Antiqua"/>
          <w:sz w:val="24"/>
          <w:szCs w:val="24"/>
          <w:lang w:val="en-US"/>
        </w:rPr>
        <w:t>: 475-484 [PMID: 17671763 DOI: 10.1007/s00535-007-2020-5]</w:t>
      </w:r>
    </w:p>
    <w:p w14:paraId="12107617" w14:textId="77777777" w:rsidR="001B167E" w:rsidRPr="001B167E" w:rsidRDefault="001B167E" w:rsidP="001B167E">
      <w:pPr>
        <w:adjustRightInd w:val="0"/>
        <w:snapToGrid w:val="0"/>
        <w:spacing w:after="0" w:line="360" w:lineRule="auto"/>
        <w:jc w:val="both"/>
        <w:rPr>
          <w:rFonts w:ascii="Book Antiqua" w:hAnsi="Book Antiqua"/>
          <w:sz w:val="24"/>
          <w:szCs w:val="24"/>
          <w:lang w:val="en-US" w:eastAsia="zh-CN"/>
        </w:rPr>
      </w:pPr>
      <w:r w:rsidRPr="001B167E">
        <w:rPr>
          <w:rFonts w:ascii="Book Antiqua" w:hAnsi="Book Antiqua"/>
          <w:sz w:val="24"/>
          <w:szCs w:val="24"/>
          <w:lang w:val="en-US"/>
        </w:rPr>
        <w:t>127 </w:t>
      </w:r>
      <w:r w:rsidRPr="001B167E">
        <w:rPr>
          <w:rFonts w:ascii="Book Antiqua" w:hAnsi="Book Antiqua"/>
          <w:b/>
          <w:bCs/>
          <w:sz w:val="24"/>
          <w:szCs w:val="24"/>
          <w:lang w:val="en-US"/>
        </w:rPr>
        <w:t>Darwish SF</w:t>
      </w:r>
      <w:r w:rsidRPr="001B167E">
        <w:rPr>
          <w:rFonts w:ascii="Book Antiqua" w:hAnsi="Book Antiqua"/>
          <w:sz w:val="24"/>
          <w:szCs w:val="24"/>
          <w:lang w:val="en-US"/>
        </w:rPr>
        <w:t xml:space="preserve">, El-Bakly WM, El-Naga RN, Awad AS, El-Demerdash E. Antifibrotic mechanism of deferoxamine in concanavalin A induced-liver fibrosis: Impact on </w:t>
      </w:r>
      <w:r w:rsidRPr="001B167E">
        <w:rPr>
          <w:rFonts w:ascii="Book Antiqua" w:hAnsi="Book Antiqua"/>
          <w:sz w:val="24"/>
          <w:szCs w:val="24"/>
          <w:lang w:val="en-US"/>
        </w:rPr>
        <w:lastRenderedPageBreak/>
        <w:t>interferon therapy. </w:t>
      </w:r>
      <w:r w:rsidRPr="001B167E">
        <w:rPr>
          <w:rFonts w:ascii="Book Antiqua" w:hAnsi="Book Antiqua"/>
          <w:i/>
          <w:iCs/>
          <w:sz w:val="24"/>
          <w:szCs w:val="24"/>
          <w:lang w:val="en-US"/>
        </w:rPr>
        <w:t>Biochem Pharmacol</w:t>
      </w:r>
      <w:r w:rsidRPr="001B167E">
        <w:rPr>
          <w:rFonts w:ascii="Book Antiqua" w:hAnsi="Book Antiqua"/>
          <w:sz w:val="24"/>
          <w:szCs w:val="24"/>
          <w:lang w:val="en-US"/>
        </w:rPr>
        <w:t> 2015; </w:t>
      </w:r>
      <w:r w:rsidRPr="001B167E">
        <w:rPr>
          <w:rFonts w:ascii="Book Antiqua" w:hAnsi="Book Antiqua"/>
          <w:b/>
          <w:bCs/>
          <w:sz w:val="24"/>
          <w:szCs w:val="24"/>
          <w:lang w:val="en-US"/>
        </w:rPr>
        <w:t>98</w:t>
      </w:r>
      <w:r w:rsidRPr="001B167E">
        <w:rPr>
          <w:rFonts w:ascii="Book Antiqua" w:hAnsi="Book Antiqua"/>
          <w:sz w:val="24"/>
          <w:szCs w:val="24"/>
          <w:lang w:val="en-US"/>
        </w:rPr>
        <w:t>: 231-242 [PMID: 26358138 DOI: 10.1016/j.bcp.2015.09.001]</w:t>
      </w:r>
    </w:p>
    <w:p w14:paraId="1C8F1837"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128 </w:t>
      </w:r>
      <w:r w:rsidRPr="001B167E">
        <w:rPr>
          <w:rFonts w:ascii="Book Antiqua" w:hAnsi="Book Antiqua"/>
          <w:b/>
          <w:bCs/>
          <w:sz w:val="24"/>
          <w:szCs w:val="24"/>
          <w:lang w:val="en-US"/>
        </w:rPr>
        <w:t>Pan M</w:t>
      </w:r>
      <w:r w:rsidRPr="001B167E">
        <w:rPr>
          <w:rFonts w:ascii="Book Antiqua" w:hAnsi="Book Antiqua"/>
          <w:sz w:val="24"/>
          <w:szCs w:val="24"/>
          <w:lang w:val="en-US"/>
        </w:rPr>
        <w:t>, Cederbaum AI, Zhang YL, Ginsberg HN, Williams KJ, Fisher EA. Lipid peroxidation and oxidant stress regulate hepatic apolipoprotein B degradation and VLDL production. </w:t>
      </w:r>
      <w:r w:rsidRPr="001B167E">
        <w:rPr>
          <w:rFonts w:ascii="Book Antiqua" w:hAnsi="Book Antiqua"/>
          <w:i/>
          <w:iCs/>
          <w:sz w:val="24"/>
          <w:szCs w:val="24"/>
          <w:lang w:val="en-US"/>
        </w:rPr>
        <w:t>J Clin Invest</w:t>
      </w:r>
      <w:r w:rsidRPr="001B167E">
        <w:rPr>
          <w:rFonts w:ascii="Book Antiqua" w:hAnsi="Book Antiqua"/>
          <w:sz w:val="24"/>
          <w:szCs w:val="24"/>
          <w:lang w:val="en-US"/>
        </w:rPr>
        <w:t> 2004; </w:t>
      </w:r>
      <w:r w:rsidRPr="001B167E">
        <w:rPr>
          <w:rFonts w:ascii="Book Antiqua" w:hAnsi="Book Antiqua"/>
          <w:b/>
          <w:bCs/>
          <w:sz w:val="24"/>
          <w:szCs w:val="24"/>
          <w:lang w:val="en-US"/>
        </w:rPr>
        <w:t>113</w:t>
      </w:r>
      <w:r w:rsidRPr="001B167E">
        <w:rPr>
          <w:rFonts w:ascii="Book Antiqua" w:hAnsi="Book Antiqua"/>
          <w:sz w:val="24"/>
          <w:szCs w:val="24"/>
          <w:lang w:val="en-US"/>
        </w:rPr>
        <w:t>: 1277-1287 [PMID: 15124019 DOI: 10.1172/JCI19197]</w:t>
      </w:r>
    </w:p>
    <w:p w14:paraId="38A0B0E0"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129 </w:t>
      </w:r>
      <w:r w:rsidRPr="001B167E">
        <w:rPr>
          <w:rFonts w:ascii="Book Antiqua" w:hAnsi="Book Antiqua"/>
          <w:b/>
          <w:bCs/>
          <w:sz w:val="24"/>
          <w:szCs w:val="24"/>
          <w:lang w:val="en-US"/>
        </w:rPr>
        <w:t>Sobbe A</w:t>
      </w:r>
      <w:r w:rsidRPr="001B167E">
        <w:rPr>
          <w:rFonts w:ascii="Book Antiqua" w:hAnsi="Book Antiqua"/>
          <w:sz w:val="24"/>
          <w:szCs w:val="24"/>
          <w:lang w:val="en-US"/>
        </w:rPr>
        <w:t>, Bridle KR, Jaskowski L, de Guzman CE, Santrampurwala N, Clouston AD, Campbell CM, Subramaniam VN, Crawford DH. Inconsistent hepatic antifibrotic effects with the iron chelator deferasirox. </w:t>
      </w:r>
      <w:r w:rsidRPr="001B167E">
        <w:rPr>
          <w:rFonts w:ascii="Book Antiqua" w:hAnsi="Book Antiqua"/>
          <w:i/>
          <w:iCs/>
          <w:sz w:val="24"/>
          <w:szCs w:val="24"/>
          <w:lang w:val="en-US"/>
        </w:rPr>
        <w:t>J Gastroenterol Hepatol</w:t>
      </w:r>
      <w:r w:rsidRPr="001B167E">
        <w:rPr>
          <w:rFonts w:ascii="Book Antiqua" w:hAnsi="Book Antiqua"/>
          <w:sz w:val="24"/>
          <w:szCs w:val="24"/>
          <w:lang w:val="en-US"/>
        </w:rPr>
        <w:t> 2015; </w:t>
      </w:r>
      <w:r w:rsidRPr="001B167E">
        <w:rPr>
          <w:rFonts w:ascii="Book Antiqua" w:hAnsi="Book Antiqua"/>
          <w:b/>
          <w:bCs/>
          <w:sz w:val="24"/>
          <w:szCs w:val="24"/>
          <w:lang w:val="en-US"/>
        </w:rPr>
        <w:t>30</w:t>
      </w:r>
      <w:r w:rsidRPr="001B167E">
        <w:rPr>
          <w:rFonts w:ascii="Book Antiqua" w:hAnsi="Book Antiqua"/>
          <w:sz w:val="24"/>
          <w:szCs w:val="24"/>
          <w:lang w:val="en-US"/>
        </w:rPr>
        <w:t>: 638-645 [PMID: 25168203 DOI: 10.1111/jgh.12720]</w:t>
      </w:r>
    </w:p>
    <w:p w14:paraId="07AE5260"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130 </w:t>
      </w:r>
      <w:r w:rsidRPr="001B167E">
        <w:rPr>
          <w:rFonts w:ascii="Book Antiqua" w:hAnsi="Book Antiqua"/>
          <w:b/>
          <w:bCs/>
          <w:sz w:val="24"/>
          <w:szCs w:val="24"/>
          <w:lang w:val="en-US"/>
        </w:rPr>
        <w:t>Wang QM</w:t>
      </w:r>
      <w:r w:rsidRPr="001B167E">
        <w:rPr>
          <w:rFonts w:ascii="Book Antiqua" w:hAnsi="Book Antiqua"/>
          <w:sz w:val="24"/>
          <w:szCs w:val="24"/>
          <w:lang w:val="en-US"/>
        </w:rPr>
        <w:t>, Du JL, Duan ZJ, Guo SB, Sun XY, Liu Z. Inhibiting heme oxygenase-1 attenuates rat liver fibrosis by removing iron accumulation. </w:t>
      </w:r>
      <w:r w:rsidRPr="001B167E">
        <w:rPr>
          <w:rFonts w:ascii="Book Antiqua" w:hAnsi="Book Antiqua"/>
          <w:i/>
          <w:iCs/>
          <w:sz w:val="24"/>
          <w:szCs w:val="24"/>
          <w:lang w:val="en-US"/>
        </w:rPr>
        <w:t>World J Gastroenterol</w:t>
      </w:r>
      <w:r w:rsidRPr="001B167E">
        <w:rPr>
          <w:rFonts w:ascii="Book Antiqua" w:hAnsi="Book Antiqua"/>
          <w:sz w:val="24"/>
          <w:szCs w:val="24"/>
          <w:lang w:val="en-US"/>
        </w:rPr>
        <w:t> 2013; </w:t>
      </w:r>
      <w:r w:rsidRPr="001B167E">
        <w:rPr>
          <w:rFonts w:ascii="Book Antiqua" w:hAnsi="Book Antiqua"/>
          <w:b/>
          <w:bCs/>
          <w:sz w:val="24"/>
          <w:szCs w:val="24"/>
          <w:lang w:val="en-US"/>
        </w:rPr>
        <w:t>19</w:t>
      </w:r>
      <w:r w:rsidRPr="001B167E">
        <w:rPr>
          <w:rFonts w:ascii="Book Antiqua" w:hAnsi="Book Antiqua"/>
          <w:sz w:val="24"/>
          <w:szCs w:val="24"/>
          <w:lang w:val="en-US"/>
        </w:rPr>
        <w:t>: 2921-2934 [PMID: 23704825 DOI: 10.3748/wjg.v19.i19.2921]</w:t>
      </w:r>
    </w:p>
    <w:p w14:paraId="459AEDEA"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131 </w:t>
      </w:r>
      <w:r w:rsidRPr="001B167E">
        <w:rPr>
          <w:rFonts w:ascii="Book Antiqua" w:hAnsi="Book Antiqua"/>
          <w:b/>
          <w:bCs/>
          <w:sz w:val="24"/>
          <w:szCs w:val="24"/>
          <w:lang w:val="en-US"/>
        </w:rPr>
        <w:t>Preza GC</w:t>
      </w:r>
      <w:r w:rsidRPr="001B167E">
        <w:rPr>
          <w:rFonts w:ascii="Book Antiqua" w:hAnsi="Book Antiqua"/>
          <w:sz w:val="24"/>
          <w:szCs w:val="24"/>
          <w:lang w:val="en-US"/>
        </w:rPr>
        <w:t>, Ruchala P, Pinon R, Ramos E, Qiao B, Peralta MA, Sharma S, Waring A, Ganz T, Nemeth E. Minihepcidins are rationally designed small peptides that mimic hepcidin activity in mice and may be useful for the treatment of iron overload. </w:t>
      </w:r>
      <w:r w:rsidRPr="001B167E">
        <w:rPr>
          <w:rFonts w:ascii="Book Antiqua" w:hAnsi="Book Antiqua"/>
          <w:i/>
          <w:iCs/>
          <w:sz w:val="24"/>
          <w:szCs w:val="24"/>
          <w:lang w:val="en-US"/>
        </w:rPr>
        <w:t>J Clin Invest</w:t>
      </w:r>
      <w:r w:rsidRPr="001B167E">
        <w:rPr>
          <w:rFonts w:ascii="Book Antiqua" w:hAnsi="Book Antiqua"/>
          <w:sz w:val="24"/>
          <w:szCs w:val="24"/>
          <w:lang w:val="en-US"/>
        </w:rPr>
        <w:t> 2011; </w:t>
      </w:r>
      <w:r w:rsidRPr="001B167E">
        <w:rPr>
          <w:rFonts w:ascii="Book Antiqua" w:hAnsi="Book Antiqua"/>
          <w:b/>
          <w:bCs/>
          <w:sz w:val="24"/>
          <w:szCs w:val="24"/>
          <w:lang w:val="en-US"/>
        </w:rPr>
        <w:t>121</w:t>
      </w:r>
      <w:r w:rsidRPr="001B167E">
        <w:rPr>
          <w:rFonts w:ascii="Book Antiqua" w:hAnsi="Book Antiqua"/>
          <w:sz w:val="24"/>
          <w:szCs w:val="24"/>
          <w:lang w:val="en-US"/>
        </w:rPr>
        <w:t>: 4880-4888 [PMID: 22045566 DOI: 10.1172/JCI57693]</w:t>
      </w:r>
    </w:p>
    <w:p w14:paraId="63A5F6F5"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132 </w:t>
      </w:r>
      <w:r w:rsidRPr="001B167E">
        <w:rPr>
          <w:rFonts w:ascii="Book Antiqua" w:hAnsi="Book Antiqua"/>
          <w:b/>
          <w:bCs/>
          <w:sz w:val="24"/>
          <w:szCs w:val="24"/>
          <w:lang w:val="en-US"/>
        </w:rPr>
        <w:t>Han CY</w:t>
      </w:r>
      <w:r w:rsidRPr="001B167E">
        <w:rPr>
          <w:rFonts w:ascii="Book Antiqua" w:hAnsi="Book Antiqua"/>
          <w:sz w:val="24"/>
          <w:szCs w:val="24"/>
          <w:lang w:val="en-US"/>
        </w:rPr>
        <w:t>, Koo JH, Kim SH, Gardenghi S, Rivella S, Strnad P, Hwang SJ, Kim SG. Hepcidin inhibits Smad3 phosphorylation in hepatic stellate cells by impeding ferroportin-mediated regulation of Akt. </w:t>
      </w:r>
      <w:r w:rsidRPr="001B167E">
        <w:rPr>
          <w:rFonts w:ascii="Book Antiqua" w:hAnsi="Book Antiqua"/>
          <w:i/>
          <w:iCs/>
          <w:sz w:val="24"/>
          <w:szCs w:val="24"/>
          <w:lang w:val="en-US"/>
        </w:rPr>
        <w:t>Nat Commun</w:t>
      </w:r>
      <w:r w:rsidRPr="001B167E">
        <w:rPr>
          <w:rFonts w:ascii="Book Antiqua" w:hAnsi="Book Antiqua"/>
          <w:sz w:val="24"/>
          <w:szCs w:val="24"/>
          <w:lang w:val="en-US"/>
        </w:rPr>
        <w:t> 2016; </w:t>
      </w:r>
      <w:r w:rsidRPr="001B167E">
        <w:rPr>
          <w:rFonts w:ascii="Book Antiqua" w:hAnsi="Book Antiqua"/>
          <w:b/>
          <w:bCs/>
          <w:sz w:val="24"/>
          <w:szCs w:val="24"/>
          <w:lang w:val="en-US"/>
        </w:rPr>
        <w:t>7</w:t>
      </w:r>
      <w:r w:rsidRPr="001B167E">
        <w:rPr>
          <w:rFonts w:ascii="Book Antiqua" w:hAnsi="Book Antiqua"/>
          <w:sz w:val="24"/>
          <w:szCs w:val="24"/>
          <w:lang w:val="en-US"/>
        </w:rPr>
        <w:t>: 13817 [PMID: 28004654 DOI: 10.1038/ncomms13817]</w:t>
      </w:r>
    </w:p>
    <w:p w14:paraId="710003BF"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133 </w:t>
      </w:r>
      <w:r w:rsidRPr="001B167E">
        <w:rPr>
          <w:rFonts w:ascii="Book Antiqua" w:hAnsi="Book Antiqua"/>
          <w:b/>
          <w:bCs/>
          <w:sz w:val="24"/>
          <w:szCs w:val="24"/>
          <w:lang w:val="en-US"/>
        </w:rPr>
        <w:t>Kautz L</w:t>
      </w:r>
      <w:r w:rsidRPr="001B167E">
        <w:rPr>
          <w:rFonts w:ascii="Book Antiqua" w:hAnsi="Book Antiqua"/>
          <w:sz w:val="24"/>
          <w:szCs w:val="24"/>
          <w:lang w:val="en-US"/>
        </w:rPr>
        <w:t>, Besson-Fournier C, Meynard D, Latour C, Roth MP, Coppin H. Iron overload induces BMP6 expression in the liver but not in the duodenum. </w:t>
      </w:r>
      <w:r w:rsidRPr="001B167E">
        <w:rPr>
          <w:rFonts w:ascii="Book Antiqua" w:hAnsi="Book Antiqua"/>
          <w:i/>
          <w:iCs/>
          <w:sz w:val="24"/>
          <w:szCs w:val="24"/>
          <w:lang w:val="en-US"/>
        </w:rPr>
        <w:t>Haematologica</w:t>
      </w:r>
      <w:r w:rsidRPr="001B167E">
        <w:rPr>
          <w:rFonts w:ascii="Book Antiqua" w:hAnsi="Book Antiqua"/>
          <w:sz w:val="24"/>
          <w:szCs w:val="24"/>
          <w:lang w:val="en-US"/>
        </w:rPr>
        <w:t> 2011; </w:t>
      </w:r>
      <w:r w:rsidRPr="001B167E">
        <w:rPr>
          <w:rFonts w:ascii="Book Antiqua" w:hAnsi="Book Antiqua"/>
          <w:b/>
          <w:bCs/>
          <w:sz w:val="24"/>
          <w:szCs w:val="24"/>
          <w:lang w:val="en-US"/>
        </w:rPr>
        <w:t>96</w:t>
      </w:r>
      <w:r w:rsidRPr="001B167E">
        <w:rPr>
          <w:rFonts w:ascii="Book Antiqua" w:hAnsi="Book Antiqua"/>
          <w:sz w:val="24"/>
          <w:szCs w:val="24"/>
          <w:lang w:val="en-US"/>
        </w:rPr>
        <w:t>: 199-203 [PMID: 20952515 DOI: 10.3324/haematol.2010.031963]</w:t>
      </w:r>
    </w:p>
    <w:p w14:paraId="289CA20F"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134 </w:t>
      </w:r>
      <w:r w:rsidRPr="001B167E">
        <w:rPr>
          <w:rFonts w:ascii="Book Antiqua" w:hAnsi="Book Antiqua"/>
          <w:b/>
          <w:bCs/>
          <w:sz w:val="24"/>
          <w:szCs w:val="24"/>
          <w:lang w:val="en-US"/>
        </w:rPr>
        <w:t>Canali S</w:t>
      </w:r>
      <w:r w:rsidRPr="001B167E">
        <w:rPr>
          <w:rFonts w:ascii="Book Antiqua" w:hAnsi="Book Antiqua"/>
          <w:sz w:val="24"/>
          <w:szCs w:val="24"/>
          <w:lang w:val="en-US"/>
        </w:rPr>
        <w:t>, Core AB, Zumbrennen-Bullough KB, Merkulova M, Wang CY, Schneyer AL, Pietrangelo A, Babitt JL. Activin B Induces Noncanonical SMAD1/5/8 Signaling via BMP Type I Receptors in Hepatocytes: Evidence for a Role in Hepcidin Induction by Inflammation in Male Mice. </w:t>
      </w:r>
      <w:r w:rsidRPr="001B167E">
        <w:rPr>
          <w:rFonts w:ascii="Book Antiqua" w:hAnsi="Book Antiqua"/>
          <w:i/>
          <w:iCs/>
          <w:sz w:val="24"/>
          <w:szCs w:val="24"/>
          <w:lang w:val="en-US"/>
        </w:rPr>
        <w:t>Endocrinology</w:t>
      </w:r>
      <w:r w:rsidRPr="001B167E">
        <w:rPr>
          <w:rFonts w:ascii="Book Antiqua" w:hAnsi="Book Antiqua"/>
          <w:sz w:val="24"/>
          <w:szCs w:val="24"/>
          <w:lang w:val="en-US"/>
        </w:rPr>
        <w:t> 2016; </w:t>
      </w:r>
      <w:r w:rsidRPr="001B167E">
        <w:rPr>
          <w:rFonts w:ascii="Book Antiqua" w:hAnsi="Book Antiqua"/>
          <w:b/>
          <w:bCs/>
          <w:sz w:val="24"/>
          <w:szCs w:val="24"/>
          <w:lang w:val="en-US"/>
        </w:rPr>
        <w:t>157</w:t>
      </w:r>
      <w:r w:rsidRPr="001B167E">
        <w:rPr>
          <w:rFonts w:ascii="Book Antiqua" w:hAnsi="Book Antiqua"/>
          <w:sz w:val="24"/>
          <w:szCs w:val="24"/>
          <w:lang w:val="en-US"/>
        </w:rPr>
        <w:t>: 1146-1162 [PMID: 26735394 DOI: 10.1210/en.2015-1747]</w:t>
      </w:r>
    </w:p>
    <w:p w14:paraId="1C01F40A"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lastRenderedPageBreak/>
        <w:t>135 </w:t>
      </w:r>
      <w:r w:rsidRPr="001B167E">
        <w:rPr>
          <w:rFonts w:ascii="Book Antiqua" w:hAnsi="Book Antiqua"/>
          <w:b/>
          <w:bCs/>
          <w:sz w:val="24"/>
          <w:szCs w:val="24"/>
          <w:lang w:val="en-US"/>
        </w:rPr>
        <w:t>Kanamori Y</w:t>
      </w:r>
      <w:r w:rsidRPr="001B167E">
        <w:rPr>
          <w:rFonts w:ascii="Book Antiqua" w:hAnsi="Book Antiqua"/>
          <w:sz w:val="24"/>
          <w:szCs w:val="24"/>
          <w:lang w:val="en-US"/>
        </w:rPr>
        <w:t>, Sugiyama M, Hashimoto O, Murakami M, Matsui T, Funaba M. Regulation of hepcidin expression by inflammation-induced activin B. </w:t>
      </w:r>
      <w:r w:rsidRPr="001B167E">
        <w:rPr>
          <w:rFonts w:ascii="Book Antiqua" w:hAnsi="Book Antiqua"/>
          <w:i/>
          <w:iCs/>
          <w:sz w:val="24"/>
          <w:szCs w:val="24"/>
          <w:lang w:val="en-US"/>
        </w:rPr>
        <w:t>Sci Rep</w:t>
      </w:r>
      <w:r w:rsidRPr="001B167E">
        <w:rPr>
          <w:rFonts w:ascii="Book Antiqua" w:hAnsi="Book Antiqua"/>
          <w:sz w:val="24"/>
          <w:szCs w:val="24"/>
          <w:lang w:val="en-US"/>
        </w:rPr>
        <w:t> 2016; </w:t>
      </w:r>
      <w:r w:rsidRPr="001B167E">
        <w:rPr>
          <w:rFonts w:ascii="Book Antiqua" w:hAnsi="Book Antiqua"/>
          <w:b/>
          <w:bCs/>
          <w:sz w:val="24"/>
          <w:szCs w:val="24"/>
          <w:lang w:val="en-US"/>
        </w:rPr>
        <w:t>6</w:t>
      </w:r>
      <w:r w:rsidRPr="001B167E">
        <w:rPr>
          <w:rFonts w:ascii="Book Antiqua" w:hAnsi="Book Antiqua"/>
          <w:sz w:val="24"/>
          <w:szCs w:val="24"/>
          <w:lang w:val="en-US"/>
        </w:rPr>
        <w:t>: 38702 [PMID: 27922109 DOI: 10.1038/srep38702]</w:t>
      </w:r>
    </w:p>
    <w:p w14:paraId="11FBEE44"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136 </w:t>
      </w:r>
      <w:r w:rsidRPr="001B167E">
        <w:rPr>
          <w:rFonts w:ascii="Book Antiqua" w:hAnsi="Book Antiqua"/>
          <w:b/>
          <w:bCs/>
          <w:sz w:val="24"/>
          <w:szCs w:val="24"/>
          <w:lang w:val="en-US"/>
        </w:rPr>
        <w:t>Ioannou GN</w:t>
      </w:r>
      <w:r w:rsidRPr="001B167E">
        <w:rPr>
          <w:rFonts w:ascii="Book Antiqua" w:hAnsi="Book Antiqua"/>
          <w:sz w:val="24"/>
          <w:szCs w:val="24"/>
          <w:lang w:val="en-US"/>
        </w:rPr>
        <w:t>, Dominitz JA, Weiss NS, Heagerty PJ, Kowdley KV. The effect of alcohol consumption on the prevalence of iron overload, iron deficiency, and iron deficiency anemia. </w:t>
      </w:r>
      <w:r w:rsidRPr="001B167E">
        <w:rPr>
          <w:rFonts w:ascii="Book Antiqua" w:hAnsi="Book Antiqua"/>
          <w:i/>
          <w:iCs/>
          <w:sz w:val="24"/>
          <w:szCs w:val="24"/>
          <w:lang w:val="en-US"/>
        </w:rPr>
        <w:t>Gastroenterology</w:t>
      </w:r>
      <w:r w:rsidRPr="001B167E">
        <w:rPr>
          <w:rFonts w:ascii="Book Antiqua" w:hAnsi="Book Antiqua"/>
          <w:sz w:val="24"/>
          <w:szCs w:val="24"/>
          <w:lang w:val="en-US"/>
        </w:rPr>
        <w:t> 2004; </w:t>
      </w:r>
      <w:r w:rsidRPr="001B167E">
        <w:rPr>
          <w:rFonts w:ascii="Book Antiqua" w:hAnsi="Book Antiqua"/>
          <w:b/>
          <w:bCs/>
          <w:sz w:val="24"/>
          <w:szCs w:val="24"/>
          <w:lang w:val="en-US"/>
        </w:rPr>
        <w:t>126</w:t>
      </w:r>
      <w:r w:rsidRPr="001B167E">
        <w:rPr>
          <w:rFonts w:ascii="Book Antiqua" w:hAnsi="Book Antiqua"/>
          <w:sz w:val="24"/>
          <w:szCs w:val="24"/>
          <w:lang w:val="en-US"/>
        </w:rPr>
        <w:t>: 1293-1301 [PMID: 15131790 DOI: 10.1053/j.gastro.2004.01.020]</w:t>
      </w:r>
    </w:p>
    <w:p w14:paraId="08F056E3"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137 </w:t>
      </w:r>
      <w:r w:rsidRPr="001B167E">
        <w:rPr>
          <w:rFonts w:ascii="Book Antiqua" w:hAnsi="Book Antiqua"/>
          <w:b/>
          <w:bCs/>
          <w:sz w:val="24"/>
          <w:szCs w:val="24"/>
          <w:lang w:val="en-US"/>
        </w:rPr>
        <w:t>Vagu C</w:t>
      </w:r>
      <w:r w:rsidRPr="001B167E">
        <w:rPr>
          <w:rFonts w:ascii="Book Antiqua" w:hAnsi="Book Antiqua"/>
          <w:sz w:val="24"/>
          <w:szCs w:val="24"/>
          <w:lang w:val="en-US"/>
        </w:rPr>
        <w:t>, Sultana C, Ruta S. Serum iron markers in patients with chronic hepatitis C infection. </w:t>
      </w:r>
      <w:r w:rsidRPr="001B167E">
        <w:rPr>
          <w:rFonts w:ascii="Book Antiqua" w:hAnsi="Book Antiqua"/>
          <w:i/>
          <w:iCs/>
          <w:sz w:val="24"/>
          <w:szCs w:val="24"/>
          <w:lang w:val="en-US"/>
        </w:rPr>
        <w:t>Hepat Mon</w:t>
      </w:r>
      <w:r w:rsidRPr="001B167E">
        <w:rPr>
          <w:rFonts w:ascii="Book Antiqua" w:hAnsi="Book Antiqua"/>
          <w:sz w:val="24"/>
          <w:szCs w:val="24"/>
          <w:lang w:val="en-US"/>
        </w:rPr>
        <w:t> 2013; </w:t>
      </w:r>
      <w:r w:rsidRPr="001B167E">
        <w:rPr>
          <w:rFonts w:ascii="Book Antiqua" w:hAnsi="Book Antiqua"/>
          <w:b/>
          <w:bCs/>
          <w:sz w:val="24"/>
          <w:szCs w:val="24"/>
          <w:lang w:val="en-US"/>
        </w:rPr>
        <w:t>13</w:t>
      </w:r>
      <w:r w:rsidRPr="001B167E">
        <w:rPr>
          <w:rFonts w:ascii="Book Antiqua" w:hAnsi="Book Antiqua"/>
          <w:sz w:val="24"/>
          <w:szCs w:val="24"/>
          <w:lang w:val="en-US"/>
        </w:rPr>
        <w:t>: e13136 [PMID: 24348638 DOI: 10.5812/hepatmon.13136]</w:t>
      </w:r>
    </w:p>
    <w:p w14:paraId="0741EE14"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138 </w:t>
      </w:r>
      <w:r w:rsidRPr="001B167E">
        <w:rPr>
          <w:rFonts w:ascii="Book Antiqua" w:hAnsi="Book Antiqua"/>
          <w:b/>
          <w:bCs/>
          <w:sz w:val="24"/>
          <w:szCs w:val="24"/>
          <w:lang w:val="en-US"/>
        </w:rPr>
        <w:t>Cheung CL</w:t>
      </w:r>
      <w:r w:rsidRPr="001B167E">
        <w:rPr>
          <w:rFonts w:ascii="Book Antiqua" w:hAnsi="Book Antiqua"/>
          <w:sz w:val="24"/>
          <w:szCs w:val="24"/>
          <w:lang w:val="en-US"/>
        </w:rPr>
        <w:t>, Cheung TT, Lam KS, Cheung BM. High ferritin and low transferrin saturation are associated with pre-diabetes among a national representative sample of U.S. adults. </w:t>
      </w:r>
      <w:r w:rsidRPr="001B167E">
        <w:rPr>
          <w:rFonts w:ascii="Book Antiqua" w:hAnsi="Book Antiqua"/>
          <w:i/>
          <w:iCs/>
          <w:sz w:val="24"/>
          <w:szCs w:val="24"/>
          <w:lang w:val="en-US"/>
        </w:rPr>
        <w:t>Clin Nutr</w:t>
      </w:r>
      <w:r w:rsidRPr="001B167E">
        <w:rPr>
          <w:rFonts w:ascii="Book Antiqua" w:hAnsi="Book Antiqua"/>
          <w:sz w:val="24"/>
          <w:szCs w:val="24"/>
          <w:lang w:val="en-US"/>
        </w:rPr>
        <w:t> 2013; </w:t>
      </w:r>
      <w:r w:rsidRPr="001B167E">
        <w:rPr>
          <w:rFonts w:ascii="Book Antiqua" w:hAnsi="Book Antiqua"/>
          <w:b/>
          <w:bCs/>
          <w:sz w:val="24"/>
          <w:szCs w:val="24"/>
          <w:lang w:val="en-US"/>
        </w:rPr>
        <w:t>32</w:t>
      </w:r>
      <w:r w:rsidRPr="001B167E">
        <w:rPr>
          <w:rFonts w:ascii="Book Antiqua" w:hAnsi="Book Antiqua"/>
          <w:sz w:val="24"/>
          <w:szCs w:val="24"/>
          <w:lang w:val="en-US"/>
        </w:rPr>
        <w:t>: 1055-1060 [PMID: 23312547 DOI: 10.1016/j.clnu.2012.11.024]</w:t>
      </w:r>
    </w:p>
    <w:p w14:paraId="07571DCE"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139 </w:t>
      </w:r>
      <w:r w:rsidRPr="001B167E">
        <w:rPr>
          <w:rFonts w:ascii="Book Antiqua" w:hAnsi="Book Antiqua"/>
          <w:b/>
          <w:bCs/>
          <w:sz w:val="24"/>
          <w:szCs w:val="24"/>
          <w:lang w:val="en-US"/>
        </w:rPr>
        <w:t>Galesloot TE</w:t>
      </w:r>
      <w:r w:rsidRPr="001B167E">
        <w:rPr>
          <w:rFonts w:ascii="Book Antiqua" w:hAnsi="Book Antiqua"/>
          <w:sz w:val="24"/>
          <w:szCs w:val="24"/>
          <w:lang w:val="en-US"/>
        </w:rPr>
        <w:t>, Vermeulen SH, Geurts-Moespot AJ, Klaver SM, Kroot JJ, van Tienoven D, Wetzels JF, Kiemeney LA, Sweep FC, den Heijer M, Swinkels DW. Serum hepcidin: reference ranges and biochemical correlates in the general population. </w:t>
      </w:r>
      <w:r w:rsidRPr="001B167E">
        <w:rPr>
          <w:rFonts w:ascii="Book Antiqua" w:hAnsi="Book Antiqua"/>
          <w:i/>
          <w:iCs/>
          <w:sz w:val="24"/>
          <w:szCs w:val="24"/>
          <w:lang w:val="en-US"/>
        </w:rPr>
        <w:t>Blood</w:t>
      </w:r>
      <w:r w:rsidRPr="001B167E">
        <w:rPr>
          <w:rFonts w:ascii="Book Antiqua" w:hAnsi="Book Antiqua"/>
          <w:sz w:val="24"/>
          <w:szCs w:val="24"/>
          <w:lang w:val="en-US"/>
        </w:rPr>
        <w:t> 2011; </w:t>
      </w:r>
      <w:r w:rsidRPr="001B167E">
        <w:rPr>
          <w:rFonts w:ascii="Book Antiqua" w:hAnsi="Book Antiqua"/>
          <w:b/>
          <w:bCs/>
          <w:sz w:val="24"/>
          <w:szCs w:val="24"/>
          <w:lang w:val="en-US"/>
        </w:rPr>
        <w:t>117</w:t>
      </w:r>
      <w:r w:rsidRPr="001B167E">
        <w:rPr>
          <w:rFonts w:ascii="Book Antiqua" w:hAnsi="Book Antiqua"/>
          <w:sz w:val="24"/>
          <w:szCs w:val="24"/>
          <w:lang w:val="en-US"/>
        </w:rPr>
        <w:t>: e218-e225 [PMID: 21527524 DOI: 10.1182/blood-2011-02-337907]</w:t>
      </w:r>
    </w:p>
    <w:p w14:paraId="341F2594"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140 </w:t>
      </w:r>
      <w:r w:rsidRPr="001B167E">
        <w:rPr>
          <w:rFonts w:ascii="Book Antiqua" w:hAnsi="Book Antiqua"/>
          <w:b/>
          <w:bCs/>
          <w:sz w:val="24"/>
          <w:szCs w:val="24"/>
          <w:lang w:val="en-US"/>
        </w:rPr>
        <w:t>Bridle K</w:t>
      </w:r>
      <w:r w:rsidRPr="001B167E">
        <w:rPr>
          <w:rFonts w:ascii="Book Antiqua" w:hAnsi="Book Antiqua"/>
          <w:sz w:val="24"/>
          <w:szCs w:val="24"/>
          <w:lang w:val="en-US"/>
        </w:rPr>
        <w:t>, Cheung TK, Murphy T, Walters M, Anderson G, Crawford DG, Fletcher LM. Hepcidin is down-regulated in alcoholic liver injury: implications for the pathogenesis of alcoholic liver disease. </w:t>
      </w:r>
      <w:r w:rsidRPr="001B167E">
        <w:rPr>
          <w:rFonts w:ascii="Book Antiqua" w:hAnsi="Book Antiqua"/>
          <w:i/>
          <w:iCs/>
          <w:sz w:val="24"/>
          <w:szCs w:val="24"/>
          <w:lang w:val="en-US"/>
        </w:rPr>
        <w:t>Alcohol Clin Exp Res</w:t>
      </w:r>
      <w:r w:rsidRPr="001B167E">
        <w:rPr>
          <w:rFonts w:ascii="Book Antiqua" w:hAnsi="Book Antiqua"/>
          <w:sz w:val="24"/>
          <w:szCs w:val="24"/>
          <w:lang w:val="en-US"/>
        </w:rPr>
        <w:t> 2006; </w:t>
      </w:r>
      <w:r w:rsidRPr="001B167E">
        <w:rPr>
          <w:rFonts w:ascii="Book Antiqua" w:hAnsi="Book Antiqua"/>
          <w:b/>
          <w:bCs/>
          <w:sz w:val="24"/>
          <w:szCs w:val="24"/>
          <w:lang w:val="en-US"/>
        </w:rPr>
        <w:t>30</w:t>
      </w:r>
      <w:r w:rsidRPr="001B167E">
        <w:rPr>
          <w:rFonts w:ascii="Book Antiqua" w:hAnsi="Book Antiqua"/>
          <w:sz w:val="24"/>
          <w:szCs w:val="24"/>
          <w:lang w:val="en-US"/>
        </w:rPr>
        <w:t>: 106-112 [PMID: 16433737 DOI: 10.1111/j.1530-0277.2006.00002.x]</w:t>
      </w:r>
    </w:p>
    <w:p w14:paraId="29F16C05"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141 </w:t>
      </w:r>
      <w:r w:rsidRPr="001B167E">
        <w:rPr>
          <w:rFonts w:ascii="Book Antiqua" w:hAnsi="Book Antiqua"/>
          <w:b/>
          <w:bCs/>
          <w:sz w:val="24"/>
          <w:szCs w:val="24"/>
          <w:lang w:val="en-US"/>
        </w:rPr>
        <w:t>Hoki T</w:t>
      </w:r>
      <w:r w:rsidRPr="001B167E">
        <w:rPr>
          <w:rFonts w:ascii="Book Antiqua" w:hAnsi="Book Antiqua"/>
          <w:sz w:val="24"/>
          <w:szCs w:val="24"/>
          <w:lang w:val="en-US"/>
        </w:rPr>
        <w:t>, Miyanishi K, Tanaka S, Takada K, Kawano Y, Sakurada A, Sato M, Kubo T, Sato T, Sato Y, Takimoto R, Kobune M, Kato J. Increased duodenal iron absorption through up-regulation of divalent metal transporter 1 from enhancement of iron regulatory protein 1 activity in patients with nonalcoholic steatohepatitis. </w:t>
      </w:r>
      <w:r w:rsidRPr="001B167E">
        <w:rPr>
          <w:rFonts w:ascii="Book Antiqua" w:hAnsi="Book Antiqua"/>
          <w:i/>
          <w:iCs/>
          <w:sz w:val="24"/>
          <w:szCs w:val="24"/>
          <w:lang w:val="en-US"/>
        </w:rPr>
        <w:t>Hepatology</w:t>
      </w:r>
      <w:r w:rsidRPr="001B167E">
        <w:rPr>
          <w:rFonts w:ascii="Book Antiqua" w:hAnsi="Book Antiqua"/>
          <w:sz w:val="24"/>
          <w:szCs w:val="24"/>
          <w:lang w:val="en-US"/>
        </w:rPr>
        <w:t> 2015; </w:t>
      </w:r>
      <w:r w:rsidRPr="001B167E">
        <w:rPr>
          <w:rFonts w:ascii="Book Antiqua" w:hAnsi="Book Antiqua"/>
          <w:b/>
          <w:bCs/>
          <w:sz w:val="24"/>
          <w:szCs w:val="24"/>
          <w:lang w:val="en-US"/>
        </w:rPr>
        <w:t>62</w:t>
      </w:r>
      <w:r w:rsidRPr="001B167E">
        <w:rPr>
          <w:rFonts w:ascii="Book Antiqua" w:hAnsi="Book Antiqua"/>
          <w:sz w:val="24"/>
          <w:szCs w:val="24"/>
          <w:lang w:val="en-US"/>
        </w:rPr>
        <w:t>: 751-761 [PMID: 25753988 DOI: 10.1002/hep.27774]</w:t>
      </w:r>
    </w:p>
    <w:p w14:paraId="2DC9B9B5"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142 </w:t>
      </w:r>
      <w:r w:rsidRPr="001B167E">
        <w:rPr>
          <w:rFonts w:ascii="Book Antiqua" w:hAnsi="Book Antiqua"/>
          <w:b/>
          <w:bCs/>
          <w:sz w:val="24"/>
          <w:szCs w:val="24"/>
          <w:lang w:val="en-US"/>
        </w:rPr>
        <w:t>Vuppalanchi R</w:t>
      </w:r>
      <w:r w:rsidRPr="001B167E">
        <w:rPr>
          <w:rFonts w:ascii="Book Antiqua" w:hAnsi="Book Antiqua"/>
          <w:sz w:val="24"/>
          <w:szCs w:val="24"/>
          <w:lang w:val="en-US"/>
        </w:rPr>
        <w:t xml:space="preserve">, Troutt JS, Konrad RJ, Ghabril M, Saxena R, Bell LN, Kowdley KV, Chalasani N. Serum hepcidin levels are associated with obesity but not liver </w:t>
      </w:r>
      <w:r w:rsidRPr="001B167E">
        <w:rPr>
          <w:rFonts w:ascii="Book Antiqua" w:hAnsi="Book Antiqua"/>
          <w:sz w:val="24"/>
          <w:szCs w:val="24"/>
          <w:lang w:val="en-US"/>
        </w:rPr>
        <w:lastRenderedPageBreak/>
        <w:t>disease. </w:t>
      </w:r>
      <w:r w:rsidRPr="001B167E">
        <w:rPr>
          <w:rFonts w:ascii="Book Antiqua" w:hAnsi="Book Antiqua"/>
          <w:i/>
          <w:iCs/>
          <w:sz w:val="24"/>
          <w:szCs w:val="24"/>
          <w:lang w:val="en-US"/>
        </w:rPr>
        <w:t xml:space="preserve">Obesity </w:t>
      </w:r>
      <w:r w:rsidRPr="00D778E4">
        <w:rPr>
          <w:rFonts w:ascii="Book Antiqua" w:hAnsi="Book Antiqua"/>
          <w:iCs/>
          <w:sz w:val="24"/>
          <w:szCs w:val="24"/>
          <w:lang w:val="en-US"/>
        </w:rPr>
        <w:t>(Silver Spring)</w:t>
      </w:r>
      <w:r w:rsidRPr="00D778E4">
        <w:rPr>
          <w:rFonts w:ascii="Book Antiqua" w:hAnsi="Book Antiqua"/>
          <w:sz w:val="24"/>
          <w:szCs w:val="24"/>
          <w:lang w:val="en-US"/>
        </w:rPr>
        <w:t> </w:t>
      </w:r>
      <w:r w:rsidRPr="001B167E">
        <w:rPr>
          <w:rFonts w:ascii="Book Antiqua" w:hAnsi="Book Antiqua"/>
          <w:sz w:val="24"/>
          <w:szCs w:val="24"/>
          <w:lang w:val="en-US"/>
        </w:rPr>
        <w:t>2014; </w:t>
      </w:r>
      <w:r w:rsidRPr="001B167E">
        <w:rPr>
          <w:rFonts w:ascii="Book Antiqua" w:hAnsi="Book Antiqua"/>
          <w:b/>
          <w:bCs/>
          <w:sz w:val="24"/>
          <w:szCs w:val="24"/>
          <w:lang w:val="en-US"/>
        </w:rPr>
        <w:t>22</w:t>
      </w:r>
      <w:r w:rsidRPr="001B167E">
        <w:rPr>
          <w:rFonts w:ascii="Book Antiqua" w:hAnsi="Book Antiqua"/>
          <w:sz w:val="24"/>
          <w:szCs w:val="24"/>
          <w:lang w:val="en-US"/>
        </w:rPr>
        <w:t>: 836-841 [PMID: 23512600 DOI: 10.1002/oby.20403]</w:t>
      </w:r>
    </w:p>
    <w:p w14:paraId="2EE62FF1"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143 </w:t>
      </w:r>
      <w:r w:rsidRPr="001B167E">
        <w:rPr>
          <w:rFonts w:ascii="Book Antiqua" w:hAnsi="Book Antiqua"/>
          <w:b/>
          <w:bCs/>
          <w:sz w:val="24"/>
          <w:szCs w:val="24"/>
          <w:lang w:val="en-US"/>
        </w:rPr>
        <w:t>Demircioğlu F</w:t>
      </w:r>
      <w:r w:rsidRPr="001B167E">
        <w:rPr>
          <w:rFonts w:ascii="Book Antiqua" w:hAnsi="Book Antiqua"/>
          <w:sz w:val="24"/>
          <w:szCs w:val="24"/>
          <w:lang w:val="en-US"/>
        </w:rPr>
        <w:t>, Görünmez G, Dağıstan E, Göksügür SB, Bekdaş M, Tosun M, Kızıldağ B, Kısmet E. Serum hepcidin levels and iron metabolism in obese children with and without fatty liver: case-control study. </w:t>
      </w:r>
      <w:r w:rsidRPr="001B167E">
        <w:rPr>
          <w:rFonts w:ascii="Book Antiqua" w:hAnsi="Book Antiqua"/>
          <w:i/>
          <w:iCs/>
          <w:sz w:val="24"/>
          <w:szCs w:val="24"/>
          <w:lang w:val="en-US"/>
        </w:rPr>
        <w:t>Eur J Pediatr</w:t>
      </w:r>
      <w:r w:rsidRPr="001B167E">
        <w:rPr>
          <w:rFonts w:ascii="Book Antiqua" w:hAnsi="Book Antiqua"/>
          <w:sz w:val="24"/>
          <w:szCs w:val="24"/>
          <w:lang w:val="en-US"/>
        </w:rPr>
        <w:t> 2014; </w:t>
      </w:r>
      <w:r w:rsidRPr="001B167E">
        <w:rPr>
          <w:rFonts w:ascii="Book Antiqua" w:hAnsi="Book Antiqua"/>
          <w:b/>
          <w:bCs/>
          <w:sz w:val="24"/>
          <w:szCs w:val="24"/>
          <w:lang w:val="en-US"/>
        </w:rPr>
        <w:t>173</w:t>
      </w:r>
      <w:r w:rsidRPr="001B167E">
        <w:rPr>
          <w:rFonts w:ascii="Book Antiqua" w:hAnsi="Book Antiqua"/>
          <w:sz w:val="24"/>
          <w:szCs w:val="24"/>
          <w:lang w:val="en-US"/>
        </w:rPr>
        <w:t>: 947-951 [PMID: 24500395 DOI: 10.1007/s00431-014-2268-8]</w:t>
      </w:r>
    </w:p>
    <w:p w14:paraId="4FCA0C90"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144 </w:t>
      </w:r>
      <w:r w:rsidRPr="001B167E">
        <w:rPr>
          <w:rFonts w:ascii="Book Antiqua" w:hAnsi="Book Antiqua"/>
          <w:b/>
          <w:bCs/>
          <w:sz w:val="24"/>
          <w:szCs w:val="24"/>
          <w:lang w:val="en-US"/>
        </w:rPr>
        <w:t>Fujita N</w:t>
      </w:r>
      <w:r w:rsidRPr="001B167E">
        <w:rPr>
          <w:rFonts w:ascii="Book Antiqua" w:hAnsi="Book Antiqua"/>
          <w:sz w:val="24"/>
          <w:szCs w:val="24"/>
          <w:lang w:val="en-US"/>
        </w:rPr>
        <w:t>, Sugimoto R, Takeo M, Urawa N, Mifuji R, Tanaka H, Kobayashi Y, Iwasa M, Watanabe S, Adachi Y, Kaito M. Hepcidin expression in the liver: relatively low level in patients with chronic hepatitis C. </w:t>
      </w:r>
      <w:r w:rsidRPr="001B167E">
        <w:rPr>
          <w:rFonts w:ascii="Book Antiqua" w:hAnsi="Book Antiqua"/>
          <w:i/>
          <w:iCs/>
          <w:sz w:val="24"/>
          <w:szCs w:val="24"/>
          <w:lang w:val="en-US"/>
        </w:rPr>
        <w:t>Mol Med</w:t>
      </w:r>
      <w:r w:rsidRPr="001B167E">
        <w:rPr>
          <w:rFonts w:ascii="Book Antiqua" w:hAnsi="Book Antiqua"/>
          <w:sz w:val="24"/>
          <w:szCs w:val="24"/>
          <w:lang w:val="en-US"/>
        </w:rPr>
        <w:t> 2007; </w:t>
      </w:r>
      <w:r w:rsidRPr="001B167E">
        <w:rPr>
          <w:rFonts w:ascii="Book Antiqua" w:hAnsi="Book Antiqua"/>
          <w:b/>
          <w:bCs/>
          <w:sz w:val="24"/>
          <w:szCs w:val="24"/>
          <w:lang w:val="en-US"/>
        </w:rPr>
        <w:t>13</w:t>
      </w:r>
      <w:r w:rsidRPr="001B167E">
        <w:rPr>
          <w:rFonts w:ascii="Book Antiqua" w:hAnsi="Book Antiqua"/>
          <w:sz w:val="24"/>
          <w:szCs w:val="24"/>
          <w:lang w:val="en-US"/>
        </w:rPr>
        <w:t>: 97-104 [PMID: 17515961 DOI: 10.2119/2006-00057.Fujita]</w:t>
      </w:r>
    </w:p>
    <w:p w14:paraId="1550CC41"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145 </w:t>
      </w:r>
      <w:r w:rsidRPr="001B167E">
        <w:rPr>
          <w:rFonts w:ascii="Book Antiqua" w:hAnsi="Book Antiqua"/>
          <w:b/>
          <w:bCs/>
          <w:sz w:val="24"/>
          <w:szCs w:val="24"/>
          <w:lang w:val="en-US"/>
        </w:rPr>
        <w:t>Wang J</w:t>
      </w:r>
      <w:r w:rsidRPr="001B167E">
        <w:rPr>
          <w:rFonts w:ascii="Book Antiqua" w:hAnsi="Book Antiqua"/>
          <w:sz w:val="24"/>
          <w:szCs w:val="24"/>
          <w:lang w:val="en-US"/>
        </w:rPr>
        <w:t>, Dong A, Liu G, Anderson GJ, Hu TY, Shi J, Hu Y, Nie G. Correlation of serum hepcidin levels with disease progression in hepatitis B virus-related disease assessed by nanopore film based assay. </w:t>
      </w:r>
      <w:r w:rsidRPr="001B167E">
        <w:rPr>
          <w:rFonts w:ascii="Book Antiqua" w:hAnsi="Book Antiqua"/>
          <w:i/>
          <w:iCs/>
          <w:sz w:val="24"/>
          <w:szCs w:val="24"/>
          <w:lang w:val="en-US"/>
        </w:rPr>
        <w:t>Sci Rep</w:t>
      </w:r>
      <w:r w:rsidRPr="001B167E">
        <w:rPr>
          <w:rFonts w:ascii="Book Antiqua" w:hAnsi="Book Antiqua"/>
          <w:sz w:val="24"/>
          <w:szCs w:val="24"/>
          <w:lang w:val="en-US"/>
        </w:rPr>
        <w:t> 2016; </w:t>
      </w:r>
      <w:r w:rsidRPr="001B167E">
        <w:rPr>
          <w:rFonts w:ascii="Book Antiqua" w:hAnsi="Book Antiqua"/>
          <w:b/>
          <w:bCs/>
          <w:sz w:val="24"/>
          <w:szCs w:val="24"/>
          <w:lang w:val="en-US"/>
        </w:rPr>
        <w:t>6</w:t>
      </w:r>
      <w:r w:rsidRPr="001B167E">
        <w:rPr>
          <w:rFonts w:ascii="Book Antiqua" w:hAnsi="Book Antiqua"/>
          <w:sz w:val="24"/>
          <w:szCs w:val="24"/>
          <w:lang w:val="en-US"/>
        </w:rPr>
        <w:t>: 34252 [PMID: 27694815 DOI: 10.1038/srep34252]</w:t>
      </w:r>
    </w:p>
    <w:p w14:paraId="57B88838"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146 </w:t>
      </w:r>
      <w:r w:rsidRPr="001B167E">
        <w:rPr>
          <w:rFonts w:ascii="Book Antiqua" w:hAnsi="Book Antiqua"/>
          <w:b/>
          <w:bCs/>
          <w:sz w:val="24"/>
          <w:szCs w:val="24"/>
          <w:lang w:val="en-US"/>
        </w:rPr>
        <w:t>Sam AH</w:t>
      </w:r>
      <w:r w:rsidRPr="001B167E">
        <w:rPr>
          <w:rFonts w:ascii="Book Antiqua" w:hAnsi="Book Antiqua"/>
          <w:sz w:val="24"/>
          <w:szCs w:val="24"/>
          <w:lang w:val="en-US"/>
        </w:rPr>
        <w:t>, Busbridge M, Amin A, Webber L, White D, Franks S, Martin NM, Sleeth M, Ismail NA, Daud NM, Papamargaritis D, Le Roux CW, Chapman RS, Frost G, Bloom SR, Murphy KG. Hepcidin levels in diabetes mellitus and polycystic ovary syndrome. </w:t>
      </w:r>
      <w:r w:rsidRPr="001B167E">
        <w:rPr>
          <w:rFonts w:ascii="Book Antiqua" w:hAnsi="Book Antiqua"/>
          <w:i/>
          <w:iCs/>
          <w:sz w:val="24"/>
          <w:szCs w:val="24"/>
          <w:lang w:val="en-US"/>
        </w:rPr>
        <w:t>Diabet Med</w:t>
      </w:r>
      <w:r w:rsidRPr="001B167E">
        <w:rPr>
          <w:rFonts w:ascii="Book Antiqua" w:hAnsi="Book Antiqua"/>
          <w:sz w:val="24"/>
          <w:szCs w:val="24"/>
          <w:lang w:val="en-US"/>
        </w:rPr>
        <w:t> 2013; </w:t>
      </w:r>
      <w:r w:rsidRPr="001B167E">
        <w:rPr>
          <w:rFonts w:ascii="Book Antiqua" w:hAnsi="Book Antiqua"/>
          <w:b/>
          <w:bCs/>
          <w:sz w:val="24"/>
          <w:szCs w:val="24"/>
          <w:lang w:val="en-US"/>
        </w:rPr>
        <w:t>30</w:t>
      </w:r>
      <w:r w:rsidRPr="001B167E">
        <w:rPr>
          <w:rFonts w:ascii="Book Antiqua" w:hAnsi="Book Antiqua"/>
          <w:sz w:val="24"/>
          <w:szCs w:val="24"/>
          <w:lang w:val="en-US"/>
        </w:rPr>
        <w:t>: 1495-1499 [PMID: 23796160 DOI: 10.1111/dme.12262]</w:t>
      </w:r>
    </w:p>
    <w:p w14:paraId="5D4EA56F"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147 </w:t>
      </w:r>
      <w:r w:rsidRPr="001B167E">
        <w:rPr>
          <w:rFonts w:ascii="Book Antiqua" w:hAnsi="Book Antiqua"/>
          <w:b/>
          <w:bCs/>
          <w:sz w:val="24"/>
          <w:szCs w:val="24"/>
          <w:lang w:val="en-US"/>
        </w:rPr>
        <w:t>Pechlaner R</w:t>
      </w:r>
      <w:r w:rsidRPr="001B167E">
        <w:rPr>
          <w:rFonts w:ascii="Book Antiqua" w:hAnsi="Book Antiqua"/>
          <w:sz w:val="24"/>
          <w:szCs w:val="24"/>
          <w:lang w:val="en-US"/>
        </w:rPr>
        <w:t>, Weiss G, Bansal S, Mayr M, Santer P, Pallhuber B, Notdurfter M, Bonora E, Willeit J, Kiechl S. Inadequate hepcidin serum concentrations predict incident type 2 diabetes mellitus. </w:t>
      </w:r>
      <w:r w:rsidRPr="001B167E">
        <w:rPr>
          <w:rFonts w:ascii="Book Antiqua" w:hAnsi="Book Antiqua"/>
          <w:i/>
          <w:iCs/>
          <w:sz w:val="24"/>
          <w:szCs w:val="24"/>
          <w:lang w:val="en-US"/>
        </w:rPr>
        <w:t>Diabetes Metab Res Rev</w:t>
      </w:r>
      <w:r w:rsidRPr="001B167E">
        <w:rPr>
          <w:rFonts w:ascii="Book Antiqua" w:hAnsi="Book Antiqua"/>
          <w:sz w:val="24"/>
          <w:szCs w:val="24"/>
          <w:lang w:val="en-US"/>
        </w:rPr>
        <w:t> 2016; </w:t>
      </w:r>
      <w:r w:rsidRPr="001B167E">
        <w:rPr>
          <w:rFonts w:ascii="Book Antiqua" w:hAnsi="Book Antiqua"/>
          <w:b/>
          <w:bCs/>
          <w:sz w:val="24"/>
          <w:szCs w:val="24"/>
          <w:lang w:val="en-US"/>
        </w:rPr>
        <w:t>32</w:t>
      </w:r>
      <w:r w:rsidRPr="001B167E">
        <w:rPr>
          <w:rFonts w:ascii="Book Antiqua" w:hAnsi="Book Antiqua"/>
          <w:sz w:val="24"/>
          <w:szCs w:val="24"/>
          <w:lang w:val="en-US"/>
        </w:rPr>
        <w:t>: 187-192 [PMID: 26378394 DOI: 10.1002/dmrr.2711]</w:t>
      </w:r>
    </w:p>
    <w:p w14:paraId="2D2D6C0A"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148 </w:t>
      </w:r>
      <w:r w:rsidRPr="001B167E">
        <w:rPr>
          <w:rFonts w:ascii="Book Antiqua" w:hAnsi="Book Antiqua"/>
          <w:b/>
          <w:bCs/>
          <w:sz w:val="24"/>
          <w:szCs w:val="24"/>
          <w:lang w:val="en-US"/>
        </w:rPr>
        <w:t>Suárez-Ortegón MF</w:t>
      </w:r>
      <w:r w:rsidRPr="001B167E">
        <w:rPr>
          <w:rFonts w:ascii="Book Antiqua" w:hAnsi="Book Antiqua"/>
          <w:sz w:val="24"/>
          <w:szCs w:val="24"/>
          <w:lang w:val="en-US"/>
        </w:rPr>
        <w:t>, Moreno M, Arbeláez A, Xifra G, Mosquera M, Moreno-Navarrete JM, Aguilar-de Plata C, Esteve E, Ricart W, Fernández-Real JM. Circulating hepcidin in type 2 diabetes: A multivariate analysis and double blind evaluation of metformin effects. </w:t>
      </w:r>
      <w:r w:rsidRPr="001B167E">
        <w:rPr>
          <w:rFonts w:ascii="Book Antiqua" w:hAnsi="Book Antiqua"/>
          <w:i/>
          <w:iCs/>
          <w:sz w:val="24"/>
          <w:szCs w:val="24"/>
          <w:lang w:val="en-US"/>
        </w:rPr>
        <w:t>Mol Nutr Food Res</w:t>
      </w:r>
      <w:r w:rsidRPr="001B167E">
        <w:rPr>
          <w:rFonts w:ascii="Book Antiqua" w:hAnsi="Book Antiqua"/>
          <w:sz w:val="24"/>
          <w:szCs w:val="24"/>
          <w:lang w:val="en-US"/>
        </w:rPr>
        <w:t> 2015; </w:t>
      </w:r>
      <w:r w:rsidRPr="001B167E">
        <w:rPr>
          <w:rFonts w:ascii="Book Antiqua" w:hAnsi="Book Antiqua"/>
          <w:b/>
          <w:bCs/>
          <w:sz w:val="24"/>
          <w:szCs w:val="24"/>
          <w:lang w:val="en-US"/>
        </w:rPr>
        <w:t>59</w:t>
      </w:r>
      <w:r w:rsidRPr="001B167E">
        <w:rPr>
          <w:rFonts w:ascii="Book Antiqua" w:hAnsi="Book Antiqua"/>
          <w:sz w:val="24"/>
          <w:szCs w:val="24"/>
          <w:lang w:val="en-US"/>
        </w:rPr>
        <w:t>: 2460-2470 [PMID: 26394887 DOI: 10.1002/mnfr.201500310]</w:t>
      </w:r>
    </w:p>
    <w:p w14:paraId="429697DF"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149 </w:t>
      </w:r>
      <w:r w:rsidRPr="001B167E">
        <w:rPr>
          <w:rFonts w:ascii="Book Antiqua" w:hAnsi="Book Antiqua"/>
          <w:b/>
          <w:bCs/>
          <w:sz w:val="24"/>
          <w:szCs w:val="24"/>
          <w:lang w:val="en-US"/>
        </w:rPr>
        <w:t>Martinelli AL</w:t>
      </w:r>
      <w:r w:rsidRPr="001B167E">
        <w:rPr>
          <w:rFonts w:ascii="Book Antiqua" w:hAnsi="Book Antiqua"/>
          <w:sz w:val="24"/>
          <w:szCs w:val="24"/>
          <w:lang w:val="en-US"/>
        </w:rPr>
        <w:t>, Filho AB, Franco RF, Tavella MH, Ramalho LN, Zucoloto S, Rodrigues SS, Zago MA. Liver iron deposits in hepatitis B patients: association with severity of liver disease but not with hemochromatosis gene mutations. </w:t>
      </w:r>
      <w:r w:rsidRPr="001B167E">
        <w:rPr>
          <w:rFonts w:ascii="Book Antiqua" w:hAnsi="Book Antiqua"/>
          <w:i/>
          <w:iCs/>
          <w:sz w:val="24"/>
          <w:szCs w:val="24"/>
          <w:lang w:val="en-US"/>
        </w:rPr>
        <w:t xml:space="preserve">J </w:t>
      </w:r>
      <w:r w:rsidRPr="001B167E">
        <w:rPr>
          <w:rFonts w:ascii="Book Antiqua" w:hAnsi="Book Antiqua"/>
          <w:i/>
          <w:iCs/>
          <w:sz w:val="24"/>
          <w:szCs w:val="24"/>
          <w:lang w:val="en-US"/>
        </w:rPr>
        <w:lastRenderedPageBreak/>
        <w:t>Gastroenterol Hepatol</w:t>
      </w:r>
      <w:r w:rsidRPr="001B167E">
        <w:rPr>
          <w:rFonts w:ascii="Book Antiqua" w:hAnsi="Book Antiqua"/>
          <w:sz w:val="24"/>
          <w:szCs w:val="24"/>
          <w:lang w:val="en-US"/>
        </w:rPr>
        <w:t> 2004; </w:t>
      </w:r>
      <w:r w:rsidRPr="001B167E">
        <w:rPr>
          <w:rFonts w:ascii="Book Antiqua" w:hAnsi="Book Antiqua"/>
          <w:b/>
          <w:bCs/>
          <w:sz w:val="24"/>
          <w:szCs w:val="24"/>
          <w:lang w:val="en-US"/>
        </w:rPr>
        <w:t>19</w:t>
      </w:r>
      <w:r w:rsidRPr="001B167E">
        <w:rPr>
          <w:rFonts w:ascii="Book Antiqua" w:hAnsi="Book Antiqua"/>
          <w:sz w:val="24"/>
          <w:szCs w:val="24"/>
          <w:lang w:val="en-US"/>
        </w:rPr>
        <w:t>: 1036-1041 [PMID: 15304122 DOI: 10.1111/j.1440-1746.2004.03410.x]</w:t>
      </w:r>
    </w:p>
    <w:p w14:paraId="264D107E" w14:textId="77777777" w:rsidR="001B167E" w:rsidRPr="001B167E" w:rsidRDefault="001B167E" w:rsidP="001B167E">
      <w:pPr>
        <w:adjustRightInd w:val="0"/>
        <w:snapToGrid w:val="0"/>
        <w:spacing w:after="0" w:line="360" w:lineRule="auto"/>
        <w:jc w:val="both"/>
        <w:rPr>
          <w:rFonts w:ascii="Book Antiqua" w:hAnsi="Book Antiqua"/>
          <w:sz w:val="24"/>
          <w:szCs w:val="24"/>
          <w:lang w:val="en-US"/>
        </w:rPr>
      </w:pPr>
      <w:r w:rsidRPr="001B167E">
        <w:rPr>
          <w:rFonts w:ascii="Book Antiqua" w:hAnsi="Book Antiqua"/>
          <w:sz w:val="24"/>
          <w:szCs w:val="24"/>
          <w:lang w:val="en-US"/>
        </w:rPr>
        <w:t>150 </w:t>
      </w:r>
      <w:r w:rsidRPr="001B167E">
        <w:rPr>
          <w:rFonts w:ascii="Book Antiqua" w:hAnsi="Book Antiqua"/>
          <w:b/>
          <w:bCs/>
          <w:sz w:val="24"/>
          <w:szCs w:val="24"/>
          <w:lang w:val="en-US"/>
        </w:rPr>
        <w:t>Shan Y</w:t>
      </w:r>
      <w:r w:rsidRPr="001B167E">
        <w:rPr>
          <w:rFonts w:ascii="Book Antiqua" w:hAnsi="Book Antiqua"/>
          <w:sz w:val="24"/>
          <w:szCs w:val="24"/>
          <w:lang w:val="en-US"/>
        </w:rPr>
        <w:t>, Lambrecht RW, Bonkovsky HL. Association of hepatitis C virus infection with serum iron status: analysis of data from the third National Health and Nutrition Examination Survey. </w:t>
      </w:r>
      <w:r w:rsidRPr="001B167E">
        <w:rPr>
          <w:rFonts w:ascii="Book Antiqua" w:hAnsi="Book Antiqua"/>
          <w:i/>
          <w:iCs/>
          <w:sz w:val="24"/>
          <w:szCs w:val="24"/>
          <w:lang w:val="en-US"/>
        </w:rPr>
        <w:t>Clin Infect Dis</w:t>
      </w:r>
      <w:r w:rsidRPr="001B167E">
        <w:rPr>
          <w:rFonts w:ascii="Book Antiqua" w:hAnsi="Book Antiqua"/>
          <w:sz w:val="24"/>
          <w:szCs w:val="24"/>
          <w:lang w:val="en-US"/>
        </w:rPr>
        <w:t> 2005; </w:t>
      </w:r>
      <w:r w:rsidRPr="001B167E">
        <w:rPr>
          <w:rFonts w:ascii="Book Antiqua" w:hAnsi="Book Antiqua"/>
          <w:b/>
          <w:bCs/>
          <w:sz w:val="24"/>
          <w:szCs w:val="24"/>
          <w:lang w:val="en-US"/>
        </w:rPr>
        <w:t>40</w:t>
      </w:r>
      <w:r w:rsidRPr="001B167E">
        <w:rPr>
          <w:rFonts w:ascii="Book Antiqua" w:hAnsi="Book Antiqua"/>
          <w:sz w:val="24"/>
          <w:szCs w:val="24"/>
          <w:lang w:val="en-US"/>
        </w:rPr>
        <w:t>: 834-841 [PMID: 15736017 DOI: 10.1086/428062]</w:t>
      </w:r>
    </w:p>
    <w:p w14:paraId="712826D4" w14:textId="383E34BE" w:rsidR="00F022F4" w:rsidRPr="007F5A49" w:rsidRDefault="00F022F4" w:rsidP="001B167E">
      <w:pPr>
        <w:adjustRightInd w:val="0"/>
        <w:snapToGrid w:val="0"/>
        <w:spacing w:after="0" w:line="360" w:lineRule="auto"/>
        <w:jc w:val="both"/>
        <w:rPr>
          <w:rFonts w:ascii="Book Antiqua" w:eastAsia="Times New Roman" w:hAnsi="Book Antiqua" w:cs="Times New Roman"/>
          <w:sz w:val="24"/>
          <w:szCs w:val="24"/>
          <w:lang w:val="en-US"/>
        </w:rPr>
      </w:pPr>
    </w:p>
    <w:p w14:paraId="3D67C3CD" w14:textId="5E75DECF" w:rsidR="00D778E4" w:rsidRPr="00D778E4" w:rsidRDefault="00D778E4" w:rsidP="00D778E4">
      <w:pPr>
        <w:wordWrap w:val="0"/>
        <w:adjustRightInd w:val="0"/>
        <w:snapToGrid w:val="0"/>
        <w:spacing w:after="0" w:line="360" w:lineRule="auto"/>
        <w:jc w:val="right"/>
        <w:rPr>
          <w:rFonts w:ascii="Book Antiqua" w:hAnsi="Book Antiqua"/>
          <w:b/>
          <w:bCs/>
          <w:sz w:val="24"/>
          <w:szCs w:val="24"/>
        </w:rPr>
      </w:pPr>
      <w:bookmarkStart w:id="52" w:name="OLE_LINK148"/>
      <w:bookmarkStart w:id="53" w:name="OLE_LINK320"/>
      <w:bookmarkStart w:id="54" w:name="OLE_LINK387"/>
      <w:bookmarkStart w:id="55" w:name="OLE_LINK254"/>
      <w:bookmarkStart w:id="56" w:name="OLE_LINK149"/>
      <w:bookmarkStart w:id="57" w:name="OLE_LINK225"/>
      <w:bookmarkStart w:id="58" w:name="OLE_LINK207"/>
      <w:bookmarkStart w:id="59" w:name="OLE_LINK226"/>
      <w:bookmarkStart w:id="60" w:name="OLE_LINK212"/>
      <w:bookmarkStart w:id="61" w:name="OLE_LINK250"/>
      <w:bookmarkStart w:id="62" w:name="OLE_LINK281"/>
      <w:bookmarkStart w:id="63" w:name="OLE_LINK282"/>
      <w:bookmarkStart w:id="64" w:name="OLE_LINK313"/>
      <w:bookmarkStart w:id="65" w:name="OLE_LINK304"/>
      <w:bookmarkStart w:id="66" w:name="OLE_LINK321"/>
      <w:bookmarkStart w:id="67" w:name="OLE_LINK385"/>
      <w:bookmarkStart w:id="68" w:name="OLE_LINK400"/>
      <w:bookmarkStart w:id="69" w:name="OLE_LINK346"/>
      <w:bookmarkStart w:id="70" w:name="OLE_LINK371"/>
      <w:bookmarkStart w:id="71" w:name="OLE_LINK334"/>
      <w:bookmarkStart w:id="72" w:name="OLE_LINK1830"/>
      <w:bookmarkStart w:id="73" w:name="OLE_LINK457"/>
      <w:bookmarkStart w:id="74" w:name="OLE_LINK288"/>
      <w:bookmarkStart w:id="75" w:name="OLE_LINK384"/>
      <w:bookmarkStart w:id="76" w:name="OLE_LINK379"/>
      <w:bookmarkStart w:id="77" w:name="OLE_LINK303"/>
      <w:bookmarkStart w:id="78" w:name="OLE_LINK450"/>
      <w:bookmarkStart w:id="79" w:name="OLE_LINK489"/>
      <w:bookmarkStart w:id="80" w:name="OLE_LINK535"/>
      <w:bookmarkStart w:id="81" w:name="OLE_LINK648"/>
      <w:bookmarkStart w:id="82" w:name="OLE_LINK686"/>
      <w:bookmarkStart w:id="83" w:name="OLE_LINK471"/>
      <w:bookmarkStart w:id="84" w:name="OLE_LINK462"/>
      <w:bookmarkStart w:id="85" w:name="OLE_LINK519"/>
      <w:bookmarkStart w:id="86" w:name="OLE_LINK575"/>
      <w:bookmarkStart w:id="87" w:name="OLE_LINK491"/>
      <w:bookmarkStart w:id="88" w:name="OLE_LINK532"/>
      <w:bookmarkStart w:id="89" w:name="OLE_LINK572"/>
      <w:bookmarkStart w:id="90" w:name="OLE_LINK574"/>
      <w:bookmarkStart w:id="91" w:name="OLE_LINK480"/>
      <w:bookmarkStart w:id="92" w:name="OLE_LINK567"/>
      <w:bookmarkStart w:id="93" w:name="OLE_LINK2700"/>
      <w:bookmarkStart w:id="94" w:name="OLE_LINK581"/>
      <w:bookmarkStart w:id="95" w:name="OLE_LINK639"/>
      <w:bookmarkStart w:id="96" w:name="OLE_LINK688"/>
      <w:bookmarkStart w:id="97" w:name="OLE_LINK722"/>
      <w:bookmarkStart w:id="98" w:name="OLE_LINK542"/>
      <w:bookmarkStart w:id="99" w:name="OLE_LINK589"/>
      <w:bookmarkStart w:id="100" w:name="OLE_LINK582"/>
      <w:bookmarkStart w:id="101" w:name="OLE_LINK640"/>
      <w:bookmarkStart w:id="102" w:name="OLE_LINK714"/>
      <w:bookmarkStart w:id="103" w:name="OLE_LINK593"/>
      <w:bookmarkStart w:id="104" w:name="OLE_LINK716"/>
      <w:bookmarkStart w:id="105" w:name="OLE_LINK770"/>
      <w:bookmarkStart w:id="106" w:name="OLE_LINK801"/>
      <w:bookmarkStart w:id="107" w:name="OLE_LINK660"/>
      <w:bookmarkStart w:id="108" w:name="OLE_LINK781"/>
      <w:bookmarkStart w:id="109" w:name="OLE_LINK833"/>
      <w:bookmarkStart w:id="110" w:name="OLE_LINK642"/>
      <w:bookmarkStart w:id="111" w:name="OLE_LINK700"/>
      <w:bookmarkStart w:id="112" w:name="OLE_LINK792"/>
      <w:bookmarkStart w:id="113" w:name="OLE_LINK2882"/>
      <w:bookmarkStart w:id="114" w:name="OLE_LINK836"/>
      <w:bookmarkStart w:id="115" w:name="OLE_LINK889"/>
      <w:bookmarkStart w:id="116" w:name="OLE_LINK782"/>
      <w:bookmarkStart w:id="117" w:name="OLE_LINK826"/>
      <w:bookmarkStart w:id="118" w:name="OLE_LINK865"/>
      <w:bookmarkStart w:id="119" w:name="OLE_LINK856"/>
      <w:bookmarkStart w:id="120" w:name="OLE_LINK908"/>
      <w:bookmarkStart w:id="121" w:name="OLE_LINK980"/>
      <w:bookmarkStart w:id="122" w:name="OLE_LINK1018"/>
      <w:bookmarkStart w:id="123" w:name="OLE_LINK1049"/>
      <w:bookmarkStart w:id="124" w:name="OLE_LINK1076"/>
      <w:bookmarkStart w:id="125" w:name="OLE_LINK1106"/>
      <w:bookmarkStart w:id="126" w:name="OLE_LINK891"/>
      <w:bookmarkStart w:id="127" w:name="OLE_LINK943"/>
      <w:bookmarkStart w:id="128" w:name="OLE_LINK981"/>
      <w:bookmarkStart w:id="129" w:name="OLE_LINK1030"/>
      <w:bookmarkStart w:id="130" w:name="OLE_LINK847"/>
      <w:bookmarkStart w:id="131" w:name="OLE_LINK909"/>
      <w:bookmarkStart w:id="132" w:name="OLE_LINK906"/>
      <w:bookmarkStart w:id="133" w:name="OLE_LINK992"/>
      <w:bookmarkStart w:id="134" w:name="OLE_LINK993"/>
      <w:bookmarkStart w:id="135" w:name="OLE_LINK1052"/>
      <w:bookmarkStart w:id="136" w:name="OLE_LINK946"/>
      <w:bookmarkStart w:id="137" w:name="OLE_LINK911"/>
      <w:bookmarkStart w:id="138" w:name="OLE_LINK930"/>
      <w:bookmarkStart w:id="139" w:name="OLE_LINK1059"/>
      <w:bookmarkStart w:id="140" w:name="OLE_LINK1174"/>
      <w:bookmarkStart w:id="141" w:name="OLE_LINK1137"/>
      <w:bookmarkStart w:id="142" w:name="OLE_LINK1167"/>
      <w:bookmarkStart w:id="143" w:name="OLE_LINK1200"/>
      <w:bookmarkStart w:id="144" w:name="OLE_LINK1241"/>
      <w:bookmarkStart w:id="145" w:name="OLE_LINK1288"/>
      <w:bookmarkStart w:id="146" w:name="OLE_LINK1056"/>
      <w:bookmarkStart w:id="147" w:name="OLE_LINK1158"/>
      <w:bookmarkStart w:id="148" w:name="OLE_LINK1175"/>
      <w:bookmarkStart w:id="149" w:name="OLE_LINK1074"/>
      <w:bookmarkStart w:id="150" w:name="OLE_LINK1169"/>
      <w:bookmarkStart w:id="151" w:name="OLE_LINK386"/>
      <w:bookmarkStart w:id="152" w:name="OLE_LINK33"/>
      <w:bookmarkStart w:id="153" w:name="OLE_LINK34"/>
      <w:r w:rsidRPr="00D778E4">
        <w:rPr>
          <w:rFonts w:ascii="Book Antiqua" w:hAnsi="Book Antiqua"/>
          <w:b/>
          <w:bCs/>
          <w:sz w:val="24"/>
          <w:szCs w:val="24"/>
        </w:rPr>
        <w:t>P-Reviewer:</w:t>
      </w:r>
      <w:r w:rsidRPr="00D778E4">
        <w:rPr>
          <w:rFonts w:ascii="Book Antiqua" w:hAnsi="Book Antiqua" w:hint="eastAsia"/>
          <w:b/>
          <w:bCs/>
          <w:sz w:val="24"/>
          <w:szCs w:val="24"/>
        </w:rPr>
        <w:t xml:space="preserve"> </w:t>
      </w:r>
      <w:r>
        <w:rPr>
          <w:rFonts w:ascii="Book Antiqua" w:hAnsi="Book Antiqua"/>
          <w:bCs/>
          <w:sz w:val="24"/>
          <w:szCs w:val="24"/>
        </w:rPr>
        <w:t>Murotomi K, Trinder D</w:t>
      </w:r>
    </w:p>
    <w:p w14:paraId="50CF614B" w14:textId="77777777" w:rsidR="00D778E4" w:rsidRPr="00D778E4" w:rsidRDefault="00D778E4" w:rsidP="00D778E4">
      <w:pPr>
        <w:adjustRightInd w:val="0"/>
        <w:snapToGrid w:val="0"/>
        <w:spacing w:after="0" w:line="360" w:lineRule="auto"/>
        <w:jc w:val="right"/>
        <w:rPr>
          <w:rFonts w:ascii="Book Antiqua" w:hAnsi="Book Antiqua"/>
          <w:sz w:val="24"/>
          <w:szCs w:val="24"/>
        </w:rPr>
      </w:pPr>
      <w:r w:rsidRPr="00D778E4">
        <w:rPr>
          <w:rFonts w:ascii="Book Antiqua" w:hAnsi="Book Antiqua"/>
          <w:b/>
          <w:bCs/>
          <w:sz w:val="24"/>
          <w:szCs w:val="24"/>
        </w:rPr>
        <w:t>S-Editor:</w:t>
      </w:r>
      <w:r w:rsidRPr="00D778E4">
        <w:rPr>
          <w:rFonts w:ascii="Book Antiqua" w:hAnsi="Book Antiqua" w:hint="eastAsia"/>
          <w:sz w:val="24"/>
          <w:szCs w:val="24"/>
        </w:rPr>
        <w:t xml:space="preserve"> </w:t>
      </w:r>
      <w:r w:rsidRPr="00D778E4">
        <w:rPr>
          <w:rFonts w:ascii="Book Antiqua" w:hAnsi="Book Antiqua"/>
          <w:sz w:val="24"/>
          <w:szCs w:val="24"/>
        </w:rPr>
        <w:t>Ma</w:t>
      </w:r>
      <w:r w:rsidRPr="00D778E4">
        <w:rPr>
          <w:rFonts w:ascii="Book Antiqua" w:hAnsi="Book Antiqua" w:hint="eastAsia"/>
          <w:sz w:val="24"/>
          <w:szCs w:val="24"/>
        </w:rPr>
        <w:t xml:space="preserve"> </w:t>
      </w:r>
      <w:r w:rsidRPr="00D778E4">
        <w:rPr>
          <w:rFonts w:ascii="Book Antiqua" w:hAnsi="Book Antiqua"/>
          <w:sz w:val="24"/>
          <w:szCs w:val="24"/>
        </w:rPr>
        <w:t>RY</w:t>
      </w:r>
      <w:r w:rsidRPr="00D778E4">
        <w:rPr>
          <w:rFonts w:ascii="Book Antiqua" w:hAnsi="Book Antiqua" w:hint="eastAsia"/>
          <w:sz w:val="24"/>
          <w:szCs w:val="24"/>
        </w:rPr>
        <w:t xml:space="preserve"> </w:t>
      </w:r>
      <w:r w:rsidRPr="00D778E4">
        <w:rPr>
          <w:rFonts w:ascii="Book Antiqua" w:hAnsi="Book Antiqua"/>
          <w:b/>
          <w:bCs/>
          <w:sz w:val="24"/>
          <w:szCs w:val="24"/>
        </w:rPr>
        <w:t>L-Editor:</w:t>
      </w:r>
      <w:r w:rsidRPr="00D778E4">
        <w:rPr>
          <w:rFonts w:ascii="Book Antiqua" w:hAnsi="Book Antiqua"/>
          <w:sz w:val="24"/>
          <w:szCs w:val="24"/>
        </w:rPr>
        <w:t xml:space="preserve"> </w:t>
      </w:r>
      <w:r w:rsidRPr="00D778E4">
        <w:rPr>
          <w:rFonts w:ascii="Book Antiqua" w:hAnsi="Book Antiqua"/>
          <w:b/>
          <w:bCs/>
          <w:sz w:val="24"/>
          <w:szCs w:val="24"/>
        </w:rPr>
        <w:t>E-Editor:</w:t>
      </w:r>
    </w:p>
    <w:p w14:paraId="3ED46193" w14:textId="77777777" w:rsidR="00D778E4" w:rsidRPr="00D778E4" w:rsidRDefault="00D778E4" w:rsidP="00D778E4">
      <w:pPr>
        <w:shd w:val="clear" w:color="auto" w:fill="FFFFFF"/>
        <w:adjustRightInd w:val="0"/>
        <w:snapToGrid w:val="0"/>
        <w:spacing w:after="0" w:line="360" w:lineRule="auto"/>
        <w:jc w:val="both"/>
        <w:rPr>
          <w:rFonts w:ascii="Book Antiqua" w:hAnsi="Book Antiqua" w:cs="Helvetica"/>
          <w:b/>
          <w:sz w:val="24"/>
          <w:szCs w:val="24"/>
        </w:rPr>
      </w:pPr>
      <w:bookmarkStart w:id="154" w:name="OLE_LINK880"/>
      <w:bookmarkStart w:id="155" w:name="OLE_LINK88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Pr="00D778E4">
        <w:rPr>
          <w:rFonts w:ascii="Book Antiqua" w:hAnsi="Book Antiqua" w:cs="Helvetica"/>
          <w:b/>
          <w:sz w:val="24"/>
          <w:szCs w:val="24"/>
        </w:rPr>
        <w:t xml:space="preserve">Specialty type: </w:t>
      </w:r>
      <w:r w:rsidRPr="00D778E4">
        <w:rPr>
          <w:rFonts w:ascii="Book Antiqua" w:hAnsi="Book Antiqua" w:cs="Helvetica"/>
          <w:sz w:val="24"/>
          <w:szCs w:val="24"/>
        </w:rPr>
        <w:t>Gastroenterology and</w:t>
      </w:r>
      <w:r w:rsidRPr="00D778E4">
        <w:rPr>
          <w:rFonts w:ascii="Book Antiqua" w:hAnsi="Book Antiqua" w:cs="Helvetica" w:hint="eastAsia"/>
          <w:sz w:val="24"/>
          <w:szCs w:val="24"/>
        </w:rPr>
        <w:t xml:space="preserve"> </w:t>
      </w:r>
      <w:r w:rsidRPr="00D778E4">
        <w:rPr>
          <w:rFonts w:ascii="Book Antiqua" w:hAnsi="Book Antiqua" w:cs="Helvetica"/>
          <w:sz w:val="24"/>
          <w:szCs w:val="24"/>
        </w:rPr>
        <w:t>hepatology</w:t>
      </w:r>
    </w:p>
    <w:p w14:paraId="74B00A62" w14:textId="5FF35EA8" w:rsidR="00D778E4" w:rsidRPr="00D778E4" w:rsidRDefault="00D778E4" w:rsidP="00D778E4">
      <w:pPr>
        <w:shd w:val="clear" w:color="auto" w:fill="FFFFFF"/>
        <w:adjustRightInd w:val="0"/>
        <w:snapToGrid w:val="0"/>
        <w:spacing w:after="0" w:line="360" w:lineRule="auto"/>
        <w:jc w:val="both"/>
        <w:rPr>
          <w:rFonts w:ascii="Book Antiqua" w:hAnsi="Book Antiqua" w:cs="Helvetica"/>
          <w:b/>
          <w:sz w:val="24"/>
          <w:szCs w:val="24"/>
        </w:rPr>
      </w:pPr>
      <w:r w:rsidRPr="00D778E4">
        <w:rPr>
          <w:rFonts w:ascii="Book Antiqua" w:hAnsi="Book Antiqua" w:cs="Helvetica"/>
          <w:b/>
          <w:sz w:val="24"/>
          <w:szCs w:val="24"/>
        </w:rPr>
        <w:t xml:space="preserve">Country of origin: </w:t>
      </w:r>
      <w:r>
        <w:rPr>
          <w:rFonts w:ascii="Book Antiqua" w:hAnsi="Book Antiqua" w:cs="Helvetica"/>
          <w:sz w:val="24"/>
          <w:szCs w:val="24"/>
          <w:lang w:val="en-CA"/>
        </w:rPr>
        <w:t>United Kingdom</w:t>
      </w:r>
    </w:p>
    <w:p w14:paraId="208B4478" w14:textId="77777777" w:rsidR="00D778E4" w:rsidRPr="00D778E4" w:rsidRDefault="00D778E4" w:rsidP="00D778E4">
      <w:pPr>
        <w:shd w:val="clear" w:color="auto" w:fill="FFFFFF"/>
        <w:adjustRightInd w:val="0"/>
        <w:snapToGrid w:val="0"/>
        <w:spacing w:after="0" w:line="360" w:lineRule="auto"/>
        <w:jc w:val="both"/>
        <w:rPr>
          <w:rFonts w:ascii="Book Antiqua" w:hAnsi="Book Antiqua" w:cs="Helvetica"/>
          <w:b/>
          <w:sz w:val="24"/>
          <w:szCs w:val="24"/>
        </w:rPr>
      </w:pPr>
      <w:r w:rsidRPr="00D778E4">
        <w:rPr>
          <w:rFonts w:ascii="Book Antiqua" w:hAnsi="Book Antiqua" w:cs="Helvetica"/>
          <w:b/>
          <w:sz w:val="24"/>
          <w:szCs w:val="24"/>
        </w:rPr>
        <w:t>Peer-review report classification</w:t>
      </w:r>
    </w:p>
    <w:p w14:paraId="19CE749B" w14:textId="41B654AD" w:rsidR="00D778E4" w:rsidRPr="00D778E4" w:rsidRDefault="00D778E4" w:rsidP="00D778E4">
      <w:pPr>
        <w:shd w:val="clear" w:color="auto" w:fill="FFFFFF"/>
        <w:adjustRightInd w:val="0"/>
        <w:snapToGrid w:val="0"/>
        <w:spacing w:after="0" w:line="360" w:lineRule="auto"/>
        <w:jc w:val="both"/>
        <w:rPr>
          <w:rFonts w:ascii="Book Antiqua" w:hAnsi="Book Antiqua" w:cs="Helvetica"/>
          <w:sz w:val="24"/>
          <w:szCs w:val="24"/>
        </w:rPr>
      </w:pPr>
      <w:r w:rsidRPr="00D778E4">
        <w:rPr>
          <w:rFonts w:ascii="Book Antiqua" w:hAnsi="Book Antiqua" w:cs="Helvetica"/>
          <w:sz w:val="24"/>
          <w:szCs w:val="24"/>
        </w:rPr>
        <w:t xml:space="preserve">Grade A (Excellent): </w:t>
      </w:r>
      <w:r>
        <w:rPr>
          <w:rFonts w:ascii="Book Antiqua" w:hAnsi="Book Antiqua" w:cs="Helvetica" w:hint="eastAsia"/>
          <w:sz w:val="24"/>
          <w:szCs w:val="24"/>
        </w:rPr>
        <w:t>A</w:t>
      </w:r>
    </w:p>
    <w:p w14:paraId="205C1CF3" w14:textId="77777777" w:rsidR="00D778E4" w:rsidRPr="00D778E4" w:rsidRDefault="00D778E4" w:rsidP="00D778E4">
      <w:pPr>
        <w:shd w:val="clear" w:color="auto" w:fill="FFFFFF"/>
        <w:adjustRightInd w:val="0"/>
        <w:snapToGrid w:val="0"/>
        <w:spacing w:after="0" w:line="360" w:lineRule="auto"/>
        <w:jc w:val="both"/>
        <w:rPr>
          <w:rFonts w:ascii="Book Antiqua" w:hAnsi="Book Antiqua" w:cs="Helvetica"/>
          <w:sz w:val="24"/>
          <w:szCs w:val="24"/>
        </w:rPr>
      </w:pPr>
      <w:r w:rsidRPr="00D778E4">
        <w:rPr>
          <w:rFonts w:ascii="Book Antiqua" w:hAnsi="Book Antiqua" w:cs="Helvetica"/>
          <w:sz w:val="24"/>
          <w:szCs w:val="24"/>
        </w:rPr>
        <w:t xml:space="preserve">Grade B (Very good): </w:t>
      </w:r>
      <w:r w:rsidRPr="00D778E4">
        <w:rPr>
          <w:rFonts w:ascii="Book Antiqua" w:hAnsi="Book Antiqua" w:cs="Helvetica" w:hint="eastAsia"/>
          <w:sz w:val="24"/>
          <w:szCs w:val="24"/>
        </w:rPr>
        <w:t>B</w:t>
      </w:r>
    </w:p>
    <w:p w14:paraId="08CF6A6D" w14:textId="17D60A3F" w:rsidR="00D778E4" w:rsidRPr="00D778E4" w:rsidRDefault="00D778E4" w:rsidP="00D778E4">
      <w:pPr>
        <w:shd w:val="clear" w:color="auto" w:fill="FFFFFF"/>
        <w:adjustRightInd w:val="0"/>
        <w:snapToGrid w:val="0"/>
        <w:spacing w:after="0" w:line="360" w:lineRule="auto"/>
        <w:jc w:val="both"/>
        <w:rPr>
          <w:rFonts w:ascii="Book Antiqua" w:hAnsi="Book Antiqua" w:cs="Helvetica"/>
          <w:sz w:val="24"/>
          <w:szCs w:val="24"/>
        </w:rPr>
      </w:pPr>
      <w:r w:rsidRPr="00D778E4">
        <w:rPr>
          <w:rFonts w:ascii="Book Antiqua" w:hAnsi="Book Antiqua" w:cs="Helvetica"/>
          <w:sz w:val="24"/>
          <w:szCs w:val="24"/>
        </w:rPr>
        <w:t xml:space="preserve">Grade C (Good): </w:t>
      </w:r>
      <w:r>
        <w:rPr>
          <w:rFonts w:ascii="Book Antiqua" w:hAnsi="Book Antiqua" w:cs="Helvetica" w:hint="eastAsia"/>
          <w:sz w:val="24"/>
          <w:szCs w:val="24"/>
        </w:rPr>
        <w:t>0</w:t>
      </w:r>
    </w:p>
    <w:p w14:paraId="18328A67" w14:textId="77777777" w:rsidR="00D778E4" w:rsidRPr="00D778E4" w:rsidRDefault="00D778E4" w:rsidP="00D778E4">
      <w:pPr>
        <w:shd w:val="clear" w:color="auto" w:fill="FFFFFF"/>
        <w:adjustRightInd w:val="0"/>
        <w:snapToGrid w:val="0"/>
        <w:spacing w:after="0" w:line="360" w:lineRule="auto"/>
        <w:jc w:val="both"/>
        <w:rPr>
          <w:rFonts w:ascii="Book Antiqua" w:hAnsi="Book Antiqua" w:cs="Helvetica"/>
          <w:sz w:val="24"/>
          <w:szCs w:val="24"/>
        </w:rPr>
      </w:pPr>
      <w:r w:rsidRPr="00D778E4">
        <w:rPr>
          <w:rFonts w:ascii="Book Antiqua" w:hAnsi="Book Antiqua" w:cs="Helvetica"/>
          <w:sz w:val="24"/>
          <w:szCs w:val="24"/>
        </w:rPr>
        <w:t xml:space="preserve">Grade D (Fair): </w:t>
      </w:r>
      <w:r w:rsidRPr="00D778E4">
        <w:rPr>
          <w:rFonts w:ascii="Book Antiqua" w:hAnsi="Book Antiqua" w:cs="Helvetica" w:hint="eastAsia"/>
          <w:sz w:val="24"/>
          <w:szCs w:val="24"/>
        </w:rPr>
        <w:t>0</w:t>
      </w:r>
    </w:p>
    <w:p w14:paraId="65F44ABC" w14:textId="77777777" w:rsidR="00D778E4" w:rsidRPr="00D778E4" w:rsidRDefault="00D778E4" w:rsidP="00D778E4">
      <w:pPr>
        <w:adjustRightInd w:val="0"/>
        <w:snapToGrid w:val="0"/>
        <w:spacing w:after="0" w:line="360" w:lineRule="auto"/>
        <w:jc w:val="both"/>
        <w:rPr>
          <w:rFonts w:ascii="Book Antiqua" w:hAnsi="Book Antiqua"/>
          <w:b/>
          <w:iCs/>
          <w:sz w:val="24"/>
          <w:szCs w:val="24"/>
        </w:rPr>
      </w:pPr>
      <w:r w:rsidRPr="00D778E4">
        <w:rPr>
          <w:rFonts w:ascii="Book Antiqua" w:hAnsi="Book Antiqua" w:cs="Helvetica"/>
          <w:sz w:val="24"/>
          <w:szCs w:val="24"/>
        </w:rPr>
        <w:t xml:space="preserve">Grade E (Poor): </w:t>
      </w:r>
      <w:r w:rsidRPr="00D778E4">
        <w:rPr>
          <w:rFonts w:ascii="Book Antiqua" w:hAnsi="Book Antiqua" w:cs="Helvetica" w:hint="eastAsia"/>
          <w:sz w:val="24"/>
          <w:szCs w:val="24"/>
        </w:rPr>
        <w:t>0</w:t>
      </w:r>
      <w:bookmarkEnd w:id="151"/>
      <w:bookmarkEnd w:id="154"/>
      <w:bookmarkEnd w:id="155"/>
    </w:p>
    <w:bookmarkEnd w:id="152"/>
    <w:bookmarkEnd w:id="153"/>
    <w:p w14:paraId="1B7FA2C5" w14:textId="522CF867" w:rsidR="00D778E4" w:rsidRDefault="00D778E4">
      <w:pPr>
        <w:rPr>
          <w:rFonts w:ascii="Book Antiqua" w:hAnsi="Book Antiqua"/>
          <w:sz w:val="24"/>
          <w:szCs w:val="24"/>
          <w:lang w:val="en-US"/>
        </w:rPr>
      </w:pPr>
      <w:r>
        <w:rPr>
          <w:rFonts w:ascii="Book Antiqua" w:hAnsi="Book Antiqua"/>
          <w:sz w:val="24"/>
          <w:szCs w:val="24"/>
          <w:lang w:val="en-US"/>
        </w:rPr>
        <w:br w:type="page"/>
      </w:r>
    </w:p>
    <w:p w14:paraId="22426874" w14:textId="4B814C93" w:rsidR="00D2645C" w:rsidRPr="007F5A49" w:rsidRDefault="00F51085" w:rsidP="007F5A49">
      <w:pPr>
        <w:pStyle w:val="Bibliography"/>
        <w:adjustRightInd w:val="0"/>
        <w:snapToGrid w:val="0"/>
        <w:spacing w:after="0" w:line="360" w:lineRule="auto"/>
        <w:ind w:left="0" w:firstLine="0"/>
        <w:jc w:val="both"/>
        <w:rPr>
          <w:rFonts w:ascii="Book Antiqua" w:hAnsi="Book Antiqua"/>
          <w:sz w:val="24"/>
          <w:szCs w:val="24"/>
          <w:lang w:val="en-US"/>
        </w:rPr>
      </w:pPr>
      <w:r w:rsidRPr="00F51085">
        <w:rPr>
          <w:rFonts w:ascii="Book Antiqua" w:hAnsi="Book Antiqua"/>
          <w:noProof/>
          <w:sz w:val="24"/>
          <w:szCs w:val="24"/>
          <w:lang w:val="en-US" w:eastAsia="zh-CN"/>
        </w:rPr>
        <w:lastRenderedPageBreak/>
        <w:drawing>
          <wp:inline distT="0" distB="0" distL="0" distR="0" wp14:anchorId="3A6389D4" wp14:editId="433ED64E">
            <wp:extent cx="5731510" cy="4109085"/>
            <wp:effectExtent l="0" t="0" r="889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109085"/>
                    </a:xfrm>
                    <a:prstGeom prst="rect">
                      <a:avLst/>
                    </a:prstGeom>
                  </pic:spPr>
                </pic:pic>
              </a:graphicData>
            </a:graphic>
          </wp:inline>
        </w:drawing>
      </w:r>
    </w:p>
    <w:p w14:paraId="1F159B60" w14:textId="03733525" w:rsidR="0047115D" w:rsidRPr="002C55DC" w:rsidRDefault="00E946DC" w:rsidP="002C55DC">
      <w:pPr>
        <w:adjustRightInd w:val="0"/>
        <w:snapToGrid w:val="0"/>
        <w:spacing w:after="0" w:line="360" w:lineRule="auto"/>
        <w:jc w:val="both"/>
        <w:outlineLvl w:val="0"/>
        <w:rPr>
          <w:rFonts w:ascii="Book Antiqua" w:hAnsi="Book Antiqua" w:cs="Arial"/>
          <w:b/>
          <w:sz w:val="24"/>
          <w:szCs w:val="24"/>
          <w:lang w:val="en-US"/>
        </w:rPr>
      </w:pPr>
      <w:r w:rsidRPr="007F5A49">
        <w:rPr>
          <w:rFonts w:ascii="Book Antiqua" w:hAnsi="Book Antiqua" w:cs="Arial"/>
          <w:sz w:val="24"/>
          <w:szCs w:val="24"/>
          <w:lang w:val="en-US"/>
        </w:rPr>
        <w:fldChar w:fldCharType="end"/>
      </w:r>
      <w:r w:rsidR="004B1CF5" w:rsidRPr="007F5A49">
        <w:rPr>
          <w:rFonts w:ascii="Book Antiqua" w:hAnsi="Book Antiqua" w:cs="Arial"/>
          <w:b/>
          <w:bCs/>
          <w:kern w:val="24"/>
          <w:sz w:val="24"/>
          <w:szCs w:val="24"/>
          <w:lang w:val="en-US"/>
        </w:rPr>
        <w:t>Fig</w:t>
      </w:r>
      <w:r w:rsidR="00CF4D33" w:rsidRPr="007F5A49">
        <w:rPr>
          <w:rFonts w:ascii="Book Antiqua" w:hAnsi="Book Antiqua" w:cs="Arial"/>
          <w:b/>
          <w:bCs/>
          <w:kern w:val="24"/>
          <w:sz w:val="24"/>
          <w:szCs w:val="24"/>
          <w:lang w:val="en-US"/>
        </w:rPr>
        <w:t>ure</w:t>
      </w:r>
      <w:r w:rsidR="004B1CF5" w:rsidRPr="007F5A49">
        <w:rPr>
          <w:rFonts w:ascii="Book Antiqua" w:hAnsi="Book Antiqua" w:cs="Arial"/>
          <w:b/>
          <w:bCs/>
          <w:kern w:val="24"/>
          <w:sz w:val="24"/>
          <w:szCs w:val="24"/>
          <w:lang w:val="en-US"/>
        </w:rPr>
        <w:t xml:space="preserve"> 1 Intercellular network of events in fibrosis</w:t>
      </w:r>
      <w:r w:rsidR="002C55DC">
        <w:rPr>
          <w:rFonts w:ascii="Book Antiqua" w:hAnsi="Book Antiqua" w:cs="Arial"/>
          <w:b/>
          <w:bCs/>
          <w:kern w:val="24"/>
          <w:sz w:val="24"/>
          <w:szCs w:val="24"/>
          <w:lang w:val="en-US"/>
        </w:rPr>
        <w:t>.</w:t>
      </w:r>
      <w:r w:rsidR="004B1CF5" w:rsidRPr="007F5A49">
        <w:rPr>
          <w:rFonts w:ascii="Book Antiqua" w:hAnsi="Book Antiqua" w:cs="Arial"/>
          <w:b/>
          <w:bCs/>
          <w:kern w:val="24"/>
          <w:sz w:val="24"/>
          <w:szCs w:val="24"/>
          <w:lang w:val="en-US"/>
        </w:rPr>
        <w:t xml:space="preserve"> </w:t>
      </w:r>
      <w:r w:rsidR="004B1CF5" w:rsidRPr="007F5A49">
        <w:rPr>
          <w:rFonts w:ascii="Book Antiqua" w:hAnsi="Book Antiqua" w:cs="Arial"/>
          <w:kern w:val="24"/>
          <w:sz w:val="24"/>
          <w:szCs w:val="24"/>
          <w:lang w:val="en-US"/>
        </w:rPr>
        <w:t xml:space="preserve">The figure shows the interactions between hepatocytes, Kupffer cells and </w:t>
      </w:r>
      <w:r w:rsidR="00EA3629" w:rsidRPr="007F5A49">
        <w:rPr>
          <w:rFonts w:ascii="Book Antiqua" w:hAnsi="Book Antiqua" w:cs="Arial"/>
          <w:color w:val="000000" w:themeColor="text1"/>
          <w:kern w:val="24"/>
          <w:sz w:val="24"/>
          <w:szCs w:val="24"/>
          <w:lang w:val="en-US"/>
        </w:rPr>
        <w:t>hepatic stellate cell</w:t>
      </w:r>
      <w:r w:rsidR="004B1CF5" w:rsidRPr="007F5A49">
        <w:rPr>
          <w:rFonts w:ascii="Book Antiqua" w:hAnsi="Book Antiqua" w:cs="Arial"/>
          <w:kern w:val="24"/>
          <w:sz w:val="24"/>
          <w:szCs w:val="24"/>
          <w:lang w:val="en-US"/>
        </w:rPr>
        <w:t>s that initiate and drive fibrosis progression.</w:t>
      </w:r>
      <w:r w:rsidR="004B1CF5" w:rsidRPr="007F5A49">
        <w:rPr>
          <w:rFonts w:ascii="Book Antiqua" w:hAnsi="Book Antiqua" w:cs="Arial"/>
          <w:sz w:val="24"/>
          <w:szCs w:val="24"/>
          <w:lang w:val="en-US"/>
        </w:rPr>
        <w:t xml:space="preserve"> </w:t>
      </w:r>
      <w:r w:rsidR="004B1CF5" w:rsidRPr="007F5A49">
        <w:rPr>
          <w:rFonts w:ascii="Book Antiqua" w:hAnsi="Book Antiqua" w:cs="Arial"/>
          <w:kern w:val="24"/>
          <w:sz w:val="24"/>
          <w:szCs w:val="24"/>
          <w:lang w:val="en-US"/>
        </w:rPr>
        <w:t>The pool of pro-</w:t>
      </w:r>
      <w:proofErr w:type="spellStart"/>
      <w:r w:rsidR="004B1CF5" w:rsidRPr="007F5A49">
        <w:rPr>
          <w:rFonts w:ascii="Book Antiqua" w:hAnsi="Book Antiqua" w:cs="Arial"/>
          <w:kern w:val="24"/>
          <w:sz w:val="24"/>
          <w:szCs w:val="24"/>
          <w:lang w:val="en-US"/>
        </w:rPr>
        <w:t>fibrogenic</w:t>
      </w:r>
      <w:proofErr w:type="spellEnd"/>
      <w:r w:rsidR="004B1CF5" w:rsidRPr="007F5A49">
        <w:rPr>
          <w:rFonts w:ascii="Book Antiqua" w:hAnsi="Book Antiqua" w:cs="Arial"/>
          <w:kern w:val="24"/>
          <w:sz w:val="24"/>
          <w:szCs w:val="24"/>
          <w:lang w:val="en-US"/>
        </w:rPr>
        <w:t xml:space="preserve"> and pro-inflammatory mediators include </w:t>
      </w:r>
      <w:r w:rsidR="00DF0AB7" w:rsidRPr="007F5A49">
        <w:rPr>
          <w:rFonts w:ascii="Book Antiqua" w:hAnsi="Book Antiqua"/>
          <w:sz w:val="24"/>
          <w:szCs w:val="24"/>
          <w:lang w:val="en-US"/>
        </w:rPr>
        <w:t xml:space="preserve">C-C </w:t>
      </w:r>
      <w:r w:rsidR="002502D5" w:rsidRPr="007F5A49">
        <w:rPr>
          <w:rFonts w:ascii="Book Antiqua" w:hAnsi="Book Antiqua"/>
          <w:sz w:val="24"/>
          <w:szCs w:val="24"/>
          <w:lang w:val="en-US"/>
        </w:rPr>
        <w:t>motif chemokine ligand</w:t>
      </w:r>
      <w:r w:rsidR="00DF0AB7" w:rsidRPr="007F5A49">
        <w:rPr>
          <w:rFonts w:ascii="Book Antiqua" w:hAnsi="Book Antiqua"/>
          <w:sz w:val="24"/>
          <w:szCs w:val="24"/>
          <w:lang w:val="en-US"/>
        </w:rPr>
        <w:t xml:space="preserve"> 5</w:t>
      </w:r>
      <w:r w:rsidR="004B1CF5" w:rsidRPr="007F5A49">
        <w:rPr>
          <w:rFonts w:ascii="Book Antiqua" w:hAnsi="Book Antiqua" w:cs="Arial"/>
          <w:color w:val="000000" w:themeColor="text1"/>
          <w:kern w:val="24"/>
          <w:sz w:val="24"/>
          <w:szCs w:val="24"/>
          <w:lang w:val="en-US"/>
        </w:rPr>
        <w:t>, macrophage inflammatory proteins 1 and 2, monocyte chemoattractant protein-1, tumor necrosis factor alpha, transforming growth factors alpha and beta, platelet-derived growth factor, interleukin (IL)-1β, IL-6, inducible nitric oxide synthase, and protein adducts of malondialdehyde</w:t>
      </w:r>
      <w:r w:rsidR="00331A72">
        <w:rPr>
          <w:rFonts w:ascii="Book Antiqua" w:hAnsi="Book Antiqua" w:cs="Arial"/>
          <w:color w:val="000000" w:themeColor="text1"/>
          <w:kern w:val="24"/>
          <w:sz w:val="24"/>
          <w:szCs w:val="24"/>
          <w:lang w:val="en-US"/>
        </w:rPr>
        <w:t xml:space="preserve"> </w:t>
      </w:r>
      <w:r w:rsidR="004B1CF5" w:rsidRPr="007F5A49">
        <w:rPr>
          <w:rFonts w:ascii="Book Antiqua" w:hAnsi="Book Antiqua" w:cs="Arial"/>
          <w:color w:val="000000" w:themeColor="text1"/>
          <w:kern w:val="24"/>
          <w:sz w:val="24"/>
          <w:szCs w:val="24"/>
          <w:lang w:val="en-US"/>
        </w:rPr>
        <w:t>and 4-hydroxynonenal.</w:t>
      </w:r>
      <w:r w:rsidR="00E42D68">
        <w:rPr>
          <w:rFonts w:ascii="Book Antiqua" w:hAnsi="Book Antiqua" w:cs="Arial"/>
          <w:color w:val="000000" w:themeColor="text1"/>
          <w:kern w:val="24"/>
          <w:sz w:val="24"/>
          <w:szCs w:val="24"/>
          <w:lang w:val="en-US"/>
        </w:rPr>
        <w:t xml:space="preserve"> HNE: </w:t>
      </w:r>
      <w:proofErr w:type="spellStart"/>
      <w:r w:rsidR="00E42D68">
        <w:rPr>
          <w:rFonts w:ascii="Book Antiqua" w:hAnsi="Book Antiqua" w:cs="Arial"/>
          <w:color w:val="000000" w:themeColor="text1"/>
          <w:kern w:val="24"/>
          <w:sz w:val="24"/>
          <w:szCs w:val="24"/>
          <w:lang w:val="en-US"/>
        </w:rPr>
        <w:t>Hydroxynonenal</w:t>
      </w:r>
      <w:proofErr w:type="spellEnd"/>
      <w:r w:rsidR="00E42D68">
        <w:rPr>
          <w:rFonts w:ascii="Book Antiqua" w:hAnsi="Book Antiqua" w:cs="Arial"/>
          <w:color w:val="000000" w:themeColor="text1"/>
          <w:kern w:val="24"/>
          <w:sz w:val="24"/>
          <w:szCs w:val="24"/>
          <w:lang w:val="en-US"/>
        </w:rPr>
        <w:t>; HSC: Hepatic stellate cell;</w:t>
      </w:r>
      <w:r w:rsidR="0047115D" w:rsidRPr="007F5A49">
        <w:rPr>
          <w:rFonts w:ascii="Book Antiqua" w:hAnsi="Book Antiqua" w:cs="Arial"/>
          <w:color w:val="000000" w:themeColor="text1"/>
          <w:kern w:val="24"/>
          <w:sz w:val="24"/>
          <w:szCs w:val="24"/>
          <w:lang w:val="en-US"/>
        </w:rPr>
        <w:t xml:space="preserve"> MDA</w:t>
      </w:r>
      <w:r w:rsidR="00E42D68">
        <w:rPr>
          <w:rFonts w:ascii="Book Antiqua" w:hAnsi="Book Antiqua" w:cs="Arial"/>
          <w:color w:val="000000" w:themeColor="text1"/>
          <w:kern w:val="24"/>
          <w:sz w:val="24"/>
          <w:szCs w:val="24"/>
          <w:lang w:val="en-US"/>
        </w:rPr>
        <w:t>: Malondialdehyde;</w:t>
      </w:r>
      <w:r w:rsidR="004025B8" w:rsidRPr="007F5A49">
        <w:rPr>
          <w:rFonts w:ascii="Book Antiqua" w:hAnsi="Book Antiqua" w:cs="Arial"/>
          <w:color w:val="000000" w:themeColor="text1"/>
          <w:kern w:val="24"/>
          <w:sz w:val="24"/>
          <w:szCs w:val="24"/>
          <w:lang w:val="en-US"/>
        </w:rPr>
        <w:t xml:space="preserve"> </w:t>
      </w:r>
      <w:r w:rsidR="0047115D" w:rsidRPr="007F5A49">
        <w:rPr>
          <w:rFonts w:ascii="Book Antiqua" w:hAnsi="Book Antiqua" w:cs="Arial"/>
          <w:color w:val="000000" w:themeColor="text1"/>
          <w:kern w:val="24"/>
          <w:sz w:val="24"/>
          <w:szCs w:val="24"/>
          <w:lang w:val="en-US"/>
        </w:rPr>
        <w:t>NF-</w:t>
      </w:r>
      <w:proofErr w:type="spellStart"/>
      <w:r w:rsidR="002502D5">
        <w:rPr>
          <w:rFonts w:ascii="Book Antiqua" w:hAnsi="Book Antiqua" w:cs="Arial"/>
          <w:color w:val="000000" w:themeColor="text1"/>
          <w:kern w:val="24"/>
          <w:sz w:val="24"/>
          <w:szCs w:val="24"/>
          <w:lang w:val="en-US"/>
        </w:rPr>
        <w:t>κ</w:t>
      </w:r>
      <w:r w:rsidR="0047115D" w:rsidRPr="007F5A49">
        <w:rPr>
          <w:rFonts w:ascii="Book Antiqua" w:hAnsi="Book Antiqua" w:cs="Arial"/>
          <w:color w:val="000000" w:themeColor="text1"/>
          <w:kern w:val="24"/>
          <w:sz w:val="24"/>
          <w:szCs w:val="24"/>
          <w:lang w:val="en-US"/>
        </w:rPr>
        <w:t>B</w:t>
      </w:r>
      <w:proofErr w:type="spellEnd"/>
      <w:r w:rsidR="00E42D68">
        <w:rPr>
          <w:rFonts w:ascii="Book Antiqua" w:hAnsi="Book Antiqua" w:cs="Arial"/>
          <w:color w:val="000000" w:themeColor="text1"/>
          <w:kern w:val="24"/>
          <w:sz w:val="24"/>
          <w:szCs w:val="24"/>
          <w:lang w:val="en-US"/>
        </w:rPr>
        <w:t>: Nuclear factor kappa B;</w:t>
      </w:r>
      <w:r w:rsidR="004025B8" w:rsidRPr="007F5A49">
        <w:rPr>
          <w:rFonts w:ascii="Book Antiqua" w:hAnsi="Book Antiqua" w:cs="Arial"/>
          <w:color w:val="000000" w:themeColor="text1"/>
          <w:kern w:val="24"/>
          <w:sz w:val="24"/>
          <w:szCs w:val="24"/>
          <w:lang w:val="en-US"/>
        </w:rPr>
        <w:t xml:space="preserve"> </w:t>
      </w:r>
      <w:r w:rsidR="0047115D" w:rsidRPr="007F5A49">
        <w:rPr>
          <w:rFonts w:ascii="Book Antiqua" w:hAnsi="Book Antiqua" w:cs="Arial"/>
          <w:color w:val="000000" w:themeColor="text1"/>
          <w:kern w:val="24"/>
          <w:sz w:val="24"/>
          <w:szCs w:val="24"/>
          <w:lang w:val="en-US"/>
        </w:rPr>
        <w:t>RBC</w:t>
      </w:r>
      <w:r w:rsidR="00E42D68">
        <w:rPr>
          <w:rFonts w:ascii="Book Antiqua" w:hAnsi="Book Antiqua" w:cs="Arial"/>
          <w:color w:val="000000" w:themeColor="text1"/>
          <w:kern w:val="24"/>
          <w:sz w:val="24"/>
          <w:szCs w:val="24"/>
          <w:lang w:val="en-US"/>
        </w:rPr>
        <w:t>s: Red blood cells;</w:t>
      </w:r>
      <w:r w:rsidR="004025B8" w:rsidRPr="007F5A49">
        <w:rPr>
          <w:rFonts w:ascii="Book Antiqua" w:hAnsi="Book Antiqua" w:cs="Arial"/>
          <w:color w:val="000000" w:themeColor="text1"/>
          <w:kern w:val="24"/>
          <w:sz w:val="24"/>
          <w:szCs w:val="24"/>
          <w:lang w:val="en-US"/>
        </w:rPr>
        <w:t xml:space="preserve"> </w:t>
      </w:r>
      <w:r w:rsidR="0047115D" w:rsidRPr="007F5A49">
        <w:rPr>
          <w:rFonts w:ascii="Book Antiqua" w:hAnsi="Book Antiqua" w:cs="Arial"/>
          <w:color w:val="000000" w:themeColor="text1"/>
          <w:kern w:val="24"/>
          <w:sz w:val="24"/>
          <w:szCs w:val="24"/>
          <w:lang w:val="en-US"/>
        </w:rPr>
        <w:t xml:space="preserve">ROS: </w:t>
      </w:r>
      <w:r w:rsidR="00E42D68">
        <w:rPr>
          <w:rFonts w:ascii="Book Antiqua" w:hAnsi="Book Antiqua" w:cs="Arial"/>
          <w:color w:val="000000" w:themeColor="text1"/>
          <w:kern w:val="24"/>
          <w:sz w:val="24"/>
          <w:szCs w:val="24"/>
          <w:lang w:val="en-US"/>
        </w:rPr>
        <w:t>Reactive oxygen species; TFR1: Transferrin receptor 1;</w:t>
      </w:r>
      <w:r w:rsidR="004025B8" w:rsidRPr="007F5A49">
        <w:rPr>
          <w:rFonts w:ascii="Book Antiqua" w:hAnsi="Book Antiqua" w:cs="Arial"/>
          <w:color w:val="000000" w:themeColor="text1"/>
          <w:kern w:val="24"/>
          <w:sz w:val="24"/>
          <w:szCs w:val="24"/>
          <w:lang w:val="en-US"/>
        </w:rPr>
        <w:t xml:space="preserve"> </w:t>
      </w:r>
      <w:r w:rsidR="0047115D" w:rsidRPr="007F5A49">
        <w:rPr>
          <w:rFonts w:ascii="Book Antiqua" w:hAnsi="Book Antiqua" w:cs="Arial"/>
          <w:color w:val="000000" w:themeColor="text1"/>
          <w:kern w:val="24"/>
          <w:sz w:val="24"/>
          <w:szCs w:val="24"/>
          <w:lang w:val="en-US"/>
        </w:rPr>
        <w:t>αSMA</w:t>
      </w:r>
      <w:r w:rsidR="00E42D68">
        <w:rPr>
          <w:rFonts w:ascii="Book Antiqua" w:hAnsi="Book Antiqua" w:cs="Arial"/>
          <w:color w:val="000000" w:themeColor="text1"/>
          <w:kern w:val="24"/>
          <w:sz w:val="24"/>
          <w:szCs w:val="24"/>
          <w:lang w:val="en-US"/>
        </w:rPr>
        <w:t xml:space="preserve">: Alpha smooth muscle actin; </w:t>
      </w:r>
      <w:r w:rsidR="00331A72">
        <w:rPr>
          <w:rFonts w:ascii="Book Antiqua" w:hAnsi="Book Antiqua" w:cs="Arial"/>
          <w:color w:val="000000" w:themeColor="text1"/>
          <w:kern w:val="24"/>
          <w:sz w:val="24"/>
          <w:szCs w:val="24"/>
          <w:lang w:val="en-US"/>
        </w:rPr>
        <w:t xml:space="preserve">ECM: Extracellular matrix; </w:t>
      </w:r>
      <w:r w:rsidR="00331A72" w:rsidRPr="007F5A49">
        <w:rPr>
          <w:rFonts w:ascii="Book Antiqua" w:hAnsi="Book Antiqua" w:cs="Arial"/>
          <w:color w:val="000000" w:themeColor="text1"/>
          <w:kern w:val="24"/>
          <w:sz w:val="24"/>
          <w:szCs w:val="24"/>
          <w:lang w:val="en-US"/>
        </w:rPr>
        <w:t>TGF-β</w:t>
      </w:r>
      <w:r w:rsidR="00331A72">
        <w:rPr>
          <w:rFonts w:ascii="Book Antiqua" w:hAnsi="Book Antiqua" w:cs="Arial"/>
          <w:color w:val="000000" w:themeColor="text1"/>
          <w:kern w:val="24"/>
          <w:sz w:val="24"/>
          <w:szCs w:val="24"/>
          <w:lang w:val="en-US"/>
        </w:rPr>
        <w:t>: T</w:t>
      </w:r>
      <w:r w:rsidR="00331A72" w:rsidRPr="007F5A49">
        <w:rPr>
          <w:rFonts w:ascii="Book Antiqua" w:hAnsi="Book Antiqua" w:cs="Arial"/>
          <w:color w:val="000000" w:themeColor="text1"/>
          <w:kern w:val="24"/>
          <w:sz w:val="24"/>
          <w:szCs w:val="24"/>
          <w:lang w:val="en-US"/>
        </w:rPr>
        <w:t>ransforming growth factors beta</w:t>
      </w:r>
      <w:r w:rsidR="00331A72">
        <w:rPr>
          <w:rFonts w:ascii="Book Antiqua" w:hAnsi="Book Antiqua" w:cs="Arial"/>
          <w:color w:val="000000" w:themeColor="text1"/>
          <w:kern w:val="24"/>
          <w:sz w:val="24"/>
          <w:szCs w:val="24"/>
          <w:lang w:val="en-US"/>
        </w:rPr>
        <w:t>.</w:t>
      </w:r>
    </w:p>
    <w:p w14:paraId="3FC3A31C" w14:textId="29E5269A" w:rsidR="001E1757" w:rsidRDefault="001E1757">
      <w:pPr>
        <w:rPr>
          <w:rFonts w:ascii="Book Antiqua" w:hAnsi="Book Antiqua" w:cs="Arial"/>
          <w:sz w:val="24"/>
          <w:szCs w:val="24"/>
          <w:lang w:val="en-US"/>
        </w:rPr>
      </w:pPr>
      <w:r>
        <w:rPr>
          <w:rFonts w:ascii="Book Antiqua" w:hAnsi="Book Antiqua" w:cs="Arial"/>
          <w:sz w:val="24"/>
          <w:szCs w:val="24"/>
          <w:lang w:val="en-US"/>
        </w:rPr>
        <w:br w:type="page"/>
      </w:r>
    </w:p>
    <w:p w14:paraId="6A96139F" w14:textId="3F7EF1CA" w:rsidR="002168E1" w:rsidRPr="007F5A49" w:rsidRDefault="001E1757" w:rsidP="007F5A49">
      <w:pPr>
        <w:adjustRightInd w:val="0"/>
        <w:snapToGrid w:val="0"/>
        <w:spacing w:after="0" w:line="360" w:lineRule="auto"/>
        <w:jc w:val="both"/>
        <w:rPr>
          <w:rFonts w:ascii="Book Antiqua" w:hAnsi="Book Antiqua" w:cs="Arial"/>
          <w:sz w:val="24"/>
          <w:szCs w:val="24"/>
          <w:lang w:val="en-US"/>
        </w:rPr>
      </w:pPr>
      <w:r w:rsidRPr="001E1757">
        <w:rPr>
          <w:rFonts w:ascii="Book Antiqua" w:hAnsi="Book Antiqua" w:cs="Arial"/>
          <w:noProof/>
          <w:sz w:val="24"/>
          <w:szCs w:val="24"/>
          <w:lang w:val="en-US" w:eastAsia="zh-CN"/>
        </w:rPr>
        <w:lastRenderedPageBreak/>
        <w:drawing>
          <wp:inline distT="0" distB="0" distL="0" distR="0" wp14:anchorId="040E9EAA" wp14:editId="23819286">
            <wp:extent cx="5731510" cy="4298950"/>
            <wp:effectExtent l="0" t="0" r="889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298950"/>
                    </a:xfrm>
                    <a:prstGeom prst="rect">
                      <a:avLst/>
                    </a:prstGeom>
                  </pic:spPr>
                </pic:pic>
              </a:graphicData>
            </a:graphic>
          </wp:inline>
        </w:drawing>
      </w:r>
    </w:p>
    <w:p w14:paraId="5E86C6EC" w14:textId="253617B2" w:rsidR="006A10FA" w:rsidRPr="001E1757" w:rsidRDefault="008E1EBB" w:rsidP="007F5A49">
      <w:pPr>
        <w:adjustRightInd w:val="0"/>
        <w:snapToGrid w:val="0"/>
        <w:spacing w:after="0" w:line="360" w:lineRule="auto"/>
        <w:jc w:val="both"/>
        <w:rPr>
          <w:rFonts w:ascii="Book Antiqua" w:eastAsia="Times New Roman" w:hAnsi="Book Antiqua" w:cs="Arial"/>
          <w:sz w:val="24"/>
          <w:szCs w:val="24"/>
          <w:lang w:val="en-US"/>
        </w:rPr>
      </w:pPr>
      <w:r>
        <w:rPr>
          <w:rFonts w:ascii="Book Antiqua" w:hAnsi="Book Antiqua" w:cs="Arial"/>
          <w:b/>
          <w:bCs/>
          <w:color w:val="000000" w:themeColor="text1"/>
          <w:kern w:val="24"/>
          <w:sz w:val="24"/>
          <w:szCs w:val="24"/>
          <w:lang w:val="en-US"/>
        </w:rPr>
        <w:t>Figure</w:t>
      </w:r>
      <w:r w:rsidR="00B14495" w:rsidRPr="007F5A49">
        <w:rPr>
          <w:rFonts w:ascii="Book Antiqua" w:hAnsi="Book Antiqua" w:cs="Arial"/>
          <w:b/>
          <w:bCs/>
          <w:color w:val="000000" w:themeColor="text1"/>
          <w:kern w:val="24"/>
          <w:sz w:val="24"/>
          <w:szCs w:val="24"/>
          <w:lang w:val="en-US"/>
        </w:rPr>
        <w:t xml:space="preserve"> 2 Schematic of mechanistic cross-connection between the </w:t>
      </w:r>
      <w:r w:rsidR="00733AAE" w:rsidRPr="007F5A49">
        <w:rPr>
          <w:rFonts w:ascii="Book Antiqua" w:hAnsi="Book Antiqua" w:cs="Arial"/>
          <w:b/>
          <w:bCs/>
          <w:color w:val="000000" w:themeColor="text1"/>
          <w:kern w:val="24"/>
          <w:sz w:val="24"/>
          <w:szCs w:val="24"/>
          <w:lang w:val="en-US"/>
        </w:rPr>
        <w:t>transforming growth factor</w:t>
      </w:r>
      <w:r w:rsidR="001E1757">
        <w:rPr>
          <w:rFonts w:ascii="Book Antiqua" w:hAnsi="Book Antiqua" w:cs="Arial"/>
          <w:b/>
          <w:bCs/>
          <w:color w:val="000000" w:themeColor="text1"/>
          <w:kern w:val="24"/>
          <w:sz w:val="24"/>
          <w:szCs w:val="24"/>
          <w:lang w:val="en-US"/>
        </w:rPr>
        <w:t xml:space="preserve"> beta</w:t>
      </w:r>
      <w:r w:rsidR="00B14495" w:rsidRPr="007F5A49">
        <w:rPr>
          <w:rFonts w:ascii="Book Antiqua" w:hAnsi="Book Antiqua" w:cs="Arial"/>
          <w:b/>
          <w:bCs/>
          <w:color w:val="000000" w:themeColor="text1"/>
          <w:kern w:val="24"/>
          <w:sz w:val="24"/>
          <w:szCs w:val="24"/>
          <w:lang w:val="en-US"/>
        </w:rPr>
        <w:t xml:space="preserve"> pathway and</w:t>
      </w:r>
      <w:r w:rsidR="00733AAE" w:rsidRPr="007F5A49">
        <w:rPr>
          <w:rFonts w:ascii="Book Antiqua" w:hAnsi="Book Antiqua" w:cs="Arial"/>
          <w:b/>
          <w:bCs/>
          <w:color w:val="000000" w:themeColor="text1"/>
          <w:kern w:val="24"/>
          <w:sz w:val="24"/>
          <w:szCs w:val="24"/>
          <w:lang w:val="en-US"/>
        </w:rPr>
        <w:t xml:space="preserve"> bone morphogenetic protein</w:t>
      </w:r>
      <w:r w:rsidR="00B14495" w:rsidRPr="007F5A49">
        <w:rPr>
          <w:rFonts w:ascii="Book Antiqua" w:hAnsi="Book Antiqua" w:cs="Arial"/>
          <w:b/>
          <w:bCs/>
          <w:color w:val="000000" w:themeColor="text1"/>
          <w:kern w:val="24"/>
          <w:sz w:val="24"/>
          <w:szCs w:val="24"/>
          <w:lang w:val="en-US"/>
        </w:rPr>
        <w:t xml:space="preserve"> </w:t>
      </w:r>
      <w:r w:rsidR="001E1757">
        <w:rPr>
          <w:rFonts w:ascii="Book Antiqua" w:hAnsi="Book Antiqua" w:cs="Arial"/>
          <w:b/>
          <w:bCs/>
          <w:color w:val="000000" w:themeColor="text1"/>
          <w:kern w:val="24"/>
          <w:sz w:val="24"/>
          <w:szCs w:val="24"/>
          <w:lang w:val="en-US"/>
        </w:rPr>
        <w:t>signaling.</w:t>
      </w:r>
      <w:r w:rsidR="00B14495" w:rsidRPr="007F5A49">
        <w:rPr>
          <w:rFonts w:ascii="Book Antiqua" w:hAnsi="Book Antiqua" w:cs="Arial"/>
          <w:b/>
          <w:bCs/>
          <w:color w:val="000000" w:themeColor="text1"/>
          <w:kern w:val="24"/>
          <w:sz w:val="24"/>
          <w:szCs w:val="24"/>
          <w:lang w:val="en-US"/>
        </w:rPr>
        <w:t xml:space="preserve"> </w:t>
      </w:r>
      <w:r w:rsidR="00B14495" w:rsidRPr="007F5A49">
        <w:rPr>
          <w:rFonts w:ascii="Book Antiqua" w:hAnsi="Book Antiqua" w:cs="Arial"/>
          <w:color w:val="000000" w:themeColor="text1"/>
          <w:kern w:val="24"/>
          <w:sz w:val="24"/>
          <w:szCs w:val="24"/>
          <w:lang w:val="en-US"/>
        </w:rPr>
        <w:t xml:space="preserve">Shared </w:t>
      </w:r>
      <w:proofErr w:type="spellStart"/>
      <w:r w:rsidR="00B14495" w:rsidRPr="007F5A49">
        <w:rPr>
          <w:rFonts w:ascii="Book Antiqua" w:hAnsi="Book Antiqua" w:cs="Arial"/>
          <w:color w:val="000000" w:themeColor="text1"/>
          <w:kern w:val="24"/>
          <w:sz w:val="24"/>
          <w:szCs w:val="24"/>
          <w:lang w:val="en-US"/>
        </w:rPr>
        <w:t>signalling</w:t>
      </w:r>
      <w:proofErr w:type="spellEnd"/>
      <w:r w:rsidR="00B14495" w:rsidRPr="007F5A49">
        <w:rPr>
          <w:rFonts w:ascii="Book Antiqua" w:hAnsi="Book Antiqua" w:cs="Arial"/>
          <w:color w:val="000000" w:themeColor="text1"/>
          <w:kern w:val="24"/>
          <w:sz w:val="24"/>
          <w:szCs w:val="24"/>
          <w:lang w:val="en-US"/>
        </w:rPr>
        <w:t xml:space="preserve"> components between </w:t>
      </w:r>
      <w:r w:rsidR="001E1757" w:rsidRPr="001E1757">
        <w:rPr>
          <w:rFonts w:ascii="Book Antiqua" w:hAnsi="Book Antiqua" w:cs="Arial"/>
          <w:color w:val="000000" w:themeColor="text1"/>
          <w:kern w:val="24"/>
          <w:sz w:val="24"/>
          <w:szCs w:val="24"/>
          <w:lang w:val="en-US"/>
        </w:rPr>
        <w:t xml:space="preserve">transforming growth factor beta </w:t>
      </w:r>
      <w:r w:rsidR="001E1757">
        <w:rPr>
          <w:rFonts w:ascii="Book Antiqua" w:hAnsi="Book Antiqua" w:cs="Arial"/>
          <w:color w:val="000000" w:themeColor="text1"/>
          <w:kern w:val="24"/>
          <w:sz w:val="24"/>
          <w:szCs w:val="24"/>
          <w:lang w:val="en-US"/>
        </w:rPr>
        <w:t>(</w:t>
      </w:r>
      <w:r w:rsidR="00B14495" w:rsidRPr="007F5A49">
        <w:rPr>
          <w:rFonts w:ascii="Book Antiqua" w:hAnsi="Book Antiqua" w:cs="Arial"/>
          <w:color w:val="000000" w:themeColor="text1"/>
          <w:kern w:val="24"/>
          <w:sz w:val="24"/>
          <w:szCs w:val="24"/>
          <w:lang w:val="en-US"/>
        </w:rPr>
        <w:t>TGF-β</w:t>
      </w:r>
      <w:r w:rsidR="001E1757">
        <w:rPr>
          <w:rFonts w:ascii="Book Antiqua" w:hAnsi="Book Antiqua" w:cs="Arial"/>
          <w:color w:val="000000" w:themeColor="text1"/>
          <w:kern w:val="24"/>
          <w:sz w:val="24"/>
          <w:szCs w:val="24"/>
          <w:lang w:val="en-US"/>
        </w:rPr>
        <w:t>)</w:t>
      </w:r>
      <w:r w:rsidR="00B14495" w:rsidRPr="007F5A49">
        <w:rPr>
          <w:rFonts w:ascii="Book Antiqua" w:hAnsi="Book Antiqua" w:cs="Arial"/>
          <w:color w:val="000000" w:themeColor="text1"/>
          <w:kern w:val="24"/>
          <w:sz w:val="24"/>
          <w:szCs w:val="24"/>
          <w:lang w:val="en-US"/>
        </w:rPr>
        <w:t xml:space="preserve"> (fibrosis-related) and </w:t>
      </w:r>
      <w:r w:rsidR="001E1757" w:rsidRPr="001E1757">
        <w:rPr>
          <w:rFonts w:ascii="Book Antiqua" w:hAnsi="Book Antiqua" w:cs="Arial"/>
          <w:color w:val="000000" w:themeColor="text1"/>
          <w:kern w:val="24"/>
          <w:sz w:val="24"/>
          <w:szCs w:val="24"/>
          <w:lang w:val="en-US"/>
        </w:rPr>
        <w:t xml:space="preserve">bone morphogenetic protein </w:t>
      </w:r>
      <w:r w:rsidR="00B14495" w:rsidRPr="007F5A49">
        <w:rPr>
          <w:rFonts w:ascii="Book Antiqua" w:hAnsi="Book Antiqua" w:cs="Arial"/>
          <w:color w:val="000000" w:themeColor="text1"/>
          <w:kern w:val="24"/>
          <w:sz w:val="24"/>
          <w:szCs w:val="24"/>
          <w:lang w:val="en-US"/>
        </w:rPr>
        <w:t xml:space="preserve">(iron-related) pathways have been shown in </w:t>
      </w:r>
      <w:r w:rsidR="001E1757" w:rsidRPr="007F5A49">
        <w:rPr>
          <w:rFonts w:ascii="Book Antiqua" w:hAnsi="Book Antiqua" w:cs="Arial"/>
          <w:bCs/>
          <w:color w:val="000000" w:themeColor="text1"/>
          <w:kern w:val="24"/>
          <w:sz w:val="24"/>
          <w:szCs w:val="24"/>
          <w:lang w:val="en-US"/>
        </w:rPr>
        <w:t>hepatic stellate cell</w:t>
      </w:r>
      <w:r w:rsidR="00B14495" w:rsidRPr="007F5A49">
        <w:rPr>
          <w:rFonts w:ascii="Book Antiqua" w:hAnsi="Book Antiqua" w:cs="Arial"/>
          <w:color w:val="000000" w:themeColor="text1"/>
          <w:kern w:val="24"/>
          <w:sz w:val="24"/>
          <w:szCs w:val="24"/>
          <w:lang w:val="en-US"/>
        </w:rPr>
        <w:t xml:space="preserve">s and hepatocytes. </w:t>
      </w:r>
      <w:r w:rsidR="005B3A18">
        <w:rPr>
          <w:rFonts w:ascii="Book Antiqua" w:eastAsia="Times New Roman" w:hAnsi="Book Antiqua" w:cs="Arial"/>
          <w:color w:val="000000" w:themeColor="text1"/>
          <w:kern w:val="24"/>
          <w:sz w:val="24"/>
          <w:szCs w:val="24"/>
          <w:lang w:val="en-US"/>
        </w:rPr>
        <w:t>Previous study</w:t>
      </w:r>
      <w:r w:rsidR="00B14495" w:rsidRPr="007F5A49">
        <w:rPr>
          <w:rFonts w:ascii="Book Antiqua" w:eastAsia="Times New Roman" w:hAnsi="Book Antiqua" w:cs="Arial"/>
          <w:color w:val="000000" w:themeColor="text1"/>
          <w:kern w:val="24"/>
          <w:sz w:val="24"/>
          <w:szCs w:val="24"/>
          <w:lang w:val="en-US"/>
        </w:rPr>
        <w:t xml:space="preserve"> demonstrated </w:t>
      </w:r>
      <w:bookmarkStart w:id="156" w:name="_Hlk533830237"/>
      <w:r w:rsidR="00B14495" w:rsidRPr="007F5A49">
        <w:rPr>
          <w:rFonts w:ascii="Book Antiqua" w:hAnsi="Book Antiqua" w:cs="Arial"/>
          <w:color w:val="000000" w:themeColor="text1"/>
          <w:kern w:val="24"/>
          <w:sz w:val="24"/>
          <w:szCs w:val="24"/>
          <w:lang w:val="en-US"/>
        </w:rPr>
        <w:t>TGF-β</w:t>
      </w:r>
      <w:bookmarkEnd w:id="156"/>
      <w:r w:rsidR="00B14495" w:rsidRPr="007F5A49">
        <w:rPr>
          <w:rFonts w:ascii="Book Antiqua" w:hAnsi="Book Antiqua" w:cs="Arial"/>
          <w:color w:val="000000" w:themeColor="text1"/>
          <w:kern w:val="24"/>
          <w:sz w:val="24"/>
          <w:szCs w:val="24"/>
          <w:lang w:val="en-US"/>
        </w:rPr>
        <w:t xml:space="preserve">-induced </w:t>
      </w:r>
      <w:r w:rsidR="00B14495" w:rsidRPr="007F5A49">
        <w:rPr>
          <w:rFonts w:ascii="Book Antiqua" w:eastAsia="Times New Roman" w:hAnsi="Book Antiqua" w:cs="Arial"/>
          <w:color w:val="000000" w:themeColor="text1"/>
          <w:kern w:val="24"/>
          <w:sz w:val="24"/>
          <w:szCs w:val="24"/>
          <w:lang w:val="en-US"/>
        </w:rPr>
        <w:t>hepcidin expression in huma</w:t>
      </w:r>
      <w:r w:rsidR="001E1757">
        <w:rPr>
          <w:rFonts w:ascii="Book Antiqua" w:eastAsia="Times New Roman" w:hAnsi="Book Antiqua" w:cs="Arial"/>
          <w:color w:val="000000" w:themeColor="text1"/>
          <w:kern w:val="24"/>
          <w:sz w:val="24"/>
          <w:szCs w:val="24"/>
          <w:lang w:val="en-US"/>
        </w:rPr>
        <w:t xml:space="preserve">n macrophages, while Chen </w:t>
      </w:r>
      <w:r w:rsidR="001E1757" w:rsidRPr="008041A6">
        <w:rPr>
          <w:rFonts w:ascii="Book Antiqua" w:eastAsia="Times New Roman" w:hAnsi="Book Antiqua" w:cs="Arial"/>
          <w:i/>
          <w:color w:val="000000" w:themeColor="text1"/>
          <w:kern w:val="24"/>
          <w:sz w:val="24"/>
          <w:szCs w:val="24"/>
          <w:lang w:val="en-US"/>
        </w:rPr>
        <w:t xml:space="preserve">et </w:t>
      </w:r>
      <w:proofErr w:type="gramStart"/>
      <w:r w:rsidR="001E1757" w:rsidRPr="008041A6">
        <w:rPr>
          <w:rFonts w:ascii="Book Antiqua" w:eastAsia="Times New Roman" w:hAnsi="Book Antiqua" w:cs="Arial"/>
          <w:i/>
          <w:color w:val="000000" w:themeColor="text1"/>
          <w:kern w:val="24"/>
          <w:sz w:val="24"/>
          <w:szCs w:val="24"/>
          <w:lang w:val="en-US"/>
        </w:rPr>
        <w:t>al</w:t>
      </w:r>
      <w:r w:rsidR="008041A6">
        <w:rPr>
          <w:rFonts w:ascii="Book Antiqua" w:eastAsia="Times New Roman" w:hAnsi="Book Antiqua" w:cs="Arial"/>
          <w:color w:val="000000" w:themeColor="text1"/>
          <w:kern w:val="24"/>
          <w:sz w:val="24"/>
          <w:szCs w:val="24"/>
          <w:vertAlign w:val="superscript"/>
          <w:lang w:val="en-US"/>
        </w:rPr>
        <w:t>[</w:t>
      </w:r>
      <w:proofErr w:type="gramEnd"/>
      <w:r w:rsidR="008041A6">
        <w:rPr>
          <w:rFonts w:ascii="Book Antiqua" w:eastAsia="Times New Roman" w:hAnsi="Book Antiqua" w:cs="Arial"/>
          <w:color w:val="000000" w:themeColor="text1"/>
          <w:kern w:val="24"/>
          <w:sz w:val="24"/>
          <w:szCs w:val="24"/>
          <w:vertAlign w:val="superscript"/>
          <w:lang w:val="en-US"/>
        </w:rPr>
        <w:t>44]</w:t>
      </w:r>
      <w:r w:rsidR="00B14495" w:rsidRPr="007F5A49">
        <w:rPr>
          <w:rFonts w:ascii="Book Antiqua" w:eastAsia="Times New Roman" w:hAnsi="Book Antiqua" w:cs="Arial"/>
          <w:color w:val="000000" w:themeColor="text1"/>
          <w:kern w:val="24"/>
          <w:sz w:val="24"/>
          <w:szCs w:val="24"/>
          <w:lang w:val="en-US"/>
        </w:rPr>
        <w:t xml:space="preserve"> showed that this occurred through TGF-β-RII/RI in mouse and human hepatocytes </w:t>
      </w:r>
      <w:r w:rsidR="00B14495" w:rsidRPr="008041A6">
        <w:rPr>
          <w:rFonts w:ascii="Book Antiqua" w:eastAsia="Times New Roman" w:hAnsi="Book Antiqua" w:cs="Arial"/>
          <w:i/>
          <w:color w:val="000000" w:themeColor="text1"/>
          <w:kern w:val="24"/>
          <w:sz w:val="24"/>
          <w:szCs w:val="24"/>
          <w:lang w:val="en-US"/>
        </w:rPr>
        <w:t>via</w:t>
      </w:r>
      <w:r w:rsidR="00B14495" w:rsidRPr="007F5A49">
        <w:rPr>
          <w:rFonts w:ascii="Book Antiqua" w:eastAsia="Times New Roman" w:hAnsi="Book Antiqua" w:cs="Arial"/>
          <w:color w:val="000000" w:themeColor="text1"/>
          <w:kern w:val="24"/>
          <w:sz w:val="24"/>
          <w:szCs w:val="24"/>
          <w:lang w:val="en-US"/>
        </w:rPr>
        <w:t xml:space="preserve"> the non-canonical pathway involving </w:t>
      </w:r>
      <w:r w:rsidR="001E1757" w:rsidRPr="007F5A49">
        <w:rPr>
          <w:rFonts w:ascii="Book Antiqua" w:hAnsi="Book Antiqua" w:cs="Arial"/>
          <w:sz w:val="24"/>
          <w:szCs w:val="24"/>
          <w:lang w:val="en-US"/>
        </w:rPr>
        <w:t>small m</w:t>
      </w:r>
      <w:r w:rsidR="001E1757" w:rsidRPr="007F5A49">
        <w:rPr>
          <w:rFonts w:ascii="Book Antiqua" w:hAnsi="Book Antiqua"/>
          <w:sz w:val="24"/>
          <w:szCs w:val="24"/>
          <w:lang w:val="en-US"/>
        </w:rPr>
        <w:t>others against decapentaplegic protein</w:t>
      </w:r>
      <w:r w:rsidR="00B14495" w:rsidRPr="007F5A49">
        <w:rPr>
          <w:rFonts w:ascii="Book Antiqua" w:eastAsia="Times New Roman" w:hAnsi="Book Antiqua" w:cs="Arial"/>
          <w:color w:val="000000" w:themeColor="text1"/>
          <w:kern w:val="24"/>
          <w:sz w:val="24"/>
          <w:szCs w:val="24"/>
          <w:lang w:val="en-US"/>
        </w:rPr>
        <w:t>-1/5/8 phosphorylation.</w:t>
      </w:r>
      <w:r w:rsidR="00920C8C" w:rsidRPr="007F5A49">
        <w:rPr>
          <w:rFonts w:ascii="Book Antiqua" w:eastAsia="Times New Roman" w:hAnsi="Book Antiqua" w:cs="Arial"/>
          <w:sz w:val="24"/>
          <w:szCs w:val="24"/>
          <w:lang w:val="en-US"/>
        </w:rPr>
        <w:t xml:space="preserve"> </w:t>
      </w:r>
      <w:r w:rsidR="00920C8C" w:rsidRPr="007F5A49">
        <w:rPr>
          <w:rFonts w:ascii="Book Antiqua" w:hAnsi="Book Antiqua" w:cs="Arial"/>
          <w:bCs/>
          <w:color w:val="000000" w:themeColor="text1"/>
          <w:kern w:val="24"/>
          <w:sz w:val="24"/>
          <w:szCs w:val="24"/>
          <w:lang w:val="en-US"/>
        </w:rPr>
        <w:t>ALK</w:t>
      </w:r>
      <w:r w:rsidR="00920C8C" w:rsidRPr="007F5A49">
        <w:rPr>
          <w:rFonts w:ascii="Book Antiqua" w:hAnsi="Book Antiqua"/>
          <w:sz w:val="24"/>
          <w:szCs w:val="24"/>
          <w:lang w:val="en-US"/>
        </w:rPr>
        <w:t xml:space="preserve">: </w:t>
      </w:r>
      <w:r w:rsidR="001E1757">
        <w:rPr>
          <w:rStyle w:val="st"/>
          <w:rFonts w:ascii="Book Antiqua" w:hAnsi="Book Antiqua"/>
          <w:sz w:val="24"/>
          <w:szCs w:val="24"/>
          <w:lang w:val="en-US"/>
        </w:rPr>
        <w:t>Activin receptor-like kinase;</w:t>
      </w:r>
      <w:r w:rsidR="00920C8C" w:rsidRPr="007F5A49">
        <w:rPr>
          <w:rStyle w:val="st"/>
          <w:rFonts w:ascii="Book Antiqua" w:hAnsi="Book Antiqua"/>
          <w:sz w:val="24"/>
          <w:szCs w:val="24"/>
          <w:lang w:val="en-US"/>
        </w:rPr>
        <w:t xml:space="preserve"> </w:t>
      </w:r>
      <w:r w:rsidR="00920C8C" w:rsidRPr="007F5A49">
        <w:rPr>
          <w:rFonts w:ascii="Book Antiqua" w:hAnsi="Book Antiqua" w:cs="Arial"/>
          <w:bCs/>
          <w:color w:val="000000" w:themeColor="text1"/>
          <w:kern w:val="24"/>
          <w:sz w:val="24"/>
          <w:szCs w:val="24"/>
          <w:lang w:val="en-US"/>
        </w:rPr>
        <w:t xml:space="preserve">BMPR: </w:t>
      </w:r>
      <w:r w:rsidR="001E1757">
        <w:rPr>
          <w:rStyle w:val="st"/>
          <w:rFonts w:ascii="Book Antiqua" w:hAnsi="Book Antiqua"/>
          <w:sz w:val="24"/>
          <w:szCs w:val="24"/>
          <w:lang w:val="en-US"/>
        </w:rPr>
        <w:t>B</w:t>
      </w:r>
      <w:r w:rsidR="00920C8C" w:rsidRPr="007F5A49">
        <w:rPr>
          <w:rStyle w:val="st"/>
          <w:rFonts w:ascii="Book Antiqua" w:hAnsi="Book Antiqua"/>
          <w:sz w:val="24"/>
          <w:szCs w:val="24"/>
          <w:lang w:val="en-US"/>
        </w:rPr>
        <w:t>one</w:t>
      </w:r>
      <w:r w:rsidR="001E1757">
        <w:rPr>
          <w:rStyle w:val="st"/>
          <w:rFonts w:ascii="Book Antiqua" w:hAnsi="Book Antiqua"/>
          <w:sz w:val="24"/>
          <w:szCs w:val="24"/>
          <w:lang w:val="en-US"/>
        </w:rPr>
        <w:t xml:space="preserve"> morphogenetic protein receptor;</w:t>
      </w:r>
      <w:r w:rsidR="00920C8C" w:rsidRPr="007F5A49">
        <w:rPr>
          <w:rStyle w:val="st"/>
          <w:rFonts w:ascii="Book Antiqua" w:hAnsi="Book Antiqua"/>
          <w:sz w:val="24"/>
          <w:szCs w:val="24"/>
          <w:lang w:val="en-US"/>
        </w:rPr>
        <w:t xml:space="preserve"> </w:t>
      </w:r>
      <w:r w:rsidR="001E1757">
        <w:rPr>
          <w:rFonts w:ascii="Book Antiqua" w:hAnsi="Book Antiqua" w:cs="Arial"/>
          <w:bCs/>
          <w:color w:val="000000" w:themeColor="text1"/>
          <w:kern w:val="24"/>
          <w:sz w:val="24"/>
          <w:szCs w:val="24"/>
          <w:lang w:val="en-US"/>
        </w:rPr>
        <w:t xml:space="preserve">HFE: High iron protein; HSC: Hepatic stellate cell; </w:t>
      </w:r>
      <w:proofErr w:type="spellStart"/>
      <w:r w:rsidR="001E1757">
        <w:rPr>
          <w:rFonts w:ascii="Book Antiqua" w:hAnsi="Book Antiqua" w:cs="Arial"/>
          <w:bCs/>
          <w:color w:val="000000" w:themeColor="text1"/>
          <w:kern w:val="24"/>
          <w:sz w:val="24"/>
          <w:szCs w:val="24"/>
          <w:lang w:val="en-US"/>
        </w:rPr>
        <w:t>mHJV</w:t>
      </w:r>
      <w:proofErr w:type="spellEnd"/>
      <w:r w:rsidR="001E1757">
        <w:rPr>
          <w:rFonts w:ascii="Book Antiqua" w:hAnsi="Book Antiqua" w:cs="Arial"/>
          <w:bCs/>
          <w:color w:val="000000" w:themeColor="text1"/>
          <w:kern w:val="24"/>
          <w:sz w:val="24"/>
          <w:szCs w:val="24"/>
          <w:lang w:val="en-US"/>
        </w:rPr>
        <w:t>: M</w:t>
      </w:r>
      <w:r w:rsidR="00920C8C" w:rsidRPr="007F5A49">
        <w:rPr>
          <w:rFonts w:ascii="Book Antiqua" w:hAnsi="Book Antiqua" w:cs="Arial"/>
          <w:bCs/>
          <w:color w:val="000000" w:themeColor="text1"/>
          <w:kern w:val="24"/>
          <w:sz w:val="24"/>
          <w:szCs w:val="24"/>
          <w:lang w:val="en-US"/>
        </w:rPr>
        <w:t>embrane-bound h</w:t>
      </w:r>
      <w:r w:rsidR="00920C8C" w:rsidRPr="007F5A49">
        <w:rPr>
          <w:rStyle w:val="st"/>
          <w:rFonts w:ascii="Book Antiqua" w:hAnsi="Book Antiqua"/>
          <w:sz w:val="24"/>
          <w:szCs w:val="24"/>
          <w:lang w:val="en-US"/>
        </w:rPr>
        <w:t xml:space="preserve">emojuvelin </w:t>
      </w:r>
      <w:r w:rsidR="001E1757">
        <w:rPr>
          <w:rStyle w:val="st"/>
          <w:rFonts w:ascii="Book Antiqua" w:hAnsi="Book Antiqua"/>
          <w:sz w:val="24"/>
          <w:szCs w:val="24"/>
          <w:lang w:val="en-US"/>
        </w:rPr>
        <w:t>protein;</w:t>
      </w:r>
      <w:r w:rsidR="00920C8C" w:rsidRPr="007F5A49">
        <w:rPr>
          <w:rStyle w:val="st"/>
          <w:rFonts w:ascii="Book Antiqua" w:hAnsi="Book Antiqua"/>
          <w:sz w:val="24"/>
          <w:szCs w:val="24"/>
          <w:lang w:val="en-US"/>
        </w:rPr>
        <w:t xml:space="preserve"> </w:t>
      </w:r>
      <w:r w:rsidR="00920C8C" w:rsidRPr="007F5A49">
        <w:rPr>
          <w:rFonts w:ascii="Book Antiqua" w:hAnsi="Book Antiqua" w:cs="Arial"/>
          <w:sz w:val="24"/>
          <w:szCs w:val="24"/>
          <w:lang w:val="en-US"/>
        </w:rPr>
        <w:t>P</w:t>
      </w:r>
      <w:r w:rsidR="00A71BF1" w:rsidRPr="007F5A49">
        <w:rPr>
          <w:rFonts w:ascii="Book Antiqua" w:hAnsi="Book Antiqua" w:cs="Arial"/>
          <w:sz w:val="24"/>
          <w:szCs w:val="24"/>
          <w:lang w:val="en-US"/>
        </w:rPr>
        <w:t xml:space="preserve">: </w:t>
      </w:r>
      <w:r w:rsidR="001E1757">
        <w:rPr>
          <w:rFonts w:ascii="Book Antiqua" w:hAnsi="Book Antiqua" w:cs="Arial"/>
          <w:sz w:val="24"/>
          <w:szCs w:val="24"/>
          <w:lang w:val="en-US"/>
        </w:rPr>
        <w:t>Phosphorylation; SMAD: S</w:t>
      </w:r>
      <w:r w:rsidR="00A71BF1" w:rsidRPr="007F5A49">
        <w:rPr>
          <w:rFonts w:ascii="Book Antiqua" w:hAnsi="Book Antiqua" w:cs="Arial"/>
          <w:sz w:val="24"/>
          <w:szCs w:val="24"/>
          <w:lang w:val="en-US"/>
        </w:rPr>
        <w:t>mall m</w:t>
      </w:r>
      <w:r w:rsidR="00A71BF1" w:rsidRPr="007F5A49">
        <w:rPr>
          <w:rFonts w:ascii="Book Antiqua" w:hAnsi="Book Antiqua"/>
          <w:sz w:val="24"/>
          <w:szCs w:val="24"/>
          <w:lang w:val="en-US"/>
        </w:rPr>
        <w:t>others against decapentaplegic protein</w:t>
      </w:r>
      <w:r w:rsidR="001E1757">
        <w:rPr>
          <w:rFonts w:ascii="Book Antiqua" w:hAnsi="Book Antiqua"/>
          <w:sz w:val="24"/>
          <w:szCs w:val="24"/>
          <w:lang w:val="en-US"/>
        </w:rPr>
        <w:t>;</w:t>
      </w:r>
      <w:r w:rsidR="00A71BF1" w:rsidRPr="007F5A49">
        <w:rPr>
          <w:rFonts w:ascii="Book Antiqua" w:hAnsi="Book Antiqua" w:cs="Arial"/>
          <w:bCs/>
          <w:color w:val="000000" w:themeColor="text1"/>
          <w:kern w:val="24"/>
          <w:sz w:val="24"/>
          <w:szCs w:val="24"/>
          <w:lang w:val="en-US"/>
        </w:rPr>
        <w:t xml:space="preserve"> TFR: </w:t>
      </w:r>
      <w:r w:rsidR="001E1757">
        <w:rPr>
          <w:rFonts w:ascii="Book Antiqua" w:hAnsi="Book Antiqua" w:cs="Arial"/>
          <w:bCs/>
          <w:color w:val="000000" w:themeColor="text1"/>
          <w:kern w:val="24"/>
          <w:sz w:val="24"/>
          <w:szCs w:val="24"/>
          <w:lang w:val="en-US"/>
        </w:rPr>
        <w:t>T</w:t>
      </w:r>
      <w:r w:rsidR="00596AC6" w:rsidRPr="007F5A49">
        <w:rPr>
          <w:rFonts w:ascii="Book Antiqua" w:hAnsi="Book Antiqua" w:cs="Arial"/>
          <w:bCs/>
          <w:color w:val="000000" w:themeColor="text1"/>
          <w:kern w:val="24"/>
          <w:sz w:val="24"/>
          <w:szCs w:val="24"/>
          <w:lang w:val="en-US"/>
        </w:rPr>
        <w:t>ransferrin</w:t>
      </w:r>
      <w:r w:rsidR="001E1757">
        <w:rPr>
          <w:rFonts w:ascii="Book Antiqua" w:hAnsi="Book Antiqua" w:cs="Arial"/>
          <w:bCs/>
          <w:color w:val="000000" w:themeColor="text1"/>
          <w:kern w:val="24"/>
          <w:sz w:val="24"/>
          <w:szCs w:val="24"/>
          <w:lang w:val="en-US"/>
        </w:rPr>
        <w:t xml:space="preserve"> receptor;</w:t>
      </w:r>
      <w:r w:rsidR="00A71BF1" w:rsidRPr="007F5A49">
        <w:rPr>
          <w:rFonts w:ascii="Book Antiqua" w:hAnsi="Book Antiqua" w:cs="Arial"/>
          <w:color w:val="000000" w:themeColor="text1"/>
          <w:kern w:val="24"/>
          <w:sz w:val="24"/>
          <w:szCs w:val="24"/>
          <w:lang w:val="en-US"/>
        </w:rPr>
        <w:t xml:space="preserve"> TGF-β-R</w:t>
      </w:r>
      <w:r w:rsidR="00596AC6" w:rsidRPr="007F5A49">
        <w:rPr>
          <w:rFonts w:ascii="Book Antiqua" w:hAnsi="Book Antiqua" w:cs="Arial"/>
          <w:color w:val="000000" w:themeColor="text1"/>
          <w:kern w:val="24"/>
          <w:sz w:val="24"/>
          <w:szCs w:val="24"/>
          <w:lang w:val="en-US"/>
        </w:rPr>
        <w:t xml:space="preserve">: </w:t>
      </w:r>
      <w:r w:rsidR="001E1757">
        <w:rPr>
          <w:rFonts w:ascii="Book Antiqua" w:hAnsi="Book Antiqua" w:cs="Arial"/>
          <w:bCs/>
          <w:color w:val="000000" w:themeColor="text1"/>
          <w:kern w:val="24"/>
          <w:sz w:val="24"/>
          <w:szCs w:val="24"/>
          <w:lang w:val="en-US"/>
        </w:rPr>
        <w:t>T</w:t>
      </w:r>
      <w:r w:rsidR="00A71BF1" w:rsidRPr="007F5A49">
        <w:rPr>
          <w:rFonts w:ascii="Book Antiqua" w:hAnsi="Book Antiqua" w:cs="Arial"/>
          <w:bCs/>
          <w:color w:val="000000" w:themeColor="text1"/>
          <w:kern w:val="24"/>
          <w:sz w:val="24"/>
          <w:szCs w:val="24"/>
          <w:lang w:val="en-US"/>
        </w:rPr>
        <w:t>ransforming growth factor receptor</w:t>
      </w:r>
      <w:r w:rsidR="001E1757">
        <w:rPr>
          <w:rFonts w:ascii="Book Antiqua" w:hAnsi="Book Antiqua" w:cs="Arial"/>
          <w:bCs/>
          <w:color w:val="000000" w:themeColor="text1"/>
          <w:kern w:val="24"/>
          <w:sz w:val="24"/>
          <w:szCs w:val="24"/>
          <w:lang w:val="en-US"/>
        </w:rPr>
        <w:t>.</w:t>
      </w:r>
      <w:r w:rsidR="006A10FA" w:rsidRPr="007F5A49">
        <w:rPr>
          <w:rFonts w:ascii="Book Antiqua" w:hAnsi="Book Antiqua" w:cs="Arial"/>
          <w:color w:val="000000" w:themeColor="text1"/>
          <w:kern w:val="24"/>
          <w:sz w:val="24"/>
          <w:szCs w:val="24"/>
          <w:lang w:val="en-US"/>
        </w:rPr>
        <w:t xml:space="preserve"> </w:t>
      </w:r>
    </w:p>
    <w:p w14:paraId="5F4FE503" w14:textId="33565CC1" w:rsidR="00920C8C" w:rsidRPr="007F5A49" w:rsidRDefault="00920C8C" w:rsidP="007F5A49">
      <w:pPr>
        <w:adjustRightInd w:val="0"/>
        <w:snapToGrid w:val="0"/>
        <w:spacing w:after="0" w:line="360" w:lineRule="auto"/>
        <w:jc w:val="both"/>
        <w:rPr>
          <w:rFonts w:ascii="Book Antiqua" w:hAnsi="Book Antiqua" w:cs="Arial"/>
          <w:color w:val="000000" w:themeColor="text1"/>
          <w:kern w:val="24"/>
          <w:sz w:val="24"/>
          <w:szCs w:val="24"/>
          <w:lang w:val="en-US"/>
        </w:rPr>
        <w:sectPr w:rsidR="00920C8C" w:rsidRPr="007F5A49" w:rsidSect="00516E76">
          <w:footerReference w:type="default" r:id="rId12"/>
          <w:pgSz w:w="11906" w:h="16838"/>
          <w:pgMar w:top="1440" w:right="1440" w:bottom="1440" w:left="1440" w:header="709" w:footer="709" w:gutter="0"/>
          <w:cols w:space="708"/>
          <w:docGrid w:linePitch="360"/>
        </w:sectPr>
      </w:pPr>
    </w:p>
    <w:p w14:paraId="21AEECD1" w14:textId="655A8F1E" w:rsidR="00F64145" w:rsidRPr="007F5A49" w:rsidRDefault="00F64145" w:rsidP="007F5A49">
      <w:pPr>
        <w:adjustRightInd w:val="0"/>
        <w:snapToGrid w:val="0"/>
        <w:spacing w:after="0" w:line="360" w:lineRule="auto"/>
        <w:jc w:val="both"/>
        <w:rPr>
          <w:rFonts w:ascii="Book Antiqua" w:hAnsi="Book Antiqua" w:cs="Arial"/>
          <w:b/>
          <w:sz w:val="24"/>
          <w:szCs w:val="24"/>
          <w:lang w:val="en-US"/>
        </w:rPr>
      </w:pPr>
      <w:r w:rsidRPr="007F5A49">
        <w:rPr>
          <w:rFonts w:ascii="Book Antiqua" w:hAnsi="Book Antiqua" w:cs="Arial"/>
          <w:b/>
          <w:sz w:val="24"/>
          <w:szCs w:val="24"/>
          <w:lang w:val="en-US"/>
        </w:rPr>
        <w:lastRenderedPageBreak/>
        <w:t xml:space="preserve">Table 1 Iron-related characteristics and components of </w:t>
      </w:r>
      <w:r w:rsidR="005B3A18">
        <w:rPr>
          <w:rFonts w:ascii="Book Antiqua" w:hAnsi="Book Antiqua" w:cs="Arial"/>
          <w:b/>
          <w:bCs/>
          <w:color w:val="000000" w:themeColor="text1"/>
          <w:kern w:val="24"/>
          <w:sz w:val="24"/>
          <w:szCs w:val="24"/>
          <w:lang w:val="en-US"/>
        </w:rPr>
        <w:t>transforming growth factor</w:t>
      </w:r>
      <w:r w:rsidR="00617C12" w:rsidRPr="007F5A49">
        <w:rPr>
          <w:rFonts w:ascii="Book Antiqua" w:hAnsi="Book Antiqua" w:cs="Arial"/>
          <w:b/>
          <w:bCs/>
          <w:color w:val="000000" w:themeColor="text1"/>
          <w:kern w:val="24"/>
          <w:sz w:val="24"/>
          <w:szCs w:val="24"/>
          <w:lang w:val="en-US"/>
        </w:rPr>
        <w:t xml:space="preserve">-β pathway and bone morphogenetic protein </w:t>
      </w:r>
      <w:proofErr w:type="spellStart"/>
      <w:r w:rsidR="00617C12" w:rsidRPr="007F5A49">
        <w:rPr>
          <w:rFonts w:ascii="Book Antiqua" w:hAnsi="Book Antiqua" w:cs="Arial"/>
          <w:b/>
          <w:bCs/>
          <w:color w:val="000000" w:themeColor="text1"/>
          <w:kern w:val="24"/>
          <w:sz w:val="24"/>
          <w:szCs w:val="24"/>
          <w:lang w:val="en-US"/>
        </w:rPr>
        <w:t>signalling</w:t>
      </w:r>
      <w:proofErr w:type="spellEnd"/>
      <w:r w:rsidR="00617C12" w:rsidRPr="007F5A49">
        <w:rPr>
          <w:rFonts w:ascii="Book Antiqua" w:hAnsi="Book Antiqua" w:cs="Arial"/>
          <w:b/>
          <w:bCs/>
          <w:color w:val="000000" w:themeColor="text1"/>
          <w:kern w:val="24"/>
          <w:sz w:val="24"/>
          <w:szCs w:val="24"/>
          <w:lang w:val="en-US"/>
        </w:rPr>
        <w:t xml:space="preserve">  </w:t>
      </w:r>
    </w:p>
    <w:tbl>
      <w:tblPr>
        <w:tblpPr w:leftFromText="180" w:rightFromText="180" w:vertAnchor="text" w:horzAnchor="margin" w:tblpX="-601" w:tblpY="155"/>
        <w:tblW w:w="14204" w:type="dxa"/>
        <w:tblBorders>
          <w:top w:val="single" w:sz="4" w:space="0" w:color="auto"/>
          <w:bottom w:val="single" w:sz="4" w:space="0" w:color="auto"/>
        </w:tblBorders>
        <w:tblLayout w:type="fixed"/>
        <w:tblLook w:val="04A0" w:firstRow="1" w:lastRow="0" w:firstColumn="1" w:lastColumn="0" w:noHBand="0" w:noVBand="1"/>
      </w:tblPr>
      <w:tblGrid>
        <w:gridCol w:w="2297"/>
        <w:gridCol w:w="2268"/>
        <w:gridCol w:w="1560"/>
        <w:gridCol w:w="1559"/>
        <w:gridCol w:w="2126"/>
        <w:gridCol w:w="1276"/>
        <w:gridCol w:w="3118"/>
      </w:tblGrid>
      <w:tr w:rsidR="00F64145" w:rsidRPr="007F5A49" w14:paraId="3B4BB361" w14:textId="77777777" w:rsidTr="00EB2C54">
        <w:tc>
          <w:tcPr>
            <w:tcW w:w="2297" w:type="dxa"/>
            <w:tcBorders>
              <w:top w:val="single" w:sz="4" w:space="0" w:color="auto"/>
              <w:bottom w:val="single" w:sz="4" w:space="0" w:color="auto"/>
            </w:tcBorders>
            <w:shd w:val="clear" w:color="auto" w:fill="auto"/>
          </w:tcPr>
          <w:p w14:paraId="4EBFE272" w14:textId="77777777" w:rsidR="00F64145" w:rsidRPr="007F5A49" w:rsidRDefault="00F64145" w:rsidP="00EB2C54">
            <w:pPr>
              <w:adjustRightInd w:val="0"/>
              <w:snapToGrid w:val="0"/>
              <w:spacing w:line="360" w:lineRule="auto"/>
              <w:jc w:val="both"/>
              <w:rPr>
                <w:rFonts w:ascii="Book Antiqua" w:hAnsi="Book Antiqua" w:cs="Arial"/>
                <w:b/>
                <w:sz w:val="24"/>
                <w:szCs w:val="24"/>
                <w:lang w:val="en-US"/>
              </w:rPr>
            </w:pPr>
            <w:r w:rsidRPr="007F5A49">
              <w:rPr>
                <w:rFonts w:ascii="Book Antiqua" w:hAnsi="Book Antiqua" w:cs="Arial"/>
                <w:b/>
                <w:sz w:val="24"/>
                <w:szCs w:val="24"/>
                <w:lang w:val="en-US"/>
              </w:rPr>
              <w:t xml:space="preserve">Stimulant </w:t>
            </w:r>
          </w:p>
        </w:tc>
        <w:tc>
          <w:tcPr>
            <w:tcW w:w="2268" w:type="dxa"/>
            <w:tcBorders>
              <w:top w:val="single" w:sz="4" w:space="0" w:color="auto"/>
              <w:bottom w:val="single" w:sz="4" w:space="0" w:color="auto"/>
            </w:tcBorders>
            <w:shd w:val="clear" w:color="auto" w:fill="auto"/>
          </w:tcPr>
          <w:p w14:paraId="325F050F" w14:textId="4EBAEEBD" w:rsidR="00F64145" w:rsidRPr="007F5A49" w:rsidRDefault="00F64145" w:rsidP="00EB2C54">
            <w:pPr>
              <w:adjustRightInd w:val="0"/>
              <w:snapToGrid w:val="0"/>
              <w:spacing w:line="360" w:lineRule="auto"/>
              <w:jc w:val="center"/>
              <w:rPr>
                <w:rFonts w:ascii="Book Antiqua" w:hAnsi="Book Antiqua" w:cs="Arial"/>
                <w:b/>
                <w:sz w:val="24"/>
                <w:szCs w:val="24"/>
                <w:lang w:val="en-US"/>
              </w:rPr>
            </w:pPr>
            <w:r w:rsidRPr="007F5A49">
              <w:rPr>
                <w:rFonts w:ascii="Book Antiqua" w:hAnsi="Book Antiqua" w:cs="Arial"/>
                <w:b/>
                <w:sz w:val="24"/>
                <w:szCs w:val="24"/>
                <w:lang w:val="en-US"/>
              </w:rPr>
              <w:t>Pathway</w:t>
            </w:r>
          </w:p>
        </w:tc>
        <w:tc>
          <w:tcPr>
            <w:tcW w:w="1560" w:type="dxa"/>
            <w:tcBorders>
              <w:top w:val="single" w:sz="4" w:space="0" w:color="auto"/>
              <w:bottom w:val="single" w:sz="4" w:space="0" w:color="auto"/>
            </w:tcBorders>
            <w:shd w:val="clear" w:color="auto" w:fill="auto"/>
          </w:tcPr>
          <w:p w14:paraId="0251DB88" w14:textId="77777777" w:rsidR="00F64145" w:rsidRPr="007F5A49" w:rsidRDefault="00F64145" w:rsidP="00EB2C54">
            <w:pPr>
              <w:adjustRightInd w:val="0"/>
              <w:snapToGrid w:val="0"/>
              <w:spacing w:line="360" w:lineRule="auto"/>
              <w:jc w:val="center"/>
              <w:rPr>
                <w:rFonts w:ascii="Book Antiqua" w:hAnsi="Book Antiqua" w:cs="Arial"/>
                <w:b/>
                <w:sz w:val="24"/>
                <w:szCs w:val="24"/>
                <w:lang w:val="en-US"/>
              </w:rPr>
            </w:pPr>
            <w:r w:rsidRPr="007F5A49">
              <w:rPr>
                <w:rFonts w:ascii="Book Antiqua" w:hAnsi="Book Antiqua" w:cs="Arial"/>
                <w:b/>
                <w:sz w:val="24"/>
                <w:szCs w:val="24"/>
                <w:lang w:val="en-US"/>
              </w:rPr>
              <w:t>Type II receptors</w:t>
            </w:r>
          </w:p>
        </w:tc>
        <w:tc>
          <w:tcPr>
            <w:tcW w:w="1559" w:type="dxa"/>
            <w:tcBorders>
              <w:top w:val="single" w:sz="4" w:space="0" w:color="auto"/>
              <w:bottom w:val="single" w:sz="4" w:space="0" w:color="auto"/>
            </w:tcBorders>
            <w:shd w:val="clear" w:color="auto" w:fill="auto"/>
          </w:tcPr>
          <w:p w14:paraId="195FA409" w14:textId="7465A50B" w:rsidR="00F64145" w:rsidRPr="007F5A49" w:rsidRDefault="00F64145" w:rsidP="00EB2C54">
            <w:pPr>
              <w:adjustRightInd w:val="0"/>
              <w:snapToGrid w:val="0"/>
              <w:spacing w:line="360" w:lineRule="auto"/>
              <w:jc w:val="center"/>
              <w:rPr>
                <w:rFonts w:ascii="Book Antiqua" w:hAnsi="Book Antiqua" w:cs="Arial"/>
                <w:b/>
                <w:sz w:val="24"/>
                <w:szCs w:val="24"/>
                <w:lang w:val="en-US"/>
              </w:rPr>
            </w:pPr>
            <w:r w:rsidRPr="007F5A49">
              <w:rPr>
                <w:rFonts w:ascii="Book Antiqua" w:hAnsi="Book Antiqua" w:cs="Arial"/>
                <w:b/>
                <w:sz w:val="24"/>
                <w:szCs w:val="24"/>
                <w:lang w:val="en-US"/>
              </w:rPr>
              <w:t>Type I receptors</w:t>
            </w:r>
          </w:p>
        </w:tc>
        <w:tc>
          <w:tcPr>
            <w:tcW w:w="2126" w:type="dxa"/>
            <w:tcBorders>
              <w:top w:val="single" w:sz="4" w:space="0" w:color="auto"/>
              <w:bottom w:val="single" w:sz="4" w:space="0" w:color="auto"/>
            </w:tcBorders>
            <w:shd w:val="clear" w:color="auto" w:fill="auto"/>
          </w:tcPr>
          <w:p w14:paraId="0524A685" w14:textId="7A7995C6" w:rsidR="00F64145" w:rsidRPr="007F5A49" w:rsidRDefault="00F64145" w:rsidP="00EB2C54">
            <w:pPr>
              <w:adjustRightInd w:val="0"/>
              <w:snapToGrid w:val="0"/>
              <w:spacing w:line="360" w:lineRule="auto"/>
              <w:jc w:val="center"/>
              <w:rPr>
                <w:rFonts w:ascii="Book Antiqua" w:hAnsi="Book Antiqua" w:cs="Arial"/>
                <w:b/>
                <w:sz w:val="24"/>
                <w:szCs w:val="24"/>
                <w:lang w:val="en-US"/>
              </w:rPr>
            </w:pPr>
            <w:r w:rsidRPr="007F5A49">
              <w:rPr>
                <w:rFonts w:ascii="Book Antiqua" w:hAnsi="Book Antiqua" w:cs="Arial"/>
                <w:b/>
                <w:sz w:val="24"/>
                <w:szCs w:val="24"/>
                <w:lang w:val="en-US"/>
              </w:rPr>
              <w:t>Receptor-SMADs phosphorylated</w:t>
            </w:r>
          </w:p>
        </w:tc>
        <w:tc>
          <w:tcPr>
            <w:tcW w:w="1276" w:type="dxa"/>
            <w:tcBorders>
              <w:top w:val="single" w:sz="4" w:space="0" w:color="auto"/>
              <w:bottom w:val="single" w:sz="4" w:space="0" w:color="auto"/>
            </w:tcBorders>
            <w:shd w:val="clear" w:color="auto" w:fill="auto"/>
          </w:tcPr>
          <w:p w14:paraId="6A14FE1A" w14:textId="77777777" w:rsidR="00F64145" w:rsidRPr="007F5A49" w:rsidRDefault="00F64145" w:rsidP="00EB2C54">
            <w:pPr>
              <w:adjustRightInd w:val="0"/>
              <w:snapToGrid w:val="0"/>
              <w:spacing w:line="360" w:lineRule="auto"/>
              <w:jc w:val="center"/>
              <w:rPr>
                <w:rFonts w:ascii="Book Antiqua" w:hAnsi="Book Antiqua" w:cs="Arial"/>
                <w:b/>
                <w:sz w:val="24"/>
                <w:szCs w:val="24"/>
                <w:lang w:val="en-US"/>
              </w:rPr>
            </w:pPr>
            <w:r w:rsidRPr="007F5A49">
              <w:rPr>
                <w:rFonts w:ascii="Book Antiqua" w:hAnsi="Book Antiqua" w:cs="Arial"/>
                <w:b/>
                <w:sz w:val="24"/>
                <w:szCs w:val="24"/>
                <w:lang w:val="en-US"/>
              </w:rPr>
              <w:t>Common SMAD</w:t>
            </w:r>
          </w:p>
        </w:tc>
        <w:tc>
          <w:tcPr>
            <w:tcW w:w="3118" w:type="dxa"/>
            <w:tcBorders>
              <w:top w:val="single" w:sz="4" w:space="0" w:color="auto"/>
              <w:bottom w:val="single" w:sz="4" w:space="0" w:color="auto"/>
            </w:tcBorders>
            <w:shd w:val="clear" w:color="auto" w:fill="auto"/>
          </w:tcPr>
          <w:p w14:paraId="426517B8" w14:textId="77777777" w:rsidR="00F64145" w:rsidRPr="007F5A49" w:rsidRDefault="00F64145" w:rsidP="00EB2C54">
            <w:pPr>
              <w:adjustRightInd w:val="0"/>
              <w:snapToGrid w:val="0"/>
              <w:spacing w:line="360" w:lineRule="auto"/>
              <w:jc w:val="center"/>
              <w:rPr>
                <w:rFonts w:ascii="Book Antiqua" w:hAnsi="Book Antiqua" w:cs="Arial"/>
                <w:b/>
                <w:sz w:val="24"/>
                <w:szCs w:val="24"/>
                <w:lang w:val="en-US"/>
              </w:rPr>
            </w:pPr>
            <w:r w:rsidRPr="007F5A49">
              <w:rPr>
                <w:rFonts w:ascii="Book Antiqua" w:hAnsi="Book Antiqua" w:cs="Arial"/>
                <w:b/>
                <w:sz w:val="24"/>
                <w:szCs w:val="24"/>
                <w:lang w:val="en-US"/>
              </w:rPr>
              <w:t>Significance/feature of pathway</w:t>
            </w:r>
          </w:p>
        </w:tc>
      </w:tr>
      <w:tr w:rsidR="00F64145" w:rsidRPr="007F5A49" w14:paraId="432931C8" w14:textId="77777777" w:rsidTr="00EB2C54">
        <w:tc>
          <w:tcPr>
            <w:tcW w:w="2297" w:type="dxa"/>
            <w:vMerge w:val="restart"/>
            <w:tcBorders>
              <w:top w:val="single" w:sz="4" w:space="0" w:color="auto"/>
            </w:tcBorders>
            <w:shd w:val="clear" w:color="auto" w:fill="auto"/>
          </w:tcPr>
          <w:p w14:paraId="622D594B" w14:textId="77777777" w:rsidR="00F64145" w:rsidRPr="007F5A49" w:rsidRDefault="00F64145" w:rsidP="00EB2C54">
            <w:pPr>
              <w:adjustRightInd w:val="0"/>
              <w:snapToGrid w:val="0"/>
              <w:spacing w:line="360" w:lineRule="auto"/>
              <w:jc w:val="both"/>
              <w:rPr>
                <w:rFonts w:ascii="Book Antiqua" w:hAnsi="Book Antiqua" w:cs="Arial"/>
                <w:sz w:val="24"/>
                <w:szCs w:val="24"/>
                <w:lang w:val="en-US"/>
              </w:rPr>
            </w:pPr>
            <w:r w:rsidRPr="007F5A49">
              <w:rPr>
                <w:rFonts w:ascii="Book Antiqua" w:hAnsi="Book Antiqua" w:cs="Arial"/>
                <w:sz w:val="24"/>
                <w:szCs w:val="24"/>
                <w:lang w:val="en-US"/>
              </w:rPr>
              <w:t>BMPs</w:t>
            </w:r>
          </w:p>
          <w:p w14:paraId="00C76FE9" w14:textId="77777777" w:rsidR="00F64145" w:rsidRPr="007F5A49" w:rsidRDefault="00F64145" w:rsidP="00EB2C54">
            <w:pPr>
              <w:adjustRightInd w:val="0"/>
              <w:snapToGrid w:val="0"/>
              <w:spacing w:line="360" w:lineRule="auto"/>
              <w:jc w:val="both"/>
              <w:rPr>
                <w:rFonts w:ascii="Book Antiqua" w:hAnsi="Book Antiqua" w:cs="Arial"/>
                <w:sz w:val="24"/>
                <w:szCs w:val="24"/>
                <w:lang w:val="en-US"/>
              </w:rPr>
            </w:pPr>
          </w:p>
          <w:p w14:paraId="7E1CF311" w14:textId="77777777" w:rsidR="00F64145" w:rsidRPr="007F5A49" w:rsidRDefault="00F64145" w:rsidP="00EB2C54">
            <w:pPr>
              <w:adjustRightInd w:val="0"/>
              <w:snapToGrid w:val="0"/>
              <w:spacing w:line="360" w:lineRule="auto"/>
              <w:jc w:val="both"/>
              <w:rPr>
                <w:rFonts w:ascii="Book Antiqua" w:hAnsi="Book Antiqua" w:cs="Arial"/>
                <w:sz w:val="24"/>
                <w:szCs w:val="24"/>
                <w:lang w:val="en-US"/>
              </w:rPr>
            </w:pPr>
            <w:r w:rsidRPr="007F5A49">
              <w:rPr>
                <w:rFonts w:ascii="Book Antiqua" w:hAnsi="Book Antiqua" w:cs="Arial"/>
                <w:sz w:val="24"/>
                <w:szCs w:val="24"/>
                <w:lang w:val="en-US"/>
              </w:rPr>
              <w:t>(Belong to TGF-β superfamily)</w:t>
            </w:r>
          </w:p>
        </w:tc>
        <w:tc>
          <w:tcPr>
            <w:tcW w:w="2268" w:type="dxa"/>
            <w:tcBorders>
              <w:top w:val="single" w:sz="4" w:space="0" w:color="auto"/>
            </w:tcBorders>
            <w:shd w:val="clear" w:color="auto" w:fill="auto"/>
          </w:tcPr>
          <w:p w14:paraId="37A5C093" w14:textId="2573B3A9" w:rsidR="00F64145" w:rsidRPr="007F5A49" w:rsidRDefault="00F64145" w:rsidP="00EB2C54">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Canonical</w:t>
            </w:r>
          </w:p>
        </w:tc>
        <w:tc>
          <w:tcPr>
            <w:tcW w:w="1560" w:type="dxa"/>
            <w:tcBorders>
              <w:top w:val="single" w:sz="4" w:space="0" w:color="auto"/>
            </w:tcBorders>
            <w:shd w:val="clear" w:color="auto" w:fill="auto"/>
          </w:tcPr>
          <w:p w14:paraId="6CD98DE8" w14:textId="77777777" w:rsidR="00F64145" w:rsidRPr="007F5A49" w:rsidRDefault="00F64145" w:rsidP="00EB2C54">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BMPR2, ACVR2A,</w:t>
            </w:r>
          </w:p>
          <w:p w14:paraId="7125FA8F" w14:textId="77777777" w:rsidR="00F64145" w:rsidRPr="007F5A49" w:rsidRDefault="00F64145" w:rsidP="00EB2C54">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ACVR2B</w:t>
            </w:r>
          </w:p>
        </w:tc>
        <w:tc>
          <w:tcPr>
            <w:tcW w:w="1559" w:type="dxa"/>
            <w:tcBorders>
              <w:top w:val="single" w:sz="4" w:space="0" w:color="auto"/>
            </w:tcBorders>
            <w:shd w:val="clear" w:color="auto" w:fill="auto"/>
          </w:tcPr>
          <w:p w14:paraId="590A34C3" w14:textId="77777777" w:rsidR="00F64145" w:rsidRPr="007F5A49" w:rsidRDefault="00F64145" w:rsidP="00EB2C54">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ALK 1,2,3,6</w:t>
            </w:r>
          </w:p>
          <w:p w14:paraId="7796FD92" w14:textId="77777777" w:rsidR="00F64145" w:rsidRPr="007F5A49" w:rsidRDefault="00F64145" w:rsidP="00EB2C54">
            <w:pPr>
              <w:adjustRightInd w:val="0"/>
              <w:snapToGrid w:val="0"/>
              <w:spacing w:line="360" w:lineRule="auto"/>
              <w:jc w:val="center"/>
              <w:rPr>
                <w:rFonts w:ascii="Book Antiqua" w:hAnsi="Book Antiqua" w:cs="Arial"/>
                <w:sz w:val="24"/>
                <w:szCs w:val="24"/>
                <w:lang w:val="en-US"/>
              </w:rPr>
            </w:pPr>
          </w:p>
        </w:tc>
        <w:tc>
          <w:tcPr>
            <w:tcW w:w="2126" w:type="dxa"/>
            <w:tcBorders>
              <w:top w:val="single" w:sz="4" w:space="0" w:color="auto"/>
            </w:tcBorders>
            <w:shd w:val="clear" w:color="auto" w:fill="auto"/>
          </w:tcPr>
          <w:p w14:paraId="768AB6FB" w14:textId="77777777" w:rsidR="00F64145" w:rsidRPr="007F5A49" w:rsidRDefault="00F64145" w:rsidP="00EB2C54">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SMAD-1/5/8</w:t>
            </w:r>
          </w:p>
          <w:p w14:paraId="429ABF95" w14:textId="77777777" w:rsidR="00F64145" w:rsidRPr="007F5A49" w:rsidRDefault="00F64145" w:rsidP="00EB2C54">
            <w:pPr>
              <w:adjustRightInd w:val="0"/>
              <w:snapToGrid w:val="0"/>
              <w:spacing w:line="360" w:lineRule="auto"/>
              <w:jc w:val="center"/>
              <w:rPr>
                <w:rFonts w:ascii="Book Antiqua" w:hAnsi="Book Antiqua" w:cs="Arial"/>
                <w:sz w:val="24"/>
                <w:szCs w:val="24"/>
                <w:lang w:val="en-US"/>
              </w:rPr>
            </w:pPr>
          </w:p>
        </w:tc>
        <w:tc>
          <w:tcPr>
            <w:tcW w:w="1276" w:type="dxa"/>
            <w:tcBorders>
              <w:top w:val="single" w:sz="4" w:space="0" w:color="auto"/>
            </w:tcBorders>
            <w:shd w:val="clear" w:color="auto" w:fill="auto"/>
          </w:tcPr>
          <w:p w14:paraId="45B48F78" w14:textId="77777777" w:rsidR="00F64145" w:rsidRPr="007F5A49" w:rsidRDefault="00F64145" w:rsidP="00EB2C54">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SMAD-4</w:t>
            </w:r>
          </w:p>
        </w:tc>
        <w:tc>
          <w:tcPr>
            <w:tcW w:w="3118" w:type="dxa"/>
            <w:tcBorders>
              <w:top w:val="single" w:sz="4" w:space="0" w:color="auto"/>
            </w:tcBorders>
            <w:shd w:val="clear" w:color="auto" w:fill="auto"/>
          </w:tcPr>
          <w:p w14:paraId="3AF0CE5A" w14:textId="77777777" w:rsidR="00F64145" w:rsidRPr="007F5A49" w:rsidRDefault="00F64145" w:rsidP="00EB2C54">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Growth, differentiation, and developmental processes</w:t>
            </w:r>
          </w:p>
        </w:tc>
      </w:tr>
      <w:tr w:rsidR="00F64145" w:rsidRPr="007F5A49" w14:paraId="28CBAE45" w14:textId="77777777" w:rsidTr="00EB2C54">
        <w:tc>
          <w:tcPr>
            <w:tcW w:w="2297" w:type="dxa"/>
            <w:vMerge/>
            <w:shd w:val="clear" w:color="auto" w:fill="auto"/>
          </w:tcPr>
          <w:p w14:paraId="1E678C64" w14:textId="77777777" w:rsidR="00F64145" w:rsidRPr="007F5A49" w:rsidRDefault="00F64145" w:rsidP="00EB2C54">
            <w:pPr>
              <w:adjustRightInd w:val="0"/>
              <w:snapToGrid w:val="0"/>
              <w:spacing w:line="360" w:lineRule="auto"/>
              <w:jc w:val="both"/>
              <w:rPr>
                <w:rFonts w:ascii="Book Antiqua" w:hAnsi="Book Antiqua" w:cs="Arial"/>
                <w:sz w:val="24"/>
                <w:szCs w:val="24"/>
                <w:lang w:val="en-US"/>
              </w:rPr>
            </w:pPr>
          </w:p>
        </w:tc>
        <w:tc>
          <w:tcPr>
            <w:tcW w:w="2268" w:type="dxa"/>
            <w:shd w:val="clear" w:color="auto" w:fill="auto"/>
          </w:tcPr>
          <w:p w14:paraId="05819DCA" w14:textId="77777777" w:rsidR="00F64145" w:rsidRPr="007F5A49" w:rsidRDefault="00F64145" w:rsidP="00EB2C54">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BMP-6 induced by iron-loading</w:t>
            </w:r>
          </w:p>
          <w:p w14:paraId="588F1078" w14:textId="77777777" w:rsidR="00F64145" w:rsidRPr="007F5A49" w:rsidRDefault="00F64145" w:rsidP="00EB2C54">
            <w:pPr>
              <w:adjustRightInd w:val="0"/>
              <w:snapToGrid w:val="0"/>
              <w:spacing w:line="360" w:lineRule="auto"/>
              <w:jc w:val="center"/>
              <w:rPr>
                <w:rFonts w:ascii="Book Antiqua" w:hAnsi="Book Antiqua" w:cs="Arial"/>
                <w:sz w:val="24"/>
                <w:szCs w:val="24"/>
                <w:lang w:val="en-US"/>
              </w:rPr>
            </w:pPr>
          </w:p>
          <w:p w14:paraId="0377AD61" w14:textId="705A18CF" w:rsidR="00F64145" w:rsidRPr="007F5A49" w:rsidRDefault="00F64145" w:rsidP="00EB2C54">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(Liver specific)</w:t>
            </w:r>
            <w:r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1033fsk5nf","properties":{"formattedCitation":"(133)","plainCitation":"(133)","noteIndex":0},"citationItems":[{"id":"z1PZoHrb/HWpkEw3P","uris":["http://zotero.org/users/4222068/items/78FP7AB6"],"uri":["http://zotero.org/users/4222068/items/78FP7AB6"],"itemData":{"id":1544,"type":"article-journal","title":"Iron overload induces BMP6 expression in the liver but not in the duodenum","container-title":"Haematologica","page":"199-203","volume":"96","issue":"2","source":"PubMed Central","abstract":"Background\nThe bone morphogenetic protein BMP6 regulates hepcidin production by the liver. However, it is not yet known whether BMP6 derives from the liver itself or from other sources such as the small intestine, as has been recently suggested. This study was aimed at investigating the source of BMP6 further.\n\nDesign and Methods\nWe used three different strains of mice (C57BL/6, DBA/2, and 129/Sv) with iron overload induced either by an iron-enriched diet or by inactivation of the Hfe gene. We examined Bmp6 expression at both the mRNA (by quantitative PCR) and protein (by immunohistochemistry and Western blotting analyses) levels.\n\nResults\nWe showed that iron overload induces Bmp6 mRNA expression in the liver but not in the duodenum of these mice. Bmp6 is also detected by immunohistochemistry in liver tissue sections of mice with iron overload induced either by an iron-enriched diet or by inactivation of the Hfe gene, but not in liver tissue sections from iron-loaded Bmp6-deficient mice. Bmp6 in the duodenum was below immunodetection threshold, thus confirming quantitative PCR data. Lack of specificity of available antibodies together with slight heterogeneity between 129 substrains may account for the differences with previously published data.\n\nConclusions\nOur data strongly support the importance of liver BMP6 for regulation of iron metabolism. Indeed, they demonstrate that intestinal Bmp6 expression is modulated by iron neither at the mRNA nor at the protein level.","DOI":"10.3324/haematol.2010.031963","ISSN":"0390-6078","note":"PMID: 20952515\nPMCID: PMC3031686","journalAbbreviation":"Haematologica","author":[{"family":"Kautz","given":"Léon"},{"family":"Besson-Fournier","given":"Céline"},{"family":"Meynard","given":"Delphine"},{"family":"Latour","given":"Chloé"},{"family":"Roth","given":"Marie-Paule"},{"family":"Coppin","given":"Hélène"}],"issued":{"date-parts":[["2011",2]]}}}],"schema":"https://github.com/citation-style-language/schema/raw/master/csl-citation.json"} </w:instrText>
            </w:r>
            <w:r w:rsidRPr="007F5A49">
              <w:rPr>
                <w:rFonts w:ascii="Book Antiqua" w:hAnsi="Book Antiqua" w:cs="Arial"/>
                <w:sz w:val="24"/>
                <w:szCs w:val="24"/>
                <w:vertAlign w:val="superscript"/>
                <w:lang w:val="en-US"/>
              </w:rPr>
              <w:fldChar w:fldCharType="separate"/>
            </w:r>
            <w:r w:rsidR="00315C5C"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133</w:t>
            </w:r>
            <w:r w:rsidRPr="007F5A49">
              <w:rPr>
                <w:rFonts w:ascii="Book Antiqua" w:hAnsi="Book Antiqua" w:cs="Arial"/>
                <w:sz w:val="24"/>
                <w:szCs w:val="24"/>
                <w:vertAlign w:val="superscript"/>
                <w:lang w:val="en-US"/>
              </w:rPr>
              <w:fldChar w:fldCharType="end"/>
            </w:r>
            <w:r w:rsidR="00315C5C" w:rsidRPr="007F5A49">
              <w:rPr>
                <w:rFonts w:ascii="Book Antiqua" w:hAnsi="Book Antiqua" w:cs="Arial"/>
                <w:sz w:val="24"/>
                <w:szCs w:val="24"/>
                <w:vertAlign w:val="superscript"/>
                <w:lang w:val="en-US"/>
              </w:rPr>
              <w:t>]</w:t>
            </w:r>
          </w:p>
        </w:tc>
        <w:tc>
          <w:tcPr>
            <w:tcW w:w="1560" w:type="dxa"/>
            <w:shd w:val="clear" w:color="auto" w:fill="auto"/>
          </w:tcPr>
          <w:p w14:paraId="2143174A" w14:textId="77777777" w:rsidR="00F64145" w:rsidRPr="007F5A49" w:rsidRDefault="00F64145" w:rsidP="00EB2C54">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BMPR2, ACVR2A</w:t>
            </w:r>
          </w:p>
          <w:p w14:paraId="25E13C70" w14:textId="77777777" w:rsidR="00F64145" w:rsidRPr="007F5A49" w:rsidRDefault="00F64145" w:rsidP="00EB2C54">
            <w:pPr>
              <w:adjustRightInd w:val="0"/>
              <w:snapToGrid w:val="0"/>
              <w:spacing w:line="360" w:lineRule="auto"/>
              <w:jc w:val="center"/>
              <w:rPr>
                <w:rFonts w:ascii="Book Antiqua" w:hAnsi="Book Antiqua" w:cs="Arial"/>
                <w:sz w:val="24"/>
                <w:szCs w:val="24"/>
                <w:lang w:val="en-US"/>
              </w:rPr>
            </w:pPr>
          </w:p>
        </w:tc>
        <w:tc>
          <w:tcPr>
            <w:tcW w:w="1559" w:type="dxa"/>
            <w:shd w:val="clear" w:color="auto" w:fill="auto"/>
          </w:tcPr>
          <w:p w14:paraId="4CD86443" w14:textId="62C00F11" w:rsidR="00F64145" w:rsidRPr="007F5A49" w:rsidRDefault="00F64145" w:rsidP="00EB2C54">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ALK-2/3</w:t>
            </w:r>
          </w:p>
          <w:p w14:paraId="248B346F" w14:textId="77777777" w:rsidR="00F64145" w:rsidRPr="007F5A49" w:rsidRDefault="00F64145" w:rsidP="00EB2C54">
            <w:pPr>
              <w:adjustRightInd w:val="0"/>
              <w:snapToGrid w:val="0"/>
              <w:spacing w:line="360" w:lineRule="auto"/>
              <w:jc w:val="center"/>
              <w:rPr>
                <w:rFonts w:ascii="Book Antiqua" w:hAnsi="Book Antiqua" w:cs="Arial"/>
                <w:sz w:val="24"/>
                <w:szCs w:val="24"/>
                <w:lang w:val="en-US"/>
              </w:rPr>
            </w:pPr>
          </w:p>
          <w:p w14:paraId="0B6754DA" w14:textId="77777777" w:rsidR="00F64145" w:rsidRPr="007F5A49" w:rsidRDefault="00F64145" w:rsidP="00EB2C54">
            <w:pPr>
              <w:adjustRightInd w:val="0"/>
              <w:snapToGrid w:val="0"/>
              <w:spacing w:line="360" w:lineRule="auto"/>
              <w:jc w:val="center"/>
              <w:rPr>
                <w:rFonts w:ascii="Book Antiqua" w:hAnsi="Book Antiqua" w:cs="Arial"/>
                <w:sz w:val="24"/>
                <w:szCs w:val="24"/>
                <w:lang w:val="en-US"/>
              </w:rPr>
            </w:pPr>
          </w:p>
        </w:tc>
        <w:tc>
          <w:tcPr>
            <w:tcW w:w="2126" w:type="dxa"/>
            <w:shd w:val="clear" w:color="auto" w:fill="auto"/>
          </w:tcPr>
          <w:p w14:paraId="162EF076" w14:textId="77777777" w:rsidR="00F64145" w:rsidRPr="007F5A49" w:rsidRDefault="00F64145" w:rsidP="00EB2C54">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SMAD-1/5/8</w:t>
            </w:r>
          </w:p>
        </w:tc>
        <w:tc>
          <w:tcPr>
            <w:tcW w:w="1276" w:type="dxa"/>
            <w:shd w:val="clear" w:color="auto" w:fill="auto"/>
          </w:tcPr>
          <w:p w14:paraId="21CB9A5D" w14:textId="77777777" w:rsidR="00F64145" w:rsidRPr="007F5A49" w:rsidRDefault="00F64145" w:rsidP="00EB2C54">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SMAD-4</w:t>
            </w:r>
          </w:p>
        </w:tc>
        <w:tc>
          <w:tcPr>
            <w:tcW w:w="3118" w:type="dxa"/>
            <w:shd w:val="clear" w:color="auto" w:fill="auto"/>
          </w:tcPr>
          <w:p w14:paraId="1AED9DCE" w14:textId="7D0EF39C" w:rsidR="00F64145" w:rsidRPr="007F5A49" w:rsidRDefault="00F64145" w:rsidP="00EB2C54">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Iron-dependent hepcidin induction, modulated by HJV, HFE and TFR2</w:t>
            </w:r>
            <w:r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86cmtg4qt","properties":{"formattedCitation":"(44)","plainCitation":"(44)","noteIndex":0},"citationItems":[{"id":189,"uris":["http://zotero.org/users/2804724/items/PCZ9KRWI"],"uri":["http://zotero.org/users/2804724/items/PCZ9KRWI"],"itemData":{"id":189,"type":"article-journal","title":"Transforming Growth Factor β1 (TGF-β1) Activates Hepcidin mRNA Expression in Hepatocytes","container-title":"The Journal of Biological Chemistry","page":"13160-13174","volume":"291","issue":"25","source":"PubMed","abstract":"The hepatic hormone hepcidin is the master regulator of systemic iron homeostasis. Its expression level is adjusted to alterations in iron levels, inflammatory cues, and iron requirements for erythropoiesis. Bone morphogenetic protein 6 (BMP6) contributes to the iron-dependent control of hepcidin. In addition, TGF-β1 may stimulate hepcidin mRNA expression in murine hepatocytes and human leukocytes. However, receptors and downstream signaling proteins involved in TGF-β1-induced hepcidin expression are still unclear. Here we show that TGF-β1 treatment of mouse and human hepatocytes, as well as ectopic expression of TGF-β1 in mice, increases hepcidin mRNA levels. The hepcidin response to TGF-β1 depends on functional TGF-β1 type I receptor (ALK5) and TGF-β1 type II receptor (TβRII) and is mediated by a noncanonical mechanism that involves Smad1/5/8 phosphorylation. Interestingly, increasing availability of canonical Smad2/3 decreases TGF-β1-induced hepcidin regulation, whereas the BMP6-hepcidin signal was enhanced, indicating a signaling component stoichiometry-dependent cross-talk between the two pathways. Although ALK2/3-dependent hepcidin activation by BMP6 can be modulated by each of the three hemochromatosis-associated proteins: HJV (hemojuvelin), HFE (hemochromatosis protein), and TfR2 (transferrin receptor 2), these proteins do not control the ALK5-mediated hepcidin response to TGF-β1. TGF-β1 mRNA levels are increased in mouse models of iron overload, indicating that TGF-β1 may contribute to hepcidin synthesis under these conditions. In conclusion, these data demonstrate that a complex regulatory network involving TGF-β1 and BMP6 may control the sensing of systemic and/or hepatic iron levels.","DOI":"10.1074/jbc.M115.691543","ISSN":"1083-351X","note":"PMID: 27129231\nPMCID: PMC4933231","journalAbbreviation":"J. Biol. Chem.","language":"ENG","author":[{"family":"Chen","given":"Simeng"},{"family":"Feng","given":"Teng"},{"family":"Vujić Spasić","given":"Maja"},{"family":"Altamura","given":"Sandro"},{"family":"Breitkopf-Heinlein","given":"Katja"},{"family":"Altenöder","given":"Jutta"},{"family":"Weiss","given":"Thomas S."},{"family":"Dooley","given":"Steven"},{"family":"Muckenthaler","given":"Martina U."}],"issued":{"date-parts":[["2016",6,17]]}}}],"schema":"https://github.com/citation-style-language/schema/raw/master/csl-citation.json"} </w:instrText>
            </w:r>
            <w:r w:rsidRPr="007F5A49">
              <w:rPr>
                <w:rFonts w:ascii="Book Antiqua" w:hAnsi="Book Antiqua" w:cs="Arial"/>
                <w:sz w:val="24"/>
                <w:szCs w:val="24"/>
                <w:vertAlign w:val="superscript"/>
                <w:lang w:val="en-US"/>
              </w:rPr>
              <w:fldChar w:fldCharType="separate"/>
            </w:r>
            <w:r w:rsidR="005B1F3A"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44</w:t>
            </w:r>
            <w:r w:rsidRPr="007F5A49">
              <w:rPr>
                <w:rFonts w:ascii="Book Antiqua" w:hAnsi="Book Antiqua" w:cs="Arial"/>
                <w:sz w:val="24"/>
                <w:szCs w:val="24"/>
                <w:vertAlign w:val="superscript"/>
                <w:lang w:val="en-US"/>
              </w:rPr>
              <w:fldChar w:fldCharType="end"/>
            </w:r>
            <w:r w:rsidR="005B1F3A" w:rsidRPr="007F5A49">
              <w:rPr>
                <w:rFonts w:ascii="Book Antiqua" w:hAnsi="Book Antiqua" w:cs="Arial"/>
                <w:sz w:val="24"/>
                <w:szCs w:val="24"/>
                <w:vertAlign w:val="superscript"/>
                <w:lang w:val="en-US"/>
              </w:rPr>
              <w:t>]</w:t>
            </w:r>
          </w:p>
        </w:tc>
      </w:tr>
      <w:tr w:rsidR="00F64145" w:rsidRPr="007F5A49" w14:paraId="34B91617" w14:textId="77777777" w:rsidTr="00EB2C54">
        <w:tc>
          <w:tcPr>
            <w:tcW w:w="2297" w:type="dxa"/>
            <w:vMerge w:val="restart"/>
            <w:shd w:val="clear" w:color="auto" w:fill="auto"/>
          </w:tcPr>
          <w:p w14:paraId="28E95D04" w14:textId="77777777" w:rsidR="00F64145" w:rsidRPr="007F5A49" w:rsidRDefault="00F64145" w:rsidP="00EB2C54">
            <w:pPr>
              <w:adjustRightInd w:val="0"/>
              <w:snapToGrid w:val="0"/>
              <w:spacing w:line="360" w:lineRule="auto"/>
              <w:jc w:val="both"/>
              <w:rPr>
                <w:rFonts w:ascii="Book Antiqua" w:hAnsi="Book Antiqua" w:cs="Arial"/>
                <w:sz w:val="24"/>
                <w:szCs w:val="24"/>
                <w:lang w:val="en-US"/>
              </w:rPr>
            </w:pPr>
            <w:r w:rsidRPr="007F5A49">
              <w:rPr>
                <w:rFonts w:ascii="Book Antiqua" w:hAnsi="Book Antiqua" w:cs="Arial"/>
                <w:sz w:val="24"/>
                <w:szCs w:val="24"/>
                <w:lang w:val="en-US"/>
              </w:rPr>
              <w:t>TGF-β</w:t>
            </w:r>
          </w:p>
        </w:tc>
        <w:tc>
          <w:tcPr>
            <w:tcW w:w="2268" w:type="dxa"/>
            <w:shd w:val="clear" w:color="auto" w:fill="auto"/>
          </w:tcPr>
          <w:p w14:paraId="1BA23507" w14:textId="41A4B237" w:rsidR="00F64145" w:rsidRPr="007F5A49" w:rsidRDefault="00F64145" w:rsidP="00EB2C54">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Canonical</w:t>
            </w:r>
          </w:p>
        </w:tc>
        <w:tc>
          <w:tcPr>
            <w:tcW w:w="1560" w:type="dxa"/>
            <w:shd w:val="clear" w:color="auto" w:fill="auto"/>
          </w:tcPr>
          <w:p w14:paraId="38D90777" w14:textId="77777777" w:rsidR="00F64145" w:rsidRPr="007F5A49" w:rsidRDefault="00F64145" w:rsidP="00EB2C54">
            <w:pPr>
              <w:adjustRightInd w:val="0"/>
              <w:snapToGrid w:val="0"/>
              <w:spacing w:line="360" w:lineRule="auto"/>
              <w:jc w:val="center"/>
              <w:rPr>
                <w:rFonts w:ascii="Book Antiqua" w:eastAsia="Times New Roman" w:hAnsi="Book Antiqua" w:cs="Arial"/>
                <w:sz w:val="24"/>
                <w:szCs w:val="24"/>
                <w:lang w:val="en-US"/>
              </w:rPr>
            </w:pPr>
            <w:r w:rsidRPr="007F5A49">
              <w:rPr>
                <w:rFonts w:ascii="Book Antiqua" w:eastAsia="Times New Roman" w:hAnsi="Book Antiqua" w:cs="Arial"/>
                <w:sz w:val="24"/>
                <w:szCs w:val="24"/>
                <w:lang w:val="en-US"/>
              </w:rPr>
              <w:t>TGF-β-RII</w:t>
            </w:r>
          </w:p>
        </w:tc>
        <w:tc>
          <w:tcPr>
            <w:tcW w:w="1559" w:type="dxa"/>
            <w:shd w:val="clear" w:color="auto" w:fill="auto"/>
          </w:tcPr>
          <w:p w14:paraId="7900235D" w14:textId="6655BC46" w:rsidR="00F64145" w:rsidRPr="007F5A49" w:rsidRDefault="00F64145" w:rsidP="00EB2C54">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ALK-5</w:t>
            </w:r>
          </w:p>
          <w:p w14:paraId="15599D66" w14:textId="77777777" w:rsidR="00F64145" w:rsidRPr="007F5A49" w:rsidRDefault="00F64145" w:rsidP="00EB2C54">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w:t>
            </w:r>
            <w:r w:rsidRPr="007F5A49">
              <w:rPr>
                <w:rFonts w:ascii="Book Antiqua" w:eastAsia="Times New Roman" w:hAnsi="Book Antiqua" w:cs="Arial"/>
                <w:sz w:val="24"/>
                <w:szCs w:val="24"/>
                <w:lang w:val="en-US"/>
              </w:rPr>
              <w:t>TGF-β-RI)</w:t>
            </w:r>
          </w:p>
        </w:tc>
        <w:tc>
          <w:tcPr>
            <w:tcW w:w="2126" w:type="dxa"/>
            <w:shd w:val="clear" w:color="auto" w:fill="auto"/>
          </w:tcPr>
          <w:p w14:paraId="29F81A36" w14:textId="0224B089" w:rsidR="00F64145" w:rsidRPr="007F5A49" w:rsidRDefault="00F64145" w:rsidP="00EB2C54">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SMAD-2/3</w:t>
            </w:r>
          </w:p>
          <w:p w14:paraId="2E126063" w14:textId="77777777" w:rsidR="00F64145" w:rsidRPr="007F5A49" w:rsidRDefault="00F64145" w:rsidP="00EB2C54">
            <w:pPr>
              <w:adjustRightInd w:val="0"/>
              <w:snapToGrid w:val="0"/>
              <w:spacing w:line="360" w:lineRule="auto"/>
              <w:jc w:val="center"/>
              <w:rPr>
                <w:rFonts w:ascii="Book Antiqua" w:hAnsi="Book Antiqua" w:cs="Arial"/>
                <w:sz w:val="24"/>
                <w:szCs w:val="24"/>
                <w:lang w:val="en-US"/>
              </w:rPr>
            </w:pPr>
          </w:p>
          <w:p w14:paraId="1208767B" w14:textId="27C777AA" w:rsidR="00F64145" w:rsidRPr="007F5A49" w:rsidRDefault="00F64145" w:rsidP="00EB2C54">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 xml:space="preserve">(Stimulation is stable over </w:t>
            </w:r>
            <w:r w:rsidRPr="007F5A49">
              <w:rPr>
                <w:rFonts w:ascii="Book Antiqua" w:hAnsi="Book Antiqua" w:cs="Arial"/>
                <w:sz w:val="24"/>
                <w:szCs w:val="24"/>
                <w:lang w:val="en-US"/>
              </w:rPr>
              <w:lastRenderedPageBreak/>
              <w:t>time)</w:t>
            </w:r>
            <w:r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2krmm427bm","properties":{"formattedCitation":"(44)","plainCitation":"(44)","noteIndex":0},"citationItems":[{"id":189,"uris":["http://zotero.org/users/2804724/items/PCZ9KRWI"],"uri":["http://zotero.org/users/2804724/items/PCZ9KRWI"],"itemData":{"id":189,"type":"article-journal","title":"Transforming Growth Factor β1 (TGF-β1) Activates Hepcidin mRNA Expression in Hepatocytes","container-title":"The Journal of Biological Chemistry","page":"13160-13174","volume":"291","issue":"25","source":"PubMed","abstract":"The hepatic hormone hepcidin is the master regulator of systemic iron homeostasis. Its expression level is adjusted to alterations in iron levels, inflammatory cues, and iron requirements for erythropoiesis. Bone morphogenetic protein 6 (BMP6) contributes to the iron-dependent control of hepcidin. In addition, TGF-β1 may stimulate hepcidin mRNA expression in murine hepatocytes and human leukocytes. However, receptors and downstream signaling proteins involved in TGF-β1-induced hepcidin expression are still unclear. Here we show that TGF-β1 treatment of mouse and human hepatocytes, as well as ectopic expression of TGF-β1 in mice, increases hepcidin mRNA levels. The hepcidin response to TGF-β1 depends on functional TGF-β1 type I receptor (ALK5) and TGF-β1 type II receptor (TβRII) and is mediated by a noncanonical mechanism that involves Smad1/5/8 phosphorylation. Interestingly, increasing availability of canonical Smad2/3 decreases TGF-β1-induced hepcidin regulation, whereas the BMP6-hepcidin signal was enhanced, indicating a signaling component stoichiometry-dependent cross-talk between the two pathways. Although ALK2/3-dependent hepcidin activation by BMP6 can be modulated by each of the three hemochromatosis-associated proteins: HJV (hemojuvelin), HFE (hemochromatosis protein), and TfR2 (transferrin receptor 2), these proteins do not control the ALK5-mediated hepcidin response to TGF-β1. TGF-β1 mRNA levels are increased in mouse models of iron overload, indicating that TGF-β1 may contribute to hepcidin synthesis under these conditions. In conclusion, these data demonstrate that a complex regulatory network involving TGF-β1 and BMP6 may control the sensing of systemic and/or hepatic iron levels.","DOI":"10.1074/jbc.M115.691543","ISSN":"1083-351X","note":"PMID: 27129231\nPMCID: PMC4933231","journalAbbreviation":"J. Biol. Chem.","language":"ENG","author":[{"family":"Chen","given":"Simeng"},{"family":"Feng","given":"Teng"},{"family":"Vujić Spasić","given":"Maja"},{"family":"Altamura","given":"Sandro"},{"family":"Breitkopf-Heinlein","given":"Katja"},{"family":"Altenöder","given":"Jutta"},{"family":"Weiss","given":"Thomas S."},{"family":"Dooley","given":"Steven"},{"family":"Muckenthaler","given":"Martina U."}],"issued":{"date-parts":[["2016",6,17]]}}}],"schema":"https://github.com/citation-style-language/schema/raw/master/csl-citation.json"} </w:instrText>
            </w:r>
            <w:r w:rsidRPr="007F5A49">
              <w:rPr>
                <w:rFonts w:ascii="Book Antiqua" w:hAnsi="Book Antiqua" w:cs="Arial"/>
                <w:sz w:val="24"/>
                <w:szCs w:val="24"/>
                <w:vertAlign w:val="superscript"/>
                <w:lang w:val="en-US"/>
              </w:rPr>
              <w:fldChar w:fldCharType="separate"/>
            </w:r>
            <w:r w:rsidR="00BE61F8"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44</w:t>
            </w:r>
            <w:r w:rsidRPr="007F5A49">
              <w:rPr>
                <w:rFonts w:ascii="Book Antiqua" w:hAnsi="Book Antiqua" w:cs="Arial"/>
                <w:sz w:val="24"/>
                <w:szCs w:val="24"/>
                <w:vertAlign w:val="superscript"/>
                <w:lang w:val="en-US"/>
              </w:rPr>
              <w:fldChar w:fldCharType="end"/>
            </w:r>
            <w:r w:rsidR="00BE61F8" w:rsidRPr="007F5A49">
              <w:rPr>
                <w:rFonts w:ascii="Book Antiqua" w:hAnsi="Book Antiqua" w:cs="Arial"/>
                <w:sz w:val="24"/>
                <w:szCs w:val="24"/>
                <w:vertAlign w:val="superscript"/>
                <w:lang w:val="en-US"/>
              </w:rPr>
              <w:t>]</w:t>
            </w:r>
          </w:p>
        </w:tc>
        <w:tc>
          <w:tcPr>
            <w:tcW w:w="1276" w:type="dxa"/>
            <w:shd w:val="clear" w:color="auto" w:fill="auto"/>
          </w:tcPr>
          <w:p w14:paraId="69B60F38" w14:textId="77777777" w:rsidR="00F64145" w:rsidRPr="007F5A49" w:rsidRDefault="00F64145" w:rsidP="00EB2C54">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lastRenderedPageBreak/>
              <w:t>SMAD-4</w:t>
            </w:r>
          </w:p>
        </w:tc>
        <w:tc>
          <w:tcPr>
            <w:tcW w:w="3118" w:type="dxa"/>
            <w:shd w:val="clear" w:color="auto" w:fill="auto"/>
          </w:tcPr>
          <w:p w14:paraId="0872BC93" w14:textId="77777777" w:rsidR="00F64145" w:rsidRPr="007F5A49" w:rsidRDefault="00F64145" w:rsidP="00EB2C54">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Growth, differentiation, developmental processes and fibrotic responses.</w:t>
            </w:r>
          </w:p>
        </w:tc>
      </w:tr>
      <w:tr w:rsidR="00F64145" w:rsidRPr="007F5A49" w14:paraId="77FEED96" w14:textId="77777777" w:rsidTr="00EB2C54">
        <w:tc>
          <w:tcPr>
            <w:tcW w:w="2297" w:type="dxa"/>
            <w:vMerge/>
            <w:shd w:val="clear" w:color="auto" w:fill="auto"/>
          </w:tcPr>
          <w:p w14:paraId="3B913D28" w14:textId="77777777" w:rsidR="00F64145" w:rsidRPr="007F5A49" w:rsidRDefault="00F64145" w:rsidP="00EB2C54">
            <w:pPr>
              <w:adjustRightInd w:val="0"/>
              <w:snapToGrid w:val="0"/>
              <w:spacing w:line="360" w:lineRule="auto"/>
              <w:jc w:val="both"/>
              <w:rPr>
                <w:rFonts w:ascii="Book Antiqua" w:hAnsi="Book Antiqua" w:cs="Arial"/>
                <w:sz w:val="24"/>
                <w:szCs w:val="24"/>
                <w:lang w:val="en-US"/>
              </w:rPr>
            </w:pPr>
          </w:p>
        </w:tc>
        <w:tc>
          <w:tcPr>
            <w:tcW w:w="2268" w:type="dxa"/>
            <w:shd w:val="clear" w:color="auto" w:fill="auto"/>
          </w:tcPr>
          <w:p w14:paraId="4DE40857" w14:textId="77777777" w:rsidR="00F64145" w:rsidRPr="007F5A49" w:rsidRDefault="00F64145" w:rsidP="00EB2C54">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Non-canonical</w:t>
            </w:r>
          </w:p>
          <w:p w14:paraId="4020BF28" w14:textId="77777777" w:rsidR="00F64145" w:rsidRPr="007F5A49" w:rsidRDefault="00F64145" w:rsidP="00EB2C54">
            <w:pPr>
              <w:adjustRightInd w:val="0"/>
              <w:snapToGrid w:val="0"/>
              <w:spacing w:line="360" w:lineRule="auto"/>
              <w:jc w:val="center"/>
              <w:rPr>
                <w:rFonts w:ascii="Book Antiqua" w:hAnsi="Book Antiqua" w:cs="Arial"/>
                <w:sz w:val="24"/>
                <w:szCs w:val="24"/>
                <w:lang w:val="en-US"/>
              </w:rPr>
            </w:pPr>
          </w:p>
          <w:p w14:paraId="43523B4C" w14:textId="549528D9" w:rsidR="00F64145" w:rsidRPr="007F5A49" w:rsidRDefault="00F64145" w:rsidP="00EB2C54">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TGF-β1 induced by iron-loading</w:t>
            </w:r>
            <w:r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7juqrcbcn","properties":{"formattedCitation":"(29)","plainCitation":"(29)","noteIndex":0},"citationItems":[{"id":73,"uris":["http://zotero.org/users/2804724/items/6MQWQWT2"],"uri":["http://zotero.org/users/2804724/items/6MQWQWT2"],"itemData":{"id":73,"type":"article-journal","title":"Excess iron induces hepatic oxidative stress and transforming growth factor β1 in genetic hemochromatosis","container-title":"Hepatology","page":"605-610","volume":"26","issue":"3","source":"onlinelibrary.wiley.com","DOI":"10.1002/hep.510260311","ISSN":"1527-3350","language":"en","author":[{"family":"Houglum","given":"K."},{"family":"Ramm","given":"G. A."},{"family":"Crawford","given":"D. H."},{"family":"Witztum","given":"J. L."},{"family":"Powell","given":"L. W."},{"family":"Chojkier","given":"M."}],"issued":{"date-parts":[["1997",9,1]]}}}],"schema":"https://github.com/citation-style-language/schema/raw/master/csl-citation.json"} </w:instrText>
            </w:r>
            <w:r w:rsidRPr="007F5A49">
              <w:rPr>
                <w:rFonts w:ascii="Book Antiqua" w:hAnsi="Book Antiqua" w:cs="Arial"/>
                <w:sz w:val="24"/>
                <w:szCs w:val="24"/>
                <w:vertAlign w:val="superscript"/>
                <w:lang w:val="en-US"/>
              </w:rPr>
              <w:fldChar w:fldCharType="separate"/>
            </w:r>
            <w:r w:rsidR="00E12045"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29</w:t>
            </w:r>
            <w:r w:rsidRPr="007F5A49">
              <w:rPr>
                <w:rFonts w:ascii="Book Antiqua" w:hAnsi="Book Antiqua" w:cs="Arial"/>
                <w:sz w:val="24"/>
                <w:szCs w:val="24"/>
                <w:vertAlign w:val="superscript"/>
                <w:lang w:val="en-US"/>
              </w:rPr>
              <w:fldChar w:fldCharType="end"/>
            </w:r>
            <w:r w:rsidR="00E12045" w:rsidRPr="007F5A49">
              <w:rPr>
                <w:rFonts w:ascii="Book Antiqua" w:hAnsi="Book Antiqua" w:cs="Arial"/>
                <w:sz w:val="24"/>
                <w:szCs w:val="24"/>
                <w:vertAlign w:val="superscript"/>
                <w:lang w:val="en-US"/>
              </w:rPr>
              <w:t>]</w:t>
            </w:r>
          </w:p>
        </w:tc>
        <w:tc>
          <w:tcPr>
            <w:tcW w:w="1560" w:type="dxa"/>
            <w:shd w:val="clear" w:color="auto" w:fill="auto"/>
          </w:tcPr>
          <w:p w14:paraId="44B99D50" w14:textId="77777777" w:rsidR="00F64145" w:rsidRPr="007F5A49" w:rsidRDefault="00F64145" w:rsidP="00EB2C54">
            <w:pPr>
              <w:adjustRightInd w:val="0"/>
              <w:snapToGrid w:val="0"/>
              <w:spacing w:line="360" w:lineRule="auto"/>
              <w:jc w:val="center"/>
              <w:rPr>
                <w:rFonts w:ascii="Book Antiqua" w:hAnsi="Book Antiqua" w:cs="Arial"/>
                <w:sz w:val="24"/>
                <w:szCs w:val="24"/>
                <w:lang w:val="en-US"/>
              </w:rPr>
            </w:pPr>
            <w:r w:rsidRPr="007F5A49">
              <w:rPr>
                <w:rFonts w:ascii="Book Antiqua" w:eastAsia="Times New Roman" w:hAnsi="Book Antiqua" w:cs="Arial"/>
                <w:sz w:val="24"/>
                <w:szCs w:val="24"/>
                <w:lang w:val="en-US"/>
              </w:rPr>
              <w:t>TGF-β-RII</w:t>
            </w:r>
          </w:p>
        </w:tc>
        <w:tc>
          <w:tcPr>
            <w:tcW w:w="1559" w:type="dxa"/>
            <w:shd w:val="clear" w:color="auto" w:fill="auto"/>
          </w:tcPr>
          <w:p w14:paraId="1FD4E393" w14:textId="77777777" w:rsidR="00F64145" w:rsidRPr="007F5A49" w:rsidRDefault="00F64145" w:rsidP="00EB2C54">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ALK-5</w:t>
            </w:r>
          </w:p>
          <w:p w14:paraId="452B4C41" w14:textId="77777777" w:rsidR="00F64145" w:rsidRPr="007F5A49" w:rsidRDefault="00F64145" w:rsidP="00EB2C54">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w:t>
            </w:r>
            <w:r w:rsidRPr="007F5A49">
              <w:rPr>
                <w:rFonts w:ascii="Book Antiqua" w:eastAsia="Times New Roman" w:hAnsi="Book Antiqua" w:cs="Arial"/>
                <w:sz w:val="24"/>
                <w:szCs w:val="24"/>
                <w:lang w:val="en-US"/>
              </w:rPr>
              <w:t>TGF-β-RI)</w:t>
            </w:r>
          </w:p>
        </w:tc>
        <w:tc>
          <w:tcPr>
            <w:tcW w:w="2126" w:type="dxa"/>
            <w:shd w:val="clear" w:color="auto" w:fill="auto"/>
          </w:tcPr>
          <w:p w14:paraId="291928E4" w14:textId="794CE5B2" w:rsidR="00F64145" w:rsidRPr="007F5A49" w:rsidRDefault="00F64145" w:rsidP="00EB2C54">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SMAD-1/5/8</w:t>
            </w:r>
          </w:p>
          <w:p w14:paraId="45426D0C" w14:textId="77777777" w:rsidR="00F64145" w:rsidRPr="007F5A49" w:rsidRDefault="00F64145" w:rsidP="00EB2C54">
            <w:pPr>
              <w:adjustRightInd w:val="0"/>
              <w:snapToGrid w:val="0"/>
              <w:spacing w:line="360" w:lineRule="auto"/>
              <w:jc w:val="center"/>
              <w:rPr>
                <w:rFonts w:ascii="Book Antiqua" w:hAnsi="Book Antiqua" w:cs="Arial"/>
                <w:sz w:val="24"/>
                <w:szCs w:val="24"/>
                <w:lang w:val="en-US"/>
              </w:rPr>
            </w:pPr>
          </w:p>
          <w:p w14:paraId="205E445F" w14:textId="003FB9CC" w:rsidR="00F64145" w:rsidRPr="007F5A49" w:rsidRDefault="00F64145" w:rsidP="00EB2C54">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(Transient stimulation, independent of cell type)</w:t>
            </w:r>
            <w:r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2gnlmtkrr7","properties":{"formattedCitation":"(44)","plainCitation":"(44)","noteIndex":0},"citationItems":[{"id":189,"uris":["http://zotero.org/users/2804724/items/PCZ9KRWI"],"uri":["http://zotero.org/users/2804724/items/PCZ9KRWI"],"itemData":{"id":189,"type":"article-journal","title":"Transforming Growth Factor β1 (TGF-β1) Activates Hepcidin mRNA Expression in Hepatocytes","container-title":"The Journal of Biological Chemistry","page":"13160-13174","volume":"291","issue":"25","source":"PubMed","abstract":"The hepatic hormone hepcidin is the master regulator of systemic iron homeostasis. Its expression level is adjusted to alterations in iron levels, inflammatory cues, and iron requirements for erythropoiesis. Bone morphogenetic protein 6 (BMP6) contributes to the iron-dependent control of hepcidin. In addition, TGF-β1 may stimulate hepcidin mRNA expression in murine hepatocytes and human leukocytes. However, receptors and downstream signaling proteins involved in TGF-β1-induced hepcidin expression are still unclear. Here we show that TGF-β1 treatment of mouse and human hepatocytes, as well as ectopic expression of TGF-β1 in mice, increases hepcidin mRNA levels. The hepcidin response to TGF-β1 depends on functional TGF-β1 type I receptor (ALK5) and TGF-β1 type II receptor (TβRII) and is mediated by a noncanonical mechanism that involves Smad1/5/8 phosphorylation. Interestingly, increasing availability of canonical Smad2/3 decreases TGF-β1-induced hepcidin regulation, whereas the BMP6-hepcidin signal was enhanced, indicating a signaling component stoichiometry-dependent cross-talk between the two pathways. Although ALK2/3-dependent hepcidin activation by BMP6 can be modulated by each of the three hemochromatosis-associated proteins: HJV (hemojuvelin), HFE (hemochromatosis protein), and TfR2 (transferrin receptor 2), these proteins do not control the ALK5-mediated hepcidin response to TGF-β1. TGF-β1 mRNA levels are increased in mouse models of iron overload, indicating that TGF-β1 may contribute to hepcidin synthesis under these conditions. In conclusion, these data demonstrate that a complex regulatory network involving TGF-β1 and BMP6 may control the sensing of systemic and/or hepatic iron levels.","DOI":"10.1074/jbc.M115.691543","ISSN":"1083-351X","note":"PMID: 27129231\nPMCID: PMC4933231","journalAbbreviation":"J. Biol. Chem.","language":"ENG","author":[{"family":"Chen","given":"Simeng"},{"family":"Feng","given":"Teng"},{"family":"Vujić Spasić","given":"Maja"},{"family":"Altamura","given":"Sandro"},{"family":"Breitkopf-Heinlein","given":"Katja"},{"family":"Altenöder","given":"Jutta"},{"family":"Weiss","given":"Thomas S."},{"family":"Dooley","given":"Steven"},{"family":"Muckenthaler","given":"Martina U."}],"issued":{"date-parts":[["2016",6,17]]}}}],"schema":"https://github.com/citation-style-language/schema/raw/master/csl-citation.json"} </w:instrText>
            </w:r>
            <w:r w:rsidRPr="007F5A49">
              <w:rPr>
                <w:rFonts w:ascii="Book Antiqua" w:hAnsi="Book Antiqua" w:cs="Arial"/>
                <w:sz w:val="24"/>
                <w:szCs w:val="24"/>
                <w:vertAlign w:val="superscript"/>
                <w:lang w:val="en-US"/>
              </w:rPr>
              <w:fldChar w:fldCharType="separate"/>
            </w:r>
            <w:r w:rsidR="005B1F3A"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44</w:t>
            </w:r>
            <w:r w:rsidRPr="007F5A49">
              <w:rPr>
                <w:rFonts w:ascii="Book Antiqua" w:hAnsi="Book Antiqua" w:cs="Arial"/>
                <w:sz w:val="24"/>
                <w:szCs w:val="24"/>
                <w:vertAlign w:val="superscript"/>
                <w:lang w:val="en-US"/>
              </w:rPr>
              <w:fldChar w:fldCharType="end"/>
            </w:r>
            <w:r w:rsidR="005B1F3A" w:rsidRPr="007F5A49">
              <w:rPr>
                <w:rFonts w:ascii="Book Antiqua" w:hAnsi="Book Antiqua" w:cs="Arial"/>
                <w:sz w:val="24"/>
                <w:szCs w:val="24"/>
                <w:vertAlign w:val="superscript"/>
                <w:lang w:val="en-US"/>
              </w:rPr>
              <w:t>]</w:t>
            </w:r>
          </w:p>
        </w:tc>
        <w:tc>
          <w:tcPr>
            <w:tcW w:w="1276" w:type="dxa"/>
            <w:shd w:val="clear" w:color="auto" w:fill="auto"/>
          </w:tcPr>
          <w:p w14:paraId="5B71B046" w14:textId="77777777" w:rsidR="00F64145" w:rsidRPr="007F5A49" w:rsidRDefault="00F64145" w:rsidP="00EB2C54">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SMAD-4</w:t>
            </w:r>
          </w:p>
        </w:tc>
        <w:tc>
          <w:tcPr>
            <w:tcW w:w="3118" w:type="dxa"/>
            <w:shd w:val="clear" w:color="auto" w:fill="auto"/>
          </w:tcPr>
          <w:p w14:paraId="33845D60" w14:textId="2A468336" w:rsidR="00F64145" w:rsidRPr="007F5A49" w:rsidRDefault="00F64145" w:rsidP="00EB2C54">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Hepcidin induction, independent of modulation by HJV, HFE and TFR2</w:t>
            </w:r>
            <w:r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1ph483r6vc","properties":{"formattedCitation":"(44)","plainCitation":"(44)","noteIndex":0},"citationItems":[{"id":189,"uris":["http://zotero.org/users/2804724/items/PCZ9KRWI"],"uri":["http://zotero.org/users/2804724/items/PCZ9KRWI"],"itemData":{"id":189,"type":"article-journal","title":"Transforming Growth Factor β1 (TGF-β1) Activates Hepcidin mRNA Expression in Hepatocytes","container-title":"The Journal of Biological Chemistry","page":"13160-13174","volume":"291","issue":"25","source":"PubMed","abstract":"The hepatic hormone hepcidin is the master regulator of systemic iron homeostasis. Its expression level is adjusted to alterations in iron levels, inflammatory cues, and iron requirements for erythropoiesis. Bone morphogenetic protein 6 (BMP6) contributes to the iron-dependent control of hepcidin. In addition, TGF-β1 may stimulate hepcidin mRNA expression in murine hepatocytes and human leukocytes. However, receptors and downstream signaling proteins involved in TGF-β1-induced hepcidin expression are still unclear. Here we show that TGF-β1 treatment of mouse and human hepatocytes, as well as ectopic expression of TGF-β1 in mice, increases hepcidin mRNA levels. The hepcidin response to TGF-β1 depends on functional TGF-β1 type I receptor (ALK5) and TGF-β1 type II receptor (TβRII) and is mediated by a noncanonical mechanism that involves Smad1/5/8 phosphorylation. Interestingly, increasing availability of canonical Smad2/3 decreases TGF-β1-induced hepcidin regulation, whereas the BMP6-hepcidin signal was enhanced, indicating a signaling component stoichiometry-dependent cross-talk between the two pathways. Although ALK2/3-dependent hepcidin activation by BMP6 can be modulated by each of the three hemochromatosis-associated proteins: HJV (hemojuvelin), HFE (hemochromatosis protein), and TfR2 (transferrin receptor 2), these proteins do not control the ALK5-mediated hepcidin response to TGF-β1. TGF-β1 mRNA levels are increased in mouse models of iron overload, indicating that TGF-β1 may contribute to hepcidin synthesis under these conditions. In conclusion, these data demonstrate that a complex regulatory network involving TGF-β1 and BMP6 may control the sensing of systemic and/or hepatic iron levels.","DOI":"10.1074/jbc.M115.691543","ISSN":"1083-351X","note":"PMID: 27129231\nPMCID: PMC4933231","journalAbbreviation":"J. Biol. Chem.","language":"ENG","author":[{"family":"Chen","given":"Simeng"},{"family":"Feng","given":"Teng"},{"family":"Vujić Spasić","given":"Maja"},{"family":"Altamura","given":"Sandro"},{"family":"Breitkopf-Heinlein","given":"Katja"},{"family":"Altenöder","given":"Jutta"},{"family":"Weiss","given":"Thomas S."},{"family":"Dooley","given":"Steven"},{"family":"Muckenthaler","given":"Martina U."}],"issued":{"date-parts":[["2016",6,17]]}}}],"schema":"https://github.com/citation-style-language/schema/raw/master/csl-citation.json"} </w:instrText>
            </w:r>
            <w:r w:rsidRPr="007F5A49">
              <w:rPr>
                <w:rFonts w:ascii="Book Antiqua" w:hAnsi="Book Antiqua" w:cs="Arial"/>
                <w:sz w:val="24"/>
                <w:szCs w:val="24"/>
                <w:vertAlign w:val="superscript"/>
                <w:lang w:val="en-US"/>
              </w:rPr>
              <w:fldChar w:fldCharType="separate"/>
            </w:r>
            <w:r w:rsidR="005B1F3A"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44</w:t>
            </w:r>
            <w:r w:rsidRPr="007F5A49">
              <w:rPr>
                <w:rFonts w:ascii="Book Antiqua" w:hAnsi="Book Antiqua" w:cs="Arial"/>
                <w:sz w:val="24"/>
                <w:szCs w:val="24"/>
                <w:vertAlign w:val="superscript"/>
                <w:lang w:val="en-US"/>
              </w:rPr>
              <w:fldChar w:fldCharType="end"/>
            </w:r>
            <w:r w:rsidR="005B1F3A" w:rsidRPr="007F5A49">
              <w:rPr>
                <w:rFonts w:ascii="Book Antiqua" w:hAnsi="Book Antiqua" w:cs="Arial"/>
                <w:sz w:val="24"/>
                <w:szCs w:val="24"/>
                <w:vertAlign w:val="superscript"/>
                <w:lang w:val="en-US"/>
              </w:rPr>
              <w:t>]</w:t>
            </w:r>
            <w:r w:rsidRPr="007F5A49">
              <w:rPr>
                <w:rFonts w:ascii="Book Antiqua" w:hAnsi="Book Antiqua" w:cs="Arial"/>
                <w:sz w:val="24"/>
                <w:szCs w:val="24"/>
                <w:lang w:val="en-US"/>
              </w:rPr>
              <w:t xml:space="preserve"> and independent of BMP6-mediated activation of hepcidin</w:t>
            </w:r>
          </w:p>
        </w:tc>
      </w:tr>
      <w:tr w:rsidR="00F64145" w:rsidRPr="007F5A49" w14:paraId="42C8A4C9" w14:textId="77777777" w:rsidTr="00EB2C54">
        <w:tc>
          <w:tcPr>
            <w:tcW w:w="2297" w:type="dxa"/>
            <w:vMerge w:val="restart"/>
            <w:shd w:val="clear" w:color="auto" w:fill="auto"/>
          </w:tcPr>
          <w:p w14:paraId="09ED78CD" w14:textId="77777777" w:rsidR="00F64145" w:rsidRPr="007F5A49" w:rsidRDefault="00F64145" w:rsidP="00EB2C54">
            <w:pPr>
              <w:adjustRightInd w:val="0"/>
              <w:snapToGrid w:val="0"/>
              <w:spacing w:line="360" w:lineRule="auto"/>
              <w:jc w:val="both"/>
              <w:rPr>
                <w:rFonts w:ascii="Book Antiqua" w:hAnsi="Book Antiqua" w:cs="Arial"/>
                <w:sz w:val="24"/>
                <w:szCs w:val="24"/>
                <w:lang w:val="en-US"/>
              </w:rPr>
            </w:pPr>
            <w:r w:rsidRPr="007F5A49">
              <w:rPr>
                <w:rFonts w:ascii="Book Antiqua" w:hAnsi="Book Antiqua" w:cs="Arial"/>
                <w:sz w:val="24"/>
                <w:szCs w:val="24"/>
                <w:lang w:val="en-US"/>
              </w:rPr>
              <w:t>Activins</w:t>
            </w:r>
          </w:p>
          <w:p w14:paraId="763FF3C3" w14:textId="77777777" w:rsidR="00F64145" w:rsidRPr="007F5A49" w:rsidRDefault="00F64145" w:rsidP="00EB2C54">
            <w:pPr>
              <w:adjustRightInd w:val="0"/>
              <w:snapToGrid w:val="0"/>
              <w:spacing w:line="360" w:lineRule="auto"/>
              <w:jc w:val="both"/>
              <w:rPr>
                <w:rFonts w:ascii="Book Antiqua" w:hAnsi="Book Antiqua" w:cs="Arial"/>
                <w:sz w:val="24"/>
                <w:szCs w:val="24"/>
                <w:lang w:val="en-US"/>
              </w:rPr>
            </w:pPr>
          </w:p>
          <w:p w14:paraId="0E776EE3" w14:textId="77777777" w:rsidR="00F64145" w:rsidRPr="007F5A49" w:rsidRDefault="00F64145" w:rsidP="00EB2C54">
            <w:pPr>
              <w:adjustRightInd w:val="0"/>
              <w:snapToGrid w:val="0"/>
              <w:spacing w:line="360" w:lineRule="auto"/>
              <w:jc w:val="both"/>
              <w:rPr>
                <w:rFonts w:ascii="Book Antiqua" w:hAnsi="Book Antiqua" w:cs="Arial"/>
                <w:sz w:val="24"/>
                <w:szCs w:val="24"/>
                <w:lang w:val="en-US"/>
              </w:rPr>
            </w:pPr>
            <w:r w:rsidRPr="007F5A49">
              <w:rPr>
                <w:rFonts w:ascii="Book Antiqua" w:hAnsi="Book Antiqua" w:cs="Arial"/>
                <w:sz w:val="24"/>
                <w:szCs w:val="24"/>
                <w:lang w:val="en-US"/>
              </w:rPr>
              <w:t>(Belong to TGF-β superfamily)</w:t>
            </w:r>
          </w:p>
          <w:p w14:paraId="16E5B570" w14:textId="77777777" w:rsidR="00F64145" w:rsidRPr="007F5A49" w:rsidRDefault="00F64145" w:rsidP="00EB2C54">
            <w:pPr>
              <w:adjustRightInd w:val="0"/>
              <w:snapToGrid w:val="0"/>
              <w:spacing w:line="360" w:lineRule="auto"/>
              <w:jc w:val="both"/>
              <w:rPr>
                <w:rFonts w:ascii="Book Antiqua" w:hAnsi="Book Antiqua" w:cs="Arial"/>
                <w:sz w:val="24"/>
                <w:szCs w:val="24"/>
                <w:lang w:val="en-US"/>
              </w:rPr>
            </w:pPr>
          </w:p>
        </w:tc>
        <w:tc>
          <w:tcPr>
            <w:tcW w:w="2268" w:type="dxa"/>
            <w:shd w:val="clear" w:color="auto" w:fill="auto"/>
          </w:tcPr>
          <w:p w14:paraId="056E3B4B" w14:textId="53F1D9DC" w:rsidR="00F64145" w:rsidRPr="007F5A49" w:rsidRDefault="00F64145" w:rsidP="00EB2C54">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Canonical</w:t>
            </w:r>
            <w:r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283knkrtmb","properties":{"formattedCitation":"(134)","plainCitation":"(134)","noteIndex":0},"citationItems":[{"id":106,"uris":["http://zotero.org/users/2804724/items/9QX5M4RV"],"uri":["http://zotero.org/users/2804724/items/9QX5M4RV"],"itemData":{"id":106,"type":"article-journal","title":"Activin B induces noncanonical SMAD1/5/8 signaling via BMP type I receptors in hepatocytes: evidence for a role in hepcidin induction by inflammation in male mice","container-title":"Endocrinology","page":"en20151747","source":"PubMed","abstract":"Induction of the iron regulatory hormone hepcidin contributes to the anemia of inflammation. Bone morphogenetic protein 6 (BMP6) signaling is a central regulator of hepcidin expression in the liver. Recently, the TGF-β/BMP superfamily member Activin B was implicated in hepcidin induction by inflammation via noncanonical SMAD1/5/8 signaling, but its mechanism of action and functional significance in vivo remain uncertain. Here, we show that low concentrations of Activin B, but not Activin A, stimulate prolonged SMAD1/5/8 signaling and hepcidin expression in liver cells to a similar degree as canonical SMAD2/3 signaling, and with similar or modestly reduced potency compared with BMP6. Activin B stimulates hepcidin via classical Activin type II receptors ACVR2A and ACVR2B, noncanonical BMP type I receptors ALK2 and ALK3, and SMAD5. The co-receptor hemojuvelin binds to Activin B and facilitates Activin B-SMAD1/5/8 signaling. Activin B-SMAD1/5/8 signaling has some selectivity for hepatocyte-derived cells and is not enabled by hemojuvelin in other cell types. Liver Activin B mRNA expression is upregulated in multiple mouse models of inflammation associated with increased hepcidin and hypoferremia including lipopolysaccharide (LPS), turpentine, and heat-killed Brucella abortus (BA) models. Finally, the Activin inhibitor follistatin-315 blunts hepcidin induction by LPS or BA in mice. Our data elucidate a novel mechanism for noncanonical SMAD activation, and support a likely functional role for Activin B in hepcidin stimulation during inflammation in vivo.","DOI":"10.1210/en.2015-1747","ISSN":"1945-7170","note":"PMID: 26735394","shortTitle":"Activin B induces noncanonical SMAD1/5/8 signaling via BMP type I receptors in hepatocytes","journalAbbreviation":"Endocrinology","language":"ENG","author":[{"family":"Canali","given":"Susanna"},{"family":"Core","given":"Amanda B."},{"family":"Zumbrennen-Bullough","given":"Kimberly B."},{"family":"Merkulova","given":"Maria"},{"family":"Wang","given":"Chia-Yu"},{"family":"Schneyer","given":"Alan"},{"family":"Pietrangelo","given":"Antonello"},{"family":"Babitt","given":"Jodie L."}],"issued":{"date-parts":[["2016",1,6]]}}}],"schema":"https://github.com/citation-style-language/schema/raw/master/csl-citation.json"} </w:instrText>
            </w:r>
            <w:r w:rsidRPr="007F5A49">
              <w:rPr>
                <w:rFonts w:ascii="Book Antiqua" w:hAnsi="Book Antiqua" w:cs="Arial"/>
                <w:sz w:val="24"/>
                <w:szCs w:val="24"/>
                <w:vertAlign w:val="superscript"/>
                <w:lang w:val="en-US"/>
              </w:rPr>
              <w:fldChar w:fldCharType="separate"/>
            </w:r>
            <w:r w:rsidR="00E12045"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134</w:t>
            </w:r>
            <w:r w:rsidRPr="007F5A49">
              <w:rPr>
                <w:rFonts w:ascii="Book Antiqua" w:hAnsi="Book Antiqua" w:cs="Arial"/>
                <w:sz w:val="24"/>
                <w:szCs w:val="24"/>
                <w:vertAlign w:val="superscript"/>
                <w:lang w:val="en-US"/>
              </w:rPr>
              <w:fldChar w:fldCharType="end"/>
            </w:r>
            <w:r w:rsidR="00E12045" w:rsidRPr="007F5A49">
              <w:rPr>
                <w:rFonts w:ascii="Book Antiqua" w:hAnsi="Book Antiqua" w:cs="Arial"/>
                <w:sz w:val="24"/>
                <w:szCs w:val="24"/>
                <w:vertAlign w:val="superscript"/>
                <w:lang w:val="en-US"/>
              </w:rPr>
              <w:t>]</w:t>
            </w:r>
          </w:p>
        </w:tc>
        <w:tc>
          <w:tcPr>
            <w:tcW w:w="1560" w:type="dxa"/>
            <w:shd w:val="clear" w:color="auto" w:fill="auto"/>
          </w:tcPr>
          <w:p w14:paraId="70E56929" w14:textId="77777777" w:rsidR="00F64145" w:rsidRPr="007F5A49" w:rsidRDefault="00F64145" w:rsidP="00EB2C54">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ACVR2A, ACVR2B</w:t>
            </w:r>
          </w:p>
        </w:tc>
        <w:tc>
          <w:tcPr>
            <w:tcW w:w="1559" w:type="dxa"/>
            <w:shd w:val="clear" w:color="auto" w:fill="auto"/>
          </w:tcPr>
          <w:p w14:paraId="2C003D96" w14:textId="77777777" w:rsidR="00F64145" w:rsidRPr="007F5A49" w:rsidRDefault="00F64145" w:rsidP="00EB2C54">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ALK-4/7</w:t>
            </w:r>
          </w:p>
          <w:p w14:paraId="2047685B" w14:textId="77777777" w:rsidR="00F64145" w:rsidRPr="007F5A49" w:rsidRDefault="00F64145" w:rsidP="00EB2C54">
            <w:pPr>
              <w:adjustRightInd w:val="0"/>
              <w:snapToGrid w:val="0"/>
              <w:spacing w:line="360" w:lineRule="auto"/>
              <w:jc w:val="center"/>
              <w:rPr>
                <w:rFonts w:ascii="Book Antiqua" w:hAnsi="Book Antiqua" w:cs="Arial"/>
                <w:sz w:val="24"/>
                <w:szCs w:val="24"/>
                <w:lang w:val="en-US"/>
              </w:rPr>
            </w:pPr>
          </w:p>
          <w:p w14:paraId="6E7B1BC2" w14:textId="77777777" w:rsidR="00F64145" w:rsidRPr="007F5A49" w:rsidRDefault="00F64145" w:rsidP="00EB2C54">
            <w:pPr>
              <w:adjustRightInd w:val="0"/>
              <w:snapToGrid w:val="0"/>
              <w:spacing w:line="360" w:lineRule="auto"/>
              <w:jc w:val="center"/>
              <w:rPr>
                <w:rFonts w:ascii="Book Antiqua" w:hAnsi="Book Antiqua" w:cs="Arial"/>
                <w:sz w:val="24"/>
                <w:szCs w:val="24"/>
                <w:lang w:val="en-US"/>
              </w:rPr>
            </w:pPr>
          </w:p>
        </w:tc>
        <w:tc>
          <w:tcPr>
            <w:tcW w:w="2126" w:type="dxa"/>
            <w:shd w:val="clear" w:color="auto" w:fill="auto"/>
          </w:tcPr>
          <w:p w14:paraId="03E4E43B" w14:textId="1614DED8" w:rsidR="00F64145" w:rsidRPr="007F5A49" w:rsidRDefault="00F64145" w:rsidP="00EB2C54">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SMAD-2/3</w:t>
            </w:r>
          </w:p>
        </w:tc>
        <w:tc>
          <w:tcPr>
            <w:tcW w:w="1276" w:type="dxa"/>
            <w:shd w:val="clear" w:color="auto" w:fill="auto"/>
          </w:tcPr>
          <w:p w14:paraId="7F145D8F" w14:textId="77777777" w:rsidR="00F64145" w:rsidRPr="007F5A49" w:rsidRDefault="00F64145" w:rsidP="00EB2C54">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SMAD-4</w:t>
            </w:r>
          </w:p>
        </w:tc>
        <w:tc>
          <w:tcPr>
            <w:tcW w:w="3118" w:type="dxa"/>
            <w:shd w:val="clear" w:color="auto" w:fill="auto"/>
          </w:tcPr>
          <w:p w14:paraId="4B5624A5" w14:textId="77777777" w:rsidR="00F64145" w:rsidRPr="007F5A49" w:rsidRDefault="00F64145" w:rsidP="00EB2C54">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Differentiation, proliferation and determine functions of several cell types</w:t>
            </w:r>
          </w:p>
        </w:tc>
      </w:tr>
      <w:tr w:rsidR="00F64145" w:rsidRPr="007F5A49" w14:paraId="725580ED" w14:textId="77777777" w:rsidTr="00EB2C54">
        <w:tc>
          <w:tcPr>
            <w:tcW w:w="2297" w:type="dxa"/>
            <w:vMerge/>
            <w:shd w:val="clear" w:color="auto" w:fill="auto"/>
          </w:tcPr>
          <w:p w14:paraId="26667A81" w14:textId="77777777" w:rsidR="00F64145" w:rsidRPr="007F5A49" w:rsidRDefault="00F64145" w:rsidP="00EB2C54">
            <w:pPr>
              <w:adjustRightInd w:val="0"/>
              <w:snapToGrid w:val="0"/>
              <w:spacing w:line="360" w:lineRule="auto"/>
              <w:jc w:val="both"/>
              <w:rPr>
                <w:rFonts w:ascii="Book Antiqua" w:hAnsi="Book Antiqua" w:cs="Arial"/>
                <w:sz w:val="24"/>
                <w:szCs w:val="24"/>
                <w:lang w:val="en-US"/>
              </w:rPr>
            </w:pPr>
          </w:p>
        </w:tc>
        <w:tc>
          <w:tcPr>
            <w:tcW w:w="2268" w:type="dxa"/>
            <w:shd w:val="clear" w:color="auto" w:fill="auto"/>
          </w:tcPr>
          <w:p w14:paraId="44766547" w14:textId="77777777" w:rsidR="00F64145" w:rsidRPr="007F5A49" w:rsidRDefault="00F64145" w:rsidP="00EB2C54">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Non-canonical</w:t>
            </w:r>
          </w:p>
          <w:p w14:paraId="0D183A66" w14:textId="77777777" w:rsidR="00F64145" w:rsidRPr="007F5A49" w:rsidRDefault="00F64145" w:rsidP="00EB2C54">
            <w:pPr>
              <w:adjustRightInd w:val="0"/>
              <w:snapToGrid w:val="0"/>
              <w:spacing w:line="360" w:lineRule="auto"/>
              <w:jc w:val="center"/>
              <w:rPr>
                <w:rFonts w:ascii="Book Antiqua" w:hAnsi="Book Antiqua" w:cs="Arial"/>
                <w:sz w:val="24"/>
                <w:szCs w:val="24"/>
                <w:lang w:val="en-US"/>
              </w:rPr>
            </w:pPr>
          </w:p>
          <w:p w14:paraId="75851A37" w14:textId="08017FCC" w:rsidR="00F64145" w:rsidRPr="007F5A49" w:rsidRDefault="00F64145" w:rsidP="00EB2C54">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Activin B induced by inflammation</w:t>
            </w:r>
            <w:r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617hmok54","properties":{"formattedCitation":"(134)","plainCitation":"(134)","noteIndex":0},"citationItems":[{"id":106,"uris":["http://zotero.org/users/2804724/items/9QX5M4RV"],"uri":["http://zotero.org/users/2804724/items/9QX5M4RV"],"itemData":{"id":106,"type":"article-journal","title":"Activin B induces noncanonical SMAD1/5/8 signaling via BMP type I receptors in hepatocytes: evidence for a role in hepcidin induction by inflammation in male mice","container-title":"Endocrinology","page":"en20151747","source":"PubMed","abstract":"Induction of the iron regulatory hormone hepcidin contributes to the anemia of inflammation. Bone morphogenetic protein 6 (BMP6) signaling is a central regulator of hepcidin expression in the liver. Recently, the TGF-β/BMP superfamily member Activin B was implicated in hepcidin induction by inflammation via noncanonical SMAD1/5/8 signaling, but its mechanism of action and functional significance in vivo remain uncertain. Here, we show that low concentrations of Activin B, but not Activin A, stimulate prolonged SMAD1/5/8 signaling and hepcidin expression in liver cells to a similar degree as canonical SMAD2/3 signaling, and with similar or modestly reduced potency compared with BMP6. Activin B stimulates hepcidin via classical Activin type II receptors ACVR2A and ACVR2B, noncanonical BMP type I receptors ALK2 and ALK3, and SMAD5. The co-receptor hemojuvelin binds to Activin B and facilitates Activin B-SMAD1/5/8 signaling. Activin B-SMAD1/5/8 signaling has some selectivity for hepatocyte-derived cells and is not enabled by hemojuvelin in other cell types. Liver Activin B mRNA expression is upregulated in multiple mouse models of inflammation associated with increased hepcidin and hypoferremia including lipopolysaccharide (LPS), turpentine, and heat-killed Brucella abortus (BA) models. Finally, the Activin inhibitor follistatin-315 blunts hepcidin induction by LPS or BA in mice. Our data elucidate a novel mechanism for noncanonical SMAD activation, and support a likely functional role for Activin B in hepcidin stimulation during inflammation in vivo.","DOI":"10.1210/en.2015-1747","ISSN":"1945-7170","note":"PMID: 26735394","shortTitle":"Activin B induces noncanonical SMAD1/5/8 signaling via BMP type I receptors in hepatocytes","journalAbbreviation":"Endocrinology","language":"ENG","author":[{"family":"Canali","given":"Susanna"},{"family":"Core","given":"Amanda B."},{"family":"Zumbrennen-Bullough","given":"Kimberly B."},{"family":"Merkulova","given":"Maria"},{"family":"Wang","given":"Chia-Yu"},{"family":"Schneyer","given":"Alan"},{"family":"Pietrangelo","given":"Antonello"},{"family":"Babitt","given":"Jodie L."}],"issued":{"date-parts":[["2016",1,6]]}}}],"schema":"https://github.com/citation-style-language/schema/raw/master/csl-citation.json"} </w:instrText>
            </w:r>
            <w:r w:rsidRPr="007F5A49">
              <w:rPr>
                <w:rFonts w:ascii="Book Antiqua" w:hAnsi="Book Antiqua" w:cs="Arial"/>
                <w:sz w:val="24"/>
                <w:szCs w:val="24"/>
                <w:vertAlign w:val="superscript"/>
                <w:lang w:val="en-US"/>
              </w:rPr>
              <w:fldChar w:fldCharType="separate"/>
            </w:r>
            <w:r w:rsidR="00BE61F8"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134</w:t>
            </w:r>
            <w:r w:rsidRPr="007F5A49">
              <w:rPr>
                <w:rFonts w:ascii="Book Antiqua" w:hAnsi="Book Antiqua" w:cs="Arial"/>
                <w:sz w:val="24"/>
                <w:szCs w:val="24"/>
                <w:vertAlign w:val="superscript"/>
                <w:lang w:val="en-US"/>
              </w:rPr>
              <w:fldChar w:fldCharType="end"/>
            </w:r>
            <w:r w:rsidR="00BE61F8" w:rsidRPr="007F5A49">
              <w:rPr>
                <w:rFonts w:ascii="Book Antiqua" w:hAnsi="Book Antiqua" w:cs="Arial"/>
                <w:sz w:val="24"/>
                <w:szCs w:val="24"/>
                <w:vertAlign w:val="superscript"/>
                <w:lang w:val="en-US"/>
              </w:rPr>
              <w:t>]</w:t>
            </w:r>
          </w:p>
        </w:tc>
        <w:tc>
          <w:tcPr>
            <w:tcW w:w="1560" w:type="dxa"/>
            <w:shd w:val="clear" w:color="auto" w:fill="auto"/>
          </w:tcPr>
          <w:p w14:paraId="0E4BB4E8" w14:textId="77777777" w:rsidR="00F64145" w:rsidRPr="007F5A49" w:rsidRDefault="00F64145" w:rsidP="00EB2C54">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ACVR2A, ACVR2B</w:t>
            </w:r>
          </w:p>
        </w:tc>
        <w:tc>
          <w:tcPr>
            <w:tcW w:w="1559" w:type="dxa"/>
            <w:shd w:val="clear" w:color="auto" w:fill="auto"/>
          </w:tcPr>
          <w:p w14:paraId="0967E4C1" w14:textId="77777777" w:rsidR="00F64145" w:rsidRPr="007F5A49" w:rsidRDefault="00F64145" w:rsidP="00EB2C54">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ALK-2/3 with HJV as co-receptor</w:t>
            </w:r>
          </w:p>
        </w:tc>
        <w:tc>
          <w:tcPr>
            <w:tcW w:w="2126" w:type="dxa"/>
            <w:shd w:val="clear" w:color="auto" w:fill="auto"/>
          </w:tcPr>
          <w:p w14:paraId="71BF63A0" w14:textId="77777777" w:rsidR="00F64145" w:rsidRPr="007F5A49" w:rsidRDefault="00F64145" w:rsidP="00EB2C54">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SMAD-1/5/8</w:t>
            </w:r>
          </w:p>
          <w:p w14:paraId="565DF513" w14:textId="77777777" w:rsidR="00F64145" w:rsidRPr="007F5A49" w:rsidRDefault="00F64145" w:rsidP="00EB2C54">
            <w:pPr>
              <w:adjustRightInd w:val="0"/>
              <w:snapToGrid w:val="0"/>
              <w:spacing w:line="360" w:lineRule="auto"/>
              <w:jc w:val="center"/>
              <w:rPr>
                <w:rFonts w:ascii="Book Antiqua" w:hAnsi="Book Antiqua" w:cs="Arial"/>
                <w:sz w:val="24"/>
                <w:szCs w:val="24"/>
                <w:lang w:val="en-US"/>
              </w:rPr>
            </w:pPr>
          </w:p>
          <w:p w14:paraId="6D8FAECB" w14:textId="77777777" w:rsidR="00F64145" w:rsidRPr="007F5A49" w:rsidRDefault="00F64145" w:rsidP="00EB2C54">
            <w:pPr>
              <w:adjustRightInd w:val="0"/>
              <w:snapToGrid w:val="0"/>
              <w:spacing w:line="360" w:lineRule="auto"/>
              <w:jc w:val="center"/>
              <w:rPr>
                <w:rFonts w:ascii="Book Antiqua" w:hAnsi="Book Antiqua" w:cs="Arial"/>
                <w:sz w:val="24"/>
                <w:szCs w:val="24"/>
                <w:lang w:val="en-US"/>
              </w:rPr>
            </w:pPr>
          </w:p>
        </w:tc>
        <w:tc>
          <w:tcPr>
            <w:tcW w:w="1276" w:type="dxa"/>
            <w:shd w:val="clear" w:color="auto" w:fill="auto"/>
          </w:tcPr>
          <w:p w14:paraId="3C319A3B" w14:textId="77777777" w:rsidR="00F64145" w:rsidRPr="007F5A49" w:rsidRDefault="00F64145" w:rsidP="00EB2C54">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SMAD-4</w:t>
            </w:r>
          </w:p>
        </w:tc>
        <w:tc>
          <w:tcPr>
            <w:tcW w:w="3118" w:type="dxa"/>
            <w:shd w:val="clear" w:color="auto" w:fill="auto"/>
          </w:tcPr>
          <w:p w14:paraId="55F6A645" w14:textId="6E24774C" w:rsidR="00F64145" w:rsidRPr="007F5A49" w:rsidRDefault="00F64145" w:rsidP="00EB2C54">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Hepcidin induction during inflammation</w:t>
            </w:r>
            <w:r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kiPPXelA","properties":{"formattedCitation":"(135)","plainCitation":"(135)","noteIndex":0},"citationItems":[{"id":"z1PZoHrb/yrze6uzE","uris":["http://zotero.org/users/4222068/items/RICWGNA3"],"uri":["http://zotero.org/users/4222068/items/RICWGNA3"],"itemData":{"id":1538,"type":"article-journal","title":"Regulation of hepcidin expression by inflammation-induced activin B","container-title":"Scientific Reports","volume":"6","source":"PubMed Central","abstract":"Activin B is induced in response to inflammation in the liver and enhances hepcidin expression, but the source of activin B and the molecular mechanism underlying hepcidin induction are not clear yet. Lipopolysaccharide (LPS)-induced inflammation induced inhibin βB but not inhibin α or inhibin βA expression in the liver, implicating activin B induction. Immunoreactive inhibin βB was detected in endothelial cells and Kupffer cells in LPS-treated liver. Activin B, but not activin A or activin AB, directly increased hepcidin expression. Activin B induced phosphorylation and activation of Smad1/5/8, the BMP-regulated (BR)-Smads. The stimulation of hepcidin transcription by activin B was mediated by ALK2 and ActRIIA, receptors for the TGF-β family. Unexpectedly, activin B-induced hepcidin expression and BR-Smad phosphorylation were resistant to the effects of LDN-193189, an ALK2/3/6 inhibitor. ALK2 and ActRIIA complex formation in response to activin B may prevent the approach of LDN-193189 to ALK2 to inhibit its activity. Activin B also induced phosphorylation of Smad2/3, the TGF-β/activin-regulated (AR)-Smad, and increased expression of connective tissue growth factor, a gene related to liver fibrogenesis, through ALK4 and ActRIIA/B. Activin B-induced activation of the BR-Smad pathway was also detected in non-liver-derived cells. The present study reveals the broad signaling of activin B, which is induced in non-parenchymal cells in response to hepatic inflammation, in hepatocytes.","URL":"https://www.ncbi.nlm.nih.gov/pmc/articles/PMC5138601/","DOI":"10.1038/srep38702","ISSN":"2045-2322","note":"PMID: 27922109\nPMCID: PMC5138601","journalAbbreviation":"Sci Rep","author":[{"family":"Kanamori","given":"Yohei"},{"family":"Sugiyama","given":"Makoto"},{"family":"Hashimoto","given":"Osamu"},{"family":"Murakami","given":"Masaru"},{"family":"Matsui","given":"Tohru"},{"family":"Funaba","given":"Masayuki"}],"issued":{"date-parts":[["2016",12,6]]}}}],"schema":"https://github.com/citation-style-language/schema/raw/master/csl-citation.json"} </w:instrText>
            </w:r>
            <w:r w:rsidRPr="007F5A49">
              <w:rPr>
                <w:rFonts w:ascii="Book Antiqua" w:hAnsi="Book Antiqua" w:cs="Arial"/>
                <w:sz w:val="24"/>
                <w:szCs w:val="24"/>
                <w:vertAlign w:val="superscript"/>
                <w:lang w:val="en-US"/>
              </w:rPr>
              <w:fldChar w:fldCharType="separate"/>
            </w:r>
            <w:r w:rsidR="00C13BE1"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135</w:t>
            </w:r>
            <w:r w:rsidRPr="007F5A49">
              <w:rPr>
                <w:rFonts w:ascii="Book Antiqua" w:hAnsi="Book Antiqua" w:cs="Arial"/>
                <w:sz w:val="24"/>
                <w:szCs w:val="24"/>
                <w:vertAlign w:val="superscript"/>
                <w:lang w:val="en-US"/>
              </w:rPr>
              <w:fldChar w:fldCharType="end"/>
            </w:r>
            <w:r w:rsidR="00C13BE1" w:rsidRPr="007F5A49">
              <w:rPr>
                <w:rFonts w:ascii="Book Antiqua" w:hAnsi="Book Antiqua" w:cs="Arial"/>
                <w:sz w:val="24"/>
                <w:szCs w:val="24"/>
                <w:vertAlign w:val="superscript"/>
                <w:lang w:val="en-US"/>
              </w:rPr>
              <w:t>]</w:t>
            </w:r>
          </w:p>
        </w:tc>
      </w:tr>
    </w:tbl>
    <w:p w14:paraId="3B8E6EC4" w14:textId="43511F77" w:rsidR="001A2E2C" w:rsidRPr="007F5A49" w:rsidRDefault="00397CA4" w:rsidP="007F5A49">
      <w:pPr>
        <w:adjustRightInd w:val="0"/>
        <w:snapToGrid w:val="0"/>
        <w:spacing w:after="0" w:line="360" w:lineRule="auto"/>
        <w:jc w:val="both"/>
        <w:rPr>
          <w:rFonts w:ascii="Book Antiqua" w:hAnsi="Book Antiqua" w:cs="Arial"/>
          <w:sz w:val="24"/>
          <w:szCs w:val="24"/>
          <w:lang w:val="en-US"/>
        </w:rPr>
      </w:pPr>
      <w:r>
        <w:rPr>
          <w:rFonts w:ascii="Book Antiqua" w:hAnsi="Book Antiqua" w:cs="Arial"/>
          <w:sz w:val="24"/>
          <w:szCs w:val="24"/>
          <w:lang w:val="en-US"/>
        </w:rPr>
        <w:lastRenderedPageBreak/>
        <w:t>ACVR: Activin receptor;</w:t>
      </w:r>
      <w:r w:rsidR="001A2E2C" w:rsidRPr="007F5A49">
        <w:rPr>
          <w:rFonts w:ascii="Book Antiqua" w:hAnsi="Book Antiqua" w:cs="Arial"/>
          <w:sz w:val="24"/>
          <w:szCs w:val="24"/>
          <w:lang w:val="en-US"/>
        </w:rPr>
        <w:t xml:space="preserve"> </w:t>
      </w:r>
      <w:r w:rsidR="001A2E2C" w:rsidRPr="007F5A49">
        <w:rPr>
          <w:rFonts w:ascii="Book Antiqua" w:hAnsi="Book Antiqua" w:cs="Arial"/>
          <w:bCs/>
          <w:color w:val="000000" w:themeColor="text1"/>
          <w:kern w:val="24"/>
          <w:sz w:val="24"/>
          <w:szCs w:val="24"/>
          <w:lang w:val="en-US"/>
        </w:rPr>
        <w:t>ALK</w:t>
      </w:r>
      <w:r w:rsidR="001A2E2C" w:rsidRPr="007F5A49">
        <w:rPr>
          <w:rFonts w:ascii="Book Antiqua" w:hAnsi="Book Antiqua"/>
          <w:sz w:val="24"/>
          <w:szCs w:val="24"/>
          <w:lang w:val="en-US"/>
        </w:rPr>
        <w:t xml:space="preserve">: </w:t>
      </w:r>
      <w:r>
        <w:rPr>
          <w:rStyle w:val="st"/>
          <w:rFonts w:ascii="Book Antiqua" w:hAnsi="Book Antiqua"/>
          <w:sz w:val="24"/>
          <w:szCs w:val="24"/>
          <w:lang w:val="en-US"/>
        </w:rPr>
        <w:t>Activin receptor-like kinase;</w:t>
      </w:r>
      <w:r w:rsidR="001A2E2C" w:rsidRPr="007F5A49">
        <w:rPr>
          <w:rStyle w:val="st"/>
          <w:rFonts w:ascii="Book Antiqua" w:hAnsi="Book Antiqua"/>
          <w:sz w:val="24"/>
          <w:szCs w:val="24"/>
          <w:lang w:val="en-US"/>
        </w:rPr>
        <w:t xml:space="preserve"> </w:t>
      </w:r>
      <w:r w:rsidR="001A2E2C" w:rsidRPr="007F5A49">
        <w:rPr>
          <w:rFonts w:ascii="Book Antiqua" w:hAnsi="Book Antiqua" w:cs="Arial"/>
          <w:sz w:val="24"/>
          <w:szCs w:val="24"/>
          <w:lang w:val="en-US"/>
        </w:rPr>
        <w:t>BMP:</w:t>
      </w:r>
      <w:r>
        <w:rPr>
          <w:rFonts w:ascii="Book Antiqua" w:hAnsi="Book Antiqua" w:cs="Arial"/>
          <w:bCs/>
          <w:color w:val="000000" w:themeColor="text1"/>
          <w:kern w:val="24"/>
          <w:sz w:val="24"/>
          <w:szCs w:val="24"/>
          <w:lang w:val="en-US"/>
        </w:rPr>
        <w:t xml:space="preserve"> Bone morphogenetic protein;</w:t>
      </w:r>
      <w:r w:rsidR="001A2E2C" w:rsidRPr="007F5A49">
        <w:rPr>
          <w:rFonts w:ascii="Book Antiqua" w:hAnsi="Book Antiqua" w:cs="Arial"/>
          <w:bCs/>
          <w:color w:val="000000" w:themeColor="text1"/>
          <w:kern w:val="24"/>
          <w:sz w:val="24"/>
          <w:szCs w:val="24"/>
          <w:lang w:val="en-US"/>
        </w:rPr>
        <w:t xml:space="preserve"> BMPR: </w:t>
      </w:r>
      <w:r>
        <w:rPr>
          <w:rStyle w:val="st"/>
          <w:rFonts w:ascii="Book Antiqua" w:hAnsi="Book Antiqua"/>
          <w:sz w:val="24"/>
          <w:szCs w:val="24"/>
          <w:lang w:val="en-US"/>
        </w:rPr>
        <w:t>B</w:t>
      </w:r>
      <w:r w:rsidR="001A2E2C" w:rsidRPr="007F5A49">
        <w:rPr>
          <w:rStyle w:val="st"/>
          <w:rFonts w:ascii="Book Antiqua" w:hAnsi="Book Antiqua"/>
          <w:sz w:val="24"/>
          <w:szCs w:val="24"/>
          <w:lang w:val="en-US"/>
        </w:rPr>
        <w:t>one</w:t>
      </w:r>
      <w:r>
        <w:rPr>
          <w:rStyle w:val="st"/>
          <w:rFonts w:ascii="Book Antiqua" w:hAnsi="Book Antiqua"/>
          <w:sz w:val="24"/>
          <w:szCs w:val="24"/>
          <w:lang w:val="en-US"/>
        </w:rPr>
        <w:t xml:space="preserve"> morphogenetic protein receptor;</w:t>
      </w:r>
      <w:r w:rsidR="001A2E2C" w:rsidRPr="007F5A49">
        <w:rPr>
          <w:rStyle w:val="st"/>
          <w:rFonts w:ascii="Book Antiqua" w:hAnsi="Book Antiqua"/>
          <w:sz w:val="24"/>
          <w:szCs w:val="24"/>
          <w:lang w:val="en-US"/>
        </w:rPr>
        <w:t xml:space="preserve"> </w:t>
      </w:r>
      <w:r>
        <w:rPr>
          <w:rFonts w:ascii="Book Antiqua" w:hAnsi="Book Antiqua" w:cs="Arial"/>
          <w:bCs/>
          <w:color w:val="000000" w:themeColor="text1"/>
          <w:kern w:val="24"/>
          <w:sz w:val="24"/>
          <w:szCs w:val="24"/>
          <w:lang w:val="en-US"/>
        </w:rPr>
        <w:t>HFE: High iron protein;</w:t>
      </w:r>
      <w:r w:rsidR="001A2E2C" w:rsidRPr="007F5A49">
        <w:rPr>
          <w:rFonts w:ascii="Book Antiqua" w:hAnsi="Book Antiqua" w:cs="Arial"/>
          <w:bCs/>
          <w:color w:val="000000" w:themeColor="text1"/>
          <w:kern w:val="24"/>
          <w:sz w:val="24"/>
          <w:szCs w:val="24"/>
          <w:lang w:val="en-US"/>
        </w:rPr>
        <w:t xml:space="preserve"> HJV: </w:t>
      </w:r>
      <w:r>
        <w:rPr>
          <w:rFonts w:ascii="Book Antiqua" w:hAnsi="Book Antiqua" w:cs="Arial"/>
          <w:bCs/>
          <w:color w:val="000000" w:themeColor="text1"/>
          <w:kern w:val="24"/>
          <w:sz w:val="24"/>
          <w:szCs w:val="24"/>
          <w:lang w:val="en-US"/>
        </w:rPr>
        <w:t>H</w:t>
      </w:r>
      <w:r>
        <w:rPr>
          <w:rStyle w:val="st"/>
          <w:rFonts w:ascii="Book Antiqua" w:hAnsi="Book Antiqua"/>
          <w:sz w:val="24"/>
          <w:szCs w:val="24"/>
          <w:lang w:val="en-US"/>
        </w:rPr>
        <w:t>emojuvelin protein;</w:t>
      </w:r>
      <w:r w:rsidR="001A2E2C" w:rsidRPr="007F5A49">
        <w:rPr>
          <w:rStyle w:val="st"/>
          <w:rFonts w:ascii="Book Antiqua" w:hAnsi="Book Antiqua"/>
          <w:sz w:val="24"/>
          <w:szCs w:val="24"/>
          <w:lang w:val="en-US"/>
        </w:rPr>
        <w:t xml:space="preserve"> </w:t>
      </w:r>
      <w:r>
        <w:rPr>
          <w:rFonts w:ascii="Book Antiqua" w:hAnsi="Book Antiqua" w:cs="Arial"/>
          <w:sz w:val="24"/>
          <w:szCs w:val="24"/>
          <w:lang w:val="en-US"/>
        </w:rPr>
        <w:t>SMAD: S</w:t>
      </w:r>
      <w:r w:rsidR="001A2E2C" w:rsidRPr="007F5A49">
        <w:rPr>
          <w:rFonts w:ascii="Book Antiqua" w:hAnsi="Book Antiqua" w:cs="Arial"/>
          <w:sz w:val="24"/>
          <w:szCs w:val="24"/>
          <w:lang w:val="en-US"/>
        </w:rPr>
        <w:t>mall m</w:t>
      </w:r>
      <w:r w:rsidR="001A2E2C" w:rsidRPr="007F5A49">
        <w:rPr>
          <w:rFonts w:ascii="Book Antiqua" w:hAnsi="Book Antiqua"/>
          <w:sz w:val="24"/>
          <w:szCs w:val="24"/>
          <w:lang w:val="en-US"/>
        </w:rPr>
        <w:t>others against decapentaplegic protein</w:t>
      </w:r>
      <w:r>
        <w:rPr>
          <w:rFonts w:ascii="Book Antiqua" w:hAnsi="Book Antiqua"/>
          <w:sz w:val="24"/>
          <w:szCs w:val="24"/>
          <w:lang w:val="en-US"/>
        </w:rPr>
        <w:t>;</w:t>
      </w:r>
      <w:r>
        <w:rPr>
          <w:rFonts w:ascii="Book Antiqua" w:hAnsi="Book Antiqua" w:cs="Arial"/>
          <w:bCs/>
          <w:color w:val="000000" w:themeColor="text1"/>
          <w:kern w:val="24"/>
          <w:sz w:val="24"/>
          <w:szCs w:val="24"/>
          <w:lang w:val="en-US"/>
        </w:rPr>
        <w:t xml:space="preserve"> TFR: Transferrin receptor; TFR: Transferrin receptor;</w:t>
      </w:r>
      <w:r w:rsidR="001A2E2C" w:rsidRPr="007F5A49">
        <w:rPr>
          <w:rFonts w:ascii="Book Antiqua" w:hAnsi="Book Antiqua" w:cs="Arial"/>
          <w:bCs/>
          <w:color w:val="000000" w:themeColor="text1"/>
          <w:kern w:val="24"/>
          <w:sz w:val="24"/>
          <w:szCs w:val="24"/>
          <w:lang w:val="en-US"/>
        </w:rPr>
        <w:t xml:space="preserve"> </w:t>
      </w:r>
      <w:r w:rsidR="001A2E2C" w:rsidRPr="007F5A49">
        <w:rPr>
          <w:rFonts w:ascii="Book Antiqua" w:hAnsi="Book Antiqua" w:cs="Arial"/>
          <w:color w:val="000000" w:themeColor="text1"/>
          <w:kern w:val="24"/>
          <w:sz w:val="24"/>
          <w:szCs w:val="24"/>
          <w:lang w:val="en-US"/>
        </w:rPr>
        <w:t xml:space="preserve">TGF-β: </w:t>
      </w:r>
      <w:r>
        <w:rPr>
          <w:rFonts w:ascii="Book Antiqua" w:hAnsi="Book Antiqua" w:cs="Arial"/>
          <w:bCs/>
          <w:color w:val="000000" w:themeColor="text1"/>
          <w:kern w:val="24"/>
          <w:sz w:val="24"/>
          <w:szCs w:val="24"/>
          <w:lang w:val="en-US"/>
        </w:rPr>
        <w:t>T</w:t>
      </w:r>
      <w:bookmarkStart w:id="157" w:name="_Hlk533831073"/>
      <w:r w:rsidR="00073287">
        <w:rPr>
          <w:rFonts w:ascii="Book Antiqua" w:hAnsi="Book Antiqua" w:cs="Arial"/>
          <w:bCs/>
          <w:color w:val="000000" w:themeColor="text1"/>
          <w:kern w:val="24"/>
          <w:sz w:val="24"/>
          <w:szCs w:val="24"/>
          <w:lang w:val="en-US"/>
        </w:rPr>
        <w:t>ransforming growth factor beta;</w:t>
      </w:r>
      <w:r w:rsidR="001A2E2C" w:rsidRPr="007F5A49">
        <w:rPr>
          <w:rFonts w:ascii="Book Antiqua" w:hAnsi="Book Antiqua" w:cs="Arial"/>
          <w:bCs/>
          <w:color w:val="000000" w:themeColor="text1"/>
          <w:kern w:val="24"/>
          <w:sz w:val="24"/>
          <w:szCs w:val="24"/>
          <w:lang w:val="en-US"/>
        </w:rPr>
        <w:t xml:space="preserve"> </w:t>
      </w:r>
      <w:r w:rsidR="001A2E2C" w:rsidRPr="007F5A49">
        <w:rPr>
          <w:rFonts w:ascii="Book Antiqua" w:hAnsi="Book Antiqua" w:cs="Arial"/>
          <w:color w:val="000000" w:themeColor="text1"/>
          <w:kern w:val="24"/>
          <w:sz w:val="24"/>
          <w:szCs w:val="24"/>
          <w:lang w:val="en-US"/>
        </w:rPr>
        <w:t xml:space="preserve">TGF-β-R: </w:t>
      </w:r>
      <w:r w:rsidR="00073287">
        <w:rPr>
          <w:rFonts w:ascii="Book Antiqua" w:hAnsi="Book Antiqua" w:cs="Arial"/>
          <w:bCs/>
          <w:color w:val="000000" w:themeColor="text1"/>
          <w:kern w:val="24"/>
          <w:sz w:val="24"/>
          <w:szCs w:val="24"/>
          <w:lang w:val="en-US"/>
        </w:rPr>
        <w:t>T</w:t>
      </w:r>
      <w:r w:rsidR="001A2E2C" w:rsidRPr="007F5A49">
        <w:rPr>
          <w:rFonts w:ascii="Book Antiqua" w:hAnsi="Book Antiqua" w:cs="Arial"/>
          <w:bCs/>
          <w:color w:val="000000" w:themeColor="text1"/>
          <w:kern w:val="24"/>
          <w:sz w:val="24"/>
          <w:szCs w:val="24"/>
          <w:lang w:val="en-US"/>
        </w:rPr>
        <w:t xml:space="preserve">ransforming growth factor </w:t>
      </w:r>
      <w:r w:rsidR="00073287">
        <w:rPr>
          <w:rFonts w:ascii="Book Antiqua" w:hAnsi="Book Antiqua" w:cs="Arial"/>
          <w:bCs/>
          <w:color w:val="000000" w:themeColor="text1"/>
          <w:kern w:val="24"/>
          <w:sz w:val="24"/>
          <w:szCs w:val="24"/>
          <w:lang w:val="en-US"/>
        </w:rPr>
        <w:t xml:space="preserve">beta </w:t>
      </w:r>
      <w:r w:rsidR="001A2E2C" w:rsidRPr="007F5A49">
        <w:rPr>
          <w:rFonts w:ascii="Book Antiqua" w:hAnsi="Book Antiqua" w:cs="Arial"/>
          <w:bCs/>
          <w:color w:val="000000" w:themeColor="text1"/>
          <w:kern w:val="24"/>
          <w:sz w:val="24"/>
          <w:szCs w:val="24"/>
          <w:lang w:val="en-US"/>
        </w:rPr>
        <w:t>receptor</w:t>
      </w:r>
      <w:r w:rsidR="00073287">
        <w:rPr>
          <w:rFonts w:ascii="Book Antiqua" w:hAnsi="Book Antiqua" w:cs="Arial"/>
          <w:bCs/>
          <w:color w:val="000000" w:themeColor="text1"/>
          <w:kern w:val="24"/>
          <w:sz w:val="24"/>
          <w:szCs w:val="24"/>
          <w:lang w:val="en-US"/>
        </w:rPr>
        <w:t>.</w:t>
      </w:r>
    </w:p>
    <w:bookmarkEnd w:id="157"/>
    <w:p w14:paraId="25BC044C" w14:textId="77777777" w:rsidR="00901159" w:rsidRDefault="00901159">
      <w:pPr>
        <w:rPr>
          <w:rFonts w:ascii="Book Antiqua" w:hAnsi="Book Antiqua" w:cs="Arial"/>
          <w:b/>
          <w:sz w:val="24"/>
          <w:szCs w:val="24"/>
          <w:lang w:val="en-US"/>
        </w:rPr>
      </w:pPr>
      <w:r>
        <w:rPr>
          <w:rFonts w:ascii="Book Antiqua" w:hAnsi="Book Antiqua" w:cs="Arial"/>
          <w:b/>
          <w:sz w:val="24"/>
          <w:szCs w:val="24"/>
          <w:lang w:val="en-US"/>
        </w:rPr>
        <w:br w:type="page"/>
      </w:r>
    </w:p>
    <w:p w14:paraId="11236CD1" w14:textId="07C6179F" w:rsidR="00F64145" w:rsidRPr="00901159" w:rsidRDefault="00F64145" w:rsidP="008E1EBB">
      <w:pPr>
        <w:adjustRightInd w:val="0"/>
        <w:snapToGrid w:val="0"/>
        <w:spacing w:after="0" w:line="360" w:lineRule="auto"/>
        <w:jc w:val="both"/>
        <w:outlineLvl w:val="0"/>
        <w:rPr>
          <w:rFonts w:ascii="Book Antiqua" w:hAnsi="Book Antiqua" w:cs="Arial"/>
          <w:b/>
          <w:sz w:val="24"/>
          <w:szCs w:val="24"/>
          <w:lang w:val="en-US"/>
        </w:rPr>
      </w:pPr>
      <w:r w:rsidRPr="007F5A49">
        <w:rPr>
          <w:rFonts w:ascii="Book Antiqua" w:hAnsi="Book Antiqua" w:cs="Arial"/>
          <w:b/>
          <w:sz w:val="24"/>
          <w:szCs w:val="24"/>
          <w:lang w:val="en-US"/>
        </w:rPr>
        <w:lastRenderedPageBreak/>
        <w:t>Table 2</w:t>
      </w:r>
      <w:r w:rsidRPr="007F5A49">
        <w:rPr>
          <w:rFonts w:ascii="Book Antiqua" w:hAnsi="Book Antiqua" w:cs="Arial"/>
          <w:sz w:val="24"/>
          <w:szCs w:val="24"/>
          <w:lang w:val="en-US"/>
        </w:rPr>
        <w:t xml:space="preserve"> </w:t>
      </w:r>
      <w:r w:rsidRPr="007F5A49">
        <w:rPr>
          <w:rFonts w:ascii="Book Antiqua" w:hAnsi="Book Antiqua" w:cs="Arial"/>
          <w:b/>
          <w:sz w:val="24"/>
          <w:szCs w:val="24"/>
          <w:lang w:val="en-US"/>
        </w:rPr>
        <w:t>Iron-related parameters in</w:t>
      </w:r>
      <w:r w:rsidR="00C75473" w:rsidRPr="007F5A49">
        <w:rPr>
          <w:rFonts w:ascii="Book Antiqua" w:hAnsi="Book Antiqua" w:cs="Arial"/>
          <w:b/>
          <w:sz w:val="24"/>
          <w:szCs w:val="24"/>
          <w:lang w:val="en-US"/>
        </w:rPr>
        <w:t xml:space="preserve"> various fibrosis-promoting chronic liver diseases</w:t>
      </w:r>
    </w:p>
    <w:tbl>
      <w:tblPr>
        <w:tblW w:w="14302" w:type="dxa"/>
        <w:tblBorders>
          <w:top w:val="single" w:sz="4" w:space="0" w:color="auto"/>
          <w:bottom w:val="single" w:sz="4" w:space="0" w:color="auto"/>
        </w:tblBorders>
        <w:tblLayout w:type="fixed"/>
        <w:tblLook w:val="04A0" w:firstRow="1" w:lastRow="0" w:firstColumn="1" w:lastColumn="0" w:noHBand="0" w:noVBand="1"/>
      </w:tblPr>
      <w:tblGrid>
        <w:gridCol w:w="1686"/>
        <w:gridCol w:w="2127"/>
        <w:gridCol w:w="2391"/>
        <w:gridCol w:w="1165"/>
        <w:gridCol w:w="2397"/>
        <w:gridCol w:w="2410"/>
        <w:gridCol w:w="2126"/>
      </w:tblGrid>
      <w:tr w:rsidR="00F64145" w:rsidRPr="007F5A49" w14:paraId="58A31DA5" w14:textId="77777777" w:rsidTr="00EB2C54">
        <w:trPr>
          <w:trHeight w:val="699"/>
        </w:trPr>
        <w:tc>
          <w:tcPr>
            <w:tcW w:w="1686" w:type="dxa"/>
            <w:tcBorders>
              <w:top w:val="single" w:sz="4" w:space="0" w:color="auto"/>
              <w:bottom w:val="single" w:sz="4" w:space="0" w:color="auto"/>
            </w:tcBorders>
            <w:shd w:val="clear" w:color="auto" w:fill="auto"/>
          </w:tcPr>
          <w:p w14:paraId="34F6207A" w14:textId="77777777" w:rsidR="00F64145" w:rsidRPr="007F5A49" w:rsidRDefault="00F64145" w:rsidP="007F5A49">
            <w:pPr>
              <w:adjustRightInd w:val="0"/>
              <w:snapToGrid w:val="0"/>
              <w:spacing w:line="360" w:lineRule="auto"/>
              <w:jc w:val="both"/>
              <w:rPr>
                <w:rFonts w:ascii="Book Antiqua" w:hAnsi="Book Antiqua" w:cs="Arial"/>
                <w:sz w:val="24"/>
                <w:szCs w:val="24"/>
                <w:lang w:val="en-US"/>
              </w:rPr>
            </w:pPr>
          </w:p>
        </w:tc>
        <w:tc>
          <w:tcPr>
            <w:tcW w:w="2127" w:type="dxa"/>
            <w:tcBorders>
              <w:top w:val="single" w:sz="4" w:space="0" w:color="auto"/>
              <w:bottom w:val="single" w:sz="4" w:space="0" w:color="auto"/>
            </w:tcBorders>
            <w:shd w:val="clear" w:color="auto" w:fill="auto"/>
          </w:tcPr>
          <w:p w14:paraId="6148AAB4" w14:textId="77777777" w:rsidR="00F64145" w:rsidRPr="007F5A49" w:rsidRDefault="00F64145" w:rsidP="003F73FF">
            <w:pPr>
              <w:adjustRightInd w:val="0"/>
              <w:snapToGrid w:val="0"/>
              <w:spacing w:line="360" w:lineRule="auto"/>
              <w:jc w:val="center"/>
              <w:rPr>
                <w:rFonts w:ascii="Book Antiqua" w:hAnsi="Book Antiqua" w:cs="Arial"/>
                <w:b/>
                <w:sz w:val="24"/>
                <w:szCs w:val="24"/>
                <w:lang w:val="en-US"/>
              </w:rPr>
            </w:pPr>
            <w:r w:rsidRPr="007F5A49">
              <w:rPr>
                <w:rFonts w:ascii="Book Antiqua" w:hAnsi="Book Antiqua" w:cs="Arial"/>
                <w:b/>
                <w:sz w:val="24"/>
                <w:szCs w:val="24"/>
                <w:lang w:val="en-US"/>
              </w:rPr>
              <w:t>Normal</w:t>
            </w:r>
          </w:p>
        </w:tc>
        <w:tc>
          <w:tcPr>
            <w:tcW w:w="2391" w:type="dxa"/>
            <w:tcBorders>
              <w:top w:val="single" w:sz="4" w:space="0" w:color="auto"/>
              <w:bottom w:val="single" w:sz="4" w:space="0" w:color="auto"/>
            </w:tcBorders>
            <w:shd w:val="clear" w:color="auto" w:fill="auto"/>
          </w:tcPr>
          <w:p w14:paraId="3BC9B90C" w14:textId="14526E9B" w:rsidR="00F64145" w:rsidRPr="007F5A49" w:rsidRDefault="00F64145" w:rsidP="003F73FF">
            <w:pPr>
              <w:adjustRightInd w:val="0"/>
              <w:snapToGrid w:val="0"/>
              <w:spacing w:line="360" w:lineRule="auto"/>
              <w:jc w:val="center"/>
              <w:rPr>
                <w:rFonts w:ascii="Book Antiqua" w:hAnsi="Book Antiqua" w:cs="Arial"/>
                <w:b/>
                <w:sz w:val="24"/>
                <w:szCs w:val="24"/>
                <w:lang w:val="en-US"/>
              </w:rPr>
            </w:pPr>
            <w:r w:rsidRPr="007F5A49">
              <w:rPr>
                <w:rFonts w:ascii="Book Antiqua" w:hAnsi="Book Antiqua" w:cs="Arial"/>
                <w:b/>
                <w:sz w:val="24"/>
                <w:szCs w:val="24"/>
                <w:lang w:val="en-US"/>
              </w:rPr>
              <w:t>Hereditary Hemochromatosis</w:t>
            </w:r>
          </w:p>
        </w:tc>
        <w:tc>
          <w:tcPr>
            <w:tcW w:w="1165" w:type="dxa"/>
            <w:tcBorders>
              <w:top w:val="single" w:sz="4" w:space="0" w:color="auto"/>
              <w:bottom w:val="single" w:sz="4" w:space="0" w:color="auto"/>
            </w:tcBorders>
            <w:shd w:val="clear" w:color="auto" w:fill="auto"/>
          </w:tcPr>
          <w:p w14:paraId="44CCCC4A" w14:textId="77777777" w:rsidR="00F64145" w:rsidRPr="007F5A49" w:rsidRDefault="00F64145" w:rsidP="003F73FF">
            <w:pPr>
              <w:adjustRightInd w:val="0"/>
              <w:snapToGrid w:val="0"/>
              <w:spacing w:line="360" w:lineRule="auto"/>
              <w:jc w:val="center"/>
              <w:rPr>
                <w:rFonts w:ascii="Book Antiqua" w:hAnsi="Book Antiqua" w:cs="Arial"/>
                <w:b/>
                <w:sz w:val="24"/>
                <w:szCs w:val="24"/>
                <w:lang w:val="en-US"/>
              </w:rPr>
            </w:pPr>
            <w:r w:rsidRPr="007F5A49">
              <w:rPr>
                <w:rFonts w:ascii="Book Antiqua" w:hAnsi="Book Antiqua" w:cs="Arial"/>
                <w:b/>
                <w:sz w:val="24"/>
                <w:szCs w:val="24"/>
                <w:lang w:val="en-US"/>
              </w:rPr>
              <w:t>ALD</w:t>
            </w:r>
          </w:p>
        </w:tc>
        <w:tc>
          <w:tcPr>
            <w:tcW w:w="2397" w:type="dxa"/>
            <w:tcBorders>
              <w:top w:val="single" w:sz="4" w:space="0" w:color="auto"/>
              <w:bottom w:val="single" w:sz="4" w:space="0" w:color="auto"/>
            </w:tcBorders>
            <w:shd w:val="clear" w:color="auto" w:fill="auto"/>
          </w:tcPr>
          <w:p w14:paraId="7FC5FEEE" w14:textId="77777777" w:rsidR="00F64145" w:rsidRPr="007F5A49" w:rsidRDefault="00F64145" w:rsidP="003F73FF">
            <w:pPr>
              <w:adjustRightInd w:val="0"/>
              <w:snapToGrid w:val="0"/>
              <w:spacing w:line="360" w:lineRule="auto"/>
              <w:jc w:val="center"/>
              <w:rPr>
                <w:rFonts w:ascii="Book Antiqua" w:hAnsi="Book Antiqua" w:cs="Arial"/>
                <w:b/>
                <w:sz w:val="24"/>
                <w:szCs w:val="24"/>
                <w:lang w:val="en-US"/>
              </w:rPr>
            </w:pPr>
            <w:r w:rsidRPr="007F5A49">
              <w:rPr>
                <w:rFonts w:ascii="Book Antiqua" w:hAnsi="Book Antiqua" w:cs="Arial"/>
                <w:b/>
                <w:sz w:val="24"/>
                <w:szCs w:val="24"/>
                <w:lang w:val="en-US"/>
              </w:rPr>
              <w:t>NAFLD/NASH</w:t>
            </w:r>
          </w:p>
        </w:tc>
        <w:tc>
          <w:tcPr>
            <w:tcW w:w="2410" w:type="dxa"/>
            <w:tcBorders>
              <w:top w:val="single" w:sz="4" w:space="0" w:color="auto"/>
              <w:bottom w:val="single" w:sz="4" w:space="0" w:color="auto"/>
            </w:tcBorders>
            <w:shd w:val="clear" w:color="auto" w:fill="auto"/>
          </w:tcPr>
          <w:p w14:paraId="69D1FEAC" w14:textId="3969F95D" w:rsidR="00F64145" w:rsidRPr="007F5A49" w:rsidRDefault="00F64145" w:rsidP="003F73FF">
            <w:pPr>
              <w:adjustRightInd w:val="0"/>
              <w:snapToGrid w:val="0"/>
              <w:spacing w:line="360" w:lineRule="auto"/>
              <w:jc w:val="center"/>
              <w:rPr>
                <w:rFonts w:ascii="Book Antiqua" w:hAnsi="Book Antiqua" w:cs="Arial"/>
                <w:b/>
                <w:sz w:val="24"/>
                <w:szCs w:val="24"/>
                <w:lang w:val="en-US"/>
              </w:rPr>
            </w:pPr>
            <w:r w:rsidRPr="007F5A49">
              <w:rPr>
                <w:rFonts w:ascii="Book Antiqua" w:hAnsi="Book Antiqua" w:cs="Arial"/>
                <w:b/>
                <w:sz w:val="24"/>
                <w:szCs w:val="24"/>
                <w:lang w:val="en-US"/>
              </w:rPr>
              <w:t>Viral hepatitis</w:t>
            </w:r>
          </w:p>
        </w:tc>
        <w:tc>
          <w:tcPr>
            <w:tcW w:w="2126" w:type="dxa"/>
            <w:tcBorders>
              <w:top w:val="single" w:sz="4" w:space="0" w:color="auto"/>
              <w:bottom w:val="single" w:sz="4" w:space="0" w:color="auto"/>
            </w:tcBorders>
            <w:shd w:val="clear" w:color="auto" w:fill="auto"/>
          </w:tcPr>
          <w:p w14:paraId="38240365" w14:textId="77777777" w:rsidR="00F64145" w:rsidRPr="007F5A49" w:rsidRDefault="00F64145" w:rsidP="003F73FF">
            <w:pPr>
              <w:adjustRightInd w:val="0"/>
              <w:snapToGrid w:val="0"/>
              <w:spacing w:line="360" w:lineRule="auto"/>
              <w:jc w:val="center"/>
              <w:rPr>
                <w:rFonts w:ascii="Book Antiqua" w:hAnsi="Book Antiqua" w:cs="Arial"/>
                <w:b/>
                <w:sz w:val="24"/>
                <w:szCs w:val="24"/>
                <w:lang w:val="en-US"/>
              </w:rPr>
            </w:pPr>
            <w:r w:rsidRPr="007F5A49">
              <w:rPr>
                <w:rFonts w:ascii="Book Antiqua" w:hAnsi="Book Antiqua" w:cs="Arial"/>
                <w:b/>
                <w:sz w:val="24"/>
                <w:szCs w:val="24"/>
                <w:lang w:val="en-US"/>
              </w:rPr>
              <w:t>Diabetes</w:t>
            </w:r>
          </w:p>
        </w:tc>
      </w:tr>
      <w:tr w:rsidR="00F64145" w:rsidRPr="007F5A49" w14:paraId="50CE0476" w14:textId="77777777" w:rsidTr="00EB2C54">
        <w:trPr>
          <w:trHeight w:val="2806"/>
        </w:trPr>
        <w:tc>
          <w:tcPr>
            <w:tcW w:w="1686" w:type="dxa"/>
            <w:tcBorders>
              <w:top w:val="single" w:sz="4" w:space="0" w:color="auto"/>
            </w:tcBorders>
            <w:shd w:val="clear" w:color="auto" w:fill="auto"/>
          </w:tcPr>
          <w:p w14:paraId="34E421E5" w14:textId="6F0A2345" w:rsidR="00F64145" w:rsidRPr="003F73FF" w:rsidRDefault="00F64145" w:rsidP="007F5A49">
            <w:pPr>
              <w:adjustRightInd w:val="0"/>
              <w:snapToGrid w:val="0"/>
              <w:spacing w:line="360" w:lineRule="auto"/>
              <w:jc w:val="both"/>
              <w:rPr>
                <w:rFonts w:ascii="Book Antiqua" w:hAnsi="Book Antiqua" w:cs="Arial"/>
                <w:sz w:val="24"/>
                <w:szCs w:val="24"/>
                <w:lang w:val="en-US"/>
              </w:rPr>
            </w:pPr>
            <w:r w:rsidRPr="003F73FF">
              <w:rPr>
                <w:rFonts w:ascii="Book Antiqua" w:hAnsi="Book Antiqua" w:cs="Arial"/>
                <w:sz w:val="24"/>
                <w:szCs w:val="24"/>
                <w:lang w:val="en-US"/>
              </w:rPr>
              <w:t xml:space="preserve">Iron level/accumulation </w:t>
            </w:r>
          </w:p>
        </w:tc>
        <w:tc>
          <w:tcPr>
            <w:tcW w:w="2127" w:type="dxa"/>
            <w:tcBorders>
              <w:top w:val="single" w:sz="4" w:space="0" w:color="auto"/>
            </w:tcBorders>
            <w:shd w:val="clear" w:color="auto" w:fill="auto"/>
          </w:tcPr>
          <w:p w14:paraId="0E248B8C" w14:textId="50740E06" w:rsidR="00F64145" w:rsidRPr="007F5A49" w:rsidRDefault="00C40BC0" w:rsidP="003F73FF">
            <w:pPr>
              <w:pStyle w:val="ListParagraph"/>
              <w:adjustRightInd w:val="0"/>
              <w:snapToGrid w:val="0"/>
              <w:spacing w:line="360" w:lineRule="auto"/>
              <w:ind w:left="0"/>
              <w:contextualSpacing w:val="0"/>
              <w:jc w:val="center"/>
              <w:rPr>
                <w:rFonts w:ascii="Book Antiqua" w:hAnsi="Book Antiqua" w:cs="Arial"/>
                <w:sz w:val="24"/>
                <w:szCs w:val="24"/>
                <w:lang w:val="en-US"/>
              </w:rPr>
            </w:pPr>
            <w:r w:rsidRPr="007F5A49">
              <w:rPr>
                <w:rFonts w:ascii="Book Antiqua" w:hAnsi="Book Antiqua" w:cs="Arial"/>
                <w:sz w:val="24"/>
                <w:szCs w:val="24"/>
                <w:lang w:val="en-US"/>
              </w:rPr>
              <w:t>In body: 3-5</w:t>
            </w:r>
            <w:r w:rsidR="00F64145" w:rsidRPr="007F5A49">
              <w:rPr>
                <w:rFonts w:ascii="Book Antiqua" w:hAnsi="Book Antiqua" w:cs="Arial"/>
                <w:sz w:val="24"/>
                <w:szCs w:val="24"/>
                <w:lang w:val="en-US"/>
              </w:rPr>
              <w:t xml:space="preserve"> g</w:t>
            </w:r>
            <w:r w:rsidR="00F64145"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1ssampdaid","properties":{"formattedCitation":"(7)","plainCitation":"(7)","noteIndex":0},"citationItems":[{"id":107,"uris":["http://zotero.org/users/2804724/items/TK5HVEM3"],"uri":["http://zotero.org/users/2804724/items/TK5HVEM3"],"itemData":{"id":107,"type":"article-journal","title":"Iron and the liver","container-title":"Liver International: Official Journal of the International Association for the Study of the Liver","page":"116-123","volume":"36 Suppl 1","source":"PubMed","abstract":"Humans have evolved to retain iron in the body and are exposed to a high risk of iron overload and iron-related toxicity. Excess iron in the blood, in the absence of increased erythropoietic needs, can saturate the buffering capacity of serum transferrin and result in non-transferrin-bound highly reactive forms of iron that can cause damage, as well as promote fibrogenesis and carcinogenesis in the parenchymatous organs. A number of hereditary or acquired diseases are associated with systemic or local iron deposition or iron misdistribution in organs or cells. Two of these, the HFE- and non-HFE hemochromatosis syndromes represent the paradigms of genetic iron overload. They share common clinical features and the same pathogenic basis, in particular, a lack of synthesis or activity of hepcidin, the iron hormone. Before hepcidin was discovered, the liver was simply regarded as the main site of iron storage and, as such, the main target of iron toxicity. Now, as the main source of hepcidin, it appears that the loss of the hepcidin-producing liver mass or genetic and acquired factors that repress hepcidin synthesis in the liver may also lead to iron overload. Usually, there is low-grade excess iron which, through oxidative stress, is sufficient to worsen the course of the underlying liver disease or other chronic diseases that are apparently unrelated to iron, such as chronic metabolic and cardiovascular diseases. In the future, modulation of hepcidin synthesis and activity or hepcidin hormone-replacing strategies may become therapeutic options to cure iron-related disorders.","DOI":"10.1111/liv.13020","ISSN":"1478-3231","note":"PMID: 26725908","journalAbbreviation":"Liver Int.","language":"eng","author":[{"family":"Pietrangelo","given":"Antonello"}],"issued":{"date-parts":[["2016",1]]}}}],"schema":"https://github.com/citation-style-language/schema/raw/master/csl-citation.json"} </w:instrText>
            </w:r>
            <w:r w:rsidR="00F64145" w:rsidRPr="007F5A49">
              <w:rPr>
                <w:rFonts w:ascii="Book Antiqua" w:hAnsi="Book Antiqua" w:cs="Arial"/>
                <w:sz w:val="24"/>
                <w:szCs w:val="24"/>
                <w:vertAlign w:val="superscript"/>
                <w:lang w:val="en-US"/>
              </w:rPr>
              <w:fldChar w:fldCharType="separate"/>
            </w:r>
            <w:r w:rsidR="00124A65"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7</w:t>
            </w:r>
            <w:r w:rsidR="00F64145" w:rsidRPr="007F5A49">
              <w:rPr>
                <w:rFonts w:ascii="Book Antiqua" w:hAnsi="Book Antiqua" w:cs="Arial"/>
                <w:sz w:val="24"/>
                <w:szCs w:val="24"/>
                <w:vertAlign w:val="superscript"/>
                <w:lang w:val="en-US"/>
              </w:rPr>
              <w:fldChar w:fldCharType="end"/>
            </w:r>
            <w:r w:rsidR="00124A65" w:rsidRPr="007F5A49">
              <w:rPr>
                <w:rFonts w:ascii="Book Antiqua" w:hAnsi="Book Antiqua" w:cs="Arial"/>
                <w:sz w:val="24"/>
                <w:szCs w:val="24"/>
                <w:vertAlign w:val="superscript"/>
                <w:lang w:val="en-US"/>
              </w:rPr>
              <w:t>]</w:t>
            </w:r>
          </w:p>
          <w:p w14:paraId="703F0378" w14:textId="44F5D001" w:rsidR="00F64145" w:rsidRPr="007F5A49" w:rsidRDefault="003F73FF" w:rsidP="003F73FF">
            <w:pPr>
              <w:pStyle w:val="ListParagraph"/>
              <w:adjustRightInd w:val="0"/>
              <w:snapToGrid w:val="0"/>
              <w:spacing w:line="360" w:lineRule="auto"/>
              <w:ind w:left="0"/>
              <w:contextualSpacing w:val="0"/>
              <w:jc w:val="center"/>
              <w:rPr>
                <w:rFonts w:ascii="Book Antiqua" w:hAnsi="Book Antiqua" w:cs="Arial"/>
                <w:sz w:val="24"/>
                <w:szCs w:val="24"/>
                <w:lang w:val="en-US"/>
              </w:rPr>
            </w:pPr>
            <w:r>
              <w:rPr>
                <w:rFonts w:ascii="Book Antiqua" w:hAnsi="Book Antiqua" w:cs="Arial"/>
                <w:sz w:val="24"/>
                <w:szCs w:val="24"/>
                <w:lang w:val="en-US"/>
              </w:rPr>
              <w:t xml:space="preserve">In RBCs: about </w:t>
            </w:r>
            <w:r w:rsidR="00F64145" w:rsidRPr="007F5A49">
              <w:rPr>
                <w:rFonts w:ascii="Book Antiqua" w:hAnsi="Book Antiqua" w:cs="Arial"/>
                <w:sz w:val="24"/>
                <w:szCs w:val="24"/>
                <w:lang w:val="en-US"/>
              </w:rPr>
              <w:t>2.5 g</w:t>
            </w:r>
          </w:p>
          <w:p w14:paraId="2B0A3248" w14:textId="2539A03D" w:rsidR="00A23501" w:rsidRPr="007F5A49" w:rsidRDefault="00A23501" w:rsidP="003F73FF">
            <w:pPr>
              <w:pStyle w:val="ListParagraph"/>
              <w:adjustRightInd w:val="0"/>
              <w:snapToGrid w:val="0"/>
              <w:spacing w:line="360" w:lineRule="auto"/>
              <w:ind w:left="0"/>
              <w:contextualSpacing w:val="0"/>
              <w:jc w:val="center"/>
              <w:rPr>
                <w:rFonts w:ascii="Book Antiqua" w:hAnsi="Book Antiqua" w:cs="Arial"/>
                <w:sz w:val="24"/>
                <w:szCs w:val="24"/>
                <w:lang w:val="en-US"/>
              </w:rPr>
            </w:pPr>
            <w:r w:rsidRPr="007F5A49">
              <w:rPr>
                <w:rFonts w:ascii="Book Antiqua" w:hAnsi="Book Antiqua" w:cs="Arial"/>
                <w:sz w:val="24"/>
                <w:szCs w:val="24"/>
                <w:lang w:val="en-US"/>
              </w:rPr>
              <w:t>In liver:</w:t>
            </w:r>
            <w:r w:rsidR="00047187" w:rsidRPr="007F5A49">
              <w:rPr>
                <w:rFonts w:ascii="Book Antiqua" w:hAnsi="Book Antiqua" w:cs="Arial"/>
                <w:sz w:val="24"/>
                <w:szCs w:val="24"/>
                <w:lang w:val="en-US"/>
              </w:rPr>
              <w:t xml:space="preserve"> 300 mg to 1 g</w:t>
            </w:r>
            <w:r w:rsidR="00047187" w:rsidRPr="007F5A49">
              <w:rPr>
                <w:rFonts w:ascii="Book Antiqua" w:hAnsi="Book Antiqua" w:cs="Arial"/>
                <w:sz w:val="24"/>
                <w:szCs w:val="24"/>
                <w:vertAlign w:val="superscript"/>
                <w:lang w:val="en-US"/>
              </w:rPr>
              <w:fldChar w:fldCharType="begin"/>
            </w:r>
            <w:r w:rsidR="00047187" w:rsidRPr="007F5A49">
              <w:rPr>
                <w:rFonts w:ascii="Book Antiqua" w:hAnsi="Book Antiqua" w:cs="Arial"/>
                <w:sz w:val="24"/>
                <w:szCs w:val="24"/>
                <w:vertAlign w:val="superscript"/>
                <w:lang w:val="en-US"/>
              </w:rPr>
              <w:instrText xml:space="preserve"> ADDIN ZOTERO_ITEM CSL_CITATION {"citationID":"a1ssampdaid","properties":{"formattedCitation":"(7)","plainCitation":"(7)","noteIndex":0},"citationItems":[{"id":107,"uris":["http://zotero.org/users/2804724/items/TK5HVEM3"],"uri":["http://zotero.org/users/2804724/items/TK5HVEM3"],"itemData":{"id":107,"type":"article-journal","title":"Iron and the liver","container-title":"Liver International: Official Journal of the International Association for the Study of the Liver","page":"116-123","volume":"36 Suppl 1","source":"PubMed","abstract":"Humans have evolved to retain iron in the body and are exposed to a high risk of iron overload and iron-related toxicity. Excess iron in the blood, in the absence of increased erythropoietic needs, can saturate the buffering capacity of serum transferrin and result in non-transferrin-bound highly reactive forms of iron that can cause damage, as well as promote fibrogenesis and carcinogenesis in the parenchymatous organs. A number of hereditary or acquired diseases are associated with systemic or local iron deposition or iron misdistribution in organs or cells. Two of these, the HFE- and non-HFE hemochromatosis syndromes represent the paradigms of genetic iron overload. They share common clinical features and the same pathogenic basis, in particular, a lack of synthesis or activity of hepcidin, the iron hormone. Before hepcidin was discovered, the liver was simply regarded as the main site of iron storage and, as such, the main target of iron toxicity. Now, as the main source of hepcidin, it appears that the loss of the hepcidin-producing liver mass or genetic and acquired factors that repress hepcidin synthesis in the liver may also lead to iron overload. Usually, there is low-grade excess iron which, through oxidative stress, is sufficient to worsen the course of the underlying liver disease or other chronic diseases that are apparently unrelated to iron, such as chronic metabolic and cardiovascular diseases. In the future, modulation of hepcidin synthesis and activity or hepcidin hormone-replacing strategies may become therapeutic options to cure iron-related disorders.","DOI":"10.1111/liv.13020","ISSN":"1478-3231","note":"PMID: 26725908","journalAbbreviation":"Liver Int.","language":"eng","author":[{"family":"Pietrangelo","given":"Antonello"}],"issued":{"date-parts":[["2016",1]]}}}],"schema":"https://github.com/citation-style-language/schema/raw/master/csl-citation.json"} </w:instrText>
            </w:r>
            <w:r w:rsidR="00047187" w:rsidRPr="007F5A49">
              <w:rPr>
                <w:rFonts w:ascii="Book Antiqua" w:hAnsi="Book Antiqua" w:cs="Arial"/>
                <w:sz w:val="24"/>
                <w:szCs w:val="24"/>
                <w:vertAlign w:val="superscript"/>
                <w:lang w:val="en-US"/>
              </w:rPr>
              <w:fldChar w:fldCharType="separate"/>
            </w:r>
            <w:r w:rsidR="00124A65" w:rsidRPr="007F5A49">
              <w:rPr>
                <w:rFonts w:ascii="Book Antiqua" w:hAnsi="Book Antiqua"/>
                <w:sz w:val="24"/>
                <w:szCs w:val="24"/>
                <w:vertAlign w:val="superscript"/>
                <w:lang w:val="en-US"/>
              </w:rPr>
              <w:t>[</w:t>
            </w:r>
            <w:r w:rsidR="00047187" w:rsidRPr="007F5A49">
              <w:rPr>
                <w:rFonts w:ascii="Book Antiqua" w:hAnsi="Book Antiqua"/>
                <w:sz w:val="24"/>
                <w:szCs w:val="24"/>
                <w:vertAlign w:val="superscript"/>
                <w:lang w:val="en-US"/>
              </w:rPr>
              <w:t>7</w:t>
            </w:r>
            <w:r w:rsidR="00047187" w:rsidRPr="007F5A49">
              <w:rPr>
                <w:rFonts w:ascii="Book Antiqua" w:hAnsi="Book Antiqua" w:cs="Arial"/>
                <w:sz w:val="24"/>
                <w:szCs w:val="24"/>
                <w:vertAlign w:val="superscript"/>
                <w:lang w:val="en-US"/>
              </w:rPr>
              <w:fldChar w:fldCharType="end"/>
            </w:r>
            <w:r w:rsidR="00124A65" w:rsidRPr="007F5A49">
              <w:rPr>
                <w:rFonts w:ascii="Book Antiqua" w:hAnsi="Book Antiqua" w:cs="Arial"/>
                <w:sz w:val="24"/>
                <w:szCs w:val="24"/>
                <w:vertAlign w:val="superscript"/>
                <w:lang w:val="en-US"/>
              </w:rPr>
              <w:t>]</w:t>
            </w:r>
          </w:p>
        </w:tc>
        <w:tc>
          <w:tcPr>
            <w:tcW w:w="2391" w:type="dxa"/>
            <w:tcBorders>
              <w:top w:val="single" w:sz="4" w:space="0" w:color="auto"/>
            </w:tcBorders>
            <w:shd w:val="clear" w:color="auto" w:fill="auto"/>
          </w:tcPr>
          <w:p w14:paraId="4137C561" w14:textId="77777777" w:rsidR="00F64145" w:rsidRPr="007F5A49" w:rsidRDefault="00F64145" w:rsidP="003F73FF">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Can be severe.</w:t>
            </w:r>
          </w:p>
          <w:p w14:paraId="139BF02F" w14:textId="31904272" w:rsidR="00F64145" w:rsidRPr="007F5A49" w:rsidRDefault="00F64145" w:rsidP="003F73FF">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Gradual increase, can reach up to 25-30 g</w:t>
            </w:r>
            <w:r w:rsidR="00556380" w:rsidRPr="007F5A49">
              <w:rPr>
                <w:rFonts w:ascii="Book Antiqua" w:hAnsi="Book Antiqua" w:cs="Arial"/>
                <w:sz w:val="24"/>
                <w:szCs w:val="24"/>
                <w:lang w:val="en-US"/>
              </w:rPr>
              <w:t xml:space="preserve"> in liver</w:t>
            </w:r>
            <w:r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29sq3bvckj","properties":{"formattedCitation":"(7)","plainCitation":"(7)","noteIndex":0},"citationItems":[{"id":107,"uris":["http://zotero.org/users/2804724/items/TK5HVEM3"],"uri":["http://zotero.org/users/2804724/items/TK5HVEM3"],"itemData":{"id":107,"type":"article-journal","title":"Iron and the liver","container-title":"Liver International: Official Journal of the International Association for the Study of the Liver","page":"116-123","volume":"36 Suppl 1","source":"PubMed","abstract":"Humans have evolved to retain iron in the body and are exposed to a high risk of iron overload and iron-related toxicity. Excess iron in the blood, in the absence of increased erythropoietic needs, can saturate the buffering capacity of serum transferrin and result in non-transferrin-bound highly reactive forms of iron that can cause damage, as well as promote fibrogenesis and carcinogenesis in the parenchymatous organs. A number of hereditary or acquired diseases are associated with systemic or local iron deposition or iron misdistribution in organs or cells. Two of these, the HFE- and non-HFE hemochromatosis syndromes represent the paradigms of genetic iron overload. They share common clinical features and the same pathogenic basis, in particular, a lack of synthesis or activity of hepcidin, the iron hormone. Before hepcidin was discovered, the liver was simply regarded as the main site of iron storage and, as such, the main target of iron toxicity. Now, as the main source of hepcidin, it appears that the loss of the hepcidin-producing liver mass or genetic and acquired factors that repress hepcidin synthesis in the liver may also lead to iron overload. Usually, there is low-grade excess iron which, through oxidative stress, is sufficient to worsen the course of the underlying liver disease or other chronic diseases that are apparently unrelated to iron, such as chronic metabolic and cardiovascular diseases. In the future, modulation of hepcidin synthesis and activity or hepcidin hormone-replacing strategies may become therapeutic options to cure iron-related disorders.","DOI":"10.1111/liv.13020","ISSN":"1478-3231","note":"PMID: 26725908","journalAbbreviation":"Liver Int.","language":"eng","author":[{"family":"Pietrangelo","given":"Antonello"}],"issued":{"date-parts":[["2016",1]]}}}],"schema":"https://github.com/citation-style-language/schema/raw/master/csl-citation.json"} </w:instrText>
            </w:r>
            <w:r w:rsidRPr="007F5A49">
              <w:rPr>
                <w:rFonts w:ascii="Book Antiqua" w:hAnsi="Book Antiqua" w:cs="Arial"/>
                <w:sz w:val="24"/>
                <w:szCs w:val="24"/>
                <w:vertAlign w:val="superscript"/>
                <w:lang w:val="en-US"/>
              </w:rPr>
              <w:fldChar w:fldCharType="separate"/>
            </w:r>
            <w:r w:rsidR="00140E36"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7</w:t>
            </w:r>
            <w:r w:rsidRPr="007F5A49">
              <w:rPr>
                <w:rFonts w:ascii="Book Antiqua" w:hAnsi="Book Antiqua" w:cs="Arial"/>
                <w:sz w:val="24"/>
                <w:szCs w:val="24"/>
                <w:vertAlign w:val="superscript"/>
                <w:lang w:val="en-US"/>
              </w:rPr>
              <w:fldChar w:fldCharType="end"/>
            </w:r>
            <w:r w:rsidR="00140E36" w:rsidRPr="007F5A49">
              <w:rPr>
                <w:rFonts w:ascii="Book Antiqua" w:hAnsi="Book Antiqua" w:cs="Arial"/>
                <w:sz w:val="24"/>
                <w:szCs w:val="24"/>
                <w:vertAlign w:val="superscript"/>
                <w:lang w:val="en-US"/>
              </w:rPr>
              <w:t>]</w:t>
            </w:r>
          </w:p>
        </w:tc>
        <w:tc>
          <w:tcPr>
            <w:tcW w:w="1165" w:type="dxa"/>
            <w:tcBorders>
              <w:top w:val="single" w:sz="4" w:space="0" w:color="auto"/>
            </w:tcBorders>
            <w:shd w:val="clear" w:color="auto" w:fill="auto"/>
          </w:tcPr>
          <w:p w14:paraId="6059FBA9" w14:textId="77777777" w:rsidR="00F64145" w:rsidRPr="007F5A49" w:rsidRDefault="00F64145" w:rsidP="003F73FF">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Moderate</w:t>
            </w:r>
          </w:p>
        </w:tc>
        <w:tc>
          <w:tcPr>
            <w:tcW w:w="2397" w:type="dxa"/>
            <w:tcBorders>
              <w:top w:val="single" w:sz="4" w:space="0" w:color="auto"/>
            </w:tcBorders>
            <w:shd w:val="clear" w:color="auto" w:fill="auto"/>
          </w:tcPr>
          <w:p w14:paraId="77187242" w14:textId="54ED337A" w:rsidR="00F64145" w:rsidRPr="007F5A49" w:rsidRDefault="003F73FF" w:rsidP="003F73FF">
            <w:pPr>
              <w:adjustRightInd w:val="0"/>
              <w:snapToGrid w:val="0"/>
              <w:spacing w:line="360" w:lineRule="auto"/>
              <w:jc w:val="center"/>
              <w:rPr>
                <w:rFonts w:ascii="Book Antiqua" w:hAnsi="Book Antiqua" w:cs="Arial"/>
                <w:sz w:val="24"/>
                <w:szCs w:val="24"/>
                <w:lang w:val="en-US"/>
              </w:rPr>
            </w:pPr>
            <w:r>
              <w:rPr>
                <w:rFonts w:ascii="Book Antiqua" w:hAnsi="Book Antiqua" w:cs="Arial"/>
                <w:sz w:val="24"/>
                <w:szCs w:val="24"/>
                <w:lang w:val="en-US"/>
              </w:rPr>
              <w:t>Mild-m</w:t>
            </w:r>
            <w:r w:rsidR="00F64145" w:rsidRPr="007F5A49">
              <w:rPr>
                <w:rFonts w:ascii="Book Antiqua" w:hAnsi="Book Antiqua" w:cs="Arial"/>
                <w:sz w:val="24"/>
                <w:szCs w:val="24"/>
                <w:lang w:val="en-US"/>
              </w:rPr>
              <w:t>oderate</w:t>
            </w:r>
          </w:p>
        </w:tc>
        <w:tc>
          <w:tcPr>
            <w:tcW w:w="2410" w:type="dxa"/>
            <w:tcBorders>
              <w:top w:val="single" w:sz="4" w:space="0" w:color="auto"/>
            </w:tcBorders>
            <w:shd w:val="clear" w:color="auto" w:fill="auto"/>
          </w:tcPr>
          <w:p w14:paraId="7FE45571" w14:textId="71DEB2B2" w:rsidR="00F64145" w:rsidRPr="007F5A49" w:rsidRDefault="003F73FF" w:rsidP="003F73FF">
            <w:pPr>
              <w:adjustRightInd w:val="0"/>
              <w:snapToGrid w:val="0"/>
              <w:spacing w:line="360" w:lineRule="auto"/>
              <w:jc w:val="center"/>
              <w:rPr>
                <w:rFonts w:ascii="Book Antiqua" w:hAnsi="Book Antiqua" w:cs="Arial"/>
                <w:sz w:val="24"/>
                <w:szCs w:val="24"/>
                <w:lang w:val="en-US"/>
              </w:rPr>
            </w:pPr>
            <w:r>
              <w:rPr>
                <w:rFonts w:ascii="Book Antiqua" w:hAnsi="Book Antiqua" w:cs="Arial"/>
                <w:sz w:val="24"/>
                <w:szCs w:val="24"/>
                <w:lang w:val="en-US"/>
              </w:rPr>
              <w:t>Mild-m</w:t>
            </w:r>
            <w:r w:rsidR="00F64145" w:rsidRPr="007F5A49">
              <w:rPr>
                <w:rFonts w:ascii="Book Antiqua" w:hAnsi="Book Antiqua" w:cs="Arial"/>
                <w:sz w:val="24"/>
                <w:szCs w:val="24"/>
                <w:lang w:val="en-US"/>
              </w:rPr>
              <w:t>oderate</w:t>
            </w:r>
          </w:p>
        </w:tc>
        <w:tc>
          <w:tcPr>
            <w:tcW w:w="2126" w:type="dxa"/>
            <w:tcBorders>
              <w:top w:val="single" w:sz="4" w:space="0" w:color="auto"/>
            </w:tcBorders>
            <w:shd w:val="clear" w:color="auto" w:fill="auto"/>
          </w:tcPr>
          <w:p w14:paraId="75AEDFD6" w14:textId="7BA2918C" w:rsidR="00F64145" w:rsidRPr="007F5A49" w:rsidRDefault="003F73FF" w:rsidP="003F73FF">
            <w:pPr>
              <w:adjustRightInd w:val="0"/>
              <w:snapToGrid w:val="0"/>
              <w:spacing w:line="360" w:lineRule="auto"/>
              <w:jc w:val="center"/>
              <w:rPr>
                <w:rFonts w:ascii="Book Antiqua" w:hAnsi="Book Antiqua" w:cs="Arial"/>
                <w:sz w:val="24"/>
                <w:szCs w:val="24"/>
                <w:lang w:val="en-US"/>
              </w:rPr>
            </w:pPr>
            <w:r>
              <w:rPr>
                <w:rFonts w:ascii="Book Antiqua" w:hAnsi="Book Antiqua" w:cs="Arial"/>
                <w:sz w:val="24"/>
                <w:szCs w:val="24"/>
                <w:lang w:val="en-US"/>
              </w:rPr>
              <w:t>Mild-m</w:t>
            </w:r>
            <w:r w:rsidR="00F64145" w:rsidRPr="007F5A49">
              <w:rPr>
                <w:rFonts w:ascii="Book Antiqua" w:hAnsi="Book Antiqua" w:cs="Arial"/>
                <w:sz w:val="24"/>
                <w:szCs w:val="24"/>
                <w:lang w:val="en-US"/>
              </w:rPr>
              <w:t>oderate</w:t>
            </w:r>
          </w:p>
        </w:tc>
      </w:tr>
      <w:tr w:rsidR="00F64145" w:rsidRPr="007F5A49" w14:paraId="3B2E6CC5" w14:textId="77777777" w:rsidTr="00EB2C54">
        <w:tc>
          <w:tcPr>
            <w:tcW w:w="1686" w:type="dxa"/>
            <w:shd w:val="clear" w:color="auto" w:fill="auto"/>
          </w:tcPr>
          <w:p w14:paraId="0A8DF61E" w14:textId="77777777" w:rsidR="00F64145" w:rsidRPr="003F73FF" w:rsidRDefault="00F64145" w:rsidP="007F5A49">
            <w:pPr>
              <w:adjustRightInd w:val="0"/>
              <w:snapToGrid w:val="0"/>
              <w:spacing w:line="360" w:lineRule="auto"/>
              <w:jc w:val="both"/>
              <w:rPr>
                <w:rFonts w:ascii="Book Antiqua" w:hAnsi="Book Antiqua" w:cs="Arial"/>
                <w:sz w:val="24"/>
                <w:szCs w:val="24"/>
                <w:lang w:val="en-US"/>
              </w:rPr>
            </w:pPr>
            <w:r w:rsidRPr="003F73FF">
              <w:rPr>
                <w:rFonts w:ascii="Book Antiqua" w:hAnsi="Book Antiqua" w:cs="Arial"/>
                <w:sz w:val="24"/>
                <w:szCs w:val="24"/>
                <w:lang w:val="en-US"/>
              </w:rPr>
              <w:t xml:space="preserve">Serum ferritin </w:t>
            </w:r>
          </w:p>
        </w:tc>
        <w:tc>
          <w:tcPr>
            <w:tcW w:w="2127" w:type="dxa"/>
            <w:shd w:val="clear" w:color="auto" w:fill="auto"/>
          </w:tcPr>
          <w:p w14:paraId="032788CF" w14:textId="0651EB34" w:rsidR="00F64145" w:rsidRPr="007F5A49" w:rsidRDefault="00F64145" w:rsidP="003F73FF">
            <w:pPr>
              <w:pStyle w:val="ListParagraph"/>
              <w:adjustRightInd w:val="0"/>
              <w:snapToGrid w:val="0"/>
              <w:spacing w:line="360" w:lineRule="auto"/>
              <w:ind w:left="0"/>
              <w:contextualSpacing w:val="0"/>
              <w:jc w:val="center"/>
              <w:rPr>
                <w:rFonts w:ascii="Book Antiqua" w:hAnsi="Book Antiqua" w:cs="Arial"/>
                <w:sz w:val="24"/>
                <w:szCs w:val="24"/>
                <w:lang w:val="en-US"/>
              </w:rPr>
            </w:pPr>
            <w:r w:rsidRPr="007F5A49">
              <w:rPr>
                <w:rFonts w:ascii="Book Antiqua" w:hAnsi="Book Antiqua" w:cs="Arial"/>
                <w:sz w:val="24"/>
                <w:szCs w:val="24"/>
                <w:lang w:val="en-US"/>
              </w:rPr>
              <w:t>24-300 µg/L</w:t>
            </w:r>
            <w:r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vv4a5onfj","properties":{"formattedCitation":"(109)","plainCitation":"(109)","noteIndex":0},"citationItems":[{"id":"z1PZoHrb/4W8jjYjW","uris":["http://zotero.org/users/4222068/items/YBDSEXMB"],"uri":["http://zotero.org/users/4222068/items/YBDSEXMB"],"itemData":{"id":1578,"type":"article-journal","title":"Interpreting raised serum ferritin levels","container-title":"BMJ (Clinical research ed.)","page":"h3692","volume":"351","source":"PubMed","ISSN":"1756-1833","note":"PMID: 26239322","journalAbbreviation":"BMJ","language":"eng","author":[{"family":"Koperdanova","given":"Marianna"},{"family":"Cullis","given":"Jonathan O."}],"issued":{"date-parts":[["2015",8,3]]}}}],"schema":"https://github.com/citation-style-language/schema/raw/master/csl-citation.json"} </w:instrText>
            </w:r>
            <w:r w:rsidRPr="007F5A49">
              <w:rPr>
                <w:rFonts w:ascii="Book Antiqua" w:hAnsi="Book Antiqua" w:cs="Arial"/>
                <w:sz w:val="24"/>
                <w:szCs w:val="24"/>
                <w:vertAlign w:val="superscript"/>
                <w:lang w:val="en-US"/>
              </w:rPr>
              <w:fldChar w:fldCharType="separate"/>
            </w:r>
            <w:r w:rsidR="00124A65"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109</w:t>
            </w:r>
            <w:r w:rsidRPr="007F5A49">
              <w:rPr>
                <w:rFonts w:ascii="Book Antiqua" w:hAnsi="Book Antiqua" w:cs="Arial"/>
                <w:sz w:val="24"/>
                <w:szCs w:val="24"/>
                <w:vertAlign w:val="superscript"/>
                <w:lang w:val="en-US"/>
              </w:rPr>
              <w:fldChar w:fldCharType="end"/>
            </w:r>
            <w:r w:rsidR="00124A65" w:rsidRPr="007F5A49">
              <w:rPr>
                <w:rFonts w:ascii="Book Antiqua" w:hAnsi="Book Antiqua" w:cs="Arial"/>
                <w:sz w:val="24"/>
                <w:szCs w:val="24"/>
                <w:vertAlign w:val="superscript"/>
                <w:lang w:val="en-US"/>
              </w:rPr>
              <w:t>]</w:t>
            </w:r>
          </w:p>
          <w:p w14:paraId="1EB8319C" w14:textId="5925AE4D" w:rsidR="00F64145" w:rsidRPr="007F5A49" w:rsidRDefault="00F64145" w:rsidP="003F73FF">
            <w:pPr>
              <w:pStyle w:val="ListParagraph"/>
              <w:adjustRightInd w:val="0"/>
              <w:snapToGrid w:val="0"/>
              <w:spacing w:line="360" w:lineRule="auto"/>
              <w:ind w:left="0"/>
              <w:contextualSpacing w:val="0"/>
              <w:jc w:val="center"/>
              <w:rPr>
                <w:rFonts w:ascii="Book Antiqua" w:hAnsi="Book Antiqua" w:cs="Arial"/>
                <w:sz w:val="24"/>
                <w:szCs w:val="24"/>
                <w:lang w:val="en-US"/>
              </w:rPr>
            </w:pPr>
            <w:r w:rsidRPr="007F5A49">
              <w:rPr>
                <w:rFonts w:ascii="Book Antiqua" w:hAnsi="Book Antiqua" w:cs="Arial"/>
                <w:sz w:val="24"/>
                <w:szCs w:val="24"/>
                <w:lang w:val="en-US"/>
              </w:rPr>
              <w:t>15-200 µg/L</w:t>
            </w:r>
            <w:r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13jbqo54jp","properties":{"formattedCitation":"(101)","plainCitation":"(101)","noteIndex":0},"citationItems":[{"id":240,"uris":["http://zotero.org/users/2804724/items/QIDE9SPV"],"uri":["http://zotero.org/users/2804724/items/QIDE9SPV"],"itemData":{"id":240,"type":"article-journal","title":"Diagnosis and management of hemochromatosis: 2011 practice guideline by the American Association for the Study of Liver Diseases","container-title":"Hepatology (Baltimore, Md.)","page":"328-343","volume":"54","issue":"1","source":"PubMed","DOI":"10.1002/hep.24330","ISSN":"1527-3350","note":"PMID: 21452290\nPMCID: PMC3149125","shortTitle":"Diagnosis and management of hemochromatosis","journalAbbreviation":"Hepatology","language":"eng","author":[{"family":"Bacon","given":"Bruce R."},{"family":"Adams","given":"Paul C."},{"family":"Kowdley","given":"Kris V."},{"family":"Powell","given":"Lawrie W."},{"family":"Tavill","given":"Anthony S."},{"literal":"American Association for the Study of Liver Diseases"}],"issued":{"date-parts":[["2011",7]]}}}],"schema":"https://github.com/citation-style-language/schema/raw/master/csl-citation.json"} </w:instrText>
            </w:r>
            <w:r w:rsidRPr="007F5A49">
              <w:rPr>
                <w:rFonts w:ascii="Book Antiqua" w:hAnsi="Book Antiqua" w:cs="Arial"/>
                <w:sz w:val="24"/>
                <w:szCs w:val="24"/>
                <w:vertAlign w:val="superscript"/>
                <w:lang w:val="en-US"/>
              </w:rPr>
              <w:fldChar w:fldCharType="separate"/>
            </w:r>
            <w:r w:rsidR="00124A65"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101</w:t>
            </w:r>
            <w:r w:rsidRPr="007F5A49">
              <w:rPr>
                <w:rFonts w:ascii="Book Antiqua" w:hAnsi="Book Antiqua" w:cs="Arial"/>
                <w:sz w:val="24"/>
                <w:szCs w:val="24"/>
                <w:vertAlign w:val="superscript"/>
                <w:lang w:val="en-US"/>
              </w:rPr>
              <w:fldChar w:fldCharType="end"/>
            </w:r>
            <w:r w:rsidR="00124A65" w:rsidRPr="007F5A49">
              <w:rPr>
                <w:rFonts w:ascii="Book Antiqua" w:hAnsi="Book Antiqua" w:cs="Arial"/>
                <w:sz w:val="24"/>
                <w:szCs w:val="24"/>
                <w:vertAlign w:val="superscript"/>
                <w:lang w:val="en-US"/>
              </w:rPr>
              <w:t>]</w:t>
            </w:r>
          </w:p>
          <w:p w14:paraId="1B54014C" w14:textId="5660931F" w:rsidR="00F64145" w:rsidRPr="007F5A49" w:rsidRDefault="00F64145" w:rsidP="003F73FF">
            <w:pPr>
              <w:pStyle w:val="ListParagraph"/>
              <w:adjustRightInd w:val="0"/>
              <w:snapToGrid w:val="0"/>
              <w:spacing w:line="360" w:lineRule="auto"/>
              <w:ind w:left="0"/>
              <w:contextualSpacing w:val="0"/>
              <w:jc w:val="center"/>
              <w:rPr>
                <w:rFonts w:ascii="Book Antiqua" w:hAnsi="Book Antiqua" w:cs="Arial"/>
                <w:sz w:val="24"/>
                <w:szCs w:val="24"/>
                <w:lang w:val="en-US"/>
              </w:rPr>
            </w:pPr>
            <w:r w:rsidRPr="007F5A49">
              <w:rPr>
                <w:rFonts w:ascii="Book Antiqua" w:hAnsi="Book Antiqua" w:cs="Arial"/>
                <w:sz w:val="24"/>
                <w:szCs w:val="24"/>
                <w:lang w:val="en-US"/>
              </w:rPr>
              <w:t>&lt;</w:t>
            </w:r>
            <w:r w:rsidR="003F73FF">
              <w:rPr>
                <w:rFonts w:ascii="Book Antiqua" w:hAnsi="Book Antiqua" w:cs="Arial"/>
                <w:sz w:val="24"/>
                <w:szCs w:val="24"/>
                <w:lang w:val="en-US"/>
              </w:rPr>
              <w:t xml:space="preserve"> </w:t>
            </w:r>
            <w:r w:rsidRPr="007F5A49">
              <w:rPr>
                <w:rFonts w:ascii="Book Antiqua" w:hAnsi="Book Antiqua" w:cs="Arial"/>
                <w:sz w:val="24"/>
                <w:szCs w:val="24"/>
                <w:lang w:val="en-US"/>
              </w:rPr>
              <w:t>300 ng/mL in men, &lt;</w:t>
            </w:r>
            <w:r w:rsidR="003F73FF">
              <w:rPr>
                <w:rFonts w:ascii="Book Antiqua" w:hAnsi="Book Antiqua" w:cs="Arial"/>
                <w:sz w:val="24"/>
                <w:szCs w:val="24"/>
                <w:lang w:val="en-US"/>
              </w:rPr>
              <w:t xml:space="preserve"> </w:t>
            </w:r>
            <w:r w:rsidRPr="007F5A49">
              <w:rPr>
                <w:rFonts w:ascii="Book Antiqua" w:hAnsi="Book Antiqua" w:cs="Arial"/>
                <w:sz w:val="24"/>
                <w:szCs w:val="24"/>
                <w:lang w:val="en-US"/>
              </w:rPr>
              <w:t>200 ng/mL in women</w:t>
            </w:r>
            <w:r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6jdpdhtr0","properties":{"formattedCitation":"(2)","plainCitation":"(2)","noteIndex":0},"citationItems":[{"id":"z1PZoHrb/AG6ANrHo","uris":["http://zotero.org/users/4222068/items/B4ILEK6N"],"uri":["http://zotero.org/users/4222068/items/B4ILEK6N"],"itemData":{"id":1732,"type":"article-journal","title":"Iron Overload in Patients With Chronic Liver Disease","container-title":"Gastroenterology &amp; Hepatology","page":"695-698","volume":"12","issue":"11","source":"PubMed Central","ISSN":"1554-7914","note":"PMID: 28035198\nPMCID: PMC5193089","journalAbbreviation":"Gastroenterol Hepatol (N Y)","author":[{"family":"Kowdley","given":"Kris V."}],"issued":{"date-parts":[["2016",11]]}}}],"schema":"https://github.com/citation-style-language/schema/raw/master/csl-citation.json"} </w:instrText>
            </w:r>
            <w:r w:rsidRPr="007F5A49">
              <w:rPr>
                <w:rFonts w:ascii="Book Antiqua" w:hAnsi="Book Antiqua" w:cs="Arial"/>
                <w:sz w:val="24"/>
                <w:szCs w:val="24"/>
                <w:vertAlign w:val="superscript"/>
                <w:lang w:val="en-US"/>
              </w:rPr>
              <w:fldChar w:fldCharType="separate"/>
            </w:r>
            <w:r w:rsidR="00124A65"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2</w:t>
            </w:r>
            <w:r w:rsidRPr="007F5A49">
              <w:rPr>
                <w:rFonts w:ascii="Book Antiqua" w:hAnsi="Book Antiqua" w:cs="Arial"/>
                <w:sz w:val="24"/>
                <w:szCs w:val="24"/>
                <w:vertAlign w:val="superscript"/>
                <w:lang w:val="en-US"/>
              </w:rPr>
              <w:fldChar w:fldCharType="end"/>
            </w:r>
            <w:r w:rsidR="00124A65" w:rsidRPr="007F5A49">
              <w:rPr>
                <w:rFonts w:ascii="Book Antiqua" w:hAnsi="Book Antiqua" w:cs="Arial"/>
                <w:sz w:val="24"/>
                <w:szCs w:val="24"/>
                <w:vertAlign w:val="superscript"/>
                <w:lang w:val="en-US"/>
              </w:rPr>
              <w:t>]</w:t>
            </w:r>
          </w:p>
        </w:tc>
        <w:tc>
          <w:tcPr>
            <w:tcW w:w="2391" w:type="dxa"/>
            <w:shd w:val="clear" w:color="auto" w:fill="auto"/>
          </w:tcPr>
          <w:p w14:paraId="00C28001" w14:textId="34A66DDD" w:rsidR="00F64145" w:rsidRPr="007F5A49" w:rsidRDefault="00F64145" w:rsidP="003F73FF">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Mostly high, but can be normal</w:t>
            </w:r>
            <w:r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1n682e00ko","properties":{"formattedCitation":"(101)","plainCitation":"(101)","noteIndex":0},"citationItems":[{"id":240,"uris":["http://zotero.org/users/2804724/items/QIDE9SPV"],"uri":["http://zotero.org/users/2804724/items/QIDE9SPV"],"itemData":{"id":240,"type":"article-journal","title":"Diagnosis and management of hemochromatosis: 2011 practice guideline by the American Association for the Study of Liver Diseases","container-title":"Hepatology (Baltimore, Md.)","page":"328-343","volume":"54","issue":"1","source":"PubMed","DOI":"10.1002/hep.24330","ISSN":"1527-3350","note":"PMID: 21452290\nPMCID: PMC3149125","shortTitle":"Diagnosis and management of hemochromatosis","journalAbbreviation":"Hepatology","language":"eng","author":[{"family":"Bacon","given":"Bruce R."},{"family":"Adams","given":"Paul C."},{"family":"Kowdley","given":"Kris V."},{"family":"Powell","given":"Lawrie W."},{"family":"Tavill","given":"Anthony S."},{"literal":"American Association for the Study of Liver Diseases"}],"issued":{"date-parts":[["2011",7]]}}}],"schema":"https://github.com/citation-style-language/schema/raw/master/csl-citation.json"} </w:instrText>
            </w:r>
            <w:r w:rsidRPr="007F5A49">
              <w:rPr>
                <w:rFonts w:ascii="Book Antiqua" w:hAnsi="Book Antiqua" w:cs="Arial"/>
                <w:sz w:val="24"/>
                <w:szCs w:val="24"/>
                <w:vertAlign w:val="superscript"/>
                <w:lang w:val="en-US"/>
              </w:rPr>
              <w:fldChar w:fldCharType="separate"/>
            </w:r>
            <w:r w:rsidR="00140E36"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101</w:t>
            </w:r>
            <w:r w:rsidRPr="007F5A49">
              <w:rPr>
                <w:rFonts w:ascii="Book Antiqua" w:hAnsi="Book Antiqua" w:cs="Arial"/>
                <w:sz w:val="24"/>
                <w:szCs w:val="24"/>
                <w:vertAlign w:val="superscript"/>
                <w:lang w:val="en-US"/>
              </w:rPr>
              <w:fldChar w:fldCharType="end"/>
            </w:r>
            <w:r w:rsidR="00140E36" w:rsidRPr="007F5A49">
              <w:rPr>
                <w:rFonts w:ascii="Book Antiqua" w:hAnsi="Book Antiqua" w:cs="Arial"/>
                <w:sz w:val="24"/>
                <w:szCs w:val="24"/>
                <w:vertAlign w:val="superscript"/>
                <w:lang w:val="en-US"/>
              </w:rPr>
              <w:t>]</w:t>
            </w:r>
          </w:p>
        </w:tc>
        <w:tc>
          <w:tcPr>
            <w:tcW w:w="1165" w:type="dxa"/>
            <w:shd w:val="clear" w:color="auto" w:fill="auto"/>
          </w:tcPr>
          <w:p w14:paraId="40B54D1A" w14:textId="58439B37" w:rsidR="00F64145" w:rsidRPr="007F5A49" w:rsidRDefault="00F64145" w:rsidP="003F73FF">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High</w:t>
            </w:r>
            <w:r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leaZOapr","properties":{"formattedCitation":"(69,136)","plainCitation":"(69,136)","noteIndex":0},"citationItems":[{"id":398,"uris":["http://zotero.org/users/2804724/items/CFZQIWTE"],"uri":["http://zotero.org/users/2804724/items/CFZQIWTE"],"itemData":{"id":398,"type":"article-journal","title":"Liver hepcidin mRNA expression is inappropriately low in alcoholic patients compared with healthy controls","container-title":"European Journal of Gastroenterology &amp; Hepatology","page":"1158-1165","volume":"24","issue":"10","source":"PubMed","abstract":"BACKGROUND AND AIMS: Hepcidin plays a crucial role in iron metabolism, preventing its absorption at the basolateral enterocyte membrane. Hepcidin regulation is complex and regulated at the transcriptional level. The relation between iron overload and alcoholic liver disease is well known, but its mechanism is not clear. We present an observational, case-control study, aimed at evaluating the effects of alcohol on the expression of hepcidin in human participants. We intended to assess whether iron overload related to alcohol ingestion was caused by hepcidin-impaired expression by determining hepcidin mRNA expression and relating it to iron stores, both in alcoholic patients and in normal controls.\nMETHODS: We compared liver hepcidin mRNA expression between 25 active drinkers with alcoholic liver disease, without cirrhosis, and 20 healthy controls. All individuals were evaluated for HFE mutations, complete blood count, coagulation, glucose, kidney function, liver function, viral hepatitis, C-reactive protein, interleukin 6, tumor necrosis factor α, and serum iron, ferritin, and transferrin saturation. Total RNA was isolated from liver samples, cDNA was obtained by reverse transcription, and hepatic expression levels of hepcidin were determined by real-time PCR using the comparative Ct method (2(-ΔΔCt)).\nRESULTS: Serum ferritin and transferrin saturation were significantly higher in patients. Hepcidin was downregulated in patients compared with the controls by a mean factor of -0.44 (log10 2(-ΔΔCt)) (P=0.009). Hepcidin expression was not significantly different between the several grades of fibrosis, necroinflammatory activity, and liver iron stores. Heavy alcohol consumption caused the highest hepcidin mRNA suppression. The hepcidin mRNA expression/serum ferritin ratio was significantly lower in alcoholic patients (P&lt;0.0001).\nCONCLUSION: Hepcidin liver expression is inappropriately low in alcoholic patients with active alcoholism and preserved hepatic function, and we conclude that this is the mechanism for alcohol consumption-associated iron overload in humans.","DOI":"10.1097/MEG.0b013e328355cfd0","ISSN":"1473-5687","note":"PMID: 22732356","journalAbbreviation":"Eur J Gastroenterol Hepatol","language":"eng","author":[{"family":"Costa-Matos","given":"Luís"},{"family":"Batista","given":"Paulo"},{"family":"Monteiro","given":"Nuno"},{"family":"Simões","given":"Maria"},{"family":"Egas","given":"Conceição"},{"family":"Pereira","given":"Jorge"},{"family":"Pinho","given":"Helena"},{"family":"Santos","given":"Natália"},{"family":"Ribeiro","given":"João"},{"family":"Cipriano","given":"Maria A."},{"family":"Henriques","given":"Pedro"},{"family":"Girão","given":"Fernando"},{"family":"Rodrigues","given":"Alfredo"},{"family":"Carvalho","given":"Armando"}],"issued":{"date-parts":[["2012",10]]}}},{"id":"z1PZoHrb/zGs6eHi2","uris":["http://zotero.org/users/4222068/items/PVF73GCJ"],"uri":["http://zotero.org/users/4222068/items/PVF73GCJ"],"itemData":{"id":1624,"type":"article-journal","title":"The effect of alcohol consumption on the prevalence of iron overload, iron deficiency, and iron deficiency anemia","container-title":"Gastroenterology","page":"1293-1301","volume":"126","issue":"5","source":"PubMed","abstract":"BACKGROUND &amp; AIMS: Our aim was to investigate the relationship between alcohol consumption and iron overload, iron deficiency, or iron deficiency anemia in the U.S. population.\nMETHODS: Adult participants of the Third National Health and Nutrition Examination Survey who did not consume alcohol (n = 8839) were compared with participants who consumed &lt; or =1 (n = 4976), &gt;1 to &lt; or =2 (n = 1153), or &gt;2 (n = 915) alcoholic drinks/day during the preceding 12 months. We examined the following markers of iron overload: elevated serum transferrin-iron saturation (TS) level (&gt;45%, &gt;50%, and &gt;60%), elevated serum ferritin level (&gt;300, &gt;400, &gt;500, and &gt;600 ng/mL), and combinations of both elevated serum TS and ferritin levels. Iron deficiency was defined as the presence of at least 2 of the following: serum ferritin level &lt;12 ng/mL, serum TS level &lt;15%, and erythrocyte protoporphyrin level &gt;1.24 micromol/L. Iron deficiency anemia was defined as the presence of both iron deficiency and anemia.\nRESULTS: Compared with nondrinkers, the prevalence of all markers of iron overload was significantly elevated among those who consumed &gt;2 alcoholic drinks/day after adjusting for potential confounders. Consumption of any amount of alcohol was associated with a 40% reduction in the risk of iron deficiency anemia.\nCONCLUSIONS: Consumption of up to 2 alcoholic drinks/day seems to be associated with reduced risk of iron deficiency and iron deficiency anemia without a concomitant increase in the risk of iron overload. Consumption of &gt;2 alcoholic drinks/day is associated with a significant elevation in the risk of iron overload.","ISSN":"0016-5085","note":"PMID: 15131790","journalAbbreviation":"Gastroenterology","language":"eng","author":[{"family":"Ioannou","given":"George N."},{"family":"Dominitz","given":"Jason A."},{"family":"Weiss","given":"Noel S."},{"family":"Heagerty","given":"Patrick J."},{"family":"Kowdley","given":"Kris V."}],"issued":{"date-parts":[["2004",5]]}}}],"schema":"https://github.com/citation-style-language/schema/raw/master/csl-citation.json"} </w:instrText>
            </w:r>
            <w:r w:rsidRPr="007F5A49">
              <w:rPr>
                <w:rFonts w:ascii="Book Antiqua" w:hAnsi="Book Antiqua" w:cs="Arial"/>
                <w:sz w:val="24"/>
                <w:szCs w:val="24"/>
                <w:vertAlign w:val="superscript"/>
                <w:lang w:val="en-US"/>
              </w:rPr>
              <w:fldChar w:fldCharType="separate"/>
            </w:r>
            <w:r w:rsidR="00384814"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69,136</w:t>
            </w:r>
            <w:r w:rsidRPr="007F5A49">
              <w:rPr>
                <w:rFonts w:ascii="Book Antiqua" w:hAnsi="Book Antiqua" w:cs="Arial"/>
                <w:sz w:val="24"/>
                <w:szCs w:val="24"/>
                <w:vertAlign w:val="superscript"/>
                <w:lang w:val="en-US"/>
              </w:rPr>
              <w:fldChar w:fldCharType="end"/>
            </w:r>
            <w:r w:rsidR="00384814" w:rsidRPr="007F5A49">
              <w:rPr>
                <w:rFonts w:ascii="Book Antiqua" w:hAnsi="Book Antiqua" w:cs="Arial"/>
                <w:sz w:val="24"/>
                <w:szCs w:val="24"/>
                <w:vertAlign w:val="superscript"/>
                <w:lang w:val="en-US"/>
              </w:rPr>
              <w:t>]</w:t>
            </w:r>
          </w:p>
        </w:tc>
        <w:tc>
          <w:tcPr>
            <w:tcW w:w="2397" w:type="dxa"/>
            <w:shd w:val="clear" w:color="auto" w:fill="auto"/>
          </w:tcPr>
          <w:p w14:paraId="065BB4C5" w14:textId="7B87E8D9" w:rsidR="00F64145" w:rsidRPr="007F5A49" w:rsidRDefault="00F64145" w:rsidP="003F73FF">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High</w:t>
            </w:r>
            <w:r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iMQTdukr","properties":{"formattedCitation":"(104,105)","plainCitation":"(104,105)","noteIndex":0},"citationItems":[{"id":"z1PZoHrb/aZH9bYDC","uris":["http://zotero.org/users/4222068/items/NIP7K2BJ"],"uri":["http://zotero.org/users/4222068/items/NIP7K2BJ"],"itemData":{"id":1248,"type":"article-journal","title":"Elevated serum ferritin is associated with increased mortality in non-alcoholic fatty liver disease after 16 years of follow-up","container-title":"Liver International: Official Journal of the International Association for the Study of the Liver","page":"1688-1695","volume":"36","issue":"11","source":"PubMed","abstract":"BACKGROUND &amp; AIMS: High levels of ferritin in patients with non-alcoholic fatty liver disease (NAFLD) are associated with significant fibrosis and higher NAFLD activity score (NAS). It is unclear if this association has an impact on mortality. We investigated if high levels of ferritin, with or without iron overload, were associated with an increased mortality in NAFLD.\nMETHODS: We included 222 patients between 1979 and 2009 with biopsy-proven NAFLD and available serum ferritin concentrations. The cohort was divided into 'high' (n = 89) and 'normal' (n = 133) ferritin values, using a cut-point of 350 μg/L in males, and 150 μg/L in females, and stratified upon iron overload status. Data on mortality were obtained from a national, population-based register. Poisson regression was used to estimate hazard ratios for mortality. The estimates were adjusted for age at biopsy, sex, smoking, BMI, diabetes, hypertension, cardiovascular disease and fibrosis stage at the time of biopsy.\nRESULTS: The median follow-up time was 15.6 years (range: 0.5-34.2). Patients with high ferritin had more advanced fibrosis and higher NAS than patients with normal ferritin (P &lt; 0.05). Fifteen years after diagnosis, and after adjusting for confounders, the high-ferritin group showed an increasingly higher mortality that was statistically significant (Hazard ratio = 1.10 per year, 95% Confidence interval 1.01-1.21, P &lt; 0.05). There was no difference in mortality between patients with different iron overload patterns.\nCONCLUSIONS: High levels of ferritin are associated with a long-term increased risk of death.","DOI":"10.1111/liv.13144","ISSN":"1478-3231","note":"PMID: 27064133","journalAbbreviation":"Liver Int.","language":"eng","author":[{"family":"Hagström","given":"Hannes"},{"family":"Nasr","given":"Patrik"},{"family":"Bottai","given":"Matteo"},{"family":"Ekstedt","given":"Mattias"},{"family":"Kechagias","given":"Stergios"},{"family":"Hultcrantz","given":"Rolf"},{"family":"Stål","given":"Per"}],"issued":{"date-parts":[["2016",11]]}}},{"id":"z1PZoHrb/gmsZIef5","uris":["http://zotero.org/users/4222068/items/5WD7X6VQ"],"uri":["http://zotero.org/users/4222068/items/5WD7X6VQ"],"itemData":{"id":1195,"type":"article-journal","title":"Serum ferritin is an independent predictor of histologic severity and advanced fibrosis in patients with nonalcoholic fatty liver disease","container-title":"Hepatology (Baltimore, Md.)","page":"77-85","volume":"55","issue":"1","source":"PubMed","abstract":"Serum ferritin (SF) levels are commonly elevated in patients with nonalcoholic fatty liver disease (NAFLD) because of systemic inflammation, increased iron stores, or both. The aim of this study was to examine the relationship between elevated SF and NAFLD severity. Demographic, clinical, histologic, laboratory, and anthropometric data were analyzed in 628 adult patients with NAFLD (age, ≥ 18 years) with biopsy-proven NAFLD and an SF measurement within 6 months of their liver biopsy. A threshold SF &gt;1.5 × upper limit of normal (ULN) (i.e., &gt;300 ng/mL in women and &gt;450 ng/mL in men) was significantly associated with male sex, elevated serum alanine aminotransferase, aspartate aminotransferase, iron, transferrin-iron saturation, iron stain grade, and decreased platelets (P &lt; 0.01). Histologic features of NAFLD were more severe among patients with SF &gt;1.5 × ULN, including steatosis, fibrosis, hepatocellular ballooning, and diagnosis of NASH (P &lt; 0.026). On multiple regression analysis, SF &gt;1.5 × ULN was independently associated with advanced hepatic fibrosis (odds ratio [OR], 1.66; 95% confidence interval [CI], 1.05-2.62; P = 0.028) and increased NAFLD Activity Score (NAS) (OR, 1.99; 95% CI, 1.06-3.75; P = 0.033).\nCONCLUSIONS: A SF &gt;1.5 × ULN is associated with hepatic iron deposition, a diagnosis of NASH, and worsened histologic activity and is an independent predictor of advanced hepatic fibrosis among patients with NAFLD. Furthermore, elevated SF is independently associated with higher NAS, even among patients without hepatic iron deposition. We conclude that SF is useful to identify NAFLD patients at risk for NASH and advanced fibrosis.","DOI":"10.1002/hep.24706","ISSN":"1527-3350","note":"PMID: 21953442\nPMCID: PMC3245347","journalAbbreviation":"Hepatology","language":"eng","author":[{"family":"Kowdley","given":"Kris V."},{"family":"Belt","given":"Patricia"},{"family":"Wilson","given":"Laura A."},{"family":"Yeh","given":"Matthew M."},{"family":"Neuschwander-Tetri","given":"Brent A."},{"family":"Chalasani","given":"Naga"},{"family":"Sanyal","given":"Arun J."},{"family":"Nelson","given":"James E."},{"literal":"NASH Clinical Research Network"}],"issued":{"date-parts":[["2012",1]]}}}],"schema":"https://github.com/citation-style-language/schema/raw/master/csl-citation.json"} </w:instrText>
            </w:r>
            <w:r w:rsidRPr="007F5A49">
              <w:rPr>
                <w:rFonts w:ascii="Book Antiqua" w:hAnsi="Book Antiqua" w:cs="Arial"/>
                <w:sz w:val="24"/>
                <w:szCs w:val="24"/>
                <w:vertAlign w:val="superscript"/>
                <w:lang w:val="en-US"/>
              </w:rPr>
              <w:fldChar w:fldCharType="separate"/>
            </w:r>
            <w:r w:rsidR="00872E2A"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104,105</w:t>
            </w:r>
            <w:r w:rsidRPr="007F5A49">
              <w:rPr>
                <w:rFonts w:ascii="Book Antiqua" w:hAnsi="Book Antiqua" w:cs="Arial"/>
                <w:sz w:val="24"/>
                <w:szCs w:val="24"/>
                <w:vertAlign w:val="superscript"/>
                <w:lang w:val="en-US"/>
              </w:rPr>
              <w:fldChar w:fldCharType="end"/>
            </w:r>
            <w:r w:rsidR="00872E2A" w:rsidRPr="007F5A49">
              <w:rPr>
                <w:rFonts w:ascii="Book Antiqua" w:hAnsi="Book Antiqua" w:cs="Arial"/>
                <w:sz w:val="24"/>
                <w:szCs w:val="24"/>
                <w:vertAlign w:val="superscript"/>
                <w:lang w:val="en-US"/>
              </w:rPr>
              <w:t>]</w:t>
            </w:r>
            <w:r w:rsidRPr="007F5A49">
              <w:rPr>
                <w:rFonts w:ascii="Book Antiqua" w:hAnsi="Book Antiqua" w:cs="Arial"/>
                <w:sz w:val="24"/>
                <w:szCs w:val="24"/>
                <w:lang w:val="en-US"/>
              </w:rPr>
              <w:t xml:space="preserve"> but 1</w:t>
            </w:r>
            <w:r w:rsidR="003F73FF">
              <w:rPr>
                <w:rFonts w:ascii="Book Antiqua" w:hAnsi="Book Antiqua" w:cs="Arial"/>
                <w:sz w:val="24"/>
                <w:szCs w:val="24"/>
                <w:vertAlign w:val="superscript"/>
                <w:lang w:val="en-US"/>
              </w:rPr>
              <w:t>st</w:t>
            </w:r>
            <w:r w:rsidRPr="007F5A49">
              <w:rPr>
                <w:rFonts w:ascii="Book Antiqua" w:hAnsi="Book Antiqua" w:cs="Arial"/>
                <w:sz w:val="24"/>
                <w:szCs w:val="24"/>
                <w:lang w:val="en-US"/>
              </w:rPr>
              <w:t>/3</w:t>
            </w:r>
            <w:r w:rsidRPr="007F5A49">
              <w:rPr>
                <w:rFonts w:ascii="Book Antiqua" w:hAnsi="Book Antiqua" w:cs="Arial"/>
                <w:sz w:val="24"/>
                <w:szCs w:val="24"/>
                <w:vertAlign w:val="superscript"/>
                <w:lang w:val="en-US"/>
              </w:rPr>
              <w:t>rd</w:t>
            </w:r>
            <w:r w:rsidR="001765DB">
              <w:rPr>
                <w:rFonts w:ascii="Book Antiqua" w:hAnsi="Book Antiqua" w:cs="Arial"/>
                <w:sz w:val="24"/>
                <w:szCs w:val="24"/>
                <w:lang w:val="en-US"/>
              </w:rPr>
              <w:t xml:space="preserve"> </w:t>
            </w:r>
            <w:r w:rsidRPr="007F5A49">
              <w:rPr>
                <w:rFonts w:ascii="Book Antiqua" w:hAnsi="Book Antiqua" w:cs="Arial"/>
                <w:sz w:val="24"/>
                <w:szCs w:val="24"/>
                <w:lang w:val="en-US"/>
              </w:rPr>
              <w:t>NASH patients can be iron deficient</w:t>
            </w:r>
            <w:r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2i4l13qg6u","properties":{"formattedCitation":"(86)","plainCitation":"(86)","noteIndex":0},"citationItems":[{"id":"z1PZoHrb/vAqn1oWs","uris":["http://zotero.org/users/4222068/items/9QHFVC7M"],"uri":["http://zotero.org/users/4222068/items/9QHFVC7M"],"itemData":{"id":1600,"type":"article-journal","title":"Iron Deficiency in Patients with Nonalcoholic Fatty Liver Disease is Associated with Obesity, Female Sex, and Low Serum Hepcidin","container-title":"Clinical gastroenterology and hepatology : the official clinical practice journal of the American Gastroenterological Association","page":"1170-1178","volume":"12","issue":"7","source":"PubMed Central","abstract":"Background &amp; Aims\nIron deficiency is often observed in obese individuals. The iron regulatory hormone hepcidin is regulated by iron and cytokines IL6 and IL1β. We examine the relationship between obesity, circulating levels of hepcidin and IL6 and IL1β, and other risk factors in patients with non-alcoholic fatty liver disease (NAFLD) with iron deficiency.\n\nMethods\nWe collected data on 675 adult subjects (&gt;18 y old) enrolled in the Nonalcoholic Steatohepatitis Clinical Research Network. Subjects with transferrin saturation &lt;20% were categorized as iron deficient, whereas those with transferrin saturation ≥20% were classified as iron normal. We assessed clinical, demographic, anthropometric, laboratory, dietary, and histologic data from patients, as well as serum levels of hepcidin and cytokines IL6 and IL1β. Univariate and multivariate analysis were used to identify risk factors for iron deficiency.\n\nResults\nOne third of patients (231/675; 34%) were iron deficient. Obesity, diabetes, and metabolic syndrome were more common in subjects with iron deficiency (P&lt;.01), compared with those that were iron normal. Serum levels of hepcidin were significantly lower in subjects with iron deficiency (61±45 vs 81±51 ng/mL; P&lt;.0001). Iron deficiency was significantly associated with female sex, obesity, increased body mass index and waist circumference, presence of diabetes, lower alcohol consumption, Black or American Indian/Alaska Native race (P≤.018), and increased levels of IL6 and IL1β (6.6 vs 4.8 for iron normal; P≤.0001 and 0.45 vs 0.32 for iron normal; P≤.005).\n\nConclusion\nIron deficiency is prevalent in patients with NAFLD and associated with female sex, increased body mass index, and non-white race. Serum levels of hepcidin were lower in iron-deficient subjects, reflecting an appropriate physiological response to decreased circulating levels of iron, rather than a primary cause of iron deficiency in the setting of obesity and NAFLD.","DOI":"10.1016/j.cgh.2013.11.017","ISSN":"1542-3565","note":"PMID: 24269922\nPMCID: PMC4028425","journalAbbreviation":"Clin Gastroenterol Hepatol","author":[{"family":"Siddique","given":"Asma"},{"family":"Nelson","given":"James E."},{"family":"Aouizerat","given":"Bradley"},{"family":"Yeh","given":"Matthew M."},{"family":"Kowdley","given":"Kris V."}],"issued":{"date-parts":[["2014",7]]}}}],"schema":"https://github.com/citation-style-language/schema/raw/master/csl-citation.json"} </w:instrText>
            </w:r>
            <w:r w:rsidRPr="007F5A49">
              <w:rPr>
                <w:rFonts w:ascii="Book Antiqua" w:hAnsi="Book Antiqua" w:cs="Arial"/>
                <w:sz w:val="24"/>
                <w:szCs w:val="24"/>
                <w:vertAlign w:val="superscript"/>
                <w:lang w:val="en-US"/>
              </w:rPr>
              <w:fldChar w:fldCharType="separate"/>
            </w:r>
            <w:r w:rsidR="00872E2A"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86</w:t>
            </w:r>
            <w:r w:rsidRPr="007F5A49">
              <w:rPr>
                <w:rFonts w:ascii="Book Antiqua" w:hAnsi="Book Antiqua" w:cs="Arial"/>
                <w:sz w:val="24"/>
                <w:szCs w:val="24"/>
                <w:vertAlign w:val="superscript"/>
                <w:lang w:val="en-US"/>
              </w:rPr>
              <w:fldChar w:fldCharType="end"/>
            </w:r>
            <w:r w:rsidR="00872E2A" w:rsidRPr="007F5A49">
              <w:rPr>
                <w:rFonts w:ascii="Book Antiqua" w:hAnsi="Book Antiqua" w:cs="Arial"/>
                <w:sz w:val="24"/>
                <w:szCs w:val="24"/>
                <w:vertAlign w:val="superscript"/>
                <w:lang w:val="en-US"/>
              </w:rPr>
              <w:t>]</w:t>
            </w:r>
          </w:p>
        </w:tc>
        <w:tc>
          <w:tcPr>
            <w:tcW w:w="2410" w:type="dxa"/>
            <w:shd w:val="clear" w:color="auto" w:fill="auto"/>
          </w:tcPr>
          <w:p w14:paraId="07328BBD" w14:textId="44FF6F11" w:rsidR="00F64145" w:rsidRPr="007F5A49" w:rsidRDefault="00F64145" w:rsidP="003F73FF">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High</w:t>
            </w:r>
            <w:r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LxwSi1fK","properties":{"formattedCitation":"(116,137)","plainCitation":"(116,137)","noteIndex":0},"citationItems":[{"id":"z1PZoHrb/6jNNOkd0","uris":["http://zotero.org/users/4222068/items/QGJ2ACIV"],"uri":["http://zotero.org/users/4222068/items/QGJ2ACIV"],"itemData":{"id":1199,"type":"article-journal","title":"Abnormal serum iron markers in chronic hepatitis B virus infection may be because of liver injury","container-title":"European Journal of Gastroenterology &amp; Hepatology","page":"130-136","volume":"27","issue":"2","source":"PubMed","abstract":"OBJECTIVE: In patients with chronic hepatitis B virus (HBV) infection, it is not known whether altered serum iron markers are directly because of the infection or the associated liver injury. We determined the serum iron status of patients with chronic HBV infection, and investigated whether it is HBV infection or HBV-related liver injury that likely causes abnormal serum iron markers in chronic HBV infection.\nMATERIALS AND METHODS: For a retrospective study, chronic HBV-infected patients (80 patients with cirrhosis and 76 patients without cirrhosis) and 58 healthy controls were enrolled. Serum alanine transaminase levels were measured to ascertain liver damage. Indicators of iron status included serum iron, ferritin, and transferrin.\nRESULTS: Compared with noncirrhotic patients and healthy controls, the serum transferrin of cirrhotic patients was lower and the serum iron and ferritin values were higher (P &lt; 0.001, all). In cirrhotic patients, the serum iron and ferritin levels correlated positively with serum alanine transaminase levels and the transferrin levels were inversely related to both end-stage liver disease scores and iron levels (all P &lt; 0.01).\nCONCLUSION: Serum iron markers tended to be aberrant in chronic HBV-infected patients with cirrhosis. The liver injury associated with HBV infection, but not chronic HBV infection directly, is likely the main cause for iron metabolism disorder.","DOI":"10.1097/MEG.0000000000000247","ISSN":"1473-5687","note":"PMID: 25419642\nPMCID: PMC4280275","journalAbbreviation":"Eur J Gastroenterol Hepatol","language":"eng","author":[{"family":"Mao","given":"WeiLin"},{"family":"Hu","given":"Ying"},{"family":"Lou","given":"YuFeng"},{"family":"Chen","given":"YueMei"},{"family":"Zhang","given":"JuanWen"}],"issued":{"date-parts":[["2015",2]]}}},{"id":"z1PZoHrb/IXRaI6Vr","uris":["http://zotero.org/users/4222068/items/QJKDZY4A"],"uri":["http://zotero.org/users/4222068/items/QJKDZY4A"],"itemData":{"id":1620,"type":"article-journal","title":"Serum Iron Markers in Patients With Chronic Hepatitis C Infection","container-title":"Hepatitis Monthly","volume":"13","issue":"10","source":"PubMed Central","abstract":"Background\nPatients with chronic hepatitis C (CHC) often have elevated serum iron markers, which may worsen liver injury.\n\nObjectives\nThe aim of this study was to investigate the possible correlations between iron metabolism serum markers, HCV viral load, and liver disease severity in treatment-naive patients with chronic hepatitis C infection.\n\nPatients and Methods\nEighty five patients with untreated hepatitis C chronic infection were investigated.\n\nResults\nTwenty one patients (24.7%) had elevated serum iron levels, and 29 subjects (34.1%) had severe liver fibrosis. Significantly elevated levels of serum iron (P &lt; 0.05) and ferritin (P &lt; 0.001), associated with lower levels of TIBC (P &lt; 0.05) were detected in patients with severe fibrosis compared to no/mild fibrosis. Severe necroinflammatory activity was also significantly correlated with serum iron (P &lt; 0.001), TIBC (P &lt; 0.05), and ferritin levels (P &lt; 0.001). Using multiple linear regression analysis, serum levels of ferritin and transferrin were the independent variables selected as being good predictors for advanced fibrosis and severe necroinflammatory activity. No significant correlations were detected between HCV viral load and iron markers.\n\nConclusions\nThis study revealed that serum iron markers (especially ferritin and transferrin) might be used as surrogate markers for both liver fibrosis and necroinflammatory activity.Patients with chronic hepatitis C (CHC) often have elevated serum iron markers, which may worsen liver injury.","URL":"https://www.ncbi.nlm.nih.gov/pmc/articles/PMC3842519/","DOI":"10.5812/hepatmon.13136","ISSN":"1735-143X","note":"PMID: 24348638\nPMCID: PMC3842519","journalAbbreviation":"Hepat Mon","author":[{"family":"Vagu","given":"Codruta"},{"family":"Sultana","given":"Camelia"},{"family":"Ruta","given":"Simona"}],"issued":{"date-parts":[["2013",10,5]]},"accessed":{"date-parts":[["2018",2,18]]}}}],"schema":"https://github.com/citation-style-language/schema/raw/master/csl-citation.json"} </w:instrText>
            </w:r>
            <w:r w:rsidRPr="007F5A49">
              <w:rPr>
                <w:rFonts w:ascii="Book Antiqua" w:hAnsi="Book Antiqua" w:cs="Arial"/>
                <w:sz w:val="24"/>
                <w:szCs w:val="24"/>
                <w:vertAlign w:val="superscript"/>
                <w:lang w:val="en-US"/>
              </w:rPr>
              <w:fldChar w:fldCharType="separate"/>
            </w:r>
            <w:r w:rsidR="00795DE7"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116,137</w:t>
            </w:r>
            <w:r w:rsidRPr="007F5A49">
              <w:rPr>
                <w:rFonts w:ascii="Book Antiqua" w:hAnsi="Book Antiqua" w:cs="Arial"/>
                <w:sz w:val="24"/>
                <w:szCs w:val="24"/>
                <w:vertAlign w:val="superscript"/>
                <w:lang w:val="en-US"/>
              </w:rPr>
              <w:fldChar w:fldCharType="end"/>
            </w:r>
            <w:r w:rsidR="00795DE7" w:rsidRPr="007F5A49">
              <w:rPr>
                <w:rFonts w:ascii="Book Antiqua" w:hAnsi="Book Antiqua" w:cs="Arial"/>
                <w:sz w:val="24"/>
                <w:szCs w:val="24"/>
                <w:vertAlign w:val="superscript"/>
                <w:lang w:val="en-US"/>
              </w:rPr>
              <w:t>]</w:t>
            </w:r>
          </w:p>
        </w:tc>
        <w:tc>
          <w:tcPr>
            <w:tcW w:w="2126" w:type="dxa"/>
            <w:shd w:val="clear" w:color="auto" w:fill="auto"/>
          </w:tcPr>
          <w:p w14:paraId="39277E8B" w14:textId="75B90754" w:rsidR="00F64145" w:rsidRPr="007F5A49" w:rsidRDefault="00F64145" w:rsidP="003F73FF">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High</w:t>
            </w:r>
            <w:r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2ptfvviqot","properties":{"formattedCitation":"(138)","plainCitation":"(138)","noteIndex":0},"citationItems":[{"id":"z1PZoHrb/imTLQ2IY","uris":["http://zotero.org/users/4222068/items/3QJNQM5Z"],"uri":["http://zotero.org/users/4222068/items/3QJNQM5Z"],"itemData":{"id":1609,"type":"article-journal","title":"High ferritin and low transferrin saturation are associated with pre-diabetes among a national representative sample of U.S. adults","container-title":"Clinical Nutrition (Edinburgh, Scotland)","page":"1055-1060","volume":"32","issue":"6","source":"PubMed","abstract":"BACKGROUND &amp; AIMS: Iron overload is known to cause diabetes. However, the underlying mechanism is poorly understood. We therefore studied the association of different markers of iron metabolism, namely ferritin, erythrocyte protoporphyrin and transferrin saturation (TSAT, as defined by a percentage of transferrin that is saturated with iron) with pre-diabetes (preDM) in US adults without chronic kidney disease, anemia, and iron deficiency.\nMETHODS: Data on 2575 participants of the National Health and Nutrition Examination Survey (NHANES) 1999-2002 who were free of diabetes, chronic kidney disease, iron deficiency, and anemia were analyzed. Data on 3876 participants of the NHANES III (1988-1994) were used as replication. Homeostasis model assessment of insulin resistance (HOMA-IR), blood glycosylated hemoglobin level (HbA1C), fasting glucose, insulin, and preDM (defined as a fasting plasma glucose 100-125 mg/dl or an HBA1C value 5.7-6.4%) were measured as the outcomes.\nRESULTS: Logistic regression analyses indicated independent associations of high ferritin (Ptrend = 0.028) and low TSAT (P(trend) = 0.029) with preDM after adjusting for sociodemographics, physical activity (active/sedementary), metabolic and inflammatory markers (triglycerides, total cholesterol, HDL cholesterol, mean arterial pressure, CRP, white cell count, and albumin), and liver enzymes (GGT, Alk phos, AST, and ALT). The NHANES III data showed similar associations. Combining the results showed a more significant association for high ferritin (P(meta) = 0.016) and low TSAT (P(meta) = 0.002). Moreover, TSAT was associated with HbA1C, fasting glucose, insulin, and HOMA-IR (P(meta) ≤ 0.001).\nCONCLUSIONS: Higher ferritin and lower TSAT are associated with higher risk of preDM in a general population without confounding diseases. Further research is needed to examine the underlying mechanism of these two indices, especially TSAT, in the pathophysiology of preDM.","DOI":"10.1016/j.clnu.2012.11.024","ISSN":"1532-1983","note":"PMID: 23312547","journalAbbreviation":"Clin Nutr","language":"eng","author":[{"family":"Cheung","given":"Ching-Lung"},{"family":"Cheung","given":"Tommy T."},{"family":"Lam","given":"Karen S. L."},{"family":"Cheung","given":"Bernard M. Y."}],"issued":{"date-parts":[["2013",12]]}}}],"schema":"https://github.com/citation-style-language/schema/raw/master/csl-citation.json"} </w:instrText>
            </w:r>
            <w:r w:rsidRPr="007F5A49">
              <w:rPr>
                <w:rFonts w:ascii="Book Antiqua" w:hAnsi="Book Antiqua" w:cs="Arial"/>
                <w:sz w:val="24"/>
                <w:szCs w:val="24"/>
                <w:vertAlign w:val="superscript"/>
                <w:lang w:val="en-US"/>
              </w:rPr>
              <w:fldChar w:fldCharType="separate"/>
            </w:r>
            <w:r w:rsidR="00795DE7"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138</w:t>
            </w:r>
            <w:r w:rsidRPr="007F5A49">
              <w:rPr>
                <w:rFonts w:ascii="Book Antiqua" w:hAnsi="Book Antiqua" w:cs="Arial"/>
                <w:sz w:val="24"/>
                <w:szCs w:val="24"/>
                <w:vertAlign w:val="superscript"/>
                <w:lang w:val="en-US"/>
              </w:rPr>
              <w:fldChar w:fldCharType="end"/>
            </w:r>
            <w:r w:rsidR="00795DE7" w:rsidRPr="007F5A49">
              <w:rPr>
                <w:rFonts w:ascii="Book Antiqua" w:hAnsi="Book Antiqua" w:cs="Arial"/>
                <w:sz w:val="24"/>
                <w:szCs w:val="24"/>
                <w:vertAlign w:val="superscript"/>
                <w:lang w:val="en-US"/>
              </w:rPr>
              <w:t>]</w:t>
            </w:r>
            <w:r w:rsidRPr="007F5A49">
              <w:rPr>
                <w:rFonts w:ascii="Book Antiqua" w:hAnsi="Book Antiqua" w:cs="Arial"/>
                <w:sz w:val="24"/>
                <w:szCs w:val="24"/>
                <w:lang w:val="en-US"/>
              </w:rPr>
              <w:t>, associated with pre-diabetes</w:t>
            </w:r>
          </w:p>
        </w:tc>
      </w:tr>
      <w:tr w:rsidR="00F64145" w:rsidRPr="007F5A49" w14:paraId="1CA1645F" w14:textId="77777777" w:rsidTr="00EB2C54">
        <w:tc>
          <w:tcPr>
            <w:tcW w:w="1686" w:type="dxa"/>
            <w:shd w:val="clear" w:color="auto" w:fill="auto"/>
          </w:tcPr>
          <w:p w14:paraId="7F0F85F9" w14:textId="77777777" w:rsidR="00F64145" w:rsidRPr="003F73FF" w:rsidRDefault="00F64145" w:rsidP="007F5A49">
            <w:pPr>
              <w:adjustRightInd w:val="0"/>
              <w:snapToGrid w:val="0"/>
              <w:spacing w:line="360" w:lineRule="auto"/>
              <w:jc w:val="both"/>
              <w:rPr>
                <w:rFonts w:ascii="Book Antiqua" w:hAnsi="Book Antiqua" w:cs="Arial"/>
                <w:sz w:val="24"/>
                <w:szCs w:val="24"/>
                <w:lang w:val="en-US"/>
              </w:rPr>
            </w:pPr>
            <w:r w:rsidRPr="003F73FF">
              <w:rPr>
                <w:rFonts w:ascii="Book Antiqua" w:hAnsi="Book Antiqua" w:cs="Arial"/>
                <w:sz w:val="24"/>
                <w:szCs w:val="24"/>
                <w:lang w:val="en-US"/>
              </w:rPr>
              <w:t xml:space="preserve">Serum hepcidin </w:t>
            </w:r>
          </w:p>
        </w:tc>
        <w:tc>
          <w:tcPr>
            <w:tcW w:w="2127" w:type="dxa"/>
            <w:shd w:val="clear" w:color="auto" w:fill="auto"/>
          </w:tcPr>
          <w:p w14:paraId="11939B72" w14:textId="5F8E32A4" w:rsidR="00F64145" w:rsidRPr="007F5A49" w:rsidRDefault="00F64145" w:rsidP="003F73FF">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0.4-23.3 n</w:t>
            </w:r>
            <w:r w:rsidR="003F73FF">
              <w:rPr>
                <w:rFonts w:ascii="Book Antiqua" w:hAnsi="Book Antiqua" w:cs="Arial"/>
                <w:sz w:val="24"/>
                <w:szCs w:val="24"/>
                <w:lang w:val="en-US"/>
              </w:rPr>
              <w:t>mol/L</w:t>
            </w:r>
            <w:r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2310cjgqmm","properties":{"formattedCitation":"(139)","plainCitation":"(139)","noteIndex":0},"citationItems":[{"id":"z1PZoHrb/TmzsbFcJ","uris":["http://zotero.org/users/4222068/items/3F8CXA32"],"uri":["http://zotero.org/users/4222068/items/3F8CXA32"],"itemData":{"id":1582,"type":"article-journal","title":"Serum hepcidin: reference ranges and biochemical correlates in the general population","container-title":"Blood","page":"e218-225","volume":"117","issue":"25","source":"PubMed","abstract":"To date, concentrations of the promising biomarker hepcidin have only been assessed in serum of relatively small series of healthy volunteers and patients. We assessed age- and sex-stratified reference ranges of serum hepcidin concentration in a selected reference set and performed regression analyses to study associations between hepcidin and (biochemical) variables in a large, well-phenotyped sample of the general population (n = 2998). All participants filled out a questionnaire on lifestyle, health status, and medical history. Serum measurements of iron parameters, liver enzyme alanine aminotransferase, creatinine and C-reactive protein were available. Serum hepcidin concentrations were lower for premenopausal than for postmenopausal women (median, 4.1 nM vs 8.5 nM, respectively). Hepcidin concentrations in men were constant over age (median, 7.8 nM). Serum hepcidin was strongly associated with serum ferritin in men and women: β-coefficient of log-transformed variables (95% confidence interval): 0.78 (0.74-0.82) and 0.83 (0.78-0.88), respectively. Additional significant, though less strong, associations were observed for C-reactive protein and total iron binding capacity in men and for total iron binding capacity, alanine aminotransferase, and glomerular filtration rate in women. Our study provides age- and sex-specific reference ranges of serum hepcidin concentration and indicates ferritin as the primary correlate of serum hepcidin concentration.","DOI":"10.1182/blood-2011-02-337907","ISSN":"1528-0020","note":"PMID: 21527524","shortTitle":"Serum hepcidin","journalAbbreviation":"Blood","language":"eng","author":[{"family":"Galesloot","given":"Tessel E."},{"family":"Vermeulen","given":"Sita H."},{"family":"Geurts-Moespot","given":"Anneke J."},{"family":"Klaver","given":"Siem M."},{"family":"Kroot","given":"Joyce J."},{"family":"Tienoven","given":"Dorlene","non-dropping-particle":"van"},{"family":"Wetzels","given":"Jack F. M."},{"family":"Kiemeney","given":"Lambertus A. L. M."},{"family":"Sweep","given":"Fred C."},{"family":"Heijer","given":"Martin","non-dropping-particle":"den"},{"family":"Swinkels","given":"Dorine W."}],"issued":{"date-parts":[["2011",6,23]]}}}],"schema":"https://github.com/citation-style-language/schema/raw/master/csl-citation.json"} </w:instrText>
            </w:r>
            <w:r w:rsidRPr="007F5A49">
              <w:rPr>
                <w:rFonts w:ascii="Book Antiqua" w:hAnsi="Book Antiqua" w:cs="Arial"/>
                <w:sz w:val="24"/>
                <w:szCs w:val="24"/>
                <w:vertAlign w:val="superscript"/>
                <w:lang w:val="en-US"/>
              </w:rPr>
              <w:fldChar w:fldCharType="separate"/>
            </w:r>
            <w:r w:rsidR="00124A65"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139</w:t>
            </w:r>
            <w:r w:rsidRPr="007F5A49">
              <w:rPr>
                <w:rFonts w:ascii="Book Antiqua" w:hAnsi="Book Antiqua" w:cs="Arial"/>
                <w:sz w:val="24"/>
                <w:szCs w:val="24"/>
                <w:vertAlign w:val="superscript"/>
                <w:lang w:val="en-US"/>
              </w:rPr>
              <w:fldChar w:fldCharType="end"/>
            </w:r>
            <w:r w:rsidR="00124A65" w:rsidRPr="007F5A49">
              <w:rPr>
                <w:rFonts w:ascii="Book Antiqua" w:hAnsi="Book Antiqua" w:cs="Arial"/>
                <w:sz w:val="24"/>
                <w:szCs w:val="24"/>
                <w:vertAlign w:val="superscript"/>
                <w:lang w:val="en-US"/>
              </w:rPr>
              <w:t>]</w:t>
            </w:r>
          </w:p>
        </w:tc>
        <w:tc>
          <w:tcPr>
            <w:tcW w:w="2391" w:type="dxa"/>
            <w:shd w:val="clear" w:color="auto" w:fill="auto"/>
          </w:tcPr>
          <w:p w14:paraId="66BF0CCC" w14:textId="1654B725" w:rsidR="00F64145" w:rsidRPr="007F5A49" w:rsidRDefault="00F64145" w:rsidP="003F73FF">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Low</w:t>
            </w:r>
            <w:r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244bv7jjav","properties":{"formattedCitation":"(64)","plainCitation":"(64)","noteIndex":0},"citationItems":[{"id":399,"uris":["http://zotero.org/users/2804724/items/NXHS8T62"],"uri":["http://zotero.org/users/2804724/items/NXHS8T62"],"itemData":{"id":399,"type":"article-journal","title":"Hereditary hemochromatosis: pathogenesis, diagnosis, and treatment","container-title":"Gastroenterology","page":"393-408, 408.e1-2","volume":"139","issue":"2","source":"PubMed","abstract":"In the late 1800s, hemochromatosis was considered an odd autoptic finding. More than a century later, it was finally recognized as a hereditary, multi-organ disorder associated with a polymorphism that is common among white people: a 845G--&gt;A change in HFE that results in C282Y in the gene product. Hemochromatosis is now a well-defined syndrome characterized by normal iron-driven erythropoiesis and the toxic accumulation of iron in parenchymal cells of liver, heart, and endocrine glands. It can be caused by mutations that affect any of the proteins that limit the entry of iron into the blood. In mice, deletion of the iron hormone hepcidin and any of 8 genes that regulate its biology, including Hfe, transferrin receptor 2 (Tfr2), and hemojuvelin (Hjv) (which all sense the accumulation of iron that hepcidin corrects) or ferroportin (Fpn) (the cellular iron exporter down-regulated by hepcidin), cause iron overload but not organ disease. In humans, loss of TfR2, HJV, and hepcidin itself or FPN mutations result in full-blown hemochromatosis. Unlike these rare instances, in white people, homozygotes for C282Y polymorphism in HFE are numerous, but they are only predisposed to hemochromatosis; complete organ disease develops in a minority, when these individuals abuse alcohol or from other unidentified modifying factors. HFE gene testing can be used to diagnose hemochromatosis, but analyses of liver histology and clinical features are still required to identify patients with rare, non-HFE forms of the disease. The role of hepcidin in the pathogenesis of hemochromatosis reveals its similarities to endocrine diseases such as diabetes and indicates new approaches to diagnosis and management of this common disorder in iron metabolism.","DOI":"10.1053/j.gastro.2010.06.013","ISSN":"1528-0012","note":"PMID: 20542038","shortTitle":"Hereditary hemochromatosis","journalAbbreviation":"Gastroenterology","language":"eng","author":[{"family":"Pietrangelo","given":"Antonello"}],"issued":{"date-parts":[["2010",8]]}}}],"schema":"https://github.com/citation-style-language/schema/raw/master/csl-citation.json"} </w:instrText>
            </w:r>
            <w:r w:rsidRPr="007F5A49">
              <w:rPr>
                <w:rFonts w:ascii="Book Antiqua" w:hAnsi="Book Antiqua" w:cs="Arial"/>
                <w:sz w:val="24"/>
                <w:szCs w:val="24"/>
                <w:vertAlign w:val="superscript"/>
                <w:lang w:val="en-US"/>
              </w:rPr>
              <w:fldChar w:fldCharType="separate"/>
            </w:r>
            <w:r w:rsidR="00775029"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64</w:t>
            </w:r>
            <w:r w:rsidRPr="007F5A49">
              <w:rPr>
                <w:rFonts w:ascii="Book Antiqua" w:hAnsi="Book Antiqua" w:cs="Arial"/>
                <w:sz w:val="24"/>
                <w:szCs w:val="24"/>
                <w:vertAlign w:val="superscript"/>
                <w:lang w:val="en-US"/>
              </w:rPr>
              <w:fldChar w:fldCharType="end"/>
            </w:r>
            <w:r w:rsidR="00775029" w:rsidRPr="007F5A49">
              <w:rPr>
                <w:rFonts w:ascii="Book Antiqua" w:hAnsi="Book Antiqua" w:cs="Arial"/>
                <w:sz w:val="24"/>
                <w:szCs w:val="24"/>
                <w:vertAlign w:val="superscript"/>
                <w:lang w:val="en-US"/>
              </w:rPr>
              <w:t>]</w:t>
            </w:r>
          </w:p>
        </w:tc>
        <w:tc>
          <w:tcPr>
            <w:tcW w:w="1165" w:type="dxa"/>
            <w:shd w:val="clear" w:color="auto" w:fill="auto"/>
          </w:tcPr>
          <w:p w14:paraId="4A5AEAA4" w14:textId="56AC0772" w:rsidR="00F64145" w:rsidRPr="007F5A49" w:rsidRDefault="00F64145" w:rsidP="003F73FF">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Low</w:t>
            </w:r>
            <w:r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sApMiaxI","properties":{"formattedCitation":"(69,71,140)","plainCitation":"(69,71,140)","noteIndex":0},"citationItems":[{"id":82,"uris":["http://zotero.org/users/2804724/items/M3XZARBA"],"uri":["http://zotero.org/users/2804724/items/M3XZARBA"],"itemData":{"id":82,"type":"article-journal","title":"Hepcidin is down-regulated in alcoholic liver injury: implications for the pathogenesis of alcoholic liver disease","container-title":"Alcoholism, Clinical and Experimental Research","page":"106-112","volume":"30","issue":"1","source":"PubMed","abstract":"BACKGROUND: Alcoholic liver disease is known to be associated with abnormal iron homeostasis, and iron metabolism itself is regulated by the liver-derived peptide hepcidin. Both CCAAT enhancer binding protein alpha (C/EBPalpha) and interleukin 6 (IL-6) have been shown to regulate hepcidin gene transcription.\nAIM: To investigate mechanisms underlying alcohol-induced disturbances in iron homeostasis by measuring the expression of hepcidin and C/EBPalpha mRNA using in vivo and in vitro models of alcoholic liver injury.\nMETHODS: Male rats were pair-fed an alcoholic liquid diet for 12 weeks. RT-PCR was performed on liver tissue using specific primers for hepcidin and C/EBPalpha. The effect of alcohol on hepcidin and C/EBPalpha gene expression was also determined in isolated hepatocytes, HuH-7 cells and HepG2 cells treated with 50 mM ethanol, 200 microM acetaldehyde, and/or 20 ng/ml IL-6.\nRESULTS: Hepcidin and C/EBPalpha mRNA expression were significantly decreased in alcohol-fed rats compared with pair-fed controls (6-fold p &lt; 0.001 and 2.2-fold p &lt; 0.0002 reduction, respectively) and hepatic lipid peroxidation was increased by 32.5% (p &lt; 0.05) in alcohol-fed rats compared with controls. Hepcidin gene expression was not altered significantly in cells cultured in the presence of 50 mM ethanol. Following 24 hour stimulation by IL-6, there was a 4-fold increase in hepcidin expression in hepatocytes and a 9-fold increase in HuH-7 cells. Ethanol (50 mM) attenuated the IL-6-induced increase in hepcidin expression in HuH-7 cells (9-fold to a 4-fold increase) but not in hepatocytes. Acetaldehyde had no effect on hepcidin gene expression in cells in culture.\nCONCLUSION: The down-regulation of hepcidin and C/EBPalpha gene expression shown in vivo implies disturbed iron sensing contributing to the hepatosiderosis seen in alcoholic liver disease, possibly by mechanisms involving the IL-6 signaling cascade.","DOI":"10.1111/j.1530-0277.2006.00002.x","ISSN":"0145-6008","note":"PMID: 16433737","shortTitle":"Hepcidin is down-regulated in alcoholic liver injury","journalAbbreviation":"Alcohol. Clin. Exp. Res.","language":"eng","author":[{"family":"Bridle","given":"Kimr"},{"family":"Cheung","given":"Ting-Kin"},{"family":"Murphy","given":"Theresel"},{"family":"Walters","given":"Margaretm"},{"family":"Anderson","given":"Gregoryj"},{"family":"Crawford","given":"Darrellh G."},{"family":"Fletcher","given":"Linda M."}],"issued":{"date-parts":[["2006",1]]}}},{"id":397,"uris":["http://zotero.org/users/2804724/items/2EMV8GV6"],"uri":["http://zotero.org/users/2804724/items/2EMV8GV6"],"itemData":{"id":397,"type":"article-journal","title":"Hepcidin is down-regulated in alcohol loading","container-title":"Alcoholism, Clinical and Experimental Research","page":"S2-8","volume":"31","issue":"1 Suppl","source":"PubMed","abstract":"BACKGROUND: It is common for alcoholic patients to have excess iron accumulation in the liver, which may contribute to the development of alcoholic liver disease (ALD). However, the mechanism of hepatic iron uptake in ALD is still obscure. Recently, a novel iron-regulatory hormone hepcidin was found that suppresses the absorption of iron from the small intestine and the release of iron from macrophages. To elucidate the contribution of hepcidin toward the hepatic excess iron accumulation in ALD, we examined whether alcohol loading affects hepcidin expression both in ALD patients and in an ethanol-fed mouse model.\nMETHODS: Serum prohepcidin concentration was quantified by enzyme-linked immunosorbent assay. Hepatic hepcidin-1 and hepcidin-2 mRNA expressions in mouse liver were evaluated by quantitative real-time reverse-transcriptase polymerase chain reaction method. The protein expression of prohepcidin in mouse liver was examined immunohistochemically by rabbit antimouse prohepcidin antibody.\nRESULTS: Serum prohepcidin concentration in ALD was significantly lower than that in healthy subjects (p&lt;0.001). Especially, serum prohepcidin concentrations were decreased in the patients whose serum ferritin value was high. In the ethanol-fed mouse model, hepatic hepcidin-1 mRNA expression was significantly lower than that in control (p=0.04). Prohepcidin was expressed in the cytoplasm of hepatocytes of mice liver tissue sections, and its expression was decreased after ethanol loading.\nCONCLUSION: Alcohol loading down-regulates hepatic hepcidin expression and leads to the increase of iron absorption from the intestine.","DOI":"10.1111/j.1530-0277.2006.00279.x","ISSN":"1530-0277","note":"PMID: 17331161","journalAbbreviation":"Alcohol. Clin. Exp. Res.","language":"eng","author":[{"family":"Ohtake","given":"Takaaki"},{"family":"Saito","given":"Hiroyuki"},{"family":"Hosoki","given":"Yayoi"},{"family":"Inoue","given":"Mitsutaka"},{"family":"Miyoshi","given":"Shigeki"},{"family":"Suzuki","given":"Yasuaki"},{"family":"Fujimoto","given":"Yoshinori"},{"family":"Kohgo","given":"Yutaka"}],"issued":{"date-parts":[["2007",1]]}}},{"id":398,"uris":["http://zotero.org/users/2804724/items/CFZQIWTE"],"uri":["http://zotero.org/users/2804724/items/CFZQIWTE"],"itemData":{"id":398,"type":"article-journal","title":"Liver hepcidin mRNA expression is inappropriately low in alcoholic patients compared with healthy controls","container-title":"European Journal of Gastroenterology &amp; Hepatology","page":"1158-1165","volume":"24","issue":"10","source":"PubMed","abstract":"BACKGROUND AND AIMS: Hepcidin plays a crucial role in iron metabolism, preventing its absorption at the basolateral enterocyte membrane. Hepcidin regulation is complex and regulated at the transcriptional level. The relation between iron overload and alcoholic liver disease is well known, but its mechanism is not clear. We present an observational, case-control study, aimed at evaluating the effects of alcohol on the expression of hepcidin in human participants. We intended to assess whether iron overload related to alcohol ingestion was caused by hepcidin-impaired expression by determining hepcidin mRNA expression and relating it to iron stores, both in alcoholic patients and in normal controls.\nMETHODS: We compared liver hepcidin mRNA expression between 25 active drinkers with alcoholic liver disease, without cirrhosis, and 20 healthy controls. All individuals were evaluated for HFE mutations, complete blood count, coagulation, glucose, kidney function, liver function, viral hepatitis, C-reactive protein, interleukin 6, tumor necrosis factor α, and serum iron, ferritin, and transferrin saturation. Total RNA was isolated from liver samples, cDNA was obtained by reverse transcription, and hepatic expression levels of hepcidin were determined by real-time PCR using the comparative Ct method (2(-ΔΔCt)).\nRESULTS: Serum ferritin and transferrin saturation were significantly higher in patients. Hepcidin was downregulated in patients compared with the controls by a mean factor of -0.44 (log10 2(-ΔΔCt)) (P=0.009). Hepcidin expression was not significantly different between the several grades of fibrosis, necroinflammatory activity, and liver iron stores. Heavy alcohol consumption caused the highest hepcidin mRNA suppression. The hepcidin mRNA expression/serum ferritin ratio was significantly lower in alcoholic patients (P&lt;0.0001).\nCONCLUSION: Hepcidin liver expression is inappropriately low in alcoholic patients with active alcoholism and preserved hepatic function, and we conclude that this is the mechanism for alcohol consumption-associated iron overload in humans.","DOI":"10.1097/MEG.0b013e328355cfd0","ISSN":"1473-5687","note":"PMID: 22732356","journalAbbreviation":"Eur J Gastroenterol Hepatol","language":"eng","author":[{"family":"Costa-Matos","given":"Luís"},{"family":"Batista","given":"Paulo"},{"family":"Monteiro","given":"Nuno"},{"family":"Simões","given":"Maria"},{"family":"Egas","given":"Conceição"},{"family":"Pereira","given":"Jorge"},{"family":"Pinho","given":"Helena"},{"family":"Santos","given":"Natália"},{"family":"Ribeiro","given":"João"},{"family":"Cipriano","given":"Maria A."},{"family":"Henriques","given":"Pedro"},{"family":"Girão","given":"Fernando"},{"family":"Rodrigues","given":"Alfredo"},{"family":"Carvalho","given":"Armando"}],"issued":{"date-parts":[["2012",10]]}}}],"schema":"https://github.com/citation-style-language/schema/raw/master/csl-citation.json"} </w:instrText>
            </w:r>
            <w:r w:rsidRPr="007F5A49">
              <w:rPr>
                <w:rFonts w:ascii="Book Antiqua" w:hAnsi="Book Antiqua" w:cs="Arial"/>
                <w:sz w:val="24"/>
                <w:szCs w:val="24"/>
                <w:vertAlign w:val="superscript"/>
                <w:lang w:val="en-US"/>
              </w:rPr>
              <w:fldChar w:fldCharType="separate"/>
            </w:r>
            <w:r w:rsidR="00384814"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69,71,140</w:t>
            </w:r>
            <w:r w:rsidRPr="007F5A49">
              <w:rPr>
                <w:rFonts w:ascii="Book Antiqua" w:hAnsi="Book Antiqua" w:cs="Arial"/>
                <w:sz w:val="24"/>
                <w:szCs w:val="24"/>
                <w:vertAlign w:val="superscript"/>
                <w:lang w:val="en-US"/>
              </w:rPr>
              <w:fldChar w:fldCharType="end"/>
            </w:r>
            <w:r w:rsidR="00384814" w:rsidRPr="007F5A49">
              <w:rPr>
                <w:rFonts w:ascii="Book Antiqua" w:hAnsi="Book Antiqua" w:cs="Arial"/>
                <w:sz w:val="24"/>
                <w:szCs w:val="24"/>
                <w:vertAlign w:val="superscript"/>
                <w:lang w:val="en-US"/>
              </w:rPr>
              <w:t>]</w:t>
            </w:r>
          </w:p>
        </w:tc>
        <w:tc>
          <w:tcPr>
            <w:tcW w:w="2397" w:type="dxa"/>
            <w:shd w:val="clear" w:color="auto" w:fill="auto"/>
          </w:tcPr>
          <w:p w14:paraId="1CE86B13" w14:textId="63E7172A" w:rsidR="00F64145" w:rsidRPr="007F5A49" w:rsidRDefault="00F64145" w:rsidP="003F73FF">
            <w:pPr>
              <w:pStyle w:val="ListParagraph"/>
              <w:adjustRightInd w:val="0"/>
              <w:snapToGrid w:val="0"/>
              <w:spacing w:line="360" w:lineRule="auto"/>
              <w:ind w:left="0"/>
              <w:contextualSpacing w:val="0"/>
              <w:jc w:val="center"/>
              <w:rPr>
                <w:rFonts w:ascii="Book Antiqua" w:hAnsi="Book Antiqua" w:cs="Arial"/>
                <w:sz w:val="24"/>
                <w:szCs w:val="24"/>
                <w:lang w:val="en-US"/>
              </w:rPr>
            </w:pPr>
            <w:r w:rsidRPr="007F5A49">
              <w:rPr>
                <w:rFonts w:ascii="Book Antiqua" w:hAnsi="Book Antiqua" w:cs="Arial"/>
                <w:sz w:val="24"/>
                <w:szCs w:val="24"/>
                <w:lang w:val="en-US"/>
              </w:rPr>
              <w:t>High</w:t>
            </w:r>
            <w:r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KHwI8rid","properties":{"formattedCitation":"(80,141)","plainCitation":"(80,141)","noteIndex":0},"citationItems":[{"id":38,"uris":["http://zotero.org/users/2804724/items/DS2RRC6A"],"uri":["http://zotero.org/users/2804724/items/DS2RRC6A"],"itemData":{"id":38,"type":"article-journal","title":"Serum levels of hepcidin in patients with biopsy-proven nonalcoholic fatty liver disease","container-title":"Metabolic Syndrome and Related Disorders","page":"287-290","volume":"9","issue":"4","source":"PubMed","abstract":"BACKGROUND: Research suggests the presence of mild-to-moderate iron overload in patients with nonalcoholic fatty liver disease (NAFLD). The role played by hepcidin, the master regulatory hormone of systemic iron metabolism, in the pathogenesis of NAFLD remains controversial. The aims of this study were to: (1) Evaluate serum hepcidin levels in patients with biopsy-proven NAFLD and age- and sex-matched controls and (2) identify the potential associations of hepcidin with the clinical and biochemical characteristics of the study participants.\nMETHODS: Serum levels of hepcidin were measured by enzyme-linked immunosorbent assay and compared in 88 patients with NAFLD (56 males and 32 females; mean age, 44 ± 11 years) and 88 controls (51 males and 37 females; mean age, 43 ± 12 years). Moreover, concentrations of hepcidin were assessed in relation to the general characteristics of the study participants and the results of liver biopsy.\nRESULTS: Serum levels of hepcidin were significantly higher in patients with NAFLD (63.5 ± 19.5</w:instrText>
            </w:r>
            <w:r w:rsidR="00D2645C" w:rsidRPr="007F5A49">
              <w:rPr>
                <w:rFonts w:ascii="Calibri" w:eastAsia="Calibri" w:hAnsi="Calibri" w:cs="Calibri"/>
                <w:sz w:val="24"/>
                <w:szCs w:val="24"/>
                <w:vertAlign w:val="superscript"/>
                <w:lang w:val="en-US"/>
              </w:rPr>
              <w:instrText> </w:instrText>
            </w:r>
            <w:r w:rsidR="00D2645C" w:rsidRPr="007F5A49">
              <w:rPr>
                <w:rFonts w:ascii="Book Antiqua" w:hAnsi="Book Antiqua" w:cs="Arial"/>
                <w:sz w:val="24"/>
                <w:szCs w:val="24"/>
                <w:vertAlign w:val="superscript"/>
                <w:lang w:val="en-US"/>
              </w:rPr>
              <w:instrText xml:space="preserve">ng/mL, P&lt;0.001) compared with controls (32.7 </w:instrText>
            </w:r>
            <w:r w:rsidR="00D2645C" w:rsidRPr="007F5A49">
              <w:rPr>
                <w:rFonts w:ascii="Book Antiqua" w:hAnsi="Book Antiqua" w:cs="Book Antiqua"/>
                <w:sz w:val="24"/>
                <w:szCs w:val="24"/>
                <w:vertAlign w:val="superscript"/>
                <w:lang w:val="en-US"/>
              </w:rPr>
              <w:instrText>±</w:instrText>
            </w:r>
            <w:r w:rsidR="00D2645C" w:rsidRPr="007F5A49">
              <w:rPr>
                <w:rFonts w:ascii="Book Antiqua" w:hAnsi="Book Antiqua" w:cs="Arial"/>
                <w:sz w:val="24"/>
                <w:szCs w:val="24"/>
                <w:vertAlign w:val="superscript"/>
                <w:lang w:val="en-US"/>
              </w:rPr>
              <w:instrText xml:space="preserve"> 8.3 ng/mL). Multivariable regression analyses in patients with NAFLD showed that hepcidin levels were positively associated with total cholesterol (β=6.9, t=3.3, P&lt;0.01) and triglycerides (β=1.4, t=2.4, P&lt;0.05), but not with iron parameters, histological staging, and pathological characteristics of NAFLD.\nCONCLUSIONS: Although subject to future confirmation, our data suggest that hepcidin levels are elevated in NAFLD and could be associated with lipid parameters in this setting.","DOI":"10.1089/met.2010.0121","ISSN":"1557-8518","note":"PMID: 21417913","journalAbbreviation":"Metab Syndr Relat Disord","language":"eng","author":[{"family":"Senates","given":"Ebubekir"},{"family":"Yilmaz","given":"Yusuf"},{"family":"Colak","given":"Yasar"},{"family":"Ozturk","given":"Oguzhan"},{"family":"Altunoz","given":"Mustafa Erhan"},{"family":"Kurt","given":"Ramazan"},{"family":"Ozkara","given":"Selvinaz"},{"family":"Aksaray","given":"Sebahat"},{"family":"Tuncer","given":"Ilyas"},{"family":"Ovunc","given":"Ayse Oya Kurdas"}],"issued":{"date-parts":[["2011",8]]}}},{"id":"z1PZoHrb/zXURh0Rt","uris":["http://zotero.org/users/4222068/items/QIE7W3AC"],"uri":["http://zotero.org/users/4222068/items/QIE7W3AC"],"itemData":{"id":1251,"type":"article-journal","title":"Increased duodenal iron absorption through up-regulation of divalent metal transporter 1 from enhancement of iron regulatory protein 1 activity in patients with nonalcoholic steatohepatitis","container-title":"Hepatology","page":"751-761","volume":"62","issue":"3","source":"Wiley Online Library","abstract":"Increased hepatic iron accumulation is thought to be involved in the pathogenesis of nonalcoholic steatohepatitis (NASH). Hepatic iron accumulation, as well as oxidative DNA damage, is significantly increased in NASH livers. However, the precise mechanism of iron accumulation in the NASH liver remains unclear. In this study, 40 cases with a diagnosis of NASH (n</w:instrText>
            </w:r>
            <w:r w:rsidR="00D2645C" w:rsidRPr="007F5A49">
              <w:rPr>
                <w:rFonts w:ascii="Calibri" w:eastAsia="Calibri" w:hAnsi="Calibri" w:cs="Calibri"/>
                <w:sz w:val="24"/>
                <w:szCs w:val="24"/>
                <w:vertAlign w:val="superscript"/>
                <w:lang w:val="en-US"/>
              </w:rPr>
              <w:instrText> </w:instrText>
            </w:r>
            <w:r w:rsidR="00D2645C" w:rsidRPr="007F5A49">
              <w:rPr>
                <w:rFonts w:ascii="Book Antiqua" w:hAnsi="Book Antiqua" w:cs="Arial"/>
                <w:sz w:val="24"/>
                <w:szCs w:val="24"/>
                <w:vertAlign w:val="superscript"/>
                <w:lang w:val="en-US"/>
              </w:rPr>
              <w:instrText>=</w:instrText>
            </w:r>
            <w:r w:rsidR="00D2645C" w:rsidRPr="007F5A49">
              <w:rPr>
                <w:rFonts w:ascii="Calibri" w:eastAsia="Calibri" w:hAnsi="Calibri" w:cs="Calibri"/>
                <w:sz w:val="24"/>
                <w:szCs w:val="24"/>
                <w:vertAlign w:val="superscript"/>
                <w:lang w:val="en-US"/>
              </w:rPr>
              <w:instrText> </w:instrText>
            </w:r>
            <w:r w:rsidR="00D2645C" w:rsidRPr="007F5A49">
              <w:rPr>
                <w:rFonts w:ascii="Book Antiqua" w:hAnsi="Book Antiqua" w:cs="Arial"/>
                <w:sz w:val="24"/>
                <w:szCs w:val="24"/>
                <w:vertAlign w:val="superscript"/>
                <w:lang w:val="en-US"/>
              </w:rPr>
              <w:instrText>25) or simple steatosis (SS; n</w:instrText>
            </w:r>
            <w:r w:rsidR="00D2645C" w:rsidRPr="007F5A49">
              <w:rPr>
                <w:rFonts w:ascii="Calibri" w:eastAsia="Calibri" w:hAnsi="Calibri" w:cs="Calibri"/>
                <w:sz w:val="24"/>
                <w:szCs w:val="24"/>
                <w:vertAlign w:val="superscript"/>
                <w:lang w:val="en-US"/>
              </w:rPr>
              <w:instrText> </w:instrText>
            </w:r>
            <w:r w:rsidR="00D2645C" w:rsidRPr="007F5A49">
              <w:rPr>
                <w:rFonts w:ascii="Book Antiqua" w:hAnsi="Book Antiqua" w:cs="Arial"/>
                <w:sz w:val="24"/>
                <w:szCs w:val="24"/>
                <w:vertAlign w:val="superscript"/>
                <w:lang w:val="en-US"/>
              </w:rPr>
              <w:instrText>=</w:instrText>
            </w:r>
            <w:r w:rsidR="00D2645C" w:rsidRPr="007F5A49">
              <w:rPr>
                <w:rFonts w:ascii="Calibri" w:eastAsia="Calibri" w:hAnsi="Calibri" w:cs="Calibri"/>
                <w:sz w:val="24"/>
                <w:szCs w:val="24"/>
                <w:vertAlign w:val="superscript"/>
                <w:lang w:val="en-US"/>
              </w:rPr>
              <w:instrText> </w:instrText>
            </w:r>
            <w:r w:rsidR="00D2645C" w:rsidRPr="007F5A49">
              <w:rPr>
                <w:rFonts w:ascii="Book Antiqua" w:hAnsi="Book Antiqua" w:cs="Arial"/>
                <w:sz w:val="24"/>
                <w:szCs w:val="24"/>
                <w:vertAlign w:val="superscript"/>
                <w:lang w:val="en-US"/>
              </w:rPr>
              <w:instrText>15) by liver biopsy were enrolled. An oral iron absorption test (OIAT) was used, in which 100 mg of sodium ferrous citrate was administered to each individual. The OIAT showed that absorption of iron from the gastrointestinal (GI) tract was increased significantly in NASH patients, compared to SS and control subjects. Iron reduction therapy was effective in patients with NASH, who exhibited iron deposition in the liver and no alanine aminotransferase improvement after other therapies (n</w:instrText>
            </w:r>
            <w:r w:rsidR="00D2645C" w:rsidRPr="007F5A49">
              <w:rPr>
                <w:rFonts w:ascii="Calibri" w:eastAsia="Calibri" w:hAnsi="Calibri" w:cs="Calibri"/>
                <w:sz w:val="24"/>
                <w:szCs w:val="24"/>
                <w:vertAlign w:val="superscript"/>
                <w:lang w:val="en-US"/>
              </w:rPr>
              <w:instrText> </w:instrText>
            </w:r>
            <w:r w:rsidR="00D2645C" w:rsidRPr="007F5A49">
              <w:rPr>
                <w:rFonts w:ascii="Book Antiqua" w:hAnsi="Book Antiqua" w:cs="Arial"/>
                <w:sz w:val="24"/>
                <w:szCs w:val="24"/>
                <w:vertAlign w:val="superscript"/>
                <w:lang w:val="en-US"/>
              </w:rPr>
              <w:instrText>=</w:instrText>
            </w:r>
            <w:r w:rsidR="00D2645C" w:rsidRPr="007F5A49">
              <w:rPr>
                <w:rFonts w:ascii="Calibri" w:eastAsia="Calibri" w:hAnsi="Calibri" w:cs="Calibri"/>
                <w:sz w:val="24"/>
                <w:szCs w:val="24"/>
                <w:vertAlign w:val="superscript"/>
                <w:lang w:val="en-US"/>
              </w:rPr>
              <w:instrText> </w:instrText>
            </w:r>
            <w:r w:rsidR="00D2645C" w:rsidRPr="007F5A49">
              <w:rPr>
                <w:rFonts w:ascii="Book Antiqua" w:hAnsi="Book Antiqua" w:cs="Arial"/>
                <w:sz w:val="24"/>
                <w:szCs w:val="24"/>
                <w:vertAlign w:val="superscript"/>
                <w:lang w:val="en-US"/>
              </w:rPr>
              <w:instrText xml:space="preserve">9). Serum hepcidin concentration and messenger RNA (mRNA) levels of divalent metal transporter 1 (DMT1) also were significantly elevated in patients with NASH. OIAT results were correlated with grade of liver iron accumulation and DMT1 mRNA levels. Then, we demonstrated that DMT1 mRNA levels increased significantly in Caco-2/TC7 cell monolayers cultured in transwells with serum from NASH patients. An electrophoresis mobility shift assay showed activation of iron regulatory protein (IRP) in those cells, and IRP1 small interfering RNA clearly inhibited the increase of DMT1 mRNA levels. Conclusion: In spite of elevation of serum hepcidin, iron absorption from the GI tract increased through up-regulation of DMT1 by IRP1 activation by humoral factor(s) in sera of patients with NASH. (Hepatology 2015) Hepatology 2015;62:751–761)","DOI":"10.1002/hep.27774","ISSN":"1527-3350","journalAbbreviation":"Hepatology","language":"en","author":[{"family":"Hoki","given":"Toshifumi"},{"family":"Miyanishi","given":"Koji"},{"family":"Tanaka","given":"Shingo"},{"family":"Takada","given":"Kohichi"},{"family":"Kawano","given":"Yutaka"},{"family":"Sakurada","given":"Akira"},{"family":"Sato","given":"Masanori"},{"family":"Kubo","given":"Tomohiro"},{"family":"Sato","given":"Tsutomu"},{"family":"Sato","given":"Yasushi"},{"family":"Takimoto","given":"Rishu"},{"family":"Kobune","given":"Masayoshi"},{"family":"Kato","given":"Junji"}],"issued":{"date-parts":[["2015",9,1]]}}}],"schema":"https://github.com/citation-style-language/schema/raw/master/csl-citation.json"} </w:instrText>
            </w:r>
            <w:r w:rsidRPr="007F5A49">
              <w:rPr>
                <w:rFonts w:ascii="Book Antiqua" w:hAnsi="Book Antiqua" w:cs="Arial"/>
                <w:sz w:val="24"/>
                <w:szCs w:val="24"/>
                <w:vertAlign w:val="superscript"/>
                <w:lang w:val="en-US"/>
              </w:rPr>
              <w:fldChar w:fldCharType="separate"/>
            </w:r>
            <w:r w:rsidR="00872E2A"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80,141</w:t>
            </w:r>
            <w:r w:rsidRPr="007F5A49">
              <w:rPr>
                <w:rFonts w:ascii="Book Antiqua" w:hAnsi="Book Antiqua" w:cs="Arial"/>
                <w:sz w:val="24"/>
                <w:szCs w:val="24"/>
                <w:vertAlign w:val="superscript"/>
                <w:lang w:val="en-US"/>
              </w:rPr>
              <w:fldChar w:fldCharType="end"/>
            </w:r>
            <w:r w:rsidR="00872E2A" w:rsidRPr="007F5A49">
              <w:rPr>
                <w:rFonts w:ascii="Book Antiqua" w:hAnsi="Book Antiqua" w:cs="Arial"/>
                <w:sz w:val="24"/>
                <w:szCs w:val="24"/>
                <w:vertAlign w:val="superscript"/>
                <w:lang w:val="en-US"/>
              </w:rPr>
              <w:t>]</w:t>
            </w:r>
          </w:p>
          <w:p w14:paraId="1B60750C" w14:textId="4B02C35C" w:rsidR="00F64145" w:rsidRPr="007F5A49" w:rsidRDefault="00F64145" w:rsidP="003F73FF">
            <w:pPr>
              <w:pStyle w:val="ListParagraph"/>
              <w:adjustRightInd w:val="0"/>
              <w:snapToGrid w:val="0"/>
              <w:spacing w:line="360" w:lineRule="auto"/>
              <w:ind w:left="0"/>
              <w:contextualSpacing w:val="0"/>
              <w:jc w:val="center"/>
              <w:rPr>
                <w:rFonts w:ascii="Book Antiqua" w:hAnsi="Book Antiqua" w:cs="Arial"/>
                <w:sz w:val="24"/>
                <w:szCs w:val="24"/>
                <w:lang w:val="en-US"/>
              </w:rPr>
            </w:pPr>
            <w:r w:rsidRPr="007F5A49">
              <w:rPr>
                <w:rFonts w:ascii="Book Antiqua" w:hAnsi="Book Antiqua" w:cs="Arial"/>
                <w:sz w:val="24"/>
                <w:szCs w:val="24"/>
                <w:lang w:val="en-US"/>
              </w:rPr>
              <w:t xml:space="preserve">Can be low in iron </w:t>
            </w:r>
            <w:r w:rsidRPr="007F5A49">
              <w:rPr>
                <w:rFonts w:ascii="Book Antiqua" w:hAnsi="Book Antiqua" w:cs="Arial"/>
                <w:sz w:val="24"/>
                <w:szCs w:val="24"/>
                <w:lang w:val="en-US"/>
              </w:rPr>
              <w:lastRenderedPageBreak/>
              <w:t>deficiency</w:t>
            </w:r>
            <w:r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8jl43gttm","properties":{"formattedCitation":"(86)","plainCitation":"(86)","noteIndex":0},"citationItems":[{"id":"z1PZoHrb/vAqn1oWs","uris":["http://zotero.org/users/4222068/items/9QHFVC7M"],"uri":["http://zotero.org/users/4222068/items/9QHFVC7M"],"itemData":{"id":1600,"type":"article-journal","title":"Iron Deficiency in Patients with Nonalcoholic Fatty Liver Disease is Associated with Obesity, Female Sex, and Low Serum Hepcidin","container-title":"Clinical gastroenterology and hepatology : the official clinical practice journal of the American Gastroenterological Association","page":"1170-1178","volume":"12","issue":"7","source":"PubMed Central","abstract":"Background &amp; Aims\nIron deficiency is often observed in obese individuals. The iron regulatory hormone hepcidin is regulated by iron and cytokines IL6 and IL1β. We examine the relationship between obesity, circulating levels of hepcidin and IL6 and IL1β, and other risk factors in patients with non-alcoholic fatty liver disease (NAFLD) with iron deficiency.\n\nMethods\nWe collected data on 675 adult subjects (&gt;18 y old) enrolled in the Nonalcoholic Steatohepatitis Clinical Research Network. Subjects with transferrin saturation &lt;20% were categorized as iron deficient, whereas those with transferrin saturation ≥20% were classified as iron normal. We assessed clinical, demographic, anthropometric, laboratory, dietary, and histologic data from patients, as well as serum levels of hepcidin and cytokines IL6 and IL1β. Univariate and multivariate analysis were used to identify risk factors for iron deficiency.\n\nResults\nOne third of patients (231/675; 34%) were iron deficient. Obesity, diabetes, and metabolic syndrome were more common in subjects with iron deficiency (P&lt;.01), compared with those that were iron normal. Serum levels of hepcidin were significantly lower in subjects with iron deficiency (61±45 vs 81±51 ng/mL; P&lt;.0001). Iron deficiency was significantly associated with female sex, obesity, increased body mass index and waist circumference, presence of diabetes, lower alcohol consumption, Black or American Indian/Alaska Native race (P≤.018), and increased levels of IL6 and IL1β (6.6 vs 4.8 for iron normal; P≤.0001 and 0.45 vs 0.32 for iron normal; P≤.005).\n\nConclusion\nIron deficiency is prevalent in patients with NAFLD and associated with female sex, increased body mass index, and non-white race. Serum levels of hepcidin were lower in iron-deficient subjects, reflecting an appropriate physiological response to decreased circulating levels of iron, rather than a primary cause of iron deficiency in the setting of obesity and NAFLD.","DOI":"10.1016/j.cgh.2013.11.017","ISSN":"1542-3565","note":"PMID: 24269922\nPMCID: PMC4028425","journalAbbreviation":"Clin Gastroenterol Hepatol","author":[{"family":"Siddique","given":"Asma"},{"family":"Nelson","given":"James E."},{"family":"Aouizerat","given":"Bradley"},{"family":"Yeh","given":"Matthew M."},{"family":"Kowdley","given":"Kris V."}],"issued":{"date-parts":[["2014",7]]}}}],"schema":"https://github.com/citation-style-language/schema/raw/master/csl-citation.json"} </w:instrText>
            </w:r>
            <w:r w:rsidRPr="007F5A49">
              <w:rPr>
                <w:rFonts w:ascii="Book Antiqua" w:hAnsi="Book Antiqua" w:cs="Arial"/>
                <w:sz w:val="24"/>
                <w:szCs w:val="24"/>
                <w:vertAlign w:val="superscript"/>
                <w:lang w:val="en-US"/>
              </w:rPr>
              <w:fldChar w:fldCharType="separate"/>
            </w:r>
            <w:r w:rsidR="00872E2A"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86</w:t>
            </w:r>
            <w:r w:rsidRPr="007F5A49">
              <w:rPr>
                <w:rFonts w:ascii="Book Antiqua" w:hAnsi="Book Antiqua" w:cs="Arial"/>
                <w:sz w:val="24"/>
                <w:szCs w:val="24"/>
                <w:vertAlign w:val="superscript"/>
                <w:lang w:val="en-US"/>
              </w:rPr>
              <w:fldChar w:fldCharType="end"/>
            </w:r>
            <w:r w:rsidR="00872E2A" w:rsidRPr="007F5A49">
              <w:rPr>
                <w:rFonts w:ascii="Book Antiqua" w:hAnsi="Book Antiqua" w:cs="Arial"/>
                <w:sz w:val="24"/>
                <w:szCs w:val="24"/>
                <w:vertAlign w:val="superscript"/>
                <w:lang w:val="en-US"/>
              </w:rPr>
              <w:t>]</w:t>
            </w:r>
          </w:p>
          <w:p w14:paraId="5E77093A" w14:textId="2BF681B6" w:rsidR="00F64145" w:rsidRPr="007F5A49" w:rsidRDefault="00F64145" w:rsidP="003F73FF">
            <w:pPr>
              <w:pStyle w:val="ListParagraph"/>
              <w:adjustRightInd w:val="0"/>
              <w:snapToGrid w:val="0"/>
              <w:spacing w:line="360" w:lineRule="auto"/>
              <w:ind w:left="0"/>
              <w:contextualSpacing w:val="0"/>
              <w:jc w:val="center"/>
              <w:rPr>
                <w:rFonts w:ascii="Book Antiqua" w:hAnsi="Book Antiqua" w:cs="Arial"/>
                <w:sz w:val="24"/>
                <w:szCs w:val="24"/>
                <w:lang w:val="en-US"/>
              </w:rPr>
            </w:pPr>
            <w:r w:rsidRPr="007F5A49">
              <w:rPr>
                <w:rFonts w:ascii="Book Antiqua" w:hAnsi="Book Antiqua" w:cs="Arial"/>
                <w:sz w:val="24"/>
                <w:szCs w:val="24"/>
                <w:lang w:val="en-US"/>
              </w:rPr>
              <w:t>High in obesity, but not</w:t>
            </w:r>
            <w:r w:rsidR="00D76B2B" w:rsidRPr="007F5A49">
              <w:rPr>
                <w:rFonts w:ascii="Book Antiqua" w:hAnsi="Book Antiqua" w:cs="Arial"/>
                <w:sz w:val="24"/>
                <w:szCs w:val="24"/>
                <w:lang w:val="en-US"/>
              </w:rPr>
              <w:t xml:space="preserve"> in</w:t>
            </w:r>
            <w:r w:rsidRPr="007F5A49">
              <w:rPr>
                <w:rFonts w:ascii="Book Antiqua" w:hAnsi="Book Antiqua" w:cs="Arial"/>
                <w:sz w:val="24"/>
                <w:szCs w:val="24"/>
                <w:lang w:val="en-US"/>
              </w:rPr>
              <w:t xml:space="preserve"> NAFLD</w:t>
            </w:r>
            <w:r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15plnp8fqf","properties":{"formattedCitation":"(142)","plainCitation":"(142)","noteIndex":0},"citationItems":[{"id":261,"uris":["http://zotero.org/users/2804724/items/NKXD54Q9"],"uri":["http://zotero.org/users/2804724/items/NKXD54Q9"],"itemData":{"id":261,"type":"article-journal","title":"Serum hepcidin levels are associated with obesity but not liver disease","container-title":"Obesity (Silver Spring, Md.)","page":"836-841","volume":"22","issue":"3","source":"PubMed","abstract":"OBJECTIVE: Hepcidin is regulated by anemia and inflammation. It is primarily expressed in the liver but studies have reported its expression in adipose tissue. The relationship between BMI and serum hepcidin and the relationship between liver histology and serum hepcidin in the morbidly obese was investigated.\nMETHODS: Serum and liver tissue from patients undergoing bariatric surgery (bariatric cohort, n = 105) and serum from healthy blood donors (n = 60) were used to conduct this study. Serum hepcidin was measured using sandwich ELISA, highly specific for hepcidin-25. Serum ferritin, IL-6, IL-1β and liver function biochemistries were also measured.\nRESULTS: After controlling for covariates, BMI ≥ 35 kg/m(2) was significantly associated with higher serum hepcidin level compared to individuals with lower BMI groups (17.7 ± 11.5 vs. 3.3 ± 4.7 ng/ml, P = 0.002). The presence of NAFLD was not associated with higher serum levels of hepcidin (multivariate P = 0.37). There was no association between serum hepcidin levels and liver histology (presence of steatohepatitis, advanced fibrosis, or NAFLD activity score) in the bariatric cohort.\nCONCLUSIONS: Obesity, but not the presence of NAFLD was associated with serum hepcidin levels. There was no association between serum hepcidin and liver histology in the morbidly obese undergoing bariatric surgery.","DOI":"10.1002/oby.20403","ISSN":"1930-739X","note":"PMID: 23512600\nPMCID: PMC3692602","journalAbbreviation":"Obesity (Silver Spring)","language":"eng","author":[{"family":"Vuppalanchi","given":"Raj"},{"family":"Troutt","given":"Jason S."},{"family":"Konrad","given":"Robert J."},{"family":"Ghabril","given":"Marwan"},{"family":"Saxena","given":"Romil"},{"family":"Bell","given":"Lauren N."},{"family":"Kowdley","given":"Kris V."},{"family":"Chalasani","given":"Naga"}],"issued":{"date-parts":[["2014",3]]}}}],"schema":"https://github.com/citation-style-language/schema/raw/master/csl-citation.json"} </w:instrText>
            </w:r>
            <w:r w:rsidRPr="007F5A49">
              <w:rPr>
                <w:rFonts w:ascii="Book Antiqua" w:hAnsi="Book Antiqua" w:cs="Arial"/>
                <w:sz w:val="24"/>
                <w:szCs w:val="24"/>
                <w:vertAlign w:val="superscript"/>
                <w:lang w:val="en-US"/>
              </w:rPr>
              <w:fldChar w:fldCharType="separate"/>
            </w:r>
            <w:r w:rsidR="00D76B2B"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142</w:t>
            </w:r>
            <w:r w:rsidRPr="007F5A49">
              <w:rPr>
                <w:rFonts w:ascii="Book Antiqua" w:hAnsi="Book Antiqua" w:cs="Arial"/>
                <w:sz w:val="24"/>
                <w:szCs w:val="24"/>
                <w:vertAlign w:val="superscript"/>
                <w:lang w:val="en-US"/>
              </w:rPr>
              <w:fldChar w:fldCharType="end"/>
            </w:r>
            <w:r w:rsidR="00D76B2B" w:rsidRPr="007F5A49">
              <w:rPr>
                <w:rFonts w:ascii="Book Antiqua" w:hAnsi="Book Antiqua" w:cs="Arial"/>
                <w:sz w:val="24"/>
                <w:szCs w:val="24"/>
                <w:vertAlign w:val="superscript"/>
                <w:lang w:val="en-US"/>
              </w:rPr>
              <w:t>]</w:t>
            </w:r>
          </w:p>
          <w:p w14:paraId="17A9D4EF" w14:textId="5E4B95F8" w:rsidR="00F64145" w:rsidRPr="007F5A49" w:rsidRDefault="00F64145" w:rsidP="003F73FF">
            <w:pPr>
              <w:pStyle w:val="ListParagraph"/>
              <w:adjustRightInd w:val="0"/>
              <w:snapToGrid w:val="0"/>
              <w:spacing w:line="360" w:lineRule="auto"/>
              <w:ind w:left="0"/>
              <w:contextualSpacing w:val="0"/>
              <w:jc w:val="center"/>
              <w:rPr>
                <w:rFonts w:ascii="Book Antiqua" w:hAnsi="Book Antiqua" w:cs="Arial"/>
                <w:sz w:val="24"/>
                <w:szCs w:val="24"/>
                <w:lang w:val="en-US"/>
              </w:rPr>
            </w:pPr>
            <w:r w:rsidRPr="007F5A49">
              <w:rPr>
                <w:rFonts w:ascii="Book Antiqua" w:hAnsi="Book Antiqua" w:cs="Arial"/>
                <w:sz w:val="24"/>
                <w:szCs w:val="24"/>
                <w:lang w:val="en-US"/>
              </w:rPr>
              <w:t>High in obesity with NAFLD</w:t>
            </w:r>
            <w:r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19uivcrfmr","properties":{"formattedCitation":"(143)","plainCitation":"(143)","noteIndex":0},"citationItems":[{"id":260,"uris":["http://zotero.org/users/2804724/items/YEGH8VQ7"],"uri":["http://zotero.org/users/2804724/items/YEGH8VQ7"],"itemData":{"id":260,"type":"article-journal","title":"Serum hepcidin levels and iron metabolism in obese children with and without fatty liver: case-control study","container-title":"European Journal of Pediatrics","page":"947-951","volume":"173","issue":"7","source":"PubMed","abstract":"Hepcidin is a regulator of iron balance that is increased in obesity. It reduces the absorption of iron, reduces the transfer of iron from macrophages to the plasma and/or prevents mobilisation of stored iron. Obese patients with non-alcoholic fatty liver disease (NAFLD) demonstrate adipokine and cytokine release promoting inflammatory response. We aimed to analyse the hepcidin levels and iron metabolism in obese children with and without NAFLD and non-obese healthy controls. The study population consisted of 110 children aged 7-18 years in three groups: 50 obese patients without NAFLD, 30 obese patients with NAFLD, and 30 non-obese healthy controls. Serum hepcidin, ferritin, and iron levels, iron-binding capacity, lipid profile, and liver function tests were measured, and hepatic ultrasonography was performed in all participants. Obese patients' white blood cell counts, total cholesterol, triglyceride levels, and homeostatic model assessment of insulin resistance (HOMA-IR) were significantly higher than those of the control group. Iron-binding capacity was significantly higher in obese patients without NAFLD compared with obese patients with NAFLD (p</w:instrText>
            </w:r>
            <w:r w:rsidR="00D2645C" w:rsidRPr="007F5A49">
              <w:rPr>
                <w:rFonts w:ascii="Calibri" w:eastAsia="Calibri" w:hAnsi="Calibri" w:cs="Calibri"/>
                <w:sz w:val="24"/>
                <w:szCs w:val="24"/>
                <w:vertAlign w:val="superscript"/>
                <w:lang w:val="en-US"/>
              </w:rPr>
              <w:instrText> </w:instrText>
            </w:r>
            <w:r w:rsidR="00D2645C" w:rsidRPr="007F5A49">
              <w:rPr>
                <w:rFonts w:ascii="Book Antiqua" w:hAnsi="Book Antiqua" w:cs="Arial"/>
                <w:sz w:val="24"/>
                <w:szCs w:val="24"/>
                <w:vertAlign w:val="superscript"/>
                <w:lang w:val="en-US"/>
              </w:rPr>
              <w:instrText>=</w:instrText>
            </w:r>
            <w:r w:rsidR="00D2645C" w:rsidRPr="007F5A49">
              <w:rPr>
                <w:rFonts w:ascii="Calibri" w:eastAsia="Calibri" w:hAnsi="Calibri" w:cs="Calibri"/>
                <w:sz w:val="24"/>
                <w:szCs w:val="24"/>
                <w:vertAlign w:val="superscript"/>
                <w:lang w:val="en-US"/>
              </w:rPr>
              <w:instrText> </w:instrText>
            </w:r>
            <w:r w:rsidR="00D2645C" w:rsidRPr="007F5A49">
              <w:rPr>
                <w:rFonts w:ascii="Book Antiqua" w:hAnsi="Book Antiqua" w:cs="Arial"/>
                <w:sz w:val="24"/>
                <w:szCs w:val="24"/>
                <w:vertAlign w:val="superscript"/>
                <w:lang w:val="en-US"/>
              </w:rPr>
              <w:instrText>0.002). Hepcidin levels were not significantly different between obese patients and the control group. However, hepcidin levels in obese patients with NAFLD were significantly higher than those in obese patients without NAFLD (p</w:instrText>
            </w:r>
            <w:r w:rsidR="00D2645C" w:rsidRPr="007F5A49">
              <w:rPr>
                <w:rFonts w:ascii="Calibri" w:eastAsia="Calibri" w:hAnsi="Calibri" w:cs="Calibri"/>
                <w:sz w:val="24"/>
                <w:szCs w:val="24"/>
                <w:vertAlign w:val="superscript"/>
                <w:lang w:val="en-US"/>
              </w:rPr>
              <w:instrText> </w:instrText>
            </w:r>
            <w:r w:rsidR="00D2645C" w:rsidRPr="007F5A49">
              <w:rPr>
                <w:rFonts w:ascii="Book Antiqua" w:hAnsi="Book Antiqua" w:cs="Arial"/>
                <w:sz w:val="24"/>
                <w:szCs w:val="24"/>
                <w:vertAlign w:val="superscript"/>
                <w:lang w:val="en-US"/>
              </w:rPr>
              <w:instrText>&lt;</w:instrText>
            </w:r>
            <w:r w:rsidR="00D2645C" w:rsidRPr="007F5A49">
              <w:rPr>
                <w:rFonts w:ascii="Calibri" w:eastAsia="Calibri" w:hAnsi="Calibri" w:cs="Calibri"/>
                <w:sz w:val="24"/>
                <w:szCs w:val="24"/>
                <w:vertAlign w:val="superscript"/>
                <w:lang w:val="en-US"/>
              </w:rPr>
              <w:instrText> </w:instrText>
            </w:r>
            <w:r w:rsidR="00D2645C" w:rsidRPr="007F5A49">
              <w:rPr>
                <w:rFonts w:ascii="Book Antiqua" w:hAnsi="Book Antiqua" w:cs="Arial"/>
                <w:sz w:val="24"/>
                <w:szCs w:val="24"/>
                <w:vertAlign w:val="superscript"/>
                <w:lang w:val="en-US"/>
              </w:rPr>
              <w:instrText xml:space="preserve">0.001).\nCONCLUSIONS: Hepcidin levels were significantly higher in obese children with NAFLD than those without NAFLD. Obese children with NAFLD should receive attention regarding iron metabolism disorders. Serum hepcidin could be a marker of iron metabolism status and NAFLD in these groups of patients.","DOI":"10.1007/s00431-014-2268-8","ISSN":"1432-1076","note":"PMID: 24500395","shortTitle":"Serum hepcidin levels and iron metabolism in obese children with and without fatty liver","journalAbbreviation":"Eur. J. Pediatr.","language":"eng","author":[{"family":"Demircioğlu","given":"Fatih"},{"family":"Görünmez","given":"Gökhan"},{"family":"Dağıstan","given":"Emine"},{"family":"Göksügür","given":"Sevil Bilir"},{"family":"Bekdaş","given":"Mervan"},{"family":"Tosun","given":"Mehmet"},{"family":"Kızıldağ","given":"Betül"},{"family":"Kısmet","given":"Erol"}],"issued":{"date-parts":[["2014",7]]}}}],"schema":"https://github.com/citation-style-language/schema/raw/master/csl-citation.json"} </w:instrText>
            </w:r>
            <w:r w:rsidRPr="007F5A49">
              <w:rPr>
                <w:rFonts w:ascii="Book Antiqua" w:hAnsi="Book Antiqua" w:cs="Arial"/>
                <w:sz w:val="24"/>
                <w:szCs w:val="24"/>
                <w:vertAlign w:val="superscript"/>
                <w:lang w:val="en-US"/>
              </w:rPr>
              <w:fldChar w:fldCharType="separate"/>
            </w:r>
            <w:r w:rsidR="00D76B2B"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143</w:t>
            </w:r>
            <w:r w:rsidRPr="007F5A49">
              <w:rPr>
                <w:rFonts w:ascii="Book Antiqua" w:hAnsi="Book Antiqua" w:cs="Arial"/>
                <w:sz w:val="24"/>
                <w:szCs w:val="24"/>
                <w:vertAlign w:val="superscript"/>
                <w:lang w:val="en-US"/>
              </w:rPr>
              <w:fldChar w:fldCharType="end"/>
            </w:r>
            <w:r w:rsidR="00D76B2B" w:rsidRPr="007F5A49">
              <w:rPr>
                <w:rFonts w:ascii="Book Antiqua" w:hAnsi="Book Antiqua" w:cs="Arial"/>
                <w:sz w:val="24"/>
                <w:szCs w:val="24"/>
                <w:vertAlign w:val="superscript"/>
                <w:lang w:val="en-US"/>
              </w:rPr>
              <w:t>]</w:t>
            </w:r>
          </w:p>
          <w:p w14:paraId="50EC867D" w14:textId="14C54348" w:rsidR="00F64145" w:rsidRPr="007F5A49" w:rsidRDefault="00F64145" w:rsidP="003F73FF">
            <w:pPr>
              <w:pStyle w:val="ListParagraph"/>
              <w:adjustRightInd w:val="0"/>
              <w:snapToGrid w:val="0"/>
              <w:spacing w:line="360" w:lineRule="auto"/>
              <w:ind w:left="0"/>
              <w:contextualSpacing w:val="0"/>
              <w:jc w:val="center"/>
              <w:rPr>
                <w:rFonts w:ascii="Book Antiqua" w:hAnsi="Book Antiqua" w:cs="Arial"/>
                <w:sz w:val="24"/>
                <w:szCs w:val="24"/>
                <w:lang w:val="en-US"/>
              </w:rPr>
            </w:pPr>
            <w:r w:rsidRPr="007F5A49">
              <w:rPr>
                <w:rFonts w:ascii="Book Antiqua" w:hAnsi="Book Antiqua" w:cs="Arial"/>
                <w:sz w:val="24"/>
                <w:szCs w:val="24"/>
                <w:lang w:val="en-US"/>
              </w:rPr>
              <w:t>Alterations can occur without iron-overload</w:t>
            </w:r>
            <w:r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5ev301t8s","properties":{"formattedCitation":"(111)","plainCitation":"(111)","noteIndex":0},"citationItems":[{"id":"z1PZoHrb/eDyALzFj","uris":["http://zotero.org/users/4222068/items/PXDC4TST"],"uri":["http://zotero.org/users/4222068/items/PXDC4TST"],"itemData":{"id":1758,"type":"article-journal","title":"Low hepcidin in liver fibrosis and cirrhosis; a tale of progressive disorder and a case for a new biochemical marker","container-title":"Molecular Medicine","page":"5","volume":"24","source":"BioMed Central","abstract":"Liver fibrosis is a precursor of liver cirrhosis, which is associated with increased mortality. Though liver biopsy remains the gold standard for the diagnosis of fibrosis, noninvasive biochemical methods are cost-effective, practical and are not linked with major risks of complications. In this respect, serum hepcidin, has emerged as a new marker of fibrosis and cirrhosis. In this review the discussion uncovers molecular links between hepcidin disturbance and liver fibrosis/cirrhosis. The discussion also expands on clinical studies that suggest that hepcidin can potentially be used as a biochemical parameter of fibrosis/cirrhosis and target of therapeutic strategies to treat liver diseases. The debatable issues such as the complicated nature of hepcidin disturbance in non-alcoholic liver disease, serum levels of hepcidin in acute hepatitis C virus infection, cause of hepcidin disturbance in autoimmune hepatitis and hepatic insulin resistance are discussed, with potential solutions unveiled in order to be studied by future research.","DOI":"10.1186/s10020-018-0008-7","ISSN":"1528-3658","journalAbbreviation":"Molecular Medicine","author":[{"family":"Vela","given":"Driton"}],"issued":{"date-parts":[["2018",3,15]]}}}],"schema":"https://github.com/citation-style-language/schema/raw/master/csl-citation.json"} </w:instrText>
            </w:r>
            <w:r w:rsidRPr="007F5A49">
              <w:rPr>
                <w:rFonts w:ascii="Book Antiqua" w:hAnsi="Book Antiqua" w:cs="Arial"/>
                <w:sz w:val="24"/>
                <w:szCs w:val="24"/>
                <w:vertAlign w:val="superscript"/>
                <w:lang w:val="en-US"/>
              </w:rPr>
              <w:fldChar w:fldCharType="separate"/>
            </w:r>
            <w:r w:rsidR="00D76B2B"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111</w:t>
            </w:r>
            <w:r w:rsidRPr="007F5A49">
              <w:rPr>
                <w:rFonts w:ascii="Book Antiqua" w:hAnsi="Book Antiqua" w:cs="Arial"/>
                <w:sz w:val="24"/>
                <w:szCs w:val="24"/>
                <w:vertAlign w:val="superscript"/>
                <w:lang w:val="en-US"/>
              </w:rPr>
              <w:fldChar w:fldCharType="end"/>
            </w:r>
            <w:r w:rsidR="00D76B2B" w:rsidRPr="007F5A49">
              <w:rPr>
                <w:rFonts w:ascii="Book Antiqua" w:hAnsi="Book Antiqua" w:cs="Arial"/>
                <w:sz w:val="24"/>
                <w:szCs w:val="24"/>
                <w:vertAlign w:val="superscript"/>
                <w:lang w:val="en-US"/>
              </w:rPr>
              <w:t>]</w:t>
            </w:r>
          </w:p>
        </w:tc>
        <w:tc>
          <w:tcPr>
            <w:tcW w:w="2410" w:type="dxa"/>
            <w:shd w:val="clear" w:color="auto" w:fill="auto"/>
          </w:tcPr>
          <w:p w14:paraId="1CF050BD" w14:textId="33708412" w:rsidR="00F64145" w:rsidRPr="007F5A49" w:rsidRDefault="00F64145" w:rsidP="003F73FF">
            <w:pPr>
              <w:pStyle w:val="ListParagraph"/>
              <w:adjustRightInd w:val="0"/>
              <w:snapToGrid w:val="0"/>
              <w:spacing w:line="360" w:lineRule="auto"/>
              <w:ind w:left="0"/>
              <w:contextualSpacing w:val="0"/>
              <w:jc w:val="center"/>
              <w:rPr>
                <w:rFonts w:ascii="Book Antiqua" w:hAnsi="Book Antiqua" w:cs="Arial"/>
                <w:sz w:val="24"/>
                <w:szCs w:val="24"/>
                <w:lang w:val="en-US"/>
              </w:rPr>
            </w:pPr>
            <w:r w:rsidRPr="007F5A49">
              <w:rPr>
                <w:rFonts w:ascii="Book Antiqua" w:hAnsi="Book Antiqua" w:cs="Arial"/>
                <w:sz w:val="24"/>
                <w:szCs w:val="24"/>
                <w:lang w:val="en-US"/>
              </w:rPr>
              <w:lastRenderedPageBreak/>
              <w:t>Low in hepatitis C infections</w:t>
            </w:r>
            <w:r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fL8SubIE","properties":{"formattedCitation":"(144)","plainCitation":"(144)","noteIndex":0},"citationItems":[{"id":28,"uris":["http://zotero.org/users/2804724/items/IBE9722Q"],"uri":["http://zotero.org/users/2804724/items/IBE9722Q"],"itemData":{"id":28,"type":"article-journal","title":"Hepcidin expression in the liver: relatively low level in patients with chronic hepatitis C","container-title":"Molecular Medicine (Cambridge, Mass.)","page":"97-104","volume":"13","issue":"1-2","source":"PubMed","abstract":"Patients with chronic hepatitis C frequently have serum and hepatic iron overload, but the mechanism is unknown. Recently identified hepcidin, exclusively synthesized in the liver, is thought to be a key regulator for iron homeostasis and is induced by infection and inflammation. This study was conducted to determine the hepatic hepcidin expression levels in patients with various liver diseases. We investigated hepcidin mRNA levels of liver samples by real-time detection-polymerase chain reaction; 56 were hepatitis C virus (HCV) positive, 34 were hepatitis B virus (HBV) positive, and 42 were negative for HCV and HBV (3 cases of auto-immune hepatitis, 7 alcoholic liver disease, 13 primary biliary cirrhosis, 9 nonalcoholic fatty liver disease, and 10 normal liver). We analyzed the relation of hepcidin to clinical, hematological, histological, and etiological findings. Hepcidin expression levels were strongly correlated with serum ferritin (P &lt; 0.0001) and the degree of iron deposit in liver tissues (P &lt; 0.0001). Hepcidin was also correlated with hematological parameters (vs. hemoglobin, P = 0.0073; vs. serum iron, P = 0.0012; vs. transferrin saturation, P &lt; 0.0001) and transaminase levels (P = 0.0013). The hepcidin-to-ferritin ratio was significantly lower in HCV(+) patients than in HBV(+) patients (P = 0.0129) or control subjects (P = 0.0080). In conclusion, hepcidin expression levels in chronic liver diseases were strongly correlated with either the serum ferritin concentration or degree of iron deposits in the liver. When adjusted by either serum ferritin values or hepatic iron scores, hepcidin indices were significantly lower in HCV(+) patients than in HBV(+) patients, suggesting that hepcidin may play a pivotal role in the pathogenesis of iron overload in patients with chronic hepatitis C.","DOI":"10.2119/2006-00057.Fujita","ISSN":"1076-1551","note":"PMID: 17515961\nPMCID: PMC1869620","shortTitle":"Hepcidin expression in the liver","journalAbbreviation":"Mol. Med.","language":"eng","author":[{"family":"Fujita","given":"Naoki"},{"family":"Sugimoto","given":"Ryosuke"},{"family":"Takeo","given":"Masaki"},{"family":"Urawa","given":"Naohito"},{"family":"Mifuji","given":"Rumi"},{"family":"Tanaka","given":"Hideaki"},{"family":"Kobayashi","given":"Yoshinao"},{"family":"Iwasa","given":"Motoh"},{"family":"Watanabe","given":"Shozo"},{"family":"Adachi","given":"Yukihiko"},{"family":"Kaito","given":"Masahiko"}],"issued":{"date-parts":[["2007",2]]}}}],"schema":"https://github.com/citation-style-language/schema/raw/master/csl-citation.json"} </w:instrText>
            </w:r>
            <w:r w:rsidRPr="007F5A49">
              <w:rPr>
                <w:rFonts w:ascii="Book Antiqua" w:hAnsi="Book Antiqua" w:cs="Arial"/>
                <w:sz w:val="24"/>
                <w:szCs w:val="24"/>
                <w:vertAlign w:val="superscript"/>
                <w:lang w:val="en-US"/>
              </w:rPr>
              <w:fldChar w:fldCharType="separate"/>
            </w:r>
            <w:r w:rsidR="00795DE7"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144</w:t>
            </w:r>
            <w:r w:rsidRPr="007F5A49">
              <w:rPr>
                <w:rFonts w:ascii="Book Antiqua" w:hAnsi="Book Antiqua" w:cs="Arial"/>
                <w:sz w:val="24"/>
                <w:szCs w:val="24"/>
                <w:vertAlign w:val="superscript"/>
                <w:lang w:val="en-US"/>
              </w:rPr>
              <w:fldChar w:fldCharType="end"/>
            </w:r>
            <w:r w:rsidR="00795DE7" w:rsidRPr="007F5A49">
              <w:rPr>
                <w:rFonts w:ascii="Book Antiqua" w:hAnsi="Book Antiqua" w:cs="Arial"/>
                <w:sz w:val="24"/>
                <w:szCs w:val="24"/>
                <w:vertAlign w:val="superscript"/>
                <w:lang w:val="en-US"/>
              </w:rPr>
              <w:t>]</w:t>
            </w:r>
          </w:p>
          <w:p w14:paraId="4A5628A5" w14:textId="2ADADEFD" w:rsidR="00F64145" w:rsidRPr="007F5A49" w:rsidRDefault="00F64145" w:rsidP="003F73FF">
            <w:pPr>
              <w:pStyle w:val="ListParagraph"/>
              <w:adjustRightInd w:val="0"/>
              <w:snapToGrid w:val="0"/>
              <w:spacing w:line="360" w:lineRule="auto"/>
              <w:ind w:left="0"/>
              <w:contextualSpacing w:val="0"/>
              <w:jc w:val="center"/>
              <w:rPr>
                <w:rFonts w:ascii="Book Antiqua" w:hAnsi="Book Antiqua" w:cs="Arial"/>
                <w:sz w:val="24"/>
                <w:szCs w:val="24"/>
                <w:lang w:val="en-US"/>
              </w:rPr>
            </w:pPr>
            <w:r w:rsidRPr="007F5A49">
              <w:rPr>
                <w:rFonts w:ascii="Book Antiqua" w:hAnsi="Book Antiqua" w:cs="Arial"/>
                <w:sz w:val="24"/>
                <w:szCs w:val="24"/>
                <w:lang w:val="en-US"/>
              </w:rPr>
              <w:lastRenderedPageBreak/>
              <w:t>High in hepatitis B infections without cirrhosis and normal in those with cirrhosis</w:t>
            </w:r>
            <w:r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270v5jap4p","properties":{"formattedCitation":"(145)","plainCitation":"(145)","noteIndex":0},"citationItems":[{"id":"z1PZoHrb/bFRdvPpS","uris":["http://zotero.org/users/4222068/items/DLPWH5PT"],"uri":["http://zotero.org/users/4222068/items/DLPWH5PT"],"itemData":{"id":1629,"type":"article-journal","title":"Correlation of serum hepcidin levels with disease progression in hepatitis B virus-related disease assessed by nanopore film based assay","container-title":"Scientific Reports","volume":"6","source":"PubMed Central","abstract":"Chronic hepatitis B virus (HBV) infection often develop into cirrhosis, and both are major risk factors of hepatocellular carcinoma. However, effective approaches for the monitoring of HBV-related disease progress are still in need. Increased iron storage has an important role in HBV-related diseases. Hepcidin is a key regulator of iron homeostasis whose expression changes are often indicative of abnormal iron metabolism. There are few reports of hepcidin levels in patients with HBV infections, and the available results are inconsistent. In this study, using a recently validated nanopore silica film based method, we measured serum hepcidin levels in 46 HBV-related patients and 20 healthy controls. Patients were divided into three groups: chronic hepatitis B without cirrhosis; HBV-related cirrhosis; and HBV-related cirrhosis with hepatocellular carcinoma. Compared to healthy controls, the mean serum hepcidin level was significantly higher in CHB patients without cirrhosis, and in those with hepatocellular carcinoma, but not in those with cirrhosis. Iron-loading, viral infection and liver dysfunction are determined to be the major regulators of hepcidin in these patients. These observations suggest correlations between serum hepcidin and progression of chronic HBV infection, and may shed a new light on the development of biomarkers for HBV-related disease surveillance.","URL":"https://www.ncbi.nlm.nih.gov/pmc/articles/PMC5046114/","DOI":"10.1038/srep34252","ISSN":"2045-2322","note":"PMID: 27694815\nPMCID: PMC5046114","journalAbbreviation":"Sci Rep","author":[{"family":"Wang","given":"Jing"},{"family":"Dong","given":"Ailian"},{"family":"Liu","given":"Gang"},{"family":"Anderson","given":"Gregory J."},{"family":"Hu","given":"Tony Y."},{"family":"Shi","given":"Jian"},{"family":"Hu","given":"Yulin"},{"family":"Nie","given":"Guangjun"}],"issued":{"date-parts":[["2016",10,3]]},"accessed":{"date-parts":[["2018",2,18]]}}}],"schema":"https://github.com/citation-style-language/schema/raw/master/csl-citation.json"} </w:instrText>
            </w:r>
            <w:r w:rsidRPr="007F5A49">
              <w:rPr>
                <w:rFonts w:ascii="Book Antiqua" w:hAnsi="Book Antiqua" w:cs="Arial"/>
                <w:sz w:val="24"/>
                <w:szCs w:val="24"/>
                <w:vertAlign w:val="superscript"/>
                <w:lang w:val="en-US"/>
              </w:rPr>
              <w:fldChar w:fldCharType="separate"/>
            </w:r>
            <w:r w:rsidR="00795DE7"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145</w:t>
            </w:r>
            <w:r w:rsidRPr="007F5A49">
              <w:rPr>
                <w:rFonts w:ascii="Book Antiqua" w:hAnsi="Book Antiqua" w:cs="Arial"/>
                <w:sz w:val="24"/>
                <w:szCs w:val="24"/>
                <w:vertAlign w:val="superscript"/>
                <w:lang w:val="en-US"/>
              </w:rPr>
              <w:fldChar w:fldCharType="end"/>
            </w:r>
            <w:r w:rsidR="00795DE7" w:rsidRPr="007F5A49">
              <w:rPr>
                <w:rFonts w:ascii="Book Antiqua" w:hAnsi="Book Antiqua" w:cs="Arial"/>
                <w:sz w:val="24"/>
                <w:szCs w:val="24"/>
                <w:vertAlign w:val="superscript"/>
                <w:lang w:val="en-US"/>
              </w:rPr>
              <w:t>]</w:t>
            </w:r>
          </w:p>
        </w:tc>
        <w:tc>
          <w:tcPr>
            <w:tcW w:w="2126" w:type="dxa"/>
            <w:shd w:val="clear" w:color="auto" w:fill="auto"/>
          </w:tcPr>
          <w:p w14:paraId="66620E71" w14:textId="7E8769E5" w:rsidR="00F64145" w:rsidRPr="007F5A49" w:rsidRDefault="00F64145" w:rsidP="003F73FF">
            <w:pPr>
              <w:pStyle w:val="ListParagraph"/>
              <w:adjustRightInd w:val="0"/>
              <w:snapToGrid w:val="0"/>
              <w:spacing w:line="360" w:lineRule="auto"/>
              <w:ind w:left="0"/>
              <w:contextualSpacing w:val="0"/>
              <w:jc w:val="center"/>
              <w:rPr>
                <w:rFonts w:ascii="Book Antiqua" w:hAnsi="Book Antiqua" w:cs="Arial"/>
                <w:sz w:val="24"/>
                <w:szCs w:val="24"/>
                <w:lang w:val="en-US"/>
              </w:rPr>
            </w:pPr>
            <w:r w:rsidRPr="007F5A49">
              <w:rPr>
                <w:rFonts w:ascii="Book Antiqua" w:hAnsi="Book Antiqua" w:cs="Arial"/>
                <w:sz w:val="24"/>
                <w:szCs w:val="24"/>
                <w:lang w:val="en-US"/>
              </w:rPr>
              <w:lastRenderedPageBreak/>
              <w:t xml:space="preserve">No major alteration in type </w:t>
            </w:r>
            <w:r w:rsidRPr="007F5A49">
              <w:rPr>
                <w:rFonts w:ascii="Book Antiqua" w:hAnsi="Book Antiqua" w:cs="Arial"/>
                <w:sz w:val="24"/>
                <w:szCs w:val="24"/>
                <w:lang w:val="en-US"/>
              </w:rPr>
              <w:lastRenderedPageBreak/>
              <w:t>1</w:t>
            </w:r>
            <w:r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2h7nn43s76","properties":{"formattedCitation":"(146)","plainCitation":"(146)","noteIndex":0},"citationItems":[{"id":259,"uris":["http://zotero.org/users/2804724/items/98JK5JLM"],"uri":["http://zotero.org/users/2804724/items/98JK5JLM"],"itemData":{"id":259,"type":"article-journal","title":"Hepcidin levels in diabetes mellitus and polycystic ovary syndrome","container-title":"Diabetic Medicine: A Journal of the British Diabetic Association","page":"1495-1499","volume":"30","issue":"12","source":"PubMed","abstract":"AIM: Increased body iron is associated with insulin resistance. Hepcidin is the key hormone that negatively regulates iron homeostasis. We hypothesized that individuals with insulin resistance have inadequate hepcidin levels for their iron load.\nMETHODS: Serum concentrations of the active form of hepcidin (hepcidin-25) and hepcidin:ferritin ratio were evaluated in participants with Type 2 diabetes (n = 33, control subjects matched for age, gender and BMI, n = 33) and participants with polycystic ovary syndrome (n = 27, control subjects matched for age and BMI, n = 16). To investigate whether any changes observed were associated with insulin resistance rather than insulin deficiency or hyperglycaemia per se, the same measurements were made in participants with Type 1 diabetes (n = 28, control subjects matched for age, gender and BMI, n = 30). Finally, the relationship between homeostasis model assessment of insulin resistance and serum hepcidin:ferritin ratio was explored in overweight or obese participants without diabetes (n = 16).\nRESULTS: Participants with Type 2 diabetes had significantly lower hepcidin and hepcidin:ferritin ratio than control subjects (P &lt; 0.05 and P &lt; 0.01, respectively). Participants with polycystic ovary syndrome had a significantly lower hepcidin:ferritin ratio than control subjects (P &lt; 0.05). There was no significant difference in hepcidin or hepcidin:ferritin ratio between participants with Type 1 diabetes and control subjects (P = 0.88 and P = 0.94). Serum hepcidin:ferritin ratio inversely correlated with homeostasis model assessment of insulin resistance (r = -0.59, P &lt; 0.05).\nCONCLUSION: Insulin resistance, but not insulin deficiency or hyperglycaemia per se, is associated with inadequate hepcidin levels. Reduced hepcidin concentrations may cause increased body iron stores in insulin-resistant states.","DOI":"10.1111/dme.12262","ISSN":"1464-5491","note":"PMID: 23796160\nPMCID: PMC4232927","journalAbbreviation":"Diabet. Med.","language":"eng","author":[{"family":"Sam","given":"A. H."},{"family":"Busbridge","given":"M."},{"family":"Amin","given":"A."},{"family":"Webber","given":"L."},{"family":"White","given":"D."},{"family":"Franks","given":"S."},{"family":"Martin","given":"N. M."},{"family":"Sleeth","given":"M."},{"family":"Ismail","given":"N. A."},{"family":"Daud","given":"N. Mat"},{"family":"Papamargaritis","given":"D."},{"family":"Le Roux","given":"C. W."},{"family":"Chapman","given":"R. S."},{"family":"Frost","given":"G."},{"family":"Bloom","given":"S. R."},{"family":"Murphy","given":"K. G."}],"issued":{"date-parts":[["2013",12]]}}}],"schema":"https://github.com/citation-style-language/schema/raw/master/csl-citation.json"} </w:instrText>
            </w:r>
            <w:r w:rsidRPr="007F5A49">
              <w:rPr>
                <w:rFonts w:ascii="Book Antiqua" w:hAnsi="Book Antiqua" w:cs="Arial"/>
                <w:sz w:val="24"/>
                <w:szCs w:val="24"/>
                <w:vertAlign w:val="superscript"/>
                <w:lang w:val="en-US"/>
              </w:rPr>
              <w:fldChar w:fldCharType="separate"/>
            </w:r>
            <w:r w:rsidR="00795DE7"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146</w:t>
            </w:r>
            <w:r w:rsidRPr="007F5A49">
              <w:rPr>
                <w:rFonts w:ascii="Book Antiqua" w:hAnsi="Book Antiqua" w:cs="Arial"/>
                <w:sz w:val="24"/>
                <w:szCs w:val="24"/>
                <w:vertAlign w:val="superscript"/>
                <w:lang w:val="en-US"/>
              </w:rPr>
              <w:fldChar w:fldCharType="end"/>
            </w:r>
            <w:r w:rsidR="00795DE7" w:rsidRPr="007F5A49">
              <w:rPr>
                <w:rFonts w:ascii="Book Antiqua" w:hAnsi="Book Antiqua" w:cs="Arial"/>
                <w:sz w:val="24"/>
                <w:szCs w:val="24"/>
                <w:vertAlign w:val="superscript"/>
                <w:lang w:val="en-US"/>
              </w:rPr>
              <w:t>]</w:t>
            </w:r>
          </w:p>
          <w:p w14:paraId="5AD0F059" w14:textId="29A94868" w:rsidR="00F64145" w:rsidRPr="007F5A49" w:rsidRDefault="00F64145" w:rsidP="003F73FF">
            <w:pPr>
              <w:pStyle w:val="ListParagraph"/>
              <w:adjustRightInd w:val="0"/>
              <w:snapToGrid w:val="0"/>
              <w:spacing w:line="360" w:lineRule="auto"/>
              <w:ind w:left="0"/>
              <w:contextualSpacing w:val="0"/>
              <w:jc w:val="center"/>
              <w:rPr>
                <w:rFonts w:ascii="Book Antiqua" w:hAnsi="Book Antiqua" w:cs="Arial"/>
                <w:sz w:val="24"/>
                <w:szCs w:val="24"/>
                <w:lang w:val="en-US"/>
              </w:rPr>
            </w:pPr>
            <w:r w:rsidRPr="007F5A49">
              <w:rPr>
                <w:rFonts w:ascii="Book Antiqua" w:hAnsi="Book Antiqua" w:cs="Arial"/>
                <w:sz w:val="24"/>
                <w:szCs w:val="24"/>
                <w:lang w:val="en-US"/>
              </w:rPr>
              <w:t>Low in type 2 diabetes</w:t>
            </w:r>
            <w:r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Pei5s38L","properties":{"formattedCitation":"(147,148)","plainCitation":"(147,148)","noteIndex":0},"citationItems":[{"id":266,"uris":["http://zotero.org/users/2804724/items/UC6M5INQ"],"uri":["http://zotero.org/users/2804724/items/UC6M5INQ"],"itemData":{"id":266,"type":"article-journal","title":"Inadequate hepcidin serum concentrations predict incident type 2 diabetes mellitus","container-title":"Diabetes/Metabolism Research and Reviews","page":"187-192","volume":"32","issue":"2","source":"PubMed","abstract":"BACKGROUND: Type 2 diabetes mellitus (T2DM) is closely associated with elevated body iron stores. The hormone hepcidin is the key regulator of iron homeostasis. Inadequately low hepcidin levels were recently reported in subjects with manifest T2DM. We investigated whether alterations of hepcidin levels precede the manifestation of T2DM and predict T2DM development independently of established risk conditions.\nMETHODS: This prospective population-based study included 675 subjects aged 50-89 years, 51.9% of whom were female. Hepcidin levels were measured by gold standard tandem mass spectrometry. Diabetes was diagnosed according to American Diabetes Association criteria, and incident diabetes was recorded between baseline in 2000 and 2010.\nRESULTS: The baseline hepcidin-to-ferritin ratio in subjects that subsequently developed diabetes during follow-up was reduced on average by 29.8% as compared with subjects with normal glucose tolerance (95% confidence interval, -50.7% to -0.2%; p</w:instrText>
            </w:r>
            <w:r w:rsidR="00D2645C" w:rsidRPr="007F5A49">
              <w:rPr>
                <w:rFonts w:ascii="Calibri" w:eastAsia="Calibri" w:hAnsi="Calibri" w:cs="Calibri"/>
                <w:sz w:val="24"/>
                <w:szCs w:val="24"/>
                <w:vertAlign w:val="superscript"/>
                <w:lang w:val="en-US"/>
              </w:rPr>
              <w:instrText> </w:instrText>
            </w:r>
            <w:r w:rsidR="00D2645C" w:rsidRPr="007F5A49">
              <w:rPr>
                <w:rFonts w:ascii="Book Antiqua" w:hAnsi="Book Antiqua" w:cs="Arial"/>
                <w:sz w:val="24"/>
                <w:szCs w:val="24"/>
                <w:vertAlign w:val="superscript"/>
                <w:lang w:val="en-US"/>
              </w:rPr>
              <w:instrText>=</w:instrText>
            </w:r>
            <w:r w:rsidR="00D2645C" w:rsidRPr="007F5A49">
              <w:rPr>
                <w:rFonts w:ascii="Calibri" w:eastAsia="Calibri" w:hAnsi="Calibri" w:cs="Calibri"/>
                <w:sz w:val="24"/>
                <w:szCs w:val="24"/>
                <w:vertAlign w:val="superscript"/>
                <w:lang w:val="en-US"/>
              </w:rPr>
              <w:instrText> </w:instrText>
            </w:r>
            <w:r w:rsidR="00D2645C" w:rsidRPr="007F5A49">
              <w:rPr>
                <w:rFonts w:ascii="Book Antiqua" w:hAnsi="Book Antiqua" w:cs="Arial"/>
                <w:sz w:val="24"/>
                <w:szCs w:val="24"/>
                <w:vertAlign w:val="superscript"/>
                <w:lang w:val="en-US"/>
              </w:rPr>
              <w:instrText>0.049). After adjustment for age, sex, and serum ferritin, higher hepcidin levels were associated with reduced risk of incident diabetes (hazard ratio per 1-unit higher log2 hepcidin, 0.80; 95% confidence interval, 0.64-0.98; p</w:instrText>
            </w:r>
            <w:r w:rsidR="00D2645C" w:rsidRPr="007F5A49">
              <w:rPr>
                <w:rFonts w:ascii="Calibri" w:eastAsia="Calibri" w:hAnsi="Calibri" w:cs="Calibri"/>
                <w:sz w:val="24"/>
                <w:szCs w:val="24"/>
                <w:vertAlign w:val="superscript"/>
                <w:lang w:val="en-US"/>
              </w:rPr>
              <w:instrText> </w:instrText>
            </w:r>
            <w:r w:rsidR="00D2645C" w:rsidRPr="007F5A49">
              <w:rPr>
                <w:rFonts w:ascii="Book Antiqua" w:hAnsi="Book Antiqua" w:cs="Arial"/>
                <w:sz w:val="24"/>
                <w:szCs w:val="24"/>
                <w:vertAlign w:val="superscript"/>
                <w:lang w:val="en-US"/>
              </w:rPr>
              <w:instrText>=</w:instrText>
            </w:r>
            <w:r w:rsidR="00D2645C" w:rsidRPr="007F5A49">
              <w:rPr>
                <w:rFonts w:ascii="Calibri" w:eastAsia="Calibri" w:hAnsi="Calibri" w:cs="Calibri"/>
                <w:sz w:val="24"/>
                <w:szCs w:val="24"/>
                <w:vertAlign w:val="superscript"/>
                <w:lang w:val="en-US"/>
              </w:rPr>
              <w:instrText> </w:instrText>
            </w:r>
            <w:r w:rsidR="00D2645C" w:rsidRPr="007F5A49">
              <w:rPr>
                <w:rFonts w:ascii="Book Antiqua" w:hAnsi="Book Antiqua" w:cs="Arial"/>
                <w:sz w:val="24"/>
                <w:szCs w:val="24"/>
                <w:vertAlign w:val="superscript"/>
                <w:lang w:val="en-US"/>
              </w:rPr>
              <w:instrText>0.035; 33 events). Additional adjustment for established diabetes risk factors and determinants of hepcidin concentration did not appreciably change these results (HR, 0.81; 95% CI, 0.66-0.99). Likewise, inadequately low hepcidin levels were also detected in subjects with prevalent T2DM (n</w:instrText>
            </w:r>
            <w:r w:rsidR="00D2645C" w:rsidRPr="007F5A49">
              <w:rPr>
                <w:rFonts w:ascii="Calibri" w:eastAsia="Calibri" w:hAnsi="Calibri" w:cs="Calibri"/>
                <w:sz w:val="24"/>
                <w:szCs w:val="24"/>
                <w:vertAlign w:val="superscript"/>
                <w:lang w:val="en-US"/>
              </w:rPr>
              <w:instrText> </w:instrText>
            </w:r>
            <w:r w:rsidR="00D2645C" w:rsidRPr="007F5A49">
              <w:rPr>
                <w:rFonts w:ascii="Book Antiqua" w:hAnsi="Book Antiqua" w:cs="Arial"/>
                <w:sz w:val="24"/>
                <w:szCs w:val="24"/>
                <w:vertAlign w:val="superscript"/>
                <w:lang w:val="en-US"/>
              </w:rPr>
              <w:instrText>=</w:instrText>
            </w:r>
            <w:r w:rsidR="00D2645C" w:rsidRPr="007F5A49">
              <w:rPr>
                <w:rFonts w:ascii="Calibri" w:eastAsia="Calibri" w:hAnsi="Calibri" w:cs="Calibri"/>
                <w:sz w:val="24"/>
                <w:szCs w:val="24"/>
                <w:vertAlign w:val="superscript"/>
                <w:lang w:val="en-US"/>
              </w:rPr>
              <w:instrText> </w:instrText>
            </w:r>
            <w:r w:rsidR="00D2645C" w:rsidRPr="007F5A49">
              <w:rPr>
                <w:rFonts w:ascii="Book Antiqua" w:hAnsi="Book Antiqua" w:cs="Arial"/>
                <w:sz w:val="24"/>
                <w:szCs w:val="24"/>
                <w:vertAlign w:val="superscript"/>
                <w:lang w:val="en-US"/>
              </w:rPr>
              <w:instrText xml:space="preserve">76).\nCONCLUSIONS: Hepcidin levels that are inadequately low in relation to body iron stores are an independent predictor for incident T2DM and may contribute to diabetes-related tissue iron overload. Copyright </w:instrText>
            </w:r>
            <w:r w:rsidR="00D2645C" w:rsidRPr="007F5A49">
              <w:rPr>
                <w:rFonts w:ascii="Book Antiqua" w:hAnsi="Book Antiqua" w:cs="Book Antiqua"/>
                <w:sz w:val="24"/>
                <w:szCs w:val="24"/>
                <w:vertAlign w:val="superscript"/>
                <w:lang w:val="en-US"/>
              </w:rPr>
              <w:instrText>©</w:instrText>
            </w:r>
            <w:r w:rsidR="00D2645C" w:rsidRPr="007F5A49">
              <w:rPr>
                <w:rFonts w:ascii="Book Antiqua" w:hAnsi="Book Antiqua" w:cs="Arial"/>
                <w:sz w:val="24"/>
                <w:szCs w:val="24"/>
                <w:vertAlign w:val="superscript"/>
                <w:lang w:val="en-US"/>
              </w:rPr>
              <w:instrText xml:space="preserve"> 2015 John Wiley &amp; Sons, Ltd.","DOI":"10.1002/dmrr.2711","ISSN":"1520-7560","note":"PMID: 26378394","journalAbbreviation":"Diabetes Metab. Res. Rev.","language":"eng","author":[{"family":"Pechlaner","given":"Raimund"},{"family":"Weiss","given":"Günter"},{"family":"Bansal","given":"Sukhvinder"},{"family":"Mayr","given":"Manuel"},{"family":"Santer","given":"Peter"},{"family":"Pallhuber","given":"Barbara"},{"family":"Notdurfter","given":"Marlene"},{"family":"Bonora","given":"Enzo"},{"family":"Willeit","given":"Johann"},{"family":"Kiechl","given":"Stefan"}],"issued":{"date-parts":[["2016",2]]}}},{"id":265,"uris":["http://zotero.org/users/2804724/items/QMXI6JVZ"],"uri":["http://zotero.org/users/2804724/items/QMXI6JVZ"],"itemData":{"id":265,"type":"article-journal","title":"Circulating hepcidin in type 2 diabetes: A multivariate analysis and double blind evaluation of metformin effects","container-title":"Molecular Nutrition &amp; Food Research","page":"2460-2470","volume":"59","issue":"12","source":"PubMed","abstract":"SCOPE: Very few studies have evaluated serum hepcidin in patients with type 2 diabetes and they have reported conflicting results. In addition, the effect of antidiabetic drugs on circulating hepcidin has not been explored so far. The aims of the study were to evaluate hepcidin concentrations and hepcidin/ferritin ratio in type 2 diabetes subjects and healthy non-diabetic controls and to evaluate the effect of metformin on hepcidin concentrations.\nMETHODS AND RESULTS: Study 1: Cross-sectional multivariate study of 239 non-diabetic individuals and 65 people with type 2 diabetes. The multivariate analysis included covariates of chronic inflammation, BMI, pharmacological treatment, menopausal status and insulin resistance. Study 2: Randomized, double-blinded, placebo-controlled 4-month trial metformin compared to placebo among 36 type 2 diabetic patients. In both groups diet was controlled by maintaining a hypocaloric intake across the trial. Hepcidin levels were significantly lower in patients with type 2 diabetes than in non-diabetic individuals either in crude or adjusted regression models (P&lt;0.05). Hepcidin decreased in both arms of the trial (Placebo, p = 0.004; metformin, p = 0.022).\nCONCLUSION: Circulating hepcidin was significantly and independently lower in type 2 diabetes. Metformin treatment is not associated with reductions in hepcidin but hypocaloric diet could be involved.","DOI":"10.1002/mnfr.201500310","ISSN":"1613-4133","note":"PMID: 26394887","shortTitle":"Circulating hepcidin in type 2 diabetes","journalAbbreviation":"Mol Nutr Food Res","language":"eng","author":[{"family":"Suárez-Ortegón","given":"Milton Fabián"},{"family":"Moreno","given":"María"},{"family":"Arbeláez","given":"Alejandra"},{"family":"Xifra","given":"Gemma"},{"family":"Mosquera","given":"Mildrey"},{"family":"Moreno-Navarrete","given":"José María"},{"family":"Aguilar-de Plata","given":"Cecilia"},{"family":"Esteve","given":"Eduardo"},{"family":"Ricart","given":"Wifredo"},{"family":"Fernández-Real","given":"José Manuel"}],"issued":{"date-parts":[["2015",12]]}}}],"schema":"https://github.com/citation-style-language/schema/raw/master/csl-citation.json"} </w:instrText>
            </w:r>
            <w:r w:rsidRPr="007F5A49">
              <w:rPr>
                <w:rFonts w:ascii="Book Antiqua" w:hAnsi="Book Antiqua" w:cs="Arial"/>
                <w:sz w:val="24"/>
                <w:szCs w:val="24"/>
                <w:vertAlign w:val="superscript"/>
                <w:lang w:val="en-US"/>
              </w:rPr>
              <w:fldChar w:fldCharType="separate"/>
            </w:r>
            <w:r w:rsidR="00795DE7"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147,148</w:t>
            </w:r>
            <w:r w:rsidRPr="007F5A49">
              <w:rPr>
                <w:rFonts w:ascii="Book Antiqua" w:hAnsi="Book Antiqua" w:cs="Arial"/>
                <w:sz w:val="24"/>
                <w:szCs w:val="24"/>
                <w:vertAlign w:val="superscript"/>
                <w:lang w:val="en-US"/>
              </w:rPr>
              <w:fldChar w:fldCharType="end"/>
            </w:r>
            <w:r w:rsidR="00795DE7" w:rsidRPr="007F5A49">
              <w:rPr>
                <w:rFonts w:ascii="Book Antiqua" w:hAnsi="Book Antiqua" w:cs="Arial"/>
                <w:sz w:val="24"/>
                <w:szCs w:val="24"/>
                <w:vertAlign w:val="superscript"/>
                <w:lang w:val="en-US"/>
              </w:rPr>
              <w:t>]</w:t>
            </w:r>
          </w:p>
        </w:tc>
      </w:tr>
      <w:tr w:rsidR="00F64145" w:rsidRPr="007F5A49" w14:paraId="5C11E4F0" w14:textId="77777777" w:rsidTr="00DA486D">
        <w:trPr>
          <w:trHeight w:val="2140"/>
        </w:trPr>
        <w:tc>
          <w:tcPr>
            <w:tcW w:w="1686" w:type="dxa"/>
            <w:shd w:val="clear" w:color="auto" w:fill="auto"/>
          </w:tcPr>
          <w:p w14:paraId="76944269" w14:textId="77777777" w:rsidR="00F64145" w:rsidRPr="003F73FF" w:rsidRDefault="00F64145" w:rsidP="007F5A49">
            <w:pPr>
              <w:adjustRightInd w:val="0"/>
              <w:snapToGrid w:val="0"/>
              <w:spacing w:line="360" w:lineRule="auto"/>
              <w:jc w:val="both"/>
              <w:rPr>
                <w:rFonts w:ascii="Book Antiqua" w:hAnsi="Book Antiqua" w:cs="Arial"/>
                <w:sz w:val="24"/>
                <w:szCs w:val="24"/>
                <w:lang w:val="en-US"/>
              </w:rPr>
            </w:pPr>
            <w:r w:rsidRPr="003F73FF">
              <w:rPr>
                <w:rFonts w:ascii="Book Antiqua" w:hAnsi="Book Antiqua" w:cs="Arial"/>
                <w:sz w:val="24"/>
                <w:szCs w:val="24"/>
                <w:lang w:val="en-US"/>
              </w:rPr>
              <w:lastRenderedPageBreak/>
              <w:t>Transferrin saturation</w:t>
            </w:r>
          </w:p>
        </w:tc>
        <w:tc>
          <w:tcPr>
            <w:tcW w:w="2127" w:type="dxa"/>
            <w:shd w:val="clear" w:color="auto" w:fill="auto"/>
          </w:tcPr>
          <w:p w14:paraId="30C4B54D" w14:textId="5F99853E" w:rsidR="00F64145" w:rsidRPr="007F5A49" w:rsidRDefault="00F64145" w:rsidP="003F73FF">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20</w:t>
            </w:r>
            <w:r w:rsidR="003F73FF">
              <w:rPr>
                <w:rFonts w:ascii="Book Antiqua" w:hAnsi="Book Antiqua" w:cs="Arial"/>
                <w:sz w:val="24"/>
                <w:szCs w:val="24"/>
                <w:lang w:val="en-US"/>
              </w:rPr>
              <w:t>%</w:t>
            </w:r>
            <w:r w:rsidRPr="007F5A49">
              <w:rPr>
                <w:rFonts w:ascii="Book Antiqua" w:hAnsi="Book Antiqua" w:cs="Arial"/>
                <w:sz w:val="24"/>
                <w:szCs w:val="24"/>
                <w:lang w:val="en-US"/>
              </w:rPr>
              <w:t>-45%</w:t>
            </w:r>
            <w:r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s483dui5a","properties":{"formattedCitation":"(101)","plainCitation":"(101)","noteIndex":0},"citationItems":[{"id":240,"uris":["http://zotero.org/users/2804724/items/QIDE9SPV"],"uri":["http://zotero.org/users/2804724/items/QIDE9SPV"],"itemData":{"id":240,"type":"article-journal","title":"Diagnosis and management of hemochromatosis: 2011 practice guideline by the American Association for the Study of Liver Diseases","container-title":"Hepatology (Baltimore, Md.)","page":"328-343","volume":"54","issue":"1","source":"PubMed","DOI":"10.1002/hep.24330","ISSN":"1527-3350","note":"PMID: 21452290\nPMCID: PMC3149125","shortTitle":"Diagnosis and management of hemochromatosis","journalAbbreviation":"Hepatology","language":"eng","author":[{"family":"Bacon","given":"Bruce R."},{"family":"Adams","given":"Paul C."},{"family":"Kowdley","given":"Kris V."},{"family":"Powell","given":"Lawrie W."},{"family":"Tavill","given":"Anthony S."},{"literal":"American Association for the Study of Liver Diseases"}],"issued":{"date-parts":[["2011",7]]}}}],"schema":"https://github.com/citation-style-language/schema/raw/master/csl-citation.json"} </w:instrText>
            </w:r>
            <w:r w:rsidRPr="007F5A49">
              <w:rPr>
                <w:rFonts w:ascii="Book Antiqua" w:hAnsi="Book Antiqua" w:cs="Arial"/>
                <w:sz w:val="24"/>
                <w:szCs w:val="24"/>
                <w:vertAlign w:val="superscript"/>
                <w:lang w:val="en-US"/>
              </w:rPr>
              <w:fldChar w:fldCharType="separate"/>
            </w:r>
            <w:r w:rsidR="00124A65"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101</w:t>
            </w:r>
            <w:r w:rsidRPr="007F5A49">
              <w:rPr>
                <w:rFonts w:ascii="Book Antiqua" w:hAnsi="Book Antiqua" w:cs="Arial"/>
                <w:sz w:val="24"/>
                <w:szCs w:val="24"/>
                <w:vertAlign w:val="superscript"/>
                <w:lang w:val="en-US"/>
              </w:rPr>
              <w:fldChar w:fldCharType="end"/>
            </w:r>
            <w:r w:rsidR="00124A65" w:rsidRPr="007F5A49">
              <w:rPr>
                <w:rFonts w:ascii="Book Antiqua" w:hAnsi="Book Antiqua" w:cs="Arial"/>
                <w:sz w:val="24"/>
                <w:szCs w:val="24"/>
                <w:vertAlign w:val="superscript"/>
                <w:lang w:val="en-US"/>
              </w:rPr>
              <w:t>]</w:t>
            </w:r>
          </w:p>
        </w:tc>
        <w:tc>
          <w:tcPr>
            <w:tcW w:w="2391" w:type="dxa"/>
            <w:shd w:val="clear" w:color="auto" w:fill="auto"/>
          </w:tcPr>
          <w:p w14:paraId="056C07E5" w14:textId="1B2B90A5" w:rsidR="00F64145" w:rsidRPr="007F5A49" w:rsidRDefault="00F64145" w:rsidP="003F73FF">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&gt;</w:t>
            </w:r>
            <w:r w:rsidR="003F73FF">
              <w:rPr>
                <w:rFonts w:ascii="Book Antiqua" w:hAnsi="Book Antiqua" w:cs="Arial"/>
                <w:sz w:val="24"/>
                <w:szCs w:val="24"/>
                <w:lang w:val="en-US"/>
              </w:rPr>
              <w:t xml:space="preserve"> 45%</w:t>
            </w:r>
            <w:r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ZjveYjPy","properties":{"formattedCitation":"(101,109)","plainCitation":"(101,109)","noteIndex":0},"citationItems":[{"id":240,"uris":["http://zotero.org/users/2804724/items/QIDE9SPV"],"uri":["http://zotero.org/users/2804724/items/QIDE9SPV"],"itemData":{"id":240,"type":"article-journal","title":"Diagnosis and management of hemochromatosis: 2011 practice guideline by the American Association for the Study of Liver Diseases","container-title":"Hepatology (Baltimore, Md.)","page":"328-343","volume":"54","issue":"1","source":"PubMed","DOI":"10.1002/hep.24330","ISSN":"1527-3350","note":"PMID: 21452290\nPMCID: PMC3149125","shortTitle":"Diagnosis and management of hemochromatosis","journalAbbreviation":"Hepatology","language":"eng","author":[{"family":"Bacon","given":"Bruce R."},{"family":"Adams","given":"Paul C."},{"family":"Kowdley","given":"Kris V."},{"family":"Powell","given":"Lawrie W."},{"family":"Tavill","given":"Anthony S."},{"literal":"American Association for the Study of Liver Diseases"}],"issued":{"date-parts":[["2011",7]]}}},{"id":"z1PZoHrb/4W8jjYjW","uris":["http://zotero.org/users/4222068/items/YBDSEXMB"],"uri":["http://zotero.org/users/4222068/items/YBDSEXMB"],"itemData":{"id":1578,"type":"article-journal","title":"Interpreting raised serum ferritin levels","container-title":"BMJ (Clinical research ed.)","page":"h3692","volume":"351","source":"PubMed","ISSN":"1756-1833","note":"PMID: 26239322","journalAbbreviation":"BMJ","language":"eng","author":[{"family":"Koperdanova","given":"Marianna"},{"family":"Cullis","given":"Jonathan O."}],"issued":{"date-parts":[["2015",8,3]]}}}],"schema":"https://github.com/citation-style-language/schema/raw/master/csl-citation.json"} </w:instrText>
            </w:r>
            <w:r w:rsidRPr="007F5A49">
              <w:rPr>
                <w:rFonts w:ascii="Book Antiqua" w:hAnsi="Book Antiqua" w:cs="Arial"/>
                <w:sz w:val="24"/>
                <w:szCs w:val="24"/>
                <w:vertAlign w:val="superscript"/>
                <w:lang w:val="en-US"/>
              </w:rPr>
              <w:fldChar w:fldCharType="separate"/>
            </w:r>
            <w:r w:rsidR="00775029"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101,109</w:t>
            </w:r>
            <w:r w:rsidRPr="007F5A49">
              <w:rPr>
                <w:rFonts w:ascii="Book Antiqua" w:hAnsi="Book Antiqua" w:cs="Arial"/>
                <w:sz w:val="24"/>
                <w:szCs w:val="24"/>
                <w:vertAlign w:val="superscript"/>
                <w:lang w:val="en-US"/>
              </w:rPr>
              <w:fldChar w:fldCharType="end"/>
            </w:r>
            <w:r w:rsidR="00775029" w:rsidRPr="007F5A49">
              <w:rPr>
                <w:rFonts w:ascii="Book Antiqua" w:hAnsi="Book Antiqua" w:cs="Arial"/>
                <w:sz w:val="24"/>
                <w:szCs w:val="24"/>
                <w:vertAlign w:val="superscript"/>
                <w:lang w:val="en-US"/>
              </w:rPr>
              <w:t>]</w:t>
            </w:r>
            <w:bookmarkStart w:id="158" w:name="_GoBack"/>
            <w:bookmarkEnd w:id="158"/>
          </w:p>
        </w:tc>
        <w:tc>
          <w:tcPr>
            <w:tcW w:w="1165" w:type="dxa"/>
            <w:shd w:val="clear" w:color="auto" w:fill="auto"/>
          </w:tcPr>
          <w:p w14:paraId="1C778328" w14:textId="7158B985" w:rsidR="00F64145" w:rsidRPr="007F5A49" w:rsidRDefault="00F64145" w:rsidP="003F73FF">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High</w:t>
            </w:r>
            <w:r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5MOTVEBR","properties":{"formattedCitation":"(69,136)","plainCitation":"(69,136)","noteIndex":0},"citationItems":[{"id":398,"uris":["http://zotero.org/users/2804724/items/CFZQIWTE"],"uri":["http://zotero.org/users/2804724/items/CFZQIWTE"],"itemData":{"id":398,"type":"article-journal","title":"Liver hepcidin mRNA expression is inappropriately low in alcoholic patients compared with healthy controls","container-title":"European Journal of Gastroenterology &amp; Hepatology","page":"1158-1165","volume":"24","issue":"10","source":"PubMed","abstract":"BACKGROUND AND AIMS: Hepcidin plays a crucial role in iron metabolism, preventing its absorption at the basolateral enterocyte membrane. Hepcidin regulation is complex and regulated at the transcriptional level. The relation between iron overload and alcoholic liver disease is well known, but its mechanism is not clear. We present an observational, case-control study, aimed at evaluating the effects of alcohol on the expression of hepcidin in human participants. We intended to assess whether iron overload related to alcohol ingestion was caused by hepcidin-impaired expression by determining hepcidin mRNA expression and relating it to iron stores, both in alcoholic patients and in normal controls.\nMETHODS: We compared liver hepcidin mRNA expression between 25 active drinkers with alcoholic liver disease, without cirrhosis, and 20 healthy controls. All individuals were evaluated for HFE mutations, complete blood count, coagulation, glucose, kidney function, liver function, viral hepatitis, C-reactive protein, interleukin 6, tumor necrosis factor α, and serum iron, ferritin, and transferrin saturation. Total RNA was isolated from liver samples, cDNA was obtained by reverse transcription, and hepatic expression levels of hepcidin were determined by real-time PCR using the comparative Ct method (2(-ΔΔCt)).\nRESULTS: Serum ferritin and transferrin saturation were significantly higher in patients. Hepcidin was downregulated in patients compared with the controls by a mean factor of -0.44 (log10 2(-ΔΔCt)) (P=0.009). Hepcidin expression was not significantly different between the several grades of fibrosis, necroinflammatory activity, and liver iron stores. Heavy alcohol consumption caused the highest hepcidin mRNA suppression. The hepcidin mRNA expression/serum ferritin ratio was significantly lower in alcoholic patients (P&lt;0.0001).\nCONCLUSION: Hepcidin liver expression is inappropriately low in alcoholic patients with active alcoholism and preserved hepatic function, and we conclude that this is the mechanism for alcohol consumption-associated iron overload in humans.","DOI":"10.1097/MEG.0b013e328355cfd0","ISSN":"1473-5687","note":"PMID: 22732356","journalAbbreviation":"Eur J Gastroenterol Hepatol","language":"eng","author":[{"family":"Costa-Matos","given":"Luís"},{"family":"Batista","given":"Paulo"},{"family":"Monteiro","given":"Nuno"},{"family":"Simões","given":"Maria"},{"family":"Egas","given":"Conceição"},{"family":"Pereira","given":"Jorge"},{"family":"Pinho","given":"Helena"},{"family":"Santos","given":"Natália"},{"family":"Ribeiro","given":"João"},{"family":"Cipriano","given":"Maria A."},{"family":"Henriques","given":"Pedro"},{"family":"Girão","given":"Fernando"},{"family":"Rodrigues","given":"Alfredo"},{"family":"Carvalho","given":"Armando"}],"issued":{"date-parts":[["2012",10]]}}},{"id":"z1PZoHrb/zGs6eHi2","uris":["http://zotero.org/users/4222068/items/PVF73GCJ"],"uri":["http://zotero.org/users/4222068/items/PVF73GCJ"],"itemData":{"id":1624,"type":"article-journal","title":"The effect of alcohol consumption on the prevalence of iron overload, iron deficiency, and iron deficiency anemia","container-title":"Gastroenterology","page":"1293-1301","volume":"126","issue":"5","source":"PubMed","abstract":"BACKGROUND &amp; AIMS: Our aim was to investigate the relationship between alcohol consumption and iron overload, iron deficiency, or iron deficiency anemia in the U.S. population.\nMETHODS: Adult participants of the Third National Health and Nutrition Examination Survey who did not consume alcohol (n = 8839) were compared with participants who consumed &lt; or =1 (n = 4976), &gt;1 to &lt; or =2 (n = 1153), or &gt;2 (n = 915) alcoholic drinks/day during the preceding 12 months. We examined the following markers of iron overload: elevated serum transferrin-iron saturation (TS) level (&gt;45%, &gt;50%, and &gt;60%), elevated serum ferritin level (&gt;300, &gt;400, &gt;500, and &gt;600 ng/mL), and combinations of both elevated serum TS and ferritin levels. Iron deficiency was defined as the presence of at least 2 of the following: serum ferritin level &lt;12 ng/mL, serum TS level &lt;15%, and erythrocyte protoporphyrin level &gt;1.24 micromol/L. Iron deficiency anemia was defined as the presence of both iron deficiency and anemia.\nRESULTS: Compared with nondrinkers, the prevalence of all markers of iron overload was significantly elevated among those who consumed &gt;2 alcoholic drinks/day after adjusting for potential confounders. Consumption of any amount of alcohol was associated with a 40% reduction in the risk of iron deficiency anemia.\nCONCLUSIONS: Consumption of up to 2 alcoholic drinks/day seems to be associated with reduced risk of iron deficiency and iron deficiency anemia without a concomitant increase in the risk of iron overload. Consumption of &gt;2 alcoholic drinks/day is associated with a significant elevation in the risk of iron overload.","ISSN":"0016-5085","note":"PMID: 15131790","journalAbbreviation":"Gastroenterology","language":"eng","author":[{"family":"Ioannou","given":"George N."},{"family":"Dominitz","given":"Jason A."},{"family":"Weiss","given":"Noel S."},{"family":"Heagerty","given":"Patrick J."},{"family":"Kowdley","given":"Kris V."}],"issued":{"date-parts":[["2004",5]]}}}],"schema":"https://github.com/citation-style-language/schema/raw/master/csl-citation.json"} </w:instrText>
            </w:r>
            <w:r w:rsidRPr="007F5A49">
              <w:rPr>
                <w:rFonts w:ascii="Book Antiqua" w:hAnsi="Book Antiqua" w:cs="Arial"/>
                <w:sz w:val="24"/>
                <w:szCs w:val="24"/>
                <w:vertAlign w:val="superscript"/>
                <w:lang w:val="en-US"/>
              </w:rPr>
              <w:fldChar w:fldCharType="separate"/>
            </w:r>
            <w:r w:rsidR="00384814"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69,136</w:t>
            </w:r>
            <w:r w:rsidRPr="007F5A49">
              <w:rPr>
                <w:rFonts w:ascii="Book Antiqua" w:hAnsi="Book Antiqua" w:cs="Arial"/>
                <w:sz w:val="24"/>
                <w:szCs w:val="24"/>
                <w:vertAlign w:val="superscript"/>
                <w:lang w:val="en-US"/>
              </w:rPr>
              <w:fldChar w:fldCharType="end"/>
            </w:r>
            <w:r w:rsidR="00384814" w:rsidRPr="007F5A49">
              <w:rPr>
                <w:rFonts w:ascii="Book Antiqua" w:hAnsi="Book Antiqua" w:cs="Arial"/>
                <w:sz w:val="24"/>
                <w:szCs w:val="24"/>
                <w:vertAlign w:val="superscript"/>
                <w:lang w:val="en-US"/>
              </w:rPr>
              <w:t>]</w:t>
            </w:r>
          </w:p>
        </w:tc>
        <w:tc>
          <w:tcPr>
            <w:tcW w:w="2397" w:type="dxa"/>
            <w:shd w:val="clear" w:color="auto" w:fill="auto"/>
          </w:tcPr>
          <w:p w14:paraId="0C6B8566" w14:textId="440D6DBF" w:rsidR="00F64145" w:rsidRPr="007F5A49" w:rsidRDefault="00F64145" w:rsidP="003F73FF">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Slightly raised, but can be normal or sub-normal</w:t>
            </w:r>
            <w:r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j6vvlck6h","properties":{"formattedCitation":"(7)","plainCitation":"(7)","noteIndex":0},"citationItems":[{"id":107,"uris":["http://zotero.org/users/2804724/items/TK5HVEM3"],"uri":["http://zotero.org/users/2804724/items/TK5HVEM3"],"itemData":{"id":107,"type":"article-journal","title":"Iron and the liver","container-title":"Liver International: Official Journal of the International Association for the Study of the Liver","page":"116-123","volume":"36 Suppl 1","source":"PubMed","abstract":"Humans have evolved to retain iron in the body and are exposed to a high risk of iron overload and iron-related toxicity. Excess iron in the blood, in the absence of increased erythropoietic needs, can saturate the buffering capacity of serum transferrin and result in non-transferrin-bound highly reactive forms of iron that can cause damage, as well as promote fibrogenesis and carcinogenesis in the parenchymatous organs. A number of hereditary or acquired diseases are associated with systemic or local iron deposition or iron misdistribution in organs or cells. Two of these, the HFE- and non-HFE hemochromatosis syndromes represent the paradigms of genetic iron overload. They share common clinical features and the same pathogenic basis, in particular, a lack of synthesis or activity of hepcidin, the iron hormone. Before hepcidin was discovered, the liver was simply regarded as the main site of iron storage and, as such, the main target of iron toxicity. Now, as the main source of hepcidin, it appears that the loss of the hepcidin-producing liver mass or genetic and acquired factors that repress hepcidin synthesis in the liver may also lead to iron overload. Usually, there is low-grade excess iron which, through oxidative stress, is sufficient to worsen the course of the underlying liver disease or other chronic diseases that are apparently unrelated to iron, such as chronic metabolic and cardiovascular diseases. In the future, modulation of hepcidin synthesis and activity or hepcidin hormone-replacing strategies may become therapeutic options to cure iron-related disorders.","DOI":"10.1111/liv.13020","ISSN":"1478-3231","note":"PMID: 26725908","journalAbbreviation":"Liver Int.","language":"eng","author":[{"family":"Pietrangelo","given":"Antonello"}],"issued":{"date-parts":[["2016",1]]}}}],"schema":"https://github.com/citation-style-language/schema/raw/master/csl-citation.json"} </w:instrText>
            </w:r>
            <w:r w:rsidRPr="007F5A49">
              <w:rPr>
                <w:rFonts w:ascii="Book Antiqua" w:hAnsi="Book Antiqua" w:cs="Arial"/>
                <w:sz w:val="24"/>
                <w:szCs w:val="24"/>
                <w:vertAlign w:val="superscript"/>
                <w:lang w:val="en-US"/>
              </w:rPr>
              <w:fldChar w:fldCharType="separate"/>
            </w:r>
            <w:r w:rsidR="00D76B2B"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7</w:t>
            </w:r>
            <w:r w:rsidRPr="007F5A49">
              <w:rPr>
                <w:rFonts w:ascii="Book Antiqua" w:hAnsi="Book Antiqua" w:cs="Arial"/>
                <w:sz w:val="24"/>
                <w:szCs w:val="24"/>
                <w:vertAlign w:val="superscript"/>
                <w:lang w:val="en-US"/>
              </w:rPr>
              <w:fldChar w:fldCharType="end"/>
            </w:r>
            <w:r w:rsidR="00D76B2B" w:rsidRPr="007F5A49">
              <w:rPr>
                <w:rFonts w:ascii="Book Antiqua" w:hAnsi="Book Antiqua" w:cs="Arial"/>
                <w:sz w:val="24"/>
                <w:szCs w:val="24"/>
                <w:vertAlign w:val="superscript"/>
                <w:lang w:val="en-US"/>
              </w:rPr>
              <w:t>]</w:t>
            </w:r>
          </w:p>
        </w:tc>
        <w:tc>
          <w:tcPr>
            <w:tcW w:w="2410" w:type="dxa"/>
            <w:shd w:val="clear" w:color="auto" w:fill="auto"/>
          </w:tcPr>
          <w:p w14:paraId="13E95015" w14:textId="4CC0F484" w:rsidR="00F64145" w:rsidRPr="007F5A49" w:rsidRDefault="00F64145" w:rsidP="003F73FF">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Mostly raised</w:t>
            </w:r>
            <w:r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3PvGm9F9","properties":{"formattedCitation":"(88,149)","plainCitation":"(88,149)","noteIndex":0},"citationItems":[{"id":"z1PZoHrb/JTVUtNdg","uris":["http://zotero.org/users/4222068/items/MQJX28AQ"],"uri":["http://zotero.org/users/4222068/items/MQJX28AQ"],"itemData":{"id":1632,"type":"article-journal","title":"Hepcidin and the iron enigma in HCV infection","container-title":"Virulence","page":"465-476","volume":"5","issue":"4","source":"PubMed Central","abstract":"An estimated 30–40% of patients with chronic hepatitis C have elevated serum iron, transferrin saturation, and ferritin levels. Clinical data suggest that iron is a co-morbidity factor for disease progression following HCV infection. Iron is essential for a number of fundamental metabolic processes in cells and organisms. Mammalian iron homeostasis is tightly regulated and this is maintained through the coordinated action of sensory and regulatory networks that modulate the expression of iron-related proteins at the transcriptional and/or posttranscriptional levels. Disturbances of iron homeostasis have been implicated in infectious disease pathogenesis. Viruses, similarly to other pathogens, can escape recognition by the immune system, but they need iron from their host to grow and spread. Hepcidin is a 25-aa peptide, present in human serum and urine and represents the key peptide hormone, which modulates iron homeostasis in the body. It is synthesized predominantly by hepatocytes and its mature form is released in circulation. In this review, we discuss recent advances in the exciting crosstalk of molecular mechanisms and cell signaling pathways by which iron and hepcidin production influences HCV-induced liver disease.","DOI":"10.4161/viru.28508","ISSN":"2150-5594","note":"PMID: 24626108\nPMCID: PMC4063809","journalAbbreviation":"Virulence","author":[{"family":"Georgopoulou","given":"Urania"},{"family":"Dimitriadis","given":"Alexios"},{"family":"Foka","given":"Pelagia"},{"family":"Karamichali","given":"Eirini"},{"family":"Mamalaki","given":"Avgi"}],"issued":{"date-parts":[["2014",5,15]]}}},{"id":"z1PZoHrb/wDyR5B2t","uris":["http://zotero.org/users/4222068/items/59P5V92J"],"uri":["http://zotero.org/users/4222068/items/59P5V92J"],"itemData":{"id":1615,"type":"article-journal","title":"Liver iron deposits in hepatitis B patients: association with severity of liver disease but not with hemochromatosis gene mutations","container-title":"Journal of Gastroenterology and Hepatology","page":"1036-1041","volume":"19","issue":"9","source":"PubMed","abstract":"BACKGROUND AND AIMS: Iron deposits in the liver and abnormalities in serum iron biochemistry are frequently observed in patients with chronic liver diseases, but data for patients with hepatitis B virus (HBV) infection are scarce. Moreover, the role of HFE mutations in iron deposits in this condition remains unknown. The aim of the present study was to determine the prevalence of serum iron biochemical abnormalities and iron deposits in the liver of chronic HBV patients, and to evaluate the consequences for the activity and severity of liver disease. Additionally, we studied the role of HFE gene mutations in iron deposits.\nMETHODS: Eighty-one male non-cirrhotic HBV patients were studied. Serum iron biochemistry, liver enzymes and C282Y/H63D mutations were investigated. Liver biopsies were scored for necroinflammatory activity (histological activity index [HAI]), fibrosis and iron deposits.\nRESULTS: Elevated transferrin saturation (TS) was found in 27.1% of patients and liver iron deposits in 48.7%; these deposits were mild in 68.4% and moderate in 31.6%. Patients with liver iron deposits exhibited significantly higher scores for HAI and fibrosis than those without iron deposits. HFE mutations were identified in 23.4% of patients (14 H63D heterozygotes, four H63D homozygotes, one compound mutation). No difference in the prevalence of C282Y and H63D mutations was observed between HBV patients (1.2% and 23.4%, respectively) and the general population (4.1% and 27.8%, respectively). No association was detected between HFE mutations and elevated TS or liver iron deposits.\nCONCLUSIONS: Elevated TS and liver iron deposits were frequent in non-cirrhotic HBV patients. Iron deposits were mainly mild and associated with higher activity and severity of liver disease, but not with HFE mutations.","DOI":"10.1111/j.1440-1746.2004.03410.x","ISSN":"0815-9319","note":"PMID: 15304122","shortTitle":"Liver iron deposits in hepatitis B patients","journalAbbreviation":"J. Gastroenterol. Hepatol.","language":"eng","author":[{"family":"Martinelli","given":"Ana L. C."},{"family":"Filho","given":"Antonio B. Araujo"},{"family":"Franco","given":"Rendrik F."},{"family":"Tavella","given":"Marli H."},{"family":"Ramalho","given":"Leandra N. Z."},{"family":"Zucoloto","given":"Sergio"},{"family":"Rodrigues","given":"Sandra S."},{"family":"Zago","given":"Marcos A."}],"issued":{"date-parts":[["2004",9]]}}}],"schema":"https://github.com/citation-style-language/schema/raw/master/csl-citation.json"} </w:instrText>
            </w:r>
            <w:r w:rsidRPr="007F5A49">
              <w:rPr>
                <w:rFonts w:ascii="Book Antiqua" w:hAnsi="Book Antiqua" w:cs="Arial"/>
                <w:sz w:val="24"/>
                <w:szCs w:val="24"/>
                <w:vertAlign w:val="superscript"/>
                <w:lang w:val="en-US"/>
              </w:rPr>
              <w:fldChar w:fldCharType="separate"/>
            </w:r>
            <w:r w:rsidR="00795DE7"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88,149</w:t>
            </w:r>
            <w:r w:rsidRPr="007F5A49">
              <w:rPr>
                <w:rFonts w:ascii="Book Antiqua" w:hAnsi="Book Antiqua" w:cs="Arial"/>
                <w:sz w:val="24"/>
                <w:szCs w:val="24"/>
                <w:vertAlign w:val="superscript"/>
                <w:lang w:val="en-US"/>
              </w:rPr>
              <w:fldChar w:fldCharType="end"/>
            </w:r>
            <w:r w:rsidR="00795DE7" w:rsidRPr="007F5A49">
              <w:rPr>
                <w:rFonts w:ascii="Book Antiqua" w:hAnsi="Book Antiqua" w:cs="Arial"/>
                <w:sz w:val="24"/>
                <w:szCs w:val="24"/>
                <w:vertAlign w:val="superscript"/>
                <w:lang w:val="en-US"/>
              </w:rPr>
              <w:t>]</w:t>
            </w:r>
            <w:r w:rsidRPr="007F5A49">
              <w:rPr>
                <w:rFonts w:ascii="Book Antiqua" w:hAnsi="Book Antiqua" w:cs="Arial"/>
                <w:sz w:val="24"/>
                <w:szCs w:val="24"/>
                <w:lang w:val="en-US"/>
              </w:rPr>
              <w:t>, but occasionally may not statistically differ from the norm</w:t>
            </w:r>
            <w:r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u0C38Ydf","properties":{"formattedCitation":"(150)","plainCitation":"(150)","noteIndex":0},"citationItems":[{"id":"z1PZoHrb/RIuQqNJV","uris":["http://zotero.org/users/4222068/items/KXEWTVLM"],"uri":["http://zotero.org/users/4222068/items/KXEWTVLM"],"itemData":{"id":1603,"type":"article-journal","title":"Association of hepatitis C virus infection with serum iron status: analysis of data from the third National Health and Nutrition Examination Survey","container-title":"Clinical Infectious Diseases: An Official Publication of the Infectious Diseases Society of America","page":"834-841","volume":"40","issue":"6","source":"PubMed","abstract":"BACKGROUND: There is growing evidence that mildly increased amounts of iron in the liver can increase hepatic injury, particularly if combined with other hepatotoxic factors, such as alcohol use, use of porphyrogenic drugs, or chronic viral hepatitis. In the present study, the association of hepatitis C virus (HCV) infection with serum measurements of iron status was assessed in the US population.\nMETHODS: We analyzed data from a total of 14,462 participants in the Third National Health and Nutrition Examination Survey. We excluded subjects who were aged &lt;12 years, subjects for whom measurements of serum levels of iron or ferritin or the results of liver function tests were missing, and subjects who had a serum transferrin saturation of &gt; or =50% (to help exclude subjects with hemochromatosis).\nRESULTS: Mean serum levels of ferritin and iron (+/- standard error) were significantly higher among subjects with HCV infection (100+/-3 ng/mL and 229+/-17 microg/dL, respectively) than among subjects without liver disease (83+/-0.3 ng/mL and 101+/-2.1 microg/dL, respectively) (P&lt;.0001). Serum levels of ferritin were directly and significantly correlated with serum levels of alanine aminotransferase, aspartate aminotransferase, and gamma-glutamyl transpeptidase (r=0.25, r=0.24, and r=0.28, respectively; P&lt;.0001), whereas platelet counts were inversely correlated with serum levels of ferritin (r=-0.12; P&lt;.0001).\nCONCLUSION: HCV infection is significantly associated with higher serum levels of ferritin and iron in the US population.","DOI":"10.1086/428062","ISSN":"1537-6591","note":"PMID: 15736017","shortTitle":"Association of hepatitis C virus infection with serum iron status","journalAbbreviation":"Clin. Infect. Dis.","language":"eng","author":[{"family":"Shan","given":"Ying"},{"family":"Lambrecht","given":"Richard W."},{"family":"Bonkovsky","given":"Herbert L."}],"issued":{"date-parts":[["2005",3,15]]}}}],"schema":"https://github.com/citation-style-language/schema/raw/master/csl-citation.json"} </w:instrText>
            </w:r>
            <w:r w:rsidRPr="007F5A49">
              <w:rPr>
                <w:rFonts w:ascii="Book Antiqua" w:hAnsi="Book Antiqua" w:cs="Arial"/>
                <w:sz w:val="24"/>
                <w:szCs w:val="24"/>
                <w:vertAlign w:val="superscript"/>
                <w:lang w:val="en-US"/>
              </w:rPr>
              <w:fldChar w:fldCharType="separate"/>
            </w:r>
            <w:r w:rsidR="00795DE7"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150</w:t>
            </w:r>
            <w:r w:rsidRPr="007F5A49">
              <w:rPr>
                <w:rFonts w:ascii="Book Antiqua" w:hAnsi="Book Antiqua" w:cs="Arial"/>
                <w:sz w:val="24"/>
                <w:szCs w:val="24"/>
                <w:vertAlign w:val="superscript"/>
                <w:lang w:val="en-US"/>
              </w:rPr>
              <w:fldChar w:fldCharType="end"/>
            </w:r>
            <w:r w:rsidR="00795DE7" w:rsidRPr="007F5A49">
              <w:rPr>
                <w:rFonts w:ascii="Book Antiqua" w:hAnsi="Book Antiqua" w:cs="Arial"/>
                <w:sz w:val="24"/>
                <w:szCs w:val="24"/>
                <w:vertAlign w:val="superscript"/>
                <w:lang w:val="en-US"/>
              </w:rPr>
              <w:t>]</w:t>
            </w:r>
          </w:p>
        </w:tc>
        <w:tc>
          <w:tcPr>
            <w:tcW w:w="2126" w:type="dxa"/>
            <w:shd w:val="clear" w:color="auto" w:fill="auto"/>
          </w:tcPr>
          <w:p w14:paraId="78B1E7AE" w14:textId="5238239C" w:rsidR="00F64145" w:rsidRPr="007F5A49" w:rsidRDefault="00F64145" w:rsidP="003F73FF">
            <w:pPr>
              <w:adjustRightInd w:val="0"/>
              <w:snapToGrid w:val="0"/>
              <w:spacing w:line="360" w:lineRule="auto"/>
              <w:jc w:val="center"/>
              <w:rPr>
                <w:rFonts w:ascii="Book Antiqua" w:hAnsi="Book Antiqua" w:cs="Arial"/>
                <w:sz w:val="24"/>
                <w:szCs w:val="24"/>
                <w:lang w:val="en-US"/>
              </w:rPr>
            </w:pPr>
            <w:r w:rsidRPr="007F5A49">
              <w:rPr>
                <w:rFonts w:ascii="Book Antiqua" w:hAnsi="Book Antiqua" w:cs="Arial"/>
                <w:sz w:val="24"/>
                <w:szCs w:val="24"/>
                <w:lang w:val="en-US"/>
              </w:rPr>
              <w:t>Low</w:t>
            </w:r>
            <w:r w:rsidRPr="007F5A49">
              <w:rPr>
                <w:rFonts w:ascii="Book Antiqua" w:hAnsi="Book Antiqua" w:cs="Arial"/>
                <w:sz w:val="24"/>
                <w:szCs w:val="24"/>
                <w:vertAlign w:val="superscript"/>
                <w:lang w:val="en-US"/>
              </w:rPr>
              <w:fldChar w:fldCharType="begin"/>
            </w:r>
            <w:r w:rsidR="00D2645C" w:rsidRPr="007F5A49">
              <w:rPr>
                <w:rFonts w:ascii="Book Antiqua" w:hAnsi="Book Antiqua" w:cs="Arial"/>
                <w:sz w:val="24"/>
                <w:szCs w:val="24"/>
                <w:vertAlign w:val="superscript"/>
                <w:lang w:val="en-US"/>
              </w:rPr>
              <w:instrText xml:space="preserve"> ADDIN ZOTERO_ITEM CSL_CITATION {"citationID":"ak855tpusv","properties":{"formattedCitation":"(138)","plainCitation":"(138)","noteIndex":0},"citationItems":[{"id":"z1PZoHrb/imTLQ2IY","uris":["http://zotero.org/users/4222068/items/3QJNQM5Z"],"uri":["http://zotero.org/users/4222068/items/3QJNQM5Z"],"itemData":{"id":1609,"type":"article-journal","title":"High ferritin and low transferrin saturation are associated with pre-diabetes among a national representative sample of U.S. adults","container-title":"Clinical Nutrition (Edinburgh, Scotland)","page":"1055-1060","volume":"32","issue":"6","source":"PubMed","abstract":"BACKGROUND &amp; AIMS: Iron overload is known to cause diabetes. However, the underlying mechanism is poorly understood. We therefore studied the association of different markers of iron metabolism, namely ferritin, erythrocyte protoporphyrin and transferrin saturation (TSAT, as defined by a percentage of transferrin that is saturated with iron) with pre-diabetes (preDM) in US adults without chronic kidney disease, anemia, and iron deficiency.\nMETHODS: Data on 2575 participants of the National Health and Nutrition Examination Survey (NHANES) 1999-2002 who were free of diabetes, chronic kidney disease, iron deficiency, and anemia were analyzed. Data on 3876 participants of the NHANES III (1988-1994) were used as replication. Homeostasis model assessment of insulin resistance (HOMA-IR), blood glycosylated hemoglobin level (HbA1C), fasting glucose, insulin, and preDM (defined as a fasting plasma glucose 100-125 mg/dl or an HBA1C value 5.7-6.4%) were measured as the outcomes.\nRESULTS: Logistic regression analyses indicated independent associations of high ferritin (Ptrend = 0.028) and low TSAT (P(trend) = 0.029) with preDM after adjusting for sociodemographics, physical activity (active/sedementary), metabolic and inflammatory markers (triglycerides, total cholesterol, HDL cholesterol, mean arterial pressure, CRP, white cell count, and albumin), and liver enzymes (GGT, Alk phos, AST, and ALT). The NHANES III data showed similar associations. Combining the results showed a more significant association for high ferritin (P(meta) = 0.016) and low TSAT (P(meta) = 0.002). Moreover, TSAT was associated with HbA1C, fasting glucose, insulin, and HOMA-IR (P(meta) ≤ 0.001).\nCONCLUSIONS: Higher ferritin and lower TSAT are associated with higher risk of preDM in a general population without confounding diseases. Further research is needed to examine the underlying mechanism of these two indices, especially TSAT, in the pathophysiology of preDM.","DOI":"10.1016/j.clnu.2012.11.024","ISSN":"1532-1983","note":"PMID: 23312547","journalAbbreviation":"Clin Nutr","language":"eng","author":[{"family":"Cheung","given":"Ching-Lung"},{"family":"Cheung","given":"Tommy T."},{"family":"Lam","given":"Karen S. L."},{"family":"Cheung","given":"Bernard M. Y."}],"issued":{"date-parts":[["2013",12]]}}}],"schema":"https://github.com/citation-style-language/schema/raw/master/csl-citation.json"} </w:instrText>
            </w:r>
            <w:r w:rsidRPr="007F5A49">
              <w:rPr>
                <w:rFonts w:ascii="Book Antiqua" w:hAnsi="Book Antiqua" w:cs="Arial"/>
                <w:sz w:val="24"/>
                <w:szCs w:val="24"/>
                <w:vertAlign w:val="superscript"/>
                <w:lang w:val="en-US"/>
              </w:rPr>
              <w:fldChar w:fldCharType="separate"/>
            </w:r>
            <w:r w:rsidR="00795DE7" w:rsidRPr="007F5A49">
              <w:rPr>
                <w:rFonts w:ascii="Book Antiqua" w:hAnsi="Book Antiqua"/>
                <w:sz w:val="24"/>
                <w:szCs w:val="24"/>
                <w:vertAlign w:val="superscript"/>
                <w:lang w:val="en-US"/>
              </w:rPr>
              <w:t>[</w:t>
            </w:r>
            <w:r w:rsidR="00D2645C" w:rsidRPr="007F5A49">
              <w:rPr>
                <w:rFonts w:ascii="Book Antiqua" w:hAnsi="Book Antiqua"/>
                <w:sz w:val="24"/>
                <w:szCs w:val="24"/>
                <w:vertAlign w:val="superscript"/>
                <w:lang w:val="en-US"/>
              </w:rPr>
              <w:t>138</w:t>
            </w:r>
            <w:r w:rsidRPr="007F5A49">
              <w:rPr>
                <w:rFonts w:ascii="Book Antiqua" w:hAnsi="Book Antiqua" w:cs="Arial"/>
                <w:sz w:val="24"/>
                <w:szCs w:val="24"/>
                <w:vertAlign w:val="superscript"/>
                <w:lang w:val="en-US"/>
              </w:rPr>
              <w:fldChar w:fldCharType="end"/>
            </w:r>
            <w:r w:rsidR="00795DE7" w:rsidRPr="007F5A49">
              <w:rPr>
                <w:rFonts w:ascii="Book Antiqua" w:hAnsi="Book Antiqua" w:cs="Arial"/>
                <w:sz w:val="24"/>
                <w:szCs w:val="24"/>
                <w:vertAlign w:val="superscript"/>
                <w:lang w:val="en-US"/>
              </w:rPr>
              <w:t>]</w:t>
            </w:r>
            <w:r w:rsidRPr="007F5A49">
              <w:rPr>
                <w:rFonts w:ascii="Book Antiqua" w:hAnsi="Book Antiqua" w:cs="Arial"/>
                <w:sz w:val="24"/>
                <w:szCs w:val="24"/>
                <w:lang w:val="en-US"/>
              </w:rPr>
              <w:t>, associated with pre-diabetes</w:t>
            </w:r>
          </w:p>
        </w:tc>
      </w:tr>
    </w:tbl>
    <w:p w14:paraId="79EA561D" w14:textId="0B9E7053" w:rsidR="002D466B" w:rsidRPr="007F5A49" w:rsidRDefault="00901159" w:rsidP="007F5A49">
      <w:pPr>
        <w:adjustRightInd w:val="0"/>
        <w:snapToGrid w:val="0"/>
        <w:spacing w:after="0" w:line="360" w:lineRule="auto"/>
        <w:jc w:val="both"/>
        <w:rPr>
          <w:rFonts w:ascii="Book Antiqua" w:hAnsi="Book Antiqua"/>
          <w:sz w:val="24"/>
          <w:szCs w:val="24"/>
          <w:lang w:val="en-US" w:eastAsia="zh-CN"/>
        </w:rPr>
      </w:pPr>
      <w:r w:rsidRPr="007F5A49">
        <w:rPr>
          <w:rFonts w:ascii="Book Antiqua" w:hAnsi="Book Antiqua" w:cs="Arial"/>
          <w:sz w:val="24"/>
          <w:szCs w:val="24"/>
          <w:lang w:val="en-US"/>
        </w:rPr>
        <w:t>Approximate values and percentages for adults have been shown. These include ranges for both genders.</w:t>
      </w:r>
      <w:r w:rsidR="001765DB">
        <w:rPr>
          <w:rFonts w:ascii="Book Antiqua" w:hAnsi="Book Antiqua" w:cs="Arial"/>
          <w:sz w:val="24"/>
          <w:szCs w:val="24"/>
          <w:lang w:val="en-US"/>
        </w:rPr>
        <w:t xml:space="preserve"> </w:t>
      </w:r>
      <w:r>
        <w:rPr>
          <w:rFonts w:ascii="Book Antiqua" w:hAnsi="Book Antiqua" w:cs="Arial"/>
          <w:sz w:val="24"/>
          <w:szCs w:val="24"/>
          <w:lang w:val="en-US"/>
        </w:rPr>
        <w:t>ALD: Alcoholic liver disease; NAFLD: N</w:t>
      </w:r>
      <w:r w:rsidR="002D466B" w:rsidRPr="007F5A49">
        <w:rPr>
          <w:rFonts w:ascii="Book Antiqua" w:hAnsi="Book Antiqua" w:cs="Arial"/>
          <w:sz w:val="24"/>
          <w:szCs w:val="24"/>
          <w:lang w:val="en-US"/>
        </w:rPr>
        <w:t>o</w:t>
      </w:r>
      <w:r>
        <w:rPr>
          <w:rFonts w:ascii="Book Antiqua" w:hAnsi="Book Antiqua" w:cs="Arial"/>
          <w:sz w:val="24"/>
          <w:szCs w:val="24"/>
          <w:lang w:val="en-US"/>
        </w:rPr>
        <w:t>n-alcoholic fatty liver disease; NASH: N</w:t>
      </w:r>
      <w:r w:rsidR="002D466B" w:rsidRPr="007F5A49">
        <w:rPr>
          <w:rFonts w:ascii="Book Antiqua" w:hAnsi="Book Antiqua" w:cs="Arial"/>
          <w:sz w:val="24"/>
          <w:szCs w:val="24"/>
          <w:lang w:val="en-US"/>
        </w:rPr>
        <w:t>on-alcoholic steatohepatit</w:t>
      </w:r>
      <w:r>
        <w:rPr>
          <w:rFonts w:ascii="Book Antiqua" w:hAnsi="Book Antiqua" w:cs="Arial"/>
          <w:sz w:val="24"/>
          <w:szCs w:val="24"/>
          <w:lang w:val="en-US"/>
        </w:rPr>
        <w:t>is; RBCs: Red blood cells.</w:t>
      </w:r>
    </w:p>
    <w:sectPr w:rsidR="002D466B" w:rsidRPr="007F5A49" w:rsidSect="002D466B">
      <w:footerReference w:type="default" r:id="rId13"/>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287ED1" w14:textId="77777777" w:rsidR="0095453C" w:rsidRDefault="0095453C" w:rsidP="00342432">
      <w:pPr>
        <w:spacing w:after="0" w:line="240" w:lineRule="auto"/>
      </w:pPr>
      <w:r>
        <w:separator/>
      </w:r>
    </w:p>
  </w:endnote>
  <w:endnote w:type="continuationSeparator" w:id="0">
    <w:p w14:paraId="2F6F2BA8" w14:textId="77777777" w:rsidR="0095453C" w:rsidRDefault="0095453C" w:rsidP="003424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00000287" w:usb1="38CF7CFA" w:usb2="00000016" w:usb3="00000000" w:csb0="0004000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848DE" w14:textId="31F930AE" w:rsidR="003677A3" w:rsidRDefault="003677A3">
    <w:pPr>
      <w:pStyle w:val="Footer"/>
      <w:jc w:val="center"/>
    </w:pPr>
  </w:p>
  <w:p w14:paraId="47702033" w14:textId="77777777" w:rsidR="003677A3" w:rsidRDefault="003677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00871" w14:textId="0AD27C79" w:rsidR="003677A3" w:rsidRDefault="003677A3">
    <w:pPr>
      <w:pStyle w:val="Footer"/>
      <w:jc w:val="right"/>
    </w:pPr>
  </w:p>
  <w:p w14:paraId="6850AC2B" w14:textId="77777777" w:rsidR="003677A3" w:rsidRDefault="003677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5B1B71" w14:textId="77777777" w:rsidR="0095453C" w:rsidRDefault="0095453C" w:rsidP="00342432">
      <w:pPr>
        <w:spacing w:after="0" w:line="240" w:lineRule="auto"/>
      </w:pPr>
      <w:r>
        <w:separator/>
      </w:r>
    </w:p>
  </w:footnote>
  <w:footnote w:type="continuationSeparator" w:id="0">
    <w:p w14:paraId="3CCE9000" w14:textId="77777777" w:rsidR="0095453C" w:rsidRDefault="0095453C" w:rsidP="003424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2C1C72"/>
    <w:multiLevelType w:val="hybridMultilevel"/>
    <w:tmpl w:val="276834C2"/>
    <w:lvl w:ilvl="0" w:tplc="10166944">
      <w:start w:val="1"/>
      <w:numFmt w:val="bullet"/>
      <w:lvlText w:val=""/>
      <w:lvlJc w:val="left"/>
      <w:pPr>
        <w:ind w:left="720" w:hanging="266"/>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126CB8"/>
    <w:multiLevelType w:val="hybridMultilevel"/>
    <w:tmpl w:val="BAEA1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7F35A1"/>
    <w:multiLevelType w:val="hybridMultilevel"/>
    <w:tmpl w:val="8AC059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6E962EA"/>
    <w:multiLevelType w:val="hybridMultilevel"/>
    <w:tmpl w:val="D5163E86"/>
    <w:lvl w:ilvl="0" w:tplc="10166944">
      <w:start w:val="1"/>
      <w:numFmt w:val="bullet"/>
      <w:lvlText w:val=""/>
      <w:lvlJc w:val="left"/>
      <w:pPr>
        <w:ind w:left="720" w:hanging="266"/>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5FD"/>
    <w:rsid w:val="0000004F"/>
    <w:rsid w:val="0000012E"/>
    <w:rsid w:val="0000013D"/>
    <w:rsid w:val="0000034A"/>
    <w:rsid w:val="000004C5"/>
    <w:rsid w:val="00000500"/>
    <w:rsid w:val="00000A41"/>
    <w:rsid w:val="0000149B"/>
    <w:rsid w:val="00001561"/>
    <w:rsid w:val="00001910"/>
    <w:rsid w:val="0000235C"/>
    <w:rsid w:val="0000262E"/>
    <w:rsid w:val="000026E7"/>
    <w:rsid w:val="00002B2F"/>
    <w:rsid w:val="00002D08"/>
    <w:rsid w:val="00002F11"/>
    <w:rsid w:val="00003220"/>
    <w:rsid w:val="000037E4"/>
    <w:rsid w:val="000037F0"/>
    <w:rsid w:val="00003A7C"/>
    <w:rsid w:val="00003DA5"/>
    <w:rsid w:val="00003F13"/>
    <w:rsid w:val="000044FF"/>
    <w:rsid w:val="00004BAE"/>
    <w:rsid w:val="00005340"/>
    <w:rsid w:val="00005C65"/>
    <w:rsid w:val="000061BD"/>
    <w:rsid w:val="000069FB"/>
    <w:rsid w:val="00007389"/>
    <w:rsid w:val="00010811"/>
    <w:rsid w:val="00010B55"/>
    <w:rsid w:val="00010DA8"/>
    <w:rsid w:val="000115D6"/>
    <w:rsid w:val="00011BE1"/>
    <w:rsid w:val="00012211"/>
    <w:rsid w:val="00012408"/>
    <w:rsid w:val="0001256E"/>
    <w:rsid w:val="00012B9D"/>
    <w:rsid w:val="00012FBF"/>
    <w:rsid w:val="00013091"/>
    <w:rsid w:val="00013603"/>
    <w:rsid w:val="00013D36"/>
    <w:rsid w:val="000141DE"/>
    <w:rsid w:val="000144AD"/>
    <w:rsid w:val="00014D09"/>
    <w:rsid w:val="00015166"/>
    <w:rsid w:val="000155FE"/>
    <w:rsid w:val="00015A8B"/>
    <w:rsid w:val="00015E61"/>
    <w:rsid w:val="00016142"/>
    <w:rsid w:val="00016760"/>
    <w:rsid w:val="00016EE8"/>
    <w:rsid w:val="00017040"/>
    <w:rsid w:val="000175E2"/>
    <w:rsid w:val="00017981"/>
    <w:rsid w:val="00017D09"/>
    <w:rsid w:val="00020101"/>
    <w:rsid w:val="00020777"/>
    <w:rsid w:val="0002085E"/>
    <w:rsid w:val="00022141"/>
    <w:rsid w:val="000222A9"/>
    <w:rsid w:val="00022A8E"/>
    <w:rsid w:val="00023A64"/>
    <w:rsid w:val="00023C11"/>
    <w:rsid w:val="00023CD5"/>
    <w:rsid w:val="00023D66"/>
    <w:rsid w:val="000241AE"/>
    <w:rsid w:val="000243CF"/>
    <w:rsid w:val="00024F9F"/>
    <w:rsid w:val="00025B69"/>
    <w:rsid w:val="00025B7B"/>
    <w:rsid w:val="00025BD4"/>
    <w:rsid w:val="0002641B"/>
    <w:rsid w:val="000264C4"/>
    <w:rsid w:val="00026EA6"/>
    <w:rsid w:val="00027397"/>
    <w:rsid w:val="00030FC4"/>
    <w:rsid w:val="000315B9"/>
    <w:rsid w:val="00031A0E"/>
    <w:rsid w:val="00031A99"/>
    <w:rsid w:val="00031B0F"/>
    <w:rsid w:val="00031E28"/>
    <w:rsid w:val="00032016"/>
    <w:rsid w:val="000320CE"/>
    <w:rsid w:val="00033281"/>
    <w:rsid w:val="0003340A"/>
    <w:rsid w:val="00033478"/>
    <w:rsid w:val="0003359E"/>
    <w:rsid w:val="00033FAC"/>
    <w:rsid w:val="000340EB"/>
    <w:rsid w:val="00034A3B"/>
    <w:rsid w:val="00034AE0"/>
    <w:rsid w:val="00035516"/>
    <w:rsid w:val="0003580E"/>
    <w:rsid w:val="00035861"/>
    <w:rsid w:val="00035E29"/>
    <w:rsid w:val="000363EC"/>
    <w:rsid w:val="0003660C"/>
    <w:rsid w:val="00036FB6"/>
    <w:rsid w:val="00037153"/>
    <w:rsid w:val="000371CC"/>
    <w:rsid w:val="000405D4"/>
    <w:rsid w:val="00041423"/>
    <w:rsid w:val="0004171C"/>
    <w:rsid w:val="0004185F"/>
    <w:rsid w:val="00042D81"/>
    <w:rsid w:val="00042DB2"/>
    <w:rsid w:val="000431EB"/>
    <w:rsid w:val="00043308"/>
    <w:rsid w:val="000440D9"/>
    <w:rsid w:val="000455D2"/>
    <w:rsid w:val="0004565F"/>
    <w:rsid w:val="00045721"/>
    <w:rsid w:val="000459A3"/>
    <w:rsid w:val="000462A2"/>
    <w:rsid w:val="000462CA"/>
    <w:rsid w:val="0004712B"/>
    <w:rsid w:val="00047187"/>
    <w:rsid w:val="000472D4"/>
    <w:rsid w:val="000477B8"/>
    <w:rsid w:val="00050059"/>
    <w:rsid w:val="00050182"/>
    <w:rsid w:val="000517C0"/>
    <w:rsid w:val="000517F1"/>
    <w:rsid w:val="00052078"/>
    <w:rsid w:val="000522AC"/>
    <w:rsid w:val="000525F9"/>
    <w:rsid w:val="00052B30"/>
    <w:rsid w:val="0005364D"/>
    <w:rsid w:val="00053AF6"/>
    <w:rsid w:val="00055F1E"/>
    <w:rsid w:val="000560E4"/>
    <w:rsid w:val="000562DA"/>
    <w:rsid w:val="0005636A"/>
    <w:rsid w:val="00056632"/>
    <w:rsid w:val="000566D5"/>
    <w:rsid w:val="000569C1"/>
    <w:rsid w:val="000570AC"/>
    <w:rsid w:val="000571A0"/>
    <w:rsid w:val="000577BD"/>
    <w:rsid w:val="00060901"/>
    <w:rsid w:val="00061311"/>
    <w:rsid w:val="00061EBC"/>
    <w:rsid w:val="000625A6"/>
    <w:rsid w:val="00062D11"/>
    <w:rsid w:val="000633AF"/>
    <w:rsid w:val="0006357D"/>
    <w:rsid w:val="000638D5"/>
    <w:rsid w:val="0006391C"/>
    <w:rsid w:val="000639F2"/>
    <w:rsid w:val="00063B3C"/>
    <w:rsid w:val="00063BD5"/>
    <w:rsid w:val="000647B6"/>
    <w:rsid w:val="000647E7"/>
    <w:rsid w:val="00064BB6"/>
    <w:rsid w:val="00064D2A"/>
    <w:rsid w:val="00064DDD"/>
    <w:rsid w:val="00066695"/>
    <w:rsid w:val="0006672E"/>
    <w:rsid w:val="00066782"/>
    <w:rsid w:val="000678E0"/>
    <w:rsid w:val="0007018B"/>
    <w:rsid w:val="000705FB"/>
    <w:rsid w:val="00070620"/>
    <w:rsid w:val="00070A02"/>
    <w:rsid w:val="00070CA1"/>
    <w:rsid w:val="00070E82"/>
    <w:rsid w:val="000710CB"/>
    <w:rsid w:val="00071127"/>
    <w:rsid w:val="000718D2"/>
    <w:rsid w:val="00071AE1"/>
    <w:rsid w:val="00071F8F"/>
    <w:rsid w:val="00072023"/>
    <w:rsid w:val="000723FC"/>
    <w:rsid w:val="000724F9"/>
    <w:rsid w:val="00072551"/>
    <w:rsid w:val="00072756"/>
    <w:rsid w:val="00072FDB"/>
    <w:rsid w:val="00073287"/>
    <w:rsid w:val="000734CF"/>
    <w:rsid w:val="00073754"/>
    <w:rsid w:val="00073AAF"/>
    <w:rsid w:val="00074EB2"/>
    <w:rsid w:val="00075B4B"/>
    <w:rsid w:val="0007641C"/>
    <w:rsid w:val="000776C0"/>
    <w:rsid w:val="000778E1"/>
    <w:rsid w:val="000779DE"/>
    <w:rsid w:val="00077F0A"/>
    <w:rsid w:val="0008008E"/>
    <w:rsid w:val="00080551"/>
    <w:rsid w:val="0008085A"/>
    <w:rsid w:val="00080C91"/>
    <w:rsid w:val="00080D72"/>
    <w:rsid w:val="00080DB7"/>
    <w:rsid w:val="00081637"/>
    <w:rsid w:val="00081E0B"/>
    <w:rsid w:val="0008229A"/>
    <w:rsid w:val="00082687"/>
    <w:rsid w:val="000826E8"/>
    <w:rsid w:val="0008298A"/>
    <w:rsid w:val="00083998"/>
    <w:rsid w:val="000839AE"/>
    <w:rsid w:val="00083ECF"/>
    <w:rsid w:val="00083EEF"/>
    <w:rsid w:val="0008431F"/>
    <w:rsid w:val="00084422"/>
    <w:rsid w:val="00084647"/>
    <w:rsid w:val="00084760"/>
    <w:rsid w:val="00084780"/>
    <w:rsid w:val="0008482C"/>
    <w:rsid w:val="000849DF"/>
    <w:rsid w:val="00084C25"/>
    <w:rsid w:val="000850D0"/>
    <w:rsid w:val="000854BF"/>
    <w:rsid w:val="00085FC3"/>
    <w:rsid w:val="000861A1"/>
    <w:rsid w:val="000862CA"/>
    <w:rsid w:val="0008665B"/>
    <w:rsid w:val="00086737"/>
    <w:rsid w:val="00086B55"/>
    <w:rsid w:val="00087D38"/>
    <w:rsid w:val="00087DB3"/>
    <w:rsid w:val="00090065"/>
    <w:rsid w:val="000904AD"/>
    <w:rsid w:val="000904B6"/>
    <w:rsid w:val="000905E5"/>
    <w:rsid w:val="00090618"/>
    <w:rsid w:val="00090EE7"/>
    <w:rsid w:val="000912F8"/>
    <w:rsid w:val="00091583"/>
    <w:rsid w:val="000918AC"/>
    <w:rsid w:val="000919D2"/>
    <w:rsid w:val="0009243E"/>
    <w:rsid w:val="00092855"/>
    <w:rsid w:val="0009440D"/>
    <w:rsid w:val="00094943"/>
    <w:rsid w:val="00094D2E"/>
    <w:rsid w:val="00095336"/>
    <w:rsid w:val="00095542"/>
    <w:rsid w:val="0009563F"/>
    <w:rsid w:val="000958A9"/>
    <w:rsid w:val="00096566"/>
    <w:rsid w:val="00096B8E"/>
    <w:rsid w:val="00096E11"/>
    <w:rsid w:val="00097CF0"/>
    <w:rsid w:val="000A001C"/>
    <w:rsid w:val="000A059C"/>
    <w:rsid w:val="000A0CA5"/>
    <w:rsid w:val="000A0F17"/>
    <w:rsid w:val="000A1009"/>
    <w:rsid w:val="000A10BF"/>
    <w:rsid w:val="000A15B1"/>
    <w:rsid w:val="000A18CF"/>
    <w:rsid w:val="000A1B96"/>
    <w:rsid w:val="000A1EF4"/>
    <w:rsid w:val="000A2335"/>
    <w:rsid w:val="000A2E8A"/>
    <w:rsid w:val="000A35A7"/>
    <w:rsid w:val="000A35D2"/>
    <w:rsid w:val="000A3874"/>
    <w:rsid w:val="000A3E95"/>
    <w:rsid w:val="000A3F78"/>
    <w:rsid w:val="000A4389"/>
    <w:rsid w:val="000A476E"/>
    <w:rsid w:val="000A5233"/>
    <w:rsid w:val="000A613D"/>
    <w:rsid w:val="000A62AB"/>
    <w:rsid w:val="000A68A9"/>
    <w:rsid w:val="000A6A89"/>
    <w:rsid w:val="000A6AF2"/>
    <w:rsid w:val="000A7072"/>
    <w:rsid w:val="000A713B"/>
    <w:rsid w:val="000A7165"/>
    <w:rsid w:val="000A73B4"/>
    <w:rsid w:val="000A754E"/>
    <w:rsid w:val="000B032A"/>
    <w:rsid w:val="000B0658"/>
    <w:rsid w:val="000B074D"/>
    <w:rsid w:val="000B1796"/>
    <w:rsid w:val="000B1BDD"/>
    <w:rsid w:val="000B1D72"/>
    <w:rsid w:val="000B21C1"/>
    <w:rsid w:val="000B25A8"/>
    <w:rsid w:val="000B28DD"/>
    <w:rsid w:val="000B2A2E"/>
    <w:rsid w:val="000B2CB6"/>
    <w:rsid w:val="000B2F0F"/>
    <w:rsid w:val="000B3B7D"/>
    <w:rsid w:val="000B48B2"/>
    <w:rsid w:val="000B52DD"/>
    <w:rsid w:val="000B57E5"/>
    <w:rsid w:val="000B58A4"/>
    <w:rsid w:val="000B5CF0"/>
    <w:rsid w:val="000B666E"/>
    <w:rsid w:val="000B6BF2"/>
    <w:rsid w:val="000B6C94"/>
    <w:rsid w:val="000B7174"/>
    <w:rsid w:val="000B7671"/>
    <w:rsid w:val="000B7A95"/>
    <w:rsid w:val="000B7A9C"/>
    <w:rsid w:val="000B7CDE"/>
    <w:rsid w:val="000C10BE"/>
    <w:rsid w:val="000C1525"/>
    <w:rsid w:val="000C1BBA"/>
    <w:rsid w:val="000C1C87"/>
    <w:rsid w:val="000C1F93"/>
    <w:rsid w:val="000C2492"/>
    <w:rsid w:val="000C260F"/>
    <w:rsid w:val="000C2EE0"/>
    <w:rsid w:val="000C33B9"/>
    <w:rsid w:val="000C3B9A"/>
    <w:rsid w:val="000C3F52"/>
    <w:rsid w:val="000C5100"/>
    <w:rsid w:val="000C6102"/>
    <w:rsid w:val="000C6C7F"/>
    <w:rsid w:val="000C6F3A"/>
    <w:rsid w:val="000C743E"/>
    <w:rsid w:val="000C76E0"/>
    <w:rsid w:val="000C7709"/>
    <w:rsid w:val="000C7E3E"/>
    <w:rsid w:val="000C7F34"/>
    <w:rsid w:val="000D019D"/>
    <w:rsid w:val="000D029C"/>
    <w:rsid w:val="000D0F88"/>
    <w:rsid w:val="000D1A27"/>
    <w:rsid w:val="000D1AA9"/>
    <w:rsid w:val="000D2118"/>
    <w:rsid w:val="000D2A60"/>
    <w:rsid w:val="000D2DBF"/>
    <w:rsid w:val="000D2E3A"/>
    <w:rsid w:val="000D3058"/>
    <w:rsid w:val="000D30BE"/>
    <w:rsid w:val="000D30FF"/>
    <w:rsid w:val="000D3598"/>
    <w:rsid w:val="000D379A"/>
    <w:rsid w:val="000D3859"/>
    <w:rsid w:val="000D3B6C"/>
    <w:rsid w:val="000D3BEB"/>
    <w:rsid w:val="000D4389"/>
    <w:rsid w:val="000D4623"/>
    <w:rsid w:val="000D4858"/>
    <w:rsid w:val="000D4CC5"/>
    <w:rsid w:val="000D4D4D"/>
    <w:rsid w:val="000D5137"/>
    <w:rsid w:val="000D54C0"/>
    <w:rsid w:val="000D5B16"/>
    <w:rsid w:val="000D5FB4"/>
    <w:rsid w:val="000D6012"/>
    <w:rsid w:val="000D65DC"/>
    <w:rsid w:val="000D68B3"/>
    <w:rsid w:val="000D6F67"/>
    <w:rsid w:val="000D6FC6"/>
    <w:rsid w:val="000D76B4"/>
    <w:rsid w:val="000D76FD"/>
    <w:rsid w:val="000D7CFE"/>
    <w:rsid w:val="000D7EF4"/>
    <w:rsid w:val="000E0312"/>
    <w:rsid w:val="000E0372"/>
    <w:rsid w:val="000E0D93"/>
    <w:rsid w:val="000E112A"/>
    <w:rsid w:val="000E11C5"/>
    <w:rsid w:val="000E1284"/>
    <w:rsid w:val="000E21EA"/>
    <w:rsid w:val="000E22B5"/>
    <w:rsid w:val="000E2A59"/>
    <w:rsid w:val="000E301A"/>
    <w:rsid w:val="000E3DCF"/>
    <w:rsid w:val="000E3F56"/>
    <w:rsid w:val="000E3FAF"/>
    <w:rsid w:val="000E492B"/>
    <w:rsid w:val="000E4AFA"/>
    <w:rsid w:val="000E4C25"/>
    <w:rsid w:val="000E4D2B"/>
    <w:rsid w:val="000E5572"/>
    <w:rsid w:val="000E5668"/>
    <w:rsid w:val="000E6053"/>
    <w:rsid w:val="000E66F7"/>
    <w:rsid w:val="000E6EAE"/>
    <w:rsid w:val="000E7C4F"/>
    <w:rsid w:val="000E7E04"/>
    <w:rsid w:val="000F0210"/>
    <w:rsid w:val="000F039B"/>
    <w:rsid w:val="000F06CB"/>
    <w:rsid w:val="000F149E"/>
    <w:rsid w:val="000F189A"/>
    <w:rsid w:val="000F1C5E"/>
    <w:rsid w:val="000F31EA"/>
    <w:rsid w:val="000F3DC1"/>
    <w:rsid w:val="000F5773"/>
    <w:rsid w:val="000F5A8D"/>
    <w:rsid w:val="000F5C88"/>
    <w:rsid w:val="000F70FC"/>
    <w:rsid w:val="000F78FA"/>
    <w:rsid w:val="000F7D23"/>
    <w:rsid w:val="000F7F25"/>
    <w:rsid w:val="00100122"/>
    <w:rsid w:val="00100332"/>
    <w:rsid w:val="001005AA"/>
    <w:rsid w:val="0010064D"/>
    <w:rsid w:val="0010081B"/>
    <w:rsid w:val="00100B23"/>
    <w:rsid w:val="001014CD"/>
    <w:rsid w:val="00101542"/>
    <w:rsid w:val="00101F8A"/>
    <w:rsid w:val="00102811"/>
    <w:rsid w:val="00102FBA"/>
    <w:rsid w:val="00103038"/>
    <w:rsid w:val="001034EF"/>
    <w:rsid w:val="00103736"/>
    <w:rsid w:val="00103942"/>
    <w:rsid w:val="0010406E"/>
    <w:rsid w:val="00104A6B"/>
    <w:rsid w:val="00104B88"/>
    <w:rsid w:val="00104D8D"/>
    <w:rsid w:val="00104DD3"/>
    <w:rsid w:val="00105195"/>
    <w:rsid w:val="00105F9E"/>
    <w:rsid w:val="00106590"/>
    <w:rsid w:val="00106BF1"/>
    <w:rsid w:val="00107026"/>
    <w:rsid w:val="001076F0"/>
    <w:rsid w:val="00107A6F"/>
    <w:rsid w:val="00107FDF"/>
    <w:rsid w:val="00110195"/>
    <w:rsid w:val="00110853"/>
    <w:rsid w:val="0011085E"/>
    <w:rsid w:val="00110AD9"/>
    <w:rsid w:val="00110EEA"/>
    <w:rsid w:val="00110FF8"/>
    <w:rsid w:val="00111A39"/>
    <w:rsid w:val="00111C5A"/>
    <w:rsid w:val="00111D00"/>
    <w:rsid w:val="00111E15"/>
    <w:rsid w:val="00111E92"/>
    <w:rsid w:val="00112011"/>
    <w:rsid w:val="0011333F"/>
    <w:rsid w:val="0011420C"/>
    <w:rsid w:val="001148B8"/>
    <w:rsid w:val="001156D1"/>
    <w:rsid w:val="001159F0"/>
    <w:rsid w:val="00116CE7"/>
    <w:rsid w:val="00116E13"/>
    <w:rsid w:val="001175DF"/>
    <w:rsid w:val="00117A92"/>
    <w:rsid w:val="00117D82"/>
    <w:rsid w:val="00117ECE"/>
    <w:rsid w:val="001208F8"/>
    <w:rsid w:val="00121426"/>
    <w:rsid w:val="00121C6B"/>
    <w:rsid w:val="001225AC"/>
    <w:rsid w:val="00122815"/>
    <w:rsid w:val="001228ED"/>
    <w:rsid w:val="00122E1D"/>
    <w:rsid w:val="0012363D"/>
    <w:rsid w:val="00123893"/>
    <w:rsid w:val="0012391A"/>
    <w:rsid w:val="0012498C"/>
    <w:rsid w:val="00124A65"/>
    <w:rsid w:val="00124A77"/>
    <w:rsid w:val="00124FC2"/>
    <w:rsid w:val="001252C4"/>
    <w:rsid w:val="00125C2D"/>
    <w:rsid w:val="00126D2D"/>
    <w:rsid w:val="001275C2"/>
    <w:rsid w:val="0013019E"/>
    <w:rsid w:val="00130228"/>
    <w:rsid w:val="00130E6A"/>
    <w:rsid w:val="00131685"/>
    <w:rsid w:val="00131813"/>
    <w:rsid w:val="00131DB1"/>
    <w:rsid w:val="00131DC1"/>
    <w:rsid w:val="001328D3"/>
    <w:rsid w:val="00132D25"/>
    <w:rsid w:val="00133135"/>
    <w:rsid w:val="00133824"/>
    <w:rsid w:val="0013390A"/>
    <w:rsid w:val="00134484"/>
    <w:rsid w:val="00134619"/>
    <w:rsid w:val="0013464C"/>
    <w:rsid w:val="00134D76"/>
    <w:rsid w:val="00135227"/>
    <w:rsid w:val="001352B0"/>
    <w:rsid w:val="001353BF"/>
    <w:rsid w:val="001358B0"/>
    <w:rsid w:val="001359F8"/>
    <w:rsid w:val="00135A5D"/>
    <w:rsid w:val="001362B0"/>
    <w:rsid w:val="00136391"/>
    <w:rsid w:val="00136678"/>
    <w:rsid w:val="00136DFC"/>
    <w:rsid w:val="00137049"/>
    <w:rsid w:val="001372E6"/>
    <w:rsid w:val="0013760A"/>
    <w:rsid w:val="0013798F"/>
    <w:rsid w:val="00137CC7"/>
    <w:rsid w:val="00140265"/>
    <w:rsid w:val="001403C7"/>
    <w:rsid w:val="001404E1"/>
    <w:rsid w:val="00140647"/>
    <w:rsid w:val="00140B39"/>
    <w:rsid w:val="00140E36"/>
    <w:rsid w:val="001417C7"/>
    <w:rsid w:val="0014251D"/>
    <w:rsid w:val="001429A9"/>
    <w:rsid w:val="00142A0C"/>
    <w:rsid w:val="00142C16"/>
    <w:rsid w:val="00142CCC"/>
    <w:rsid w:val="00142D7C"/>
    <w:rsid w:val="00143582"/>
    <w:rsid w:val="00143DD0"/>
    <w:rsid w:val="00144138"/>
    <w:rsid w:val="00144514"/>
    <w:rsid w:val="0014454D"/>
    <w:rsid w:val="0014460D"/>
    <w:rsid w:val="001446E6"/>
    <w:rsid w:val="001451BA"/>
    <w:rsid w:val="001452E0"/>
    <w:rsid w:val="00145441"/>
    <w:rsid w:val="001459B0"/>
    <w:rsid w:val="001459C1"/>
    <w:rsid w:val="00145A62"/>
    <w:rsid w:val="00145E20"/>
    <w:rsid w:val="001463F4"/>
    <w:rsid w:val="0014734A"/>
    <w:rsid w:val="00147712"/>
    <w:rsid w:val="00147960"/>
    <w:rsid w:val="00147FE5"/>
    <w:rsid w:val="0015047A"/>
    <w:rsid w:val="001509D7"/>
    <w:rsid w:val="00150BEB"/>
    <w:rsid w:val="00151343"/>
    <w:rsid w:val="00151A9C"/>
    <w:rsid w:val="001520A3"/>
    <w:rsid w:val="00152768"/>
    <w:rsid w:val="001543C0"/>
    <w:rsid w:val="0015453A"/>
    <w:rsid w:val="00154821"/>
    <w:rsid w:val="001548D1"/>
    <w:rsid w:val="001549CA"/>
    <w:rsid w:val="00154B18"/>
    <w:rsid w:val="00154CE9"/>
    <w:rsid w:val="00154D69"/>
    <w:rsid w:val="00155182"/>
    <w:rsid w:val="00155237"/>
    <w:rsid w:val="001552C7"/>
    <w:rsid w:val="0015540C"/>
    <w:rsid w:val="00155CF1"/>
    <w:rsid w:val="001563F1"/>
    <w:rsid w:val="00156FB8"/>
    <w:rsid w:val="00160576"/>
    <w:rsid w:val="00160ED6"/>
    <w:rsid w:val="0016304B"/>
    <w:rsid w:val="0016313B"/>
    <w:rsid w:val="00163463"/>
    <w:rsid w:val="00163BD8"/>
    <w:rsid w:val="00163C1C"/>
    <w:rsid w:val="00163F50"/>
    <w:rsid w:val="001640E0"/>
    <w:rsid w:val="00164656"/>
    <w:rsid w:val="00164658"/>
    <w:rsid w:val="001648CB"/>
    <w:rsid w:val="00164DEF"/>
    <w:rsid w:val="00165781"/>
    <w:rsid w:val="001657CB"/>
    <w:rsid w:val="0016608C"/>
    <w:rsid w:val="00166447"/>
    <w:rsid w:val="00166570"/>
    <w:rsid w:val="00166CD6"/>
    <w:rsid w:val="001678E3"/>
    <w:rsid w:val="0017006F"/>
    <w:rsid w:val="00170372"/>
    <w:rsid w:val="0017060B"/>
    <w:rsid w:val="0017079C"/>
    <w:rsid w:val="00170C5D"/>
    <w:rsid w:val="0017116A"/>
    <w:rsid w:val="001716E0"/>
    <w:rsid w:val="0017212D"/>
    <w:rsid w:val="0017234B"/>
    <w:rsid w:val="00172555"/>
    <w:rsid w:val="00172C87"/>
    <w:rsid w:val="001730AF"/>
    <w:rsid w:val="00173ECB"/>
    <w:rsid w:val="00174218"/>
    <w:rsid w:val="00174C84"/>
    <w:rsid w:val="00174C88"/>
    <w:rsid w:val="00174D89"/>
    <w:rsid w:val="00175176"/>
    <w:rsid w:val="0017580B"/>
    <w:rsid w:val="00175FC1"/>
    <w:rsid w:val="00176483"/>
    <w:rsid w:val="001765DB"/>
    <w:rsid w:val="00176755"/>
    <w:rsid w:val="00176973"/>
    <w:rsid w:val="00176D9B"/>
    <w:rsid w:val="00176E46"/>
    <w:rsid w:val="0017738E"/>
    <w:rsid w:val="001776A1"/>
    <w:rsid w:val="001777DA"/>
    <w:rsid w:val="00177B5F"/>
    <w:rsid w:val="00180232"/>
    <w:rsid w:val="00180BB3"/>
    <w:rsid w:val="00181322"/>
    <w:rsid w:val="00181831"/>
    <w:rsid w:val="001819D2"/>
    <w:rsid w:val="00181D92"/>
    <w:rsid w:val="001820AD"/>
    <w:rsid w:val="001821B5"/>
    <w:rsid w:val="00183254"/>
    <w:rsid w:val="0018347B"/>
    <w:rsid w:val="001834E1"/>
    <w:rsid w:val="00183D84"/>
    <w:rsid w:val="0018476D"/>
    <w:rsid w:val="001848B2"/>
    <w:rsid w:val="00185507"/>
    <w:rsid w:val="00186700"/>
    <w:rsid w:val="00186F37"/>
    <w:rsid w:val="00186FA0"/>
    <w:rsid w:val="001877AD"/>
    <w:rsid w:val="0018789D"/>
    <w:rsid w:val="0018791F"/>
    <w:rsid w:val="00187E37"/>
    <w:rsid w:val="001905FB"/>
    <w:rsid w:val="0019068F"/>
    <w:rsid w:val="001908D3"/>
    <w:rsid w:val="001912D0"/>
    <w:rsid w:val="00191523"/>
    <w:rsid w:val="0019203D"/>
    <w:rsid w:val="0019237B"/>
    <w:rsid w:val="00192DD3"/>
    <w:rsid w:val="00192E2E"/>
    <w:rsid w:val="00193266"/>
    <w:rsid w:val="00193284"/>
    <w:rsid w:val="001932A8"/>
    <w:rsid w:val="001936A1"/>
    <w:rsid w:val="00193A87"/>
    <w:rsid w:val="00193B5B"/>
    <w:rsid w:val="001949D1"/>
    <w:rsid w:val="00194B23"/>
    <w:rsid w:val="00194F1C"/>
    <w:rsid w:val="00195414"/>
    <w:rsid w:val="00195910"/>
    <w:rsid w:val="00195912"/>
    <w:rsid w:val="001964A0"/>
    <w:rsid w:val="0019665F"/>
    <w:rsid w:val="00196AA1"/>
    <w:rsid w:val="00196EF8"/>
    <w:rsid w:val="00197845"/>
    <w:rsid w:val="001A0397"/>
    <w:rsid w:val="001A03F5"/>
    <w:rsid w:val="001A079F"/>
    <w:rsid w:val="001A12E3"/>
    <w:rsid w:val="001A1D4B"/>
    <w:rsid w:val="001A1FEB"/>
    <w:rsid w:val="001A254E"/>
    <w:rsid w:val="001A27F7"/>
    <w:rsid w:val="001A2811"/>
    <w:rsid w:val="001A29EF"/>
    <w:rsid w:val="001A2BA5"/>
    <w:rsid w:val="001A2E0F"/>
    <w:rsid w:val="001A2E2C"/>
    <w:rsid w:val="001A31B1"/>
    <w:rsid w:val="001A33B7"/>
    <w:rsid w:val="001A36F2"/>
    <w:rsid w:val="001A3E5A"/>
    <w:rsid w:val="001A4046"/>
    <w:rsid w:val="001A4377"/>
    <w:rsid w:val="001A43C1"/>
    <w:rsid w:val="001A4639"/>
    <w:rsid w:val="001A472F"/>
    <w:rsid w:val="001A47E6"/>
    <w:rsid w:val="001A4DF3"/>
    <w:rsid w:val="001A4EEA"/>
    <w:rsid w:val="001A529D"/>
    <w:rsid w:val="001A54E2"/>
    <w:rsid w:val="001A5B6A"/>
    <w:rsid w:val="001A621C"/>
    <w:rsid w:val="001A6B3B"/>
    <w:rsid w:val="001A6F3C"/>
    <w:rsid w:val="001A72F0"/>
    <w:rsid w:val="001A77D0"/>
    <w:rsid w:val="001A79F2"/>
    <w:rsid w:val="001B08BB"/>
    <w:rsid w:val="001B0914"/>
    <w:rsid w:val="001B0A92"/>
    <w:rsid w:val="001B167E"/>
    <w:rsid w:val="001B19D3"/>
    <w:rsid w:val="001B2002"/>
    <w:rsid w:val="001B214A"/>
    <w:rsid w:val="001B22F1"/>
    <w:rsid w:val="001B2415"/>
    <w:rsid w:val="001B374D"/>
    <w:rsid w:val="001B4073"/>
    <w:rsid w:val="001B4CA4"/>
    <w:rsid w:val="001B4F22"/>
    <w:rsid w:val="001B5B4A"/>
    <w:rsid w:val="001B6795"/>
    <w:rsid w:val="001C0590"/>
    <w:rsid w:val="001C08C5"/>
    <w:rsid w:val="001C0F52"/>
    <w:rsid w:val="001C157C"/>
    <w:rsid w:val="001C170F"/>
    <w:rsid w:val="001C1D2F"/>
    <w:rsid w:val="001C257C"/>
    <w:rsid w:val="001C26EA"/>
    <w:rsid w:val="001C2D09"/>
    <w:rsid w:val="001C310B"/>
    <w:rsid w:val="001C391C"/>
    <w:rsid w:val="001C3A7D"/>
    <w:rsid w:val="001C3B00"/>
    <w:rsid w:val="001C3B21"/>
    <w:rsid w:val="001C4251"/>
    <w:rsid w:val="001C4393"/>
    <w:rsid w:val="001C45A5"/>
    <w:rsid w:val="001C5F4A"/>
    <w:rsid w:val="001C65D9"/>
    <w:rsid w:val="001C6772"/>
    <w:rsid w:val="001C6E9E"/>
    <w:rsid w:val="001C6F91"/>
    <w:rsid w:val="001C7086"/>
    <w:rsid w:val="001C762D"/>
    <w:rsid w:val="001D07DE"/>
    <w:rsid w:val="001D10E3"/>
    <w:rsid w:val="001D1200"/>
    <w:rsid w:val="001D1485"/>
    <w:rsid w:val="001D1552"/>
    <w:rsid w:val="001D1EAC"/>
    <w:rsid w:val="001D2FC8"/>
    <w:rsid w:val="001D300E"/>
    <w:rsid w:val="001D33B9"/>
    <w:rsid w:val="001D46DB"/>
    <w:rsid w:val="001D5B09"/>
    <w:rsid w:val="001D5C5D"/>
    <w:rsid w:val="001D5E2A"/>
    <w:rsid w:val="001D685A"/>
    <w:rsid w:val="001D6A6B"/>
    <w:rsid w:val="001D71FA"/>
    <w:rsid w:val="001D755B"/>
    <w:rsid w:val="001D7750"/>
    <w:rsid w:val="001E01D4"/>
    <w:rsid w:val="001E0EA3"/>
    <w:rsid w:val="001E1757"/>
    <w:rsid w:val="001E1933"/>
    <w:rsid w:val="001E267B"/>
    <w:rsid w:val="001E2DE7"/>
    <w:rsid w:val="001E2E88"/>
    <w:rsid w:val="001E343F"/>
    <w:rsid w:val="001E4BA7"/>
    <w:rsid w:val="001E52B3"/>
    <w:rsid w:val="001E5585"/>
    <w:rsid w:val="001E58F9"/>
    <w:rsid w:val="001E61D4"/>
    <w:rsid w:val="001E7BB6"/>
    <w:rsid w:val="001E7F4F"/>
    <w:rsid w:val="001E7FE7"/>
    <w:rsid w:val="001F047B"/>
    <w:rsid w:val="001F0A09"/>
    <w:rsid w:val="001F0EC0"/>
    <w:rsid w:val="001F1233"/>
    <w:rsid w:val="001F17D9"/>
    <w:rsid w:val="001F183D"/>
    <w:rsid w:val="001F1861"/>
    <w:rsid w:val="001F18E9"/>
    <w:rsid w:val="001F1924"/>
    <w:rsid w:val="001F1A50"/>
    <w:rsid w:val="001F27CC"/>
    <w:rsid w:val="001F2D39"/>
    <w:rsid w:val="001F2F64"/>
    <w:rsid w:val="001F30AF"/>
    <w:rsid w:val="001F372A"/>
    <w:rsid w:val="001F3C97"/>
    <w:rsid w:val="001F4035"/>
    <w:rsid w:val="001F4A9E"/>
    <w:rsid w:val="001F50A8"/>
    <w:rsid w:val="001F5676"/>
    <w:rsid w:val="001F59B4"/>
    <w:rsid w:val="001F6372"/>
    <w:rsid w:val="001F6A54"/>
    <w:rsid w:val="001F72E8"/>
    <w:rsid w:val="001F7760"/>
    <w:rsid w:val="00200264"/>
    <w:rsid w:val="00200411"/>
    <w:rsid w:val="002008F3"/>
    <w:rsid w:val="00200ED9"/>
    <w:rsid w:val="0020118B"/>
    <w:rsid w:val="0020148A"/>
    <w:rsid w:val="002017E0"/>
    <w:rsid w:val="002023D2"/>
    <w:rsid w:val="00202473"/>
    <w:rsid w:val="002030C5"/>
    <w:rsid w:val="0020332F"/>
    <w:rsid w:val="00203597"/>
    <w:rsid w:val="00203794"/>
    <w:rsid w:val="00204074"/>
    <w:rsid w:val="00204878"/>
    <w:rsid w:val="0020527E"/>
    <w:rsid w:val="00205467"/>
    <w:rsid w:val="002054FE"/>
    <w:rsid w:val="00205902"/>
    <w:rsid w:val="0020661B"/>
    <w:rsid w:val="0020695D"/>
    <w:rsid w:val="00207043"/>
    <w:rsid w:val="002072E7"/>
    <w:rsid w:val="00207DBE"/>
    <w:rsid w:val="00210414"/>
    <w:rsid w:val="0021058A"/>
    <w:rsid w:val="00210953"/>
    <w:rsid w:val="00210D86"/>
    <w:rsid w:val="00210F9D"/>
    <w:rsid w:val="0021176E"/>
    <w:rsid w:val="00211818"/>
    <w:rsid w:val="00211B75"/>
    <w:rsid w:val="00211CD6"/>
    <w:rsid w:val="002120F2"/>
    <w:rsid w:val="002123A7"/>
    <w:rsid w:val="00213200"/>
    <w:rsid w:val="00213792"/>
    <w:rsid w:val="00213835"/>
    <w:rsid w:val="00213E3F"/>
    <w:rsid w:val="002147A8"/>
    <w:rsid w:val="00214BE7"/>
    <w:rsid w:val="0021517B"/>
    <w:rsid w:val="002153D1"/>
    <w:rsid w:val="002157E0"/>
    <w:rsid w:val="00215D12"/>
    <w:rsid w:val="00215D70"/>
    <w:rsid w:val="002168E1"/>
    <w:rsid w:val="00216C76"/>
    <w:rsid w:val="00216D3E"/>
    <w:rsid w:val="00217414"/>
    <w:rsid w:val="00217B91"/>
    <w:rsid w:val="0022077C"/>
    <w:rsid w:val="0022099B"/>
    <w:rsid w:val="00220BBE"/>
    <w:rsid w:val="00220FCC"/>
    <w:rsid w:val="00221709"/>
    <w:rsid w:val="00221837"/>
    <w:rsid w:val="002219B6"/>
    <w:rsid w:val="00222CE3"/>
    <w:rsid w:val="00222E77"/>
    <w:rsid w:val="002234DB"/>
    <w:rsid w:val="00223919"/>
    <w:rsid w:val="00223F1F"/>
    <w:rsid w:val="002240E7"/>
    <w:rsid w:val="0022448F"/>
    <w:rsid w:val="00224607"/>
    <w:rsid w:val="0022470F"/>
    <w:rsid w:val="00224C09"/>
    <w:rsid w:val="00224CDA"/>
    <w:rsid w:val="002254C7"/>
    <w:rsid w:val="00225C04"/>
    <w:rsid w:val="002266E0"/>
    <w:rsid w:val="00226E1C"/>
    <w:rsid w:val="00226F63"/>
    <w:rsid w:val="002270A6"/>
    <w:rsid w:val="002270D1"/>
    <w:rsid w:val="00227585"/>
    <w:rsid w:val="00227965"/>
    <w:rsid w:val="00231C3F"/>
    <w:rsid w:val="00231E79"/>
    <w:rsid w:val="00232D6C"/>
    <w:rsid w:val="00232EAF"/>
    <w:rsid w:val="00232F87"/>
    <w:rsid w:val="00233062"/>
    <w:rsid w:val="002330A1"/>
    <w:rsid w:val="0023315D"/>
    <w:rsid w:val="00234326"/>
    <w:rsid w:val="00234485"/>
    <w:rsid w:val="00234776"/>
    <w:rsid w:val="0023478F"/>
    <w:rsid w:val="00234F0C"/>
    <w:rsid w:val="00234FB6"/>
    <w:rsid w:val="002352FD"/>
    <w:rsid w:val="0023552A"/>
    <w:rsid w:val="00235705"/>
    <w:rsid w:val="00235CCF"/>
    <w:rsid w:val="00236B4B"/>
    <w:rsid w:val="00236C60"/>
    <w:rsid w:val="00236D04"/>
    <w:rsid w:val="00237366"/>
    <w:rsid w:val="002373DC"/>
    <w:rsid w:val="00237792"/>
    <w:rsid w:val="00237C09"/>
    <w:rsid w:val="0024009A"/>
    <w:rsid w:val="002401ED"/>
    <w:rsid w:val="00240DBE"/>
    <w:rsid w:val="002416A7"/>
    <w:rsid w:val="00241780"/>
    <w:rsid w:val="0024197F"/>
    <w:rsid w:val="00242DFC"/>
    <w:rsid w:val="00243036"/>
    <w:rsid w:val="0024336A"/>
    <w:rsid w:val="00243BB6"/>
    <w:rsid w:val="00243C38"/>
    <w:rsid w:val="00243C91"/>
    <w:rsid w:val="00244161"/>
    <w:rsid w:val="0024418B"/>
    <w:rsid w:val="002442A0"/>
    <w:rsid w:val="002443B2"/>
    <w:rsid w:val="0024451D"/>
    <w:rsid w:val="0024499A"/>
    <w:rsid w:val="00244D33"/>
    <w:rsid w:val="00244D34"/>
    <w:rsid w:val="00245C26"/>
    <w:rsid w:val="002477E1"/>
    <w:rsid w:val="00247D32"/>
    <w:rsid w:val="002502D5"/>
    <w:rsid w:val="0025058B"/>
    <w:rsid w:val="00251B33"/>
    <w:rsid w:val="00251C9C"/>
    <w:rsid w:val="002521AB"/>
    <w:rsid w:val="0025225A"/>
    <w:rsid w:val="00252606"/>
    <w:rsid w:val="00252992"/>
    <w:rsid w:val="00252996"/>
    <w:rsid w:val="00252D35"/>
    <w:rsid w:val="0025306B"/>
    <w:rsid w:val="002538C6"/>
    <w:rsid w:val="00254429"/>
    <w:rsid w:val="00254B19"/>
    <w:rsid w:val="00254CA4"/>
    <w:rsid w:val="00254CE7"/>
    <w:rsid w:val="00254FD4"/>
    <w:rsid w:val="00255537"/>
    <w:rsid w:val="0025571D"/>
    <w:rsid w:val="00256010"/>
    <w:rsid w:val="00256266"/>
    <w:rsid w:val="00260846"/>
    <w:rsid w:val="00261351"/>
    <w:rsid w:val="0026304C"/>
    <w:rsid w:val="00263436"/>
    <w:rsid w:val="00263438"/>
    <w:rsid w:val="00263962"/>
    <w:rsid w:val="002639A8"/>
    <w:rsid w:val="00263EF0"/>
    <w:rsid w:val="00263F4C"/>
    <w:rsid w:val="00263FF1"/>
    <w:rsid w:val="0026402F"/>
    <w:rsid w:val="002640CE"/>
    <w:rsid w:val="00264D2A"/>
    <w:rsid w:val="002655AF"/>
    <w:rsid w:val="00265ADA"/>
    <w:rsid w:val="00265DDE"/>
    <w:rsid w:val="00265FF4"/>
    <w:rsid w:val="002661A8"/>
    <w:rsid w:val="00267B45"/>
    <w:rsid w:val="00267C4A"/>
    <w:rsid w:val="0027046D"/>
    <w:rsid w:val="002706E7"/>
    <w:rsid w:val="00270AB5"/>
    <w:rsid w:val="00271728"/>
    <w:rsid w:val="002717B2"/>
    <w:rsid w:val="0027227E"/>
    <w:rsid w:val="00272791"/>
    <w:rsid w:val="00272C45"/>
    <w:rsid w:val="00272E4D"/>
    <w:rsid w:val="0027330D"/>
    <w:rsid w:val="002733C2"/>
    <w:rsid w:val="00273474"/>
    <w:rsid w:val="002735A5"/>
    <w:rsid w:val="002735B4"/>
    <w:rsid w:val="00273FA7"/>
    <w:rsid w:val="00274047"/>
    <w:rsid w:val="00274EBE"/>
    <w:rsid w:val="00275409"/>
    <w:rsid w:val="00275CA7"/>
    <w:rsid w:val="00276FCE"/>
    <w:rsid w:val="0027718B"/>
    <w:rsid w:val="0027756E"/>
    <w:rsid w:val="002779C3"/>
    <w:rsid w:val="002808C9"/>
    <w:rsid w:val="002809B1"/>
    <w:rsid w:val="00280C1F"/>
    <w:rsid w:val="00280E15"/>
    <w:rsid w:val="0028105E"/>
    <w:rsid w:val="002816D0"/>
    <w:rsid w:val="002828EF"/>
    <w:rsid w:val="00282BEA"/>
    <w:rsid w:val="002840D2"/>
    <w:rsid w:val="00284413"/>
    <w:rsid w:val="002845EE"/>
    <w:rsid w:val="002846CF"/>
    <w:rsid w:val="00284905"/>
    <w:rsid w:val="00284D4F"/>
    <w:rsid w:val="00284D78"/>
    <w:rsid w:val="002853FA"/>
    <w:rsid w:val="00285628"/>
    <w:rsid w:val="00285846"/>
    <w:rsid w:val="00285F01"/>
    <w:rsid w:val="00285FD8"/>
    <w:rsid w:val="002860CA"/>
    <w:rsid w:val="00286137"/>
    <w:rsid w:val="00286187"/>
    <w:rsid w:val="0028620D"/>
    <w:rsid w:val="002862A6"/>
    <w:rsid w:val="0028634A"/>
    <w:rsid w:val="00286FEE"/>
    <w:rsid w:val="0028713A"/>
    <w:rsid w:val="0028734F"/>
    <w:rsid w:val="00287AC0"/>
    <w:rsid w:val="0029004F"/>
    <w:rsid w:val="00290656"/>
    <w:rsid w:val="0029085B"/>
    <w:rsid w:val="002910F3"/>
    <w:rsid w:val="00291355"/>
    <w:rsid w:val="0029260F"/>
    <w:rsid w:val="002933DF"/>
    <w:rsid w:val="00293972"/>
    <w:rsid w:val="00293989"/>
    <w:rsid w:val="00293D87"/>
    <w:rsid w:val="002940A7"/>
    <w:rsid w:val="002947FD"/>
    <w:rsid w:val="002949A3"/>
    <w:rsid w:val="00295136"/>
    <w:rsid w:val="00295600"/>
    <w:rsid w:val="00295AB0"/>
    <w:rsid w:val="002961EF"/>
    <w:rsid w:val="0029623C"/>
    <w:rsid w:val="00296F16"/>
    <w:rsid w:val="0029729F"/>
    <w:rsid w:val="00297309"/>
    <w:rsid w:val="00297870"/>
    <w:rsid w:val="00297DC1"/>
    <w:rsid w:val="002A0030"/>
    <w:rsid w:val="002A03F8"/>
    <w:rsid w:val="002A0639"/>
    <w:rsid w:val="002A0D0C"/>
    <w:rsid w:val="002A0F65"/>
    <w:rsid w:val="002A109C"/>
    <w:rsid w:val="002A1678"/>
    <w:rsid w:val="002A29EE"/>
    <w:rsid w:val="002A2E5A"/>
    <w:rsid w:val="002A3C96"/>
    <w:rsid w:val="002A440C"/>
    <w:rsid w:val="002A44D6"/>
    <w:rsid w:val="002A48DC"/>
    <w:rsid w:val="002A51B4"/>
    <w:rsid w:val="002A5299"/>
    <w:rsid w:val="002A5735"/>
    <w:rsid w:val="002A5840"/>
    <w:rsid w:val="002A659B"/>
    <w:rsid w:val="002A6A55"/>
    <w:rsid w:val="002A6AAB"/>
    <w:rsid w:val="002A778B"/>
    <w:rsid w:val="002B14A0"/>
    <w:rsid w:val="002B1AA6"/>
    <w:rsid w:val="002B1CD4"/>
    <w:rsid w:val="002B26FC"/>
    <w:rsid w:val="002B288F"/>
    <w:rsid w:val="002B2ED9"/>
    <w:rsid w:val="002B3D74"/>
    <w:rsid w:val="002B4C42"/>
    <w:rsid w:val="002B5341"/>
    <w:rsid w:val="002B535B"/>
    <w:rsid w:val="002B550D"/>
    <w:rsid w:val="002B56B9"/>
    <w:rsid w:val="002B580D"/>
    <w:rsid w:val="002B6955"/>
    <w:rsid w:val="002B6DBC"/>
    <w:rsid w:val="002B7569"/>
    <w:rsid w:val="002B75C6"/>
    <w:rsid w:val="002B77B5"/>
    <w:rsid w:val="002B7BBC"/>
    <w:rsid w:val="002C02DE"/>
    <w:rsid w:val="002C04A2"/>
    <w:rsid w:val="002C0574"/>
    <w:rsid w:val="002C0A4A"/>
    <w:rsid w:val="002C0CDE"/>
    <w:rsid w:val="002C1ADA"/>
    <w:rsid w:val="002C24D1"/>
    <w:rsid w:val="002C28F9"/>
    <w:rsid w:val="002C2A5A"/>
    <w:rsid w:val="002C359A"/>
    <w:rsid w:val="002C35D6"/>
    <w:rsid w:val="002C3635"/>
    <w:rsid w:val="002C3EF6"/>
    <w:rsid w:val="002C4343"/>
    <w:rsid w:val="002C4689"/>
    <w:rsid w:val="002C4A10"/>
    <w:rsid w:val="002C4AF7"/>
    <w:rsid w:val="002C4D8B"/>
    <w:rsid w:val="002C5225"/>
    <w:rsid w:val="002C52F3"/>
    <w:rsid w:val="002C5533"/>
    <w:rsid w:val="002C55DC"/>
    <w:rsid w:val="002C58DE"/>
    <w:rsid w:val="002C60C3"/>
    <w:rsid w:val="002C614F"/>
    <w:rsid w:val="002C6261"/>
    <w:rsid w:val="002C64F8"/>
    <w:rsid w:val="002C73CD"/>
    <w:rsid w:val="002C7786"/>
    <w:rsid w:val="002C7FD7"/>
    <w:rsid w:val="002C7FE0"/>
    <w:rsid w:val="002D01CE"/>
    <w:rsid w:val="002D0F05"/>
    <w:rsid w:val="002D0F43"/>
    <w:rsid w:val="002D1273"/>
    <w:rsid w:val="002D137F"/>
    <w:rsid w:val="002D156A"/>
    <w:rsid w:val="002D1F82"/>
    <w:rsid w:val="002D1FD9"/>
    <w:rsid w:val="002D27DF"/>
    <w:rsid w:val="002D2D1F"/>
    <w:rsid w:val="002D2E2E"/>
    <w:rsid w:val="002D3B2B"/>
    <w:rsid w:val="002D4389"/>
    <w:rsid w:val="002D466B"/>
    <w:rsid w:val="002D4E81"/>
    <w:rsid w:val="002D571D"/>
    <w:rsid w:val="002D5D7E"/>
    <w:rsid w:val="002D66B4"/>
    <w:rsid w:val="002D695B"/>
    <w:rsid w:val="002D72E8"/>
    <w:rsid w:val="002D76F4"/>
    <w:rsid w:val="002E1212"/>
    <w:rsid w:val="002E1A7F"/>
    <w:rsid w:val="002E1BCC"/>
    <w:rsid w:val="002E20FD"/>
    <w:rsid w:val="002E254B"/>
    <w:rsid w:val="002E25E6"/>
    <w:rsid w:val="002E266E"/>
    <w:rsid w:val="002E2875"/>
    <w:rsid w:val="002E28E1"/>
    <w:rsid w:val="002E2E3D"/>
    <w:rsid w:val="002E2F73"/>
    <w:rsid w:val="002E3815"/>
    <w:rsid w:val="002E3DC0"/>
    <w:rsid w:val="002E3F3E"/>
    <w:rsid w:val="002E4306"/>
    <w:rsid w:val="002E4412"/>
    <w:rsid w:val="002E4E6E"/>
    <w:rsid w:val="002E5205"/>
    <w:rsid w:val="002E65FE"/>
    <w:rsid w:val="002E7E34"/>
    <w:rsid w:val="002F10D0"/>
    <w:rsid w:val="002F1C41"/>
    <w:rsid w:val="002F2B4F"/>
    <w:rsid w:val="002F2E07"/>
    <w:rsid w:val="002F3B94"/>
    <w:rsid w:val="002F3F12"/>
    <w:rsid w:val="002F4338"/>
    <w:rsid w:val="002F448A"/>
    <w:rsid w:val="002F4C68"/>
    <w:rsid w:val="002F502F"/>
    <w:rsid w:val="002F519F"/>
    <w:rsid w:val="002F5691"/>
    <w:rsid w:val="002F6242"/>
    <w:rsid w:val="002F6768"/>
    <w:rsid w:val="002F693F"/>
    <w:rsid w:val="002F6B7B"/>
    <w:rsid w:val="002F7A7C"/>
    <w:rsid w:val="002F7BF4"/>
    <w:rsid w:val="00300BEB"/>
    <w:rsid w:val="0030134E"/>
    <w:rsid w:val="00301BC0"/>
    <w:rsid w:val="003022E0"/>
    <w:rsid w:val="003033EA"/>
    <w:rsid w:val="003034DD"/>
    <w:rsid w:val="003039B6"/>
    <w:rsid w:val="00303EDA"/>
    <w:rsid w:val="0030441F"/>
    <w:rsid w:val="00304DFA"/>
    <w:rsid w:val="00304E2F"/>
    <w:rsid w:val="003050C8"/>
    <w:rsid w:val="0030517A"/>
    <w:rsid w:val="00305EA0"/>
    <w:rsid w:val="00305FB6"/>
    <w:rsid w:val="003061A7"/>
    <w:rsid w:val="0030630E"/>
    <w:rsid w:val="003063CD"/>
    <w:rsid w:val="003064AE"/>
    <w:rsid w:val="0030672F"/>
    <w:rsid w:val="00306D9A"/>
    <w:rsid w:val="003070A9"/>
    <w:rsid w:val="00307898"/>
    <w:rsid w:val="00307AC7"/>
    <w:rsid w:val="003100A1"/>
    <w:rsid w:val="003109B5"/>
    <w:rsid w:val="003109E0"/>
    <w:rsid w:val="00310D9D"/>
    <w:rsid w:val="00311111"/>
    <w:rsid w:val="0031189B"/>
    <w:rsid w:val="00311B45"/>
    <w:rsid w:val="003124D2"/>
    <w:rsid w:val="00313861"/>
    <w:rsid w:val="00313949"/>
    <w:rsid w:val="00313B32"/>
    <w:rsid w:val="003141A8"/>
    <w:rsid w:val="003144DB"/>
    <w:rsid w:val="00314926"/>
    <w:rsid w:val="00314AF8"/>
    <w:rsid w:val="00315998"/>
    <w:rsid w:val="003159C5"/>
    <w:rsid w:val="00315C5C"/>
    <w:rsid w:val="00315CAF"/>
    <w:rsid w:val="00315CF0"/>
    <w:rsid w:val="00316102"/>
    <w:rsid w:val="00316181"/>
    <w:rsid w:val="00316620"/>
    <w:rsid w:val="0031677E"/>
    <w:rsid w:val="00316D05"/>
    <w:rsid w:val="00316D74"/>
    <w:rsid w:val="003201D9"/>
    <w:rsid w:val="0032037D"/>
    <w:rsid w:val="0032093E"/>
    <w:rsid w:val="00320A27"/>
    <w:rsid w:val="00320B1F"/>
    <w:rsid w:val="00321922"/>
    <w:rsid w:val="00321EC3"/>
    <w:rsid w:val="0032298A"/>
    <w:rsid w:val="00323324"/>
    <w:rsid w:val="00323B45"/>
    <w:rsid w:val="00324257"/>
    <w:rsid w:val="00325024"/>
    <w:rsid w:val="003250EB"/>
    <w:rsid w:val="0032537B"/>
    <w:rsid w:val="00325E67"/>
    <w:rsid w:val="00326049"/>
    <w:rsid w:val="0032612E"/>
    <w:rsid w:val="003262A4"/>
    <w:rsid w:val="00326778"/>
    <w:rsid w:val="00326D41"/>
    <w:rsid w:val="00327CA6"/>
    <w:rsid w:val="00327EDC"/>
    <w:rsid w:val="00330F84"/>
    <w:rsid w:val="003311DB"/>
    <w:rsid w:val="00331424"/>
    <w:rsid w:val="00331750"/>
    <w:rsid w:val="003318AA"/>
    <w:rsid w:val="00331A72"/>
    <w:rsid w:val="00331E17"/>
    <w:rsid w:val="00332441"/>
    <w:rsid w:val="00332678"/>
    <w:rsid w:val="00332777"/>
    <w:rsid w:val="0033292A"/>
    <w:rsid w:val="00333802"/>
    <w:rsid w:val="00333D0A"/>
    <w:rsid w:val="00333D0D"/>
    <w:rsid w:val="00333DFB"/>
    <w:rsid w:val="00333EE7"/>
    <w:rsid w:val="003340F3"/>
    <w:rsid w:val="003342BE"/>
    <w:rsid w:val="00334348"/>
    <w:rsid w:val="00334658"/>
    <w:rsid w:val="0033555B"/>
    <w:rsid w:val="00335B7F"/>
    <w:rsid w:val="00335F41"/>
    <w:rsid w:val="003363EF"/>
    <w:rsid w:val="00336CE3"/>
    <w:rsid w:val="00336F5B"/>
    <w:rsid w:val="00337420"/>
    <w:rsid w:val="0033763B"/>
    <w:rsid w:val="00337BF8"/>
    <w:rsid w:val="00337F10"/>
    <w:rsid w:val="003405BB"/>
    <w:rsid w:val="003408FA"/>
    <w:rsid w:val="00340E04"/>
    <w:rsid w:val="00341AA6"/>
    <w:rsid w:val="00341F5E"/>
    <w:rsid w:val="003421B2"/>
    <w:rsid w:val="0034229B"/>
    <w:rsid w:val="00342432"/>
    <w:rsid w:val="0034330D"/>
    <w:rsid w:val="0034344E"/>
    <w:rsid w:val="00343FE6"/>
    <w:rsid w:val="003442AF"/>
    <w:rsid w:val="00344796"/>
    <w:rsid w:val="00344936"/>
    <w:rsid w:val="003462D0"/>
    <w:rsid w:val="00346616"/>
    <w:rsid w:val="00346798"/>
    <w:rsid w:val="00346AF0"/>
    <w:rsid w:val="003471F9"/>
    <w:rsid w:val="00347A3C"/>
    <w:rsid w:val="00347B68"/>
    <w:rsid w:val="00347D83"/>
    <w:rsid w:val="00350D46"/>
    <w:rsid w:val="00350D72"/>
    <w:rsid w:val="003514FD"/>
    <w:rsid w:val="00351BBE"/>
    <w:rsid w:val="00351CA4"/>
    <w:rsid w:val="00351F4C"/>
    <w:rsid w:val="003522CD"/>
    <w:rsid w:val="0035275F"/>
    <w:rsid w:val="00353090"/>
    <w:rsid w:val="00353721"/>
    <w:rsid w:val="00353EAF"/>
    <w:rsid w:val="00353F43"/>
    <w:rsid w:val="00354036"/>
    <w:rsid w:val="00354F3E"/>
    <w:rsid w:val="00355831"/>
    <w:rsid w:val="0035590C"/>
    <w:rsid w:val="00356049"/>
    <w:rsid w:val="00356A43"/>
    <w:rsid w:val="003570C3"/>
    <w:rsid w:val="003570FB"/>
    <w:rsid w:val="0035759E"/>
    <w:rsid w:val="00357DEC"/>
    <w:rsid w:val="00357EC5"/>
    <w:rsid w:val="003616F3"/>
    <w:rsid w:val="00361F83"/>
    <w:rsid w:val="0036282D"/>
    <w:rsid w:val="00362A27"/>
    <w:rsid w:val="00362AF4"/>
    <w:rsid w:val="00363216"/>
    <w:rsid w:val="0036419D"/>
    <w:rsid w:val="003641A3"/>
    <w:rsid w:val="00364D05"/>
    <w:rsid w:val="00364E70"/>
    <w:rsid w:val="0036561B"/>
    <w:rsid w:val="00365AFB"/>
    <w:rsid w:val="00365EC2"/>
    <w:rsid w:val="0036622D"/>
    <w:rsid w:val="00366D51"/>
    <w:rsid w:val="00366D66"/>
    <w:rsid w:val="003677A3"/>
    <w:rsid w:val="00367A15"/>
    <w:rsid w:val="00367B14"/>
    <w:rsid w:val="00367DD0"/>
    <w:rsid w:val="0037000A"/>
    <w:rsid w:val="0037093B"/>
    <w:rsid w:val="00371508"/>
    <w:rsid w:val="00371C01"/>
    <w:rsid w:val="00372AF1"/>
    <w:rsid w:val="00373172"/>
    <w:rsid w:val="00373475"/>
    <w:rsid w:val="003734BD"/>
    <w:rsid w:val="0037366E"/>
    <w:rsid w:val="003736FF"/>
    <w:rsid w:val="00373FD6"/>
    <w:rsid w:val="00374783"/>
    <w:rsid w:val="003747ED"/>
    <w:rsid w:val="00374C10"/>
    <w:rsid w:val="00375155"/>
    <w:rsid w:val="00376584"/>
    <w:rsid w:val="003769FC"/>
    <w:rsid w:val="00376A26"/>
    <w:rsid w:val="00376D88"/>
    <w:rsid w:val="00376E34"/>
    <w:rsid w:val="00377DC8"/>
    <w:rsid w:val="003807B6"/>
    <w:rsid w:val="003807E9"/>
    <w:rsid w:val="0038116F"/>
    <w:rsid w:val="003814B8"/>
    <w:rsid w:val="00382645"/>
    <w:rsid w:val="00383319"/>
    <w:rsid w:val="003837BF"/>
    <w:rsid w:val="00383D55"/>
    <w:rsid w:val="00383D70"/>
    <w:rsid w:val="00383EE7"/>
    <w:rsid w:val="00384122"/>
    <w:rsid w:val="00384814"/>
    <w:rsid w:val="0038482B"/>
    <w:rsid w:val="00384B83"/>
    <w:rsid w:val="00385591"/>
    <w:rsid w:val="003857D4"/>
    <w:rsid w:val="0038606A"/>
    <w:rsid w:val="003865F7"/>
    <w:rsid w:val="00386A9B"/>
    <w:rsid w:val="00387654"/>
    <w:rsid w:val="00387C0B"/>
    <w:rsid w:val="003900C4"/>
    <w:rsid w:val="00390EAD"/>
    <w:rsid w:val="0039111B"/>
    <w:rsid w:val="00391358"/>
    <w:rsid w:val="0039150A"/>
    <w:rsid w:val="00391881"/>
    <w:rsid w:val="00392A06"/>
    <w:rsid w:val="00392A90"/>
    <w:rsid w:val="00392DD5"/>
    <w:rsid w:val="00393079"/>
    <w:rsid w:val="00393080"/>
    <w:rsid w:val="003932FF"/>
    <w:rsid w:val="0039376A"/>
    <w:rsid w:val="00393FDF"/>
    <w:rsid w:val="0039596A"/>
    <w:rsid w:val="00395C6E"/>
    <w:rsid w:val="00396597"/>
    <w:rsid w:val="003966C2"/>
    <w:rsid w:val="00396EA9"/>
    <w:rsid w:val="003976C0"/>
    <w:rsid w:val="003979C4"/>
    <w:rsid w:val="00397CA4"/>
    <w:rsid w:val="00397DDE"/>
    <w:rsid w:val="00397F75"/>
    <w:rsid w:val="003A0206"/>
    <w:rsid w:val="003A020F"/>
    <w:rsid w:val="003A0376"/>
    <w:rsid w:val="003A17BA"/>
    <w:rsid w:val="003A197C"/>
    <w:rsid w:val="003A1CFB"/>
    <w:rsid w:val="003A1D94"/>
    <w:rsid w:val="003A2047"/>
    <w:rsid w:val="003A2545"/>
    <w:rsid w:val="003A28C6"/>
    <w:rsid w:val="003A296D"/>
    <w:rsid w:val="003A2D23"/>
    <w:rsid w:val="003A2DF7"/>
    <w:rsid w:val="003A38FE"/>
    <w:rsid w:val="003A4A84"/>
    <w:rsid w:val="003A4E48"/>
    <w:rsid w:val="003A4E84"/>
    <w:rsid w:val="003A593B"/>
    <w:rsid w:val="003A6234"/>
    <w:rsid w:val="003A69AB"/>
    <w:rsid w:val="003A6A97"/>
    <w:rsid w:val="003A74E9"/>
    <w:rsid w:val="003A7963"/>
    <w:rsid w:val="003B104E"/>
    <w:rsid w:val="003B1286"/>
    <w:rsid w:val="003B15E7"/>
    <w:rsid w:val="003B17AC"/>
    <w:rsid w:val="003B1F26"/>
    <w:rsid w:val="003B245D"/>
    <w:rsid w:val="003B2631"/>
    <w:rsid w:val="003B29A8"/>
    <w:rsid w:val="003B2EA4"/>
    <w:rsid w:val="003B318E"/>
    <w:rsid w:val="003B330C"/>
    <w:rsid w:val="003B347B"/>
    <w:rsid w:val="003B3636"/>
    <w:rsid w:val="003B3A46"/>
    <w:rsid w:val="003B438E"/>
    <w:rsid w:val="003B458F"/>
    <w:rsid w:val="003B4A60"/>
    <w:rsid w:val="003B4BD2"/>
    <w:rsid w:val="003B4DA0"/>
    <w:rsid w:val="003B50B5"/>
    <w:rsid w:val="003B5A44"/>
    <w:rsid w:val="003B66AB"/>
    <w:rsid w:val="003B6770"/>
    <w:rsid w:val="003B67FE"/>
    <w:rsid w:val="003B6A4F"/>
    <w:rsid w:val="003B6AC6"/>
    <w:rsid w:val="003B6B01"/>
    <w:rsid w:val="003B6BB8"/>
    <w:rsid w:val="003B6DB8"/>
    <w:rsid w:val="003B7141"/>
    <w:rsid w:val="003B7AE8"/>
    <w:rsid w:val="003C11A9"/>
    <w:rsid w:val="003C14C1"/>
    <w:rsid w:val="003C1E8F"/>
    <w:rsid w:val="003C1F5F"/>
    <w:rsid w:val="003C265D"/>
    <w:rsid w:val="003C2929"/>
    <w:rsid w:val="003C299F"/>
    <w:rsid w:val="003C2BF4"/>
    <w:rsid w:val="003C2D7F"/>
    <w:rsid w:val="003C33D2"/>
    <w:rsid w:val="003C3F56"/>
    <w:rsid w:val="003C3F75"/>
    <w:rsid w:val="003C40F8"/>
    <w:rsid w:val="003C4AF0"/>
    <w:rsid w:val="003C5C1D"/>
    <w:rsid w:val="003C664A"/>
    <w:rsid w:val="003C6EFE"/>
    <w:rsid w:val="003C7B5B"/>
    <w:rsid w:val="003C7EF8"/>
    <w:rsid w:val="003D0B3C"/>
    <w:rsid w:val="003D0B55"/>
    <w:rsid w:val="003D104F"/>
    <w:rsid w:val="003D1603"/>
    <w:rsid w:val="003D1756"/>
    <w:rsid w:val="003D1E3D"/>
    <w:rsid w:val="003D2373"/>
    <w:rsid w:val="003D2F7F"/>
    <w:rsid w:val="003D37E2"/>
    <w:rsid w:val="003D3FCF"/>
    <w:rsid w:val="003D4432"/>
    <w:rsid w:val="003D46C2"/>
    <w:rsid w:val="003D4FBE"/>
    <w:rsid w:val="003D515C"/>
    <w:rsid w:val="003D51E1"/>
    <w:rsid w:val="003D5297"/>
    <w:rsid w:val="003D5C1E"/>
    <w:rsid w:val="003D6034"/>
    <w:rsid w:val="003D63A8"/>
    <w:rsid w:val="003D6488"/>
    <w:rsid w:val="003D669F"/>
    <w:rsid w:val="003D6C00"/>
    <w:rsid w:val="003D7210"/>
    <w:rsid w:val="003D76CA"/>
    <w:rsid w:val="003D7D91"/>
    <w:rsid w:val="003E03D0"/>
    <w:rsid w:val="003E0523"/>
    <w:rsid w:val="003E07F8"/>
    <w:rsid w:val="003E0999"/>
    <w:rsid w:val="003E12A5"/>
    <w:rsid w:val="003E18BD"/>
    <w:rsid w:val="003E1A8F"/>
    <w:rsid w:val="003E1AA3"/>
    <w:rsid w:val="003E1D2A"/>
    <w:rsid w:val="003E1F5B"/>
    <w:rsid w:val="003E276D"/>
    <w:rsid w:val="003E2C27"/>
    <w:rsid w:val="003E2DD2"/>
    <w:rsid w:val="003E3003"/>
    <w:rsid w:val="003E36AB"/>
    <w:rsid w:val="003E3A2B"/>
    <w:rsid w:val="003E3B49"/>
    <w:rsid w:val="003E3CD6"/>
    <w:rsid w:val="003E459D"/>
    <w:rsid w:val="003E4CC4"/>
    <w:rsid w:val="003E4D12"/>
    <w:rsid w:val="003E5144"/>
    <w:rsid w:val="003E58AA"/>
    <w:rsid w:val="003E58CC"/>
    <w:rsid w:val="003E6783"/>
    <w:rsid w:val="003E6BAB"/>
    <w:rsid w:val="003E6F3D"/>
    <w:rsid w:val="003E7A6A"/>
    <w:rsid w:val="003F0069"/>
    <w:rsid w:val="003F0151"/>
    <w:rsid w:val="003F02BC"/>
    <w:rsid w:val="003F0363"/>
    <w:rsid w:val="003F09D9"/>
    <w:rsid w:val="003F0F82"/>
    <w:rsid w:val="003F1A1C"/>
    <w:rsid w:val="003F1C2C"/>
    <w:rsid w:val="003F1F75"/>
    <w:rsid w:val="003F2595"/>
    <w:rsid w:val="003F32DB"/>
    <w:rsid w:val="003F38DE"/>
    <w:rsid w:val="003F4182"/>
    <w:rsid w:val="003F4320"/>
    <w:rsid w:val="003F5162"/>
    <w:rsid w:val="003F54EF"/>
    <w:rsid w:val="003F5A99"/>
    <w:rsid w:val="003F5EFC"/>
    <w:rsid w:val="003F61AF"/>
    <w:rsid w:val="003F6EF0"/>
    <w:rsid w:val="003F7143"/>
    <w:rsid w:val="003F7360"/>
    <w:rsid w:val="003F73FF"/>
    <w:rsid w:val="003F7CF9"/>
    <w:rsid w:val="004002C4"/>
    <w:rsid w:val="00400F7E"/>
    <w:rsid w:val="00400FDF"/>
    <w:rsid w:val="004013AB"/>
    <w:rsid w:val="00401454"/>
    <w:rsid w:val="00401BFF"/>
    <w:rsid w:val="00402436"/>
    <w:rsid w:val="004025B8"/>
    <w:rsid w:val="004026AB"/>
    <w:rsid w:val="00402AC8"/>
    <w:rsid w:val="004034C9"/>
    <w:rsid w:val="00403AA3"/>
    <w:rsid w:val="004042A8"/>
    <w:rsid w:val="0040437A"/>
    <w:rsid w:val="004044ED"/>
    <w:rsid w:val="00404F4A"/>
    <w:rsid w:val="00405130"/>
    <w:rsid w:val="00405525"/>
    <w:rsid w:val="00405DF9"/>
    <w:rsid w:val="00407532"/>
    <w:rsid w:val="00407572"/>
    <w:rsid w:val="004075A0"/>
    <w:rsid w:val="004076F6"/>
    <w:rsid w:val="00410398"/>
    <w:rsid w:val="0041043E"/>
    <w:rsid w:val="004109FD"/>
    <w:rsid w:val="00410DEB"/>
    <w:rsid w:val="00411316"/>
    <w:rsid w:val="00411968"/>
    <w:rsid w:val="00412237"/>
    <w:rsid w:val="004122A5"/>
    <w:rsid w:val="00412523"/>
    <w:rsid w:val="00412FB7"/>
    <w:rsid w:val="00412FE2"/>
    <w:rsid w:val="00413475"/>
    <w:rsid w:val="00413732"/>
    <w:rsid w:val="00413F7F"/>
    <w:rsid w:val="0041402A"/>
    <w:rsid w:val="0041417A"/>
    <w:rsid w:val="0041450B"/>
    <w:rsid w:val="004147E3"/>
    <w:rsid w:val="004149AE"/>
    <w:rsid w:val="00414BE8"/>
    <w:rsid w:val="00415187"/>
    <w:rsid w:val="00415672"/>
    <w:rsid w:val="0041601A"/>
    <w:rsid w:val="004164F1"/>
    <w:rsid w:val="00416E9F"/>
    <w:rsid w:val="0041772B"/>
    <w:rsid w:val="00417763"/>
    <w:rsid w:val="004178BE"/>
    <w:rsid w:val="004178DB"/>
    <w:rsid w:val="00417D11"/>
    <w:rsid w:val="00420A5E"/>
    <w:rsid w:val="00420F85"/>
    <w:rsid w:val="004210C2"/>
    <w:rsid w:val="00421130"/>
    <w:rsid w:val="0042123A"/>
    <w:rsid w:val="0042130A"/>
    <w:rsid w:val="0042181F"/>
    <w:rsid w:val="00421D27"/>
    <w:rsid w:val="00422254"/>
    <w:rsid w:val="0042246B"/>
    <w:rsid w:val="00423882"/>
    <w:rsid w:val="00423929"/>
    <w:rsid w:val="00423943"/>
    <w:rsid w:val="004239D9"/>
    <w:rsid w:val="00423E00"/>
    <w:rsid w:val="004246C6"/>
    <w:rsid w:val="00424895"/>
    <w:rsid w:val="00424A80"/>
    <w:rsid w:val="00424BE7"/>
    <w:rsid w:val="00424C69"/>
    <w:rsid w:val="00424C93"/>
    <w:rsid w:val="00424CB8"/>
    <w:rsid w:val="00424F5E"/>
    <w:rsid w:val="00425904"/>
    <w:rsid w:val="00425B04"/>
    <w:rsid w:val="00425FA2"/>
    <w:rsid w:val="004260DB"/>
    <w:rsid w:val="00426145"/>
    <w:rsid w:val="00426303"/>
    <w:rsid w:val="004268DF"/>
    <w:rsid w:val="0042718A"/>
    <w:rsid w:val="00427CA4"/>
    <w:rsid w:val="00427D2C"/>
    <w:rsid w:val="00430A05"/>
    <w:rsid w:val="004310BD"/>
    <w:rsid w:val="004316D1"/>
    <w:rsid w:val="00431AD9"/>
    <w:rsid w:val="00431B53"/>
    <w:rsid w:val="00432569"/>
    <w:rsid w:val="00432BF2"/>
    <w:rsid w:val="00433CA3"/>
    <w:rsid w:val="0043467B"/>
    <w:rsid w:val="00434B51"/>
    <w:rsid w:val="00435DF4"/>
    <w:rsid w:val="00436079"/>
    <w:rsid w:val="004368DB"/>
    <w:rsid w:val="0043748B"/>
    <w:rsid w:val="00437EF0"/>
    <w:rsid w:val="0044068E"/>
    <w:rsid w:val="00440728"/>
    <w:rsid w:val="00440A92"/>
    <w:rsid w:val="00441476"/>
    <w:rsid w:val="00441AAB"/>
    <w:rsid w:val="00441BE7"/>
    <w:rsid w:val="00442569"/>
    <w:rsid w:val="00442EB1"/>
    <w:rsid w:val="00443BDA"/>
    <w:rsid w:val="0044405A"/>
    <w:rsid w:val="004453AC"/>
    <w:rsid w:val="00445620"/>
    <w:rsid w:val="0044566C"/>
    <w:rsid w:val="00445B11"/>
    <w:rsid w:val="0044615D"/>
    <w:rsid w:val="0044629D"/>
    <w:rsid w:val="00446C3F"/>
    <w:rsid w:val="004471A9"/>
    <w:rsid w:val="004475D7"/>
    <w:rsid w:val="0044760F"/>
    <w:rsid w:val="00447C8F"/>
    <w:rsid w:val="004503F6"/>
    <w:rsid w:val="00450AA5"/>
    <w:rsid w:val="00450DF1"/>
    <w:rsid w:val="00450E29"/>
    <w:rsid w:val="0045150B"/>
    <w:rsid w:val="00451989"/>
    <w:rsid w:val="00451AD6"/>
    <w:rsid w:val="00451CD0"/>
    <w:rsid w:val="00451FF6"/>
    <w:rsid w:val="004524EC"/>
    <w:rsid w:val="0045267C"/>
    <w:rsid w:val="00452752"/>
    <w:rsid w:val="00453342"/>
    <w:rsid w:val="0045345B"/>
    <w:rsid w:val="00453DB8"/>
    <w:rsid w:val="004542B3"/>
    <w:rsid w:val="004544CE"/>
    <w:rsid w:val="00454D51"/>
    <w:rsid w:val="00454DF0"/>
    <w:rsid w:val="0045691E"/>
    <w:rsid w:val="00456A25"/>
    <w:rsid w:val="004578ED"/>
    <w:rsid w:val="00457A40"/>
    <w:rsid w:val="00461309"/>
    <w:rsid w:val="00461F09"/>
    <w:rsid w:val="00462E48"/>
    <w:rsid w:val="00463178"/>
    <w:rsid w:val="00463B7B"/>
    <w:rsid w:val="004647C2"/>
    <w:rsid w:val="00464894"/>
    <w:rsid w:val="0046500B"/>
    <w:rsid w:val="00465771"/>
    <w:rsid w:val="00465E0A"/>
    <w:rsid w:val="004665A2"/>
    <w:rsid w:val="00466687"/>
    <w:rsid w:val="004667A0"/>
    <w:rsid w:val="0046715E"/>
    <w:rsid w:val="0047003A"/>
    <w:rsid w:val="004702F5"/>
    <w:rsid w:val="00470B84"/>
    <w:rsid w:val="0047115D"/>
    <w:rsid w:val="00471371"/>
    <w:rsid w:val="00471537"/>
    <w:rsid w:val="00471763"/>
    <w:rsid w:val="004717F0"/>
    <w:rsid w:val="00471A0A"/>
    <w:rsid w:val="00471A13"/>
    <w:rsid w:val="00471C4C"/>
    <w:rsid w:val="0047256F"/>
    <w:rsid w:val="004728E3"/>
    <w:rsid w:val="0047323A"/>
    <w:rsid w:val="00473253"/>
    <w:rsid w:val="0047372C"/>
    <w:rsid w:val="00473B1D"/>
    <w:rsid w:val="00473B7A"/>
    <w:rsid w:val="00474065"/>
    <w:rsid w:val="00474313"/>
    <w:rsid w:val="004745B2"/>
    <w:rsid w:val="00474AC0"/>
    <w:rsid w:val="00474EE7"/>
    <w:rsid w:val="004759D4"/>
    <w:rsid w:val="00476A18"/>
    <w:rsid w:val="00476E17"/>
    <w:rsid w:val="0047714C"/>
    <w:rsid w:val="00477296"/>
    <w:rsid w:val="00477355"/>
    <w:rsid w:val="00477468"/>
    <w:rsid w:val="00480527"/>
    <w:rsid w:val="004807EE"/>
    <w:rsid w:val="004809B3"/>
    <w:rsid w:val="004817FC"/>
    <w:rsid w:val="00481958"/>
    <w:rsid w:val="0048263B"/>
    <w:rsid w:val="00482DA1"/>
    <w:rsid w:val="00483887"/>
    <w:rsid w:val="00483A2E"/>
    <w:rsid w:val="00483F87"/>
    <w:rsid w:val="00484227"/>
    <w:rsid w:val="00484425"/>
    <w:rsid w:val="00484BCA"/>
    <w:rsid w:val="00485107"/>
    <w:rsid w:val="0048517C"/>
    <w:rsid w:val="00485318"/>
    <w:rsid w:val="00485C4D"/>
    <w:rsid w:val="00486308"/>
    <w:rsid w:val="00486566"/>
    <w:rsid w:val="0048717F"/>
    <w:rsid w:val="004872F5"/>
    <w:rsid w:val="004873BC"/>
    <w:rsid w:val="004878AE"/>
    <w:rsid w:val="004879C0"/>
    <w:rsid w:val="00487E3B"/>
    <w:rsid w:val="004900AF"/>
    <w:rsid w:val="004900C3"/>
    <w:rsid w:val="00490B9F"/>
    <w:rsid w:val="00490BD9"/>
    <w:rsid w:val="00490C82"/>
    <w:rsid w:val="00490E83"/>
    <w:rsid w:val="00491025"/>
    <w:rsid w:val="0049109B"/>
    <w:rsid w:val="004916EA"/>
    <w:rsid w:val="00493E8E"/>
    <w:rsid w:val="00494BC0"/>
    <w:rsid w:val="0049567D"/>
    <w:rsid w:val="00495889"/>
    <w:rsid w:val="0049593A"/>
    <w:rsid w:val="004962DD"/>
    <w:rsid w:val="00496518"/>
    <w:rsid w:val="00496C8A"/>
    <w:rsid w:val="00496E3B"/>
    <w:rsid w:val="004976B2"/>
    <w:rsid w:val="00497C99"/>
    <w:rsid w:val="004A00D5"/>
    <w:rsid w:val="004A01B7"/>
    <w:rsid w:val="004A0251"/>
    <w:rsid w:val="004A114B"/>
    <w:rsid w:val="004A13B4"/>
    <w:rsid w:val="004A16CD"/>
    <w:rsid w:val="004A1FC8"/>
    <w:rsid w:val="004A33F9"/>
    <w:rsid w:val="004A3B2C"/>
    <w:rsid w:val="004A3C0B"/>
    <w:rsid w:val="004A3DA8"/>
    <w:rsid w:val="004A3E4F"/>
    <w:rsid w:val="004A3E9D"/>
    <w:rsid w:val="004A3F4C"/>
    <w:rsid w:val="004A4D75"/>
    <w:rsid w:val="004A5527"/>
    <w:rsid w:val="004A59DF"/>
    <w:rsid w:val="004A5A46"/>
    <w:rsid w:val="004A5E70"/>
    <w:rsid w:val="004A5F61"/>
    <w:rsid w:val="004A613A"/>
    <w:rsid w:val="004A6664"/>
    <w:rsid w:val="004A699C"/>
    <w:rsid w:val="004A6BDE"/>
    <w:rsid w:val="004A71FD"/>
    <w:rsid w:val="004A725B"/>
    <w:rsid w:val="004A7316"/>
    <w:rsid w:val="004A7515"/>
    <w:rsid w:val="004A755D"/>
    <w:rsid w:val="004A7E30"/>
    <w:rsid w:val="004B0107"/>
    <w:rsid w:val="004B06B1"/>
    <w:rsid w:val="004B0761"/>
    <w:rsid w:val="004B0C1F"/>
    <w:rsid w:val="004B0FD4"/>
    <w:rsid w:val="004B15B1"/>
    <w:rsid w:val="004B17E1"/>
    <w:rsid w:val="004B1868"/>
    <w:rsid w:val="004B1CF5"/>
    <w:rsid w:val="004B2072"/>
    <w:rsid w:val="004B2142"/>
    <w:rsid w:val="004B29FE"/>
    <w:rsid w:val="004B3411"/>
    <w:rsid w:val="004B34BD"/>
    <w:rsid w:val="004B3616"/>
    <w:rsid w:val="004B42AA"/>
    <w:rsid w:val="004B4A5A"/>
    <w:rsid w:val="004B4F2F"/>
    <w:rsid w:val="004B5295"/>
    <w:rsid w:val="004B5371"/>
    <w:rsid w:val="004B6428"/>
    <w:rsid w:val="004B6E01"/>
    <w:rsid w:val="004B71D7"/>
    <w:rsid w:val="004B7CA1"/>
    <w:rsid w:val="004B7FB3"/>
    <w:rsid w:val="004B7FDA"/>
    <w:rsid w:val="004C0491"/>
    <w:rsid w:val="004C04A5"/>
    <w:rsid w:val="004C0AE6"/>
    <w:rsid w:val="004C1575"/>
    <w:rsid w:val="004C1C52"/>
    <w:rsid w:val="004C22E7"/>
    <w:rsid w:val="004C250E"/>
    <w:rsid w:val="004C297D"/>
    <w:rsid w:val="004C387C"/>
    <w:rsid w:val="004C3E1C"/>
    <w:rsid w:val="004C4198"/>
    <w:rsid w:val="004C59CC"/>
    <w:rsid w:val="004C5A97"/>
    <w:rsid w:val="004C5B0F"/>
    <w:rsid w:val="004C63A5"/>
    <w:rsid w:val="004C63B3"/>
    <w:rsid w:val="004C6560"/>
    <w:rsid w:val="004C6621"/>
    <w:rsid w:val="004C7357"/>
    <w:rsid w:val="004C777D"/>
    <w:rsid w:val="004C7AED"/>
    <w:rsid w:val="004C7D2E"/>
    <w:rsid w:val="004D03DF"/>
    <w:rsid w:val="004D05F2"/>
    <w:rsid w:val="004D0CE2"/>
    <w:rsid w:val="004D0D0C"/>
    <w:rsid w:val="004D1823"/>
    <w:rsid w:val="004D1AB3"/>
    <w:rsid w:val="004D1C19"/>
    <w:rsid w:val="004D1CDC"/>
    <w:rsid w:val="004D210A"/>
    <w:rsid w:val="004D21EF"/>
    <w:rsid w:val="004D267E"/>
    <w:rsid w:val="004D2E96"/>
    <w:rsid w:val="004D316E"/>
    <w:rsid w:val="004D31EC"/>
    <w:rsid w:val="004D3415"/>
    <w:rsid w:val="004D37B0"/>
    <w:rsid w:val="004D3B9C"/>
    <w:rsid w:val="004D3D15"/>
    <w:rsid w:val="004D3EEF"/>
    <w:rsid w:val="004D4849"/>
    <w:rsid w:val="004D5CE3"/>
    <w:rsid w:val="004D5E68"/>
    <w:rsid w:val="004D62CC"/>
    <w:rsid w:val="004D7B0A"/>
    <w:rsid w:val="004D7C90"/>
    <w:rsid w:val="004D7CD5"/>
    <w:rsid w:val="004E0007"/>
    <w:rsid w:val="004E0774"/>
    <w:rsid w:val="004E0A13"/>
    <w:rsid w:val="004E146F"/>
    <w:rsid w:val="004E149D"/>
    <w:rsid w:val="004E14AB"/>
    <w:rsid w:val="004E19BD"/>
    <w:rsid w:val="004E1FAA"/>
    <w:rsid w:val="004E217C"/>
    <w:rsid w:val="004E2A1E"/>
    <w:rsid w:val="004E35C6"/>
    <w:rsid w:val="004E39DB"/>
    <w:rsid w:val="004E3C9B"/>
    <w:rsid w:val="004E44AA"/>
    <w:rsid w:val="004E45FA"/>
    <w:rsid w:val="004E465D"/>
    <w:rsid w:val="004E4787"/>
    <w:rsid w:val="004E50DE"/>
    <w:rsid w:val="004E58F5"/>
    <w:rsid w:val="004E6197"/>
    <w:rsid w:val="004E6228"/>
    <w:rsid w:val="004E6D16"/>
    <w:rsid w:val="004E74CC"/>
    <w:rsid w:val="004E7CD8"/>
    <w:rsid w:val="004F0493"/>
    <w:rsid w:val="004F103F"/>
    <w:rsid w:val="004F15C6"/>
    <w:rsid w:val="004F1793"/>
    <w:rsid w:val="004F284B"/>
    <w:rsid w:val="004F2F12"/>
    <w:rsid w:val="004F3568"/>
    <w:rsid w:val="004F3BE3"/>
    <w:rsid w:val="004F41E0"/>
    <w:rsid w:val="004F4820"/>
    <w:rsid w:val="004F52D5"/>
    <w:rsid w:val="004F548D"/>
    <w:rsid w:val="004F54F3"/>
    <w:rsid w:val="004F5555"/>
    <w:rsid w:val="004F5868"/>
    <w:rsid w:val="004F624A"/>
    <w:rsid w:val="004F68EB"/>
    <w:rsid w:val="004F6AD6"/>
    <w:rsid w:val="004F6B1B"/>
    <w:rsid w:val="004F7283"/>
    <w:rsid w:val="004F7436"/>
    <w:rsid w:val="00500541"/>
    <w:rsid w:val="00500CB7"/>
    <w:rsid w:val="00500E62"/>
    <w:rsid w:val="005011D2"/>
    <w:rsid w:val="0050142C"/>
    <w:rsid w:val="00501978"/>
    <w:rsid w:val="00501C88"/>
    <w:rsid w:val="00502229"/>
    <w:rsid w:val="005026C6"/>
    <w:rsid w:val="005027B8"/>
    <w:rsid w:val="00502ADB"/>
    <w:rsid w:val="00503003"/>
    <w:rsid w:val="005036AF"/>
    <w:rsid w:val="00503A88"/>
    <w:rsid w:val="00503F69"/>
    <w:rsid w:val="00504543"/>
    <w:rsid w:val="0050476D"/>
    <w:rsid w:val="005048B4"/>
    <w:rsid w:val="00504D43"/>
    <w:rsid w:val="00504EE4"/>
    <w:rsid w:val="005053D2"/>
    <w:rsid w:val="0050587B"/>
    <w:rsid w:val="00505D13"/>
    <w:rsid w:val="005072D1"/>
    <w:rsid w:val="00507957"/>
    <w:rsid w:val="005079F5"/>
    <w:rsid w:val="00507ED4"/>
    <w:rsid w:val="00507FC2"/>
    <w:rsid w:val="005102C0"/>
    <w:rsid w:val="005104D8"/>
    <w:rsid w:val="00510720"/>
    <w:rsid w:val="00511CA1"/>
    <w:rsid w:val="00511F94"/>
    <w:rsid w:val="00512205"/>
    <w:rsid w:val="0051246F"/>
    <w:rsid w:val="0051260E"/>
    <w:rsid w:val="005129B8"/>
    <w:rsid w:val="00512AEC"/>
    <w:rsid w:val="00512B89"/>
    <w:rsid w:val="005132CA"/>
    <w:rsid w:val="00513927"/>
    <w:rsid w:val="00514166"/>
    <w:rsid w:val="0051420D"/>
    <w:rsid w:val="00514604"/>
    <w:rsid w:val="00514E06"/>
    <w:rsid w:val="00514E16"/>
    <w:rsid w:val="0051586D"/>
    <w:rsid w:val="005159CA"/>
    <w:rsid w:val="005160C5"/>
    <w:rsid w:val="00516E76"/>
    <w:rsid w:val="00517844"/>
    <w:rsid w:val="00517D61"/>
    <w:rsid w:val="00520363"/>
    <w:rsid w:val="005206F4"/>
    <w:rsid w:val="005207B9"/>
    <w:rsid w:val="0052095A"/>
    <w:rsid w:val="00520E9A"/>
    <w:rsid w:val="00521392"/>
    <w:rsid w:val="0052199D"/>
    <w:rsid w:val="00521AF7"/>
    <w:rsid w:val="00521C20"/>
    <w:rsid w:val="00522485"/>
    <w:rsid w:val="00522A6D"/>
    <w:rsid w:val="00522C18"/>
    <w:rsid w:val="0052332D"/>
    <w:rsid w:val="00523FE6"/>
    <w:rsid w:val="005249BC"/>
    <w:rsid w:val="00524DBE"/>
    <w:rsid w:val="0052557B"/>
    <w:rsid w:val="00525B1D"/>
    <w:rsid w:val="00526A5D"/>
    <w:rsid w:val="00526BD7"/>
    <w:rsid w:val="00526E5D"/>
    <w:rsid w:val="00526ECF"/>
    <w:rsid w:val="0052704B"/>
    <w:rsid w:val="005270C5"/>
    <w:rsid w:val="005271BA"/>
    <w:rsid w:val="005279D5"/>
    <w:rsid w:val="0053032E"/>
    <w:rsid w:val="005304AF"/>
    <w:rsid w:val="00531C3B"/>
    <w:rsid w:val="005321CB"/>
    <w:rsid w:val="0053222D"/>
    <w:rsid w:val="0053261A"/>
    <w:rsid w:val="00532804"/>
    <w:rsid w:val="00533A58"/>
    <w:rsid w:val="00534645"/>
    <w:rsid w:val="00534F00"/>
    <w:rsid w:val="00535002"/>
    <w:rsid w:val="005350ED"/>
    <w:rsid w:val="005355B8"/>
    <w:rsid w:val="0053661B"/>
    <w:rsid w:val="00536796"/>
    <w:rsid w:val="00536BDF"/>
    <w:rsid w:val="005370D6"/>
    <w:rsid w:val="005374E6"/>
    <w:rsid w:val="00537CE7"/>
    <w:rsid w:val="00537DD6"/>
    <w:rsid w:val="00537F3A"/>
    <w:rsid w:val="005400AB"/>
    <w:rsid w:val="00540219"/>
    <w:rsid w:val="00540A4E"/>
    <w:rsid w:val="00540C28"/>
    <w:rsid w:val="00541526"/>
    <w:rsid w:val="005418B8"/>
    <w:rsid w:val="00542342"/>
    <w:rsid w:val="00542B2C"/>
    <w:rsid w:val="00543BC5"/>
    <w:rsid w:val="00543CD0"/>
    <w:rsid w:val="0054424C"/>
    <w:rsid w:val="00544739"/>
    <w:rsid w:val="0054491C"/>
    <w:rsid w:val="0054553D"/>
    <w:rsid w:val="00545B65"/>
    <w:rsid w:val="00545BB6"/>
    <w:rsid w:val="00546936"/>
    <w:rsid w:val="00546975"/>
    <w:rsid w:val="005475F0"/>
    <w:rsid w:val="00547A30"/>
    <w:rsid w:val="005503F8"/>
    <w:rsid w:val="005507B0"/>
    <w:rsid w:val="005508FA"/>
    <w:rsid w:val="00550D29"/>
    <w:rsid w:val="00551480"/>
    <w:rsid w:val="00551598"/>
    <w:rsid w:val="005519C9"/>
    <w:rsid w:val="00552268"/>
    <w:rsid w:val="00552BC8"/>
    <w:rsid w:val="00553218"/>
    <w:rsid w:val="00553ED5"/>
    <w:rsid w:val="00554485"/>
    <w:rsid w:val="00554A20"/>
    <w:rsid w:val="00554F23"/>
    <w:rsid w:val="005558B7"/>
    <w:rsid w:val="0055601E"/>
    <w:rsid w:val="0055607D"/>
    <w:rsid w:val="00556380"/>
    <w:rsid w:val="00556DA4"/>
    <w:rsid w:val="00556FA2"/>
    <w:rsid w:val="00557022"/>
    <w:rsid w:val="0055715A"/>
    <w:rsid w:val="0055732C"/>
    <w:rsid w:val="00557934"/>
    <w:rsid w:val="00557A51"/>
    <w:rsid w:val="005603FF"/>
    <w:rsid w:val="00560C02"/>
    <w:rsid w:val="00561027"/>
    <w:rsid w:val="00561A01"/>
    <w:rsid w:val="00561AEB"/>
    <w:rsid w:val="005620D2"/>
    <w:rsid w:val="00562845"/>
    <w:rsid w:val="00563136"/>
    <w:rsid w:val="00563224"/>
    <w:rsid w:val="00563719"/>
    <w:rsid w:val="00563AAC"/>
    <w:rsid w:val="00563BB6"/>
    <w:rsid w:val="00563D8A"/>
    <w:rsid w:val="00563E43"/>
    <w:rsid w:val="00564642"/>
    <w:rsid w:val="005651B2"/>
    <w:rsid w:val="005657B3"/>
    <w:rsid w:val="00565F17"/>
    <w:rsid w:val="005661DE"/>
    <w:rsid w:val="00566B47"/>
    <w:rsid w:val="00566B54"/>
    <w:rsid w:val="00566E5A"/>
    <w:rsid w:val="00566E7A"/>
    <w:rsid w:val="00566E89"/>
    <w:rsid w:val="005674F5"/>
    <w:rsid w:val="00567746"/>
    <w:rsid w:val="00567C96"/>
    <w:rsid w:val="00570089"/>
    <w:rsid w:val="0057017B"/>
    <w:rsid w:val="005703FD"/>
    <w:rsid w:val="005708FC"/>
    <w:rsid w:val="005709C4"/>
    <w:rsid w:val="00570E47"/>
    <w:rsid w:val="00570E82"/>
    <w:rsid w:val="00571C69"/>
    <w:rsid w:val="00571C7B"/>
    <w:rsid w:val="00572530"/>
    <w:rsid w:val="00572A5B"/>
    <w:rsid w:val="005734C5"/>
    <w:rsid w:val="00574C43"/>
    <w:rsid w:val="00574D55"/>
    <w:rsid w:val="00575C69"/>
    <w:rsid w:val="00576AAE"/>
    <w:rsid w:val="00576C9F"/>
    <w:rsid w:val="00576CFB"/>
    <w:rsid w:val="00580560"/>
    <w:rsid w:val="005806C0"/>
    <w:rsid w:val="00580A37"/>
    <w:rsid w:val="00580D52"/>
    <w:rsid w:val="00581ABA"/>
    <w:rsid w:val="00581B3C"/>
    <w:rsid w:val="00581F5A"/>
    <w:rsid w:val="0058281A"/>
    <w:rsid w:val="00582941"/>
    <w:rsid w:val="00582E6A"/>
    <w:rsid w:val="00582F66"/>
    <w:rsid w:val="00583053"/>
    <w:rsid w:val="00583401"/>
    <w:rsid w:val="005835AA"/>
    <w:rsid w:val="00584617"/>
    <w:rsid w:val="00584AA6"/>
    <w:rsid w:val="00584E9D"/>
    <w:rsid w:val="005858CF"/>
    <w:rsid w:val="00585BDC"/>
    <w:rsid w:val="00585E79"/>
    <w:rsid w:val="00585F24"/>
    <w:rsid w:val="00586A49"/>
    <w:rsid w:val="00586EC7"/>
    <w:rsid w:val="00587473"/>
    <w:rsid w:val="005875B1"/>
    <w:rsid w:val="005877EB"/>
    <w:rsid w:val="005879C7"/>
    <w:rsid w:val="00590817"/>
    <w:rsid w:val="005910F1"/>
    <w:rsid w:val="00591B68"/>
    <w:rsid w:val="00591D98"/>
    <w:rsid w:val="00592850"/>
    <w:rsid w:val="00593827"/>
    <w:rsid w:val="005941E2"/>
    <w:rsid w:val="00594D0B"/>
    <w:rsid w:val="00595066"/>
    <w:rsid w:val="00595C2D"/>
    <w:rsid w:val="0059612D"/>
    <w:rsid w:val="005965A0"/>
    <w:rsid w:val="005966B8"/>
    <w:rsid w:val="00596883"/>
    <w:rsid w:val="005969D9"/>
    <w:rsid w:val="00596AC6"/>
    <w:rsid w:val="00596EEE"/>
    <w:rsid w:val="00596FB4"/>
    <w:rsid w:val="00597421"/>
    <w:rsid w:val="005977BE"/>
    <w:rsid w:val="00597812"/>
    <w:rsid w:val="005978F1"/>
    <w:rsid w:val="005A0C0F"/>
    <w:rsid w:val="005A0E67"/>
    <w:rsid w:val="005A16EC"/>
    <w:rsid w:val="005A21F8"/>
    <w:rsid w:val="005A25C3"/>
    <w:rsid w:val="005A283E"/>
    <w:rsid w:val="005A2852"/>
    <w:rsid w:val="005A2EC9"/>
    <w:rsid w:val="005A30AA"/>
    <w:rsid w:val="005A4503"/>
    <w:rsid w:val="005A47BE"/>
    <w:rsid w:val="005A4829"/>
    <w:rsid w:val="005A485D"/>
    <w:rsid w:val="005A489B"/>
    <w:rsid w:val="005A4BCD"/>
    <w:rsid w:val="005A5066"/>
    <w:rsid w:val="005A5739"/>
    <w:rsid w:val="005A5937"/>
    <w:rsid w:val="005A5C80"/>
    <w:rsid w:val="005A67A8"/>
    <w:rsid w:val="005A696D"/>
    <w:rsid w:val="005A6CF7"/>
    <w:rsid w:val="005A7013"/>
    <w:rsid w:val="005A7089"/>
    <w:rsid w:val="005A70AB"/>
    <w:rsid w:val="005A71C4"/>
    <w:rsid w:val="005A72AB"/>
    <w:rsid w:val="005B07CA"/>
    <w:rsid w:val="005B0C65"/>
    <w:rsid w:val="005B0EB4"/>
    <w:rsid w:val="005B13CE"/>
    <w:rsid w:val="005B145B"/>
    <w:rsid w:val="005B1559"/>
    <w:rsid w:val="005B1617"/>
    <w:rsid w:val="005B1A88"/>
    <w:rsid w:val="005B1D71"/>
    <w:rsid w:val="005B1DCB"/>
    <w:rsid w:val="005B1F3A"/>
    <w:rsid w:val="005B24A4"/>
    <w:rsid w:val="005B2BC0"/>
    <w:rsid w:val="005B2F87"/>
    <w:rsid w:val="005B3317"/>
    <w:rsid w:val="005B35AB"/>
    <w:rsid w:val="005B3723"/>
    <w:rsid w:val="005B3A18"/>
    <w:rsid w:val="005B3F07"/>
    <w:rsid w:val="005B4BE3"/>
    <w:rsid w:val="005B5158"/>
    <w:rsid w:val="005B5296"/>
    <w:rsid w:val="005B5298"/>
    <w:rsid w:val="005B60D6"/>
    <w:rsid w:val="005B6850"/>
    <w:rsid w:val="005B691F"/>
    <w:rsid w:val="005B73FA"/>
    <w:rsid w:val="005B78A1"/>
    <w:rsid w:val="005B79EC"/>
    <w:rsid w:val="005C04B1"/>
    <w:rsid w:val="005C070A"/>
    <w:rsid w:val="005C0FC7"/>
    <w:rsid w:val="005C13BE"/>
    <w:rsid w:val="005C1781"/>
    <w:rsid w:val="005C1A66"/>
    <w:rsid w:val="005C1AB7"/>
    <w:rsid w:val="005C2050"/>
    <w:rsid w:val="005C2315"/>
    <w:rsid w:val="005C24E1"/>
    <w:rsid w:val="005C2A40"/>
    <w:rsid w:val="005C2B2C"/>
    <w:rsid w:val="005C3069"/>
    <w:rsid w:val="005C454A"/>
    <w:rsid w:val="005C4C25"/>
    <w:rsid w:val="005C51E0"/>
    <w:rsid w:val="005C557E"/>
    <w:rsid w:val="005C665A"/>
    <w:rsid w:val="005C66B3"/>
    <w:rsid w:val="005C6795"/>
    <w:rsid w:val="005C6923"/>
    <w:rsid w:val="005C741B"/>
    <w:rsid w:val="005C7536"/>
    <w:rsid w:val="005D0126"/>
    <w:rsid w:val="005D04EF"/>
    <w:rsid w:val="005D06C9"/>
    <w:rsid w:val="005D1F2A"/>
    <w:rsid w:val="005D1F2E"/>
    <w:rsid w:val="005D227D"/>
    <w:rsid w:val="005D2962"/>
    <w:rsid w:val="005D3325"/>
    <w:rsid w:val="005D3C27"/>
    <w:rsid w:val="005D3CFE"/>
    <w:rsid w:val="005D3E9A"/>
    <w:rsid w:val="005D4104"/>
    <w:rsid w:val="005D4292"/>
    <w:rsid w:val="005D447F"/>
    <w:rsid w:val="005D499E"/>
    <w:rsid w:val="005D5BA7"/>
    <w:rsid w:val="005D5F38"/>
    <w:rsid w:val="005D6D2E"/>
    <w:rsid w:val="005D6D85"/>
    <w:rsid w:val="005D725F"/>
    <w:rsid w:val="005D7299"/>
    <w:rsid w:val="005D72C9"/>
    <w:rsid w:val="005D7737"/>
    <w:rsid w:val="005D7F48"/>
    <w:rsid w:val="005E0083"/>
    <w:rsid w:val="005E06F1"/>
    <w:rsid w:val="005E0BE3"/>
    <w:rsid w:val="005E1216"/>
    <w:rsid w:val="005E1B2D"/>
    <w:rsid w:val="005E1E53"/>
    <w:rsid w:val="005E2016"/>
    <w:rsid w:val="005E293D"/>
    <w:rsid w:val="005E3084"/>
    <w:rsid w:val="005E313D"/>
    <w:rsid w:val="005E3805"/>
    <w:rsid w:val="005E3A15"/>
    <w:rsid w:val="005E42C0"/>
    <w:rsid w:val="005E4351"/>
    <w:rsid w:val="005E45B1"/>
    <w:rsid w:val="005E4859"/>
    <w:rsid w:val="005E492E"/>
    <w:rsid w:val="005E4AF5"/>
    <w:rsid w:val="005E51A8"/>
    <w:rsid w:val="005E5682"/>
    <w:rsid w:val="005E56CB"/>
    <w:rsid w:val="005E581B"/>
    <w:rsid w:val="005E5A5B"/>
    <w:rsid w:val="005E5C44"/>
    <w:rsid w:val="005E5D6E"/>
    <w:rsid w:val="005E615C"/>
    <w:rsid w:val="005E63FF"/>
    <w:rsid w:val="005E6418"/>
    <w:rsid w:val="005E6580"/>
    <w:rsid w:val="005E6B00"/>
    <w:rsid w:val="005E717D"/>
    <w:rsid w:val="005E7532"/>
    <w:rsid w:val="005E762B"/>
    <w:rsid w:val="005E78EB"/>
    <w:rsid w:val="005F0A0D"/>
    <w:rsid w:val="005F0D5B"/>
    <w:rsid w:val="005F1516"/>
    <w:rsid w:val="005F1722"/>
    <w:rsid w:val="005F185F"/>
    <w:rsid w:val="005F1DC2"/>
    <w:rsid w:val="005F1F72"/>
    <w:rsid w:val="005F2207"/>
    <w:rsid w:val="005F2447"/>
    <w:rsid w:val="005F264F"/>
    <w:rsid w:val="005F2748"/>
    <w:rsid w:val="005F2C19"/>
    <w:rsid w:val="005F3CEF"/>
    <w:rsid w:val="005F4072"/>
    <w:rsid w:val="005F4BFD"/>
    <w:rsid w:val="005F4D26"/>
    <w:rsid w:val="005F4D52"/>
    <w:rsid w:val="005F4E36"/>
    <w:rsid w:val="005F5564"/>
    <w:rsid w:val="005F5892"/>
    <w:rsid w:val="005F5E13"/>
    <w:rsid w:val="005F63A4"/>
    <w:rsid w:val="005F64F1"/>
    <w:rsid w:val="005F6720"/>
    <w:rsid w:val="005F6924"/>
    <w:rsid w:val="005F6D83"/>
    <w:rsid w:val="005F714A"/>
    <w:rsid w:val="005F7821"/>
    <w:rsid w:val="005F7AE3"/>
    <w:rsid w:val="005F7C16"/>
    <w:rsid w:val="00600711"/>
    <w:rsid w:val="00601871"/>
    <w:rsid w:val="00601A6E"/>
    <w:rsid w:val="00601DA6"/>
    <w:rsid w:val="00602670"/>
    <w:rsid w:val="00603857"/>
    <w:rsid w:val="006043EA"/>
    <w:rsid w:val="00604A3C"/>
    <w:rsid w:val="00604C50"/>
    <w:rsid w:val="00604EBF"/>
    <w:rsid w:val="00604EF3"/>
    <w:rsid w:val="006051B5"/>
    <w:rsid w:val="00605543"/>
    <w:rsid w:val="00605A3B"/>
    <w:rsid w:val="00605F1B"/>
    <w:rsid w:val="00605F64"/>
    <w:rsid w:val="006065F6"/>
    <w:rsid w:val="00606CD7"/>
    <w:rsid w:val="0060727D"/>
    <w:rsid w:val="006077F5"/>
    <w:rsid w:val="00607A84"/>
    <w:rsid w:val="00607ACD"/>
    <w:rsid w:val="006104C0"/>
    <w:rsid w:val="00610545"/>
    <w:rsid w:val="00610C7A"/>
    <w:rsid w:val="00611242"/>
    <w:rsid w:val="0061125C"/>
    <w:rsid w:val="00611B68"/>
    <w:rsid w:val="00611EA0"/>
    <w:rsid w:val="0061221F"/>
    <w:rsid w:val="006127D0"/>
    <w:rsid w:val="00612F92"/>
    <w:rsid w:val="006130C4"/>
    <w:rsid w:val="006131B6"/>
    <w:rsid w:val="006132FF"/>
    <w:rsid w:val="00613476"/>
    <w:rsid w:val="00613854"/>
    <w:rsid w:val="00613973"/>
    <w:rsid w:val="00614376"/>
    <w:rsid w:val="00614395"/>
    <w:rsid w:val="006144ED"/>
    <w:rsid w:val="00614530"/>
    <w:rsid w:val="0061473D"/>
    <w:rsid w:val="006167E0"/>
    <w:rsid w:val="006169F6"/>
    <w:rsid w:val="00616B87"/>
    <w:rsid w:val="0061748B"/>
    <w:rsid w:val="0061773D"/>
    <w:rsid w:val="00617C12"/>
    <w:rsid w:val="006209B0"/>
    <w:rsid w:val="00621321"/>
    <w:rsid w:val="006218A4"/>
    <w:rsid w:val="006219D4"/>
    <w:rsid w:val="00621D0F"/>
    <w:rsid w:val="00622072"/>
    <w:rsid w:val="0062223E"/>
    <w:rsid w:val="006227DB"/>
    <w:rsid w:val="006239C3"/>
    <w:rsid w:val="00623A65"/>
    <w:rsid w:val="00623B3B"/>
    <w:rsid w:val="00623CD4"/>
    <w:rsid w:val="00623EC5"/>
    <w:rsid w:val="006243F9"/>
    <w:rsid w:val="006249CA"/>
    <w:rsid w:val="006250E8"/>
    <w:rsid w:val="0062567A"/>
    <w:rsid w:val="0062599D"/>
    <w:rsid w:val="00626009"/>
    <w:rsid w:val="006264B0"/>
    <w:rsid w:val="006270F6"/>
    <w:rsid w:val="00627594"/>
    <w:rsid w:val="006302C7"/>
    <w:rsid w:val="00630975"/>
    <w:rsid w:val="00630AB4"/>
    <w:rsid w:val="00630C40"/>
    <w:rsid w:val="00630F05"/>
    <w:rsid w:val="0063120B"/>
    <w:rsid w:val="00631AEB"/>
    <w:rsid w:val="00631C04"/>
    <w:rsid w:val="0063419E"/>
    <w:rsid w:val="00634263"/>
    <w:rsid w:val="00634D75"/>
    <w:rsid w:val="006353BD"/>
    <w:rsid w:val="00635759"/>
    <w:rsid w:val="00635A28"/>
    <w:rsid w:val="00635A5D"/>
    <w:rsid w:val="0063669B"/>
    <w:rsid w:val="00636ED9"/>
    <w:rsid w:val="00637509"/>
    <w:rsid w:val="00637D5D"/>
    <w:rsid w:val="0064001F"/>
    <w:rsid w:val="006403E1"/>
    <w:rsid w:val="00640440"/>
    <w:rsid w:val="00640AC6"/>
    <w:rsid w:val="00641DF5"/>
    <w:rsid w:val="00641F4D"/>
    <w:rsid w:val="00642683"/>
    <w:rsid w:val="006426BF"/>
    <w:rsid w:val="0064291D"/>
    <w:rsid w:val="00642D09"/>
    <w:rsid w:val="00643177"/>
    <w:rsid w:val="00643263"/>
    <w:rsid w:val="00643372"/>
    <w:rsid w:val="00643386"/>
    <w:rsid w:val="0064357C"/>
    <w:rsid w:val="0064382F"/>
    <w:rsid w:val="00643CF3"/>
    <w:rsid w:val="006446D4"/>
    <w:rsid w:val="00644D5E"/>
    <w:rsid w:val="006453FA"/>
    <w:rsid w:val="00645758"/>
    <w:rsid w:val="006457B7"/>
    <w:rsid w:val="00645B46"/>
    <w:rsid w:val="006462ED"/>
    <w:rsid w:val="00646F10"/>
    <w:rsid w:val="0064796C"/>
    <w:rsid w:val="00647CA5"/>
    <w:rsid w:val="006509CB"/>
    <w:rsid w:val="00650A81"/>
    <w:rsid w:val="00651442"/>
    <w:rsid w:val="006520FB"/>
    <w:rsid w:val="00652144"/>
    <w:rsid w:val="006524EC"/>
    <w:rsid w:val="00652AFF"/>
    <w:rsid w:val="00652B9F"/>
    <w:rsid w:val="00654231"/>
    <w:rsid w:val="006550F8"/>
    <w:rsid w:val="0065585E"/>
    <w:rsid w:val="00656CCA"/>
    <w:rsid w:val="00656DF5"/>
    <w:rsid w:val="00657134"/>
    <w:rsid w:val="00657BA3"/>
    <w:rsid w:val="00660098"/>
    <w:rsid w:val="006613AE"/>
    <w:rsid w:val="00661563"/>
    <w:rsid w:val="00661597"/>
    <w:rsid w:val="00661694"/>
    <w:rsid w:val="006616C6"/>
    <w:rsid w:val="0066203F"/>
    <w:rsid w:val="006622C7"/>
    <w:rsid w:val="00662615"/>
    <w:rsid w:val="006629AB"/>
    <w:rsid w:val="006631B0"/>
    <w:rsid w:val="006633CB"/>
    <w:rsid w:val="0066406E"/>
    <w:rsid w:val="006641DB"/>
    <w:rsid w:val="006647BA"/>
    <w:rsid w:val="00664ADB"/>
    <w:rsid w:val="00664F0E"/>
    <w:rsid w:val="006654FE"/>
    <w:rsid w:val="006662D5"/>
    <w:rsid w:val="006665C8"/>
    <w:rsid w:val="00666661"/>
    <w:rsid w:val="00666811"/>
    <w:rsid w:val="006676F1"/>
    <w:rsid w:val="006678EB"/>
    <w:rsid w:val="00667D3B"/>
    <w:rsid w:val="00667EA4"/>
    <w:rsid w:val="00670091"/>
    <w:rsid w:val="006707FA"/>
    <w:rsid w:val="00670C40"/>
    <w:rsid w:val="00670E20"/>
    <w:rsid w:val="006710EB"/>
    <w:rsid w:val="006716A7"/>
    <w:rsid w:val="006719DD"/>
    <w:rsid w:val="0067216F"/>
    <w:rsid w:val="0067222E"/>
    <w:rsid w:val="00672956"/>
    <w:rsid w:val="00672DB4"/>
    <w:rsid w:val="00674E80"/>
    <w:rsid w:val="00674F4F"/>
    <w:rsid w:val="00675342"/>
    <w:rsid w:val="006756D6"/>
    <w:rsid w:val="00675722"/>
    <w:rsid w:val="006757BA"/>
    <w:rsid w:val="00675C04"/>
    <w:rsid w:val="00676378"/>
    <w:rsid w:val="00676516"/>
    <w:rsid w:val="006767CA"/>
    <w:rsid w:val="00676B43"/>
    <w:rsid w:val="006774E1"/>
    <w:rsid w:val="0067750E"/>
    <w:rsid w:val="00677865"/>
    <w:rsid w:val="006778E4"/>
    <w:rsid w:val="00680266"/>
    <w:rsid w:val="006805C3"/>
    <w:rsid w:val="0068079F"/>
    <w:rsid w:val="00680D5C"/>
    <w:rsid w:val="00680E49"/>
    <w:rsid w:val="00680EB6"/>
    <w:rsid w:val="00680F24"/>
    <w:rsid w:val="00681B17"/>
    <w:rsid w:val="00681CD4"/>
    <w:rsid w:val="00681E35"/>
    <w:rsid w:val="00681FFA"/>
    <w:rsid w:val="0068252F"/>
    <w:rsid w:val="00682B44"/>
    <w:rsid w:val="00682E66"/>
    <w:rsid w:val="0068318C"/>
    <w:rsid w:val="00683F83"/>
    <w:rsid w:val="00684E88"/>
    <w:rsid w:val="0068677B"/>
    <w:rsid w:val="00686877"/>
    <w:rsid w:val="00686D22"/>
    <w:rsid w:val="00686E30"/>
    <w:rsid w:val="0068722A"/>
    <w:rsid w:val="006876E4"/>
    <w:rsid w:val="00687D34"/>
    <w:rsid w:val="006909D3"/>
    <w:rsid w:val="00690C35"/>
    <w:rsid w:val="00690F86"/>
    <w:rsid w:val="00690FFF"/>
    <w:rsid w:val="0069157B"/>
    <w:rsid w:val="00691C53"/>
    <w:rsid w:val="006925FD"/>
    <w:rsid w:val="006927F5"/>
    <w:rsid w:val="00692954"/>
    <w:rsid w:val="00692A0A"/>
    <w:rsid w:val="006932BA"/>
    <w:rsid w:val="00693EF6"/>
    <w:rsid w:val="00694023"/>
    <w:rsid w:val="00694250"/>
    <w:rsid w:val="006943F6"/>
    <w:rsid w:val="00694418"/>
    <w:rsid w:val="00694535"/>
    <w:rsid w:val="00694A13"/>
    <w:rsid w:val="0069509E"/>
    <w:rsid w:val="00696990"/>
    <w:rsid w:val="00696C17"/>
    <w:rsid w:val="006979C3"/>
    <w:rsid w:val="00697C13"/>
    <w:rsid w:val="00697FE9"/>
    <w:rsid w:val="006A022A"/>
    <w:rsid w:val="006A05B5"/>
    <w:rsid w:val="006A0CC6"/>
    <w:rsid w:val="006A10FA"/>
    <w:rsid w:val="006A1991"/>
    <w:rsid w:val="006A1A91"/>
    <w:rsid w:val="006A25CE"/>
    <w:rsid w:val="006A25DF"/>
    <w:rsid w:val="006A27D8"/>
    <w:rsid w:val="006A2DCC"/>
    <w:rsid w:val="006A316F"/>
    <w:rsid w:val="006A600A"/>
    <w:rsid w:val="006A6290"/>
    <w:rsid w:val="006A6329"/>
    <w:rsid w:val="006A6ED8"/>
    <w:rsid w:val="006A7601"/>
    <w:rsid w:val="006B004C"/>
    <w:rsid w:val="006B0D46"/>
    <w:rsid w:val="006B0F08"/>
    <w:rsid w:val="006B1135"/>
    <w:rsid w:val="006B1438"/>
    <w:rsid w:val="006B182D"/>
    <w:rsid w:val="006B18DF"/>
    <w:rsid w:val="006B1FE8"/>
    <w:rsid w:val="006B2502"/>
    <w:rsid w:val="006B2686"/>
    <w:rsid w:val="006B28F4"/>
    <w:rsid w:val="006B2C04"/>
    <w:rsid w:val="006B2D2F"/>
    <w:rsid w:val="006B3043"/>
    <w:rsid w:val="006B3A67"/>
    <w:rsid w:val="006B4734"/>
    <w:rsid w:val="006B4C4E"/>
    <w:rsid w:val="006B5D85"/>
    <w:rsid w:val="006B5F89"/>
    <w:rsid w:val="006B6844"/>
    <w:rsid w:val="006B6B93"/>
    <w:rsid w:val="006B6C44"/>
    <w:rsid w:val="006B787B"/>
    <w:rsid w:val="006B793B"/>
    <w:rsid w:val="006B79A0"/>
    <w:rsid w:val="006B7F78"/>
    <w:rsid w:val="006C08B2"/>
    <w:rsid w:val="006C0EF6"/>
    <w:rsid w:val="006C1412"/>
    <w:rsid w:val="006C19C3"/>
    <w:rsid w:val="006C1B31"/>
    <w:rsid w:val="006C1DEA"/>
    <w:rsid w:val="006C2379"/>
    <w:rsid w:val="006C239E"/>
    <w:rsid w:val="006C2415"/>
    <w:rsid w:val="006C4079"/>
    <w:rsid w:val="006C40F9"/>
    <w:rsid w:val="006C4354"/>
    <w:rsid w:val="006C4523"/>
    <w:rsid w:val="006C468D"/>
    <w:rsid w:val="006C5125"/>
    <w:rsid w:val="006C5290"/>
    <w:rsid w:val="006C546B"/>
    <w:rsid w:val="006C54DF"/>
    <w:rsid w:val="006C57D0"/>
    <w:rsid w:val="006C57FF"/>
    <w:rsid w:val="006C65B9"/>
    <w:rsid w:val="006C694A"/>
    <w:rsid w:val="006C6AC0"/>
    <w:rsid w:val="006C71A1"/>
    <w:rsid w:val="006C733A"/>
    <w:rsid w:val="006C7588"/>
    <w:rsid w:val="006C7D60"/>
    <w:rsid w:val="006C7D84"/>
    <w:rsid w:val="006C7EE0"/>
    <w:rsid w:val="006D0286"/>
    <w:rsid w:val="006D10B0"/>
    <w:rsid w:val="006D140F"/>
    <w:rsid w:val="006D250C"/>
    <w:rsid w:val="006D2773"/>
    <w:rsid w:val="006D2D58"/>
    <w:rsid w:val="006D2F2E"/>
    <w:rsid w:val="006D351C"/>
    <w:rsid w:val="006D37C1"/>
    <w:rsid w:val="006D3C62"/>
    <w:rsid w:val="006D3E76"/>
    <w:rsid w:val="006D5074"/>
    <w:rsid w:val="006D5473"/>
    <w:rsid w:val="006D5802"/>
    <w:rsid w:val="006D688F"/>
    <w:rsid w:val="006D7A62"/>
    <w:rsid w:val="006D7BFD"/>
    <w:rsid w:val="006D7DAC"/>
    <w:rsid w:val="006D7E99"/>
    <w:rsid w:val="006E0291"/>
    <w:rsid w:val="006E0763"/>
    <w:rsid w:val="006E0B4B"/>
    <w:rsid w:val="006E1745"/>
    <w:rsid w:val="006E1798"/>
    <w:rsid w:val="006E1E2F"/>
    <w:rsid w:val="006E37F7"/>
    <w:rsid w:val="006E41F2"/>
    <w:rsid w:val="006E44DD"/>
    <w:rsid w:val="006E4D43"/>
    <w:rsid w:val="006E62DB"/>
    <w:rsid w:val="006E6333"/>
    <w:rsid w:val="006E689D"/>
    <w:rsid w:val="006E6B24"/>
    <w:rsid w:val="006E6B3B"/>
    <w:rsid w:val="006E70E3"/>
    <w:rsid w:val="006E7327"/>
    <w:rsid w:val="006E732B"/>
    <w:rsid w:val="006E7F3F"/>
    <w:rsid w:val="006F0469"/>
    <w:rsid w:val="006F0519"/>
    <w:rsid w:val="006F0567"/>
    <w:rsid w:val="006F16D9"/>
    <w:rsid w:val="006F1B27"/>
    <w:rsid w:val="006F28DB"/>
    <w:rsid w:val="006F32EF"/>
    <w:rsid w:val="006F35B4"/>
    <w:rsid w:val="006F44F0"/>
    <w:rsid w:val="006F4A0E"/>
    <w:rsid w:val="006F4C72"/>
    <w:rsid w:val="006F538A"/>
    <w:rsid w:val="006F55A3"/>
    <w:rsid w:val="006F5C26"/>
    <w:rsid w:val="006F5E12"/>
    <w:rsid w:val="006F64DB"/>
    <w:rsid w:val="006F651F"/>
    <w:rsid w:val="006F6678"/>
    <w:rsid w:val="006F742A"/>
    <w:rsid w:val="006F7548"/>
    <w:rsid w:val="006F76A9"/>
    <w:rsid w:val="007004E9"/>
    <w:rsid w:val="00700B3C"/>
    <w:rsid w:val="00700BC2"/>
    <w:rsid w:val="00700C7D"/>
    <w:rsid w:val="0070103D"/>
    <w:rsid w:val="007011BA"/>
    <w:rsid w:val="007013EE"/>
    <w:rsid w:val="00702372"/>
    <w:rsid w:val="007028AF"/>
    <w:rsid w:val="00703987"/>
    <w:rsid w:val="00703D7E"/>
    <w:rsid w:val="007040AB"/>
    <w:rsid w:val="00704296"/>
    <w:rsid w:val="00704532"/>
    <w:rsid w:val="0070674D"/>
    <w:rsid w:val="00707BB3"/>
    <w:rsid w:val="00707C7C"/>
    <w:rsid w:val="00707E98"/>
    <w:rsid w:val="00707FB8"/>
    <w:rsid w:val="00707FEA"/>
    <w:rsid w:val="00710026"/>
    <w:rsid w:val="00710A85"/>
    <w:rsid w:val="00710EDE"/>
    <w:rsid w:val="0071111C"/>
    <w:rsid w:val="0071141A"/>
    <w:rsid w:val="00711425"/>
    <w:rsid w:val="00711C8A"/>
    <w:rsid w:val="007120C8"/>
    <w:rsid w:val="0071296E"/>
    <w:rsid w:val="00712D6C"/>
    <w:rsid w:val="00714289"/>
    <w:rsid w:val="007142D2"/>
    <w:rsid w:val="00714427"/>
    <w:rsid w:val="00714787"/>
    <w:rsid w:val="00714D5D"/>
    <w:rsid w:val="0071562B"/>
    <w:rsid w:val="00715DEF"/>
    <w:rsid w:val="00715FE6"/>
    <w:rsid w:val="00716AE8"/>
    <w:rsid w:val="007171F7"/>
    <w:rsid w:val="007172CF"/>
    <w:rsid w:val="00717354"/>
    <w:rsid w:val="00717D47"/>
    <w:rsid w:val="00717D66"/>
    <w:rsid w:val="00717D8C"/>
    <w:rsid w:val="00717F59"/>
    <w:rsid w:val="00717FCF"/>
    <w:rsid w:val="00720EA5"/>
    <w:rsid w:val="00720EC6"/>
    <w:rsid w:val="0072158F"/>
    <w:rsid w:val="007215E2"/>
    <w:rsid w:val="00721B49"/>
    <w:rsid w:val="007222E9"/>
    <w:rsid w:val="007224F8"/>
    <w:rsid w:val="007225DD"/>
    <w:rsid w:val="00722908"/>
    <w:rsid w:val="007238EA"/>
    <w:rsid w:val="00724A53"/>
    <w:rsid w:val="00724C58"/>
    <w:rsid w:val="00724CFB"/>
    <w:rsid w:val="00724D63"/>
    <w:rsid w:val="00724E98"/>
    <w:rsid w:val="00724F81"/>
    <w:rsid w:val="00724FE8"/>
    <w:rsid w:val="007251F2"/>
    <w:rsid w:val="00725A73"/>
    <w:rsid w:val="007260D6"/>
    <w:rsid w:val="0072610A"/>
    <w:rsid w:val="007262B5"/>
    <w:rsid w:val="00727466"/>
    <w:rsid w:val="007275A8"/>
    <w:rsid w:val="0072770B"/>
    <w:rsid w:val="00727C44"/>
    <w:rsid w:val="00727C9E"/>
    <w:rsid w:val="00730256"/>
    <w:rsid w:val="00731182"/>
    <w:rsid w:val="007311B8"/>
    <w:rsid w:val="0073166B"/>
    <w:rsid w:val="007316F1"/>
    <w:rsid w:val="00731761"/>
    <w:rsid w:val="00731E63"/>
    <w:rsid w:val="00732274"/>
    <w:rsid w:val="0073244E"/>
    <w:rsid w:val="00732597"/>
    <w:rsid w:val="007327B2"/>
    <w:rsid w:val="00733139"/>
    <w:rsid w:val="007333AF"/>
    <w:rsid w:val="00733428"/>
    <w:rsid w:val="007334EF"/>
    <w:rsid w:val="007337E2"/>
    <w:rsid w:val="00733AAE"/>
    <w:rsid w:val="00733BE1"/>
    <w:rsid w:val="00733D14"/>
    <w:rsid w:val="00734D0C"/>
    <w:rsid w:val="0073599B"/>
    <w:rsid w:val="00735B01"/>
    <w:rsid w:val="00736265"/>
    <w:rsid w:val="00736A62"/>
    <w:rsid w:val="00737101"/>
    <w:rsid w:val="007377C1"/>
    <w:rsid w:val="00737A5D"/>
    <w:rsid w:val="00737E3B"/>
    <w:rsid w:val="00740785"/>
    <w:rsid w:val="00740A6B"/>
    <w:rsid w:val="007411DB"/>
    <w:rsid w:val="0074179C"/>
    <w:rsid w:val="007426E6"/>
    <w:rsid w:val="00742DE1"/>
    <w:rsid w:val="00743513"/>
    <w:rsid w:val="00743884"/>
    <w:rsid w:val="00743F62"/>
    <w:rsid w:val="00744291"/>
    <w:rsid w:val="00744433"/>
    <w:rsid w:val="0074471F"/>
    <w:rsid w:val="007453CB"/>
    <w:rsid w:val="007470BC"/>
    <w:rsid w:val="00747F32"/>
    <w:rsid w:val="00750D54"/>
    <w:rsid w:val="00751358"/>
    <w:rsid w:val="007519DD"/>
    <w:rsid w:val="00752234"/>
    <w:rsid w:val="0075227F"/>
    <w:rsid w:val="00752E17"/>
    <w:rsid w:val="007530A6"/>
    <w:rsid w:val="0075349F"/>
    <w:rsid w:val="007534D6"/>
    <w:rsid w:val="00753ADB"/>
    <w:rsid w:val="00753DF7"/>
    <w:rsid w:val="00754976"/>
    <w:rsid w:val="00754AAA"/>
    <w:rsid w:val="007551BB"/>
    <w:rsid w:val="007554F0"/>
    <w:rsid w:val="00755EFE"/>
    <w:rsid w:val="007562ED"/>
    <w:rsid w:val="00756ECB"/>
    <w:rsid w:val="007575FE"/>
    <w:rsid w:val="00757776"/>
    <w:rsid w:val="00757FC9"/>
    <w:rsid w:val="007606B9"/>
    <w:rsid w:val="00760726"/>
    <w:rsid w:val="00760A50"/>
    <w:rsid w:val="00760ACB"/>
    <w:rsid w:val="00760BD7"/>
    <w:rsid w:val="00760F84"/>
    <w:rsid w:val="007611C6"/>
    <w:rsid w:val="00761604"/>
    <w:rsid w:val="007617D0"/>
    <w:rsid w:val="00761A7D"/>
    <w:rsid w:val="0076233E"/>
    <w:rsid w:val="00762949"/>
    <w:rsid w:val="00762D84"/>
    <w:rsid w:val="00762D90"/>
    <w:rsid w:val="0076314D"/>
    <w:rsid w:val="00763441"/>
    <w:rsid w:val="00764B18"/>
    <w:rsid w:val="00764EC0"/>
    <w:rsid w:val="00765F29"/>
    <w:rsid w:val="007665BC"/>
    <w:rsid w:val="00766AD1"/>
    <w:rsid w:val="00766D17"/>
    <w:rsid w:val="00766DCE"/>
    <w:rsid w:val="007671C1"/>
    <w:rsid w:val="007673E4"/>
    <w:rsid w:val="00767AE2"/>
    <w:rsid w:val="00772073"/>
    <w:rsid w:val="00772569"/>
    <w:rsid w:val="0077274A"/>
    <w:rsid w:val="00772882"/>
    <w:rsid w:val="00772A7A"/>
    <w:rsid w:val="00773321"/>
    <w:rsid w:val="00774764"/>
    <w:rsid w:val="00775029"/>
    <w:rsid w:val="00776008"/>
    <w:rsid w:val="00776278"/>
    <w:rsid w:val="0077714B"/>
    <w:rsid w:val="007777DC"/>
    <w:rsid w:val="007800AB"/>
    <w:rsid w:val="007807E0"/>
    <w:rsid w:val="00781124"/>
    <w:rsid w:val="0078143A"/>
    <w:rsid w:val="00781531"/>
    <w:rsid w:val="00781C30"/>
    <w:rsid w:val="00782602"/>
    <w:rsid w:val="00782839"/>
    <w:rsid w:val="00782913"/>
    <w:rsid w:val="007848EF"/>
    <w:rsid w:val="00784A2E"/>
    <w:rsid w:val="00785CB3"/>
    <w:rsid w:val="00785ED7"/>
    <w:rsid w:val="00786721"/>
    <w:rsid w:val="007869F5"/>
    <w:rsid w:val="00786D83"/>
    <w:rsid w:val="007872CD"/>
    <w:rsid w:val="0078748D"/>
    <w:rsid w:val="007874CB"/>
    <w:rsid w:val="007875AD"/>
    <w:rsid w:val="007877E5"/>
    <w:rsid w:val="00787ECC"/>
    <w:rsid w:val="007909E0"/>
    <w:rsid w:val="00790D16"/>
    <w:rsid w:val="0079127F"/>
    <w:rsid w:val="007919A8"/>
    <w:rsid w:val="00791D12"/>
    <w:rsid w:val="00791E79"/>
    <w:rsid w:val="00793180"/>
    <w:rsid w:val="00793A3D"/>
    <w:rsid w:val="00793EE4"/>
    <w:rsid w:val="007942D9"/>
    <w:rsid w:val="00794600"/>
    <w:rsid w:val="00794DBE"/>
    <w:rsid w:val="00795DE7"/>
    <w:rsid w:val="00796974"/>
    <w:rsid w:val="00796B16"/>
    <w:rsid w:val="007977D3"/>
    <w:rsid w:val="00797C51"/>
    <w:rsid w:val="007A01AB"/>
    <w:rsid w:val="007A1249"/>
    <w:rsid w:val="007A12D8"/>
    <w:rsid w:val="007A1453"/>
    <w:rsid w:val="007A1A73"/>
    <w:rsid w:val="007A1EB5"/>
    <w:rsid w:val="007A20DB"/>
    <w:rsid w:val="007A25E8"/>
    <w:rsid w:val="007A29EA"/>
    <w:rsid w:val="007A307B"/>
    <w:rsid w:val="007A3A97"/>
    <w:rsid w:val="007A3AE4"/>
    <w:rsid w:val="007A4106"/>
    <w:rsid w:val="007A427A"/>
    <w:rsid w:val="007A449C"/>
    <w:rsid w:val="007A455D"/>
    <w:rsid w:val="007A4BCC"/>
    <w:rsid w:val="007A57EF"/>
    <w:rsid w:val="007A5B7D"/>
    <w:rsid w:val="007A5E40"/>
    <w:rsid w:val="007A5E5C"/>
    <w:rsid w:val="007A6875"/>
    <w:rsid w:val="007A68CB"/>
    <w:rsid w:val="007A710A"/>
    <w:rsid w:val="007A7F11"/>
    <w:rsid w:val="007B03F4"/>
    <w:rsid w:val="007B09CD"/>
    <w:rsid w:val="007B2293"/>
    <w:rsid w:val="007B276D"/>
    <w:rsid w:val="007B2A83"/>
    <w:rsid w:val="007B2C3E"/>
    <w:rsid w:val="007B30FF"/>
    <w:rsid w:val="007B3608"/>
    <w:rsid w:val="007B3806"/>
    <w:rsid w:val="007B401E"/>
    <w:rsid w:val="007B40B2"/>
    <w:rsid w:val="007B5113"/>
    <w:rsid w:val="007B5258"/>
    <w:rsid w:val="007B534A"/>
    <w:rsid w:val="007B546A"/>
    <w:rsid w:val="007B5775"/>
    <w:rsid w:val="007B599C"/>
    <w:rsid w:val="007B5ABF"/>
    <w:rsid w:val="007B6715"/>
    <w:rsid w:val="007B6ED3"/>
    <w:rsid w:val="007B772E"/>
    <w:rsid w:val="007B7D6E"/>
    <w:rsid w:val="007C019A"/>
    <w:rsid w:val="007C0338"/>
    <w:rsid w:val="007C04BD"/>
    <w:rsid w:val="007C07BC"/>
    <w:rsid w:val="007C0A5D"/>
    <w:rsid w:val="007C0B5E"/>
    <w:rsid w:val="007C0FE6"/>
    <w:rsid w:val="007C10F8"/>
    <w:rsid w:val="007C13CD"/>
    <w:rsid w:val="007C1B04"/>
    <w:rsid w:val="007C26CF"/>
    <w:rsid w:val="007C29B9"/>
    <w:rsid w:val="007C2A09"/>
    <w:rsid w:val="007C2D25"/>
    <w:rsid w:val="007C42BD"/>
    <w:rsid w:val="007C43E5"/>
    <w:rsid w:val="007C43F2"/>
    <w:rsid w:val="007C4726"/>
    <w:rsid w:val="007C48A6"/>
    <w:rsid w:val="007C54C3"/>
    <w:rsid w:val="007C6142"/>
    <w:rsid w:val="007C618B"/>
    <w:rsid w:val="007C6208"/>
    <w:rsid w:val="007C6428"/>
    <w:rsid w:val="007C6642"/>
    <w:rsid w:val="007C6ADC"/>
    <w:rsid w:val="007C74DB"/>
    <w:rsid w:val="007C75A2"/>
    <w:rsid w:val="007C7725"/>
    <w:rsid w:val="007C7AD3"/>
    <w:rsid w:val="007C7BF0"/>
    <w:rsid w:val="007D097C"/>
    <w:rsid w:val="007D1193"/>
    <w:rsid w:val="007D14E2"/>
    <w:rsid w:val="007D200D"/>
    <w:rsid w:val="007D28E6"/>
    <w:rsid w:val="007D2F44"/>
    <w:rsid w:val="007D3822"/>
    <w:rsid w:val="007D4005"/>
    <w:rsid w:val="007D40B1"/>
    <w:rsid w:val="007D478B"/>
    <w:rsid w:val="007D4CD7"/>
    <w:rsid w:val="007D4F2F"/>
    <w:rsid w:val="007D50B3"/>
    <w:rsid w:val="007D559B"/>
    <w:rsid w:val="007D6016"/>
    <w:rsid w:val="007D705E"/>
    <w:rsid w:val="007D71B8"/>
    <w:rsid w:val="007E0456"/>
    <w:rsid w:val="007E0605"/>
    <w:rsid w:val="007E06FE"/>
    <w:rsid w:val="007E0F80"/>
    <w:rsid w:val="007E1246"/>
    <w:rsid w:val="007E1516"/>
    <w:rsid w:val="007E19F0"/>
    <w:rsid w:val="007E1E24"/>
    <w:rsid w:val="007E24B8"/>
    <w:rsid w:val="007E31F2"/>
    <w:rsid w:val="007E36F2"/>
    <w:rsid w:val="007E40B6"/>
    <w:rsid w:val="007E40E5"/>
    <w:rsid w:val="007E4F98"/>
    <w:rsid w:val="007E5700"/>
    <w:rsid w:val="007E5D39"/>
    <w:rsid w:val="007E5DAA"/>
    <w:rsid w:val="007E61AC"/>
    <w:rsid w:val="007E628A"/>
    <w:rsid w:val="007E64CB"/>
    <w:rsid w:val="007E6D0C"/>
    <w:rsid w:val="007E72F8"/>
    <w:rsid w:val="007E736C"/>
    <w:rsid w:val="007E7A12"/>
    <w:rsid w:val="007E7BE7"/>
    <w:rsid w:val="007E7C6F"/>
    <w:rsid w:val="007E7E72"/>
    <w:rsid w:val="007F06D7"/>
    <w:rsid w:val="007F0DB7"/>
    <w:rsid w:val="007F102A"/>
    <w:rsid w:val="007F141D"/>
    <w:rsid w:val="007F1805"/>
    <w:rsid w:val="007F1BAC"/>
    <w:rsid w:val="007F1C4D"/>
    <w:rsid w:val="007F1C5A"/>
    <w:rsid w:val="007F2B62"/>
    <w:rsid w:val="007F427B"/>
    <w:rsid w:val="007F436F"/>
    <w:rsid w:val="007F4B14"/>
    <w:rsid w:val="007F519A"/>
    <w:rsid w:val="007F5601"/>
    <w:rsid w:val="007F58D1"/>
    <w:rsid w:val="007F5A49"/>
    <w:rsid w:val="007F5A79"/>
    <w:rsid w:val="007F5F20"/>
    <w:rsid w:val="007F6238"/>
    <w:rsid w:val="007F66F8"/>
    <w:rsid w:val="007F69D2"/>
    <w:rsid w:val="007F7979"/>
    <w:rsid w:val="007F7A43"/>
    <w:rsid w:val="007F7C49"/>
    <w:rsid w:val="007F7D2E"/>
    <w:rsid w:val="007F7F08"/>
    <w:rsid w:val="00800256"/>
    <w:rsid w:val="008013BD"/>
    <w:rsid w:val="0080177A"/>
    <w:rsid w:val="00801E31"/>
    <w:rsid w:val="008021CD"/>
    <w:rsid w:val="008021F0"/>
    <w:rsid w:val="00802357"/>
    <w:rsid w:val="0080249A"/>
    <w:rsid w:val="00802C80"/>
    <w:rsid w:val="008041A6"/>
    <w:rsid w:val="008055B0"/>
    <w:rsid w:val="008056AE"/>
    <w:rsid w:val="00805859"/>
    <w:rsid w:val="008058F3"/>
    <w:rsid w:val="00805BBD"/>
    <w:rsid w:val="00805CC3"/>
    <w:rsid w:val="008063DC"/>
    <w:rsid w:val="00806C11"/>
    <w:rsid w:val="00806E08"/>
    <w:rsid w:val="00807D19"/>
    <w:rsid w:val="008102BC"/>
    <w:rsid w:val="00810BBB"/>
    <w:rsid w:val="008113BF"/>
    <w:rsid w:val="0081216B"/>
    <w:rsid w:val="00812A5A"/>
    <w:rsid w:val="00812E05"/>
    <w:rsid w:val="0081306F"/>
    <w:rsid w:val="00813087"/>
    <w:rsid w:val="00813BA0"/>
    <w:rsid w:val="008140F4"/>
    <w:rsid w:val="00814401"/>
    <w:rsid w:val="00814973"/>
    <w:rsid w:val="0081501E"/>
    <w:rsid w:val="00815B90"/>
    <w:rsid w:val="00815C5B"/>
    <w:rsid w:val="00815DD0"/>
    <w:rsid w:val="00816808"/>
    <w:rsid w:val="00816CD7"/>
    <w:rsid w:val="00817012"/>
    <w:rsid w:val="00817734"/>
    <w:rsid w:val="00817A25"/>
    <w:rsid w:val="00820034"/>
    <w:rsid w:val="008207D9"/>
    <w:rsid w:val="00820872"/>
    <w:rsid w:val="008211E3"/>
    <w:rsid w:val="00822495"/>
    <w:rsid w:val="008227E3"/>
    <w:rsid w:val="008232E4"/>
    <w:rsid w:val="008233C8"/>
    <w:rsid w:val="008237DF"/>
    <w:rsid w:val="00823B39"/>
    <w:rsid w:val="00823F76"/>
    <w:rsid w:val="00824253"/>
    <w:rsid w:val="00824416"/>
    <w:rsid w:val="0082460A"/>
    <w:rsid w:val="008256F3"/>
    <w:rsid w:val="00825CEE"/>
    <w:rsid w:val="00825DCF"/>
    <w:rsid w:val="00825F40"/>
    <w:rsid w:val="00826168"/>
    <w:rsid w:val="0082655B"/>
    <w:rsid w:val="008265BE"/>
    <w:rsid w:val="00826A31"/>
    <w:rsid w:val="00826C87"/>
    <w:rsid w:val="008272C5"/>
    <w:rsid w:val="0083053B"/>
    <w:rsid w:val="0083061E"/>
    <w:rsid w:val="008307C6"/>
    <w:rsid w:val="0083094D"/>
    <w:rsid w:val="00830A92"/>
    <w:rsid w:val="00830CF6"/>
    <w:rsid w:val="00830E4D"/>
    <w:rsid w:val="008314EF"/>
    <w:rsid w:val="00831675"/>
    <w:rsid w:val="00831BD9"/>
    <w:rsid w:val="00831D1C"/>
    <w:rsid w:val="00832069"/>
    <w:rsid w:val="00832AA8"/>
    <w:rsid w:val="00832DB1"/>
    <w:rsid w:val="0083397C"/>
    <w:rsid w:val="00833B1E"/>
    <w:rsid w:val="00833DBC"/>
    <w:rsid w:val="00833E3B"/>
    <w:rsid w:val="0083474F"/>
    <w:rsid w:val="00834B54"/>
    <w:rsid w:val="00835293"/>
    <w:rsid w:val="0083541A"/>
    <w:rsid w:val="008355E6"/>
    <w:rsid w:val="008355EF"/>
    <w:rsid w:val="0083580C"/>
    <w:rsid w:val="00835A53"/>
    <w:rsid w:val="00835EF6"/>
    <w:rsid w:val="00835FB8"/>
    <w:rsid w:val="008362BB"/>
    <w:rsid w:val="00836484"/>
    <w:rsid w:val="0083676A"/>
    <w:rsid w:val="00836A5A"/>
    <w:rsid w:val="00836D49"/>
    <w:rsid w:val="00840028"/>
    <w:rsid w:val="008403E0"/>
    <w:rsid w:val="00840F46"/>
    <w:rsid w:val="008410BE"/>
    <w:rsid w:val="0084186A"/>
    <w:rsid w:val="00841A1D"/>
    <w:rsid w:val="00841DD8"/>
    <w:rsid w:val="0084216E"/>
    <w:rsid w:val="00843191"/>
    <w:rsid w:val="00843492"/>
    <w:rsid w:val="008437DB"/>
    <w:rsid w:val="00843CB0"/>
    <w:rsid w:val="00844C40"/>
    <w:rsid w:val="00845B34"/>
    <w:rsid w:val="00845EB3"/>
    <w:rsid w:val="0084672F"/>
    <w:rsid w:val="008467D8"/>
    <w:rsid w:val="00846AFD"/>
    <w:rsid w:val="00846CF7"/>
    <w:rsid w:val="008470AC"/>
    <w:rsid w:val="008477C8"/>
    <w:rsid w:val="00847C00"/>
    <w:rsid w:val="0085007C"/>
    <w:rsid w:val="008509E5"/>
    <w:rsid w:val="00851436"/>
    <w:rsid w:val="008516B4"/>
    <w:rsid w:val="00851787"/>
    <w:rsid w:val="008519F3"/>
    <w:rsid w:val="00852349"/>
    <w:rsid w:val="00852723"/>
    <w:rsid w:val="008529B9"/>
    <w:rsid w:val="00852A49"/>
    <w:rsid w:val="00854014"/>
    <w:rsid w:val="0085428D"/>
    <w:rsid w:val="00854296"/>
    <w:rsid w:val="00854374"/>
    <w:rsid w:val="008548AD"/>
    <w:rsid w:val="008550D6"/>
    <w:rsid w:val="00855855"/>
    <w:rsid w:val="00856611"/>
    <w:rsid w:val="00856682"/>
    <w:rsid w:val="008566BE"/>
    <w:rsid w:val="00856BD7"/>
    <w:rsid w:val="0085752D"/>
    <w:rsid w:val="00857711"/>
    <w:rsid w:val="0086074C"/>
    <w:rsid w:val="00860DC6"/>
    <w:rsid w:val="0086183F"/>
    <w:rsid w:val="00861CFA"/>
    <w:rsid w:val="00862284"/>
    <w:rsid w:val="0086229A"/>
    <w:rsid w:val="00862976"/>
    <w:rsid w:val="00862BA9"/>
    <w:rsid w:val="00862C74"/>
    <w:rsid w:val="00863224"/>
    <w:rsid w:val="00863A01"/>
    <w:rsid w:val="00863A7D"/>
    <w:rsid w:val="00863D24"/>
    <w:rsid w:val="00863FC5"/>
    <w:rsid w:val="00864605"/>
    <w:rsid w:val="00864D42"/>
    <w:rsid w:val="00865009"/>
    <w:rsid w:val="008659B2"/>
    <w:rsid w:val="00865A54"/>
    <w:rsid w:val="00865DBD"/>
    <w:rsid w:val="00865F1A"/>
    <w:rsid w:val="00866A60"/>
    <w:rsid w:val="00866C95"/>
    <w:rsid w:val="00867234"/>
    <w:rsid w:val="00867ECB"/>
    <w:rsid w:val="0087068A"/>
    <w:rsid w:val="00870C43"/>
    <w:rsid w:val="00871AFA"/>
    <w:rsid w:val="00872365"/>
    <w:rsid w:val="0087245D"/>
    <w:rsid w:val="00872E2A"/>
    <w:rsid w:val="0087362C"/>
    <w:rsid w:val="008737E4"/>
    <w:rsid w:val="008741CF"/>
    <w:rsid w:val="00874330"/>
    <w:rsid w:val="00874CBA"/>
    <w:rsid w:val="00875261"/>
    <w:rsid w:val="008758FE"/>
    <w:rsid w:val="008759FC"/>
    <w:rsid w:val="00875E6D"/>
    <w:rsid w:val="00876221"/>
    <w:rsid w:val="008765A1"/>
    <w:rsid w:val="00876C8A"/>
    <w:rsid w:val="008774D6"/>
    <w:rsid w:val="0087757B"/>
    <w:rsid w:val="00877590"/>
    <w:rsid w:val="008775E8"/>
    <w:rsid w:val="00877AEC"/>
    <w:rsid w:val="00877B2F"/>
    <w:rsid w:val="00877C30"/>
    <w:rsid w:val="00877E43"/>
    <w:rsid w:val="0088054E"/>
    <w:rsid w:val="0088082A"/>
    <w:rsid w:val="0088190B"/>
    <w:rsid w:val="00881F5C"/>
    <w:rsid w:val="00882057"/>
    <w:rsid w:val="008824F7"/>
    <w:rsid w:val="0088256D"/>
    <w:rsid w:val="00883A16"/>
    <w:rsid w:val="008847B7"/>
    <w:rsid w:val="00885240"/>
    <w:rsid w:val="0088555C"/>
    <w:rsid w:val="00885E4E"/>
    <w:rsid w:val="0088620D"/>
    <w:rsid w:val="008863C3"/>
    <w:rsid w:val="00887794"/>
    <w:rsid w:val="008902BA"/>
    <w:rsid w:val="00891728"/>
    <w:rsid w:val="00891868"/>
    <w:rsid w:val="00891F0E"/>
    <w:rsid w:val="00892ABD"/>
    <w:rsid w:val="008936FE"/>
    <w:rsid w:val="008943B8"/>
    <w:rsid w:val="00894BB4"/>
    <w:rsid w:val="00896709"/>
    <w:rsid w:val="00896C13"/>
    <w:rsid w:val="00896EDF"/>
    <w:rsid w:val="0089732A"/>
    <w:rsid w:val="008A04BB"/>
    <w:rsid w:val="008A073F"/>
    <w:rsid w:val="008A0D51"/>
    <w:rsid w:val="008A153F"/>
    <w:rsid w:val="008A18C8"/>
    <w:rsid w:val="008A19F3"/>
    <w:rsid w:val="008A2786"/>
    <w:rsid w:val="008A27BF"/>
    <w:rsid w:val="008A3437"/>
    <w:rsid w:val="008A3524"/>
    <w:rsid w:val="008A4121"/>
    <w:rsid w:val="008A425F"/>
    <w:rsid w:val="008A4660"/>
    <w:rsid w:val="008A4B22"/>
    <w:rsid w:val="008A52ED"/>
    <w:rsid w:val="008A5894"/>
    <w:rsid w:val="008A5FDB"/>
    <w:rsid w:val="008A63F8"/>
    <w:rsid w:val="008A687A"/>
    <w:rsid w:val="008A6AD8"/>
    <w:rsid w:val="008A7A57"/>
    <w:rsid w:val="008A7B81"/>
    <w:rsid w:val="008B0186"/>
    <w:rsid w:val="008B05F0"/>
    <w:rsid w:val="008B0A45"/>
    <w:rsid w:val="008B25E6"/>
    <w:rsid w:val="008B332D"/>
    <w:rsid w:val="008B343A"/>
    <w:rsid w:val="008B34C4"/>
    <w:rsid w:val="008B3B2D"/>
    <w:rsid w:val="008B53D2"/>
    <w:rsid w:val="008B5880"/>
    <w:rsid w:val="008B5B0B"/>
    <w:rsid w:val="008B5C6B"/>
    <w:rsid w:val="008B613C"/>
    <w:rsid w:val="008B672A"/>
    <w:rsid w:val="008B6959"/>
    <w:rsid w:val="008B6F4E"/>
    <w:rsid w:val="008B6F5E"/>
    <w:rsid w:val="008B6FD8"/>
    <w:rsid w:val="008B773B"/>
    <w:rsid w:val="008B7956"/>
    <w:rsid w:val="008C036C"/>
    <w:rsid w:val="008C03F9"/>
    <w:rsid w:val="008C0829"/>
    <w:rsid w:val="008C0D60"/>
    <w:rsid w:val="008C15CD"/>
    <w:rsid w:val="008C2440"/>
    <w:rsid w:val="008C2B52"/>
    <w:rsid w:val="008C2F71"/>
    <w:rsid w:val="008C3138"/>
    <w:rsid w:val="008C3171"/>
    <w:rsid w:val="008C37FD"/>
    <w:rsid w:val="008C3A13"/>
    <w:rsid w:val="008C3B35"/>
    <w:rsid w:val="008C4782"/>
    <w:rsid w:val="008C49BE"/>
    <w:rsid w:val="008C4ED8"/>
    <w:rsid w:val="008C61E2"/>
    <w:rsid w:val="008C7017"/>
    <w:rsid w:val="008C7063"/>
    <w:rsid w:val="008C7212"/>
    <w:rsid w:val="008C7258"/>
    <w:rsid w:val="008C7390"/>
    <w:rsid w:val="008C746C"/>
    <w:rsid w:val="008C7611"/>
    <w:rsid w:val="008C7934"/>
    <w:rsid w:val="008C7AAE"/>
    <w:rsid w:val="008C7D41"/>
    <w:rsid w:val="008C7FD0"/>
    <w:rsid w:val="008D0CBF"/>
    <w:rsid w:val="008D1795"/>
    <w:rsid w:val="008D1A1A"/>
    <w:rsid w:val="008D1B19"/>
    <w:rsid w:val="008D1D88"/>
    <w:rsid w:val="008D26D8"/>
    <w:rsid w:val="008D34AF"/>
    <w:rsid w:val="008D3F08"/>
    <w:rsid w:val="008D44E1"/>
    <w:rsid w:val="008D4619"/>
    <w:rsid w:val="008D474B"/>
    <w:rsid w:val="008D48C8"/>
    <w:rsid w:val="008D48E7"/>
    <w:rsid w:val="008D538A"/>
    <w:rsid w:val="008D5771"/>
    <w:rsid w:val="008D5A4F"/>
    <w:rsid w:val="008D5B43"/>
    <w:rsid w:val="008D5C35"/>
    <w:rsid w:val="008D6251"/>
    <w:rsid w:val="008D6561"/>
    <w:rsid w:val="008D6668"/>
    <w:rsid w:val="008D6728"/>
    <w:rsid w:val="008D698F"/>
    <w:rsid w:val="008D74B1"/>
    <w:rsid w:val="008D7656"/>
    <w:rsid w:val="008D7F49"/>
    <w:rsid w:val="008D7FA5"/>
    <w:rsid w:val="008E0075"/>
    <w:rsid w:val="008E022C"/>
    <w:rsid w:val="008E0256"/>
    <w:rsid w:val="008E0732"/>
    <w:rsid w:val="008E0B45"/>
    <w:rsid w:val="008E0FC9"/>
    <w:rsid w:val="008E1628"/>
    <w:rsid w:val="008E1B61"/>
    <w:rsid w:val="008E1EBB"/>
    <w:rsid w:val="008E2B76"/>
    <w:rsid w:val="008E2BD7"/>
    <w:rsid w:val="008E2D79"/>
    <w:rsid w:val="008E2EC3"/>
    <w:rsid w:val="008E327A"/>
    <w:rsid w:val="008E3919"/>
    <w:rsid w:val="008E3AF2"/>
    <w:rsid w:val="008E41B7"/>
    <w:rsid w:val="008E44AD"/>
    <w:rsid w:val="008E5E03"/>
    <w:rsid w:val="008E6327"/>
    <w:rsid w:val="008E6500"/>
    <w:rsid w:val="008E6728"/>
    <w:rsid w:val="008E68EF"/>
    <w:rsid w:val="008E6B73"/>
    <w:rsid w:val="008E6FFC"/>
    <w:rsid w:val="008E7824"/>
    <w:rsid w:val="008E7D48"/>
    <w:rsid w:val="008E7E84"/>
    <w:rsid w:val="008F001B"/>
    <w:rsid w:val="008F0964"/>
    <w:rsid w:val="008F1A2A"/>
    <w:rsid w:val="008F2A35"/>
    <w:rsid w:val="008F2B42"/>
    <w:rsid w:val="008F2C51"/>
    <w:rsid w:val="008F2D3B"/>
    <w:rsid w:val="008F364E"/>
    <w:rsid w:val="008F3EE2"/>
    <w:rsid w:val="008F47C4"/>
    <w:rsid w:val="008F48D5"/>
    <w:rsid w:val="008F5690"/>
    <w:rsid w:val="008F6408"/>
    <w:rsid w:val="008F6D66"/>
    <w:rsid w:val="008F6F48"/>
    <w:rsid w:val="008F7627"/>
    <w:rsid w:val="008F7E8C"/>
    <w:rsid w:val="009007AF"/>
    <w:rsid w:val="00900D67"/>
    <w:rsid w:val="00901159"/>
    <w:rsid w:val="009013DD"/>
    <w:rsid w:val="0090170C"/>
    <w:rsid w:val="00901F91"/>
    <w:rsid w:val="00902636"/>
    <w:rsid w:val="009028D2"/>
    <w:rsid w:val="00902DEE"/>
    <w:rsid w:val="00902EE1"/>
    <w:rsid w:val="009033A2"/>
    <w:rsid w:val="00903ECE"/>
    <w:rsid w:val="00903FD9"/>
    <w:rsid w:val="0090478A"/>
    <w:rsid w:val="0090481C"/>
    <w:rsid w:val="0090483C"/>
    <w:rsid w:val="00904948"/>
    <w:rsid w:val="00904E9D"/>
    <w:rsid w:val="00904FE8"/>
    <w:rsid w:val="009052A9"/>
    <w:rsid w:val="009052CD"/>
    <w:rsid w:val="009054F2"/>
    <w:rsid w:val="00906125"/>
    <w:rsid w:val="00906366"/>
    <w:rsid w:val="00906886"/>
    <w:rsid w:val="00906BD4"/>
    <w:rsid w:val="009070C7"/>
    <w:rsid w:val="0090723F"/>
    <w:rsid w:val="0091022F"/>
    <w:rsid w:val="00910CB9"/>
    <w:rsid w:val="00910CD2"/>
    <w:rsid w:val="00911552"/>
    <w:rsid w:val="00912768"/>
    <w:rsid w:val="00912CB8"/>
    <w:rsid w:val="00912DA4"/>
    <w:rsid w:val="00913747"/>
    <w:rsid w:val="00913AE3"/>
    <w:rsid w:val="0091439A"/>
    <w:rsid w:val="00914518"/>
    <w:rsid w:val="00914A82"/>
    <w:rsid w:val="00914CDE"/>
    <w:rsid w:val="00915273"/>
    <w:rsid w:val="00915699"/>
    <w:rsid w:val="00915BF3"/>
    <w:rsid w:val="00915C4C"/>
    <w:rsid w:val="0091675A"/>
    <w:rsid w:val="009167A5"/>
    <w:rsid w:val="00916D2D"/>
    <w:rsid w:val="009176F9"/>
    <w:rsid w:val="0091785E"/>
    <w:rsid w:val="00917B5B"/>
    <w:rsid w:val="00920019"/>
    <w:rsid w:val="00920852"/>
    <w:rsid w:val="00920A9F"/>
    <w:rsid w:val="00920C8C"/>
    <w:rsid w:val="00920FB9"/>
    <w:rsid w:val="00921DF0"/>
    <w:rsid w:val="009220F9"/>
    <w:rsid w:val="00922A43"/>
    <w:rsid w:val="0092389C"/>
    <w:rsid w:val="009238F3"/>
    <w:rsid w:val="00923981"/>
    <w:rsid w:val="009239C9"/>
    <w:rsid w:val="00924718"/>
    <w:rsid w:val="00924F00"/>
    <w:rsid w:val="00925863"/>
    <w:rsid w:val="00925961"/>
    <w:rsid w:val="00926137"/>
    <w:rsid w:val="0092645A"/>
    <w:rsid w:val="00926667"/>
    <w:rsid w:val="009267A4"/>
    <w:rsid w:val="00926A5E"/>
    <w:rsid w:val="00926C28"/>
    <w:rsid w:val="00927079"/>
    <w:rsid w:val="009303CB"/>
    <w:rsid w:val="0093135B"/>
    <w:rsid w:val="00931996"/>
    <w:rsid w:val="00931BCA"/>
    <w:rsid w:val="00931EBD"/>
    <w:rsid w:val="00932669"/>
    <w:rsid w:val="00932966"/>
    <w:rsid w:val="00932AB1"/>
    <w:rsid w:val="009333D9"/>
    <w:rsid w:val="009338B8"/>
    <w:rsid w:val="00933B13"/>
    <w:rsid w:val="00933EBC"/>
    <w:rsid w:val="00933F3C"/>
    <w:rsid w:val="009340D7"/>
    <w:rsid w:val="0093423D"/>
    <w:rsid w:val="0093443C"/>
    <w:rsid w:val="00934EC3"/>
    <w:rsid w:val="00934FA0"/>
    <w:rsid w:val="00934FE0"/>
    <w:rsid w:val="0093549A"/>
    <w:rsid w:val="00935B45"/>
    <w:rsid w:val="0093631D"/>
    <w:rsid w:val="00936390"/>
    <w:rsid w:val="009367A1"/>
    <w:rsid w:val="00937009"/>
    <w:rsid w:val="00937182"/>
    <w:rsid w:val="00937BAA"/>
    <w:rsid w:val="00937D43"/>
    <w:rsid w:val="00937D94"/>
    <w:rsid w:val="00940058"/>
    <w:rsid w:val="009402ED"/>
    <w:rsid w:val="009421E2"/>
    <w:rsid w:val="00942C84"/>
    <w:rsid w:val="0094356E"/>
    <w:rsid w:val="00943AE4"/>
    <w:rsid w:val="00943C3C"/>
    <w:rsid w:val="009443C2"/>
    <w:rsid w:val="00944475"/>
    <w:rsid w:val="00944D0B"/>
    <w:rsid w:val="0094516A"/>
    <w:rsid w:val="0094530B"/>
    <w:rsid w:val="00945414"/>
    <w:rsid w:val="00945EB3"/>
    <w:rsid w:val="00945F7C"/>
    <w:rsid w:val="009463DE"/>
    <w:rsid w:val="009464D3"/>
    <w:rsid w:val="009468A0"/>
    <w:rsid w:val="009469AF"/>
    <w:rsid w:val="0094759A"/>
    <w:rsid w:val="00947A28"/>
    <w:rsid w:val="00947DCB"/>
    <w:rsid w:val="00947ED9"/>
    <w:rsid w:val="009502C2"/>
    <w:rsid w:val="009511AC"/>
    <w:rsid w:val="009514ED"/>
    <w:rsid w:val="00952453"/>
    <w:rsid w:val="00952578"/>
    <w:rsid w:val="0095261E"/>
    <w:rsid w:val="00952C2F"/>
    <w:rsid w:val="00952C7D"/>
    <w:rsid w:val="00953647"/>
    <w:rsid w:val="0095453C"/>
    <w:rsid w:val="00954782"/>
    <w:rsid w:val="009559BE"/>
    <w:rsid w:val="00955A28"/>
    <w:rsid w:val="00955CD3"/>
    <w:rsid w:val="00955F7D"/>
    <w:rsid w:val="0095636F"/>
    <w:rsid w:val="00956FE9"/>
    <w:rsid w:val="009574AF"/>
    <w:rsid w:val="009579AA"/>
    <w:rsid w:val="00960C7F"/>
    <w:rsid w:val="00960F2D"/>
    <w:rsid w:val="00961075"/>
    <w:rsid w:val="009610B3"/>
    <w:rsid w:val="009610FE"/>
    <w:rsid w:val="0096118F"/>
    <w:rsid w:val="00961263"/>
    <w:rsid w:val="009614BC"/>
    <w:rsid w:val="009617C1"/>
    <w:rsid w:val="00961A13"/>
    <w:rsid w:val="00962CFF"/>
    <w:rsid w:val="00963315"/>
    <w:rsid w:val="0096332C"/>
    <w:rsid w:val="00963687"/>
    <w:rsid w:val="00963D98"/>
    <w:rsid w:val="009644E2"/>
    <w:rsid w:val="009646FF"/>
    <w:rsid w:val="0096487A"/>
    <w:rsid w:val="00964BF3"/>
    <w:rsid w:val="00964CF4"/>
    <w:rsid w:val="00965D4A"/>
    <w:rsid w:val="00965E08"/>
    <w:rsid w:val="009662C2"/>
    <w:rsid w:val="00966896"/>
    <w:rsid w:val="00967481"/>
    <w:rsid w:val="009675F6"/>
    <w:rsid w:val="00967FAB"/>
    <w:rsid w:val="0097001E"/>
    <w:rsid w:val="009700E6"/>
    <w:rsid w:val="009705F3"/>
    <w:rsid w:val="00970B14"/>
    <w:rsid w:val="009715F2"/>
    <w:rsid w:val="00971908"/>
    <w:rsid w:val="00971B44"/>
    <w:rsid w:val="00972848"/>
    <w:rsid w:val="00972E18"/>
    <w:rsid w:val="009735D7"/>
    <w:rsid w:val="00973A0A"/>
    <w:rsid w:val="00973C64"/>
    <w:rsid w:val="0097449B"/>
    <w:rsid w:val="00974C30"/>
    <w:rsid w:val="00974F05"/>
    <w:rsid w:val="0097505C"/>
    <w:rsid w:val="00975275"/>
    <w:rsid w:val="0097558C"/>
    <w:rsid w:val="00976293"/>
    <w:rsid w:val="009763C3"/>
    <w:rsid w:val="0097685C"/>
    <w:rsid w:val="00976A56"/>
    <w:rsid w:val="009773F5"/>
    <w:rsid w:val="00977492"/>
    <w:rsid w:val="00977933"/>
    <w:rsid w:val="00977D37"/>
    <w:rsid w:val="00977E43"/>
    <w:rsid w:val="00980B65"/>
    <w:rsid w:val="00981815"/>
    <w:rsid w:val="00981A05"/>
    <w:rsid w:val="00982434"/>
    <w:rsid w:val="0098278B"/>
    <w:rsid w:val="009829BE"/>
    <w:rsid w:val="00982C30"/>
    <w:rsid w:val="00982D36"/>
    <w:rsid w:val="0098305C"/>
    <w:rsid w:val="00983B7A"/>
    <w:rsid w:val="0098405C"/>
    <w:rsid w:val="0098433E"/>
    <w:rsid w:val="00984503"/>
    <w:rsid w:val="00985A10"/>
    <w:rsid w:val="00985B11"/>
    <w:rsid w:val="00985CA9"/>
    <w:rsid w:val="009866A8"/>
    <w:rsid w:val="00987001"/>
    <w:rsid w:val="009870F9"/>
    <w:rsid w:val="00987710"/>
    <w:rsid w:val="009911E0"/>
    <w:rsid w:val="0099141D"/>
    <w:rsid w:val="009914C9"/>
    <w:rsid w:val="009914CB"/>
    <w:rsid w:val="00991986"/>
    <w:rsid w:val="0099262C"/>
    <w:rsid w:val="009927CB"/>
    <w:rsid w:val="00992CF8"/>
    <w:rsid w:val="00993CDB"/>
    <w:rsid w:val="00994260"/>
    <w:rsid w:val="009942DB"/>
    <w:rsid w:val="0099451A"/>
    <w:rsid w:val="00994D02"/>
    <w:rsid w:val="009951E7"/>
    <w:rsid w:val="0099539F"/>
    <w:rsid w:val="009955DF"/>
    <w:rsid w:val="00995913"/>
    <w:rsid w:val="0099660B"/>
    <w:rsid w:val="009967A3"/>
    <w:rsid w:val="0099698B"/>
    <w:rsid w:val="00996A73"/>
    <w:rsid w:val="00996DFE"/>
    <w:rsid w:val="00996EA7"/>
    <w:rsid w:val="0099782D"/>
    <w:rsid w:val="00997A0B"/>
    <w:rsid w:val="00997FE5"/>
    <w:rsid w:val="009A0669"/>
    <w:rsid w:val="009A06FF"/>
    <w:rsid w:val="009A075C"/>
    <w:rsid w:val="009A0781"/>
    <w:rsid w:val="009A087F"/>
    <w:rsid w:val="009A08C0"/>
    <w:rsid w:val="009A0948"/>
    <w:rsid w:val="009A0C22"/>
    <w:rsid w:val="009A11E6"/>
    <w:rsid w:val="009A162F"/>
    <w:rsid w:val="009A1766"/>
    <w:rsid w:val="009A2158"/>
    <w:rsid w:val="009A291D"/>
    <w:rsid w:val="009A2B34"/>
    <w:rsid w:val="009A2C74"/>
    <w:rsid w:val="009A3D83"/>
    <w:rsid w:val="009A4450"/>
    <w:rsid w:val="009A45A0"/>
    <w:rsid w:val="009A4C95"/>
    <w:rsid w:val="009A4F58"/>
    <w:rsid w:val="009A56D5"/>
    <w:rsid w:val="009A5734"/>
    <w:rsid w:val="009A5A09"/>
    <w:rsid w:val="009A7071"/>
    <w:rsid w:val="009A7145"/>
    <w:rsid w:val="009A76E7"/>
    <w:rsid w:val="009A7941"/>
    <w:rsid w:val="009A7B58"/>
    <w:rsid w:val="009A7C63"/>
    <w:rsid w:val="009B049C"/>
    <w:rsid w:val="009B154A"/>
    <w:rsid w:val="009B1676"/>
    <w:rsid w:val="009B1A1C"/>
    <w:rsid w:val="009B1BF5"/>
    <w:rsid w:val="009B1D45"/>
    <w:rsid w:val="009B2E28"/>
    <w:rsid w:val="009B2FCA"/>
    <w:rsid w:val="009B34BF"/>
    <w:rsid w:val="009B45F8"/>
    <w:rsid w:val="009B4ABB"/>
    <w:rsid w:val="009B4DBB"/>
    <w:rsid w:val="009B50D1"/>
    <w:rsid w:val="009B56F3"/>
    <w:rsid w:val="009B579A"/>
    <w:rsid w:val="009B6483"/>
    <w:rsid w:val="009B6677"/>
    <w:rsid w:val="009B7626"/>
    <w:rsid w:val="009B777E"/>
    <w:rsid w:val="009B7CFA"/>
    <w:rsid w:val="009C0507"/>
    <w:rsid w:val="009C064E"/>
    <w:rsid w:val="009C08AD"/>
    <w:rsid w:val="009C0E09"/>
    <w:rsid w:val="009C17D7"/>
    <w:rsid w:val="009C19DA"/>
    <w:rsid w:val="009C1CE4"/>
    <w:rsid w:val="009C1FCF"/>
    <w:rsid w:val="009C2044"/>
    <w:rsid w:val="009C22C8"/>
    <w:rsid w:val="009C2385"/>
    <w:rsid w:val="009C37D4"/>
    <w:rsid w:val="009C38F3"/>
    <w:rsid w:val="009C3A4B"/>
    <w:rsid w:val="009C3B6F"/>
    <w:rsid w:val="009C41DC"/>
    <w:rsid w:val="009C4221"/>
    <w:rsid w:val="009C475B"/>
    <w:rsid w:val="009C54B4"/>
    <w:rsid w:val="009C5596"/>
    <w:rsid w:val="009C5C2A"/>
    <w:rsid w:val="009C6878"/>
    <w:rsid w:val="009C7407"/>
    <w:rsid w:val="009C751B"/>
    <w:rsid w:val="009C7812"/>
    <w:rsid w:val="009D0C40"/>
    <w:rsid w:val="009D1558"/>
    <w:rsid w:val="009D1603"/>
    <w:rsid w:val="009D1738"/>
    <w:rsid w:val="009D19BF"/>
    <w:rsid w:val="009D222A"/>
    <w:rsid w:val="009D24E9"/>
    <w:rsid w:val="009D2C27"/>
    <w:rsid w:val="009D2D3A"/>
    <w:rsid w:val="009D345F"/>
    <w:rsid w:val="009D35FA"/>
    <w:rsid w:val="009D3A6F"/>
    <w:rsid w:val="009D439B"/>
    <w:rsid w:val="009D4487"/>
    <w:rsid w:val="009D4888"/>
    <w:rsid w:val="009D4935"/>
    <w:rsid w:val="009D52B5"/>
    <w:rsid w:val="009D5ACE"/>
    <w:rsid w:val="009D5F64"/>
    <w:rsid w:val="009D62DD"/>
    <w:rsid w:val="009D6340"/>
    <w:rsid w:val="009D64CC"/>
    <w:rsid w:val="009D7A2A"/>
    <w:rsid w:val="009E0125"/>
    <w:rsid w:val="009E0425"/>
    <w:rsid w:val="009E0836"/>
    <w:rsid w:val="009E0B27"/>
    <w:rsid w:val="009E0F13"/>
    <w:rsid w:val="009E1081"/>
    <w:rsid w:val="009E1613"/>
    <w:rsid w:val="009E194F"/>
    <w:rsid w:val="009E1C1E"/>
    <w:rsid w:val="009E1D26"/>
    <w:rsid w:val="009E1E93"/>
    <w:rsid w:val="009E2349"/>
    <w:rsid w:val="009E34C6"/>
    <w:rsid w:val="009E3ABE"/>
    <w:rsid w:val="009E3F2D"/>
    <w:rsid w:val="009E468F"/>
    <w:rsid w:val="009E4770"/>
    <w:rsid w:val="009E4C20"/>
    <w:rsid w:val="009E4FC2"/>
    <w:rsid w:val="009E51C2"/>
    <w:rsid w:val="009E5442"/>
    <w:rsid w:val="009E6201"/>
    <w:rsid w:val="009E6936"/>
    <w:rsid w:val="009E6E89"/>
    <w:rsid w:val="009E7A1D"/>
    <w:rsid w:val="009E7D18"/>
    <w:rsid w:val="009F03D2"/>
    <w:rsid w:val="009F08D2"/>
    <w:rsid w:val="009F0ACC"/>
    <w:rsid w:val="009F0B74"/>
    <w:rsid w:val="009F17BA"/>
    <w:rsid w:val="009F256F"/>
    <w:rsid w:val="009F26F2"/>
    <w:rsid w:val="009F28DF"/>
    <w:rsid w:val="009F2CF3"/>
    <w:rsid w:val="009F35B7"/>
    <w:rsid w:val="009F41BA"/>
    <w:rsid w:val="009F466B"/>
    <w:rsid w:val="009F4E35"/>
    <w:rsid w:val="009F4FA9"/>
    <w:rsid w:val="009F5D28"/>
    <w:rsid w:val="009F6266"/>
    <w:rsid w:val="009F66E0"/>
    <w:rsid w:val="009F6847"/>
    <w:rsid w:val="009F6AC9"/>
    <w:rsid w:val="009F6DA3"/>
    <w:rsid w:val="009F6FE6"/>
    <w:rsid w:val="009F72EE"/>
    <w:rsid w:val="009F7742"/>
    <w:rsid w:val="009F79B5"/>
    <w:rsid w:val="00A002E3"/>
    <w:rsid w:val="00A00D48"/>
    <w:rsid w:val="00A0183D"/>
    <w:rsid w:val="00A01CB8"/>
    <w:rsid w:val="00A01E86"/>
    <w:rsid w:val="00A0237E"/>
    <w:rsid w:val="00A031AA"/>
    <w:rsid w:val="00A0391F"/>
    <w:rsid w:val="00A03B98"/>
    <w:rsid w:val="00A03BC6"/>
    <w:rsid w:val="00A041DF"/>
    <w:rsid w:val="00A042C2"/>
    <w:rsid w:val="00A0446E"/>
    <w:rsid w:val="00A046A2"/>
    <w:rsid w:val="00A04B7C"/>
    <w:rsid w:val="00A04FF1"/>
    <w:rsid w:val="00A0546C"/>
    <w:rsid w:val="00A05664"/>
    <w:rsid w:val="00A057AB"/>
    <w:rsid w:val="00A05948"/>
    <w:rsid w:val="00A06508"/>
    <w:rsid w:val="00A07147"/>
    <w:rsid w:val="00A072C6"/>
    <w:rsid w:val="00A0759C"/>
    <w:rsid w:val="00A076D6"/>
    <w:rsid w:val="00A0790E"/>
    <w:rsid w:val="00A100EA"/>
    <w:rsid w:val="00A10A7B"/>
    <w:rsid w:val="00A10E03"/>
    <w:rsid w:val="00A11B85"/>
    <w:rsid w:val="00A121F6"/>
    <w:rsid w:val="00A121FE"/>
    <w:rsid w:val="00A125F2"/>
    <w:rsid w:val="00A12949"/>
    <w:rsid w:val="00A12B40"/>
    <w:rsid w:val="00A13BBA"/>
    <w:rsid w:val="00A149E0"/>
    <w:rsid w:val="00A150FA"/>
    <w:rsid w:val="00A15457"/>
    <w:rsid w:val="00A15CEE"/>
    <w:rsid w:val="00A164DC"/>
    <w:rsid w:val="00A166AC"/>
    <w:rsid w:val="00A16838"/>
    <w:rsid w:val="00A16ED9"/>
    <w:rsid w:val="00A17066"/>
    <w:rsid w:val="00A17424"/>
    <w:rsid w:val="00A17661"/>
    <w:rsid w:val="00A1776C"/>
    <w:rsid w:val="00A17972"/>
    <w:rsid w:val="00A17A14"/>
    <w:rsid w:val="00A17EBF"/>
    <w:rsid w:val="00A20325"/>
    <w:rsid w:val="00A205B0"/>
    <w:rsid w:val="00A21335"/>
    <w:rsid w:val="00A21397"/>
    <w:rsid w:val="00A21448"/>
    <w:rsid w:val="00A21672"/>
    <w:rsid w:val="00A21F6D"/>
    <w:rsid w:val="00A22EC2"/>
    <w:rsid w:val="00A22F97"/>
    <w:rsid w:val="00A232C1"/>
    <w:rsid w:val="00A23501"/>
    <w:rsid w:val="00A2354A"/>
    <w:rsid w:val="00A2354C"/>
    <w:rsid w:val="00A2572A"/>
    <w:rsid w:val="00A26080"/>
    <w:rsid w:val="00A26A22"/>
    <w:rsid w:val="00A26E11"/>
    <w:rsid w:val="00A273E5"/>
    <w:rsid w:val="00A301C6"/>
    <w:rsid w:val="00A30267"/>
    <w:rsid w:val="00A30E48"/>
    <w:rsid w:val="00A310F4"/>
    <w:rsid w:val="00A3159F"/>
    <w:rsid w:val="00A31779"/>
    <w:rsid w:val="00A3222C"/>
    <w:rsid w:val="00A329CF"/>
    <w:rsid w:val="00A32BF7"/>
    <w:rsid w:val="00A32C64"/>
    <w:rsid w:val="00A32E42"/>
    <w:rsid w:val="00A33B7C"/>
    <w:rsid w:val="00A33DA0"/>
    <w:rsid w:val="00A34645"/>
    <w:rsid w:val="00A34EF7"/>
    <w:rsid w:val="00A352D2"/>
    <w:rsid w:val="00A3594E"/>
    <w:rsid w:val="00A35E9A"/>
    <w:rsid w:val="00A36A49"/>
    <w:rsid w:val="00A36A54"/>
    <w:rsid w:val="00A37757"/>
    <w:rsid w:val="00A3798F"/>
    <w:rsid w:val="00A407B5"/>
    <w:rsid w:val="00A41172"/>
    <w:rsid w:val="00A4145E"/>
    <w:rsid w:val="00A41CF7"/>
    <w:rsid w:val="00A42180"/>
    <w:rsid w:val="00A4255A"/>
    <w:rsid w:val="00A43284"/>
    <w:rsid w:val="00A43398"/>
    <w:rsid w:val="00A436C6"/>
    <w:rsid w:val="00A43C52"/>
    <w:rsid w:val="00A43F35"/>
    <w:rsid w:val="00A4407F"/>
    <w:rsid w:val="00A444B4"/>
    <w:rsid w:val="00A44C21"/>
    <w:rsid w:val="00A45563"/>
    <w:rsid w:val="00A45BAC"/>
    <w:rsid w:val="00A465EA"/>
    <w:rsid w:val="00A47523"/>
    <w:rsid w:val="00A47671"/>
    <w:rsid w:val="00A477E2"/>
    <w:rsid w:val="00A47A63"/>
    <w:rsid w:val="00A5025E"/>
    <w:rsid w:val="00A50B13"/>
    <w:rsid w:val="00A50ED3"/>
    <w:rsid w:val="00A514F0"/>
    <w:rsid w:val="00A5173B"/>
    <w:rsid w:val="00A5214E"/>
    <w:rsid w:val="00A521D0"/>
    <w:rsid w:val="00A52E74"/>
    <w:rsid w:val="00A52E92"/>
    <w:rsid w:val="00A5417B"/>
    <w:rsid w:val="00A5502E"/>
    <w:rsid w:val="00A554F9"/>
    <w:rsid w:val="00A55767"/>
    <w:rsid w:val="00A557FC"/>
    <w:rsid w:val="00A55B88"/>
    <w:rsid w:val="00A55BEC"/>
    <w:rsid w:val="00A56055"/>
    <w:rsid w:val="00A561E7"/>
    <w:rsid w:val="00A5632F"/>
    <w:rsid w:val="00A563E6"/>
    <w:rsid w:val="00A571BA"/>
    <w:rsid w:val="00A57455"/>
    <w:rsid w:val="00A57470"/>
    <w:rsid w:val="00A60095"/>
    <w:rsid w:val="00A60185"/>
    <w:rsid w:val="00A60243"/>
    <w:rsid w:val="00A60E02"/>
    <w:rsid w:val="00A61A36"/>
    <w:rsid w:val="00A61E1F"/>
    <w:rsid w:val="00A62274"/>
    <w:rsid w:val="00A6230C"/>
    <w:rsid w:val="00A62586"/>
    <w:rsid w:val="00A62630"/>
    <w:rsid w:val="00A6310A"/>
    <w:rsid w:val="00A632AE"/>
    <w:rsid w:val="00A632D9"/>
    <w:rsid w:val="00A63764"/>
    <w:rsid w:val="00A63B67"/>
    <w:rsid w:val="00A642AF"/>
    <w:rsid w:val="00A650FC"/>
    <w:rsid w:val="00A65522"/>
    <w:rsid w:val="00A658F1"/>
    <w:rsid w:val="00A66274"/>
    <w:rsid w:val="00A6697E"/>
    <w:rsid w:val="00A67254"/>
    <w:rsid w:val="00A674D6"/>
    <w:rsid w:val="00A6798A"/>
    <w:rsid w:val="00A71397"/>
    <w:rsid w:val="00A71BF1"/>
    <w:rsid w:val="00A72426"/>
    <w:rsid w:val="00A72E08"/>
    <w:rsid w:val="00A72F61"/>
    <w:rsid w:val="00A738D1"/>
    <w:rsid w:val="00A73A91"/>
    <w:rsid w:val="00A740EF"/>
    <w:rsid w:val="00A743D9"/>
    <w:rsid w:val="00A74C45"/>
    <w:rsid w:val="00A74CDA"/>
    <w:rsid w:val="00A753D5"/>
    <w:rsid w:val="00A75988"/>
    <w:rsid w:val="00A75F62"/>
    <w:rsid w:val="00A76461"/>
    <w:rsid w:val="00A7658B"/>
    <w:rsid w:val="00A76BB1"/>
    <w:rsid w:val="00A76ECD"/>
    <w:rsid w:val="00A76FBF"/>
    <w:rsid w:val="00A77452"/>
    <w:rsid w:val="00A7786A"/>
    <w:rsid w:val="00A77A4E"/>
    <w:rsid w:val="00A77B85"/>
    <w:rsid w:val="00A77D33"/>
    <w:rsid w:val="00A8068D"/>
    <w:rsid w:val="00A81AE2"/>
    <w:rsid w:val="00A825FD"/>
    <w:rsid w:val="00A8277F"/>
    <w:rsid w:val="00A8281D"/>
    <w:rsid w:val="00A8291C"/>
    <w:rsid w:val="00A82B6F"/>
    <w:rsid w:val="00A83D92"/>
    <w:rsid w:val="00A83FF4"/>
    <w:rsid w:val="00A8435F"/>
    <w:rsid w:val="00A8492C"/>
    <w:rsid w:val="00A85026"/>
    <w:rsid w:val="00A85432"/>
    <w:rsid w:val="00A85E68"/>
    <w:rsid w:val="00A85E6F"/>
    <w:rsid w:val="00A86888"/>
    <w:rsid w:val="00A86970"/>
    <w:rsid w:val="00A86F40"/>
    <w:rsid w:val="00A870CA"/>
    <w:rsid w:val="00A87527"/>
    <w:rsid w:val="00A8781D"/>
    <w:rsid w:val="00A878C9"/>
    <w:rsid w:val="00A904B5"/>
    <w:rsid w:val="00A90F80"/>
    <w:rsid w:val="00A91501"/>
    <w:rsid w:val="00A91AED"/>
    <w:rsid w:val="00A91DF9"/>
    <w:rsid w:val="00A91FF2"/>
    <w:rsid w:val="00A92044"/>
    <w:rsid w:val="00A9218B"/>
    <w:rsid w:val="00A9219A"/>
    <w:rsid w:val="00A93051"/>
    <w:rsid w:val="00A935FE"/>
    <w:rsid w:val="00A9379F"/>
    <w:rsid w:val="00A94240"/>
    <w:rsid w:val="00A942BA"/>
    <w:rsid w:val="00A960CF"/>
    <w:rsid w:val="00A96754"/>
    <w:rsid w:val="00A96AA2"/>
    <w:rsid w:val="00A96B16"/>
    <w:rsid w:val="00A97EEE"/>
    <w:rsid w:val="00A97FF8"/>
    <w:rsid w:val="00AA0189"/>
    <w:rsid w:val="00AA1C41"/>
    <w:rsid w:val="00AA23FE"/>
    <w:rsid w:val="00AA2983"/>
    <w:rsid w:val="00AA2B52"/>
    <w:rsid w:val="00AA2D28"/>
    <w:rsid w:val="00AA2DCA"/>
    <w:rsid w:val="00AA3056"/>
    <w:rsid w:val="00AA33C8"/>
    <w:rsid w:val="00AA345F"/>
    <w:rsid w:val="00AA3B92"/>
    <w:rsid w:val="00AA3DA5"/>
    <w:rsid w:val="00AA3ED7"/>
    <w:rsid w:val="00AA4DAF"/>
    <w:rsid w:val="00AA4FF8"/>
    <w:rsid w:val="00AA5790"/>
    <w:rsid w:val="00AA57A4"/>
    <w:rsid w:val="00AA6356"/>
    <w:rsid w:val="00AA651E"/>
    <w:rsid w:val="00AA6592"/>
    <w:rsid w:val="00AA6CDA"/>
    <w:rsid w:val="00AA7EE4"/>
    <w:rsid w:val="00AB080E"/>
    <w:rsid w:val="00AB08BC"/>
    <w:rsid w:val="00AB0986"/>
    <w:rsid w:val="00AB0F66"/>
    <w:rsid w:val="00AB12F5"/>
    <w:rsid w:val="00AB15BB"/>
    <w:rsid w:val="00AB1623"/>
    <w:rsid w:val="00AB19A7"/>
    <w:rsid w:val="00AB2066"/>
    <w:rsid w:val="00AB298F"/>
    <w:rsid w:val="00AB370A"/>
    <w:rsid w:val="00AB3865"/>
    <w:rsid w:val="00AB4AB1"/>
    <w:rsid w:val="00AB50A8"/>
    <w:rsid w:val="00AB5211"/>
    <w:rsid w:val="00AB543A"/>
    <w:rsid w:val="00AB5E08"/>
    <w:rsid w:val="00AB68FD"/>
    <w:rsid w:val="00AB6C1F"/>
    <w:rsid w:val="00AB6DE8"/>
    <w:rsid w:val="00AB758F"/>
    <w:rsid w:val="00AB7EF7"/>
    <w:rsid w:val="00AC1B06"/>
    <w:rsid w:val="00AC1BB4"/>
    <w:rsid w:val="00AC1CA2"/>
    <w:rsid w:val="00AC1F8F"/>
    <w:rsid w:val="00AC2729"/>
    <w:rsid w:val="00AC2BDF"/>
    <w:rsid w:val="00AC33CF"/>
    <w:rsid w:val="00AC345F"/>
    <w:rsid w:val="00AC41F8"/>
    <w:rsid w:val="00AC443F"/>
    <w:rsid w:val="00AC44FC"/>
    <w:rsid w:val="00AC4752"/>
    <w:rsid w:val="00AC4EAD"/>
    <w:rsid w:val="00AC5674"/>
    <w:rsid w:val="00AC5BBA"/>
    <w:rsid w:val="00AC6527"/>
    <w:rsid w:val="00AC7330"/>
    <w:rsid w:val="00AC736C"/>
    <w:rsid w:val="00AC7727"/>
    <w:rsid w:val="00AC78A5"/>
    <w:rsid w:val="00AD0142"/>
    <w:rsid w:val="00AD09BD"/>
    <w:rsid w:val="00AD0B0C"/>
    <w:rsid w:val="00AD1336"/>
    <w:rsid w:val="00AD157C"/>
    <w:rsid w:val="00AD1964"/>
    <w:rsid w:val="00AD2A91"/>
    <w:rsid w:val="00AD2B82"/>
    <w:rsid w:val="00AD2E2B"/>
    <w:rsid w:val="00AD309A"/>
    <w:rsid w:val="00AD3177"/>
    <w:rsid w:val="00AD3827"/>
    <w:rsid w:val="00AD3CCD"/>
    <w:rsid w:val="00AD3EB0"/>
    <w:rsid w:val="00AD41F3"/>
    <w:rsid w:val="00AD5111"/>
    <w:rsid w:val="00AD5707"/>
    <w:rsid w:val="00AD6082"/>
    <w:rsid w:val="00AD70C1"/>
    <w:rsid w:val="00AD739E"/>
    <w:rsid w:val="00AD7519"/>
    <w:rsid w:val="00AD7955"/>
    <w:rsid w:val="00AD79D5"/>
    <w:rsid w:val="00AD7C86"/>
    <w:rsid w:val="00AE0491"/>
    <w:rsid w:val="00AE0B58"/>
    <w:rsid w:val="00AE1307"/>
    <w:rsid w:val="00AE1AAE"/>
    <w:rsid w:val="00AE1C23"/>
    <w:rsid w:val="00AE1D2B"/>
    <w:rsid w:val="00AE2849"/>
    <w:rsid w:val="00AE2AE3"/>
    <w:rsid w:val="00AE4732"/>
    <w:rsid w:val="00AE4F6B"/>
    <w:rsid w:val="00AE4FEA"/>
    <w:rsid w:val="00AE56BC"/>
    <w:rsid w:val="00AE5C5C"/>
    <w:rsid w:val="00AE5FB7"/>
    <w:rsid w:val="00AE6618"/>
    <w:rsid w:val="00AE6C68"/>
    <w:rsid w:val="00AE7063"/>
    <w:rsid w:val="00AE74C8"/>
    <w:rsid w:val="00AE77BE"/>
    <w:rsid w:val="00AE7881"/>
    <w:rsid w:val="00AE7CCC"/>
    <w:rsid w:val="00AF09AE"/>
    <w:rsid w:val="00AF0AF4"/>
    <w:rsid w:val="00AF1893"/>
    <w:rsid w:val="00AF288F"/>
    <w:rsid w:val="00AF2FBE"/>
    <w:rsid w:val="00AF3056"/>
    <w:rsid w:val="00AF32EB"/>
    <w:rsid w:val="00AF3AC6"/>
    <w:rsid w:val="00AF3B44"/>
    <w:rsid w:val="00AF4046"/>
    <w:rsid w:val="00AF48DE"/>
    <w:rsid w:val="00AF6AE0"/>
    <w:rsid w:val="00AF6F54"/>
    <w:rsid w:val="00AF6FD3"/>
    <w:rsid w:val="00AF7AB9"/>
    <w:rsid w:val="00AF7CC3"/>
    <w:rsid w:val="00AF7E3E"/>
    <w:rsid w:val="00B00339"/>
    <w:rsid w:val="00B00B41"/>
    <w:rsid w:val="00B00BBF"/>
    <w:rsid w:val="00B0103E"/>
    <w:rsid w:val="00B01BB5"/>
    <w:rsid w:val="00B01E7F"/>
    <w:rsid w:val="00B0257D"/>
    <w:rsid w:val="00B02F99"/>
    <w:rsid w:val="00B03246"/>
    <w:rsid w:val="00B03395"/>
    <w:rsid w:val="00B038FB"/>
    <w:rsid w:val="00B03FC3"/>
    <w:rsid w:val="00B04305"/>
    <w:rsid w:val="00B0496B"/>
    <w:rsid w:val="00B04A0E"/>
    <w:rsid w:val="00B04B0F"/>
    <w:rsid w:val="00B04C38"/>
    <w:rsid w:val="00B059C1"/>
    <w:rsid w:val="00B05A0D"/>
    <w:rsid w:val="00B05BC3"/>
    <w:rsid w:val="00B0659A"/>
    <w:rsid w:val="00B06974"/>
    <w:rsid w:val="00B06992"/>
    <w:rsid w:val="00B069F4"/>
    <w:rsid w:val="00B06CEB"/>
    <w:rsid w:val="00B07035"/>
    <w:rsid w:val="00B10184"/>
    <w:rsid w:val="00B1052C"/>
    <w:rsid w:val="00B1090A"/>
    <w:rsid w:val="00B10B5F"/>
    <w:rsid w:val="00B10E4F"/>
    <w:rsid w:val="00B11683"/>
    <w:rsid w:val="00B13829"/>
    <w:rsid w:val="00B1426F"/>
    <w:rsid w:val="00B14495"/>
    <w:rsid w:val="00B149E1"/>
    <w:rsid w:val="00B1552E"/>
    <w:rsid w:val="00B1580D"/>
    <w:rsid w:val="00B158E4"/>
    <w:rsid w:val="00B159BD"/>
    <w:rsid w:val="00B15DE0"/>
    <w:rsid w:val="00B176B2"/>
    <w:rsid w:val="00B20095"/>
    <w:rsid w:val="00B201FF"/>
    <w:rsid w:val="00B209DB"/>
    <w:rsid w:val="00B20CFA"/>
    <w:rsid w:val="00B2100D"/>
    <w:rsid w:val="00B2134B"/>
    <w:rsid w:val="00B21769"/>
    <w:rsid w:val="00B21DED"/>
    <w:rsid w:val="00B22733"/>
    <w:rsid w:val="00B227B9"/>
    <w:rsid w:val="00B22D0A"/>
    <w:rsid w:val="00B22ECD"/>
    <w:rsid w:val="00B22F86"/>
    <w:rsid w:val="00B23942"/>
    <w:rsid w:val="00B23997"/>
    <w:rsid w:val="00B239CA"/>
    <w:rsid w:val="00B23F92"/>
    <w:rsid w:val="00B24854"/>
    <w:rsid w:val="00B24A5E"/>
    <w:rsid w:val="00B256D8"/>
    <w:rsid w:val="00B25D60"/>
    <w:rsid w:val="00B270CA"/>
    <w:rsid w:val="00B27864"/>
    <w:rsid w:val="00B27A9A"/>
    <w:rsid w:val="00B27BBF"/>
    <w:rsid w:val="00B301FB"/>
    <w:rsid w:val="00B30A34"/>
    <w:rsid w:val="00B3146D"/>
    <w:rsid w:val="00B318FF"/>
    <w:rsid w:val="00B31BE1"/>
    <w:rsid w:val="00B31D7C"/>
    <w:rsid w:val="00B31F87"/>
    <w:rsid w:val="00B327D7"/>
    <w:rsid w:val="00B3286F"/>
    <w:rsid w:val="00B32923"/>
    <w:rsid w:val="00B3293E"/>
    <w:rsid w:val="00B32DEA"/>
    <w:rsid w:val="00B33B02"/>
    <w:rsid w:val="00B34E55"/>
    <w:rsid w:val="00B354F9"/>
    <w:rsid w:val="00B35A4E"/>
    <w:rsid w:val="00B35CAD"/>
    <w:rsid w:val="00B3733E"/>
    <w:rsid w:val="00B37646"/>
    <w:rsid w:val="00B376CA"/>
    <w:rsid w:val="00B401B8"/>
    <w:rsid w:val="00B40C6E"/>
    <w:rsid w:val="00B40F89"/>
    <w:rsid w:val="00B414A2"/>
    <w:rsid w:val="00B4179A"/>
    <w:rsid w:val="00B41AC2"/>
    <w:rsid w:val="00B41C61"/>
    <w:rsid w:val="00B41EC1"/>
    <w:rsid w:val="00B44D06"/>
    <w:rsid w:val="00B44D85"/>
    <w:rsid w:val="00B45270"/>
    <w:rsid w:val="00B45BA9"/>
    <w:rsid w:val="00B4671D"/>
    <w:rsid w:val="00B47DB7"/>
    <w:rsid w:val="00B5006D"/>
    <w:rsid w:val="00B519C1"/>
    <w:rsid w:val="00B51A0E"/>
    <w:rsid w:val="00B51B1E"/>
    <w:rsid w:val="00B51B2E"/>
    <w:rsid w:val="00B51DC1"/>
    <w:rsid w:val="00B52187"/>
    <w:rsid w:val="00B52316"/>
    <w:rsid w:val="00B526E2"/>
    <w:rsid w:val="00B52EC6"/>
    <w:rsid w:val="00B53A06"/>
    <w:rsid w:val="00B5437D"/>
    <w:rsid w:val="00B54A99"/>
    <w:rsid w:val="00B55B25"/>
    <w:rsid w:val="00B569ED"/>
    <w:rsid w:val="00B56E3F"/>
    <w:rsid w:val="00B5704C"/>
    <w:rsid w:val="00B57228"/>
    <w:rsid w:val="00B57451"/>
    <w:rsid w:val="00B6004A"/>
    <w:rsid w:val="00B60078"/>
    <w:rsid w:val="00B60456"/>
    <w:rsid w:val="00B60E01"/>
    <w:rsid w:val="00B615A3"/>
    <w:rsid w:val="00B61DF7"/>
    <w:rsid w:val="00B6232D"/>
    <w:rsid w:val="00B62622"/>
    <w:rsid w:val="00B62679"/>
    <w:rsid w:val="00B62BF6"/>
    <w:rsid w:val="00B62D4A"/>
    <w:rsid w:val="00B6388A"/>
    <w:rsid w:val="00B63AA9"/>
    <w:rsid w:val="00B64508"/>
    <w:rsid w:val="00B6493A"/>
    <w:rsid w:val="00B64B65"/>
    <w:rsid w:val="00B64BB5"/>
    <w:rsid w:val="00B653CB"/>
    <w:rsid w:val="00B65B61"/>
    <w:rsid w:val="00B65FF3"/>
    <w:rsid w:val="00B665E1"/>
    <w:rsid w:val="00B668B2"/>
    <w:rsid w:val="00B66F77"/>
    <w:rsid w:val="00B6780E"/>
    <w:rsid w:val="00B67C93"/>
    <w:rsid w:val="00B70949"/>
    <w:rsid w:val="00B715C8"/>
    <w:rsid w:val="00B72070"/>
    <w:rsid w:val="00B72627"/>
    <w:rsid w:val="00B72C42"/>
    <w:rsid w:val="00B739AB"/>
    <w:rsid w:val="00B746AD"/>
    <w:rsid w:val="00B74795"/>
    <w:rsid w:val="00B75050"/>
    <w:rsid w:val="00B7508F"/>
    <w:rsid w:val="00B754B5"/>
    <w:rsid w:val="00B7584E"/>
    <w:rsid w:val="00B75C3A"/>
    <w:rsid w:val="00B763EE"/>
    <w:rsid w:val="00B7653C"/>
    <w:rsid w:val="00B76E38"/>
    <w:rsid w:val="00B7779A"/>
    <w:rsid w:val="00B77ADD"/>
    <w:rsid w:val="00B80E03"/>
    <w:rsid w:val="00B8100D"/>
    <w:rsid w:val="00B81937"/>
    <w:rsid w:val="00B81BB7"/>
    <w:rsid w:val="00B81DFE"/>
    <w:rsid w:val="00B81F9C"/>
    <w:rsid w:val="00B82069"/>
    <w:rsid w:val="00B8261E"/>
    <w:rsid w:val="00B827F9"/>
    <w:rsid w:val="00B82E1E"/>
    <w:rsid w:val="00B83F8A"/>
    <w:rsid w:val="00B8403E"/>
    <w:rsid w:val="00B84058"/>
    <w:rsid w:val="00B842E4"/>
    <w:rsid w:val="00B845E5"/>
    <w:rsid w:val="00B84954"/>
    <w:rsid w:val="00B84A19"/>
    <w:rsid w:val="00B84A81"/>
    <w:rsid w:val="00B84D0B"/>
    <w:rsid w:val="00B853A2"/>
    <w:rsid w:val="00B85CD6"/>
    <w:rsid w:val="00B85F82"/>
    <w:rsid w:val="00B860C2"/>
    <w:rsid w:val="00B867E2"/>
    <w:rsid w:val="00B8730E"/>
    <w:rsid w:val="00B8753D"/>
    <w:rsid w:val="00B87E23"/>
    <w:rsid w:val="00B87FCB"/>
    <w:rsid w:val="00B900E6"/>
    <w:rsid w:val="00B911F4"/>
    <w:rsid w:val="00B914B6"/>
    <w:rsid w:val="00B92A7F"/>
    <w:rsid w:val="00B92BB8"/>
    <w:rsid w:val="00B92F91"/>
    <w:rsid w:val="00B934A2"/>
    <w:rsid w:val="00B93F2C"/>
    <w:rsid w:val="00B945CA"/>
    <w:rsid w:val="00B94E0B"/>
    <w:rsid w:val="00B961AC"/>
    <w:rsid w:val="00B9679A"/>
    <w:rsid w:val="00B968F1"/>
    <w:rsid w:val="00B96CE4"/>
    <w:rsid w:val="00B9739C"/>
    <w:rsid w:val="00B97725"/>
    <w:rsid w:val="00B979E0"/>
    <w:rsid w:val="00B97AD7"/>
    <w:rsid w:val="00BA0CEB"/>
    <w:rsid w:val="00BA0D14"/>
    <w:rsid w:val="00BA0E88"/>
    <w:rsid w:val="00BA1368"/>
    <w:rsid w:val="00BA14A2"/>
    <w:rsid w:val="00BA164F"/>
    <w:rsid w:val="00BA1B69"/>
    <w:rsid w:val="00BA27DD"/>
    <w:rsid w:val="00BA2851"/>
    <w:rsid w:val="00BA2E37"/>
    <w:rsid w:val="00BA303E"/>
    <w:rsid w:val="00BA3904"/>
    <w:rsid w:val="00BA3ACD"/>
    <w:rsid w:val="00BA404D"/>
    <w:rsid w:val="00BA46DA"/>
    <w:rsid w:val="00BA7052"/>
    <w:rsid w:val="00BA70DF"/>
    <w:rsid w:val="00BA712B"/>
    <w:rsid w:val="00BA72CE"/>
    <w:rsid w:val="00BB02B8"/>
    <w:rsid w:val="00BB090B"/>
    <w:rsid w:val="00BB0EDA"/>
    <w:rsid w:val="00BB1970"/>
    <w:rsid w:val="00BB19F1"/>
    <w:rsid w:val="00BB2021"/>
    <w:rsid w:val="00BB39A3"/>
    <w:rsid w:val="00BB43B8"/>
    <w:rsid w:val="00BB4B12"/>
    <w:rsid w:val="00BB505C"/>
    <w:rsid w:val="00BB554B"/>
    <w:rsid w:val="00BB5669"/>
    <w:rsid w:val="00BB5846"/>
    <w:rsid w:val="00BB649C"/>
    <w:rsid w:val="00BB69C5"/>
    <w:rsid w:val="00BB6E8B"/>
    <w:rsid w:val="00BB76CE"/>
    <w:rsid w:val="00BB787F"/>
    <w:rsid w:val="00BB791C"/>
    <w:rsid w:val="00BC0196"/>
    <w:rsid w:val="00BC01E1"/>
    <w:rsid w:val="00BC02F4"/>
    <w:rsid w:val="00BC02FF"/>
    <w:rsid w:val="00BC03FC"/>
    <w:rsid w:val="00BC0D45"/>
    <w:rsid w:val="00BC0D8F"/>
    <w:rsid w:val="00BC0F3E"/>
    <w:rsid w:val="00BC175A"/>
    <w:rsid w:val="00BC180B"/>
    <w:rsid w:val="00BC224B"/>
    <w:rsid w:val="00BC29F9"/>
    <w:rsid w:val="00BC2BE9"/>
    <w:rsid w:val="00BC352C"/>
    <w:rsid w:val="00BC41DA"/>
    <w:rsid w:val="00BC4480"/>
    <w:rsid w:val="00BC456D"/>
    <w:rsid w:val="00BC48D8"/>
    <w:rsid w:val="00BC5622"/>
    <w:rsid w:val="00BC5675"/>
    <w:rsid w:val="00BC593C"/>
    <w:rsid w:val="00BC5CC0"/>
    <w:rsid w:val="00BC5F55"/>
    <w:rsid w:val="00BC696B"/>
    <w:rsid w:val="00BC6FDD"/>
    <w:rsid w:val="00BC739C"/>
    <w:rsid w:val="00BC79CA"/>
    <w:rsid w:val="00BD0240"/>
    <w:rsid w:val="00BD032C"/>
    <w:rsid w:val="00BD0703"/>
    <w:rsid w:val="00BD0BC6"/>
    <w:rsid w:val="00BD25B0"/>
    <w:rsid w:val="00BD28DB"/>
    <w:rsid w:val="00BD364E"/>
    <w:rsid w:val="00BD36AE"/>
    <w:rsid w:val="00BD3A2E"/>
    <w:rsid w:val="00BD49BD"/>
    <w:rsid w:val="00BD5651"/>
    <w:rsid w:val="00BD57A0"/>
    <w:rsid w:val="00BD6587"/>
    <w:rsid w:val="00BD66A5"/>
    <w:rsid w:val="00BD6C06"/>
    <w:rsid w:val="00BD7615"/>
    <w:rsid w:val="00BD777F"/>
    <w:rsid w:val="00BD7A8E"/>
    <w:rsid w:val="00BD7D32"/>
    <w:rsid w:val="00BE1191"/>
    <w:rsid w:val="00BE24CB"/>
    <w:rsid w:val="00BE2E27"/>
    <w:rsid w:val="00BE31B1"/>
    <w:rsid w:val="00BE31EB"/>
    <w:rsid w:val="00BE3892"/>
    <w:rsid w:val="00BE3B20"/>
    <w:rsid w:val="00BE3F02"/>
    <w:rsid w:val="00BE423D"/>
    <w:rsid w:val="00BE52BE"/>
    <w:rsid w:val="00BE5A81"/>
    <w:rsid w:val="00BE61F8"/>
    <w:rsid w:val="00BE64CE"/>
    <w:rsid w:val="00BE69B7"/>
    <w:rsid w:val="00BF0223"/>
    <w:rsid w:val="00BF043A"/>
    <w:rsid w:val="00BF07DD"/>
    <w:rsid w:val="00BF10F6"/>
    <w:rsid w:val="00BF2025"/>
    <w:rsid w:val="00BF2AAA"/>
    <w:rsid w:val="00BF2C25"/>
    <w:rsid w:val="00BF2C5A"/>
    <w:rsid w:val="00BF334C"/>
    <w:rsid w:val="00BF44A2"/>
    <w:rsid w:val="00BF452B"/>
    <w:rsid w:val="00BF4BEA"/>
    <w:rsid w:val="00BF589C"/>
    <w:rsid w:val="00BF5B83"/>
    <w:rsid w:val="00BF64F5"/>
    <w:rsid w:val="00BF6608"/>
    <w:rsid w:val="00BF6C6E"/>
    <w:rsid w:val="00BF6D7B"/>
    <w:rsid w:val="00BF769F"/>
    <w:rsid w:val="00BF774E"/>
    <w:rsid w:val="00BF78CF"/>
    <w:rsid w:val="00C00118"/>
    <w:rsid w:val="00C00381"/>
    <w:rsid w:val="00C00518"/>
    <w:rsid w:val="00C00909"/>
    <w:rsid w:val="00C00A66"/>
    <w:rsid w:val="00C00E53"/>
    <w:rsid w:val="00C025E8"/>
    <w:rsid w:val="00C0286C"/>
    <w:rsid w:val="00C02AB9"/>
    <w:rsid w:val="00C02D61"/>
    <w:rsid w:val="00C03495"/>
    <w:rsid w:val="00C03669"/>
    <w:rsid w:val="00C03FC0"/>
    <w:rsid w:val="00C0425C"/>
    <w:rsid w:val="00C04BB2"/>
    <w:rsid w:val="00C050F6"/>
    <w:rsid w:val="00C051FC"/>
    <w:rsid w:val="00C0557A"/>
    <w:rsid w:val="00C058AD"/>
    <w:rsid w:val="00C05C1B"/>
    <w:rsid w:val="00C05E13"/>
    <w:rsid w:val="00C067B3"/>
    <w:rsid w:val="00C0727F"/>
    <w:rsid w:val="00C07A60"/>
    <w:rsid w:val="00C07A8D"/>
    <w:rsid w:val="00C07FDF"/>
    <w:rsid w:val="00C10D18"/>
    <w:rsid w:val="00C11295"/>
    <w:rsid w:val="00C11D2D"/>
    <w:rsid w:val="00C12F0D"/>
    <w:rsid w:val="00C13BE1"/>
    <w:rsid w:val="00C144FE"/>
    <w:rsid w:val="00C14C27"/>
    <w:rsid w:val="00C14DD8"/>
    <w:rsid w:val="00C15139"/>
    <w:rsid w:val="00C153D5"/>
    <w:rsid w:val="00C154F6"/>
    <w:rsid w:val="00C1617C"/>
    <w:rsid w:val="00C16856"/>
    <w:rsid w:val="00C16B97"/>
    <w:rsid w:val="00C17423"/>
    <w:rsid w:val="00C17827"/>
    <w:rsid w:val="00C17DD7"/>
    <w:rsid w:val="00C20807"/>
    <w:rsid w:val="00C21071"/>
    <w:rsid w:val="00C21713"/>
    <w:rsid w:val="00C21C08"/>
    <w:rsid w:val="00C2234E"/>
    <w:rsid w:val="00C22401"/>
    <w:rsid w:val="00C226F0"/>
    <w:rsid w:val="00C227D7"/>
    <w:rsid w:val="00C22818"/>
    <w:rsid w:val="00C22A20"/>
    <w:rsid w:val="00C22A97"/>
    <w:rsid w:val="00C25105"/>
    <w:rsid w:val="00C25A88"/>
    <w:rsid w:val="00C25E79"/>
    <w:rsid w:val="00C26A68"/>
    <w:rsid w:val="00C270EA"/>
    <w:rsid w:val="00C3026F"/>
    <w:rsid w:val="00C305DB"/>
    <w:rsid w:val="00C30A3A"/>
    <w:rsid w:val="00C30CCF"/>
    <w:rsid w:val="00C30F9E"/>
    <w:rsid w:val="00C31355"/>
    <w:rsid w:val="00C31CE6"/>
    <w:rsid w:val="00C32133"/>
    <w:rsid w:val="00C324A9"/>
    <w:rsid w:val="00C32D12"/>
    <w:rsid w:val="00C337E5"/>
    <w:rsid w:val="00C33BEB"/>
    <w:rsid w:val="00C33BEF"/>
    <w:rsid w:val="00C34557"/>
    <w:rsid w:val="00C34B0C"/>
    <w:rsid w:val="00C34B30"/>
    <w:rsid w:val="00C34F3C"/>
    <w:rsid w:val="00C3557B"/>
    <w:rsid w:val="00C35596"/>
    <w:rsid w:val="00C35832"/>
    <w:rsid w:val="00C35956"/>
    <w:rsid w:val="00C361A3"/>
    <w:rsid w:val="00C36AA8"/>
    <w:rsid w:val="00C37698"/>
    <w:rsid w:val="00C400D9"/>
    <w:rsid w:val="00C40BC0"/>
    <w:rsid w:val="00C40C1F"/>
    <w:rsid w:val="00C411BA"/>
    <w:rsid w:val="00C41C27"/>
    <w:rsid w:val="00C41F86"/>
    <w:rsid w:val="00C422E3"/>
    <w:rsid w:val="00C4294C"/>
    <w:rsid w:val="00C42BD6"/>
    <w:rsid w:val="00C43164"/>
    <w:rsid w:val="00C436FC"/>
    <w:rsid w:val="00C43C0E"/>
    <w:rsid w:val="00C4488F"/>
    <w:rsid w:val="00C44B29"/>
    <w:rsid w:val="00C44C46"/>
    <w:rsid w:val="00C45344"/>
    <w:rsid w:val="00C45F3C"/>
    <w:rsid w:val="00C468C5"/>
    <w:rsid w:val="00C474A3"/>
    <w:rsid w:val="00C47753"/>
    <w:rsid w:val="00C47945"/>
    <w:rsid w:val="00C50021"/>
    <w:rsid w:val="00C50DD3"/>
    <w:rsid w:val="00C5145F"/>
    <w:rsid w:val="00C51648"/>
    <w:rsid w:val="00C51A5B"/>
    <w:rsid w:val="00C523EF"/>
    <w:rsid w:val="00C52615"/>
    <w:rsid w:val="00C52962"/>
    <w:rsid w:val="00C52B1D"/>
    <w:rsid w:val="00C52D7F"/>
    <w:rsid w:val="00C531A1"/>
    <w:rsid w:val="00C531CE"/>
    <w:rsid w:val="00C53811"/>
    <w:rsid w:val="00C53951"/>
    <w:rsid w:val="00C5409F"/>
    <w:rsid w:val="00C54337"/>
    <w:rsid w:val="00C543E0"/>
    <w:rsid w:val="00C54846"/>
    <w:rsid w:val="00C549DD"/>
    <w:rsid w:val="00C54AD2"/>
    <w:rsid w:val="00C54B9E"/>
    <w:rsid w:val="00C54E79"/>
    <w:rsid w:val="00C54FB9"/>
    <w:rsid w:val="00C555B5"/>
    <w:rsid w:val="00C558CC"/>
    <w:rsid w:val="00C5590A"/>
    <w:rsid w:val="00C55AA9"/>
    <w:rsid w:val="00C56515"/>
    <w:rsid w:val="00C56C40"/>
    <w:rsid w:val="00C56CE1"/>
    <w:rsid w:val="00C56D6E"/>
    <w:rsid w:val="00C57395"/>
    <w:rsid w:val="00C5756A"/>
    <w:rsid w:val="00C5792C"/>
    <w:rsid w:val="00C57E01"/>
    <w:rsid w:val="00C57F8E"/>
    <w:rsid w:val="00C602EC"/>
    <w:rsid w:val="00C60418"/>
    <w:rsid w:val="00C60AC2"/>
    <w:rsid w:val="00C61261"/>
    <w:rsid w:val="00C6171F"/>
    <w:rsid w:val="00C62548"/>
    <w:rsid w:val="00C628CC"/>
    <w:rsid w:val="00C62B95"/>
    <w:rsid w:val="00C62C11"/>
    <w:rsid w:val="00C63641"/>
    <w:rsid w:val="00C63913"/>
    <w:rsid w:val="00C63944"/>
    <w:rsid w:val="00C63AC6"/>
    <w:rsid w:val="00C64529"/>
    <w:rsid w:val="00C64734"/>
    <w:rsid w:val="00C64CD3"/>
    <w:rsid w:val="00C64DEC"/>
    <w:rsid w:val="00C64E43"/>
    <w:rsid w:val="00C65054"/>
    <w:rsid w:val="00C65156"/>
    <w:rsid w:val="00C658FA"/>
    <w:rsid w:val="00C66049"/>
    <w:rsid w:val="00C66EF5"/>
    <w:rsid w:val="00C66F1F"/>
    <w:rsid w:val="00C675D0"/>
    <w:rsid w:val="00C704C1"/>
    <w:rsid w:val="00C71157"/>
    <w:rsid w:val="00C71ED3"/>
    <w:rsid w:val="00C727FF"/>
    <w:rsid w:val="00C732E7"/>
    <w:rsid w:val="00C73304"/>
    <w:rsid w:val="00C73420"/>
    <w:rsid w:val="00C73D3B"/>
    <w:rsid w:val="00C743B6"/>
    <w:rsid w:val="00C744F5"/>
    <w:rsid w:val="00C74728"/>
    <w:rsid w:val="00C749D6"/>
    <w:rsid w:val="00C75473"/>
    <w:rsid w:val="00C75E6A"/>
    <w:rsid w:val="00C766FC"/>
    <w:rsid w:val="00C76A1A"/>
    <w:rsid w:val="00C76D12"/>
    <w:rsid w:val="00C800BB"/>
    <w:rsid w:val="00C80229"/>
    <w:rsid w:val="00C80C3E"/>
    <w:rsid w:val="00C80DFE"/>
    <w:rsid w:val="00C81309"/>
    <w:rsid w:val="00C81587"/>
    <w:rsid w:val="00C82B65"/>
    <w:rsid w:val="00C83326"/>
    <w:rsid w:val="00C84045"/>
    <w:rsid w:val="00C84E62"/>
    <w:rsid w:val="00C84ECD"/>
    <w:rsid w:val="00C850A6"/>
    <w:rsid w:val="00C85945"/>
    <w:rsid w:val="00C86074"/>
    <w:rsid w:val="00C86731"/>
    <w:rsid w:val="00C86A5D"/>
    <w:rsid w:val="00C86D14"/>
    <w:rsid w:val="00C871F8"/>
    <w:rsid w:val="00C8786B"/>
    <w:rsid w:val="00C87BE6"/>
    <w:rsid w:val="00C87C47"/>
    <w:rsid w:val="00C87C83"/>
    <w:rsid w:val="00C90D9D"/>
    <w:rsid w:val="00C90F10"/>
    <w:rsid w:val="00C9167D"/>
    <w:rsid w:val="00C92315"/>
    <w:rsid w:val="00C9262B"/>
    <w:rsid w:val="00C92814"/>
    <w:rsid w:val="00C92901"/>
    <w:rsid w:val="00C92AD6"/>
    <w:rsid w:val="00C92C16"/>
    <w:rsid w:val="00C93255"/>
    <w:rsid w:val="00C932CE"/>
    <w:rsid w:val="00C939A5"/>
    <w:rsid w:val="00C93EF8"/>
    <w:rsid w:val="00C94471"/>
    <w:rsid w:val="00C947AB"/>
    <w:rsid w:val="00C9523D"/>
    <w:rsid w:val="00C95285"/>
    <w:rsid w:val="00C95290"/>
    <w:rsid w:val="00C9597B"/>
    <w:rsid w:val="00C95D84"/>
    <w:rsid w:val="00C960E0"/>
    <w:rsid w:val="00C960E1"/>
    <w:rsid w:val="00C961DE"/>
    <w:rsid w:val="00C963FC"/>
    <w:rsid w:val="00C965E8"/>
    <w:rsid w:val="00C96E7A"/>
    <w:rsid w:val="00C97707"/>
    <w:rsid w:val="00C97C64"/>
    <w:rsid w:val="00CA0156"/>
    <w:rsid w:val="00CA0203"/>
    <w:rsid w:val="00CA0FB1"/>
    <w:rsid w:val="00CA1466"/>
    <w:rsid w:val="00CA14BB"/>
    <w:rsid w:val="00CA17E6"/>
    <w:rsid w:val="00CA1839"/>
    <w:rsid w:val="00CA1849"/>
    <w:rsid w:val="00CA21E1"/>
    <w:rsid w:val="00CA27F0"/>
    <w:rsid w:val="00CA2DC3"/>
    <w:rsid w:val="00CA3258"/>
    <w:rsid w:val="00CA3376"/>
    <w:rsid w:val="00CA38B0"/>
    <w:rsid w:val="00CA399A"/>
    <w:rsid w:val="00CA3A60"/>
    <w:rsid w:val="00CA3BB9"/>
    <w:rsid w:val="00CA4123"/>
    <w:rsid w:val="00CA41CA"/>
    <w:rsid w:val="00CA4555"/>
    <w:rsid w:val="00CA47EE"/>
    <w:rsid w:val="00CA4E98"/>
    <w:rsid w:val="00CA58D5"/>
    <w:rsid w:val="00CA5A9A"/>
    <w:rsid w:val="00CA5D1A"/>
    <w:rsid w:val="00CA6455"/>
    <w:rsid w:val="00CB0189"/>
    <w:rsid w:val="00CB0281"/>
    <w:rsid w:val="00CB0719"/>
    <w:rsid w:val="00CB0D1C"/>
    <w:rsid w:val="00CB109E"/>
    <w:rsid w:val="00CB1645"/>
    <w:rsid w:val="00CB1A23"/>
    <w:rsid w:val="00CB1C3A"/>
    <w:rsid w:val="00CB1CF0"/>
    <w:rsid w:val="00CB21BD"/>
    <w:rsid w:val="00CB2585"/>
    <w:rsid w:val="00CB3219"/>
    <w:rsid w:val="00CB3B04"/>
    <w:rsid w:val="00CB3C90"/>
    <w:rsid w:val="00CB4D54"/>
    <w:rsid w:val="00CB507B"/>
    <w:rsid w:val="00CB591F"/>
    <w:rsid w:val="00CB5A64"/>
    <w:rsid w:val="00CB5B4B"/>
    <w:rsid w:val="00CB6357"/>
    <w:rsid w:val="00CB64EB"/>
    <w:rsid w:val="00CB68A7"/>
    <w:rsid w:val="00CB6EE2"/>
    <w:rsid w:val="00CB7572"/>
    <w:rsid w:val="00CB75DE"/>
    <w:rsid w:val="00CB7C1F"/>
    <w:rsid w:val="00CC1025"/>
    <w:rsid w:val="00CC1490"/>
    <w:rsid w:val="00CC14F4"/>
    <w:rsid w:val="00CC18FA"/>
    <w:rsid w:val="00CC1E14"/>
    <w:rsid w:val="00CC2840"/>
    <w:rsid w:val="00CC3397"/>
    <w:rsid w:val="00CC3883"/>
    <w:rsid w:val="00CC3AED"/>
    <w:rsid w:val="00CC3D2C"/>
    <w:rsid w:val="00CC51AE"/>
    <w:rsid w:val="00CC5FB4"/>
    <w:rsid w:val="00CC6257"/>
    <w:rsid w:val="00CC6291"/>
    <w:rsid w:val="00CC678B"/>
    <w:rsid w:val="00CC6D8C"/>
    <w:rsid w:val="00CC7198"/>
    <w:rsid w:val="00CC7A05"/>
    <w:rsid w:val="00CC7F65"/>
    <w:rsid w:val="00CD13C3"/>
    <w:rsid w:val="00CD1453"/>
    <w:rsid w:val="00CD23C8"/>
    <w:rsid w:val="00CD27EA"/>
    <w:rsid w:val="00CD28D3"/>
    <w:rsid w:val="00CD2F9B"/>
    <w:rsid w:val="00CD3F20"/>
    <w:rsid w:val="00CD402E"/>
    <w:rsid w:val="00CD40BD"/>
    <w:rsid w:val="00CD45E9"/>
    <w:rsid w:val="00CD485D"/>
    <w:rsid w:val="00CD4A53"/>
    <w:rsid w:val="00CD544C"/>
    <w:rsid w:val="00CD57E3"/>
    <w:rsid w:val="00CD6310"/>
    <w:rsid w:val="00CD6598"/>
    <w:rsid w:val="00CD6663"/>
    <w:rsid w:val="00CD6BAA"/>
    <w:rsid w:val="00CD71E9"/>
    <w:rsid w:val="00CD7502"/>
    <w:rsid w:val="00CD77BF"/>
    <w:rsid w:val="00CE18F4"/>
    <w:rsid w:val="00CE1A36"/>
    <w:rsid w:val="00CE1F0F"/>
    <w:rsid w:val="00CE23C0"/>
    <w:rsid w:val="00CE2510"/>
    <w:rsid w:val="00CE25E1"/>
    <w:rsid w:val="00CE2B33"/>
    <w:rsid w:val="00CE2BD7"/>
    <w:rsid w:val="00CE34C3"/>
    <w:rsid w:val="00CE3FF6"/>
    <w:rsid w:val="00CE446E"/>
    <w:rsid w:val="00CE49DD"/>
    <w:rsid w:val="00CE4B53"/>
    <w:rsid w:val="00CE4BF9"/>
    <w:rsid w:val="00CE5541"/>
    <w:rsid w:val="00CE57F2"/>
    <w:rsid w:val="00CE58BF"/>
    <w:rsid w:val="00CE5C85"/>
    <w:rsid w:val="00CE64C4"/>
    <w:rsid w:val="00CE7915"/>
    <w:rsid w:val="00CF06A9"/>
    <w:rsid w:val="00CF0A7C"/>
    <w:rsid w:val="00CF0EB7"/>
    <w:rsid w:val="00CF0EEC"/>
    <w:rsid w:val="00CF142D"/>
    <w:rsid w:val="00CF17F1"/>
    <w:rsid w:val="00CF195A"/>
    <w:rsid w:val="00CF24EE"/>
    <w:rsid w:val="00CF3826"/>
    <w:rsid w:val="00CF3E0B"/>
    <w:rsid w:val="00CF44D6"/>
    <w:rsid w:val="00CF46AE"/>
    <w:rsid w:val="00CF4730"/>
    <w:rsid w:val="00CF4795"/>
    <w:rsid w:val="00CF4D33"/>
    <w:rsid w:val="00CF5D49"/>
    <w:rsid w:val="00CF6326"/>
    <w:rsid w:val="00CF6BAE"/>
    <w:rsid w:val="00CF6D29"/>
    <w:rsid w:val="00CF76CE"/>
    <w:rsid w:val="00CF79E0"/>
    <w:rsid w:val="00CF7AC9"/>
    <w:rsid w:val="00CF7CB0"/>
    <w:rsid w:val="00CF7DC8"/>
    <w:rsid w:val="00CF7F8F"/>
    <w:rsid w:val="00D001AE"/>
    <w:rsid w:val="00D00363"/>
    <w:rsid w:val="00D003A8"/>
    <w:rsid w:val="00D006E7"/>
    <w:rsid w:val="00D00780"/>
    <w:rsid w:val="00D01027"/>
    <w:rsid w:val="00D01607"/>
    <w:rsid w:val="00D017AE"/>
    <w:rsid w:val="00D018BE"/>
    <w:rsid w:val="00D01A19"/>
    <w:rsid w:val="00D025A8"/>
    <w:rsid w:val="00D026BA"/>
    <w:rsid w:val="00D02E06"/>
    <w:rsid w:val="00D037AA"/>
    <w:rsid w:val="00D03D5F"/>
    <w:rsid w:val="00D03F82"/>
    <w:rsid w:val="00D041F9"/>
    <w:rsid w:val="00D045D0"/>
    <w:rsid w:val="00D04755"/>
    <w:rsid w:val="00D049F2"/>
    <w:rsid w:val="00D04E4D"/>
    <w:rsid w:val="00D05DE4"/>
    <w:rsid w:val="00D05FB9"/>
    <w:rsid w:val="00D05FD4"/>
    <w:rsid w:val="00D061B9"/>
    <w:rsid w:val="00D0630E"/>
    <w:rsid w:val="00D06422"/>
    <w:rsid w:val="00D06606"/>
    <w:rsid w:val="00D06BDD"/>
    <w:rsid w:val="00D078ED"/>
    <w:rsid w:val="00D0793E"/>
    <w:rsid w:val="00D07952"/>
    <w:rsid w:val="00D07E87"/>
    <w:rsid w:val="00D07FD8"/>
    <w:rsid w:val="00D101D3"/>
    <w:rsid w:val="00D10EAF"/>
    <w:rsid w:val="00D112B0"/>
    <w:rsid w:val="00D118FF"/>
    <w:rsid w:val="00D119D2"/>
    <w:rsid w:val="00D11C12"/>
    <w:rsid w:val="00D121AE"/>
    <w:rsid w:val="00D122E4"/>
    <w:rsid w:val="00D1297D"/>
    <w:rsid w:val="00D12CA8"/>
    <w:rsid w:val="00D12E07"/>
    <w:rsid w:val="00D1332E"/>
    <w:rsid w:val="00D135B9"/>
    <w:rsid w:val="00D143D2"/>
    <w:rsid w:val="00D14EDF"/>
    <w:rsid w:val="00D1577A"/>
    <w:rsid w:val="00D15ADB"/>
    <w:rsid w:val="00D15ED2"/>
    <w:rsid w:val="00D15EFF"/>
    <w:rsid w:val="00D16777"/>
    <w:rsid w:val="00D168A4"/>
    <w:rsid w:val="00D16B19"/>
    <w:rsid w:val="00D16B4B"/>
    <w:rsid w:val="00D16BAF"/>
    <w:rsid w:val="00D17038"/>
    <w:rsid w:val="00D17045"/>
    <w:rsid w:val="00D202B0"/>
    <w:rsid w:val="00D202D8"/>
    <w:rsid w:val="00D206BD"/>
    <w:rsid w:val="00D2117A"/>
    <w:rsid w:val="00D219C9"/>
    <w:rsid w:val="00D220BD"/>
    <w:rsid w:val="00D220F5"/>
    <w:rsid w:val="00D2263E"/>
    <w:rsid w:val="00D22CFE"/>
    <w:rsid w:val="00D23619"/>
    <w:rsid w:val="00D23F79"/>
    <w:rsid w:val="00D244F0"/>
    <w:rsid w:val="00D2481F"/>
    <w:rsid w:val="00D24A1E"/>
    <w:rsid w:val="00D24A48"/>
    <w:rsid w:val="00D24B4C"/>
    <w:rsid w:val="00D2522F"/>
    <w:rsid w:val="00D253C9"/>
    <w:rsid w:val="00D2645C"/>
    <w:rsid w:val="00D267C2"/>
    <w:rsid w:val="00D26EE1"/>
    <w:rsid w:val="00D26FA8"/>
    <w:rsid w:val="00D27423"/>
    <w:rsid w:val="00D27FCC"/>
    <w:rsid w:val="00D30275"/>
    <w:rsid w:val="00D30511"/>
    <w:rsid w:val="00D30F66"/>
    <w:rsid w:val="00D31CB1"/>
    <w:rsid w:val="00D31CEF"/>
    <w:rsid w:val="00D32111"/>
    <w:rsid w:val="00D3236A"/>
    <w:rsid w:val="00D3237B"/>
    <w:rsid w:val="00D324E2"/>
    <w:rsid w:val="00D32523"/>
    <w:rsid w:val="00D328DC"/>
    <w:rsid w:val="00D32A19"/>
    <w:rsid w:val="00D32A25"/>
    <w:rsid w:val="00D32AF7"/>
    <w:rsid w:val="00D33724"/>
    <w:rsid w:val="00D339FE"/>
    <w:rsid w:val="00D33D6A"/>
    <w:rsid w:val="00D36448"/>
    <w:rsid w:val="00D36AEC"/>
    <w:rsid w:val="00D36D58"/>
    <w:rsid w:val="00D36F2E"/>
    <w:rsid w:val="00D37802"/>
    <w:rsid w:val="00D37AB6"/>
    <w:rsid w:val="00D4004A"/>
    <w:rsid w:val="00D40260"/>
    <w:rsid w:val="00D402FC"/>
    <w:rsid w:val="00D40366"/>
    <w:rsid w:val="00D40399"/>
    <w:rsid w:val="00D4046E"/>
    <w:rsid w:val="00D4061B"/>
    <w:rsid w:val="00D406BC"/>
    <w:rsid w:val="00D408FA"/>
    <w:rsid w:val="00D40BB4"/>
    <w:rsid w:val="00D40E64"/>
    <w:rsid w:val="00D4120F"/>
    <w:rsid w:val="00D41AD3"/>
    <w:rsid w:val="00D41B12"/>
    <w:rsid w:val="00D41DAB"/>
    <w:rsid w:val="00D41DE8"/>
    <w:rsid w:val="00D4239A"/>
    <w:rsid w:val="00D42951"/>
    <w:rsid w:val="00D4310E"/>
    <w:rsid w:val="00D43A2D"/>
    <w:rsid w:val="00D43E59"/>
    <w:rsid w:val="00D44090"/>
    <w:rsid w:val="00D4463D"/>
    <w:rsid w:val="00D45983"/>
    <w:rsid w:val="00D45A0D"/>
    <w:rsid w:val="00D45B65"/>
    <w:rsid w:val="00D45ED6"/>
    <w:rsid w:val="00D47306"/>
    <w:rsid w:val="00D476FA"/>
    <w:rsid w:val="00D47A4C"/>
    <w:rsid w:val="00D47D55"/>
    <w:rsid w:val="00D47F0E"/>
    <w:rsid w:val="00D501E3"/>
    <w:rsid w:val="00D505C9"/>
    <w:rsid w:val="00D50631"/>
    <w:rsid w:val="00D515D1"/>
    <w:rsid w:val="00D51909"/>
    <w:rsid w:val="00D522C6"/>
    <w:rsid w:val="00D52B1E"/>
    <w:rsid w:val="00D5352D"/>
    <w:rsid w:val="00D5360E"/>
    <w:rsid w:val="00D53DA1"/>
    <w:rsid w:val="00D54442"/>
    <w:rsid w:val="00D547FC"/>
    <w:rsid w:val="00D549C4"/>
    <w:rsid w:val="00D54DC7"/>
    <w:rsid w:val="00D54E79"/>
    <w:rsid w:val="00D54ED3"/>
    <w:rsid w:val="00D552DA"/>
    <w:rsid w:val="00D56A7D"/>
    <w:rsid w:val="00D56F8F"/>
    <w:rsid w:val="00D56FCA"/>
    <w:rsid w:val="00D6036B"/>
    <w:rsid w:val="00D605F2"/>
    <w:rsid w:val="00D61191"/>
    <w:rsid w:val="00D611C1"/>
    <w:rsid w:val="00D622C9"/>
    <w:rsid w:val="00D62302"/>
    <w:rsid w:val="00D6323A"/>
    <w:rsid w:val="00D63BCE"/>
    <w:rsid w:val="00D64018"/>
    <w:rsid w:val="00D64507"/>
    <w:rsid w:val="00D64D94"/>
    <w:rsid w:val="00D651B8"/>
    <w:rsid w:val="00D65952"/>
    <w:rsid w:val="00D664A4"/>
    <w:rsid w:val="00D66B72"/>
    <w:rsid w:val="00D66D6B"/>
    <w:rsid w:val="00D66EA2"/>
    <w:rsid w:val="00D67126"/>
    <w:rsid w:val="00D67131"/>
    <w:rsid w:val="00D6713F"/>
    <w:rsid w:val="00D678F7"/>
    <w:rsid w:val="00D700CF"/>
    <w:rsid w:val="00D70274"/>
    <w:rsid w:val="00D70356"/>
    <w:rsid w:val="00D70761"/>
    <w:rsid w:val="00D70828"/>
    <w:rsid w:val="00D708D8"/>
    <w:rsid w:val="00D70BF0"/>
    <w:rsid w:val="00D70E19"/>
    <w:rsid w:val="00D71464"/>
    <w:rsid w:val="00D7161C"/>
    <w:rsid w:val="00D71D40"/>
    <w:rsid w:val="00D71DA5"/>
    <w:rsid w:val="00D724DA"/>
    <w:rsid w:val="00D725E8"/>
    <w:rsid w:val="00D72714"/>
    <w:rsid w:val="00D72EF6"/>
    <w:rsid w:val="00D7315F"/>
    <w:rsid w:val="00D73EC7"/>
    <w:rsid w:val="00D74685"/>
    <w:rsid w:val="00D74A53"/>
    <w:rsid w:val="00D76B2B"/>
    <w:rsid w:val="00D76BE5"/>
    <w:rsid w:val="00D771C5"/>
    <w:rsid w:val="00D778C9"/>
    <w:rsid w:val="00D778E4"/>
    <w:rsid w:val="00D77939"/>
    <w:rsid w:val="00D802F8"/>
    <w:rsid w:val="00D803F1"/>
    <w:rsid w:val="00D80C4E"/>
    <w:rsid w:val="00D80D12"/>
    <w:rsid w:val="00D80F1B"/>
    <w:rsid w:val="00D81539"/>
    <w:rsid w:val="00D818A3"/>
    <w:rsid w:val="00D82AB0"/>
    <w:rsid w:val="00D82C8E"/>
    <w:rsid w:val="00D82D05"/>
    <w:rsid w:val="00D83A77"/>
    <w:rsid w:val="00D8410C"/>
    <w:rsid w:val="00D845FC"/>
    <w:rsid w:val="00D847AB"/>
    <w:rsid w:val="00D847BE"/>
    <w:rsid w:val="00D848E9"/>
    <w:rsid w:val="00D84ACD"/>
    <w:rsid w:val="00D84FFA"/>
    <w:rsid w:val="00D85174"/>
    <w:rsid w:val="00D858F2"/>
    <w:rsid w:val="00D85BE2"/>
    <w:rsid w:val="00D8627D"/>
    <w:rsid w:val="00D86AE8"/>
    <w:rsid w:val="00D86D07"/>
    <w:rsid w:val="00D86FEB"/>
    <w:rsid w:val="00D876FC"/>
    <w:rsid w:val="00D90A5B"/>
    <w:rsid w:val="00D90D3D"/>
    <w:rsid w:val="00D90F43"/>
    <w:rsid w:val="00D90FF3"/>
    <w:rsid w:val="00D911BC"/>
    <w:rsid w:val="00D91AE7"/>
    <w:rsid w:val="00D9200D"/>
    <w:rsid w:val="00D9270B"/>
    <w:rsid w:val="00D92CF6"/>
    <w:rsid w:val="00D935A3"/>
    <w:rsid w:val="00D9510A"/>
    <w:rsid w:val="00D9550A"/>
    <w:rsid w:val="00D95892"/>
    <w:rsid w:val="00D9597D"/>
    <w:rsid w:val="00D95CD5"/>
    <w:rsid w:val="00D96421"/>
    <w:rsid w:val="00D96693"/>
    <w:rsid w:val="00D968E9"/>
    <w:rsid w:val="00D970AC"/>
    <w:rsid w:val="00D970EB"/>
    <w:rsid w:val="00D97723"/>
    <w:rsid w:val="00D97F06"/>
    <w:rsid w:val="00DA0199"/>
    <w:rsid w:val="00DA0CB7"/>
    <w:rsid w:val="00DA1724"/>
    <w:rsid w:val="00DA1728"/>
    <w:rsid w:val="00DA1B3B"/>
    <w:rsid w:val="00DA1ED5"/>
    <w:rsid w:val="00DA3615"/>
    <w:rsid w:val="00DA383C"/>
    <w:rsid w:val="00DA411B"/>
    <w:rsid w:val="00DA486D"/>
    <w:rsid w:val="00DA534D"/>
    <w:rsid w:val="00DA63C9"/>
    <w:rsid w:val="00DA65BD"/>
    <w:rsid w:val="00DA682D"/>
    <w:rsid w:val="00DA6E35"/>
    <w:rsid w:val="00DA749A"/>
    <w:rsid w:val="00DA74DA"/>
    <w:rsid w:val="00DB1BBE"/>
    <w:rsid w:val="00DB25DD"/>
    <w:rsid w:val="00DB2741"/>
    <w:rsid w:val="00DB2753"/>
    <w:rsid w:val="00DB2D9B"/>
    <w:rsid w:val="00DB3536"/>
    <w:rsid w:val="00DB48CF"/>
    <w:rsid w:val="00DB57B8"/>
    <w:rsid w:val="00DB6865"/>
    <w:rsid w:val="00DB7124"/>
    <w:rsid w:val="00DB727D"/>
    <w:rsid w:val="00DB7606"/>
    <w:rsid w:val="00DB76F3"/>
    <w:rsid w:val="00DB7956"/>
    <w:rsid w:val="00DB7CE3"/>
    <w:rsid w:val="00DC0914"/>
    <w:rsid w:val="00DC1609"/>
    <w:rsid w:val="00DC1ADB"/>
    <w:rsid w:val="00DC1B94"/>
    <w:rsid w:val="00DC1D0B"/>
    <w:rsid w:val="00DC1D1E"/>
    <w:rsid w:val="00DC2565"/>
    <w:rsid w:val="00DC2594"/>
    <w:rsid w:val="00DC2BDD"/>
    <w:rsid w:val="00DC4FA8"/>
    <w:rsid w:val="00DC50F8"/>
    <w:rsid w:val="00DC6625"/>
    <w:rsid w:val="00DC6748"/>
    <w:rsid w:val="00DC69FA"/>
    <w:rsid w:val="00DC6B4D"/>
    <w:rsid w:val="00DC6FEF"/>
    <w:rsid w:val="00DC76D5"/>
    <w:rsid w:val="00DC7A5D"/>
    <w:rsid w:val="00DC7BCC"/>
    <w:rsid w:val="00DD0720"/>
    <w:rsid w:val="00DD07D0"/>
    <w:rsid w:val="00DD0D99"/>
    <w:rsid w:val="00DD0EA4"/>
    <w:rsid w:val="00DD1B82"/>
    <w:rsid w:val="00DD238D"/>
    <w:rsid w:val="00DD27A2"/>
    <w:rsid w:val="00DD27B7"/>
    <w:rsid w:val="00DD31D5"/>
    <w:rsid w:val="00DD4BC5"/>
    <w:rsid w:val="00DD4F9A"/>
    <w:rsid w:val="00DD5AF8"/>
    <w:rsid w:val="00DD6DAF"/>
    <w:rsid w:val="00DD7496"/>
    <w:rsid w:val="00DD7C49"/>
    <w:rsid w:val="00DD7EE1"/>
    <w:rsid w:val="00DE04AB"/>
    <w:rsid w:val="00DE08C3"/>
    <w:rsid w:val="00DE1913"/>
    <w:rsid w:val="00DE253E"/>
    <w:rsid w:val="00DE27F7"/>
    <w:rsid w:val="00DE2C12"/>
    <w:rsid w:val="00DE2CD3"/>
    <w:rsid w:val="00DE2E0D"/>
    <w:rsid w:val="00DE319E"/>
    <w:rsid w:val="00DE31AB"/>
    <w:rsid w:val="00DE3237"/>
    <w:rsid w:val="00DE3905"/>
    <w:rsid w:val="00DE3C07"/>
    <w:rsid w:val="00DE3E0F"/>
    <w:rsid w:val="00DE3F52"/>
    <w:rsid w:val="00DE53F5"/>
    <w:rsid w:val="00DE559A"/>
    <w:rsid w:val="00DE5FDC"/>
    <w:rsid w:val="00DE6176"/>
    <w:rsid w:val="00DE6177"/>
    <w:rsid w:val="00DE6428"/>
    <w:rsid w:val="00DE69FF"/>
    <w:rsid w:val="00DE7345"/>
    <w:rsid w:val="00DE748C"/>
    <w:rsid w:val="00DE7A05"/>
    <w:rsid w:val="00DE7A6A"/>
    <w:rsid w:val="00DE7BC6"/>
    <w:rsid w:val="00DF0465"/>
    <w:rsid w:val="00DF0AB7"/>
    <w:rsid w:val="00DF0BDD"/>
    <w:rsid w:val="00DF0C59"/>
    <w:rsid w:val="00DF0E83"/>
    <w:rsid w:val="00DF116C"/>
    <w:rsid w:val="00DF15BC"/>
    <w:rsid w:val="00DF1E2C"/>
    <w:rsid w:val="00DF1E85"/>
    <w:rsid w:val="00DF26E7"/>
    <w:rsid w:val="00DF2E2E"/>
    <w:rsid w:val="00DF3B3B"/>
    <w:rsid w:val="00DF467D"/>
    <w:rsid w:val="00DF47B4"/>
    <w:rsid w:val="00DF49FC"/>
    <w:rsid w:val="00DF4B6D"/>
    <w:rsid w:val="00DF57E0"/>
    <w:rsid w:val="00DF5ABB"/>
    <w:rsid w:val="00DF5E3B"/>
    <w:rsid w:val="00DF6676"/>
    <w:rsid w:val="00DF7147"/>
    <w:rsid w:val="00DF78CF"/>
    <w:rsid w:val="00DF7BA1"/>
    <w:rsid w:val="00E004EC"/>
    <w:rsid w:val="00E009D2"/>
    <w:rsid w:val="00E00D9C"/>
    <w:rsid w:val="00E0119C"/>
    <w:rsid w:val="00E0132C"/>
    <w:rsid w:val="00E01930"/>
    <w:rsid w:val="00E02825"/>
    <w:rsid w:val="00E02D97"/>
    <w:rsid w:val="00E02E0C"/>
    <w:rsid w:val="00E03780"/>
    <w:rsid w:val="00E03C69"/>
    <w:rsid w:val="00E043CF"/>
    <w:rsid w:val="00E04574"/>
    <w:rsid w:val="00E04A31"/>
    <w:rsid w:val="00E04E04"/>
    <w:rsid w:val="00E0652F"/>
    <w:rsid w:val="00E07399"/>
    <w:rsid w:val="00E07756"/>
    <w:rsid w:val="00E1114D"/>
    <w:rsid w:val="00E112EA"/>
    <w:rsid w:val="00E119D0"/>
    <w:rsid w:val="00E11C25"/>
    <w:rsid w:val="00E11C94"/>
    <w:rsid w:val="00E11E44"/>
    <w:rsid w:val="00E12045"/>
    <w:rsid w:val="00E1224C"/>
    <w:rsid w:val="00E12367"/>
    <w:rsid w:val="00E12417"/>
    <w:rsid w:val="00E128A6"/>
    <w:rsid w:val="00E1361A"/>
    <w:rsid w:val="00E1364E"/>
    <w:rsid w:val="00E13A54"/>
    <w:rsid w:val="00E13BE8"/>
    <w:rsid w:val="00E14131"/>
    <w:rsid w:val="00E146E1"/>
    <w:rsid w:val="00E149BC"/>
    <w:rsid w:val="00E1510C"/>
    <w:rsid w:val="00E15443"/>
    <w:rsid w:val="00E15A32"/>
    <w:rsid w:val="00E15B64"/>
    <w:rsid w:val="00E15F64"/>
    <w:rsid w:val="00E15FF4"/>
    <w:rsid w:val="00E16150"/>
    <w:rsid w:val="00E16368"/>
    <w:rsid w:val="00E163B6"/>
    <w:rsid w:val="00E16B42"/>
    <w:rsid w:val="00E179E7"/>
    <w:rsid w:val="00E17B41"/>
    <w:rsid w:val="00E20977"/>
    <w:rsid w:val="00E20F85"/>
    <w:rsid w:val="00E21A7B"/>
    <w:rsid w:val="00E21B83"/>
    <w:rsid w:val="00E21E99"/>
    <w:rsid w:val="00E2217C"/>
    <w:rsid w:val="00E22392"/>
    <w:rsid w:val="00E23024"/>
    <w:rsid w:val="00E23C84"/>
    <w:rsid w:val="00E23F42"/>
    <w:rsid w:val="00E247E2"/>
    <w:rsid w:val="00E24C1E"/>
    <w:rsid w:val="00E25842"/>
    <w:rsid w:val="00E26922"/>
    <w:rsid w:val="00E26B55"/>
    <w:rsid w:val="00E274A5"/>
    <w:rsid w:val="00E27FEC"/>
    <w:rsid w:val="00E301D7"/>
    <w:rsid w:val="00E30867"/>
    <w:rsid w:val="00E310DF"/>
    <w:rsid w:val="00E312B4"/>
    <w:rsid w:val="00E31F11"/>
    <w:rsid w:val="00E31F1B"/>
    <w:rsid w:val="00E32D07"/>
    <w:rsid w:val="00E33333"/>
    <w:rsid w:val="00E33726"/>
    <w:rsid w:val="00E33A4B"/>
    <w:rsid w:val="00E33C72"/>
    <w:rsid w:val="00E33C8D"/>
    <w:rsid w:val="00E34156"/>
    <w:rsid w:val="00E3472E"/>
    <w:rsid w:val="00E34F50"/>
    <w:rsid w:val="00E35282"/>
    <w:rsid w:val="00E3575C"/>
    <w:rsid w:val="00E357C9"/>
    <w:rsid w:val="00E361D0"/>
    <w:rsid w:val="00E3683B"/>
    <w:rsid w:val="00E36868"/>
    <w:rsid w:val="00E36B0C"/>
    <w:rsid w:val="00E3755A"/>
    <w:rsid w:val="00E375E5"/>
    <w:rsid w:val="00E405D8"/>
    <w:rsid w:val="00E412B3"/>
    <w:rsid w:val="00E42A87"/>
    <w:rsid w:val="00E42D68"/>
    <w:rsid w:val="00E42E4A"/>
    <w:rsid w:val="00E43884"/>
    <w:rsid w:val="00E43B22"/>
    <w:rsid w:val="00E44BAF"/>
    <w:rsid w:val="00E45190"/>
    <w:rsid w:val="00E4547C"/>
    <w:rsid w:val="00E45764"/>
    <w:rsid w:val="00E46801"/>
    <w:rsid w:val="00E46AE6"/>
    <w:rsid w:val="00E46E5A"/>
    <w:rsid w:val="00E46F88"/>
    <w:rsid w:val="00E4701A"/>
    <w:rsid w:val="00E4787C"/>
    <w:rsid w:val="00E47951"/>
    <w:rsid w:val="00E47CFA"/>
    <w:rsid w:val="00E5051F"/>
    <w:rsid w:val="00E50686"/>
    <w:rsid w:val="00E51EC5"/>
    <w:rsid w:val="00E51FA0"/>
    <w:rsid w:val="00E522CC"/>
    <w:rsid w:val="00E52354"/>
    <w:rsid w:val="00E526B6"/>
    <w:rsid w:val="00E527FC"/>
    <w:rsid w:val="00E528DD"/>
    <w:rsid w:val="00E52E72"/>
    <w:rsid w:val="00E53069"/>
    <w:rsid w:val="00E53383"/>
    <w:rsid w:val="00E53549"/>
    <w:rsid w:val="00E535A0"/>
    <w:rsid w:val="00E53A33"/>
    <w:rsid w:val="00E54513"/>
    <w:rsid w:val="00E54713"/>
    <w:rsid w:val="00E54ABD"/>
    <w:rsid w:val="00E552CA"/>
    <w:rsid w:val="00E555F6"/>
    <w:rsid w:val="00E55C58"/>
    <w:rsid w:val="00E569BF"/>
    <w:rsid w:val="00E56B4D"/>
    <w:rsid w:val="00E56E00"/>
    <w:rsid w:val="00E56EFF"/>
    <w:rsid w:val="00E57322"/>
    <w:rsid w:val="00E5744E"/>
    <w:rsid w:val="00E6033F"/>
    <w:rsid w:val="00E60FA7"/>
    <w:rsid w:val="00E62014"/>
    <w:rsid w:val="00E62142"/>
    <w:rsid w:val="00E62157"/>
    <w:rsid w:val="00E62252"/>
    <w:rsid w:val="00E62346"/>
    <w:rsid w:val="00E6263E"/>
    <w:rsid w:val="00E63168"/>
    <w:rsid w:val="00E63170"/>
    <w:rsid w:val="00E635B9"/>
    <w:rsid w:val="00E6371B"/>
    <w:rsid w:val="00E63749"/>
    <w:rsid w:val="00E63F7F"/>
    <w:rsid w:val="00E64127"/>
    <w:rsid w:val="00E6468F"/>
    <w:rsid w:val="00E648E6"/>
    <w:rsid w:val="00E64C3B"/>
    <w:rsid w:val="00E64FBC"/>
    <w:rsid w:val="00E65D66"/>
    <w:rsid w:val="00E66130"/>
    <w:rsid w:val="00E6633E"/>
    <w:rsid w:val="00E66484"/>
    <w:rsid w:val="00E66811"/>
    <w:rsid w:val="00E6704A"/>
    <w:rsid w:val="00E67234"/>
    <w:rsid w:val="00E677E4"/>
    <w:rsid w:val="00E67C58"/>
    <w:rsid w:val="00E67CF4"/>
    <w:rsid w:val="00E67F9C"/>
    <w:rsid w:val="00E7028B"/>
    <w:rsid w:val="00E705C7"/>
    <w:rsid w:val="00E705EA"/>
    <w:rsid w:val="00E707F0"/>
    <w:rsid w:val="00E70B23"/>
    <w:rsid w:val="00E7179E"/>
    <w:rsid w:val="00E71883"/>
    <w:rsid w:val="00E71EA9"/>
    <w:rsid w:val="00E720A7"/>
    <w:rsid w:val="00E72182"/>
    <w:rsid w:val="00E7254F"/>
    <w:rsid w:val="00E730AC"/>
    <w:rsid w:val="00E73476"/>
    <w:rsid w:val="00E7354E"/>
    <w:rsid w:val="00E73768"/>
    <w:rsid w:val="00E73AA2"/>
    <w:rsid w:val="00E73F97"/>
    <w:rsid w:val="00E7444D"/>
    <w:rsid w:val="00E74AED"/>
    <w:rsid w:val="00E751E2"/>
    <w:rsid w:val="00E752B3"/>
    <w:rsid w:val="00E760AB"/>
    <w:rsid w:val="00E7655F"/>
    <w:rsid w:val="00E7666A"/>
    <w:rsid w:val="00E7672F"/>
    <w:rsid w:val="00E77684"/>
    <w:rsid w:val="00E7779D"/>
    <w:rsid w:val="00E77DB4"/>
    <w:rsid w:val="00E8006E"/>
    <w:rsid w:val="00E800C6"/>
    <w:rsid w:val="00E80260"/>
    <w:rsid w:val="00E80888"/>
    <w:rsid w:val="00E8135E"/>
    <w:rsid w:val="00E813CF"/>
    <w:rsid w:val="00E81466"/>
    <w:rsid w:val="00E822C1"/>
    <w:rsid w:val="00E8273B"/>
    <w:rsid w:val="00E82A04"/>
    <w:rsid w:val="00E82F5B"/>
    <w:rsid w:val="00E83162"/>
    <w:rsid w:val="00E8328B"/>
    <w:rsid w:val="00E83438"/>
    <w:rsid w:val="00E83938"/>
    <w:rsid w:val="00E843A7"/>
    <w:rsid w:val="00E844F4"/>
    <w:rsid w:val="00E85203"/>
    <w:rsid w:val="00E8564A"/>
    <w:rsid w:val="00E85E27"/>
    <w:rsid w:val="00E85FE3"/>
    <w:rsid w:val="00E867F8"/>
    <w:rsid w:val="00E86B84"/>
    <w:rsid w:val="00E86CAA"/>
    <w:rsid w:val="00E86F0F"/>
    <w:rsid w:val="00E86FE2"/>
    <w:rsid w:val="00E874D2"/>
    <w:rsid w:val="00E875ED"/>
    <w:rsid w:val="00E87887"/>
    <w:rsid w:val="00E901E2"/>
    <w:rsid w:val="00E90692"/>
    <w:rsid w:val="00E90928"/>
    <w:rsid w:val="00E90998"/>
    <w:rsid w:val="00E90F50"/>
    <w:rsid w:val="00E9147C"/>
    <w:rsid w:val="00E917F9"/>
    <w:rsid w:val="00E926DE"/>
    <w:rsid w:val="00E927B8"/>
    <w:rsid w:val="00E92D09"/>
    <w:rsid w:val="00E93377"/>
    <w:rsid w:val="00E9363F"/>
    <w:rsid w:val="00E93C0E"/>
    <w:rsid w:val="00E94004"/>
    <w:rsid w:val="00E946DC"/>
    <w:rsid w:val="00E94C8C"/>
    <w:rsid w:val="00E94E22"/>
    <w:rsid w:val="00E95288"/>
    <w:rsid w:val="00E95E01"/>
    <w:rsid w:val="00E9600A"/>
    <w:rsid w:val="00E96497"/>
    <w:rsid w:val="00E9679D"/>
    <w:rsid w:val="00E97379"/>
    <w:rsid w:val="00E973B7"/>
    <w:rsid w:val="00E97BFA"/>
    <w:rsid w:val="00E97D3C"/>
    <w:rsid w:val="00EA06D0"/>
    <w:rsid w:val="00EA1B69"/>
    <w:rsid w:val="00EA1D5E"/>
    <w:rsid w:val="00EA1DF1"/>
    <w:rsid w:val="00EA2175"/>
    <w:rsid w:val="00EA238E"/>
    <w:rsid w:val="00EA25A8"/>
    <w:rsid w:val="00EA2977"/>
    <w:rsid w:val="00EA2ED8"/>
    <w:rsid w:val="00EA2FCF"/>
    <w:rsid w:val="00EA317A"/>
    <w:rsid w:val="00EA3339"/>
    <w:rsid w:val="00EA3629"/>
    <w:rsid w:val="00EA3AAA"/>
    <w:rsid w:val="00EA4BB9"/>
    <w:rsid w:val="00EA5757"/>
    <w:rsid w:val="00EA5883"/>
    <w:rsid w:val="00EA5C81"/>
    <w:rsid w:val="00EA5EBF"/>
    <w:rsid w:val="00EA6012"/>
    <w:rsid w:val="00EA7C66"/>
    <w:rsid w:val="00EA7F7C"/>
    <w:rsid w:val="00EB020C"/>
    <w:rsid w:val="00EB0456"/>
    <w:rsid w:val="00EB04B5"/>
    <w:rsid w:val="00EB05BB"/>
    <w:rsid w:val="00EB05E5"/>
    <w:rsid w:val="00EB06C0"/>
    <w:rsid w:val="00EB10FC"/>
    <w:rsid w:val="00EB1C1C"/>
    <w:rsid w:val="00EB1D67"/>
    <w:rsid w:val="00EB1DEC"/>
    <w:rsid w:val="00EB2105"/>
    <w:rsid w:val="00EB23CE"/>
    <w:rsid w:val="00EB2766"/>
    <w:rsid w:val="00EB2C54"/>
    <w:rsid w:val="00EB2FAD"/>
    <w:rsid w:val="00EB359A"/>
    <w:rsid w:val="00EB3A18"/>
    <w:rsid w:val="00EB3ACE"/>
    <w:rsid w:val="00EB406B"/>
    <w:rsid w:val="00EB4559"/>
    <w:rsid w:val="00EB4A0B"/>
    <w:rsid w:val="00EB5354"/>
    <w:rsid w:val="00EB5409"/>
    <w:rsid w:val="00EB558F"/>
    <w:rsid w:val="00EB6379"/>
    <w:rsid w:val="00EB67B9"/>
    <w:rsid w:val="00EB6D05"/>
    <w:rsid w:val="00EB7790"/>
    <w:rsid w:val="00EB79B3"/>
    <w:rsid w:val="00EB7D82"/>
    <w:rsid w:val="00EB7FA1"/>
    <w:rsid w:val="00EB7FA8"/>
    <w:rsid w:val="00EC030D"/>
    <w:rsid w:val="00EC1183"/>
    <w:rsid w:val="00EC1414"/>
    <w:rsid w:val="00EC144A"/>
    <w:rsid w:val="00EC1F04"/>
    <w:rsid w:val="00EC251E"/>
    <w:rsid w:val="00EC25D3"/>
    <w:rsid w:val="00EC2C32"/>
    <w:rsid w:val="00EC315A"/>
    <w:rsid w:val="00EC3904"/>
    <w:rsid w:val="00EC3A97"/>
    <w:rsid w:val="00EC3EBF"/>
    <w:rsid w:val="00EC3EF3"/>
    <w:rsid w:val="00EC4554"/>
    <w:rsid w:val="00EC4AAB"/>
    <w:rsid w:val="00EC4CB8"/>
    <w:rsid w:val="00EC4EA6"/>
    <w:rsid w:val="00EC57AC"/>
    <w:rsid w:val="00EC57B4"/>
    <w:rsid w:val="00EC5900"/>
    <w:rsid w:val="00EC622D"/>
    <w:rsid w:val="00EC74D2"/>
    <w:rsid w:val="00ED0063"/>
    <w:rsid w:val="00ED055E"/>
    <w:rsid w:val="00ED0575"/>
    <w:rsid w:val="00ED05F9"/>
    <w:rsid w:val="00ED06D0"/>
    <w:rsid w:val="00ED0BD4"/>
    <w:rsid w:val="00ED10B0"/>
    <w:rsid w:val="00ED1106"/>
    <w:rsid w:val="00ED17D0"/>
    <w:rsid w:val="00ED19C8"/>
    <w:rsid w:val="00ED1B28"/>
    <w:rsid w:val="00ED1CDB"/>
    <w:rsid w:val="00ED2653"/>
    <w:rsid w:val="00ED2D2A"/>
    <w:rsid w:val="00ED30E1"/>
    <w:rsid w:val="00ED3650"/>
    <w:rsid w:val="00ED37AD"/>
    <w:rsid w:val="00ED38E1"/>
    <w:rsid w:val="00ED41D7"/>
    <w:rsid w:val="00ED4203"/>
    <w:rsid w:val="00ED43AA"/>
    <w:rsid w:val="00ED4627"/>
    <w:rsid w:val="00ED49B3"/>
    <w:rsid w:val="00ED4E90"/>
    <w:rsid w:val="00ED5AE4"/>
    <w:rsid w:val="00ED625A"/>
    <w:rsid w:val="00ED6748"/>
    <w:rsid w:val="00ED6A10"/>
    <w:rsid w:val="00ED6E8A"/>
    <w:rsid w:val="00ED72C9"/>
    <w:rsid w:val="00ED78C4"/>
    <w:rsid w:val="00ED7B8D"/>
    <w:rsid w:val="00ED7C25"/>
    <w:rsid w:val="00ED7DAB"/>
    <w:rsid w:val="00EE0030"/>
    <w:rsid w:val="00EE0186"/>
    <w:rsid w:val="00EE025C"/>
    <w:rsid w:val="00EE02DA"/>
    <w:rsid w:val="00EE0548"/>
    <w:rsid w:val="00EE0701"/>
    <w:rsid w:val="00EE09D6"/>
    <w:rsid w:val="00EE0CFC"/>
    <w:rsid w:val="00EE1C6E"/>
    <w:rsid w:val="00EE2959"/>
    <w:rsid w:val="00EE309B"/>
    <w:rsid w:val="00EE3566"/>
    <w:rsid w:val="00EE3584"/>
    <w:rsid w:val="00EE3B66"/>
    <w:rsid w:val="00EE4076"/>
    <w:rsid w:val="00EE44EB"/>
    <w:rsid w:val="00EE457E"/>
    <w:rsid w:val="00EE4B4D"/>
    <w:rsid w:val="00EE6396"/>
    <w:rsid w:val="00EE66D6"/>
    <w:rsid w:val="00EE6F34"/>
    <w:rsid w:val="00EE74B3"/>
    <w:rsid w:val="00EE7930"/>
    <w:rsid w:val="00EF0628"/>
    <w:rsid w:val="00EF0E74"/>
    <w:rsid w:val="00EF1F0E"/>
    <w:rsid w:val="00EF26B5"/>
    <w:rsid w:val="00EF31BB"/>
    <w:rsid w:val="00EF3939"/>
    <w:rsid w:val="00EF4106"/>
    <w:rsid w:val="00EF416B"/>
    <w:rsid w:val="00EF5A77"/>
    <w:rsid w:val="00EF62BC"/>
    <w:rsid w:val="00EF65A5"/>
    <w:rsid w:val="00EF78BB"/>
    <w:rsid w:val="00EF7C8E"/>
    <w:rsid w:val="00EF7F45"/>
    <w:rsid w:val="00F01AA0"/>
    <w:rsid w:val="00F022F4"/>
    <w:rsid w:val="00F02385"/>
    <w:rsid w:val="00F025C6"/>
    <w:rsid w:val="00F02742"/>
    <w:rsid w:val="00F02CDE"/>
    <w:rsid w:val="00F037CB"/>
    <w:rsid w:val="00F0404C"/>
    <w:rsid w:val="00F041FE"/>
    <w:rsid w:val="00F04369"/>
    <w:rsid w:val="00F04AC8"/>
    <w:rsid w:val="00F04D3F"/>
    <w:rsid w:val="00F05274"/>
    <w:rsid w:val="00F053F8"/>
    <w:rsid w:val="00F055BF"/>
    <w:rsid w:val="00F05672"/>
    <w:rsid w:val="00F05A5B"/>
    <w:rsid w:val="00F05D12"/>
    <w:rsid w:val="00F06175"/>
    <w:rsid w:val="00F063F5"/>
    <w:rsid w:val="00F06DED"/>
    <w:rsid w:val="00F079A9"/>
    <w:rsid w:val="00F07E98"/>
    <w:rsid w:val="00F10A6E"/>
    <w:rsid w:val="00F1141D"/>
    <w:rsid w:val="00F11614"/>
    <w:rsid w:val="00F116DE"/>
    <w:rsid w:val="00F11D56"/>
    <w:rsid w:val="00F11EFD"/>
    <w:rsid w:val="00F12BD3"/>
    <w:rsid w:val="00F12E30"/>
    <w:rsid w:val="00F13C02"/>
    <w:rsid w:val="00F140DA"/>
    <w:rsid w:val="00F14549"/>
    <w:rsid w:val="00F145C1"/>
    <w:rsid w:val="00F14B1A"/>
    <w:rsid w:val="00F14B31"/>
    <w:rsid w:val="00F15579"/>
    <w:rsid w:val="00F15D79"/>
    <w:rsid w:val="00F16B15"/>
    <w:rsid w:val="00F17FDE"/>
    <w:rsid w:val="00F2019B"/>
    <w:rsid w:val="00F20F28"/>
    <w:rsid w:val="00F212D7"/>
    <w:rsid w:val="00F2138E"/>
    <w:rsid w:val="00F216DF"/>
    <w:rsid w:val="00F21DE9"/>
    <w:rsid w:val="00F220FD"/>
    <w:rsid w:val="00F236C7"/>
    <w:rsid w:val="00F236FA"/>
    <w:rsid w:val="00F242D4"/>
    <w:rsid w:val="00F24866"/>
    <w:rsid w:val="00F24D91"/>
    <w:rsid w:val="00F24ED2"/>
    <w:rsid w:val="00F25D5E"/>
    <w:rsid w:val="00F26041"/>
    <w:rsid w:val="00F2623D"/>
    <w:rsid w:val="00F2653C"/>
    <w:rsid w:val="00F268FE"/>
    <w:rsid w:val="00F27646"/>
    <w:rsid w:val="00F27E7B"/>
    <w:rsid w:val="00F30056"/>
    <w:rsid w:val="00F30B13"/>
    <w:rsid w:val="00F30D72"/>
    <w:rsid w:val="00F314DA"/>
    <w:rsid w:val="00F318B2"/>
    <w:rsid w:val="00F31984"/>
    <w:rsid w:val="00F3241E"/>
    <w:rsid w:val="00F3245D"/>
    <w:rsid w:val="00F32CCF"/>
    <w:rsid w:val="00F332C5"/>
    <w:rsid w:val="00F33AF8"/>
    <w:rsid w:val="00F33D1B"/>
    <w:rsid w:val="00F33E35"/>
    <w:rsid w:val="00F34660"/>
    <w:rsid w:val="00F34D64"/>
    <w:rsid w:val="00F353C7"/>
    <w:rsid w:val="00F35445"/>
    <w:rsid w:val="00F358F7"/>
    <w:rsid w:val="00F35C1D"/>
    <w:rsid w:val="00F36802"/>
    <w:rsid w:val="00F36CAB"/>
    <w:rsid w:val="00F37205"/>
    <w:rsid w:val="00F375D1"/>
    <w:rsid w:val="00F37881"/>
    <w:rsid w:val="00F400B8"/>
    <w:rsid w:val="00F4018F"/>
    <w:rsid w:val="00F40CA5"/>
    <w:rsid w:val="00F40DA4"/>
    <w:rsid w:val="00F41563"/>
    <w:rsid w:val="00F416A1"/>
    <w:rsid w:val="00F42020"/>
    <w:rsid w:val="00F4234D"/>
    <w:rsid w:val="00F4260D"/>
    <w:rsid w:val="00F429B1"/>
    <w:rsid w:val="00F42A9B"/>
    <w:rsid w:val="00F42B29"/>
    <w:rsid w:val="00F4332E"/>
    <w:rsid w:val="00F43336"/>
    <w:rsid w:val="00F4351F"/>
    <w:rsid w:val="00F43635"/>
    <w:rsid w:val="00F4373F"/>
    <w:rsid w:val="00F44356"/>
    <w:rsid w:val="00F444B5"/>
    <w:rsid w:val="00F444EC"/>
    <w:rsid w:val="00F45893"/>
    <w:rsid w:val="00F45A40"/>
    <w:rsid w:val="00F460F5"/>
    <w:rsid w:val="00F46485"/>
    <w:rsid w:val="00F46641"/>
    <w:rsid w:val="00F46B51"/>
    <w:rsid w:val="00F4751D"/>
    <w:rsid w:val="00F47720"/>
    <w:rsid w:val="00F4773D"/>
    <w:rsid w:val="00F478FD"/>
    <w:rsid w:val="00F47C0D"/>
    <w:rsid w:val="00F47E43"/>
    <w:rsid w:val="00F5004D"/>
    <w:rsid w:val="00F509EC"/>
    <w:rsid w:val="00F50A05"/>
    <w:rsid w:val="00F50B98"/>
    <w:rsid w:val="00F50E59"/>
    <w:rsid w:val="00F51085"/>
    <w:rsid w:val="00F512A6"/>
    <w:rsid w:val="00F51914"/>
    <w:rsid w:val="00F519F9"/>
    <w:rsid w:val="00F51A5B"/>
    <w:rsid w:val="00F51C18"/>
    <w:rsid w:val="00F520B2"/>
    <w:rsid w:val="00F52268"/>
    <w:rsid w:val="00F52C8C"/>
    <w:rsid w:val="00F53148"/>
    <w:rsid w:val="00F531EC"/>
    <w:rsid w:val="00F53830"/>
    <w:rsid w:val="00F53B78"/>
    <w:rsid w:val="00F54B97"/>
    <w:rsid w:val="00F54D13"/>
    <w:rsid w:val="00F55520"/>
    <w:rsid w:val="00F5624A"/>
    <w:rsid w:val="00F56881"/>
    <w:rsid w:val="00F569A0"/>
    <w:rsid w:val="00F56A29"/>
    <w:rsid w:val="00F56ADD"/>
    <w:rsid w:val="00F56E9A"/>
    <w:rsid w:val="00F57210"/>
    <w:rsid w:val="00F575D3"/>
    <w:rsid w:val="00F57A7A"/>
    <w:rsid w:val="00F57EBC"/>
    <w:rsid w:val="00F60349"/>
    <w:rsid w:val="00F60A81"/>
    <w:rsid w:val="00F60B3C"/>
    <w:rsid w:val="00F611A2"/>
    <w:rsid w:val="00F61773"/>
    <w:rsid w:val="00F61FDB"/>
    <w:rsid w:val="00F620B8"/>
    <w:rsid w:val="00F62449"/>
    <w:rsid w:val="00F6262D"/>
    <w:rsid w:val="00F62922"/>
    <w:rsid w:val="00F62B89"/>
    <w:rsid w:val="00F62D44"/>
    <w:rsid w:val="00F62EE7"/>
    <w:rsid w:val="00F64145"/>
    <w:rsid w:val="00F64391"/>
    <w:rsid w:val="00F644E4"/>
    <w:rsid w:val="00F650AB"/>
    <w:rsid w:val="00F65345"/>
    <w:rsid w:val="00F656B9"/>
    <w:rsid w:val="00F66756"/>
    <w:rsid w:val="00F668A3"/>
    <w:rsid w:val="00F66CC7"/>
    <w:rsid w:val="00F6749C"/>
    <w:rsid w:val="00F6770A"/>
    <w:rsid w:val="00F677A1"/>
    <w:rsid w:val="00F67B36"/>
    <w:rsid w:val="00F67C4C"/>
    <w:rsid w:val="00F702CE"/>
    <w:rsid w:val="00F70BB3"/>
    <w:rsid w:val="00F70F07"/>
    <w:rsid w:val="00F71D3A"/>
    <w:rsid w:val="00F71FC8"/>
    <w:rsid w:val="00F72563"/>
    <w:rsid w:val="00F72E74"/>
    <w:rsid w:val="00F73561"/>
    <w:rsid w:val="00F73D7D"/>
    <w:rsid w:val="00F73D95"/>
    <w:rsid w:val="00F73F90"/>
    <w:rsid w:val="00F74441"/>
    <w:rsid w:val="00F74660"/>
    <w:rsid w:val="00F74CF7"/>
    <w:rsid w:val="00F74F5D"/>
    <w:rsid w:val="00F76171"/>
    <w:rsid w:val="00F76BAD"/>
    <w:rsid w:val="00F76C7B"/>
    <w:rsid w:val="00F770CF"/>
    <w:rsid w:val="00F80751"/>
    <w:rsid w:val="00F80DAF"/>
    <w:rsid w:val="00F81B25"/>
    <w:rsid w:val="00F81D58"/>
    <w:rsid w:val="00F81F60"/>
    <w:rsid w:val="00F82440"/>
    <w:rsid w:val="00F82F6E"/>
    <w:rsid w:val="00F83376"/>
    <w:rsid w:val="00F8355D"/>
    <w:rsid w:val="00F83C09"/>
    <w:rsid w:val="00F8405D"/>
    <w:rsid w:val="00F84585"/>
    <w:rsid w:val="00F845A1"/>
    <w:rsid w:val="00F85764"/>
    <w:rsid w:val="00F857E6"/>
    <w:rsid w:val="00F85CC9"/>
    <w:rsid w:val="00F85D3C"/>
    <w:rsid w:val="00F860C4"/>
    <w:rsid w:val="00F8739B"/>
    <w:rsid w:val="00F87627"/>
    <w:rsid w:val="00F87AD2"/>
    <w:rsid w:val="00F87B66"/>
    <w:rsid w:val="00F90780"/>
    <w:rsid w:val="00F90AB6"/>
    <w:rsid w:val="00F9144B"/>
    <w:rsid w:val="00F91C79"/>
    <w:rsid w:val="00F92116"/>
    <w:rsid w:val="00F92F2E"/>
    <w:rsid w:val="00F93378"/>
    <w:rsid w:val="00F9363E"/>
    <w:rsid w:val="00F93674"/>
    <w:rsid w:val="00F93C86"/>
    <w:rsid w:val="00F93F45"/>
    <w:rsid w:val="00F947AF"/>
    <w:rsid w:val="00F9519F"/>
    <w:rsid w:val="00F955BE"/>
    <w:rsid w:val="00F95E8B"/>
    <w:rsid w:val="00F9612B"/>
    <w:rsid w:val="00F96169"/>
    <w:rsid w:val="00F96520"/>
    <w:rsid w:val="00F97066"/>
    <w:rsid w:val="00F97185"/>
    <w:rsid w:val="00F9735D"/>
    <w:rsid w:val="00F97E84"/>
    <w:rsid w:val="00FA0147"/>
    <w:rsid w:val="00FA080B"/>
    <w:rsid w:val="00FA0F6D"/>
    <w:rsid w:val="00FA11E0"/>
    <w:rsid w:val="00FA12C8"/>
    <w:rsid w:val="00FA137F"/>
    <w:rsid w:val="00FA1406"/>
    <w:rsid w:val="00FA1533"/>
    <w:rsid w:val="00FA20E9"/>
    <w:rsid w:val="00FA22B7"/>
    <w:rsid w:val="00FA26FC"/>
    <w:rsid w:val="00FA283E"/>
    <w:rsid w:val="00FA2BC7"/>
    <w:rsid w:val="00FA2FE2"/>
    <w:rsid w:val="00FA3A20"/>
    <w:rsid w:val="00FA3AFC"/>
    <w:rsid w:val="00FA409A"/>
    <w:rsid w:val="00FA4738"/>
    <w:rsid w:val="00FA49BA"/>
    <w:rsid w:val="00FA4FF7"/>
    <w:rsid w:val="00FA507A"/>
    <w:rsid w:val="00FA51F8"/>
    <w:rsid w:val="00FA5792"/>
    <w:rsid w:val="00FA5B9B"/>
    <w:rsid w:val="00FA5BFA"/>
    <w:rsid w:val="00FA72BA"/>
    <w:rsid w:val="00FB0B47"/>
    <w:rsid w:val="00FB1AE8"/>
    <w:rsid w:val="00FB229C"/>
    <w:rsid w:val="00FB264C"/>
    <w:rsid w:val="00FB31DA"/>
    <w:rsid w:val="00FB3333"/>
    <w:rsid w:val="00FB36F0"/>
    <w:rsid w:val="00FB3B2B"/>
    <w:rsid w:val="00FB3B84"/>
    <w:rsid w:val="00FB3CB4"/>
    <w:rsid w:val="00FB4080"/>
    <w:rsid w:val="00FB456A"/>
    <w:rsid w:val="00FB5335"/>
    <w:rsid w:val="00FB5508"/>
    <w:rsid w:val="00FB5BE2"/>
    <w:rsid w:val="00FB5C4B"/>
    <w:rsid w:val="00FB61E2"/>
    <w:rsid w:val="00FB6354"/>
    <w:rsid w:val="00FB63D3"/>
    <w:rsid w:val="00FB67FF"/>
    <w:rsid w:val="00FB778C"/>
    <w:rsid w:val="00FB7DF1"/>
    <w:rsid w:val="00FC026E"/>
    <w:rsid w:val="00FC0472"/>
    <w:rsid w:val="00FC06E2"/>
    <w:rsid w:val="00FC146D"/>
    <w:rsid w:val="00FC1994"/>
    <w:rsid w:val="00FC19C0"/>
    <w:rsid w:val="00FC1A4F"/>
    <w:rsid w:val="00FC2652"/>
    <w:rsid w:val="00FC2993"/>
    <w:rsid w:val="00FC3A07"/>
    <w:rsid w:val="00FC3AB4"/>
    <w:rsid w:val="00FC3FEA"/>
    <w:rsid w:val="00FC4286"/>
    <w:rsid w:val="00FC461E"/>
    <w:rsid w:val="00FC6365"/>
    <w:rsid w:val="00FC75F8"/>
    <w:rsid w:val="00FC766E"/>
    <w:rsid w:val="00FC79CE"/>
    <w:rsid w:val="00FD08D9"/>
    <w:rsid w:val="00FD08F9"/>
    <w:rsid w:val="00FD097C"/>
    <w:rsid w:val="00FD1439"/>
    <w:rsid w:val="00FD1458"/>
    <w:rsid w:val="00FD145A"/>
    <w:rsid w:val="00FD1934"/>
    <w:rsid w:val="00FD2EE2"/>
    <w:rsid w:val="00FD33D0"/>
    <w:rsid w:val="00FD364A"/>
    <w:rsid w:val="00FD3AB6"/>
    <w:rsid w:val="00FD498B"/>
    <w:rsid w:val="00FD4BFA"/>
    <w:rsid w:val="00FD4DF3"/>
    <w:rsid w:val="00FD54EC"/>
    <w:rsid w:val="00FD5639"/>
    <w:rsid w:val="00FD58CC"/>
    <w:rsid w:val="00FD6E40"/>
    <w:rsid w:val="00FD703C"/>
    <w:rsid w:val="00FD735B"/>
    <w:rsid w:val="00FD77AA"/>
    <w:rsid w:val="00FE043B"/>
    <w:rsid w:val="00FE0751"/>
    <w:rsid w:val="00FE0ECE"/>
    <w:rsid w:val="00FE1945"/>
    <w:rsid w:val="00FE2223"/>
    <w:rsid w:val="00FE2676"/>
    <w:rsid w:val="00FE26FF"/>
    <w:rsid w:val="00FE2C29"/>
    <w:rsid w:val="00FE2E51"/>
    <w:rsid w:val="00FE2F52"/>
    <w:rsid w:val="00FE35DA"/>
    <w:rsid w:val="00FE3AFD"/>
    <w:rsid w:val="00FE4621"/>
    <w:rsid w:val="00FE4678"/>
    <w:rsid w:val="00FE48E2"/>
    <w:rsid w:val="00FE6502"/>
    <w:rsid w:val="00FE67C4"/>
    <w:rsid w:val="00FE692C"/>
    <w:rsid w:val="00FE69A4"/>
    <w:rsid w:val="00FE746B"/>
    <w:rsid w:val="00FE78D9"/>
    <w:rsid w:val="00FE79FC"/>
    <w:rsid w:val="00FF037D"/>
    <w:rsid w:val="00FF068E"/>
    <w:rsid w:val="00FF0EBF"/>
    <w:rsid w:val="00FF165C"/>
    <w:rsid w:val="00FF16C2"/>
    <w:rsid w:val="00FF1BA1"/>
    <w:rsid w:val="00FF243B"/>
    <w:rsid w:val="00FF2F09"/>
    <w:rsid w:val="00FF2F12"/>
    <w:rsid w:val="00FF3340"/>
    <w:rsid w:val="00FF3AE8"/>
    <w:rsid w:val="00FF3DC3"/>
    <w:rsid w:val="00FF4064"/>
    <w:rsid w:val="00FF40D1"/>
    <w:rsid w:val="00FF4AE3"/>
    <w:rsid w:val="00FF511C"/>
    <w:rsid w:val="00FF594D"/>
    <w:rsid w:val="00FF5AF3"/>
    <w:rsid w:val="00FF5B7A"/>
    <w:rsid w:val="00FF6054"/>
    <w:rsid w:val="00FF72F7"/>
  </w:rsids>
  <m:mathPr>
    <m:mathFont m:val="Cambria Math"/>
    <m:brkBin m:val="before"/>
    <m:brkBinSub m:val="--"/>
    <m:smallFrac/>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AD0C5C"/>
  <w15:docId w15:val="{D77AFDBC-521E-4C01-8C31-BDA5FA8AB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636F"/>
  </w:style>
  <w:style w:type="paragraph" w:styleId="Heading1">
    <w:name w:val="heading 1"/>
    <w:basedOn w:val="Normal"/>
    <w:link w:val="Heading1Char"/>
    <w:uiPriority w:val="9"/>
    <w:qFormat/>
    <w:rsid w:val="0052139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2A0F6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A215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C454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139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2A0F65"/>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9A215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C454A"/>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A825FD"/>
    <w:pPr>
      <w:ind w:left="720"/>
      <w:contextualSpacing/>
    </w:pPr>
  </w:style>
  <w:style w:type="paragraph" w:styleId="Header">
    <w:name w:val="header"/>
    <w:basedOn w:val="Normal"/>
    <w:link w:val="HeaderChar"/>
    <w:uiPriority w:val="99"/>
    <w:unhideWhenUsed/>
    <w:rsid w:val="003424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2432"/>
  </w:style>
  <w:style w:type="paragraph" w:styleId="Footer">
    <w:name w:val="footer"/>
    <w:basedOn w:val="Normal"/>
    <w:link w:val="FooterChar"/>
    <w:uiPriority w:val="99"/>
    <w:unhideWhenUsed/>
    <w:rsid w:val="003424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2432"/>
  </w:style>
  <w:style w:type="table" w:styleId="TableGrid">
    <w:name w:val="Table Grid"/>
    <w:basedOn w:val="TableNormal"/>
    <w:uiPriority w:val="39"/>
    <w:rsid w:val="006729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ED0BD4"/>
    <w:rPr>
      <w:color w:val="0000FF"/>
      <w:u w:val="single"/>
    </w:rPr>
  </w:style>
  <w:style w:type="paragraph" w:styleId="BalloonText">
    <w:name w:val="Balloon Text"/>
    <w:basedOn w:val="Normal"/>
    <w:link w:val="BalloonTextChar"/>
    <w:uiPriority w:val="99"/>
    <w:semiHidden/>
    <w:unhideWhenUsed/>
    <w:rsid w:val="004137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3732"/>
    <w:rPr>
      <w:rFonts w:ascii="Tahoma" w:hAnsi="Tahoma" w:cs="Tahoma"/>
      <w:sz w:val="16"/>
      <w:szCs w:val="16"/>
    </w:rPr>
  </w:style>
  <w:style w:type="paragraph" w:styleId="NormalWeb">
    <w:name w:val="Normal (Web)"/>
    <w:basedOn w:val="Normal"/>
    <w:uiPriority w:val="99"/>
    <w:unhideWhenUsed/>
    <w:rsid w:val="005C45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ncbitoggler-master-text">
    <w:name w:val="ui-ncbitoggler-master-text"/>
    <w:basedOn w:val="DefaultParagraphFont"/>
    <w:rsid w:val="009A2158"/>
  </w:style>
  <w:style w:type="paragraph" w:styleId="Bibliography">
    <w:name w:val="Bibliography"/>
    <w:basedOn w:val="Normal"/>
    <w:next w:val="Normal"/>
    <w:uiPriority w:val="37"/>
    <w:unhideWhenUsed/>
    <w:rsid w:val="00D61191"/>
    <w:pPr>
      <w:tabs>
        <w:tab w:val="left" w:pos="624"/>
      </w:tabs>
      <w:spacing w:after="240" w:line="240" w:lineRule="auto"/>
      <w:ind w:left="624" w:hanging="624"/>
    </w:pPr>
  </w:style>
  <w:style w:type="character" w:styleId="Strong">
    <w:name w:val="Strong"/>
    <w:basedOn w:val="DefaultParagraphFont"/>
    <w:uiPriority w:val="22"/>
    <w:qFormat/>
    <w:rsid w:val="002F6768"/>
    <w:rPr>
      <w:b/>
      <w:bCs/>
    </w:rPr>
  </w:style>
  <w:style w:type="paragraph" w:customStyle="1" w:styleId="p">
    <w:name w:val="p"/>
    <w:basedOn w:val="Normal"/>
    <w:rsid w:val="00854374"/>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11683"/>
    <w:rPr>
      <w:color w:val="800080" w:themeColor="followedHyperlink"/>
      <w:u w:val="single"/>
    </w:rPr>
  </w:style>
  <w:style w:type="character" w:customStyle="1" w:styleId="highlight">
    <w:name w:val="highlight"/>
    <w:basedOn w:val="DefaultParagraphFont"/>
    <w:rsid w:val="00D30511"/>
  </w:style>
  <w:style w:type="character" w:styleId="Emphasis">
    <w:name w:val="Emphasis"/>
    <w:basedOn w:val="DefaultParagraphFont"/>
    <w:uiPriority w:val="20"/>
    <w:qFormat/>
    <w:rsid w:val="003D0B3C"/>
    <w:rPr>
      <w:i/>
      <w:iCs/>
    </w:rPr>
  </w:style>
  <w:style w:type="character" w:customStyle="1" w:styleId="al-author-name">
    <w:name w:val="al-author-name"/>
    <w:basedOn w:val="DefaultParagraphFont"/>
    <w:rsid w:val="003D0B3C"/>
  </w:style>
  <w:style w:type="character" w:customStyle="1" w:styleId="title-text">
    <w:name w:val="title-text"/>
    <w:basedOn w:val="DefaultParagraphFont"/>
    <w:rsid w:val="00F770CF"/>
  </w:style>
  <w:style w:type="character" w:customStyle="1" w:styleId="sr-only">
    <w:name w:val="sr-only"/>
    <w:basedOn w:val="DefaultParagraphFont"/>
    <w:rsid w:val="00F770CF"/>
  </w:style>
  <w:style w:type="character" w:customStyle="1" w:styleId="text">
    <w:name w:val="text"/>
    <w:basedOn w:val="DefaultParagraphFont"/>
    <w:rsid w:val="00F770CF"/>
  </w:style>
  <w:style w:type="paragraph" w:customStyle="1" w:styleId="copyright">
    <w:name w:val="copyright"/>
    <w:basedOn w:val="Normal"/>
    <w:rsid w:val="005507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DefaultParagraphFont"/>
    <w:rsid w:val="00285628"/>
  </w:style>
  <w:style w:type="character" w:customStyle="1" w:styleId="separator">
    <w:name w:val="separator"/>
    <w:basedOn w:val="DefaultParagraphFont"/>
    <w:rsid w:val="00285628"/>
  </w:style>
  <w:style w:type="character" w:customStyle="1" w:styleId="value">
    <w:name w:val="value"/>
    <w:basedOn w:val="DefaultParagraphFont"/>
    <w:rsid w:val="00285628"/>
  </w:style>
  <w:style w:type="character" w:customStyle="1" w:styleId="st">
    <w:name w:val="st"/>
    <w:basedOn w:val="DefaultParagraphFont"/>
    <w:rsid w:val="00B00339"/>
  </w:style>
  <w:style w:type="character" w:customStyle="1" w:styleId="UnresolvedMention1">
    <w:name w:val="Unresolved Mention1"/>
    <w:basedOn w:val="DefaultParagraphFont"/>
    <w:uiPriority w:val="99"/>
    <w:semiHidden/>
    <w:unhideWhenUsed/>
    <w:rsid w:val="00AB3865"/>
    <w:rPr>
      <w:color w:val="808080"/>
      <w:shd w:val="clear" w:color="auto" w:fill="E6E6E6"/>
    </w:rPr>
  </w:style>
  <w:style w:type="character" w:customStyle="1" w:styleId="bibref">
    <w:name w:val="bibref"/>
    <w:basedOn w:val="DefaultParagraphFont"/>
    <w:rsid w:val="00293989"/>
  </w:style>
  <w:style w:type="paragraph" w:customStyle="1" w:styleId="Default">
    <w:name w:val="Default"/>
    <w:rsid w:val="002A2E5A"/>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UnresolvedMention2">
    <w:name w:val="Unresolved Mention2"/>
    <w:basedOn w:val="DefaultParagraphFont"/>
    <w:uiPriority w:val="99"/>
    <w:semiHidden/>
    <w:unhideWhenUsed/>
    <w:rsid w:val="001E01D4"/>
    <w:rPr>
      <w:color w:val="808080"/>
      <w:shd w:val="clear" w:color="auto" w:fill="E6E6E6"/>
    </w:rPr>
  </w:style>
  <w:style w:type="character" w:styleId="CommentReference">
    <w:name w:val="annotation reference"/>
    <w:basedOn w:val="DefaultParagraphFont"/>
    <w:uiPriority w:val="99"/>
    <w:semiHidden/>
    <w:unhideWhenUsed/>
    <w:rsid w:val="00CF0EB7"/>
    <w:rPr>
      <w:sz w:val="16"/>
      <w:szCs w:val="16"/>
    </w:rPr>
  </w:style>
  <w:style w:type="paragraph" w:styleId="CommentText">
    <w:name w:val="annotation text"/>
    <w:basedOn w:val="Normal"/>
    <w:link w:val="CommentTextChar"/>
    <w:uiPriority w:val="99"/>
    <w:unhideWhenUsed/>
    <w:rsid w:val="00CF0EB7"/>
    <w:pPr>
      <w:spacing w:line="240" w:lineRule="auto"/>
    </w:pPr>
    <w:rPr>
      <w:sz w:val="20"/>
      <w:szCs w:val="20"/>
    </w:rPr>
  </w:style>
  <w:style w:type="character" w:customStyle="1" w:styleId="CommentTextChar">
    <w:name w:val="Comment Text Char"/>
    <w:basedOn w:val="DefaultParagraphFont"/>
    <w:link w:val="CommentText"/>
    <w:uiPriority w:val="99"/>
    <w:rsid w:val="00CF0EB7"/>
    <w:rPr>
      <w:sz w:val="20"/>
      <w:szCs w:val="20"/>
    </w:rPr>
  </w:style>
  <w:style w:type="paragraph" w:styleId="CommentSubject">
    <w:name w:val="annotation subject"/>
    <w:basedOn w:val="CommentText"/>
    <w:next w:val="CommentText"/>
    <w:link w:val="CommentSubjectChar"/>
    <w:uiPriority w:val="99"/>
    <w:semiHidden/>
    <w:unhideWhenUsed/>
    <w:rsid w:val="00CF0EB7"/>
    <w:rPr>
      <w:b/>
      <w:bCs/>
    </w:rPr>
  </w:style>
  <w:style w:type="character" w:customStyle="1" w:styleId="CommentSubjectChar">
    <w:name w:val="Comment Subject Char"/>
    <w:basedOn w:val="CommentTextChar"/>
    <w:link w:val="CommentSubject"/>
    <w:uiPriority w:val="99"/>
    <w:semiHidden/>
    <w:rsid w:val="00CF0EB7"/>
    <w:rPr>
      <w:b/>
      <w:bCs/>
      <w:sz w:val="20"/>
      <w:szCs w:val="20"/>
    </w:rPr>
  </w:style>
  <w:style w:type="character" w:customStyle="1" w:styleId="element-citation">
    <w:name w:val="element-citation"/>
    <w:basedOn w:val="DefaultParagraphFont"/>
    <w:rsid w:val="009A4F58"/>
  </w:style>
  <w:style w:type="character" w:customStyle="1" w:styleId="UnresolvedMention3">
    <w:name w:val="Unresolved Mention3"/>
    <w:basedOn w:val="DefaultParagraphFont"/>
    <w:uiPriority w:val="99"/>
    <w:semiHidden/>
    <w:unhideWhenUsed/>
    <w:rsid w:val="00F27E7B"/>
    <w:rPr>
      <w:color w:val="808080"/>
      <w:shd w:val="clear" w:color="auto" w:fill="E6E6E6"/>
    </w:rPr>
  </w:style>
  <w:style w:type="character" w:customStyle="1" w:styleId="lrzxr">
    <w:name w:val="lrzxr"/>
    <w:basedOn w:val="DefaultParagraphFont"/>
    <w:rsid w:val="00CD3F20"/>
  </w:style>
  <w:style w:type="character" w:customStyle="1" w:styleId="orcid-id-https">
    <w:name w:val="orcid-id-https"/>
    <w:basedOn w:val="DefaultParagraphFont"/>
    <w:rsid w:val="00CD3F20"/>
  </w:style>
  <w:style w:type="paragraph" w:customStyle="1" w:styleId="xmsonormal">
    <w:name w:val="x_msonormal"/>
    <w:basedOn w:val="Normal"/>
    <w:rsid w:val="00934E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fuvd">
    <w:name w:val="ilfuvd"/>
    <w:basedOn w:val="DefaultParagraphFont"/>
    <w:rsid w:val="000A15B1"/>
  </w:style>
  <w:style w:type="paragraph" w:customStyle="1" w:styleId="1">
    <w:name w:val="正文1"/>
    <w:uiPriority w:val="99"/>
    <w:rsid w:val="009705F3"/>
    <w:pPr>
      <w:spacing w:after="0"/>
    </w:pPr>
    <w:rPr>
      <w:rFonts w:ascii="Arial" w:eastAsia="SimSun" w:hAnsi="Arial" w:cs="Arial"/>
      <w:color w:val="000000"/>
      <w:szCs w:val="20"/>
      <w:lang w:val="pl-PL" w:eastAsia="pl-PL"/>
    </w:rPr>
  </w:style>
  <w:style w:type="character" w:customStyle="1" w:styleId="dxebaseoffice2010blue">
    <w:name w:val="dxebase_office2010blue"/>
    <w:basedOn w:val="DefaultParagraphFont"/>
    <w:rsid w:val="00B826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40273">
      <w:bodyDiv w:val="1"/>
      <w:marLeft w:val="0"/>
      <w:marRight w:val="0"/>
      <w:marTop w:val="0"/>
      <w:marBottom w:val="0"/>
      <w:divBdr>
        <w:top w:val="none" w:sz="0" w:space="0" w:color="auto"/>
        <w:left w:val="none" w:sz="0" w:space="0" w:color="auto"/>
        <w:bottom w:val="none" w:sz="0" w:space="0" w:color="auto"/>
        <w:right w:val="none" w:sz="0" w:space="0" w:color="auto"/>
      </w:divBdr>
      <w:divsChild>
        <w:div w:id="294216111">
          <w:marLeft w:val="0"/>
          <w:marRight w:val="0"/>
          <w:marTop w:val="0"/>
          <w:marBottom w:val="0"/>
          <w:divBdr>
            <w:top w:val="none" w:sz="0" w:space="0" w:color="auto"/>
            <w:left w:val="none" w:sz="0" w:space="0" w:color="auto"/>
            <w:bottom w:val="none" w:sz="0" w:space="0" w:color="auto"/>
            <w:right w:val="none" w:sz="0" w:space="0" w:color="auto"/>
          </w:divBdr>
        </w:div>
        <w:div w:id="268396926">
          <w:marLeft w:val="0"/>
          <w:marRight w:val="0"/>
          <w:marTop w:val="0"/>
          <w:marBottom w:val="0"/>
          <w:divBdr>
            <w:top w:val="none" w:sz="0" w:space="0" w:color="auto"/>
            <w:left w:val="none" w:sz="0" w:space="0" w:color="auto"/>
            <w:bottom w:val="none" w:sz="0" w:space="0" w:color="auto"/>
            <w:right w:val="none" w:sz="0" w:space="0" w:color="auto"/>
          </w:divBdr>
        </w:div>
        <w:div w:id="652610821">
          <w:marLeft w:val="0"/>
          <w:marRight w:val="0"/>
          <w:marTop w:val="0"/>
          <w:marBottom w:val="0"/>
          <w:divBdr>
            <w:top w:val="none" w:sz="0" w:space="0" w:color="auto"/>
            <w:left w:val="none" w:sz="0" w:space="0" w:color="auto"/>
            <w:bottom w:val="none" w:sz="0" w:space="0" w:color="auto"/>
            <w:right w:val="none" w:sz="0" w:space="0" w:color="auto"/>
          </w:divBdr>
          <w:divsChild>
            <w:div w:id="93552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51310">
      <w:bodyDiv w:val="1"/>
      <w:marLeft w:val="0"/>
      <w:marRight w:val="0"/>
      <w:marTop w:val="0"/>
      <w:marBottom w:val="0"/>
      <w:divBdr>
        <w:top w:val="none" w:sz="0" w:space="0" w:color="auto"/>
        <w:left w:val="none" w:sz="0" w:space="0" w:color="auto"/>
        <w:bottom w:val="none" w:sz="0" w:space="0" w:color="auto"/>
        <w:right w:val="none" w:sz="0" w:space="0" w:color="auto"/>
      </w:divBdr>
      <w:divsChild>
        <w:div w:id="1202551112">
          <w:marLeft w:val="0"/>
          <w:marRight w:val="0"/>
          <w:marTop w:val="0"/>
          <w:marBottom w:val="0"/>
          <w:divBdr>
            <w:top w:val="none" w:sz="0" w:space="0" w:color="auto"/>
            <w:left w:val="none" w:sz="0" w:space="0" w:color="auto"/>
            <w:bottom w:val="none" w:sz="0" w:space="0" w:color="auto"/>
            <w:right w:val="none" w:sz="0" w:space="0" w:color="auto"/>
          </w:divBdr>
        </w:div>
        <w:div w:id="1994216321">
          <w:marLeft w:val="0"/>
          <w:marRight w:val="0"/>
          <w:marTop w:val="0"/>
          <w:marBottom w:val="0"/>
          <w:divBdr>
            <w:top w:val="none" w:sz="0" w:space="0" w:color="auto"/>
            <w:left w:val="none" w:sz="0" w:space="0" w:color="auto"/>
            <w:bottom w:val="none" w:sz="0" w:space="0" w:color="auto"/>
            <w:right w:val="none" w:sz="0" w:space="0" w:color="auto"/>
          </w:divBdr>
        </w:div>
        <w:div w:id="387340554">
          <w:marLeft w:val="0"/>
          <w:marRight w:val="0"/>
          <w:marTop w:val="0"/>
          <w:marBottom w:val="0"/>
          <w:divBdr>
            <w:top w:val="none" w:sz="0" w:space="0" w:color="auto"/>
            <w:left w:val="none" w:sz="0" w:space="0" w:color="auto"/>
            <w:bottom w:val="none" w:sz="0" w:space="0" w:color="auto"/>
            <w:right w:val="none" w:sz="0" w:space="0" w:color="auto"/>
          </w:divBdr>
        </w:div>
        <w:div w:id="134564574">
          <w:marLeft w:val="0"/>
          <w:marRight w:val="0"/>
          <w:marTop w:val="0"/>
          <w:marBottom w:val="0"/>
          <w:divBdr>
            <w:top w:val="none" w:sz="0" w:space="0" w:color="auto"/>
            <w:left w:val="none" w:sz="0" w:space="0" w:color="auto"/>
            <w:bottom w:val="none" w:sz="0" w:space="0" w:color="auto"/>
            <w:right w:val="none" w:sz="0" w:space="0" w:color="auto"/>
          </w:divBdr>
        </w:div>
        <w:div w:id="1135757148">
          <w:marLeft w:val="0"/>
          <w:marRight w:val="0"/>
          <w:marTop w:val="0"/>
          <w:marBottom w:val="0"/>
          <w:divBdr>
            <w:top w:val="none" w:sz="0" w:space="0" w:color="auto"/>
            <w:left w:val="none" w:sz="0" w:space="0" w:color="auto"/>
            <w:bottom w:val="none" w:sz="0" w:space="0" w:color="auto"/>
            <w:right w:val="none" w:sz="0" w:space="0" w:color="auto"/>
          </w:divBdr>
        </w:div>
        <w:div w:id="989870473">
          <w:marLeft w:val="0"/>
          <w:marRight w:val="0"/>
          <w:marTop w:val="0"/>
          <w:marBottom w:val="0"/>
          <w:divBdr>
            <w:top w:val="none" w:sz="0" w:space="0" w:color="auto"/>
            <w:left w:val="none" w:sz="0" w:space="0" w:color="auto"/>
            <w:bottom w:val="none" w:sz="0" w:space="0" w:color="auto"/>
            <w:right w:val="none" w:sz="0" w:space="0" w:color="auto"/>
          </w:divBdr>
        </w:div>
        <w:div w:id="1675575311">
          <w:marLeft w:val="0"/>
          <w:marRight w:val="0"/>
          <w:marTop w:val="0"/>
          <w:marBottom w:val="0"/>
          <w:divBdr>
            <w:top w:val="none" w:sz="0" w:space="0" w:color="auto"/>
            <w:left w:val="none" w:sz="0" w:space="0" w:color="auto"/>
            <w:bottom w:val="none" w:sz="0" w:space="0" w:color="auto"/>
            <w:right w:val="none" w:sz="0" w:space="0" w:color="auto"/>
          </w:divBdr>
        </w:div>
        <w:div w:id="382218925">
          <w:marLeft w:val="0"/>
          <w:marRight w:val="0"/>
          <w:marTop w:val="0"/>
          <w:marBottom w:val="0"/>
          <w:divBdr>
            <w:top w:val="none" w:sz="0" w:space="0" w:color="auto"/>
            <w:left w:val="none" w:sz="0" w:space="0" w:color="auto"/>
            <w:bottom w:val="none" w:sz="0" w:space="0" w:color="auto"/>
            <w:right w:val="none" w:sz="0" w:space="0" w:color="auto"/>
          </w:divBdr>
        </w:div>
        <w:div w:id="854610170">
          <w:marLeft w:val="0"/>
          <w:marRight w:val="0"/>
          <w:marTop w:val="0"/>
          <w:marBottom w:val="0"/>
          <w:divBdr>
            <w:top w:val="none" w:sz="0" w:space="0" w:color="auto"/>
            <w:left w:val="none" w:sz="0" w:space="0" w:color="auto"/>
            <w:bottom w:val="none" w:sz="0" w:space="0" w:color="auto"/>
            <w:right w:val="none" w:sz="0" w:space="0" w:color="auto"/>
          </w:divBdr>
        </w:div>
        <w:div w:id="610160982">
          <w:marLeft w:val="0"/>
          <w:marRight w:val="0"/>
          <w:marTop w:val="0"/>
          <w:marBottom w:val="0"/>
          <w:divBdr>
            <w:top w:val="none" w:sz="0" w:space="0" w:color="auto"/>
            <w:left w:val="none" w:sz="0" w:space="0" w:color="auto"/>
            <w:bottom w:val="none" w:sz="0" w:space="0" w:color="auto"/>
            <w:right w:val="none" w:sz="0" w:space="0" w:color="auto"/>
          </w:divBdr>
        </w:div>
        <w:div w:id="2061199764">
          <w:marLeft w:val="0"/>
          <w:marRight w:val="0"/>
          <w:marTop w:val="0"/>
          <w:marBottom w:val="0"/>
          <w:divBdr>
            <w:top w:val="none" w:sz="0" w:space="0" w:color="auto"/>
            <w:left w:val="none" w:sz="0" w:space="0" w:color="auto"/>
            <w:bottom w:val="none" w:sz="0" w:space="0" w:color="auto"/>
            <w:right w:val="none" w:sz="0" w:space="0" w:color="auto"/>
          </w:divBdr>
        </w:div>
        <w:div w:id="2044598206">
          <w:marLeft w:val="0"/>
          <w:marRight w:val="0"/>
          <w:marTop w:val="0"/>
          <w:marBottom w:val="0"/>
          <w:divBdr>
            <w:top w:val="none" w:sz="0" w:space="0" w:color="auto"/>
            <w:left w:val="none" w:sz="0" w:space="0" w:color="auto"/>
            <w:bottom w:val="none" w:sz="0" w:space="0" w:color="auto"/>
            <w:right w:val="none" w:sz="0" w:space="0" w:color="auto"/>
          </w:divBdr>
        </w:div>
        <w:div w:id="1477993951">
          <w:marLeft w:val="0"/>
          <w:marRight w:val="0"/>
          <w:marTop w:val="0"/>
          <w:marBottom w:val="0"/>
          <w:divBdr>
            <w:top w:val="none" w:sz="0" w:space="0" w:color="auto"/>
            <w:left w:val="none" w:sz="0" w:space="0" w:color="auto"/>
            <w:bottom w:val="none" w:sz="0" w:space="0" w:color="auto"/>
            <w:right w:val="none" w:sz="0" w:space="0" w:color="auto"/>
          </w:divBdr>
        </w:div>
        <w:div w:id="942611007">
          <w:marLeft w:val="0"/>
          <w:marRight w:val="0"/>
          <w:marTop w:val="0"/>
          <w:marBottom w:val="0"/>
          <w:divBdr>
            <w:top w:val="none" w:sz="0" w:space="0" w:color="auto"/>
            <w:left w:val="none" w:sz="0" w:space="0" w:color="auto"/>
            <w:bottom w:val="none" w:sz="0" w:space="0" w:color="auto"/>
            <w:right w:val="none" w:sz="0" w:space="0" w:color="auto"/>
          </w:divBdr>
        </w:div>
        <w:div w:id="1943604557">
          <w:marLeft w:val="0"/>
          <w:marRight w:val="0"/>
          <w:marTop w:val="0"/>
          <w:marBottom w:val="0"/>
          <w:divBdr>
            <w:top w:val="none" w:sz="0" w:space="0" w:color="auto"/>
            <w:left w:val="none" w:sz="0" w:space="0" w:color="auto"/>
            <w:bottom w:val="none" w:sz="0" w:space="0" w:color="auto"/>
            <w:right w:val="none" w:sz="0" w:space="0" w:color="auto"/>
          </w:divBdr>
        </w:div>
        <w:div w:id="1339503788">
          <w:marLeft w:val="0"/>
          <w:marRight w:val="0"/>
          <w:marTop w:val="0"/>
          <w:marBottom w:val="0"/>
          <w:divBdr>
            <w:top w:val="none" w:sz="0" w:space="0" w:color="auto"/>
            <w:left w:val="none" w:sz="0" w:space="0" w:color="auto"/>
            <w:bottom w:val="none" w:sz="0" w:space="0" w:color="auto"/>
            <w:right w:val="none" w:sz="0" w:space="0" w:color="auto"/>
          </w:divBdr>
        </w:div>
        <w:div w:id="915014746">
          <w:marLeft w:val="0"/>
          <w:marRight w:val="0"/>
          <w:marTop w:val="0"/>
          <w:marBottom w:val="0"/>
          <w:divBdr>
            <w:top w:val="none" w:sz="0" w:space="0" w:color="auto"/>
            <w:left w:val="none" w:sz="0" w:space="0" w:color="auto"/>
            <w:bottom w:val="none" w:sz="0" w:space="0" w:color="auto"/>
            <w:right w:val="none" w:sz="0" w:space="0" w:color="auto"/>
          </w:divBdr>
        </w:div>
        <w:div w:id="1795325578">
          <w:marLeft w:val="0"/>
          <w:marRight w:val="0"/>
          <w:marTop w:val="0"/>
          <w:marBottom w:val="0"/>
          <w:divBdr>
            <w:top w:val="none" w:sz="0" w:space="0" w:color="auto"/>
            <w:left w:val="none" w:sz="0" w:space="0" w:color="auto"/>
            <w:bottom w:val="none" w:sz="0" w:space="0" w:color="auto"/>
            <w:right w:val="none" w:sz="0" w:space="0" w:color="auto"/>
          </w:divBdr>
        </w:div>
        <w:div w:id="364644700">
          <w:marLeft w:val="0"/>
          <w:marRight w:val="0"/>
          <w:marTop w:val="0"/>
          <w:marBottom w:val="0"/>
          <w:divBdr>
            <w:top w:val="none" w:sz="0" w:space="0" w:color="auto"/>
            <w:left w:val="none" w:sz="0" w:space="0" w:color="auto"/>
            <w:bottom w:val="none" w:sz="0" w:space="0" w:color="auto"/>
            <w:right w:val="none" w:sz="0" w:space="0" w:color="auto"/>
          </w:divBdr>
        </w:div>
        <w:div w:id="460148070">
          <w:marLeft w:val="0"/>
          <w:marRight w:val="0"/>
          <w:marTop w:val="0"/>
          <w:marBottom w:val="0"/>
          <w:divBdr>
            <w:top w:val="none" w:sz="0" w:space="0" w:color="auto"/>
            <w:left w:val="none" w:sz="0" w:space="0" w:color="auto"/>
            <w:bottom w:val="none" w:sz="0" w:space="0" w:color="auto"/>
            <w:right w:val="none" w:sz="0" w:space="0" w:color="auto"/>
          </w:divBdr>
        </w:div>
        <w:div w:id="1432310706">
          <w:marLeft w:val="0"/>
          <w:marRight w:val="0"/>
          <w:marTop w:val="0"/>
          <w:marBottom w:val="0"/>
          <w:divBdr>
            <w:top w:val="none" w:sz="0" w:space="0" w:color="auto"/>
            <w:left w:val="none" w:sz="0" w:space="0" w:color="auto"/>
            <w:bottom w:val="none" w:sz="0" w:space="0" w:color="auto"/>
            <w:right w:val="none" w:sz="0" w:space="0" w:color="auto"/>
          </w:divBdr>
        </w:div>
        <w:div w:id="1688751621">
          <w:marLeft w:val="0"/>
          <w:marRight w:val="0"/>
          <w:marTop w:val="0"/>
          <w:marBottom w:val="0"/>
          <w:divBdr>
            <w:top w:val="none" w:sz="0" w:space="0" w:color="auto"/>
            <w:left w:val="none" w:sz="0" w:space="0" w:color="auto"/>
            <w:bottom w:val="none" w:sz="0" w:space="0" w:color="auto"/>
            <w:right w:val="none" w:sz="0" w:space="0" w:color="auto"/>
          </w:divBdr>
        </w:div>
        <w:div w:id="1095908178">
          <w:marLeft w:val="0"/>
          <w:marRight w:val="0"/>
          <w:marTop w:val="0"/>
          <w:marBottom w:val="0"/>
          <w:divBdr>
            <w:top w:val="none" w:sz="0" w:space="0" w:color="auto"/>
            <w:left w:val="none" w:sz="0" w:space="0" w:color="auto"/>
            <w:bottom w:val="none" w:sz="0" w:space="0" w:color="auto"/>
            <w:right w:val="none" w:sz="0" w:space="0" w:color="auto"/>
          </w:divBdr>
        </w:div>
        <w:div w:id="1090929209">
          <w:marLeft w:val="0"/>
          <w:marRight w:val="0"/>
          <w:marTop w:val="0"/>
          <w:marBottom w:val="0"/>
          <w:divBdr>
            <w:top w:val="none" w:sz="0" w:space="0" w:color="auto"/>
            <w:left w:val="none" w:sz="0" w:space="0" w:color="auto"/>
            <w:bottom w:val="none" w:sz="0" w:space="0" w:color="auto"/>
            <w:right w:val="none" w:sz="0" w:space="0" w:color="auto"/>
          </w:divBdr>
        </w:div>
        <w:div w:id="685911182">
          <w:marLeft w:val="0"/>
          <w:marRight w:val="0"/>
          <w:marTop w:val="0"/>
          <w:marBottom w:val="0"/>
          <w:divBdr>
            <w:top w:val="none" w:sz="0" w:space="0" w:color="auto"/>
            <w:left w:val="none" w:sz="0" w:space="0" w:color="auto"/>
            <w:bottom w:val="none" w:sz="0" w:space="0" w:color="auto"/>
            <w:right w:val="none" w:sz="0" w:space="0" w:color="auto"/>
          </w:divBdr>
        </w:div>
        <w:div w:id="1336835609">
          <w:marLeft w:val="0"/>
          <w:marRight w:val="0"/>
          <w:marTop w:val="0"/>
          <w:marBottom w:val="0"/>
          <w:divBdr>
            <w:top w:val="none" w:sz="0" w:space="0" w:color="auto"/>
            <w:left w:val="none" w:sz="0" w:space="0" w:color="auto"/>
            <w:bottom w:val="none" w:sz="0" w:space="0" w:color="auto"/>
            <w:right w:val="none" w:sz="0" w:space="0" w:color="auto"/>
          </w:divBdr>
        </w:div>
        <w:div w:id="1038817087">
          <w:marLeft w:val="0"/>
          <w:marRight w:val="0"/>
          <w:marTop w:val="0"/>
          <w:marBottom w:val="0"/>
          <w:divBdr>
            <w:top w:val="none" w:sz="0" w:space="0" w:color="auto"/>
            <w:left w:val="none" w:sz="0" w:space="0" w:color="auto"/>
            <w:bottom w:val="none" w:sz="0" w:space="0" w:color="auto"/>
            <w:right w:val="none" w:sz="0" w:space="0" w:color="auto"/>
          </w:divBdr>
        </w:div>
        <w:div w:id="1740909240">
          <w:marLeft w:val="0"/>
          <w:marRight w:val="0"/>
          <w:marTop w:val="0"/>
          <w:marBottom w:val="0"/>
          <w:divBdr>
            <w:top w:val="none" w:sz="0" w:space="0" w:color="auto"/>
            <w:left w:val="none" w:sz="0" w:space="0" w:color="auto"/>
            <w:bottom w:val="none" w:sz="0" w:space="0" w:color="auto"/>
            <w:right w:val="none" w:sz="0" w:space="0" w:color="auto"/>
          </w:divBdr>
        </w:div>
        <w:div w:id="1685203699">
          <w:marLeft w:val="0"/>
          <w:marRight w:val="0"/>
          <w:marTop w:val="0"/>
          <w:marBottom w:val="0"/>
          <w:divBdr>
            <w:top w:val="none" w:sz="0" w:space="0" w:color="auto"/>
            <w:left w:val="none" w:sz="0" w:space="0" w:color="auto"/>
            <w:bottom w:val="none" w:sz="0" w:space="0" w:color="auto"/>
            <w:right w:val="none" w:sz="0" w:space="0" w:color="auto"/>
          </w:divBdr>
        </w:div>
        <w:div w:id="970593948">
          <w:marLeft w:val="0"/>
          <w:marRight w:val="0"/>
          <w:marTop w:val="0"/>
          <w:marBottom w:val="0"/>
          <w:divBdr>
            <w:top w:val="none" w:sz="0" w:space="0" w:color="auto"/>
            <w:left w:val="none" w:sz="0" w:space="0" w:color="auto"/>
            <w:bottom w:val="none" w:sz="0" w:space="0" w:color="auto"/>
            <w:right w:val="none" w:sz="0" w:space="0" w:color="auto"/>
          </w:divBdr>
        </w:div>
        <w:div w:id="1843007770">
          <w:marLeft w:val="0"/>
          <w:marRight w:val="0"/>
          <w:marTop w:val="0"/>
          <w:marBottom w:val="0"/>
          <w:divBdr>
            <w:top w:val="none" w:sz="0" w:space="0" w:color="auto"/>
            <w:left w:val="none" w:sz="0" w:space="0" w:color="auto"/>
            <w:bottom w:val="none" w:sz="0" w:space="0" w:color="auto"/>
            <w:right w:val="none" w:sz="0" w:space="0" w:color="auto"/>
          </w:divBdr>
        </w:div>
        <w:div w:id="791946590">
          <w:marLeft w:val="0"/>
          <w:marRight w:val="0"/>
          <w:marTop w:val="0"/>
          <w:marBottom w:val="0"/>
          <w:divBdr>
            <w:top w:val="none" w:sz="0" w:space="0" w:color="auto"/>
            <w:left w:val="none" w:sz="0" w:space="0" w:color="auto"/>
            <w:bottom w:val="none" w:sz="0" w:space="0" w:color="auto"/>
            <w:right w:val="none" w:sz="0" w:space="0" w:color="auto"/>
          </w:divBdr>
        </w:div>
        <w:div w:id="158158069">
          <w:marLeft w:val="0"/>
          <w:marRight w:val="0"/>
          <w:marTop w:val="0"/>
          <w:marBottom w:val="0"/>
          <w:divBdr>
            <w:top w:val="none" w:sz="0" w:space="0" w:color="auto"/>
            <w:left w:val="none" w:sz="0" w:space="0" w:color="auto"/>
            <w:bottom w:val="none" w:sz="0" w:space="0" w:color="auto"/>
            <w:right w:val="none" w:sz="0" w:space="0" w:color="auto"/>
          </w:divBdr>
        </w:div>
        <w:div w:id="69894109">
          <w:marLeft w:val="0"/>
          <w:marRight w:val="0"/>
          <w:marTop w:val="0"/>
          <w:marBottom w:val="0"/>
          <w:divBdr>
            <w:top w:val="none" w:sz="0" w:space="0" w:color="auto"/>
            <w:left w:val="none" w:sz="0" w:space="0" w:color="auto"/>
            <w:bottom w:val="none" w:sz="0" w:space="0" w:color="auto"/>
            <w:right w:val="none" w:sz="0" w:space="0" w:color="auto"/>
          </w:divBdr>
        </w:div>
        <w:div w:id="1735546299">
          <w:marLeft w:val="0"/>
          <w:marRight w:val="0"/>
          <w:marTop w:val="0"/>
          <w:marBottom w:val="0"/>
          <w:divBdr>
            <w:top w:val="none" w:sz="0" w:space="0" w:color="auto"/>
            <w:left w:val="none" w:sz="0" w:space="0" w:color="auto"/>
            <w:bottom w:val="none" w:sz="0" w:space="0" w:color="auto"/>
            <w:right w:val="none" w:sz="0" w:space="0" w:color="auto"/>
          </w:divBdr>
        </w:div>
        <w:div w:id="362171151">
          <w:marLeft w:val="0"/>
          <w:marRight w:val="0"/>
          <w:marTop w:val="0"/>
          <w:marBottom w:val="0"/>
          <w:divBdr>
            <w:top w:val="none" w:sz="0" w:space="0" w:color="auto"/>
            <w:left w:val="none" w:sz="0" w:space="0" w:color="auto"/>
            <w:bottom w:val="none" w:sz="0" w:space="0" w:color="auto"/>
            <w:right w:val="none" w:sz="0" w:space="0" w:color="auto"/>
          </w:divBdr>
        </w:div>
        <w:div w:id="440884473">
          <w:marLeft w:val="0"/>
          <w:marRight w:val="0"/>
          <w:marTop w:val="0"/>
          <w:marBottom w:val="0"/>
          <w:divBdr>
            <w:top w:val="none" w:sz="0" w:space="0" w:color="auto"/>
            <w:left w:val="none" w:sz="0" w:space="0" w:color="auto"/>
            <w:bottom w:val="none" w:sz="0" w:space="0" w:color="auto"/>
            <w:right w:val="none" w:sz="0" w:space="0" w:color="auto"/>
          </w:divBdr>
        </w:div>
        <w:div w:id="1647927012">
          <w:marLeft w:val="0"/>
          <w:marRight w:val="0"/>
          <w:marTop w:val="0"/>
          <w:marBottom w:val="0"/>
          <w:divBdr>
            <w:top w:val="none" w:sz="0" w:space="0" w:color="auto"/>
            <w:left w:val="none" w:sz="0" w:space="0" w:color="auto"/>
            <w:bottom w:val="none" w:sz="0" w:space="0" w:color="auto"/>
            <w:right w:val="none" w:sz="0" w:space="0" w:color="auto"/>
          </w:divBdr>
        </w:div>
        <w:div w:id="101339750">
          <w:marLeft w:val="0"/>
          <w:marRight w:val="0"/>
          <w:marTop w:val="0"/>
          <w:marBottom w:val="0"/>
          <w:divBdr>
            <w:top w:val="none" w:sz="0" w:space="0" w:color="auto"/>
            <w:left w:val="none" w:sz="0" w:space="0" w:color="auto"/>
            <w:bottom w:val="none" w:sz="0" w:space="0" w:color="auto"/>
            <w:right w:val="none" w:sz="0" w:space="0" w:color="auto"/>
          </w:divBdr>
        </w:div>
        <w:div w:id="651300116">
          <w:marLeft w:val="0"/>
          <w:marRight w:val="0"/>
          <w:marTop w:val="0"/>
          <w:marBottom w:val="0"/>
          <w:divBdr>
            <w:top w:val="none" w:sz="0" w:space="0" w:color="auto"/>
            <w:left w:val="none" w:sz="0" w:space="0" w:color="auto"/>
            <w:bottom w:val="none" w:sz="0" w:space="0" w:color="auto"/>
            <w:right w:val="none" w:sz="0" w:space="0" w:color="auto"/>
          </w:divBdr>
        </w:div>
        <w:div w:id="1398627740">
          <w:marLeft w:val="0"/>
          <w:marRight w:val="0"/>
          <w:marTop w:val="0"/>
          <w:marBottom w:val="0"/>
          <w:divBdr>
            <w:top w:val="none" w:sz="0" w:space="0" w:color="auto"/>
            <w:left w:val="none" w:sz="0" w:space="0" w:color="auto"/>
            <w:bottom w:val="none" w:sz="0" w:space="0" w:color="auto"/>
            <w:right w:val="none" w:sz="0" w:space="0" w:color="auto"/>
          </w:divBdr>
        </w:div>
        <w:div w:id="1189297644">
          <w:marLeft w:val="0"/>
          <w:marRight w:val="0"/>
          <w:marTop w:val="0"/>
          <w:marBottom w:val="0"/>
          <w:divBdr>
            <w:top w:val="none" w:sz="0" w:space="0" w:color="auto"/>
            <w:left w:val="none" w:sz="0" w:space="0" w:color="auto"/>
            <w:bottom w:val="none" w:sz="0" w:space="0" w:color="auto"/>
            <w:right w:val="none" w:sz="0" w:space="0" w:color="auto"/>
          </w:divBdr>
        </w:div>
        <w:div w:id="636688519">
          <w:marLeft w:val="0"/>
          <w:marRight w:val="0"/>
          <w:marTop w:val="0"/>
          <w:marBottom w:val="0"/>
          <w:divBdr>
            <w:top w:val="none" w:sz="0" w:space="0" w:color="auto"/>
            <w:left w:val="none" w:sz="0" w:space="0" w:color="auto"/>
            <w:bottom w:val="none" w:sz="0" w:space="0" w:color="auto"/>
            <w:right w:val="none" w:sz="0" w:space="0" w:color="auto"/>
          </w:divBdr>
        </w:div>
        <w:div w:id="100150956">
          <w:marLeft w:val="0"/>
          <w:marRight w:val="0"/>
          <w:marTop w:val="0"/>
          <w:marBottom w:val="0"/>
          <w:divBdr>
            <w:top w:val="none" w:sz="0" w:space="0" w:color="auto"/>
            <w:left w:val="none" w:sz="0" w:space="0" w:color="auto"/>
            <w:bottom w:val="none" w:sz="0" w:space="0" w:color="auto"/>
            <w:right w:val="none" w:sz="0" w:space="0" w:color="auto"/>
          </w:divBdr>
        </w:div>
        <w:div w:id="365642078">
          <w:marLeft w:val="0"/>
          <w:marRight w:val="0"/>
          <w:marTop w:val="0"/>
          <w:marBottom w:val="0"/>
          <w:divBdr>
            <w:top w:val="none" w:sz="0" w:space="0" w:color="auto"/>
            <w:left w:val="none" w:sz="0" w:space="0" w:color="auto"/>
            <w:bottom w:val="none" w:sz="0" w:space="0" w:color="auto"/>
            <w:right w:val="none" w:sz="0" w:space="0" w:color="auto"/>
          </w:divBdr>
        </w:div>
        <w:div w:id="1557349864">
          <w:marLeft w:val="0"/>
          <w:marRight w:val="0"/>
          <w:marTop w:val="0"/>
          <w:marBottom w:val="0"/>
          <w:divBdr>
            <w:top w:val="none" w:sz="0" w:space="0" w:color="auto"/>
            <w:left w:val="none" w:sz="0" w:space="0" w:color="auto"/>
            <w:bottom w:val="none" w:sz="0" w:space="0" w:color="auto"/>
            <w:right w:val="none" w:sz="0" w:space="0" w:color="auto"/>
          </w:divBdr>
        </w:div>
        <w:div w:id="1828284192">
          <w:marLeft w:val="0"/>
          <w:marRight w:val="0"/>
          <w:marTop w:val="0"/>
          <w:marBottom w:val="0"/>
          <w:divBdr>
            <w:top w:val="none" w:sz="0" w:space="0" w:color="auto"/>
            <w:left w:val="none" w:sz="0" w:space="0" w:color="auto"/>
            <w:bottom w:val="none" w:sz="0" w:space="0" w:color="auto"/>
            <w:right w:val="none" w:sz="0" w:space="0" w:color="auto"/>
          </w:divBdr>
        </w:div>
        <w:div w:id="1841044342">
          <w:marLeft w:val="0"/>
          <w:marRight w:val="0"/>
          <w:marTop w:val="0"/>
          <w:marBottom w:val="0"/>
          <w:divBdr>
            <w:top w:val="none" w:sz="0" w:space="0" w:color="auto"/>
            <w:left w:val="none" w:sz="0" w:space="0" w:color="auto"/>
            <w:bottom w:val="none" w:sz="0" w:space="0" w:color="auto"/>
            <w:right w:val="none" w:sz="0" w:space="0" w:color="auto"/>
          </w:divBdr>
        </w:div>
        <w:div w:id="18430442">
          <w:marLeft w:val="0"/>
          <w:marRight w:val="0"/>
          <w:marTop w:val="0"/>
          <w:marBottom w:val="0"/>
          <w:divBdr>
            <w:top w:val="none" w:sz="0" w:space="0" w:color="auto"/>
            <w:left w:val="none" w:sz="0" w:space="0" w:color="auto"/>
            <w:bottom w:val="none" w:sz="0" w:space="0" w:color="auto"/>
            <w:right w:val="none" w:sz="0" w:space="0" w:color="auto"/>
          </w:divBdr>
        </w:div>
        <w:div w:id="1375541401">
          <w:marLeft w:val="0"/>
          <w:marRight w:val="0"/>
          <w:marTop w:val="0"/>
          <w:marBottom w:val="0"/>
          <w:divBdr>
            <w:top w:val="none" w:sz="0" w:space="0" w:color="auto"/>
            <w:left w:val="none" w:sz="0" w:space="0" w:color="auto"/>
            <w:bottom w:val="none" w:sz="0" w:space="0" w:color="auto"/>
            <w:right w:val="none" w:sz="0" w:space="0" w:color="auto"/>
          </w:divBdr>
        </w:div>
        <w:div w:id="800730228">
          <w:marLeft w:val="0"/>
          <w:marRight w:val="0"/>
          <w:marTop w:val="0"/>
          <w:marBottom w:val="0"/>
          <w:divBdr>
            <w:top w:val="none" w:sz="0" w:space="0" w:color="auto"/>
            <w:left w:val="none" w:sz="0" w:space="0" w:color="auto"/>
            <w:bottom w:val="none" w:sz="0" w:space="0" w:color="auto"/>
            <w:right w:val="none" w:sz="0" w:space="0" w:color="auto"/>
          </w:divBdr>
        </w:div>
        <w:div w:id="19867755">
          <w:marLeft w:val="0"/>
          <w:marRight w:val="0"/>
          <w:marTop w:val="0"/>
          <w:marBottom w:val="0"/>
          <w:divBdr>
            <w:top w:val="none" w:sz="0" w:space="0" w:color="auto"/>
            <w:left w:val="none" w:sz="0" w:space="0" w:color="auto"/>
            <w:bottom w:val="none" w:sz="0" w:space="0" w:color="auto"/>
            <w:right w:val="none" w:sz="0" w:space="0" w:color="auto"/>
          </w:divBdr>
        </w:div>
        <w:div w:id="848566437">
          <w:marLeft w:val="0"/>
          <w:marRight w:val="0"/>
          <w:marTop w:val="0"/>
          <w:marBottom w:val="0"/>
          <w:divBdr>
            <w:top w:val="none" w:sz="0" w:space="0" w:color="auto"/>
            <w:left w:val="none" w:sz="0" w:space="0" w:color="auto"/>
            <w:bottom w:val="none" w:sz="0" w:space="0" w:color="auto"/>
            <w:right w:val="none" w:sz="0" w:space="0" w:color="auto"/>
          </w:divBdr>
        </w:div>
        <w:div w:id="1873031152">
          <w:marLeft w:val="0"/>
          <w:marRight w:val="0"/>
          <w:marTop w:val="0"/>
          <w:marBottom w:val="0"/>
          <w:divBdr>
            <w:top w:val="none" w:sz="0" w:space="0" w:color="auto"/>
            <w:left w:val="none" w:sz="0" w:space="0" w:color="auto"/>
            <w:bottom w:val="none" w:sz="0" w:space="0" w:color="auto"/>
            <w:right w:val="none" w:sz="0" w:space="0" w:color="auto"/>
          </w:divBdr>
        </w:div>
        <w:div w:id="525480475">
          <w:marLeft w:val="0"/>
          <w:marRight w:val="0"/>
          <w:marTop w:val="0"/>
          <w:marBottom w:val="0"/>
          <w:divBdr>
            <w:top w:val="none" w:sz="0" w:space="0" w:color="auto"/>
            <w:left w:val="none" w:sz="0" w:space="0" w:color="auto"/>
            <w:bottom w:val="none" w:sz="0" w:space="0" w:color="auto"/>
            <w:right w:val="none" w:sz="0" w:space="0" w:color="auto"/>
          </w:divBdr>
        </w:div>
        <w:div w:id="1217475882">
          <w:marLeft w:val="0"/>
          <w:marRight w:val="0"/>
          <w:marTop w:val="0"/>
          <w:marBottom w:val="0"/>
          <w:divBdr>
            <w:top w:val="none" w:sz="0" w:space="0" w:color="auto"/>
            <w:left w:val="none" w:sz="0" w:space="0" w:color="auto"/>
            <w:bottom w:val="none" w:sz="0" w:space="0" w:color="auto"/>
            <w:right w:val="none" w:sz="0" w:space="0" w:color="auto"/>
          </w:divBdr>
        </w:div>
        <w:div w:id="599485946">
          <w:marLeft w:val="0"/>
          <w:marRight w:val="0"/>
          <w:marTop w:val="0"/>
          <w:marBottom w:val="0"/>
          <w:divBdr>
            <w:top w:val="none" w:sz="0" w:space="0" w:color="auto"/>
            <w:left w:val="none" w:sz="0" w:space="0" w:color="auto"/>
            <w:bottom w:val="none" w:sz="0" w:space="0" w:color="auto"/>
            <w:right w:val="none" w:sz="0" w:space="0" w:color="auto"/>
          </w:divBdr>
        </w:div>
        <w:div w:id="645352201">
          <w:marLeft w:val="0"/>
          <w:marRight w:val="0"/>
          <w:marTop w:val="0"/>
          <w:marBottom w:val="0"/>
          <w:divBdr>
            <w:top w:val="none" w:sz="0" w:space="0" w:color="auto"/>
            <w:left w:val="none" w:sz="0" w:space="0" w:color="auto"/>
            <w:bottom w:val="none" w:sz="0" w:space="0" w:color="auto"/>
            <w:right w:val="none" w:sz="0" w:space="0" w:color="auto"/>
          </w:divBdr>
        </w:div>
        <w:div w:id="836576554">
          <w:marLeft w:val="0"/>
          <w:marRight w:val="0"/>
          <w:marTop w:val="0"/>
          <w:marBottom w:val="0"/>
          <w:divBdr>
            <w:top w:val="none" w:sz="0" w:space="0" w:color="auto"/>
            <w:left w:val="none" w:sz="0" w:space="0" w:color="auto"/>
            <w:bottom w:val="none" w:sz="0" w:space="0" w:color="auto"/>
            <w:right w:val="none" w:sz="0" w:space="0" w:color="auto"/>
          </w:divBdr>
        </w:div>
        <w:div w:id="1559435715">
          <w:marLeft w:val="0"/>
          <w:marRight w:val="0"/>
          <w:marTop w:val="0"/>
          <w:marBottom w:val="0"/>
          <w:divBdr>
            <w:top w:val="none" w:sz="0" w:space="0" w:color="auto"/>
            <w:left w:val="none" w:sz="0" w:space="0" w:color="auto"/>
            <w:bottom w:val="none" w:sz="0" w:space="0" w:color="auto"/>
            <w:right w:val="none" w:sz="0" w:space="0" w:color="auto"/>
          </w:divBdr>
        </w:div>
        <w:div w:id="1329554656">
          <w:marLeft w:val="0"/>
          <w:marRight w:val="0"/>
          <w:marTop w:val="0"/>
          <w:marBottom w:val="0"/>
          <w:divBdr>
            <w:top w:val="none" w:sz="0" w:space="0" w:color="auto"/>
            <w:left w:val="none" w:sz="0" w:space="0" w:color="auto"/>
            <w:bottom w:val="none" w:sz="0" w:space="0" w:color="auto"/>
            <w:right w:val="none" w:sz="0" w:space="0" w:color="auto"/>
          </w:divBdr>
        </w:div>
        <w:div w:id="451360429">
          <w:marLeft w:val="0"/>
          <w:marRight w:val="0"/>
          <w:marTop w:val="0"/>
          <w:marBottom w:val="0"/>
          <w:divBdr>
            <w:top w:val="none" w:sz="0" w:space="0" w:color="auto"/>
            <w:left w:val="none" w:sz="0" w:space="0" w:color="auto"/>
            <w:bottom w:val="none" w:sz="0" w:space="0" w:color="auto"/>
            <w:right w:val="none" w:sz="0" w:space="0" w:color="auto"/>
          </w:divBdr>
        </w:div>
        <w:div w:id="420181997">
          <w:marLeft w:val="0"/>
          <w:marRight w:val="0"/>
          <w:marTop w:val="0"/>
          <w:marBottom w:val="0"/>
          <w:divBdr>
            <w:top w:val="none" w:sz="0" w:space="0" w:color="auto"/>
            <w:left w:val="none" w:sz="0" w:space="0" w:color="auto"/>
            <w:bottom w:val="none" w:sz="0" w:space="0" w:color="auto"/>
            <w:right w:val="none" w:sz="0" w:space="0" w:color="auto"/>
          </w:divBdr>
        </w:div>
        <w:div w:id="1811095051">
          <w:marLeft w:val="0"/>
          <w:marRight w:val="0"/>
          <w:marTop w:val="0"/>
          <w:marBottom w:val="0"/>
          <w:divBdr>
            <w:top w:val="none" w:sz="0" w:space="0" w:color="auto"/>
            <w:left w:val="none" w:sz="0" w:space="0" w:color="auto"/>
            <w:bottom w:val="none" w:sz="0" w:space="0" w:color="auto"/>
            <w:right w:val="none" w:sz="0" w:space="0" w:color="auto"/>
          </w:divBdr>
        </w:div>
        <w:div w:id="353000448">
          <w:marLeft w:val="0"/>
          <w:marRight w:val="0"/>
          <w:marTop w:val="0"/>
          <w:marBottom w:val="0"/>
          <w:divBdr>
            <w:top w:val="none" w:sz="0" w:space="0" w:color="auto"/>
            <w:left w:val="none" w:sz="0" w:space="0" w:color="auto"/>
            <w:bottom w:val="none" w:sz="0" w:space="0" w:color="auto"/>
            <w:right w:val="none" w:sz="0" w:space="0" w:color="auto"/>
          </w:divBdr>
        </w:div>
        <w:div w:id="438334543">
          <w:marLeft w:val="0"/>
          <w:marRight w:val="0"/>
          <w:marTop w:val="0"/>
          <w:marBottom w:val="0"/>
          <w:divBdr>
            <w:top w:val="none" w:sz="0" w:space="0" w:color="auto"/>
            <w:left w:val="none" w:sz="0" w:space="0" w:color="auto"/>
            <w:bottom w:val="none" w:sz="0" w:space="0" w:color="auto"/>
            <w:right w:val="none" w:sz="0" w:space="0" w:color="auto"/>
          </w:divBdr>
        </w:div>
        <w:div w:id="741025514">
          <w:marLeft w:val="0"/>
          <w:marRight w:val="0"/>
          <w:marTop w:val="0"/>
          <w:marBottom w:val="0"/>
          <w:divBdr>
            <w:top w:val="none" w:sz="0" w:space="0" w:color="auto"/>
            <w:left w:val="none" w:sz="0" w:space="0" w:color="auto"/>
            <w:bottom w:val="none" w:sz="0" w:space="0" w:color="auto"/>
            <w:right w:val="none" w:sz="0" w:space="0" w:color="auto"/>
          </w:divBdr>
        </w:div>
        <w:div w:id="1896745105">
          <w:marLeft w:val="0"/>
          <w:marRight w:val="0"/>
          <w:marTop w:val="0"/>
          <w:marBottom w:val="0"/>
          <w:divBdr>
            <w:top w:val="none" w:sz="0" w:space="0" w:color="auto"/>
            <w:left w:val="none" w:sz="0" w:space="0" w:color="auto"/>
            <w:bottom w:val="none" w:sz="0" w:space="0" w:color="auto"/>
            <w:right w:val="none" w:sz="0" w:space="0" w:color="auto"/>
          </w:divBdr>
        </w:div>
        <w:div w:id="999121250">
          <w:marLeft w:val="0"/>
          <w:marRight w:val="0"/>
          <w:marTop w:val="0"/>
          <w:marBottom w:val="0"/>
          <w:divBdr>
            <w:top w:val="none" w:sz="0" w:space="0" w:color="auto"/>
            <w:left w:val="none" w:sz="0" w:space="0" w:color="auto"/>
            <w:bottom w:val="none" w:sz="0" w:space="0" w:color="auto"/>
            <w:right w:val="none" w:sz="0" w:space="0" w:color="auto"/>
          </w:divBdr>
        </w:div>
        <w:div w:id="326447040">
          <w:marLeft w:val="0"/>
          <w:marRight w:val="0"/>
          <w:marTop w:val="0"/>
          <w:marBottom w:val="0"/>
          <w:divBdr>
            <w:top w:val="none" w:sz="0" w:space="0" w:color="auto"/>
            <w:left w:val="none" w:sz="0" w:space="0" w:color="auto"/>
            <w:bottom w:val="none" w:sz="0" w:space="0" w:color="auto"/>
            <w:right w:val="none" w:sz="0" w:space="0" w:color="auto"/>
          </w:divBdr>
        </w:div>
        <w:div w:id="1609124380">
          <w:marLeft w:val="0"/>
          <w:marRight w:val="0"/>
          <w:marTop w:val="0"/>
          <w:marBottom w:val="0"/>
          <w:divBdr>
            <w:top w:val="none" w:sz="0" w:space="0" w:color="auto"/>
            <w:left w:val="none" w:sz="0" w:space="0" w:color="auto"/>
            <w:bottom w:val="none" w:sz="0" w:space="0" w:color="auto"/>
            <w:right w:val="none" w:sz="0" w:space="0" w:color="auto"/>
          </w:divBdr>
        </w:div>
        <w:div w:id="591471406">
          <w:marLeft w:val="0"/>
          <w:marRight w:val="0"/>
          <w:marTop w:val="0"/>
          <w:marBottom w:val="0"/>
          <w:divBdr>
            <w:top w:val="none" w:sz="0" w:space="0" w:color="auto"/>
            <w:left w:val="none" w:sz="0" w:space="0" w:color="auto"/>
            <w:bottom w:val="none" w:sz="0" w:space="0" w:color="auto"/>
            <w:right w:val="none" w:sz="0" w:space="0" w:color="auto"/>
          </w:divBdr>
        </w:div>
        <w:div w:id="1037465160">
          <w:marLeft w:val="0"/>
          <w:marRight w:val="0"/>
          <w:marTop w:val="0"/>
          <w:marBottom w:val="0"/>
          <w:divBdr>
            <w:top w:val="none" w:sz="0" w:space="0" w:color="auto"/>
            <w:left w:val="none" w:sz="0" w:space="0" w:color="auto"/>
            <w:bottom w:val="none" w:sz="0" w:space="0" w:color="auto"/>
            <w:right w:val="none" w:sz="0" w:space="0" w:color="auto"/>
          </w:divBdr>
        </w:div>
        <w:div w:id="1207134741">
          <w:marLeft w:val="0"/>
          <w:marRight w:val="0"/>
          <w:marTop w:val="0"/>
          <w:marBottom w:val="0"/>
          <w:divBdr>
            <w:top w:val="none" w:sz="0" w:space="0" w:color="auto"/>
            <w:left w:val="none" w:sz="0" w:space="0" w:color="auto"/>
            <w:bottom w:val="none" w:sz="0" w:space="0" w:color="auto"/>
            <w:right w:val="none" w:sz="0" w:space="0" w:color="auto"/>
          </w:divBdr>
        </w:div>
        <w:div w:id="1502310049">
          <w:marLeft w:val="0"/>
          <w:marRight w:val="0"/>
          <w:marTop w:val="0"/>
          <w:marBottom w:val="0"/>
          <w:divBdr>
            <w:top w:val="none" w:sz="0" w:space="0" w:color="auto"/>
            <w:left w:val="none" w:sz="0" w:space="0" w:color="auto"/>
            <w:bottom w:val="none" w:sz="0" w:space="0" w:color="auto"/>
            <w:right w:val="none" w:sz="0" w:space="0" w:color="auto"/>
          </w:divBdr>
        </w:div>
        <w:div w:id="891578759">
          <w:marLeft w:val="0"/>
          <w:marRight w:val="0"/>
          <w:marTop w:val="0"/>
          <w:marBottom w:val="0"/>
          <w:divBdr>
            <w:top w:val="none" w:sz="0" w:space="0" w:color="auto"/>
            <w:left w:val="none" w:sz="0" w:space="0" w:color="auto"/>
            <w:bottom w:val="none" w:sz="0" w:space="0" w:color="auto"/>
            <w:right w:val="none" w:sz="0" w:space="0" w:color="auto"/>
          </w:divBdr>
        </w:div>
        <w:div w:id="434207325">
          <w:marLeft w:val="0"/>
          <w:marRight w:val="0"/>
          <w:marTop w:val="0"/>
          <w:marBottom w:val="0"/>
          <w:divBdr>
            <w:top w:val="none" w:sz="0" w:space="0" w:color="auto"/>
            <w:left w:val="none" w:sz="0" w:space="0" w:color="auto"/>
            <w:bottom w:val="none" w:sz="0" w:space="0" w:color="auto"/>
            <w:right w:val="none" w:sz="0" w:space="0" w:color="auto"/>
          </w:divBdr>
        </w:div>
        <w:div w:id="1771851264">
          <w:marLeft w:val="0"/>
          <w:marRight w:val="0"/>
          <w:marTop w:val="0"/>
          <w:marBottom w:val="0"/>
          <w:divBdr>
            <w:top w:val="none" w:sz="0" w:space="0" w:color="auto"/>
            <w:left w:val="none" w:sz="0" w:space="0" w:color="auto"/>
            <w:bottom w:val="none" w:sz="0" w:space="0" w:color="auto"/>
            <w:right w:val="none" w:sz="0" w:space="0" w:color="auto"/>
          </w:divBdr>
        </w:div>
        <w:div w:id="36248022">
          <w:marLeft w:val="0"/>
          <w:marRight w:val="0"/>
          <w:marTop w:val="0"/>
          <w:marBottom w:val="0"/>
          <w:divBdr>
            <w:top w:val="none" w:sz="0" w:space="0" w:color="auto"/>
            <w:left w:val="none" w:sz="0" w:space="0" w:color="auto"/>
            <w:bottom w:val="none" w:sz="0" w:space="0" w:color="auto"/>
            <w:right w:val="none" w:sz="0" w:space="0" w:color="auto"/>
          </w:divBdr>
        </w:div>
        <w:div w:id="1067462453">
          <w:marLeft w:val="0"/>
          <w:marRight w:val="0"/>
          <w:marTop w:val="0"/>
          <w:marBottom w:val="0"/>
          <w:divBdr>
            <w:top w:val="none" w:sz="0" w:space="0" w:color="auto"/>
            <w:left w:val="none" w:sz="0" w:space="0" w:color="auto"/>
            <w:bottom w:val="none" w:sz="0" w:space="0" w:color="auto"/>
            <w:right w:val="none" w:sz="0" w:space="0" w:color="auto"/>
          </w:divBdr>
        </w:div>
        <w:div w:id="222257376">
          <w:marLeft w:val="0"/>
          <w:marRight w:val="0"/>
          <w:marTop w:val="0"/>
          <w:marBottom w:val="0"/>
          <w:divBdr>
            <w:top w:val="none" w:sz="0" w:space="0" w:color="auto"/>
            <w:left w:val="none" w:sz="0" w:space="0" w:color="auto"/>
            <w:bottom w:val="none" w:sz="0" w:space="0" w:color="auto"/>
            <w:right w:val="none" w:sz="0" w:space="0" w:color="auto"/>
          </w:divBdr>
        </w:div>
        <w:div w:id="132718332">
          <w:marLeft w:val="0"/>
          <w:marRight w:val="0"/>
          <w:marTop w:val="0"/>
          <w:marBottom w:val="0"/>
          <w:divBdr>
            <w:top w:val="none" w:sz="0" w:space="0" w:color="auto"/>
            <w:left w:val="none" w:sz="0" w:space="0" w:color="auto"/>
            <w:bottom w:val="none" w:sz="0" w:space="0" w:color="auto"/>
            <w:right w:val="none" w:sz="0" w:space="0" w:color="auto"/>
          </w:divBdr>
        </w:div>
        <w:div w:id="1292786145">
          <w:marLeft w:val="0"/>
          <w:marRight w:val="0"/>
          <w:marTop w:val="0"/>
          <w:marBottom w:val="0"/>
          <w:divBdr>
            <w:top w:val="none" w:sz="0" w:space="0" w:color="auto"/>
            <w:left w:val="none" w:sz="0" w:space="0" w:color="auto"/>
            <w:bottom w:val="none" w:sz="0" w:space="0" w:color="auto"/>
            <w:right w:val="none" w:sz="0" w:space="0" w:color="auto"/>
          </w:divBdr>
        </w:div>
        <w:div w:id="1034312737">
          <w:marLeft w:val="0"/>
          <w:marRight w:val="0"/>
          <w:marTop w:val="0"/>
          <w:marBottom w:val="0"/>
          <w:divBdr>
            <w:top w:val="none" w:sz="0" w:space="0" w:color="auto"/>
            <w:left w:val="none" w:sz="0" w:space="0" w:color="auto"/>
            <w:bottom w:val="none" w:sz="0" w:space="0" w:color="auto"/>
            <w:right w:val="none" w:sz="0" w:space="0" w:color="auto"/>
          </w:divBdr>
        </w:div>
        <w:div w:id="1988045579">
          <w:marLeft w:val="0"/>
          <w:marRight w:val="0"/>
          <w:marTop w:val="0"/>
          <w:marBottom w:val="0"/>
          <w:divBdr>
            <w:top w:val="none" w:sz="0" w:space="0" w:color="auto"/>
            <w:left w:val="none" w:sz="0" w:space="0" w:color="auto"/>
            <w:bottom w:val="none" w:sz="0" w:space="0" w:color="auto"/>
            <w:right w:val="none" w:sz="0" w:space="0" w:color="auto"/>
          </w:divBdr>
        </w:div>
        <w:div w:id="1355691361">
          <w:marLeft w:val="0"/>
          <w:marRight w:val="0"/>
          <w:marTop w:val="0"/>
          <w:marBottom w:val="0"/>
          <w:divBdr>
            <w:top w:val="none" w:sz="0" w:space="0" w:color="auto"/>
            <w:left w:val="none" w:sz="0" w:space="0" w:color="auto"/>
            <w:bottom w:val="none" w:sz="0" w:space="0" w:color="auto"/>
            <w:right w:val="none" w:sz="0" w:space="0" w:color="auto"/>
          </w:divBdr>
        </w:div>
        <w:div w:id="1371028710">
          <w:marLeft w:val="0"/>
          <w:marRight w:val="0"/>
          <w:marTop w:val="0"/>
          <w:marBottom w:val="0"/>
          <w:divBdr>
            <w:top w:val="none" w:sz="0" w:space="0" w:color="auto"/>
            <w:left w:val="none" w:sz="0" w:space="0" w:color="auto"/>
            <w:bottom w:val="none" w:sz="0" w:space="0" w:color="auto"/>
            <w:right w:val="none" w:sz="0" w:space="0" w:color="auto"/>
          </w:divBdr>
        </w:div>
        <w:div w:id="1631934591">
          <w:marLeft w:val="0"/>
          <w:marRight w:val="0"/>
          <w:marTop w:val="0"/>
          <w:marBottom w:val="0"/>
          <w:divBdr>
            <w:top w:val="none" w:sz="0" w:space="0" w:color="auto"/>
            <w:left w:val="none" w:sz="0" w:space="0" w:color="auto"/>
            <w:bottom w:val="none" w:sz="0" w:space="0" w:color="auto"/>
            <w:right w:val="none" w:sz="0" w:space="0" w:color="auto"/>
          </w:divBdr>
        </w:div>
        <w:div w:id="534855267">
          <w:marLeft w:val="0"/>
          <w:marRight w:val="0"/>
          <w:marTop w:val="0"/>
          <w:marBottom w:val="0"/>
          <w:divBdr>
            <w:top w:val="none" w:sz="0" w:space="0" w:color="auto"/>
            <w:left w:val="none" w:sz="0" w:space="0" w:color="auto"/>
            <w:bottom w:val="none" w:sz="0" w:space="0" w:color="auto"/>
            <w:right w:val="none" w:sz="0" w:space="0" w:color="auto"/>
          </w:divBdr>
        </w:div>
        <w:div w:id="2071339005">
          <w:marLeft w:val="0"/>
          <w:marRight w:val="0"/>
          <w:marTop w:val="0"/>
          <w:marBottom w:val="0"/>
          <w:divBdr>
            <w:top w:val="none" w:sz="0" w:space="0" w:color="auto"/>
            <w:left w:val="none" w:sz="0" w:space="0" w:color="auto"/>
            <w:bottom w:val="none" w:sz="0" w:space="0" w:color="auto"/>
            <w:right w:val="none" w:sz="0" w:space="0" w:color="auto"/>
          </w:divBdr>
        </w:div>
        <w:div w:id="996424713">
          <w:marLeft w:val="0"/>
          <w:marRight w:val="0"/>
          <w:marTop w:val="0"/>
          <w:marBottom w:val="0"/>
          <w:divBdr>
            <w:top w:val="none" w:sz="0" w:space="0" w:color="auto"/>
            <w:left w:val="none" w:sz="0" w:space="0" w:color="auto"/>
            <w:bottom w:val="none" w:sz="0" w:space="0" w:color="auto"/>
            <w:right w:val="none" w:sz="0" w:space="0" w:color="auto"/>
          </w:divBdr>
        </w:div>
        <w:div w:id="1048064441">
          <w:marLeft w:val="0"/>
          <w:marRight w:val="0"/>
          <w:marTop w:val="0"/>
          <w:marBottom w:val="0"/>
          <w:divBdr>
            <w:top w:val="none" w:sz="0" w:space="0" w:color="auto"/>
            <w:left w:val="none" w:sz="0" w:space="0" w:color="auto"/>
            <w:bottom w:val="none" w:sz="0" w:space="0" w:color="auto"/>
            <w:right w:val="none" w:sz="0" w:space="0" w:color="auto"/>
          </w:divBdr>
        </w:div>
        <w:div w:id="581335544">
          <w:marLeft w:val="0"/>
          <w:marRight w:val="0"/>
          <w:marTop w:val="0"/>
          <w:marBottom w:val="0"/>
          <w:divBdr>
            <w:top w:val="none" w:sz="0" w:space="0" w:color="auto"/>
            <w:left w:val="none" w:sz="0" w:space="0" w:color="auto"/>
            <w:bottom w:val="none" w:sz="0" w:space="0" w:color="auto"/>
            <w:right w:val="none" w:sz="0" w:space="0" w:color="auto"/>
          </w:divBdr>
        </w:div>
        <w:div w:id="1304434493">
          <w:marLeft w:val="0"/>
          <w:marRight w:val="0"/>
          <w:marTop w:val="0"/>
          <w:marBottom w:val="0"/>
          <w:divBdr>
            <w:top w:val="none" w:sz="0" w:space="0" w:color="auto"/>
            <w:left w:val="none" w:sz="0" w:space="0" w:color="auto"/>
            <w:bottom w:val="none" w:sz="0" w:space="0" w:color="auto"/>
            <w:right w:val="none" w:sz="0" w:space="0" w:color="auto"/>
          </w:divBdr>
        </w:div>
        <w:div w:id="329409517">
          <w:marLeft w:val="0"/>
          <w:marRight w:val="0"/>
          <w:marTop w:val="0"/>
          <w:marBottom w:val="0"/>
          <w:divBdr>
            <w:top w:val="none" w:sz="0" w:space="0" w:color="auto"/>
            <w:left w:val="none" w:sz="0" w:space="0" w:color="auto"/>
            <w:bottom w:val="none" w:sz="0" w:space="0" w:color="auto"/>
            <w:right w:val="none" w:sz="0" w:space="0" w:color="auto"/>
          </w:divBdr>
        </w:div>
        <w:div w:id="273902606">
          <w:marLeft w:val="0"/>
          <w:marRight w:val="0"/>
          <w:marTop w:val="0"/>
          <w:marBottom w:val="0"/>
          <w:divBdr>
            <w:top w:val="none" w:sz="0" w:space="0" w:color="auto"/>
            <w:left w:val="none" w:sz="0" w:space="0" w:color="auto"/>
            <w:bottom w:val="none" w:sz="0" w:space="0" w:color="auto"/>
            <w:right w:val="none" w:sz="0" w:space="0" w:color="auto"/>
          </w:divBdr>
        </w:div>
        <w:div w:id="1841850164">
          <w:marLeft w:val="0"/>
          <w:marRight w:val="0"/>
          <w:marTop w:val="0"/>
          <w:marBottom w:val="0"/>
          <w:divBdr>
            <w:top w:val="none" w:sz="0" w:space="0" w:color="auto"/>
            <w:left w:val="none" w:sz="0" w:space="0" w:color="auto"/>
            <w:bottom w:val="none" w:sz="0" w:space="0" w:color="auto"/>
            <w:right w:val="none" w:sz="0" w:space="0" w:color="auto"/>
          </w:divBdr>
        </w:div>
        <w:div w:id="1442412279">
          <w:marLeft w:val="0"/>
          <w:marRight w:val="0"/>
          <w:marTop w:val="0"/>
          <w:marBottom w:val="0"/>
          <w:divBdr>
            <w:top w:val="none" w:sz="0" w:space="0" w:color="auto"/>
            <w:left w:val="none" w:sz="0" w:space="0" w:color="auto"/>
            <w:bottom w:val="none" w:sz="0" w:space="0" w:color="auto"/>
            <w:right w:val="none" w:sz="0" w:space="0" w:color="auto"/>
          </w:divBdr>
        </w:div>
        <w:div w:id="345443410">
          <w:marLeft w:val="0"/>
          <w:marRight w:val="0"/>
          <w:marTop w:val="0"/>
          <w:marBottom w:val="0"/>
          <w:divBdr>
            <w:top w:val="none" w:sz="0" w:space="0" w:color="auto"/>
            <w:left w:val="none" w:sz="0" w:space="0" w:color="auto"/>
            <w:bottom w:val="none" w:sz="0" w:space="0" w:color="auto"/>
            <w:right w:val="none" w:sz="0" w:space="0" w:color="auto"/>
          </w:divBdr>
        </w:div>
        <w:div w:id="999771364">
          <w:marLeft w:val="0"/>
          <w:marRight w:val="0"/>
          <w:marTop w:val="0"/>
          <w:marBottom w:val="0"/>
          <w:divBdr>
            <w:top w:val="none" w:sz="0" w:space="0" w:color="auto"/>
            <w:left w:val="none" w:sz="0" w:space="0" w:color="auto"/>
            <w:bottom w:val="none" w:sz="0" w:space="0" w:color="auto"/>
            <w:right w:val="none" w:sz="0" w:space="0" w:color="auto"/>
          </w:divBdr>
        </w:div>
        <w:div w:id="1446847155">
          <w:marLeft w:val="0"/>
          <w:marRight w:val="0"/>
          <w:marTop w:val="0"/>
          <w:marBottom w:val="0"/>
          <w:divBdr>
            <w:top w:val="none" w:sz="0" w:space="0" w:color="auto"/>
            <w:left w:val="none" w:sz="0" w:space="0" w:color="auto"/>
            <w:bottom w:val="none" w:sz="0" w:space="0" w:color="auto"/>
            <w:right w:val="none" w:sz="0" w:space="0" w:color="auto"/>
          </w:divBdr>
        </w:div>
        <w:div w:id="1220360803">
          <w:marLeft w:val="0"/>
          <w:marRight w:val="0"/>
          <w:marTop w:val="0"/>
          <w:marBottom w:val="0"/>
          <w:divBdr>
            <w:top w:val="none" w:sz="0" w:space="0" w:color="auto"/>
            <w:left w:val="none" w:sz="0" w:space="0" w:color="auto"/>
            <w:bottom w:val="none" w:sz="0" w:space="0" w:color="auto"/>
            <w:right w:val="none" w:sz="0" w:space="0" w:color="auto"/>
          </w:divBdr>
        </w:div>
        <w:div w:id="1969314129">
          <w:marLeft w:val="0"/>
          <w:marRight w:val="0"/>
          <w:marTop w:val="0"/>
          <w:marBottom w:val="0"/>
          <w:divBdr>
            <w:top w:val="none" w:sz="0" w:space="0" w:color="auto"/>
            <w:left w:val="none" w:sz="0" w:space="0" w:color="auto"/>
            <w:bottom w:val="none" w:sz="0" w:space="0" w:color="auto"/>
            <w:right w:val="none" w:sz="0" w:space="0" w:color="auto"/>
          </w:divBdr>
        </w:div>
        <w:div w:id="228153471">
          <w:marLeft w:val="0"/>
          <w:marRight w:val="0"/>
          <w:marTop w:val="0"/>
          <w:marBottom w:val="0"/>
          <w:divBdr>
            <w:top w:val="none" w:sz="0" w:space="0" w:color="auto"/>
            <w:left w:val="none" w:sz="0" w:space="0" w:color="auto"/>
            <w:bottom w:val="none" w:sz="0" w:space="0" w:color="auto"/>
            <w:right w:val="none" w:sz="0" w:space="0" w:color="auto"/>
          </w:divBdr>
        </w:div>
        <w:div w:id="428549035">
          <w:marLeft w:val="0"/>
          <w:marRight w:val="0"/>
          <w:marTop w:val="0"/>
          <w:marBottom w:val="0"/>
          <w:divBdr>
            <w:top w:val="none" w:sz="0" w:space="0" w:color="auto"/>
            <w:left w:val="none" w:sz="0" w:space="0" w:color="auto"/>
            <w:bottom w:val="none" w:sz="0" w:space="0" w:color="auto"/>
            <w:right w:val="none" w:sz="0" w:space="0" w:color="auto"/>
          </w:divBdr>
        </w:div>
        <w:div w:id="1501501578">
          <w:marLeft w:val="0"/>
          <w:marRight w:val="0"/>
          <w:marTop w:val="0"/>
          <w:marBottom w:val="0"/>
          <w:divBdr>
            <w:top w:val="none" w:sz="0" w:space="0" w:color="auto"/>
            <w:left w:val="none" w:sz="0" w:space="0" w:color="auto"/>
            <w:bottom w:val="none" w:sz="0" w:space="0" w:color="auto"/>
            <w:right w:val="none" w:sz="0" w:space="0" w:color="auto"/>
          </w:divBdr>
        </w:div>
        <w:div w:id="1858232782">
          <w:marLeft w:val="0"/>
          <w:marRight w:val="0"/>
          <w:marTop w:val="0"/>
          <w:marBottom w:val="0"/>
          <w:divBdr>
            <w:top w:val="none" w:sz="0" w:space="0" w:color="auto"/>
            <w:left w:val="none" w:sz="0" w:space="0" w:color="auto"/>
            <w:bottom w:val="none" w:sz="0" w:space="0" w:color="auto"/>
            <w:right w:val="none" w:sz="0" w:space="0" w:color="auto"/>
          </w:divBdr>
        </w:div>
        <w:div w:id="1133716628">
          <w:marLeft w:val="0"/>
          <w:marRight w:val="0"/>
          <w:marTop w:val="0"/>
          <w:marBottom w:val="0"/>
          <w:divBdr>
            <w:top w:val="none" w:sz="0" w:space="0" w:color="auto"/>
            <w:left w:val="none" w:sz="0" w:space="0" w:color="auto"/>
            <w:bottom w:val="none" w:sz="0" w:space="0" w:color="auto"/>
            <w:right w:val="none" w:sz="0" w:space="0" w:color="auto"/>
          </w:divBdr>
        </w:div>
        <w:div w:id="1647127874">
          <w:marLeft w:val="0"/>
          <w:marRight w:val="0"/>
          <w:marTop w:val="0"/>
          <w:marBottom w:val="0"/>
          <w:divBdr>
            <w:top w:val="none" w:sz="0" w:space="0" w:color="auto"/>
            <w:left w:val="none" w:sz="0" w:space="0" w:color="auto"/>
            <w:bottom w:val="none" w:sz="0" w:space="0" w:color="auto"/>
            <w:right w:val="none" w:sz="0" w:space="0" w:color="auto"/>
          </w:divBdr>
        </w:div>
        <w:div w:id="1601723200">
          <w:marLeft w:val="0"/>
          <w:marRight w:val="0"/>
          <w:marTop w:val="0"/>
          <w:marBottom w:val="0"/>
          <w:divBdr>
            <w:top w:val="none" w:sz="0" w:space="0" w:color="auto"/>
            <w:left w:val="none" w:sz="0" w:space="0" w:color="auto"/>
            <w:bottom w:val="none" w:sz="0" w:space="0" w:color="auto"/>
            <w:right w:val="none" w:sz="0" w:space="0" w:color="auto"/>
          </w:divBdr>
        </w:div>
        <w:div w:id="1507476279">
          <w:marLeft w:val="0"/>
          <w:marRight w:val="0"/>
          <w:marTop w:val="0"/>
          <w:marBottom w:val="0"/>
          <w:divBdr>
            <w:top w:val="none" w:sz="0" w:space="0" w:color="auto"/>
            <w:left w:val="none" w:sz="0" w:space="0" w:color="auto"/>
            <w:bottom w:val="none" w:sz="0" w:space="0" w:color="auto"/>
            <w:right w:val="none" w:sz="0" w:space="0" w:color="auto"/>
          </w:divBdr>
        </w:div>
        <w:div w:id="602499270">
          <w:marLeft w:val="0"/>
          <w:marRight w:val="0"/>
          <w:marTop w:val="0"/>
          <w:marBottom w:val="0"/>
          <w:divBdr>
            <w:top w:val="none" w:sz="0" w:space="0" w:color="auto"/>
            <w:left w:val="none" w:sz="0" w:space="0" w:color="auto"/>
            <w:bottom w:val="none" w:sz="0" w:space="0" w:color="auto"/>
            <w:right w:val="none" w:sz="0" w:space="0" w:color="auto"/>
          </w:divBdr>
        </w:div>
        <w:div w:id="182598015">
          <w:marLeft w:val="0"/>
          <w:marRight w:val="0"/>
          <w:marTop w:val="0"/>
          <w:marBottom w:val="0"/>
          <w:divBdr>
            <w:top w:val="none" w:sz="0" w:space="0" w:color="auto"/>
            <w:left w:val="none" w:sz="0" w:space="0" w:color="auto"/>
            <w:bottom w:val="none" w:sz="0" w:space="0" w:color="auto"/>
            <w:right w:val="none" w:sz="0" w:space="0" w:color="auto"/>
          </w:divBdr>
        </w:div>
        <w:div w:id="1522470068">
          <w:marLeft w:val="0"/>
          <w:marRight w:val="0"/>
          <w:marTop w:val="0"/>
          <w:marBottom w:val="0"/>
          <w:divBdr>
            <w:top w:val="none" w:sz="0" w:space="0" w:color="auto"/>
            <w:left w:val="none" w:sz="0" w:space="0" w:color="auto"/>
            <w:bottom w:val="none" w:sz="0" w:space="0" w:color="auto"/>
            <w:right w:val="none" w:sz="0" w:space="0" w:color="auto"/>
          </w:divBdr>
        </w:div>
        <w:div w:id="1651055929">
          <w:marLeft w:val="0"/>
          <w:marRight w:val="0"/>
          <w:marTop w:val="0"/>
          <w:marBottom w:val="0"/>
          <w:divBdr>
            <w:top w:val="none" w:sz="0" w:space="0" w:color="auto"/>
            <w:left w:val="none" w:sz="0" w:space="0" w:color="auto"/>
            <w:bottom w:val="none" w:sz="0" w:space="0" w:color="auto"/>
            <w:right w:val="none" w:sz="0" w:space="0" w:color="auto"/>
          </w:divBdr>
        </w:div>
        <w:div w:id="885605716">
          <w:marLeft w:val="0"/>
          <w:marRight w:val="0"/>
          <w:marTop w:val="0"/>
          <w:marBottom w:val="0"/>
          <w:divBdr>
            <w:top w:val="none" w:sz="0" w:space="0" w:color="auto"/>
            <w:left w:val="none" w:sz="0" w:space="0" w:color="auto"/>
            <w:bottom w:val="none" w:sz="0" w:space="0" w:color="auto"/>
            <w:right w:val="none" w:sz="0" w:space="0" w:color="auto"/>
          </w:divBdr>
        </w:div>
        <w:div w:id="1204175348">
          <w:marLeft w:val="0"/>
          <w:marRight w:val="0"/>
          <w:marTop w:val="0"/>
          <w:marBottom w:val="0"/>
          <w:divBdr>
            <w:top w:val="none" w:sz="0" w:space="0" w:color="auto"/>
            <w:left w:val="none" w:sz="0" w:space="0" w:color="auto"/>
            <w:bottom w:val="none" w:sz="0" w:space="0" w:color="auto"/>
            <w:right w:val="none" w:sz="0" w:space="0" w:color="auto"/>
          </w:divBdr>
        </w:div>
        <w:div w:id="1189173403">
          <w:marLeft w:val="0"/>
          <w:marRight w:val="0"/>
          <w:marTop w:val="0"/>
          <w:marBottom w:val="0"/>
          <w:divBdr>
            <w:top w:val="none" w:sz="0" w:space="0" w:color="auto"/>
            <w:left w:val="none" w:sz="0" w:space="0" w:color="auto"/>
            <w:bottom w:val="none" w:sz="0" w:space="0" w:color="auto"/>
            <w:right w:val="none" w:sz="0" w:space="0" w:color="auto"/>
          </w:divBdr>
        </w:div>
        <w:div w:id="1557277544">
          <w:marLeft w:val="0"/>
          <w:marRight w:val="0"/>
          <w:marTop w:val="0"/>
          <w:marBottom w:val="0"/>
          <w:divBdr>
            <w:top w:val="none" w:sz="0" w:space="0" w:color="auto"/>
            <w:left w:val="none" w:sz="0" w:space="0" w:color="auto"/>
            <w:bottom w:val="none" w:sz="0" w:space="0" w:color="auto"/>
            <w:right w:val="none" w:sz="0" w:space="0" w:color="auto"/>
          </w:divBdr>
        </w:div>
        <w:div w:id="1269046413">
          <w:marLeft w:val="0"/>
          <w:marRight w:val="0"/>
          <w:marTop w:val="0"/>
          <w:marBottom w:val="0"/>
          <w:divBdr>
            <w:top w:val="none" w:sz="0" w:space="0" w:color="auto"/>
            <w:left w:val="none" w:sz="0" w:space="0" w:color="auto"/>
            <w:bottom w:val="none" w:sz="0" w:space="0" w:color="auto"/>
            <w:right w:val="none" w:sz="0" w:space="0" w:color="auto"/>
          </w:divBdr>
        </w:div>
        <w:div w:id="1746026355">
          <w:marLeft w:val="0"/>
          <w:marRight w:val="0"/>
          <w:marTop w:val="0"/>
          <w:marBottom w:val="0"/>
          <w:divBdr>
            <w:top w:val="none" w:sz="0" w:space="0" w:color="auto"/>
            <w:left w:val="none" w:sz="0" w:space="0" w:color="auto"/>
            <w:bottom w:val="none" w:sz="0" w:space="0" w:color="auto"/>
            <w:right w:val="none" w:sz="0" w:space="0" w:color="auto"/>
          </w:divBdr>
        </w:div>
        <w:div w:id="797264346">
          <w:marLeft w:val="0"/>
          <w:marRight w:val="0"/>
          <w:marTop w:val="0"/>
          <w:marBottom w:val="0"/>
          <w:divBdr>
            <w:top w:val="none" w:sz="0" w:space="0" w:color="auto"/>
            <w:left w:val="none" w:sz="0" w:space="0" w:color="auto"/>
            <w:bottom w:val="none" w:sz="0" w:space="0" w:color="auto"/>
            <w:right w:val="none" w:sz="0" w:space="0" w:color="auto"/>
          </w:divBdr>
        </w:div>
        <w:div w:id="1563634857">
          <w:marLeft w:val="0"/>
          <w:marRight w:val="0"/>
          <w:marTop w:val="0"/>
          <w:marBottom w:val="0"/>
          <w:divBdr>
            <w:top w:val="none" w:sz="0" w:space="0" w:color="auto"/>
            <w:left w:val="none" w:sz="0" w:space="0" w:color="auto"/>
            <w:bottom w:val="none" w:sz="0" w:space="0" w:color="auto"/>
            <w:right w:val="none" w:sz="0" w:space="0" w:color="auto"/>
          </w:divBdr>
        </w:div>
        <w:div w:id="1827696412">
          <w:marLeft w:val="0"/>
          <w:marRight w:val="0"/>
          <w:marTop w:val="0"/>
          <w:marBottom w:val="0"/>
          <w:divBdr>
            <w:top w:val="none" w:sz="0" w:space="0" w:color="auto"/>
            <w:left w:val="none" w:sz="0" w:space="0" w:color="auto"/>
            <w:bottom w:val="none" w:sz="0" w:space="0" w:color="auto"/>
            <w:right w:val="none" w:sz="0" w:space="0" w:color="auto"/>
          </w:divBdr>
        </w:div>
        <w:div w:id="829518453">
          <w:marLeft w:val="0"/>
          <w:marRight w:val="0"/>
          <w:marTop w:val="0"/>
          <w:marBottom w:val="0"/>
          <w:divBdr>
            <w:top w:val="none" w:sz="0" w:space="0" w:color="auto"/>
            <w:left w:val="none" w:sz="0" w:space="0" w:color="auto"/>
            <w:bottom w:val="none" w:sz="0" w:space="0" w:color="auto"/>
            <w:right w:val="none" w:sz="0" w:space="0" w:color="auto"/>
          </w:divBdr>
        </w:div>
        <w:div w:id="352923016">
          <w:marLeft w:val="0"/>
          <w:marRight w:val="0"/>
          <w:marTop w:val="0"/>
          <w:marBottom w:val="0"/>
          <w:divBdr>
            <w:top w:val="none" w:sz="0" w:space="0" w:color="auto"/>
            <w:left w:val="none" w:sz="0" w:space="0" w:color="auto"/>
            <w:bottom w:val="none" w:sz="0" w:space="0" w:color="auto"/>
            <w:right w:val="none" w:sz="0" w:space="0" w:color="auto"/>
          </w:divBdr>
        </w:div>
        <w:div w:id="1027100199">
          <w:marLeft w:val="0"/>
          <w:marRight w:val="0"/>
          <w:marTop w:val="0"/>
          <w:marBottom w:val="0"/>
          <w:divBdr>
            <w:top w:val="none" w:sz="0" w:space="0" w:color="auto"/>
            <w:left w:val="none" w:sz="0" w:space="0" w:color="auto"/>
            <w:bottom w:val="none" w:sz="0" w:space="0" w:color="auto"/>
            <w:right w:val="none" w:sz="0" w:space="0" w:color="auto"/>
          </w:divBdr>
        </w:div>
        <w:div w:id="1447194394">
          <w:marLeft w:val="0"/>
          <w:marRight w:val="0"/>
          <w:marTop w:val="0"/>
          <w:marBottom w:val="0"/>
          <w:divBdr>
            <w:top w:val="none" w:sz="0" w:space="0" w:color="auto"/>
            <w:left w:val="none" w:sz="0" w:space="0" w:color="auto"/>
            <w:bottom w:val="none" w:sz="0" w:space="0" w:color="auto"/>
            <w:right w:val="none" w:sz="0" w:space="0" w:color="auto"/>
          </w:divBdr>
        </w:div>
        <w:div w:id="1634167816">
          <w:marLeft w:val="0"/>
          <w:marRight w:val="0"/>
          <w:marTop w:val="0"/>
          <w:marBottom w:val="0"/>
          <w:divBdr>
            <w:top w:val="none" w:sz="0" w:space="0" w:color="auto"/>
            <w:left w:val="none" w:sz="0" w:space="0" w:color="auto"/>
            <w:bottom w:val="none" w:sz="0" w:space="0" w:color="auto"/>
            <w:right w:val="none" w:sz="0" w:space="0" w:color="auto"/>
          </w:divBdr>
        </w:div>
        <w:div w:id="521087699">
          <w:marLeft w:val="0"/>
          <w:marRight w:val="0"/>
          <w:marTop w:val="0"/>
          <w:marBottom w:val="0"/>
          <w:divBdr>
            <w:top w:val="none" w:sz="0" w:space="0" w:color="auto"/>
            <w:left w:val="none" w:sz="0" w:space="0" w:color="auto"/>
            <w:bottom w:val="none" w:sz="0" w:space="0" w:color="auto"/>
            <w:right w:val="none" w:sz="0" w:space="0" w:color="auto"/>
          </w:divBdr>
        </w:div>
        <w:div w:id="1954551418">
          <w:marLeft w:val="0"/>
          <w:marRight w:val="0"/>
          <w:marTop w:val="0"/>
          <w:marBottom w:val="0"/>
          <w:divBdr>
            <w:top w:val="none" w:sz="0" w:space="0" w:color="auto"/>
            <w:left w:val="none" w:sz="0" w:space="0" w:color="auto"/>
            <w:bottom w:val="none" w:sz="0" w:space="0" w:color="auto"/>
            <w:right w:val="none" w:sz="0" w:space="0" w:color="auto"/>
          </w:divBdr>
        </w:div>
        <w:div w:id="1396705556">
          <w:marLeft w:val="0"/>
          <w:marRight w:val="0"/>
          <w:marTop w:val="0"/>
          <w:marBottom w:val="0"/>
          <w:divBdr>
            <w:top w:val="none" w:sz="0" w:space="0" w:color="auto"/>
            <w:left w:val="none" w:sz="0" w:space="0" w:color="auto"/>
            <w:bottom w:val="none" w:sz="0" w:space="0" w:color="auto"/>
            <w:right w:val="none" w:sz="0" w:space="0" w:color="auto"/>
          </w:divBdr>
        </w:div>
        <w:div w:id="1397314648">
          <w:marLeft w:val="0"/>
          <w:marRight w:val="0"/>
          <w:marTop w:val="0"/>
          <w:marBottom w:val="0"/>
          <w:divBdr>
            <w:top w:val="none" w:sz="0" w:space="0" w:color="auto"/>
            <w:left w:val="none" w:sz="0" w:space="0" w:color="auto"/>
            <w:bottom w:val="none" w:sz="0" w:space="0" w:color="auto"/>
            <w:right w:val="none" w:sz="0" w:space="0" w:color="auto"/>
          </w:divBdr>
        </w:div>
        <w:div w:id="1106197880">
          <w:marLeft w:val="0"/>
          <w:marRight w:val="0"/>
          <w:marTop w:val="0"/>
          <w:marBottom w:val="0"/>
          <w:divBdr>
            <w:top w:val="none" w:sz="0" w:space="0" w:color="auto"/>
            <w:left w:val="none" w:sz="0" w:space="0" w:color="auto"/>
            <w:bottom w:val="none" w:sz="0" w:space="0" w:color="auto"/>
            <w:right w:val="none" w:sz="0" w:space="0" w:color="auto"/>
          </w:divBdr>
        </w:div>
        <w:div w:id="798105299">
          <w:marLeft w:val="0"/>
          <w:marRight w:val="0"/>
          <w:marTop w:val="0"/>
          <w:marBottom w:val="0"/>
          <w:divBdr>
            <w:top w:val="none" w:sz="0" w:space="0" w:color="auto"/>
            <w:left w:val="none" w:sz="0" w:space="0" w:color="auto"/>
            <w:bottom w:val="none" w:sz="0" w:space="0" w:color="auto"/>
            <w:right w:val="none" w:sz="0" w:space="0" w:color="auto"/>
          </w:divBdr>
        </w:div>
        <w:div w:id="130103491">
          <w:marLeft w:val="0"/>
          <w:marRight w:val="0"/>
          <w:marTop w:val="0"/>
          <w:marBottom w:val="0"/>
          <w:divBdr>
            <w:top w:val="none" w:sz="0" w:space="0" w:color="auto"/>
            <w:left w:val="none" w:sz="0" w:space="0" w:color="auto"/>
            <w:bottom w:val="none" w:sz="0" w:space="0" w:color="auto"/>
            <w:right w:val="none" w:sz="0" w:space="0" w:color="auto"/>
          </w:divBdr>
        </w:div>
        <w:div w:id="545607018">
          <w:marLeft w:val="0"/>
          <w:marRight w:val="0"/>
          <w:marTop w:val="0"/>
          <w:marBottom w:val="0"/>
          <w:divBdr>
            <w:top w:val="none" w:sz="0" w:space="0" w:color="auto"/>
            <w:left w:val="none" w:sz="0" w:space="0" w:color="auto"/>
            <w:bottom w:val="none" w:sz="0" w:space="0" w:color="auto"/>
            <w:right w:val="none" w:sz="0" w:space="0" w:color="auto"/>
          </w:divBdr>
        </w:div>
        <w:div w:id="1901134999">
          <w:marLeft w:val="0"/>
          <w:marRight w:val="0"/>
          <w:marTop w:val="0"/>
          <w:marBottom w:val="0"/>
          <w:divBdr>
            <w:top w:val="none" w:sz="0" w:space="0" w:color="auto"/>
            <w:left w:val="none" w:sz="0" w:space="0" w:color="auto"/>
            <w:bottom w:val="none" w:sz="0" w:space="0" w:color="auto"/>
            <w:right w:val="none" w:sz="0" w:space="0" w:color="auto"/>
          </w:divBdr>
        </w:div>
        <w:div w:id="532808010">
          <w:marLeft w:val="0"/>
          <w:marRight w:val="0"/>
          <w:marTop w:val="0"/>
          <w:marBottom w:val="0"/>
          <w:divBdr>
            <w:top w:val="none" w:sz="0" w:space="0" w:color="auto"/>
            <w:left w:val="none" w:sz="0" w:space="0" w:color="auto"/>
            <w:bottom w:val="none" w:sz="0" w:space="0" w:color="auto"/>
            <w:right w:val="none" w:sz="0" w:space="0" w:color="auto"/>
          </w:divBdr>
        </w:div>
        <w:div w:id="1833836061">
          <w:marLeft w:val="0"/>
          <w:marRight w:val="0"/>
          <w:marTop w:val="0"/>
          <w:marBottom w:val="0"/>
          <w:divBdr>
            <w:top w:val="none" w:sz="0" w:space="0" w:color="auto"/>
            <w:left w:val="none" w:sz="0" w:space="0" w:color="auto"/>
            <w:bottom w:val="none" w:sz="0" w:space="0" w:color="auto"/>
            <w:right w:val="none" w:sz="0" w:space="0" w:color="auto"/>
          </w:divBdr>
        </w:div>
        <w:div w:id="1412434606">
          <w:marLeft w:val="0"/>
          <w:marRight w:val="0"/>
          <w:marTop w:val="0"/>
          <w:marBottom w:val="0"/>
          <w:divBdr>
            <w:top w:val="none" w:sz="0" w:space="0" w:color="auto"/>
            <w:left w:val="none" w:sz="0" w:space="0" w:color="auto"/>
            <w:bottom w:val="none" w:sz="0" w:space="0" w:color="auto"/>
            <w:right w:val="none" w:sz="0" w:space="0" w:color="auto"/>
          </w:divBdr>
        </w:div>
        <w:div w:id="1070037418">
          <w:marLeft w:val="0"/>
          <w:marRight w:val="0"/>
          <w:marTop w:val="0"/>
          <w:marBottom w:val="0"/>
          <w:divBdr>
            <w:top w:val="none" w:sz="0" w:space="0" w:color="auto"/>
            <w:left w:val="none" w:sz="0" w:space="0" w:color="auto"/>
            <w:bottom w:val="none" w:sz="0" w:space="0" w:color="auto"/>
            <w:right w:val="none" w:sz="0" w:space="0" w:color="auto"/>
          </w:divBdr>
        </w:div>
        <w:div w:id="456726108">
          <w:marLeft w:val="0"/>
          <w:marRight w:val="0"/>
          <w:marTop w:val="0"/>
          <w:marBottom w:val="0"/>
          <w:divBdr>
            <w:top w:val="none" w:sz="0" w:space="0" w:color="auto"/>
            <w:left w:val="none" w:sz="0" w:space="0" w:color="auto"/>
            <w:bottom w:val="none" w:sz="0" w:space="0" w:color="auto"/>
            <w:right w:val="none" w:sz="0" w:space="0" w:color="auto"/>
          </w:divBdr>
        </w:div>
        <w:div w:id="1242983787">
          <w:marLeft w:val="0"/>
          <w:marRight w:val="0"/>
          <w:marTop w:val="0"/>
          <w:marBottom w:val="0"/>
          <w:divBdr>
            <w:top w:val="none" w:sz="0" w:space="0" w:color="auto"/>
            <w:left w:val="none" w:sz="0" w:space="0" w:color="auto"/>
            <w:bottom w:val="none" w:sz="0" w:space="0" w:color="auto"/>
            <w:right w:val="none" w:sz="0" w:space="0" w:color="auto"/>
          </w:divBdr>
        </w:div>
        <w:div w:id="1176573709">
          <w:marLeft w:val="0"/>
          <w:marRight w:val="0"/>
          <w:marTop w:val="0"/>
          <w:marBottom w:val="0"/>
          <w:divBdr>
            <w:top w:val="none" w:sz="0" w:space="0" w:color="auto"/>
            <w:left w:val="none" w:sz="0" w:space="0" w:color="auto"/>
            <w:bottom w:val="none" w:sz="0" w:space="0" w:color="auto"/>
            <w:right w:val="none" w:sz="0" w:space="0" w:color="auto"/>
          </w:divBdr>
        </w:div>
        <w:div w:id="1633709585">
          <w:marLeft w:val="0"/>
          <w:marRight w:val="0"/>
          <w:marTop w:val="0"/>
          <w:marBottom w:val="0"/>
          <w:divBdr>
            <w:top w:val="none" w:sz="0" w:space="0" w:color="auto"/>
            <w:left w:val="none" w:sz="0" w:space="0" w:color="auto"/>
            <w:bottom w:val="none" w:sz="0" w:space="0" w:color="auto"/>
            <w:right w:val="none" w:sz="0" w:space="0" w:color="auto"/>
          </w:divBdr>
        </w:div>
        <w:div w:id="794107256">
          <w:marLeft w:val="0"/>
          <w:marRight w:val="0"/>
          <w:marTop w:val="0"/>
          <w:marBottom w:val="0"/>
          <w:divBdr>
            <w:top w:val="none" w:sz="0" w:space="0" w:color="auto"/>
            <w:left w:val="none" w:sz="0" w:space="0" w:color="auto"/>
            <w:bottom w:val="none" w:sz="0" w:space="0" w:color="auto"/>
            <w:right w:val="none" w:sz="0" w:space="0" w:color="auto"/>
          </w:divBdr>
        </w:div>
        <w:div w:id="676159164">
          <w:marLeft w:val="0"/>
          <w:marRight w:val="0"/>
          <w:marTop w:val="0"/>
          <w:marBottom w:val="0"/>
          <w:divBdr>
            <w:top w:val="none" w:sz="0" w:space="0" w:color="auto"/>
            <w:left w:val="none" w:sz="0" w:space="0" w:color="auto"/>
            <w:bottom w:val="none" w:sz="0" w:space="0" w:color="auto"/>
            <w:right w:val="none" w:sz="0" w:space="0" w:color="auto"/>
          </w:divBdr>
        </w:div>
        <w:div w:id="1960448242">
          <w:marLeft w:val="0"/>
          <w:marRight w:val="0"/>
          <w:marTop w:val="0"/>
          <w:marBottom w:val="0"/>
          <w:divBdr>
            <w:top w:val="none" w:sz="0" w:space="0" w:color="auto"/>
            <w:left w:val="none" w:sz="0" w:space="0" w:color="auto"/>
            <w:bottom w:val="none" w:sz="0" w:space="0" w:color="auto"/>
            <w:right w:val="none" w:sz="0" w:space="0" w:color="auto"/>
          </w:divBdr>
        </w:div>
        <w:div w:id="536814119">
          <w:marLeft w:val="0"/>
          <w:marRight w:val="0"/>
          <w:marTop w:val="0"/>
          <w:marBottom w:val="0"/>
          <w:divBdr>
            <w:top w:val="none" w:sz="0" w:space="0" w:color="auto"/>
            <w:left w:val="none" w:sz="0" w:space="0" w:color="auto"/>
            <w:bottom w:val="none" w:sz="0" w:space="0" w:color="auto"/>
            <w:right w:val="none" w:sz="0" w:space="0" w:color="auto"/>
          </w:divBdr>
        </w:div>
        <w:div w:id="1309087815">
          <w:marLeft w:val="0"/>
          <w:marRight w:val="0"/>
          <w:marTop w:val="0"/>
          <w:marBottom w:val="0"/>
          <w:divBdr>
            <w:top w:val="none" w:sz="0" w:space="0" w:color="auto"/>
            <w:left w:val="none" w:sz="0" w:space="0" w:color="auto"/>
            <w:bottom w:val="none" w:sz="0" w:space="0" w:color="auto"/>
            <w:right w:val="none" w:sz="0" w:space="0" w:color="auto"/>
          </w:divBdr>
        </w:div>
        <w:div w:id="1917468461">
          <w:marLeft w:val="0"/>
          <w:marRight w:val="0"/>
          <w:marTop w:val="0"/>
          <w:marBottom w:val="0"/>
          <w:divBdr>
            <w:top w:val="none" w:sz="0" w:space="0" w:color="auto"/>
            <w:left w:val="none" w:sz="0" w:space="0" w:color="auto"/>
            <w:bottom w:val="none" w:sz="0" w:space="0" w:color="auto"/>
            <w:right w:val="none" w:sz="0" w:space="0" w:color="auto"/>
          </w:divBdr>
        </w:div>
        <w:div w:id="1037657447">
          <w:marLeft w:val="0"/>
          <w:marRight w:val="0"/>
          <w:marTop w:val="0"/>
          <w:marBottom w:val="0"/>
          <w:divBdr>
            <w:top w:val="none" w:sz="0" w:space="0" w:color="auto"/>
            <w:left w:val="none" w:sz="0" w:space="0" w:color="auto"/>
            <w:bottom w:val="none" w:sz="0" w:space="0" w:color="auto"/>
            <w:right w:val="none" w:sz="0" w:space="0" w:color="auto"/>
          </w:divBdr>
        </w:div>
        <w:div w:id="988362055">
          <w:marLeft w:val="0"/>
          <w:marRight w:val="0"/>
          <w:marTop w:val="0"/>
          <w:marBottom w:val="0"/>
          <w:divBdr>
            <w:top w:val="none" w:sz="0" w:space="0" w:color="auto"/>
            <w:left w:val="none" w:sz="0" w:space="0" w:color="auto"/>
            <w:bottom w:val="none" w:sz="0" w:space="0" w:color="auto"/>
            <w:right w:val="none" w:sz="0" w:space="0" w:color="auto"/>
          </w:divBdr>
        </w:div>
        <w:div w:id="2047827408">
          <w:marLeft w:val="0"/>
          <w:marRight w:val="0"/>
          <w:marTop w:val="0"/>
          <w:marBottom w:val="0"/>
          <w:divBdr>
            <w:top w:val="none" w:sz="0" w:space="0" w:color="auto"/>
            <w:left w:val="none" w:sz="0" w:space="0" w:color="auto"/>
            <w:bottom w:val="none" w:sz="0" w:space="0" w:color="auto"/>
            <w:right w:val="none" w:sz="0" w:space="0" w:color="auto"/>
          </w:divBdr>
        </w:div>
        <w:div w:id="322007385">
          <w:marLeft w:val="0"/>
          <w:marRight w:val="0"/>
          <w:marTop w:val="0"/>
          <w:marBottom w:val="0"/>
          <w:divBdr>
            <w:top w:val="none" w:sz="0" w:space="0" w:color="auto"/>
            <w:left w:val="none" w:sz="0" w:space="0" w:color="auto"/>
            <w:bottom w:val="none" w:sz="0" w:space="0" w:color="auto"/>
            <w:right w:val="none" w:sz="0" w:space="0" w:color="auto"/>
          </w:divBdr>
        </w:div>
        <w:div w:id="322972179">
          <w:marLeft w:val="0"/>
          <w:marRight w:val="0"/>
          <w:marTop w:val="0"/>
          <w:marBottom w:val="0"/>
          <w:divBdr>
            <w:top w:val="none" w:sz="0" w:space="0" w:color="auto"/>
            <w:left w:val="none" w:sz="0" w:space="0" w:color="auto"/>
            <w:bottom w:val="none" w:sz="0" w:space="0" w:color="auto"/>
            <w:right w:val="none" w:sz="0" w:space="0" w:color="auto"/>
          </w:divBdr>
        </w:div>
        <w:div w:id="481429961">
          <w:marLeft w:val="0"/>
          <w:marRight w:val="0"/>
          <w:marTop w:val="0"/>
          <w:marBottom w:val="0"/>
          <w:divBdr>
            <w:top w:val="none" w:sz="0" w:space="0" w:color="auto"/>
            <w:left w:val="none" w:sz="0" w:space="0" w:color="auto"/>
            <w:bottom w:val="none" w:sz="0" w:space="0" w:color="auto"/>
            <w:right w:val="none" w:sz="0" w:space="0" w:color="auto"/>
          </w:divBdr>
        </w:div>
        <w:div w:id="1990666907">
          <w:marLeft w:val="0"/>
          <w:marRight w:val="0"/>
          <w:marTop w:val="0"/>
          <w:marBottom w:val="0"/>
          <w:divBdr>
            <w:top w:val="none" w:sz="0" w:space="0" w:color="auto"/>
            <w:left w:val="none" w:sz="0" w:space="0" w:color="auto"/>
            <w:bottom w:val="none" w:sz="0" w:space="0" w:color="auto"/>
            <w:right w:val="none" w:sz="0" w:space="0" w:color="auto"/>
          </w:divBdr>
        </w:div>
        <w:div w:id="281351508">
          <w:marLeft w:val="0"/>
          <w:marRight w:val="0"/>
          <w:marTop w:val="0"/>
          <w:marBottom w:val="0"/>
          <w:divBdr>
            <w:top w:val="none" w:sz="0" w:space="0" w:color="auto"/>
            <w:left w:val="none" w:sz="0" w:space="0" w:color="auto"/>
            <w:bottom w:val="none" w:sz="0" w:space="0" w:color="auto"/>
            <w:right w:val="none" w:sz="0" w:space="0" w:color="auto"/>
          </w:divBdr>
        </w:div>
        <w:div w:id="1362894475">
          <w:marLeft w:val="0"/>
          <w:marRight w:val="0"/>
          <w:marTop w:val="0"/>
          <w:marBottom w:val="0"/>
          <w:divBdr>
            <w:top w:val="none" w:sz="0" w:space="0" w:color="auto"/>
            <w:left w:val="none" w:sz="0" w:space="0" w:color="auto"/>
            <w:bottom w:val="none" w:sz="0" w:space="0" w:color="auto"/>
            <w:right w:val="none" w:sz="0" w:space="0" w:color="auto"/>
          </w:divBdr>
        </w:div>
        <w:div w:id="1477799338">
          <w:marLeft w:val="0"/>
          <w:marRight w:val="0"/>
          <w:marTop w:val="0"/>
          <w:marBottom w:val="0"/>
          <w:divBdr>
            <w:top w:val="none" w:sz="0" w:space="0" w:color="auto"/>
            <w:left w:val="none" w:sz="0" w:space="0" w:color="auto"/>
            <w:bottom w:val="none" w:sz="0" w:space="0" w:color="auto"/>
            <w:right w:val="none" w:sz="0" w:space="0" w:color="auto"/>
          </w:divBdr>
        </w:div>
        <w:div w:id="1288510793">
          <w:marLeft w:val="0"/>
          <w:marRight w:val="0"/>
          <w:marTop w:val="0"/>
          <w:marBottom w:val="0"/>
          <w:divBdr>
            <w:top w:val="none" w:sz="0" w:space="0" w:color="auto"/>
            <w:left w:val="none" w:sz="0" w:space="0" w:color="auto"/>
            <w:bottom w:val="none" w:sz="0" w:space="0" w:color="auto"/>
            <w:right w:val="none" w:sz="0" w:space="0" w:color="auto"/>
          </w:divBdr>
        </w:div>
        <w:div w:id="349914695">
          <w:marLeft w:val="0"/>
          <w:marRight w:val="0"/>
          <w:marTop w:val="0"/>
          <w:marBottom w:val="0"/>
          <w:divBdr>
            <w:top w:val="none" w:sz="0" w:space="0" w:color="auto"/>
            <w:left w:val="none" w:sz="0" w:space="0" w:color="auto"/>
            <w:bottom w:val="none" w:sz="0" w:space="0" w:color="auto"/>
            <w:right w:val="none" w:sz="0" w:space="0" w:color="auto"/>
          </w:divBdr>
        </w:div>
        <w:div w:id="923104486">
          <w:marLeft w:val="0"/>
          <w:marRight w:val="0"/>
          <w:marTop w:val="0"/>
          <w:marBottom w:val="0"/>
          <w:divBdr>
            <w:top w:val="none" w:sz="0" w:space="0" w:color="auto"/>
            <w:left w:val="none" w:sz="0" w:space="0" w:color="auto"/>
            <w:bottom w:val="none" w:sz="0" w:space="0" w:color="auto"/>
            <w:right w:val="none" w:sz="0" w:space="0" w:color="auto"/>
          </w:divBdr>
        </w:div>
        <w:div w:id="1156726655">
          <w:marLeft w:val="0"/>
          <w:marRight w:val="0"/>
          <w:marTop w:val="0"/>
          <w:marBottom w:val="0"/>
          <w:divBdr>
            <w:top w:val="none" w:sz="0" w:space="0" w:color="auto"/>
            <w:left w:val="none" w:sz="0" w:space="0" w:color="auto"/>
            <w:bottom w:val="none" w:sz="0" w:space="0" w:color="auto"/>
            <w:right w:val="none" w:sz="0" w:space="0" w:color="auto"/>
          </w:divBdr>
        </w:div>
        <w:div w:id="1997830554">
          <w:marLeft w:val="0"/>
          <w:marRight w:val="0"/>
          <w:marTop w:val="0"/>
          <w:marBottom w:val="0"/>
          <w:divBdr>
            <w:top w:val="none" w:sz="0" w:space="0" w:color="auto"/>
            <w:left w:val="none" w:sz="0" w:space="0" w:color="auto"/>
            <w:bottom w:val="none" w:sz="0" w:space="0" w:color="auto"/>
            <w:right w:val="none" w:sz="0" w:space="0" w:color="auto"/>
          </w:divBdr>
        </w:div>
        <w:div w:id="1089890785">
          <w:marLeft w:val="0"/>
          <w:marRight w:val="0"/>
          <w:marTop w:val="0"/>
          <w:marBottom w:val="0"/>
          <w:divBdr>
            <w:top w:val="none" w:sz="0" w:space="0" w:color="auto"/>
            <w:left w:val="none" w:sz="0" w:space="0" w:color="auto"/>
            <w:bottom w:val="none" w:sz="0" w:space="0" w:color="auto"/>
            <w:right w:val="none" w:sz="0" w:space="0" w:color="auto"/>
          </w:divBdr>
        </w:div>
        <w:div w:id="108471304">
          <w:marLeft w:val="0"/>
          <w:marRight w:val="0"/>
          <w:marTop w:val="0"/>
          <w:marBottom w:val="0"/>
          <w:divBdr>
            <w:top w:val="none" w:sz="0" w:space="0" w:color="auto"/>
            <w:left w:val="none" w:sz="0" w:space="0" w:color="auto"/>
            <w:bottom w:val="none" w:sz="0" w:space="0" w:color="auto"/>
            <w:right w:val="none" w:sz="0" w:space="0" w:color="auto"/>
          </w:divBdr>
        </w:div>
        <w:div w:id="1749421341">
          <w:marLeft w:val="0"/>
          <w:marRight w:val="0"/>
          <w:marTop w:val="0"/>
          <w:marBottom w:val="0"/>
          <w:divBdr>
            <w:top w:val="none" w:sz="0" w:space="0" w:color="auto"/>
            <w:left w:val="none" w:sz="0" w:space="0" w:color="auto"/>
            <w:bottom w:val="none" w:sz="0" w:space="0" w:color="auto"/>
            <w:right w:val="none" w:sz="0" w:space="0" w:color="auto"/>
          </w:divBdr>
        </w:div>
        <w:div w:id="616300919">
          <w:marLeft w:val="0"/>
          <w:marRight w:val="0"/>
          <w:marTop w:val="0"/>
          <w:marBottom w:val="0"/>
          <w:divBdr>
            <w:top w:val="none" w:sz="0" w:space="0" w:color="auto"/>
            <w:left w:val="none" w:sz="0" w:space="0" w:color="auto"/>
            <w:bottom w:val="none" w:sz="0" w:space="0" w:color="auto"/>
            <w:right w:val="none" w:sz="0" w:space="0" w:color="auto"/>
          </w:divBdr>
        </w:div>
        <w:div w:id="668142703">
          <w:marLeft w:val="0"/>
          <w:marRight w:val="0"/>
          <w:marTop w:val="0"/>
          <w:marBottom w:val="0"/>
          <w:divBdr>
            <w:top w:val="none" w:sz="0" w:space="0" w:color="auto"/>
            <w:left w:val="none" w:sz="0" w:space="0" w:color="auto"/>
            <w:bottom w:val="none" w:sz="0" w:space="0" w:color="auto"/>
            <w:right w:val="none" w:sz="0" w:space="0" w:color="auto"/>
          </w:divBdr>
        </w:div>
        <w:div w:id="438254821">
          <w:marLeft w:val="0"/>
          <w:marRight w:val="0"/>
          <w:marTop w:val="0"/>
          <w:marBottom w:val="0"/>
          <w:divBdr>
            <w:top w:val="none" w:sz="0" w:space="0" w:color="auto"/>
            <w:left w:val="none" w:sz="0" w:space="0" w:color="auto"/>
            <w:bottom w:val="none" w:sz="0" w:space="0" w:color="auto"/>
            <w:right w:val="none" w:sz="0" w:space="0" w:color="auto"/>
          </w:divBdr>
        </w:div>
        <w:div w:id="1045986883">
          <w:marLeft w:val="0"/>
          <w:marRight w:val="0"/>
          <w:marTop w:val="0"/>
          <w:marBottom w:val="0"/>
          <w:divBdr>
            <w:top w:val="none" w:sz="0" w:space="0" w:color="auto"/>
            <w:left w:val="none" w:sz="0" w:space="0" w:color="auto"/>
            <w:bottom w:val="none" w:sz="0" w:space="0" w:color="auto"/>
            <w:right w:val="none" w:sz="0" w:space="0" w:color="auto"/>
          </w:divBdr>
        </w:div>
        <w:div w:id="2129856988">
          <w:marLeft w:val="0"/>
          <w:marRight w:val="0"/>
          <w:marTop w:val="0"/>
          <w:marBottom w:val="0"/>
          <w:divBdr>
            <w:top w:val="none" w:sz="0" w:space="0" w:color="auto"/>
            <w:left w:val="none" w:sz="0" w:space="0" w:color="auto"/>
            <w:bottom w:val="none" w:sz="0" w:space="0" w:color="auto"/>
            <w:right w:val="none" w:sz="0" w:space="0" w:color="auto"/>
          </w:divBdr>
        </w:div>
        <w:div w:id="987635541">
          <w:marLeft w:val="0"/>
          <w:marRight w:val="0"/>
          <w:marTop w:val="0"/>
          <w:marBottom w:val="0"/>
          <w:divBdr>
            <w:top w:val="none" w:sz="0" w:space="0" w:color="auto"/>
            <w:left w:val="none" w:sz="0" w:space="0" w:color="auto"/>
            <w:bottom w:val="none" w:sz="0" w:space="0" w:color="auto"/>
            <w:right w:val="none" w:sz="0" w:space="0" w:color="auto"/>
          </w:divBdr>
        </w:div>
        <w:div w:id="98453511">
          <w:marLeft w:val="0"/>
          <w:marRight w:val="0"/>
          <w:marTop w:val="0"/>
          <w:marBottom w:val="0"/>
          <w:divBdr>
            <w:top w:val="none" w:sz="0" w:space="0" w:color="auto"/>
            <w:left w:val="none" w:sz="0" w:space="0" w:color="auto"/>
            <w:bottom w:val="none" w:sz="0" w:space="0" w:color="auto"/>
            <w:right w:val="none" w:sz="0" w:space="0" w:color="auto"/>
          </w:divBdr>
        </w:div>
        <w:div w:id="1579900991">
          <w:marLeft w:val="0"/>
          <w:marRight w:val="0"/>
          <w:marTop w:val="0"/>
          <w:marBottom w:val="0"/>
          <w:divBdr>
            <w:top w:val="none" w:sz="0" w:space="0" w:color="auto"/>
            <w:left w:val="none" w:sz="0" w:space="0" w:color="auto"/>
            <w:bottom w:val="none" w:sz="0" w:space="0" w:color="auto"/>
            <w:right w:val="none" w:sz="0" w:space="0" w:color="auto"/>
          </w:divBdr>
        </w:div>
        <w:div w:id="1729721799">
          <w:marLeft w:val="0"/>
          <w:marRight w:val="0"/>
          <w:marTop w:val="0"/>
          <w:marBottom w:val="0"/>
          <w:divBdr>
            <w:top w:val="none" w:sz="0" w:space="0" w:color="auto"/>
            <w:left w:val="none" w:sz="0" w:space="0" w:color="auto"/>
            <w:bottom w:val="none" w:sz="0" w:space="0" w:color="auto"/>
            <w:right w:val="none" w:sz="0" w:space="0" w:color="auto"/>
          </w:divBdr>
        </w:div>
        <w:div w:id="142939997">
          <w:marLeft w:val="0"/>
          <w:marRight w:val="0"/>
          <w:marTop w:val="0"/>
          <w:marBottom w:val="0"/>
          <w:divBdr>
            <w:top w:val="none" w:sz="0" w:space="0" w:color="auto"/>
            <w:left w:val="none" w:sz="0" w:space="0" w:color="auto"/>
            <w:bottom w:val="none" w:sz="0" w:space="0" w:color="auto"/>
            <w:right w:val="none" w:sz="0" w:space="0" w:color="auto"/>
          </w:divBdr>
        </w:div>
        <w:div w:id="1392575337">
          <w:marLeft w:val="0"/>
          <w:marRight w:val="0"/>
          <w:marTop w:val="0"/>
          <w:marBottom w:val="0"/>
          <w:divBdr>
            <w:top w:val="none" w:sz="0" w:space="0" w:color="auto"/>
            <w:left w:val="none" w:sz="0" w:space="0" w:color="auto"/>
            <w:bottom w:val="none" w:sz="0" w:space="0" w:color="auto"/>
            <w:right w:val="none" w:sz="0" w:space="0" w:color="auto"/>
          </w:divBdr>
        </w:div>
        <w:div w:id="1235311012">
          <w:marLeft w:val="0"/>
          <w:marRight w:val="0"/>
          <w:marTop w:val="0"/>
          <w:marBottom w:val="0"/>
          <w:divBdr>
            <w:top w:val="none" w:sz="0" w:space="0" w:color="auto"/>
            <w:left w:val="none" w:sz="0" w:space="0" w:color="auto"/>
            <w:bottom w:val="none" w:sz="0" w:space="0" w:color="auto"/>
            <w:right w:val="none" w:sz="0" w:space="0" w:color="auto"/>
          </w:divBdr>
        </w:div>
        <w:div w:id="2144417744">
          <w:marLeft w:val="0"/>
          <w:marRight w:val="0"/>
          <w:marTop w:val="0"/>
          <w:marBottom w:val="0"/>
          <w:divBdr>
            <w:top w:val="none" w:sz="0" w:space="0" w:color="auto"/>
            <w:left w:val="none" w:sz="0" w:space="0" w:color="auto"/>
            <w:bottom w:val="none" w:sz="0" w:space="0" w:color="auto"/>
            <w:right w:val="none" w:sz="0" w:space="0" w:color="auto"/>
          </w:divBdr>
        </w:div>
        <w:div w:id="789979204">
          <w:marLeft w:val="0"/>
          <w:marRight w:val="0"/>
          <w:marTop w:val="0"/>
          <w:marBottom w:val="0"/>
          <w:divBdr>
            <w:top w:val="none" w:sz="0" w:space="0" w:color="auto"/>
            <w:left w:val="none" w:sz="0" w:space="0" w:color="auto"/>
            <w:bottom w:val="none" w:sz="0" w:space="0" w:color="auto"/>
            <w:right w:val="none" w:sz="0" w:space="0" w:color="auto"/>
          </w:divBdr>
        </w:div>
        <w:div w:id="1832865143">
          <w:marLeft w:val="0"/>
          <w:marRight w:val="0"/>
          <w:marTop w:val="0"/>
          <w:marBottom w:val="0"/>
          <w:divBdr>
            <w:top w:val="none" w:sz="0" w:space="0" w:color="auto"/>
            <w:left w:val="none" w:sz="0" w:space="0" w:color="auto"/>
            <w:bottom w:val="none" w:sz="0" w:space="0" w:color="auto"/>
            <w:right w:val="none" w:sz="0" w:space="0" w:color="auto"/>
          </w:divBdr>
        </w:div>
        <w:div w:id="1740058673">
          <w:marLeft w:val="0"/>
          <w:marRight w:val="0"/>
          <w:marTop w:val="0"/>
          <w:marBottom w:val="0"/>
          <w:divBdr>
            <w:top w:val="none" w:sz="0" w:space="0" w:color="auto"/>
            <w:left w:val="none" w:sz="0" w:space="0" w:color="auto"/>
            <w:bottom w:val="none" w:sz="0" w:space="0" w:color="auto"/>
            <w:right w:val="none" w:sz="0" w:space="0" w:color="auto"/>
          </w:divBdr>
        </w:div>
        <w:div w:id="1634484102">
          <w:marLeft w:val="0"/>
          <w:marRight w:val="0"/>
          <w:marTop w:val="0"/>
          <w:marBottom w:val="0"/>
          <w:divBdr>
            <w:top w:val="none" w:sz="0" w:space="0" w:color="auto"/>
            <w:left w:val="none" w:sz="0" w:space="0" w:color="auto"/>
            <w:bottom w:val="none" w:sz="0" w:space="0" w:color="auto"/>
            <w:right w:val="none" w:sz="0" w:space="0" w:color="auto"/>
          </w:divBdr>
        </w:div>
        <w:div w:id="22678616">
          <w:marLeft w:val="0"/>
          <w:marRight w:val="0"/>
          <w:marTop w:val="0"/>
          <w:marBottom w:val="0"/>
          <w:divBdr>
            <w:top w:val="none" w:sz="0" w:space="0" w:color="auto"/>
            <w:left w:val="none" w:sz="0" w:space="0" w:color="auto"/>
            <w:bottom w:val="none" w:sz="0" w:space="0" w:color="auto"/>
            <w:right w:val="none" w:sz="0" w:space="0" w:color="auto"/>
          </w:divBdr>
        </w:div>
        <w:div w:id="657422132">
          <w:marLeft w:val="0"/>
          <w:marRight w:val="0"/>
          <w:marTop w:val="0"/>
          <w:marBottom w:val="0"/>
          <w:divBdr>
            <w:top w:val="none" w:sz="0" w:space="0" w:color="auto"/>
            <w:left w:val="none" w:sz="0" w:space="0" w:color="auto"/>
            <w:bottom w:val="none" w:sz="0" w:space="0" w:color="auto"/>
            <w:right w:val="none" w:sz="0" w:space="0" w:color="auto"/>
          </w:divBdr>
        </w:div>
        <w:div w:id="1004935182">
          <w:marLeft w:val="0"/>
          <w:marRight w:val="0"/>
          <w:marTop w:val="0"/>
          <w:marBottom w:val="0"/>
          <w:divBdr>
            <w:top w:val="none" w:sz="0" w:space="0" w:color="auto"/>
            <w:left w:val="none" w:sz="0" w:space="0" w:color="auto"/>
            <w:bottom w:val="none" w:sz="0" w:space="0" w:color="auto"/>
            <w:right w:val="none" w:sz="0" w:space="0" w:color="auto"/>
          </w:divBdr>
        </w:div>
        <w:div w:id="1538851376">
          <w:marLeft w:val="0"/>
          <w:marRight w:val="0"/>
          <w:marTop w:val="0"/>
          <w:marBottom w:val="0"/>
          <w:divBdr>
            <w:top w:val="none" w:sz="0" w:space="0" w:color="auto"/>
            <w:left w:val="none" w:sz="0" w:space="0" w:color="auto"/>
            <w:bottom w:val="none" w:sz="0" w:space="0" w:color="auto"/>
            <w:right w:val="none" w:sz="0" w:space="0" w:color="auto"/>
          </w:divBdr>
        </w:div>
        <w:div w:id="1759904121">
          <w:marLeft w:val="0"/>
          <w:marRight w:val="0"/>
          <w:marTop w:val="0"/>
          <w:marBottom w:val="0"/>
          <w:divBdr>
            <w:top w:val="none" w:sz="0" w:space="0" w:color="auto"/>
            <w:left w:val="none" w:sz="0" w:space="0" w:color="auto"/>
            <w:bottom w:val="none" w:sz="0" w:space="0" w:color="auto"/>
            <w:right w:val="none" w:sz="0" w:space="0" w:color="auto"/>
          </w:divBdr>
        </w:div>
        <w:div w:id="52657500">
          <w:marLeft w:val="0"/>
          <w:marRight w:val="0"/>
          <w:marTop w:val="0"/>
          <w:marBottom w:val="0"/>
          <w:divBdr>
            <w:top w:val="none" w:sz="0" w:space="0" w:color="auto"/>
            <w:left w:val="none" w:sz="0" w:space="0" w:color="auto"/>
            <w:bottom w:val="none" w:sz="0" w:space="0" w:color="auto"/>
            <w:right w:val="none" w:sz="0" w:space="0" w:color="auto"/>
          </w:divBdr>
        </w:div>
        <w:div w:id="1459907600">
          <w:marLeft w:val="0"/>
          <w:marRight w:val="0"/>
          <w:marTop w:val="0"/>
          <w:marBottom w:val="0"/>
          <w:divBdr>
            <w:top w:val="none" w:sz="0" w:space="0" w:color="auto"/>
            <w:left w:val="none" w:sz="0" w:space="0" w:color="auto"/>
            <w:bottom w:val="none" w:sz="0" w:space="0" w:color="auto"/>
            <w:right w:val="none" w:sz="0" w:space="0" w:color="auto"/>
          </w:divBdr>
        </w:div>
        <w:div w:id="1146050227">
          <w:marLeft w:val="0"/>
          <w:marRight w:val="0"/>
          <w:marTop w:val="0"/>
          <w:marBottom w:val="0"/>
          <w:divBdr>
            <w:top w:val="none" w:sz="0" w:space="0" w:color="auto"/>
            <w:left w:val="none" w:sz="0" w:space="0" w:color="auto"/>
            <w:bottom w:val="none" w:sz="0" w:space="0" w:color="auto"/>
            <w:right w:val="none" w:sz="0" w:space="0" w:color="auto"/>
          </w:divBdr>
        </w:div>
        <w:div w:id="764301982">
          <w:marLeft w:val="0"/>
          <w:marRight w:val="0"/>
          <w:marTop w:val="0"/>
          <w:marBottom w:val="0"/>
          <w:divBdr>
            <w:top w:val="none" w:sz="0" w:space="0" w:color="auto"/>
            <w:left w:val="none" w:sz="0" w:space="0" w:color="auto"/>
            <w:bottom w:val="none" w:sz="0" w:space="0" w:color="auto"/>
            <w:right w:val="none" w:sz="0" w:space="0" w:color="auto"/>
          </w:divBdr>
        </w:div>
        <w:div w:id="488249099">
          <w:marLeft w:val="0"/>
          <w:marRight w:val="0"/>
          <w:marTop w:val="0"/>
          <w:marBottom w:val="0"/>
          <w:divBdr>
            <w:top w:val="none" w:sz="0" w:space="0" w:color="auto"/>
            <w:left w:val="none" w:sz="0" w:space="0" w:color="auto"/>
            <w:bottom w:val="none" w:sz="0" w:space="0" w:color="auto"/>
            <w:right w:val="none" w:sz="0" w:space="0" w:color="auto"/>
          </w:divBdr>
        </w:div>
        <w:div w:id="527912554">
          <w:marLeft w:val="0"/>
          <w:marRight w:val="0"/>
          <w:marTop w:val="0"/>
          <w:marBottom w:val="0"/>
          <w:divBdr>
            <w:top w:val="none" w:sz="0" w:space="0" w:color="auto"/>
            <w:left w:val="none" w:sz="0" w:space="0" w:color="auto"/>
            <w:bottom w:val="none" w:sz="0" w:space="0" w:color="auto"/>
            <w:right w:val="none" w:sz="0" w:space="0" w:color="auto"/>
          </w:divBdr>
        </w:div>
        <w:div w:id="1254628313">
          <w:marLeft w:val="0"/>
          <w:marRight w:val="0"/>
          <w:marTop w:val="0"/>
          <w:marBottom w:val="0"/>
          <w:divBdr>
            <w:top w:val="none" w:sz="0" w:space="0" w:color="auto"/>
            <w:left w:val="none" w:sz="0" w:space="0" w:color="auto"/>
            <w:bottom w:val="none" w:sz="0" w:space="0" w:color="auto"/>
            <w:right w:val="none" w:sz="0" w:space="0" w:color="auto"/>
          </w:divBdr>
        </w:div>
        <w:div w:id="1592157993">
          <w:marLeft w:val="0"/>
          <w:marRight w:val="0"/>
          <w:marTop w:val="0"/>
          <w:marBottom w:val="0"/>
          <w:divBdr>
            <w:top w:val="none" w:sz="0" w:space="0" w:color="auto"/>
            <w:left w:val="none" w:sz="0" w:space="0" w:color="auto"/>
            <w:bottom w:val="none" w:sz="0" w:space="0" w:color="auto"/>
            <w:right w:val="none" w:sz="0" w:space="0" w:color="auto"/>
          </w:divBdr>
        </w:div>
        <w:div w:id="988286319">
          <w:marLeft w:val="0"/>
          <w:marRight w:val="0"/>
          <w:marTop w:val="0"/>
          <w:marBottom w:val="0"/>
          <w:divBdr>
            <w:top w:val="none" w:sz="0" w:space="0" w:color="auto"/>
            <w:left w:val="none" w:sz="0" w:space="0" w:color="auto"/>
            <w:bottom w:val="none" w:sz="0" w:space="0" w:color="auto"/>
            <w:right w:val="none" w:sz="0" w:space="0" w:color="auto"/>
          </w:divBdr>
        </w:div>
        <w:div w:id="1861579684">
          <w:marLeft w:val="0"/>
          <w:marRight w:val="0"/>
          <w:marTop w:val="0"/>
          <w:marBottom w:val="0"/>
          <w:divBdr>
            <w:top w:val="none" w:sz="0" w:space="0" w:color="auto"/>
            <w:left w:val="none" w:sz="0" w:space="0" w:color="auto"/>
            <w:bottom w:val="none" w:sz="0" w:space="0" w:color="auto"/>
            <w:right w:val="none" w:sz="0" w:space="0" w:color="auto"/>
          </w:divBdr>
        </w:div>
        <w:div w:id="1936093298">
          <w:marLeft w:val="0"/>
          <w:marRight w:val="0"/>
          <w:marTop w:val="0"/>
          <w:marBottom w:val="0"/>
          <w:divBdr>
            <w:top w:val="none" w:sz="0" w:space="0" w:color="auto"/>
            <w:left w:val="none" w:sz="0" w:space="0" w:color="auto"/>
            <w:bottom w:val="none" w:sz="0" w:space="0" w:color="auto"/>
            <w:right w:val="none" w:sz="0" w:space="0" w:color="auto"/>
          </w:divBdr>
        </w:div>
        <w:div w:id="1802922779">
          <w:marLeft w:val="0"/>
          <w:marRight w:val="0"/>
          <w:marTop w:val="0"/>
          <w:marBottom w:val="0"/>
          <w:divBdr>
            <w:top w:val="none" w:sz="0" w:space="0" w:color="auto"/>
            <w:left w:val="none" w:sz="0" w:space="0" w:color="auto"/>
            <w:bottom w:val="none" w:sz="0" w:space="0" w:color="auto"/>
            <w:right w:val="none" w:sz="0" w:space="0" w:color="auto"/>
          </w:divBdr>
        </w:div>
        <w:div w:id="232473074">
          <w:marLeft w:val="0"/>
          <w:marRight w:val="0"/>
          <w:marTop w:val="0"/>
          <w:marBottom w:val="0"/>
          <w:divBdr>
            <w:top w:val="none" w:sz="0" w:space="0" w:color="auto"/>
            <w:left w:val="none" w:sz="0" w:space="0" w:color="auto"/>
            <w:bottom w:val="none" w:sz="0" w:space="0" w:color="auto"/>
            <w:right w:val="none" w:sz="0" w:space="0" w:color="auto"/>
          </w:divBdr>
        </w:div>
        <w:div w:id="238558202">
          <w:marLeft w:val="0"/>
          <w:marRight w:val="0"/>
          <w:marTop w:val="0"/>
          <w:marBottom w:val="0"/>
          <w:divBdr>
            <w:top w:val="none" w:sz="0" w:space="0" w:color="auto"/>
            <w:left w:val="none" w:sz="0" w:space="0" w:color="auto"/>
            <w:bottom w:val="none" w:sz="0" w:space="0" w:color="auto"/>
            <w:right w:val="none" w:sz="0" w:space="0" w:color="auto"/>
          </w:divBdr>
        </w:div>
        <w:div w:id="1699550166">
          <w:marLeft w:val="0"/>
          <w:marRight w:val="0"/>
          <w:marTop w:val="0"/>
          <w:marBottom w:val="0"/>
          <w:divBdr>
            <w:top w:val="none" w:sz="0" w:space="0" w:color="auto"/>
            <w:left w:val="none" w:sz="0" w:space="0" w:color="auto"/>
            <w:bottom w:val="none" w:sz="0" w:space="0" w:color="auto"/>
            <w:right w:val="none" w:sz="0" w:space="0" w:color="auto"/>
          </w:divBdr>
        </w:div>
        <w:div w:id="125004831">
          <w:marLeft w:val="0"/>
          <w:marRight w:val="0"/>
          <w:marTop w:val="0"/>
          <w:marBottom w:val="0"/>
          <w:divBdr>
            <w:top w:val="none" w:sz="0" w:space="0" w:color="auto"/>
            <w:left w:val="none" w:sz="0" w:space="0" w:color="auto"/>
            <w:bottom w:val="none" w:sz="0" w:space="0" w:color="auto"/>
            <w:right w:val="none" w:sz="0" w:space="0" w:color="auto"/>
          </w:divBdr>
        </w:div>
        <w:div w:id="47533255">
          <w:marLeft w:val="0"/>
          <w:marRight w:val="0"/>
          <w:marTop w:val="0"/>
          <w:marBottom w:val="0"/>
          <w:divBdr>
            <w:top w:val="none" w:sz="0" w:space="0" w:color="auto"/>
            <w:left w:val="none" w:sz="0" w:space="0" w:color="auto"/>
            <w:bottom w:val="none" w:sz="0" w:space="0" w:color="auto"/>
            <w:right w:val="none" w:sz="0" w:space="0" w:color="auto"/>
          </w:divBdr>
        </w:div>
        <w:div w:id="154684898">
          <w:marLeft w:val="0"/>
          <w:marRight w:val="0"/>
          <w:marTop w:val="0"/>
          <w:marBottom w:val="0"/>
          <w:divBdr>
            <w:top w:val="none" w:sz="0" w:space="0" w:color="auto"/>
            <w:left w:val="none" w:sz="0" w:space="0" w:color="auto"/>
            <w:bottom w:val="none" w:sz="0" w:space="0" w:color="auto"/>
            <w:right w:val="none" w:sz="0" w:space="0" w:color="auto"/>
          </w:divBdr>
        </w:div>
        <w:div w:id="1678733034">
          <w:marLeft w:val="0"/>
          <w:marRight w:val="0"/>
          <w:marTop w:val="0"/>
          <w:marBottom w:val="0"/>
          <w:divBdr>
            <w:top w:val="none" w:sz="0" w:space="0" w:color="auto"/>
            <w:left w:val="none" w:sz="0" w:space="0" w:color="auto"/>
            <w:bottom w:val="none" w:sz="0" w:space="0" w:color="auto"/>
            <w:right w:val="none" w:sz="0" w:space="0" w:color="auto"/>
          </w:divBdr>
        </w:div>
        <w:div w:id="639573341">
          <w:marLeft w:val="0"/>
          <w:marRight w:val="0"/>
          <w:marTop w:val="0"/>
          <w:marBottom w:val="0"/>
          <w:divBdr>
            <w:top w:val="none" w:sz="0" w:space="0" w:color="auto"/>
            <w:left w:val="none" w:sz="0" w:space="0" w:color="auto"/>
            <w:bottom w:val="none" w:sz="0" w:space="0" w:color="auto"/>
            <w:right w:val="none" w:sz="0" w:space="0" w:color="auto"/>
          </w:divBdr>
        </w:div>
        <w:div w:id="108160600">
          <w:marLeft w:val="0"/>
          <w:marRight w:val="0"/>
          <w:marTop w:val="0"/>
          <w:marBottom w:val="0"/>
          <w:divBdr>
            <w:top w:val="none" w:sz="0" w:space="0" w:color="auto"/>
            <w:left w:val="none" w:sz="0" w:space="0" w:color="auto"/>
            <w:bottom w:val="none" w:sz="0" w:space="0" w:color="auto"/>
            <w:right w:val="none" w:sz="0" w:space="0" w:color="auto"/>
          </w:divBdr>
        </w:div>
        <w:div w:id="1393894153">
          <w:marLeft w:val="0"/>
          <w:marRight w:val="0"/>
          <w:marTop w:val="0"/>
          <w:marBottom w:val="0"/>
          <w:divBdr>
            <w:top w:val="none" w:sz="0" w:space="0" w:color="auto"/>
            <w:left w:val="none" w:sz="0" w:space="0" w:color="auto"/>
            <w:bottom w:val="none" w:sz="0" w:space="0" w:color="auto"/>
            <w:right w:val="none" w:sz="0" w:space="0" w:color="auto"/>
          </w:divBdr>
        </w:div>
        <w:div w:id="778450416">
          <w:marLeft w:val="0"/>
          <w:marRight w:val="0"/>
          <w:marTop w:val="0"/>
          <w:marBottom w:val="0"/>
          <w:divBdr>
            <w:top w:val="none" w:sz="0" w:space="0" w:color="auto"/>
            <w:left w:val="none" w:sz="0" w:space="0" w:color="auto"/>
            <w:bottom w:val="none" w:sz="0" w:space="0" w:color="auto"/>
            <w:right w:val="none" w:sz="0" w:space="0" w:color="auto"/>
          </w:divBdr>
        </w:div>
        <w:div w:id="1172140189">
          <w:marLeft w:val="0"/>
          <w:marRight w:val="0"/>
          <w:marTop w:val="0"/>
          <w:marBottom w:val="0"/>
          <w:divBdr>
            <w:top w:val="none" w:sz="0" w:space="0" w:color="auto"/>
            <w:left w:val="none" w:sz="0" w:space="0" w:color="auto"/>
            <w:bottom w:val="none" w:sz="0" w:space="0" w:color="auto"/>
            <w:right w:val="none" w:sz="0" w:space="0" w:color="auto"/>
          </w:divBdr>
        </w:div>
        <w:div w:id="1907182366">
          <w:marLeft w:val="0"/>
          <w:marRight w:val="0"/>
          <w:marTop w:val="0"/>
          <w:marBottom w:val="0"/>
          <w:divBdr>
            <w:top w:val="none" w:sz="0" w:space="0" w:color="auto"/>
            <w:left w:val="none" w:sz="0" w:space="0" w:color="auto"/>
            <w:bottom w:val="none" w:sz="0" w:space="0" w:color="auto"/>
            <w:right w:val="none" w:sz="0" w:space="0" w:color="auto"/>
          </w:divBdr>
        </w:div>
        <w:div w:id="1443645705">
          <w:marLeft w:val="0"/>
          <w:marRight w:val="0"/>
          <w:marTop w:val="0"/>
          <w:marBottom w:val="0"/>
          <w:divBdr>
            <w:top w:val="none" w:sz="0" w:space="0" w:color="auto"/>
            <w:left w:val="none" w:sz="0" w:space="0" w:color="auto"/>
            <w:bottom w:val="none" w:sz="0" w:space="0" w:color="auto"/>
            <w:right w:val="none" w:sz="0" w:space="0" w:color="auto"/>
          </w:divBdr>
        </w:div>
        <w:div w:id="1986817275">
          <w:marLeft w:val="0"/>
          <w:marRight w:val="0"/>
          <w:marTop w:val="0"/>
          <w:marBottom w:val="0"/>
          <w:divBdr>
            <w:top w:val="none" w:sz="0" w:space="0" w:color="auto"/>
            <w:left w:val="none" w:sz="0" w:space="0" w:color="auto"/>
            <w:bottom w:val="none" w:sz="0" w:space="0" w:color="auto"/>
            <w:right w:val="none" w:sz="0" w:space="0" w:color="auto"/>
          </w:divBdr>
        </w:div>
        <w:div w:id="99106136">
          <w:marLeft w:val="0"/>
          <w:marRight w:val="0"/>
          <w:marTop w:val="0"/>
          <w:marBottom w:val="0"/>
          <w:divBdr>
            <w:top w:val="none" w:sz="0" w:space="0" w:color="auto"/>
            <w:left w:val="none" w:sz="0" w:space="0" w:color="auto"/>
            <w:bottom w:val="none" w:sz="0" w:space="0" w:color="auto"/>
            <w:right w:val="none" w:sz="0" w:space="0" w:color="auto"/>
          </w:divBdr>
        </w:div>
        <w:div w:id="1705059564">
          <w:marLeft w:val="0"/>
          <w:marRight w:val="0"/>
          <w:marTop w:val="0"/>
          <w:marBottom w:val="0"/>
          <w:divBdr>
            <w:top w:val="none" w:sz="0" w:space="0" w:color="auto"/>
            <w:left w:val="none" w:sz="0" w:space="0" w:color="auto"/>
            <w:bottom w:val="none" w:sz="0" w:space="0" w:color="auto"/>
            <w:right w:val="none" w:sz="0" w:space="0" w:color="auto"/>
          </w:divBdr>
        </w:div>
        <w:div w:id="65149345">
          <w:marLeft w:val="0"/>
          <w:marRight w:val="0"/>
          <w:marTop w:val="0"/>
          <w:marBottom w:val="0"/>
          <w:divBdr>
            <w:top w:val="none" w:sz="0" w:space="0" w:color="auto"/>
            <w:left w:val="none" w:sz="0" w:space="0" w:color="auto"/>
            <w:bottom w:val="none" w:sz="0" w:space="0" w:color="auto"/>
            <w:right w:val="none" w:sz="0" w:space="0" w:color="auto"/>
          </w:divBdr>
        </w:div>
        <w:div w:id="1096902863">
          <w:marLeft w:val="0"/>
          <w:marRight w:val="0"/>
          <w:marTop w:val="0"/>
          <w:marBottom w:val="0"/>
          <w:divBdr>
            <w:top w:val="none" w:sz="0" w:space="0" w:color="auto"/>
            <w:left w:val="none" w:sz="0" w:space="0" w:color="auto"/>
            <w:bottom w:val="none" w:sz="0" w:space="0" w:color="auto"/>
            <w:right w:val="none" w:sz="0" w:space="0" w:color="auto"/>
          </w:divBdr>
        </w:div>
        <w:div w:id="1779641120">
          <w:marLeft w:val="0"/>
          <w:marRight w:val="0"/>
          <w:marTop w:val="0"/>
          <w:marBottom w:val="0"/>
          <w:divBdr>
            <w:top w:val="none" w:sz="0" w:space="0" w:color="auto"/>
            <w:left w:val="none" w:sz="0" w:space="0" w:color="auto"/>
            <w:bottom w:val="none" w:sz="0" w:space="0" w:color="auto"/>
            <w:right w:val="none" w:sz="0" w:space="0" w:color="auto"/>
          </w:divBdr>
        </w:div>
        <w:div w:id="1956791418">
          <w:marLeft w:val="0"/>
          <w:marRight w:val="0"/>
          <w:marTop w:val="0"/>
          <w:marBottom w:val="0"/>
          <w:divBdr>
            <w:top w:val="none" w:sz="0" w:space="0" w:color="auto"/>
            <w:left w:val="none" w:sz="0" w:space="0" w:color="auto"/>
            <w:bottom w:val="none" w:sz="0" w:space="0" w:color="auto"/>
            <w:right w:val="none" w:sz="0" w:space="0" w:color="auto"/>
          </w:divBdr>
        </w:div>
        <w:div w:id="675377003">
          <w:marLeft w:val="0"/>
          <w:marRight w:val="0"/>
          <w:marTop w:val="0"/>
          <w:marBottom w:val="0"/>
          <w:divBdr>
            <w:top w:val="none" w:sz="0" w:space="0" w:color="auto"/>
            <w:left w:val="none" w:sz="0" w:space="0" w:color="auto"/>
            <w:bottom w:val="none" w:sz="0" w:space="0" w:color="auto"/>
            <w:right w:val="none" w:sz="0" w:space="0" w:color="auto"/>
          </w:divBdr>
        </w:div>
        <w:div w:id="1961254081">
          <w:marLeft w:val="0"/>
          <w:marRight w:val="0"/>
          <w:marTop w:val="0"/>
          <w:marBottom w:val="0"/>
          <w:divBdr>
            <w:top w:val="none" w:sz="0" w:space="0" w:color="auto"/>
            <w:left w:val="none" w:sz="0" w:space="0" w:color="auto"/>
            <w:bottom w:val="none" w:sz="0" w:space="0" w:color="auto"/>
            <w:right w:val="none" w:sz="0" w:space="0" w:color="auto"/>
          </w:divBdr>
        </w:div>
        <w:div w:id="82191151">
          <w:marLeft w:val="0"/>
          <w:marRight w:val="0"/>
          <w:marTop w:val="0"/>
          <w:marBottom w:val="0"/>
          <w:divBdr>
            <w:top w:val="none" w:sz="0" w:space="0" w:color="auto"/>
            <w:left w:val="none" w:sz="0" w:space="0" w:color="auto"/>
            <w:bottom w:val="none" w:sz="0" w:space="0" w:color="auto"/>
            <w:right w:val="none" w:sz="0" w:space="0" w:color="auto"/>
          </w:divBdr>
        </w:div>
        <w:div w:id="1439056468">
          <w:marLeft w:val="0"/>
          <w:marRight w:val="0"/>
          <w:marTop w:val="0"/>
          <w:marBottom w:val="0"/>
          <w:divBdr>
            <w:top w:val="none" w:sz="0" w:space="0" w:color="auto"/>
            <w:left w:val="none" w:sz="0" w:space="0" w:color="auto"/>
            <w:bottom w:val="none" w:sz="0" w:space="0" w:color="auto"/>
            <w:right w:val="none" w:sz="0" w:space="0" w:color="auto"/>
          </w:divBdr>
        </w:div>
        <w:div w:id="731345863">
          <w:marLeft w:val="0"/>
          <w:marRight w:val="0"/>
          <w:marTop w:val="0"/>
          <w:marBottom w:val="0"/>
          <w:divBdr>
            <w:top w:val="none" w:sz="0" w:space="0" w:color="auto"/>
            <w:left w:val="none" w:sz="0" w:space="0" w:color="auto"/>
            <w:bottom w:val="none" w:sz="0" w:space="0" w:color="auto"/>
            <w:right w:val="none" w:sz="0" w:space="0" w:color="auto"/>
          </w:divBdr>
        </w:div>
        <w:div w:id="966929778">
          <w:marLeft w:val="0"/>
          <w:marRight w:val="0"/>
          <w:marTop w:val="0"/>
          <w:marBottom w:val="0"/>
          <w:divBdr>
            <w:top w:val="none" w:sz="0" w:space="0" w:color="auto"/>
            <w:left w:val="none" w:sz="0" w:space="0" w:color="auto"/>
            <w:bottom w:val="none" w:sz="0" w:space="0" w:color="auto"/>
            <w:right w:val="none" w:sz="0" w:space="0" w:color="auto"/>
          </w:divBdr>
        </w:div>
        <w:div w:id="384836830">
          <w:marLeft w:val="0"/>
          <w:marRight w:val="0"/>
          <w:marTop w:val="0"/>
          <w:marBottom w:val="0"/>
          <w:divBdr>
            <w:top w:val="none" w:sz="0" w:space="0" w:color="auto"/>
            <w:left w:val="none" w:sz="0" w:space="0" w:color="auto"/>
            <w:bottom w:val="none" w:sz="0" w:space="0" w:color="auto"/>
            <w:right w:val="none" w:sz="0" w:space="0" w:color="auto"/>
          </w:divBdr>
        </w:div>
        <w:div w:id="1684895547">
          <w:marLeft w:val="0"/>
          <w:marRight w:val="0"/>
          <w:marTop w:val="0"/>
          <w:marBottom w:val="0"/>
          <w:divBdr>
            <w:top w:val="none" w:sz="0" w:space="0" w:color="auto"/>
            <w:left w:val="none" w:sz="0" w:space="0" w:color="auto"/>
            <w:bottom w:val="none" w:sz="0" w:space="0" w:color="auto"/>
            <w:right w:val="none" w:sz="0" w:space="0" w:color="auto"/>
          </w:divBdr>
        </w:div>
        <w:div w:id="1151604896">
          <w:marLeft w:val="0"/>
          <w:marRight w:val="0"/>
          <w:marTop w:val="0"/>
          <w:marBottom w:val="0"/>
          <w:divBdr>
            <w:top w:val="none" w:sz="0" w:space="0" w:color="auto"/>
            <w:left w:val="none" w:sz="0" w:space="0" w:color="auto"/>
            <w:bottom w:val="none" w:sz="0" w:space="0" w:color="auto"/>
            <w:right w:val="none" w:sz="0" w:space="0" w:color="auto"/>
          </w:divBdr>
        </w:div>
        <w:div w:id="1203592234">
          <w:marLeft w:val="0"/>
          <w:marRight w:val="0"/>
          <w:marTop w:val="0"/>
          <w:marBottom w:val="0"/>
          <w:divBdr>
            <w:top w:val="none" w:sz="0" w:space="0" w:color="auto"/>
            <w:left w:val="none" w:sz="0" w:space="0" w:color="auto"/>
            <w:bottom w:val="none" w:sz="0" w:space="0" w:color="auto"/>
            <w:right w:val="none" w:sz="0" w:space="0" w:color="auto"/>
          </w:divBdr>
        </w:div>
        <w:div w:id="1206022687">
          <w:marLeft w:val="0"/>
          <w:marRight w:val="0"/>
          <w:marTop w:val="0"/>
          <w:marBottom w:val="0"/>
          <w:divBdr>
            <w:top w:val="none" w:sz="0" w:space="0" w:color="auto"/>
            <w:left w:val="none" w:sz="0" w:space="0" w:color="auto"/>
            <w:bottom w:val="none" w:sz="0" w:space="0" w:color="auto"/>
            <w:right w:val="none" w:sz="0" w:space="0" w:color="auto"/>
          </w:divBdr>
        </w:div>
        <w:div w:id="774982746">
          <w:marLeft w:val="0"/>
          <w:marRight w:val="0"/>
          <w:marTop w:val="0"/>
          <w:marBottom w:val="0"/>
          <w:divBdr>
            <w:top w:val="none" w:sz="0" w:space="0" w:color="auto"/>
            <w:left w:val="none" w:sz="0" w:space="0" w:color="auto"/>
            <w:bottom w:val="none" w:sz="0" w:space="0" w:color="auto"/>
            <w:right w:val="none" w:sz="0" w:space="0" w:color="auto"/>
          </w:divBdr>
        </w:div>
        <w:div w:id="693072645">
          <w:marLeft w:val="0"/>
          <w:marRight w:val="0"/>
          <w:marTop w:val="0"/>
          <w:marBottom w:val="0"/>
          <w:divBdr>
            <w:top w:val="none" w:sz="0" w:space="0" w:color="auto"/>
            <w:left w:val="none" w:sz="0" w:space="0" w:color="auto"/>
            <w:bottom w:val="none" w:sz="0" w:space="0" w:color="auto"/>
            <w:right w:val="none" w:sz="0" w:space="0" w:color="auto"/>
          </w:divBdr>
        </w:div>
        <w:div w:id="777607225">
          <w:marLeft w:val="0"/>
          <w:marRight w:val="0"/>
          <w:marTop w:val="0"/>
          <w:marBottom w:val="0"/>
          <w:divBdr>
            <w:top w:val="none" w:sz="0" w:space="0" w:color="auto"/>
            <w:left w:val="none" w:sz="0" w:space="0" w:color="auto"/>
            <w:bottom w:val="none" w:sz="0" w:space="0" w:color="auto"/>
            <w:right w:val="none" w:sz="0" w:space="0" w:color="auto"/>
          </w:divBdr>
        </w:div>
        <w:div w:id="328992554">
          <w:marLeft w:val="0"/>
          <w:marRight w:val="0"/>
          <w:marTop w:val="0"/>
          <w:marBottom w:val="0"/>
          <w:divBdr>
            <w:top w:val="none" w:sz="0" w:space="0" w:color="auto"/>
            <w:left w:val="none" w:sz="0" w:space="0" w:color="auto"/>
            <w:bottom w:val="none" w:sz="0" w:space="0" w:color="auto"/>
            <w:right w:val="none" w:sz="0" w:space="0" w:color="auto"/>
          </w:divBdr>
        </w:div>
        <w:div w:id="1729912581">
          <w:marLeft w:val="0"/>
          <w:marRight w:val="0"/>
          <w:marTop w:val="0"/>
          <w:marBottom w:val="0"/>
          <w:divBdr>
            <w:top w:val="none" w:sz="0" w:space="0" w:color="auto"/>
            <w:left w:val="none" w:sz="0" w:space="0" w:color="auto"/>
            <w:bottom w:val="none" w:sz="0" w:space="0" w:color="auto"/>
            <w:right w:val="none" w:sz="0" w:space="0" w:color="auto"/>
          </w:divBdr>
        </w:div>
        <w:div w:id="1456481541">
          <w:marLeft w:val="0"/>
          <w:marRight w:val="0"/>
          <w:marTop w:val="0"/>
          <w:marBottom w:val="0"/>
          <w:divBdr>
            <w:top w:val="none" w:sz="0" w:space="0" w:color="auto"/>
            <w:left w:val="none" w:sz="0" w:space="0" w:color="auto"/>
            <w:bottom w:val="none" w:sz="0" w:space="0" w:color="auto"/>
            <w:right w:val="none" w:sz="0" w:space="0" w:color="auto"/>
          </w:divBdr>
        </w:div>
        <w:div w:id="904339480">
          <w:marLeft w:val="0"/>
          <w:marRight w:val="0"/>
          <w:marTop w:val="0"/>
          <w:marBottom w:val="0"/>
          <w:divBdr>
            <w:top w:val="none" w:sz="0" w:space="0" w:color="auto"/>
            <w:left w:val="none" w:sz="0" w:space="0" w:color="auto"/>
            <w:bottom w:val="none" w:sz="0" w:space="0" w:color="auto"/>
            <w:right w:val="none" w:sz="0" w:space="0" w:color="auto"/>
          </w:divBdr>
        </w:div>
        <w:div w:id="1433891026">
          <w:marLeft w:val="0"/>
          <w:marRight w:val="0"/>
          <w:marTop w:val="0"/>
          <w:marBottom w:val="0"/>
          <w:divBdr>
            <w:top w:val="none" w:sz="0" w:space="0" w:color="auto"/>
            <w:left w:val="none" w:sz="0" w:space="0" w:color="auto"/>
            <w:bottom w:val="none" w:sz="0" w:space="0" w:color="auto"/>
            <w:right w:val="none" w:sz="0" w:space="0" w:color="auto"/>
          </w:divBdr>
        </w:div>
        <w:div w:id="1603954661">
          <w:marLeft w:val="0"/>
          <w:marRight w:val="0"/>
          <w:marTop w:val="0"/>
          <w:marBottom w:val="0"/>
          <w:divBdr>
            <w:top w:val="none" w:sz="0" w:space="0" w:color="auto"/>
            <w:left w:val="none" w:sz="0" w:space="0" w:color="auto"/>
            <w:bottom w:val="none" w:sz="0" w:space="0" w:color="auto"/>
            <w:right w:val="none" w:sz="0" w:space="0" w:color="auto"/>
          </w:divBdr>
        </w:div>
        <w:div w:id="1455171083">
          <w:marLeft w:val="0"/>
          <w:marRight w:val="0"/>
          <w:marTop w:val="0"/>
          <w:marBottom w:val="0"/>
          <w:divBdr>
            <w:top w:val="none" w:sz="0" w:space="0" w:color="auto"/>
            <w:left w:val="none" w:sz="0" w:space="0" w:color="auto"/>
            <w:bottom w:val="none" w:sz="0" w:space="0" w:color="auto"/>
            <w:right w:val="none" w:sz="0" w:space="0" w:color="auto"/>
          </w:divBdr>
        </w:div>
        <w:div w:id="24797852">
          <w:marLeft w:val="0"/>
          <w:marRight w:val="0"/>
          <w:marTop w:val="0"/>
          <w:marBottom w:val="0"/>
          <w:divBdr>
            <w:top w:val="none" w:sz="0" w:space="0" w:color="auto"/>
            <w:left w:val="none" w:sz="0" w:space="0" w:color="auto"/>
            <w:bottom w:val="none" w:sz="0" w:space="0" w:color="auto"/>
            <w:right w:val="none" w:sz="0" w:space="0" w:color="auto"/>
          </w:divBdr>
        </w:div>
        <w:div w:id="399914145">
          <w:marLeft w:val="0"/>
          <w:marRight w:val="0"/>
          <w:marTop w:val="0"/>
          <w:marBottom w:val="0"/>
          <w:divBdr>
            <w:top w:val="none" w:sz="0" w:space="0" w:color="auto"/>
            <w:left w:val="none" w:sz="0" w:space="0" w:color="auto"/>
            <w:bottom w:val="none" w:sz="0" w:space="0" w:color="auto"/>
            <w:right w:val="none" w:sz="0" w:space="0" w:color="auto"/>
          </w:divBdr>
        </w:div>
        <w:div w:id="208684149">
          <w:marLeft w:val="0"/>
          <w:marRight w:val="0"/>
          <w:marTop w:val="0"/>
          <w:marBottom w:val="0"/>
          <w:divBdr>
            <w:top w:val="none" w:sz="0" w:space="0" w:color="auto"/>
            <w:left w:val="none" w:sz="0" w:space="0" w:color="auto"/>
            <w:bottom w:val="none" w:sz="0" w:space="0" w:color="auto"/>
            <w:right w:val="none" w:sz="0" w:space="0" w:color="auto"/>
          </w:divBdr>
        </w:div>
        <w:div w:id="1641112685">
          <w:marLeft w:val="0"/>
          <w:marRight w:val="0"/>
          <w:marTop w:val="0"/>
          <w:marBottom w:val="0"/>
          <w:divBdr>
            <w:top w:val="none" w:sz="0" w:space="0" w:color="auto"/>
            <w:left w:val="none" w:sz="0" w:space="0" w:color="auto"/>
            <w:bottom w:val="none" w:sz="0" w:space="0" w:color="auto"/>
            <w:right w:val="none" w:sz="0" w:space="0" w:color="auto"/>
          </w:divBdr>
        </w:div>
        <w:div w:id="1340545179">
          <w:marLeft w:val="0"/>
          <w:marRight w:val="0"/>
          <w:marTop w:val="0"/>
          <w:marBottom w:val="0"/>
          <w:divBdr>
            <w:top w:val="none" w:sz="0" w:space="0" w:color="auto"/>
            <w:left w:val="none" w:sz="0" w:space="0" w:color="auto"/>
            <w:bottom w:val="none" w:sz="0" w:space="0" w:color="auto"/>
            <w:right w:val="none" w:sz="0" w:space="0" w:color="auto"/>
          </w:divBdr>
        </w:div>
        <w:div w:id="1896702033">
          <w:marLeft w:val="0"/>
          <w:marRight w:val="0"/>
          <w:marTop w:val="0"/>
          <w:marBottom w:val="0"/>
          <w:divBdr>
            <w:top w:val="none" w:sz="0" w:space="0" w:color="auto"/>
            <w:left w:val="none" w:sz="0" w:space="0" w:color="auto"/>
            <w:bottom w:val="none" w:sz="0" w:space="0" w:color="auto"/>
            <w:right w:val="none" w:sz="0" w:space="0" w:color="auto"/>
          </w:divBdr>
        </w:div>
        <w:div w:id="364643488">
          <w:marLeft w:val="0"/>
          <w:marRight w:val="0"/>
          <w:marTop w:val="0"/>
          <w:marBottom w:val="0"/>
          <w:divBdr>
            <w:top w:val="none" w:sz="0" w:space="0" w:color="auto"/>
            <w:left w:val="none" w:sz="0" w:space="0" w:color="auto"/>
            <w:bottom w:val="none" w:sz="0" w:space="0" w:color="auto"/>
            <w:right w:val="none" w:sz="0" w:space="0" w:color="auto"/>
          </w:divBdr>
        </w:div>
        <w:div w:id="2055621443">
          <w:marLeft w:val="0"/>
          <w:marRight w:val="0"/>
          <w:marTop w:val="0"/>
          <w:marBottom w:val="0"/>
          <w:divBdr>
            <w:top w:val="none" w:sz="0" w:space="0" w:color="auto"/>
            <w:left w:val="none" w:sz="0" w:space="0" w:color="auto"/>
            <w:bottom w:val="none" w:sz="0" w:space="0" w:color="auto"/>
            <w:right w:val="none" w:sz="0" w:space="0" w:color="auto"/>
          </w:divBdr>
        </w:div>
        <w:div w:id="1531793719">
          <w:marLeft w:val="0"/>
          <w:marRight w:val="0"/>
          <w:marTop w:val="0"/>
          <w:marBottom w:val="0"/>
          <w:divBdr>
            <w:top w:val="none" w:sz="0" w:space="0" w:color="auto"/>
            <w:left w:val="none" w:sz="0" w:space="0" w:color="auto"/>
            <w:bottom w:val="none" w:sz="0" w:space="0" w:color="auto"/>
            <w:right w:val="none" w:sz="0" w:space="0" w:color="auto"/>
          </w:divBdr>
        </w:div>
        <w:div w:id="975767550">
          <w:marLeft w:val="0"/>
          <w:marRight w:val="0"/>
          <w:marTop w:val="0"/>
          <w:marBottom w:val="0"/>
          <w:divBdr>
            <w:top w:val="none" w:sz="0" w:space="0" w:color="auto"/>
            <w:left w:val="none" w:sz="0" w:space="0" w:color="auto"/>
            <w:bottom w:val="none" w:sz="0" w:space="0" w:color="auto"/>
            <w:right w:val="none" w:sz="0" w:space="0" w:color="auto"/>
          </w:divBdr>
        </w:div>
        <w:div w:id="416557335">
          <w:marLeft w:val="0"/>
          <w:marRight w:val="0"/>
          <w:marTop w:val="0"/>
          <w:marBottom w:val="0"/>
          <w:divBdr>
            <w:top w:val="none" w:sz="0" w:space="0" w:color="auto"/>
            <w:left w:val="none" w:sz="0" w:space="0" w:color="auto"/>
            <w:bottom w:val="none" w:sz="0" w:space="0" w:color="auto"/>
            <w:right w:val="none" w:sz="0" w:space="0" w:color="auto"/>
          </w:divBdr>
        </w:div>
        <w:div w:id="1493135307">
          <w:marLeft w:val="0"/>
          <w:marRight w:val="0"/>
          <w:marTop w:val="0"/>
          <w:marBottom w:val="0"/>
          <w:divBdr>
            <w:top w:val="none" w:sz="0" w:space="0" w:color="auto"/>
            <w:left w:val="none" w:sz="0" w:space="0" w:color="auto"/>
            <w:bottom w:val="none" w:sz="0" w:space="0" w:color="auto"/>
            <w:right w:val="none" w:sz="0" w:space="0" w:color="auto"/>
          </w:divBdr>
        </w:div>
        <w:div w:id="1987852489">
          <w:marLeft w:val="0"/>
          <w:marRight w:val="0"/>
          <w:marTop w:val="0"/>
          <w:marBottom w:val="0"/>
          <w:divBdr>
            <w:top w:val="none" w:sz="0" w:space="0" w:color="auto"/>
            <w:left w:val="none" w:sz="0" w:space="0" w:color="auto"/>
            <w:bottom w:val="none" w:sz="0" w:space="0" w:color="auto"/>
            <w:right w:val="none" w:sz="0" w:space="0" w:color="auto"/>
          </w:divBdr>
        </w:div>
        <w:div w:id="292250313">
          <w:marLeft w:val="0"/>
          <w:marRight w:val="0"/>
          <w:marTop w:val="0"/>
          <w:marBottom w:val="0"/>
          <w:divBdr>
            <w:top w:val="none" w:sz="0" w:space="0" w:color="auto"/>
            <w:left w:val="none" w:sz="0" w:space="0" w:color="auto"/>
            <w:bottom w:val="none" w:sz="0" w:space="0" w:color="auto"/>
            <w:right w:val="none" w:sz="0" w:space="0" w:color="auto"/>
          </w:divBdr>
        </w:div>
        <w:div w:id="1442842138">
          <w:marLeft w:val="0"/>
          <w:marRight w:val="0"/>
          <w:marTop w:val="0"/>
          <w:marBottom w:val="0"/>
          <w:divBdr>
            <w:top w:val="none" w:sz="0" w:space="0" w:color="auto"/>
            <w:left w:val="none" w:sz="0" w:space="0" w:color="auto"/>
            <w:bottom w:val="none" w:sz="0" w:space="0" w:color="auto"/>
            <w:right w:val="none" w:sz="0" w:space="0" w:color="auto"/>
          </w:divBdr>
        </w:div>
        <w:div w:id="583340563">
          <w:marLeft w:val="0"/>
          <w:marRight w:val="0"/>
          <w:marTop w:val="0"/>
          <w:marBottom w:val="0"/>
          <w:divBdr>
            <w:top w:val="none" w:sz="0" w:space="0" w:color="auto"/>
            <w:left w:val="none" w:sz="0" w:space="0" w:color="auto"/>
            <w:bottom w:val="none" w:sz="0" w:space="0" w:color="auto"/>
            <w:right w:val="none" w:sz="0" w:space="0" w:color="auto"/>
          </w:divBdr>
        </w:div>
        <w:div w:id="1788424513">
          <w:marLeft w:val="0"/>
          <w:marRight w:val="0"/>
          <w:marTop w:val="0"/>
          <w:marBottom w:val="0"/>
          <w:divBdr>
            <w:top w:val="none" w:sz="0" w:space="0" w:color="auto"/>
            <w:left w:val="none" w:sz="0" w:space="0" w:color="auto"/>
            <w:bottom w:val="none" w:sz="0" w:space="0" w:color="auto"/>
            <w:right w:val="none" w:sz="0" w:space="0" w:color="auto"/>
          </w:divBdr>
        </w:div>
        <w:div w:id="266427129">
          <w:marLeft w:val="0"/>
          <w:marRight w:val="0"/>
          <w:marTop w:val="0"/>
          <w:marBottom w:val="0"/>
          <w:divBdr>
            <w:top w:val="none" w:sz="0" w:space="0" w:color="auto"/>
            <w:left w:val="none" w:sz="0" w:space="0" w:color="auto"/>
            <w:bottom w:val="none" w:sz="0" w:space="0" w:color="auto"/>
            <w:right w:val="none" w:sz="0" w:space="0" w:color="auto"/>
          </w:divBdr>
        </w:div>
        <w:div w:id="839739232">
          <w:marLeft w:val="0"/>
          <w:marRight w:val="0"/>
          <w:marTop w:val="0"/>
          <w:marBottom w:val="0"/>
          <w:divBdr>
            <w:top w:val="none" w:sz="0" w:space="0" w:color="auto"/>
            <w:left w:val="none" w:sz="0" w:space="0" w:color="auto"/>
            <w:bottom w:val="none" w:sz="0" w:space="0" w:color="auto"/>
            <w:right w:val="none" w:sz="0" w:space="0" w:color="auto"/>
          </w:divBdr>
        </w:div>
        <w:div w:id="1896625012">
          <w:marLeft w:val="0"/>
          <w:marRight w:val="0"/>
          <w:marTop w:val="0"/>
          <w:marBottom w:val="0"/>
          <w:divBdr>
            <w:top w:val="none" w:sz="0" w:space="0" w:color="auto"/>
            <w:left w:val="none" w:sz="0" w:space="0" w:color="auto"/>
            <w:bottom w:val="none" w:sz="0" w:space="0" w:color="auto"/>
            <w:right w:val="none" w:sz="0" w:space="0" w:color="auto"/>
          </w:divBdr>
        </w:div>
        <w:div w:id="26755051">
          <w:marLeft w:val="0"/>
          <w:marRight w:val="0"/>
          <w:marTop w:val="0"/>
          <w:marBottom w:val="0"/>
          <w:divBdr>
            <w:top w:val="none" w:sz="0" w:space="0" w:color="auto"/>
            <w:left w:val="none" w:sz="0" w:space="0" w:color="auto"/>
            <w:bottom w:val="none" w:sz="0" w:space="0" w:color="auto"/>
            <w:right w:val="none" w:sz="0" w:space="0" w:color="auto"/>
          </w:divBdr>
        </w:div>
        <w:div w:id="1134715508">
          <w:marLeft w:val="0"/>
          <w:marRight w:val="0"/>
          <w:marTop w:val="0"/>
          <w:marBottom w:val="0"/>
          <w:divBdr>
            <w:top w:val="none" w:sz="0" w:space="0" w:color="auto"/>
            <w:left w:val="none" w:sz="0" w:space="0" w:color="auto"/>
            <w:bottom w:val="none" w:sz="0" w:space="0" w:color="auto"/>
            <w:right w:val="none" w:sz="0" w:space="0" w:color="auto"/>
          </w:divBdr>
        </w:div>
        <w:div w:id="625430318">
          <w:marLeft w:val="0"/>
          <w:marRight w:val="0"/>
          <w:marTop w:val="0"/>
          <w:marBottom w:val="0"/>
          <w:divBdr>
            <w:top w:val="none" w:sz="0" w:space="0" w:color="auto"/>
            <w:left w:val="none" w:sz="0" w:space="0" w:color="auto"/>
            <w:bottom w:val="none" w:sz="0" w:space="0" w:color="auto"/>
            <w:right w:val="none" w:sz="0" w:space="0" w:color="auto"/>
          </w:divBdr>
        </w:div>
        <w:div w:id="941061692">
          <w:marLeft w:val="0"/>
          <w:marRight w:val="0"/>
          <w:marTop w:val="0"/>
          <w:marBottom w:val="0"/>
          <w:divBdr>
            <w:top w:val="none" w:sz="0" w:space="0" w:color="auto"/>
            <w:left w:val="none" w:sz="0" w:space="0" w:color="auto"/>
            <w:bottom w:val="none" w:sz="0" w:space="0" w:color="auto"/>
            <w:right w:val="none" w:sz="0" w:space="0" w:color="auto"/>
          </w:divBdr>
        </w:div>
        <w:div w:id="2137481930">
          <w:marLeft w:val="0"/>
          <w:marRight w:val="0"/>
          <w:marTop w:val="0"/>
          <w:marBottom w:val="0"/>
          <w:divBdr>
            <w:top w:val="none" w:sz="0" w:space="0" w:color="auto"/>
            <w:left w:val="none" w:sz="0" w:space="0" w:color="auto"/>
            <w:bottom w:val="none" w:sz="0" w:space="0" w:color="auto"/>
            <w:right w:val="none" w:sz="0" w:space="0" w:color="auto"/>
          </w:divBdr>
        </w:div>
        <w:div w:id="330766911">
          <w:marLeft w:val="0"/>
          <w:marRight w:val="0"/>
          <w:marTop w:val="0"/>
          <w:marBottom w:val="0"/>
          <w:divBdr>
            <w:top w:val="none" w:sz="0" w:space="0" w:color="auto"/>
            <w:left w:val="none" w:sz="0" w:space="0" w:color="auto"/>
            <w:bottom w:val="none" w:sz="0" w:space="0" w:color="auto"/>
            <w:right w:val="none" w:sz="0" w:space="0" w:color="auto"/>
          </w:divBdr>
        </w:div>
        <w:div w:id="2115634309">
          <w:marLeft w:val="0"/>
          <w:marRight w:val="0"/>
          <w:marTop w:val="0"/>
          <w:marBottom w:val="0"/>
          <w:divBdr>
            <w:top w:val="none" w:sz="0" w:space="0" w:color="auto"/>
            <w:left w:val="none" w:sz="0" w:space="0" w:color="auto"/>
            <w:bottom w:val="none" w:sz="0" w:space="0" w:color="auto"/>
            <w:right w:val="none" w:sz="0" w:space="0" w:color="auto"/>
          </w:divBdr>
        </w:div>
        <w:div w:id="1511602936">
          <w:marLeft w:val="0"/>
          <w:marRight w:val="0"/>
          <w:marTop w:val="0"/>
          <w:marBottom w:val="0"/>
          <w:divBdr>
            <w:top w:val="none" w:sz="0" w:space="0" w:color="auto"/>
            <w:left w:val="none" w:sz="0" w:space="0" w:color="auto"/>
            <w:bottom w:val="none" w:sz="0" w:space="0" w:color="auto"/>
            <w:right w:val="none" w:sz="0" w:space="0" w:color="auto"/>
          </w:divBdr>
        </w:div>
        <w:div w:id="1473208968">
          <w:marLeft w:val="0"/>
          <w:marRight w:val="0"/>
          <w:marTop w:val="0"/>
          <w:marBottom w:val="0"/>
          <w:divBdr>
            <w:top w:val="none" w:sz="0" w:space="0" w:color="auto"/>
            <w:left w:val="none" w:sz="0" w:space="0" w:color="auto"/>
            <w:bottom w:val="none" w:sz="0" w:space="0" w:color="auto"/>
            <w:right w:val="none" w:sz="0" w:space="0" w:color="auto"/>
          </w:divBdr>
        </w:div>
        <w:div w:id="812019561">
          <w:marLeft w:val="0"/>
          <w:marRight w:val="0"/>
          <w:marTop w:val="0"/>
          <w:marBottom w:val="0"/>
          <w:divBdr>
            <w:top w:val="none" w:sz="0" w:space="0" w:color="auto"/>
            <w:left w:val="none" w:sz="0" w:space="0" w:color="auto"/>
            <w:bottom w:val="none" w:sz="0" w:space="0" w:color="auto"/>
            <w:right w:val="none" w:sz="0" w:space="0" w:color="auto"/>
          </w:divBdr>
        </w:div>
        <w:div w:id="739786969">
          <w:marLeft w:val="0"/>
          <w:marRight w:val="0"/>
          <w:marTop w:val="0"/>
          <w:marBottom w:val="0"/>
          <w:divBdr>
            <w:top w:val="none" w:sz="0" w:space="0" w:color="auto"/>
            <w:left w:val="none" w:sz="0" w:space="0" w:color="auto"/>
            <w:bottom w:val="none" w:sz="0" w:space="0" w:color="auto"/>
            <w:right w:val="none" w:sz="0" w:space="0" w:color="auto"/>
          </w:divBdr>
        </w:div>
        <w:div w:id="1454863481">
          <w:marLeft w:val="0"/>
          <w:marRight w:val="0"/>
          <w:marTop w:val="0"/>
          <w:marBottom w:val="0"/>
          <w:divBdr>
            <w:top w:val="none" w:sz="0" w:space="0" w:color="auto"/>
            <w:left w:val="none" w:sz="0" w:space="0" w:color="auto"/>
            <w:bottom w:val="none" w:sz="0" w:space="0" w:color="auto"/>
            <w:right w:val="none" w:sz="0" w:space="0" w:color="auto"/>
          </w:divBdr>
        </w:div>
        <w:div w:id="1812097550">
          <w:marLeft w:val="0"/>
          <w:marRight w:val="0"/>
          <w:marTop w:val="0"/>
          <w:marBottom w:val="0"/>
          <w:divBdr>
            <w:top w:val="none" w:sz="0" w:space="0" w:color="auto"/>
            <w:left w:val="none" w:sz="0" w:space="0" w:color="auto"/>
            <w:bottom w:val="none" w:sz="0" w:space="0" w:color="auto"/>
            <w:right w:val="none" w:sz="0" w:space="0" w:color="auto"/>
          </w:divBdr>
        </w:div>
        <w:div w:id="1341784333">
          <w:marLeft w:val="0"/>
          <w:marRight w:val="0"/>
          <w:marTop w:val="0"/>
          <w:marBottom w:val="0"/>
          <w:divBdr>
            <w:top w:val="none" w:sz="0" w:space="0" w:color="auto"/>
            <w:left w:val="none" w:sz="0" w:space="0" w:color="auto"/>
            <w:bottom w:val="none" w:sz="0" w:space="0" w:color="auto"/>
            <w:right w:val="none" w:sz="0" w:space="0" w:color="auto"/>
          </w:divBdr>
        </w:div>
        <w:div w:id="1434982238">
          <w:marLeft w:val="0"/>
          <w:marRight w:val="0"/>
          <w:marTop w:val="0"/>
          <w:marBottom w:val="0"/>
          <w:divBdr>
            <w:top w:val="none" w:sz="0" w:space="0" w:color="auto"/>
            <w:left w:val="none" w:sz="0" w:space="0" w:color="auto"/>
            <w:bottom w:val="none" w:sz="0" w:space="0" w:color="auto"/>
            <w:right w:val="none" w:sz="0" w:space="0" w:color="auto"/>
          </w:divBdr>
        </w:div>
      </w:divsChild>
    </w:div>
    <w:div w:id="31851537">
      <w:bodyDiv w:val="1"/>
      <w:marLeft w:val="0"/>
      <w:marRight w:val="0"/>
      <w:marTop w:val="0"/>
      <w:marBottom w:val="0"/>
      <w:divBdr>
        <w:top w:val="none" w:sz="0" w:space="0" w:color="auto"/>
        <w:left w:val="none" w:sz="0" w:space="0" w:color="auto"/>
        <w:bottom w:val="none" w:sz="0" w:space="0" w:color="auto"/>
        <w:right w:val="none" w:sz="0" w:space="0" w:color="auto"/>
      </w:divBdr>
      <w:divsChild>
        <w:div w:id="493184577">
          <w:marLeft w:val="0"/>
          <w:marRight w:val="0"/>
          <w:marTop w:val="0"/>
          <w:marBottom w:val="0"/>
          <w:divBdr>
            <w:top w:val="none" w:sz="0" w:space="0" w:color="auto"/>
            <w:left w:val="none" w:sz="0" w:space="0" w:color="auto"/>
            <w:bottom w:val="none" w:sz="0" w:space="0" w:color="auto"/>
            <w:right w:val="none" w:sz="0" w:space="0" w:color="auto"/>
          </w:divBdr>
        </w:div>
      </w:divsChild>
    </w:div>
    <w:div w:id="32192745">
      <w:bodyDiv w:val="1"/>
      <w:marLeft w:val="0"/>
      <w:marRight w:val="0"/>
      <w:marTop w:val="0"/>
      <w:marBottom w:val="0"/>
      <w:divBdr>
        <w:top w:val="none" w:sz="0" w:space="0" w:color="auto"/>
        <w:left w:val="none" w:sz="0" w:space="0" w:color="auto"/>
        <w:bottom w:val="none" w:sz="0" w:space="0" w:color="auto"/>
        <w:right w:val="none" w:sz="0" w:space="0" w:color="auto"/>
      </w:divBdr>
      <w:divsChild>
        <w:div w:id="2044406864">
          <w:marLeft w:val="0"/>
          <w:marRight w:val="0"/>
          <w:marTop w:val="0"/>
          <w:marBottom w:val="0"/>
          <w:divBdr>
            <w:top w:val="none" w:sz="0" w:space="0" w:color="auto"/>
            <w:left w:val="none" w:sz="0" w:space="0" w:color="auto"/>
            <w:bottom w:val="none" w:sz="0" w:space="0" w:color="auto"/>
            <w:right w:val="none" w:sz="0" w:space="0" w:color="auto"/>
          </w:divBdr>
        </w:div>
      </w:divsChild>
    </w:div>
    <w:div w:id="38017574">
      <w:bodyDiv w:val="1"/>
      <w:marLeft w:val="0"/>
      <w:marRight w:val="0"/>
      <w:marTop w:val="0"/>
      <w:marBottom w:val="0"/>
      <w:divBdr>
        <w:top w:val="none" w:sz="0" w:space="0" w:color="auto"/>
        <w:left w:val="none" w:sz="0" w:space="0" w:color="auto"/>
        <w:bottom w:val="none" w:sz="0" w:space="0" w:color="auto"/>
        <w:right w:val="none" w:sz="0" w:space="0" w:color="auto"/>
      </w:divBdr>
      <w:divsChild>
        <w:div w:id="1484395462">
          <w:marLeft w:val="0"/>
          <w:marRight w:val="0"/>
          <w:marTop w:val="0"/>
          <w:marBottom w:val="0"/>
          <w:divBdr>
            <w:top w:val="none" w:sz="0" w:space="0" w:color="auto"/>
            <w:left w:val="none" w:sz="0" w:space="0" w:color="auto"/>
            <w:bottom w:val="none" w:sz="0" w:space="0" w:color="auto"/>
            <w:right w:val="none" w:sz="0" w:space="0" w:color="auto"/>
          </w:divBdr>
        </w:div>
        <w:div w:id="531840730">
          <w:marLeft w:val="0"/>
          <w:marRight w:val="0"/>
          <w:marTop w:val="0"/>
          <w:marBottom w:val="0"/>
          <w:divBdr>
            <w:top w:val="none" w:sz="0" w:space="0" w:color="auto"/>
            <w:left w:val="none" w:sz="0" w:space="0" w:color="auto"/>
            <w:bottom w:val="none" w:sz="0" w:space="0" w:color="auto"/>
            <w:right w:val="none" w:sz="0" w:space="0" w:color="auto"/>
          </w:divBdr>
        </w:div>
        <w:div w:id="1026326468">
          <w:marLeft w:val="0"/>
          <w:marRight w:val="0"/>
          <w:marTop w:val="0"/>
          <w:marBottom w:val="0"/>
          <w:divBdr>
            <w:top w:val="none" w:sz="0" w:space="0" w:color="auto"/>
            <w:left w:val="none" w:sz="0" w:space="0" w:color="auto"/>
            <w:bottom w:val="none" w:sz="0" w:space="0" w:color="auto"/>
            <w:right w:val="none" w:sz="0" w:space="0" w:color="auto"/>
          </w:divBdr>
        </w:div>
        <w:div w:id="869226936">
          <w:marLeft w:val="0"/>
          <w:marRight w:val="0"/>
          <w:marTop w:val="0"/>
          <w:marBottom w:val="0"/>
          <w:divBdr>
            <w:top w:val="none" w:sz="0" w:space="0" w:color="auto"/>
            <w:left w:val="none" w:sz="0" w:space="0" w:color="auto"/>
            <w:bottom w:val="none" w:sz="0" w:space="0" w:color="auto"/>
            <w:right w:val="none" w:sz="0" w:space="0" w:color="auto"/>
          </w:divBdr>
          <w:divsChild>
            <w:div w:id="97098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5787">
      <w:bodyDiv w:val="1"/>
      <w:marLeft w:val="0"/>
      <w:marRight w:val="0"/>
      <w:marTop w:val="0"/>
      <w:marBottom w:val="0"/>
      <w:divBdr>
        <w:top w:val="none" w:sz="0" w:space="0" w:color="auto"/>
        <w:left w:val="none" w:sz="0" w:space="0" w:color="auto"/>
        <w:bottom w:val="none" w:sz="0" w:space="0" w:color="auto"/>
        <w:right w:val="none" w:sz="0" w:space="0" w:color="auto"/>
      </w:divBdr>
      <w:divsChild>
        <w:div w:id="369693892">
          <w:marLeft w:val="0"/>
          <w:marRight w:val="0"/>
          <w:marTop w:val="0"/>
          <w:marBottom w:val="0"/>
          <w:divBdr>
            <w:top w:val="none" w:sz="0" w:space="0" w:color="auto"/>
            <w:left w:val="none" w:sz="0" w:space="0" w:color="auto"/>
            <w:bottom w:val="none" w:sz="0" w:space="0" w:color="auto"/>
            <w:right w:val="none" w:sz="0" w:space="0" w:color="auto"/>
          </w:divBdr>
          <w:divsChild>
            <w:div w:id="1217668993">
              <w:marLeft w:val="0"/>
              <w:marRight w:val="0"/>
              <w:marTop w:val="0"/>
              <w:marBottom w:val="0"/>
              <w:divBdr>
                <w:top w:val="none" w:sz="0" w:space="0" w:color="auto"/>
                <w:left w:val="none" w:sz="0" w:space="0" w:color="auto"/>
                <w:bottom w:val="none" w:sz="0" w:space="0" w:color="auto"/>
                <w:right w:val="none" w:sz="0" w:space="0" w:color="auto"/>
              </w:divBdr>
              <w:divsChild>
                <w:div w:id="35542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21188">
          <w:marLeft w:val="0"/>
          <w:marRight w:val="0"/>
          <w:marTop w:val="0"/>
          <w:marBottom w:val="0"/>
          <w:divBdr>
            <w:top w:val="none" w:sz="0" w:space="0" w:color="auto"/>
            <w:left w:val="none" w:sz="0" w:space="0" w:color="auto"/>
            <w:bottom w:val="none" w:sz="0" w:space="0" w:color="auto"/>
            <w:right w:val="none" w:sz="0" w:space="0" w:color="auto"/>
          </w:divBdr>
          <w:divsChild>
            <w:div w:id="1204825343">
              <w:marLeft w:val="0"/>
              <w:marRight w:val="0"/>
              <w:marTop w:val="0"/>
              <w:marBottom w:val="0"/>
              <w:divBdr>
                <w:top w:val="none" w:sz="0" w:space="0" w:color="auto"/>
                <w:left w:val="none" w:sz="0" w:space="0" w:color="auto"/>
                <w:bottom w:val="none" w:sz="0" w:space="0" w:color="auto"/>
                <w:right w:val="none" w:sz="0" w:space="0" w:color="auto"/>
              </w:divBdr>
              <w:divsChild>
                <w:div w:id="694573902">
                  <w:marLeft w:val="0"/>
                  <w:marRight w:val="0"/>
                  <w:marTop w:val="0"/>
                  <w:marBottom w:val="0"/>
                  <w:divBdr>
                    <w:top w:val="none" w:sz="0" w:space="0" w:color="auto"/>
                    <w:left w:val="none" w:sz="0" w:space="0" w:color="auto"/>
                    <w:bottom w:val="none" w:sz="0" w:space="0" w:color="auto"/>
                    <w:right w:val="none" w:sz="0" w:space="0" w:color="auto"/>
                  </w:divBdr>
                </w:div>
                <w:div w:id="168246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67004">
      <w:bodyDiv w:val="1"/>
      <w:marLeft w:val="0"/>
      <w:marRight w:val="0"/>
      <w:marTop w:val="0"/>
      <w:marBottom w:val="0"/>
      <w:divBdr>
        <w:top w:val="none" w:sz="0" w:space="0" w:color="auto"/>
        <w:left w:val="none" w:sz="0" w:space="0" w:color="auto"/>
        <w:bottom w:val="none" w:sz="0" w:space="0" w:color="auto"/>
        <w:right w:val="none" w:sz="0" w:space="0" w:color="auto"/>
      </w:divBdr>
      <w:divsChild>
        <w:div w:id="1929389243">
          <w:marLeft w:val="0"/>
          <w:marRight w:val="0"/>
          <w:marTop w:val="0"/>
          <w:marBottom w:val="0"/>
          <w:divBdr>
            <w:top w:val="none" w:sz="0" w:space="0" w:color="auto"/>
            <w:left w:val="none" w:sz="0" w:space="0" w:color="auto"/>
            <w:bottom w:val="none" w:sz="0" w:space="0" w:color="auto"/>
            <w:right w:val="none" w:sz="0" w:space="0" w:color="auto"/>
          </w:divBdr>
          <w:divsChild>
            <w:div w:id="170073036">
              <w:marLeft w:val="0"/>
              <w:marRight w:val="0"/>
              <w:marTop w:val="0"/>
              <w:marBottom w:val="0"/>
              <w:divBdr>
                <w:top w:val="none" w:sz="0" w:space="0" w:color="auto"/>
                <w:left w:val="none" w:sz="0" w:space="0" w:color="auto"/>
                <w:bottom w:val="none" w:sz="0" w:space="0" w:color="auto"/>
                <w:right w:val="none" w:sz="0" w:space="0" w:color="auto"/>
              </w:divBdr>
              <w:divsChild>
                <w:div w:id="866256967">
                  <w:marLeft w:val="0"/>
                  <w:marRight w:val="0"/>
                  <w:marTop w:val="0"/>
                  <w:marBottom w:val="0"/>
                  <w:divBdr>
                    <w:top w:val="none" w:sz="0" w:space="0" w:color="auto"/>
                    <w:left w:val="none" w:sz="0" w:space="0" w:color="auto"/>
                    <w:bottom w:val="none" w:sz="0" w:space="0" w:color="auto"/>
                    <w:right w:val="none" w:sz="0" w:space="0" w:color="auto"/>
                  </w:divBdr>
                  <w:divsChild>
                    <w:div w:id="116725360">
                      <w:marLeft w:val="0"/>
                      <w:marRight w:val="0"/>
                      <w:marTop w:val="0"/>
                      <w:marBottom w:val="0"/>
                      <w:divBdr>
                        <w:top w:val="none" w:sz="0" w:space="0" w:color="auto"/>
                        <w:left w:val="none" w:sz="0" w:space="0" w:color="auto"/>
                        <w:bottom w:val="none" w:sz="0" w:space="0" w:color="auto"/>
                        <w:right w:val="none" w:sz="0" w:space="0" w:color="auto"/>
                      </w:divBdr>
                      <w:divsChild>
                        <w:div w:id="1748117043">
                          <w:marLeft w:val="0"/>
                          <w:marRight w:val="0"/>
                          <w:marTop w:val="0"/>
                          <w:marBottom w:val="0"/>
                          <w:divBdr>
                            <w:top w:val="none" w:sz="0" w:space="0" w:color="auto"/>
                            <w:left w:val="none" w:sz="0" w:space="0" w:color="auto"/>
                            <w:bottom w:val="none" w:sz="0" w:space="0" w:color="auto"/>
                            <w:right w:val="none" w:sz="0" w:space="0" w:color="auto"/>
                          </w:divBdr>
                        </w:div>
                      </w:divsChild>
                    </w:div>
                    <w:div w:id="609704057">
                      <w:marLeft w:val="0"/>
                      <w:marRight w:val="0"/>
                      <w:marTop w:val="0"/>
                      <w:marBottom w:val="0"/>
                      <w:divBdr>
                        <w:top w:val="none" w:sz="0" w:space="0" w:color="auto"/>
                        <w:left w:val="none" w:sz="0" w:space="0" w:color="auto"/>
                        <w:bottom w:val="none" w:sz="0" w:space="0" w:color="auto"/>
                        <w:right w:val="none" w:sz="0" w:space="0" w:color="auto"/>
                      </w:divBdr>
                      <w:divsChild>
                        <w:div w:id="657003368">
                          <w:marLeft w:val="0"/>
                          <w:marRight w:val="0"/>
                          <w:marTop w:val="0"/>
                          <w:marBottom w:val="0"/>
                          <w:divBdr>
                            <w:top w:val="none" w:sz="0" w:space="0" w:color="auto"/>
                            <w:left w:val="none" w:sz="0" w:space="0" w:color="auto"/>
                            <w:bottom w:val="none" w:sz="0" w:space="0" w:color="auto"/>
                            <w:right w:val="none" w:sz="0" w:space="0" w:color="auto"/>
                          </w:divBdr>
                          <w:divsChild>
                            <w:div w:id="1345591892">
                              <w:marLeft w:val="0"/>
                              <w:marRight w:val="0"/>
                              <w:marTop w:val="0"/>
                              <w:marBottom w:val="0"/>
                              <w:divBdr>
                                <w:top w:val="none" w:sz="0" w:space="0" w:color="auto"/>
                                <w:left w:val="none" w:sz="0" w:space="0" w:color="auto"/>
                                <w:bottom w:val="none" w:sz="0" w:space="0" w:color="auto"/>
                                <w:right w:val="none" w:sz="0" w:space="0" w:color="auto"/>
                              </w:divBdr>
                            </w:div>
                          </w:divsChild>
                        </w:div>
                        <w:div w:id="1083913037">
                          <w:marLeft w:val="0"/>
                          <w:marRight w:val="0"/>
                          <w:marTop w:val="0"/>
                          <w:marBottom w:val="0"/>
                          <w:divBdr>
                            <w:top w:val="none" w:sz="0" w:space="0" w:color="auto"/>
                            <w:left w:val="none" w:sz="0" w:space="0" w:color="auto"/>
                            <w:bottom w:val="none" w:sz="0" w:space="0" w:color="auto"/>
                            <w:right w:val="none" w:sz="0" w:space="0" w:color="auto"/>
                          </w:divBdr>
                          <w:divsChild>
                            <w:div w:id="123934545">
                              <w:marLeft w:val="0"/>
                              <w:marRight w:val="0"/>
                              <w:marTop w:val="0"/>
                              <w:marBottom w:val="0"/>
                              <w:divBdr>
                                <w:top w:val="none" w:sz="0" w:space="0" w:color="auto"/>
                                <w:left w:val="none" w:sz="0" w:space="0" w:color="auto"/>
                                <w:bottom w:val="none" w:sz="0" w:space="0" w:color="auto"/>
                                <w:right w:val="none" w:sz="0" w:space="0" w:color="auto"/>
                              </w:divBdr>
                              <w:divsChild>
                                <w:div w:id="240137493">
                                  <w:marLeft w:val="0"/>
                                  <w:marRight w:val="0"/>
                                  <w:marTop w:val="0"/>
                                  <w:marBottom w:val="0"/>
                                  <w:divBdr>
                                    <w:top w:val="none" w:sz="0" w:space="0" w:color="auto"/>
                                    <w:left w:val="none" w:sz="0" w:space="0" w:color="auto"/>
                                    <w:bottom w:val="none" w:sz="0" w:space="0" w:color="auto"/>
                                    <w:right w:val="none" w:sz="0" w:space="0" w:color="auto"/>
                                  </w:divBdr>
                                </w:div>
                                <w:div w:id="140737274">
                                  <w:marLeft w:val="0"/>
                                  <w:marRight w:val="0"/>
                                  <w:marTop w:val="0"/>
                                  <w:marBottom w:val="0"/>
                                  <w:divBdr>
                                    <w:top w:val="none" w:sz="0" w:space="0" w:color="auto"/>
                                    <w:left w:val="none" w:sz="0" w:space="0" w:color="auto"/>
                                    <w:bottom w:val="none" w:sz="0" w:space="0" w:color="auto"/>
                                    <w:right w:val="none" w:sz="0" w:space="0" w:color="auto"/>
                                  </w:divBdr>
                                </w:div>
                              </w:divsChild>
                            </w:div>
                            <w:div w:id="1824152083">
                              <w:marLeft w:val="0"/>
                              <w:marRight w:val="0"/>
                              <w:marTop w:val="0"/>
                              <w:marBottom w:val="0"/>
                              <w:divBdr>
                                <w:top w:val="none" w:sz="0" w:space="0" w:color="auto"/>
                                <w:left w:val="none" w:sz="0" w:space="0" w:color="auto"/>
                                <w:bottom w:val="none" w:sz="0" w:space="0" w:color="auto"/>
                                <w:right w:val="none" w:sz="0" w:space="0" w:color="auto"/>
                              </w:divBdr>
                              <w:divsChild>
                                <w:div w:id="27344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311771">
          <w:marLeft w:val="0"/>
          <w:marRight w:val="0"/>
          <w:marTop w:val="0"/>
          <w:marBottom w:val="0"/>
          <w:divBdr>
            <w:top w:val="none" w:sz="0" w:space="0" w:color="auto"/>
            <w:left w:val="none" w:sz="0" w:space="0" w:color="auto"/>
            <w:bottom w:val="none" w:sz="0" w:space="0" w:color="auto"/>
            <w:right w:val="none" w:sz="0" w:space="0" w:color="auto"/>
          </w:divBdr>
          <w:divsChild>
            <w:div w:id="1926185345">
              <w:marLeft w:val="0"/>
              <w:marRight w:val="0"/>
              <w:marTop w:val="0"/>
              <w:marBottom w:val="0"/>
              <w:divBdr>
                <w:top w:val="none" w:sz="0" w:space="0" w:color="auto"/>
                <w:left w:val="none" w:sz="0" w:space="0" w:color="auto"/>
                <w:bottom w:val="none" w:sz="0" w:space="0" w:color="auto"/>
                <w:right w:val="none" w:sz="0" w:space="0" w:color="auto"/>
              </w:divBdr>
              <w:divsChild>
                <w:div w:id="1312179579">
                  <w:marLeft w:val="0"/>
                  <w:marRight w:val="0"/>
                  <w:marTop w:val="0"/>
                  <w:marBottom w:val="0"/>
                  <w:divBdr>
                    <w:top w:val="none" w:sz="0" w:space="0" w:color="auto"/>
                    <w:left w:val="none" w:sz="0" w:space="0" w:color="auto"/>
                    <w:bottom w:val="none" w:sz="0" w:space="0" w:color="auto"/>
                    <w:right w:val="none" w:sz="0" w:space="0" w:color="auto"/>
                  </w:divBdr>
                </w:div>
                <w:div w:id="526522698">
                  <w:marLeft w:val="0"/>
                  <w:marRight w:val="0"/>
                  <w:marTop w:val="0"/>
                  <w:marBottom w:val="0"/>
                  <w:divBdr>
                    <w:top w:val="none" w:sz="0" w:space="0" w:color="auto"/>
                    <w:left w:val="none" w:sz="0" w:space="0" w:color="auto"/>
                    <w:bottom w:val="none" w:sz="0" w:space="0" w:color="auto"/>
                    <w:right w:val="none" w:sz="0" w:space="0" w:color="auto"/>
                  </w:divBdr>
                  <w:divsChild>
                    <w:div w:id="643580563">
                      <w:marLeft w:val="0"/>
                      <w:marRight w:val="0"/>
                      <w:marTop w:val="0"/>
                      <w:marBottom w:val="0"/>
                      <w:divBdr>
                        <w:top w:val="none" w:sz="0" w:space="0" w:color="auto"/>
                        <w:left w:val="none" w:sz="0" w:space="0" w:color="auto"/>
                        <w:bottom w:val="none" w:sz="0" w:space="0" w:color="auto"/>
                        <w:right w:val="none" w:sz="0" w:space="0" w:color="auto"/>
                      </w:divBdr>
                    </w:div>
                  </w:divsChild>
                </w:div>
                <w:div w:id="426385790">
                  <w:marLeft w:val="0"/>
                  <w:marRight w:val="0"/>
                  <w:marTop w:val="0"/>
                  <w:marBottom w:val="0"/>
                  <w:divBdr>
                    <w:top w:val="none" w:sz="0" w:space="0" w:color="auto"/>
                    <w:left w:val="none" w:sz="0" w:space="0" w:color="auto"/>
                    <w:bottom w:val="none" w:sz="0" w:space="0" w:color="auto"/>
                    <w:right w:val="none" w:sz="0" w:space="0" w:color="auto"/>
                  </w:divBdr>
                  <w:divsChild>
                    <w:div w:id="1249804021">
                      <w:marLeft w:val="0"/>
                      <w:marRight w:val="0"/>
                      <w:marTop w:val="0"/>
                      <w:marBottom w:val="0"/>
                      <w:divBdr>
                        <w:top w:val="none" w:sz="0" w:space="0" w:color="auto"/>
                        <w:left w:val="none" w:sz="0" w:space="0" w:color="auto"/>
                        <w:bottom w:val="none" w:sz="0" w:space="0" w:color="auto"/>
                        <w:right w:val="none" w:sz="0" w:space="0" w:color="auto"/>
                      </w:divBdr>
                    </w:div>
                  </w:divsChild>
                </w:div>
                <w:div w:id="906305544">
                  <w:marLeft w:val="0"/>
                  <w:marRight w:val="0"/>
                  <w:marTop w:val="0"/>
                  <w:marBottom w:val="0"/>
                  <w:divBdr>
                    <w:top w:val="none" w:sz="0" w:space="0" w:color="auto"/>
                    <w:left w:val="none" w:sz="0" w:space="0" w:color="auto"/>
                    <w:bottom w:val="none" w:sz="0" w:space="0" w:color="auto"/>
                    <w:right w:val="none" w:sz="0" w:space="0" w:color="auto"/>
                  </w:divBdr>
                  <w:divsChild>
                    <w:div w:id="1546260085">
                      <w:marLeft w:val="0"/>
                      <w:marRight w:val="0"/>
                      <w:marTop w:val="0"/>
                      <w:marBottom w:val="0"/>
                      <w:divBdr>
                        <w:top w:val="none" w:sz="0" w:space="0" w:color="auto"/>
                        <w:left w:val="none" w:sz="0" w:space="0" w:color="auto"/>
                        <w:bottom w:val="none" w:sz="0" w:space="0" w:color="auto"/>
                        <w:right w:val="none" w:sz="0" w:space="0" w:color="auto"/>
                      </w:divBdr>
                      <w:divsChild>
                        <w:div w:id="1374696531">
                          <w:marLeft w:val="0"/>
                          <w:marRight w:val="0"/>
                          <w:marTop w:val="0"/>
                          <w:marBottom w:val="0"/>
                          <w:divBdr>
                            <w:top w:val="none" w:sz="0" w:space="0" w:color="auto"/>
                            <w:left w:val="none" w:sz="0" w:space="0" w:color="auto"/>
                            <w:bottom w:val="none" w:sz="0" w:space="0" w:color="auto"/>
                            <w:right w:val="none" w:sz="0" w:space="0" w:color="auto"/>
                          </w:divBdr>
                          <w:divsChild>
                            <w:div w:id="967316397">
                              <w:marLeft w:val="0"/>
                              <w:marRight w:val="0"/>
                              <w:marTop w:val="0"/>
                              <w:marBottom w:val="0"/>
                              <w:divBdr>
                                <w:top w:val="none" w:sz="0" w:space="0" w:color="auto"/>
                                <w:left w:val="none" w:sz="0" w:space="0" w:color="auto"/>
                                <w:bottom w:val="none" w:sz="0" w:space="0" w:color="auto"/>
                                <w:right w:val="none" w:sz="0" w:space="0" w:color="auto"/>
                              </w:divBdr>
                              <w:divsChild>
                                <w:div w:id="2068456282">
                                  <w:marLeft w:val="0"/>
                                  <w:marRight w:val="0"/>
                                  <w:marTop w:val="0"/>
                                  <w:marBottom w:val="0"/>
                                  <w:divBdr>
                                    <w:top w:val="none" w:sz="0" w:space="0" w:color="auto"/>
                                    <w:left w:val="none" w:sz="0" w:space="0" w:color="auto"/>
                                    <w:bottom w:val="none" w:sz="0" w:space="0" w:color="auto"/>
                                    <w:right w:val="none" w:sz="0" w:space="0" w:color="auto"/>
                                  </w:divBdr>
                                  <w:divsChild>
                                    <w:div w:id="1967856995">
                                      <w:marLeft w:val="0"/>
                                      <w:marRight w:val="0"/>
                                      <w:marTop w:val="0"/>
                                      <w:marBottom w:val="0"/>
                                      <w:divBdr>
                                        <w:top w:val="none" w:sz="0" w:space="0" w:color="auto"/>
                                        <w:left w:val="none" w:sz="0" w:space="0" w:color="auto"/>
                                        <w:bottom w:val="none" w:sz="0" w:space="0" w:color="auto"/>
                                        <w:right w:val="none" w:sz="0" w:space="0" w:color="auto"/>
                                      </w:divBdr>
                                      <w:divsChild>
                                        <w:div w:id="159011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1953103">
          <w:marLeft w:val="0"/>
          <w:marRight w:val="0"/>
          <w:marTop w:val="0"/>
          <w:marBottom w:val="0"/>
          <w:divBdr>
            <w:top w:val="none" w:sz="0" w:space="0" w:color="auto"/>
            <w:left w:val="none" w:sz="0" w:space="0" w:color="auto"/>
            <w:bottom w:val="none" w:sz="0" w:space="0" w:color="auto"/>
            <w:right w:val="none" w:sz="0" w:space="0" w:color="auto"/>
          </w:divBdr>
          <w:divsChild>
            <w:div w:id="333806064">
              <w:marLeft w:val="0"/>
              <w:marRight w:val="0"/>
              <w:marTop w:val="0"/>
              <w:marBottom w:val="0"/>
              <w:divBdr>
                <w:top w:val="none" w:sz="0" w:space="0" w:color="auto"/>
                <w:left w:val="none" w:sz="0" w:space="0" w:color="auto"/>
                <w:bottom w:val="none" w:sz="0" w:space="0" w:color="auto"/>
                <w:right w:val="none" w:sz="0" w:space="0" w:color="auto"/>
              </w:divBdr>
              <w:divsChild>
                <w:div w:id="168915549">
                  <w:marLeft w:val="0"/>
                  <w:marRight w:val="0"/>
                  <w:marTop w:val="0"/>
                  <w:marBottom w:val="0"/>
                  <w:divBdr>
                    <w:top w:val="none" w:sz="0" w:space="0" w:color="auto"/>
                    <w:left w:val="none" w:sz="0" w:space="0" w:color="auto"/>
                    <w:bottom w:val="none" w:sz="0" w:space="0" w:color="auto"/>
                    <w:right w:val="none" w:sz="0" w:space="0" w:color="auto"/>
                  </w:divBdr>
                  <w:divsChild>
                    <w:div w:id="465394001">
                      <w:marLeft w:val="0"/>
                      <w:marRight w:val="0"/>
                      <w:marTop w:val="0"/>
                      <w:marBottom w:val="0"/>
                      <w:divBdr>
                        <w:top w:val="none" w:sz="0" w:space="0" w:color="auto"/>
                        <w:left w:val="none" w:sz="0" w:space="0" w:color="auto"/>
                        <w:bottom w:val="none" w:sz="0" w:space="0" w:color="auto"/>
                        <w:right w:val="none" w:sz="0" w:space="0" w:color="auto"/>
                      </w:divBdr>
                      <w:divsChild>
                        <w:div w:id="485049026">
                          <w:marLeft w:val="0"/>
                          <w:marRight w:val="0"/>
                          <w:marTop w:val="0"/>
                          <w:marBottom w:val="0"/>
                          <w:divBdr>
                            <w:top w:val="none" w:sz="0" w:space="0" w:color="auto"/>
                            <w:left w:val="none" w:sz="0" w:space="0" w:color="auto"/>
                            <w:bottom w:val="none" w:sz="0" w:space="0" w:color="auto"/>
                            <w:right w:val="none" w:sz="0" w:space="0" w:color="auto"/>
                          </w:divBdr>
                          <w:divsChild>
                            <w:div w:id="170798674">
                              <w:marLeft w:val="0"/>
                              <w:marRight w:val="0"/>
                              <w:marTop w:val="0"/>
                              <w:marBottom w:val="0"/>
                              <w:divBdr>
                                <w:top w:val="none" w:sz="0" w:space="0" w:color="auto"/>
                                <w:left w:val="none" w:sz="0" w:space="0" w:color="auto"/>
                                <w:bottom w:val="none" w:sz="0" w:space="0" w:color="auto"/>
                                <w:right w:val="none" w:sz="0" w:space="0" w:color="auto"/>
                              </w:divBdr>
                              <w:divsChild>
                                <w:div w:id="735125043">
                                  <w:marLeft w:val="0"/>
                                  <w:marRight w:val="0"/>
                                  <w:marTop w:val="0"/>
                                  <w:marBottom w:val="0"/>
                                  <w:divBdr>
                                    <w:top w:val="none" w:sz="0" w:space="0" w:color="auto"/>
                                    <w:left w:val="none" w:sz="0" w:space="0" w:color="auto"/>
                                    <w:bottom w:val="none" w:sz="0" w:space="0" w:color="auto"/>
                                    <w:right w:val="none" w:sz="0" w:space="0" w:color="auto"/>
                                  </w:divBdr>
                                  <w:divsChild>
                                    <w:div w:id="1723748475">
                                      <w:marLeft w:val="0"/>
                                      <w:marRight w:val="0"/>
                                      <w:marTop w:val="0"/>
                                      <w:marBottom w:val="0"/>
                                      <w:divBdr>
                                        <w:top w:val="none" w:sz="0" w:space="0" w:color="auto"/>
                                        <w:left w:val="none" w:sz="0" w:space="0" w:color="auto"/>
                                        <w:bottom w:val="none" w:sz="0" w:space="0" w:color="auto"/>
                                        <w:right w:val="none" w:sz="0" w:space="0" w:color="auto"/>
                                      </w:divBdr>
                                      <w:divsChild>
                                        <w:div w:id="68213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717229">
          <w:marLeft w:val="0"/>
          <w:marRight w:val="0"/>
          <w:marTop w:val="0"/>
          <w:marBottom w:val="0"/>
          <w:divBdr>
            <w:top w:val="none" w:sz="0" w:space="0" w:color="auto"/>
            <w:left w:val="none" w:sz="0" w:space="0" w:color="auto"/>
            <w:bottom w:val="none" w:sz="0" w:space="0" w:color="auto"/>
            <w:right w:val="none" w:sz="0" w:space="0" w:color="auto"/>
          </w:divBdr>
          <w:divsChild>
            <w:div w:id="306513204">
              <w:marLeft w:val="0"/>
              <w:marRight w:val="0"/>
              <w:marTop w:val="0"/>
              <w:marBottom w:val="0"/>
              <w:divBdr>
                <w:top w:val="none" w:sz="0" w:space="0" w:color="auto"/>
                <w:left w:val="none" w:sz="0" w:space="0" w:color="auto"/>
                <w:bottom w:val="none" w:sz="0" w:space="0" w:color="auto"/>
                <w:right w:val="none" w:sz="0" w:space="0" w:color="auto"/>
              </w:divBdr>
              <w:divsChild>
                <w:div w:id="2027055302">
                  <w:marLeft w:val="0"/>
                  <w:marRight w:val="0"/>
                  <w:marTop w:val="0"/>
                  <w:marBottom w:val="0"/>
                  <w:divBdr>
                    <w:top w:val="none" w:sz="0" w:space="0" w:color="auto"/>
                    <w:left w:val="none" w:sz="0" w:space="0" w:color="auto"/>
                    <w:bottom w:val="none" w:sz="0" w:space="0" w:color="auto"/>
                    <w:right w:val="none" w:sz="0" w:space="0" w:color="auto"/>
                  </w:divBdr>
                  <w:divsChild>
                    <w:div w:id="852261689">
                      <w:marLeft w:val="0"/>
                      <w:marRight w:val="0"/>
                      <w:marTop w:val="0"/>
                      <w:marBottom w:val="0"/>
                      <w:divBdr>
                        <w:top w:val="none" w:sz="0" w:space="0" w:color="auto"/>
                        <w:left w:val="none" w:sz="0" w:space="0" w:color="auto"/>
                        <w:bottom w:val="none" w:sz="0" w:space="0" w:color="auto"/>
                        <w:right w:val="none" w:sz="0" w:space="0" w:color="auto"/>
                      </w:divBdr>
                      <w:divsChild>
                        <w:div w:id="27502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64198">
      <w:bodyDiv w:val="1"/>
      <w:marLeft w:val="0"/>
      <w:marRight w:val="0"/>
      <w:marTop w:val="0"/>
      <w:marBottom w:val="0"/>
      <w:divBdr>
        <w:top w:val="none" w:sz="0" w:space="0" w:color="auto"/>
        <w:left w:val="none" w:sz="0" w:space="0" w:color="auto"/>
        <w:bottom w:val="none" w:sz="0" w:space="0" w:color="auto"/>
        <w:right w:val="none" w:sz="0" w:space="0" w:color="auto"/>
      </w:divBdr>
      <w:divsChild>
        <w:div w:id="2070229004">
          <w:marLeft w:val="0"/>
          <w:marRight w:val="0"/>
          <w:marTop w:val="0"/>
          <w:marBottom w:val="0"/>
          <w:divBdr>
            <w:top w:val="none" w:sz="0" w:space="0" w:color="auto"/>
            <w:left w:val="none" w:sz="0" w:space="0" w:color="auto"/>
            <w:bottom w:val="none" w:sz="0" w:space="0" w:color="auto"/>
            <w:right w:val="none" w:sz="0" w:space="0" w:color="auto"/>
          </w:divBdr>
          <w:divsChild>
            <w:div w:id="20983337">
              <w:marLeft w:val="0"/>
              <w:marRight w:val="0"/>
              <w:marTop w:val="0"/>
              <w:marBottom w:val="0"/>
              <w:divBdr>
                <w:top w:val="none" w:sz="0" w:space="0" w:color="auto"/>
                <w:left w:val="none" w:sz="0" w:space="0" w:color="auto"/>
                <w:bottom w:val="none" w:sz="0" w:space="0" w:color="auto"/>
                <w:right w:val="none" w:sz="0" w:space="0" w:color="auto"/>
              </w:divBdr>
              <w:divsChild>
                <w:div w:id="13225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940871">
          <w:marLeft w:val="0"/>
          <w:marRight w:val="0"/>
          <w:marTop w:val="0"/>
          <w:marBottom w:val="0"/>
          <w:divBdr>
            <w:top w:val="none" w:sz="0" w:space="0" w:color="auto"/>
            <w:left w:val="none" w:sz="0" w:space="0" w:color="auto"/>
            <w:bottom w:val="none" w:sz="0" w:space="0" w:color="auto"/>
            <w:right w:val="none" w:sz="0" w:space="0" w:color="auto"/>
          </w:divBdr>
          <w:divsChild>
            <w:div w:id="1177764752">
              <w:marLeft w:val="0"/>
              <w:marRight w:val="0"/>
              <w:marTop w:val="0"/>
              <w:marBottom w:val="0"/>
              <w:divBdr>
                <w:top w:val="none" w:sz="0" w:space="0" w:color="auto"/>
                <w:left w:val="none" w:sz="0" w:space="0" w:color="auto"/>
                <w:bottom w:val="none" w:sz="0" w:space="0" w:color="auto"/>
                <w:right w:val="none" w:sz="0" w:space="0" w:color="auto"/>
              </w:divBdr>
              <w:divsChild>
                <w:div w:id="1621719305">
                  <w:marLeft w:val="0"/>
                  <w:marRight w:val="0"/>
                  <w:marTop w:val="0"/>
                  <w:marBottom w:val="0"/>
                  <w:divBdr>
                    <w:top w:val="none" w:sz="0" w:space="0" w:color="auto"/>
                    <w:left w:val="none" w:sz="0" w:space="0" w:color="auto"/>
                    <w:bottom w:val="none" w:sz="0" w:space="0" w:color="auto"/>
                    <w:right w:val="none" w:sz="0" w:space="0" w:color="auto"/>
                  </w:divBdr>
                </w:div>
                <w:div w:id="179255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36433">
      <w:bodyDiv w:val="1"/>
      <w:marLeft w:val="0"/>
      <w:marRight w:val="0"/>
      <w:marTop w:val="0"/>
      <w:marBottom w:val="0"/>
      <w:divBdr>
        <w:top w:val="none" w:sz="0" w:space="0" w:color="auto"/>
        <w:left w:val="none" w:sz="0" w:space="0" w:color="auto"/>
        <w:bottom w:val="none" w:sz="0" w:space="0" w:color="auto"/>
        <w:right w:val="none" w:sz="0" w:space="0" w:color="auto"/>
      </w:divBdr>
      <w:divsChild>
        <w:div w:id="1363819644">
          <w:marLeft w:val="0"/>
          <w:marRight w:val="0"/>
          <w:marTop w:val="0"/>
          <w:marBottom w:val="0"/>
          <w:divBdr>
            <w:top w:val="none" w:sz="0" w:space="0" w:color="auto"/>
            <w:left w:val="none" w:sz="0" w:space="0" w:color="auto"/>
            <w:bottom w:val="none" w:sz="0" w:space="0" w:color="auto"/>
            <w:right w:val="none" w:sz="0" w:space="0" w:color="auto"/>
          </w:divBdr>
          <w:divsChild>
            <w:div w:id="837889286">
              <w:marLeft w:val="0"/>
              <w:marRight w:val="0"/>
              <w:marTop w:val="0"/>
              <w:marBottom w:val="0"/>
              <w:divBdr>
                <w:top w:val="none" w:sz="0" w:space="0" w:color="auto"/>
                <w:left w:val="none" w:sz="0" w:space="0" w:color="auto"/>
                <w:bottom w:val="none" w:sz="0" w:space="0" w:color="auto"/>
                <w:right w:val="none" w:sz="0" w:space="0" w:color="auto"/>
              </w:divBdr>
              <w:divsChild>
                <w:div w:id="85658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9786">
      <w:bodyDiv w:val="1"/>
      <w:marLeft w:val="0"/>
      <w:marRight w:val="0"/>
      <w:marTop w:val="0"/>
      <w:marBottom w:val="0"/>
      <w:divBdr>
        <w:top w:val="none" w:sz="0" w:space="0" w:color="auto"/>
        <w:left w:val="none" w:sz="0" w:space="0" w:color="auto"/>
        <w:bottom w:val="none" w:sz="0" w:space="0" w:color="auto"/>
        <w:right w:val="none" w:sz="0" w:space="0" w:color="auto"/>
      </w:divBdr>
    </w:div>
    <w:div w:id="81924179">
      <w:bodyDiv w:val="1"/>
      <w:marLeft w:val="0"/>
      <w:marRight w:val="0"/>
      <w:marTop w:val="0"/>
      <w:marBottom w:val="0"/>
      <w:divBdr>
        <w:top w:val="none" w:sz="0" w:space="0" w:color="auto"/>
        <w:left w:val="none" w:sz="0" w:space="0" w:color="auto"/>
        <w:bottom w:val="none" w:sz="0" w:space="0" w:color="auto"/>
        <w:right w:val="none" w:sz="0" w:space="0" w:color="auto"/>
      </w:divBdr>
      <w:divsChild>
        <w:div w:id="989864013">
          <w:marLeft w:val="0"/>
          <w:marRight w:val="0"/>
          <w:marTop w:val="0"/>
          <w:marBottom w:val="166"/>
          <w:divBdr>
            <w:top w:val="none" w:sz="0" w:space="0" w:color="auto"/>
            <w:left w:val="none" w:sz="0" w:space="0" w:color="auto"/>
            <w:bottom w:val="none" w:sz="0" w:space="0" w:color="auto"/>
            <w:right w:val="none" w:sz="0" w:space="0" w:color="auto"/>
          </w:divBdr>
          <w:divsChild>
            <w:div w:id="1855610136">
              <w:marLeft w:val="0"/>
              <w:marRight w:val="0"/>
              <w:marTop w:val="166"/>
              <w:marBottom w:val="166"/>
              <w:divBdr>
                <w:top w:val="none" w:sz="0" w:space="0" w:color="auto"/>
                <w:left w:val="none" w:sz="0" w:space="0" w:color="auto"/>
                <w:bottom w:val="none" w:sz="0" w:space="0" w:color="auto"/>
                <w:right w:val="none" w:sz="0" w:space="0" w:color="auto"/>
              </w:divBdr>
              <w:divsChild>
                <w:div w:id="299380382">
                  <w:marLeft w:val="0"/>
                  <w:marRight w:val="0"/>
                  <w:marTop w:val="0"/>
                  <w:marBottom w:val="0"/>
                  <w:divBdr>
                    <w:top w:val="none" w:sz="0" w:space="0" w:color="auto"/>
                    <w:left w:val="none" w:sz="0" w:space="0" w:color="auto"/>
                    <w:bottom w:val="none" w:sz="0" w:space="0" w:color="auto"/>
                    <w:right w:val="none" w:sz="0" w:space="0" w:color="auto"/>
                  </w:divBdr>
                </w:div>
              </w:divsChild>
            </w:div>
            <w:div w:id="645626894">
              <w:marLeft w:val="0"/>
              <w:marRight w:val="0"/>
              <w:marTop w:val="166"/>
              <w:marBottom w:val="166"/>
              <w:divBdr>
                <w:top w:val="none" w:sz="0" w:space="0" w:color="auto"/>
                <w:left w:val="none" w:sz="0" w:space="0" w:color="auto"/>
                <w:bottom w:val="none" w:sz="0" w:space="0" w:color="auto"/>
                <w:right w:val="none" w:sz="0" w:space="0" w:color="auto"/>
              </w:divBdr>
              <w:divsChild>
                <w:div w:id="397552794">
                  <w:marLeft w:val="0"/>
                  <w:marRight w:val="0"/>
                  <w:marTop w:val="0"/>
                  <w:marBottom w:val="0"/>
                  <w:divBdr>
                    <w:top w:val="none" w:sz="0" w:space="0" w:color="auto"/>
                    <w:left w:val="none" w:sz="0" w:space="0" w:color="auto"/>
                    <w:bottom w:val="none" w:sz="0" w:space="0" w:color="auto"/>
                    <w:right w:val="none" w:sz="0" w:space="0" w:color="auto"/>
                  </w:divBdr>
                </w:div>
              </w:divsChild>
            </w:div>
            <w:div w:id="1662388169">
              <w:marLeft w:val="0"/>
              <w:marRight w:val="0"/>
              <w:marTop w:val="332"/>
              <w:marBottom w:val="332"/>
              <w:divBdr>
                <w:top w:val="single" w:sz="6" w:space="5" w:color="EAC3AF"/>
                <w:left w:val="single" w:sz="6" w:space="8" w:color="EAC3AF"/>
                <w:bottom w:val="single" w:sz="6" w:space="5" w:color="EAC3AF"/>
                <w:right w:val="single" w:sz="6" w:space="8" w:color="EAC3AF"/>
              </w:divBdr>
              <w:divsChild>
                <w:div w:id="1032728398">
                  <w:marLeft w:val="0"/>
                  <w:marRight w:val="0"/>
                  <w:marTop w:val="0"/>
                  <w:marBottom w:val="0"/>
                  <w:divBdr>
                    <w:top w:val="none" w:sz="0" w:space="0" w:color="auto"/>
                    <w:left w:val="none" w:sz="0" w:space="0" w:color="auto"/>
                    <w:bottom w:val="none" w:sz="0" w:space="0" w:color="auto"/>
                    <w:right w:val="none" w:sz="0" w:space="0" w:color="auto"/>
                  </w:divBdr>
                  <w:divsChild>
                    <w:div w:id="106275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53944">
          <w:marLeft w:val="0"/>
          <w:marRight w:val="0"/>
          <w:marTop w:val="0"/>
          <w:marBottom w:val="0"/>
          <w:divBdr>
            <w:top w:val="none" w:sz="0" w:space="0" w:color="auto"/>
            <w:left w:val="none" w:sz="0" w:space="0" w:color="auto"/>
            <w:bottom w:val="none" w:sz="0" w:space="0" w:color="auto"/>
            <w:right w:val="none" w:sz="0" w:space="0" w:color="auto"/>
          </w:divBdr>
          <w:divsChild>
            <w:div w:id="741486713">
              <w:marLeft w:val="0"/>
              <w:marRight w:val="0"/>
              <w:marTop w:val="0"/>
              <w:marBottom w:val="0"/>
              <w:divBdr>
                <w:top w:val="none" w:sz="0" w:space="0" w:color="auto"/>
                <w:left w:val="none" w:sz="0" w:space="0" w:color="auto"/>
                <w:bottom w:val="none" w:sz="0" w:space="0" w:color="auto"/>
                <w:right w:val="none" w:sz="0" w:space="0" w:color="auto"/>
              </w:divBdr>
            </w:div>
            <w:div w:id="554127605">
              <w:marLeft w:val="0"/>
              <w:marRight w:val="0"/>
              <w:marTop w:val="0"/>
              <w:marBottom w:val="0"/>
              <w:divBdr>
                <w:top w:val="none" w:sz="0" w:space="0" w:color="auto"/>
                <w:left w:val="none" w:sz="0" w:space="0" w:color="auto"/>
                <w:bottom w:val="none" w:sz="0" w:space="0" w:color="auto"/>
                <w:right w:val="none" w:sz="0" w:space="0" w:color="auto"/>
              </w:divBdr>
            </w:div>
            <w:div w:id="1561094243">
              <w:marLeft w:val="0"/>
              <w:marRight w:val="0"/>
              <w:marTop w:val="0"/>
              <w:marBottom w:val="0"/>
              <w:divBdr>
                <w:top w:val="none" w:sz="0" w:space="0" w:color="auto"/>
                <w:left w:val="none" w:sz="0" w:space="0" w:color="auto"/>
                <w:bottom w:val="none" w:sz="0" w:space="0" w:color="auto"/>
                <w:right w:val="none" w:sz="0" w:space="0" w:color="auto"/>
              </w:divBdr>
            </w:div>
            <w:div w:id="1082263225">
              <w:marLeft w:val="0"/>
              <w:marRight w:val="0"/>
              <w:marTop w:val="0"/>
              <w:marBottom w:val="0"/>
              <w:divBdr>
                <w:top w:val="none" w:sz="0" w:space="0" w:color="auto"/>
                <w:left w:val="none" w:sz="0" w:space="0" w:color="auto"/>
                <w:bottom w:val="none" w:sz="0" w:space="0" w:color="auto"/>
                <w:right w:val="none" w:sz="0" w:space="0" w:color="auto"/>
              </w:divBdr>
            </w:div>
          </w:divsChild>
        </w:div>
        <w:div w:id="147284625">
          <w:marLeft w:val="0"/>
          <w:marRight w:val="0"/>
          <w:marTop w:val="0"/>
          <w:marBottom w:val="0"/>
          <w:divBdr>
            <w:top w:val="none" w:sz="0" w:space="0" w:color="auto"/>
            <w:left w:val="none" w:sz="0" w:space="0" w:color="auto"/>
            <w:bottom w:val="none" w:sz="0" w:space="0" w:color="auto"/>
            <w:right w:val="none" w:sz="0" w:space="0" w:color="auto"/>
          </w:divBdr>
        </w:div>
      </w:divsChild>
    </w:div>
    <w:div w:id="90199618">
      <w:bodyDiv w:val="1"/>
      <w:marLeft w:val="0"/>
      <w:marRight w:val="0"/>
      <w:marTop w:val="0"/>
      <w:marBottom w:val="0"/>
      <w:divBdr>
        <w:top w:val="none" w:sz="0" w:space="0" w:color="auto"/>
        <w:left w:val="none" w:sz="0" w:space="0" w:color="auto"/>
        <w:bottom w:val="none" w:sz="0" w:space="0" w:color="auto"/>
        <w:right w:val="none" w:sz="0" w:space="0" w:color="auto"/>
      </w:divBdr>
    </w:div>
    <w:div w:id="95829537">
      <w:bodyDiv w:val="1"/>
      <w:marLeft w:val="0"/>
      <w:marRight w:val="0"/>
      <w:marTop w:val="0"/>
      <w:marBottom w:val="0"/>
      <w:divBdr>
        <w:top w:val="none" w:sz="0" w:space="0" w:color="auto"/>
        <w:left w:val="none" w:sz="0" w:space="0" w:color="auto"/>
        <w:bottom w:val="none" w:sz="0" w:space="0" w:color="auto"/>
        <w:right w:val="none" w:sz="0" w:space="0" w:color="auto"/>
      </w:divBdr>
      <w:divsChild>
        <w:div w:id="1010527149">
          <w:marLeft w:val="0"/>
          <w:marRight w:val="0"/>
          <w:marTop w:val="0"/>
          <w:marBottom w:val="0"/>
          <w:divBdr>
            <w:top w:val="none" w:sz="0" w:space="0" w:color="auto"/>
            <w:left w:val="none" w:sz="0" w:space="0" w:color="auto"/>
            <w:bottom w:val="none" w:sz="0" w:space="0" w:color="auto"/>
            <w:right w:val="none" w:sz="0" w:space="0" w:color="auto"/>
          </w:divBdr>
        </w:div>
      </w:divsChild>
    </w:div>
    <w:div w:id="111557609">
      <w:bodyDiv w:val="1"/>
      <w:marLeft w:val="0"/>
      <w:marRight w:val="0"/>
      <w:marTop w:val="0"/>
      <w:marBottom w:val="0"/>
      <w:divBdr>
        <w:top w:val="none" w:sz="0" w:space="0" w:color="auto"/>
        <w:left w:val="none" w:sz="0" w:space="0" w:color="auto"/>
        <w:bottom w:val="none" w:sz="0" w:space="0" w:color="auto"/>
        <w:right w:val="none" w:sz="0" w:space="0" w:color="auto"/>
      </w:divBdr>
      <w:divsChild>
        <w:div w:id="211776660">
          <w:marLeft w:val="0"/>
          <w:marRight w:val="0"/>
          <w:marTop w:val="0"/>
          <w:marBottom w:val="0"/>
          <w:divBdr>
            <w:top w:val="none" w:sz="0" w:space="0" w:color="auto"/>
            <w:left w:val="none" w:sz="0" w:space="0" w:color="auto"/>
            <w:bottom w:val="none" w:sz="0" w:space="0" w:color="auto"/>
            <w:right w:val="none" w:sz="0" w:space="0" w:color="auto"/>
          </w:divBdr>
        </w:div>
      </w:divsChild>
    </w:div>
    <w:div w:id="111754156">
      <w:bodyDiv w:val="1"/>
      <w:marLeft w:val="0"/>
      <w:marRight w:val="0"/>
      <w:marTop w:val="0"/>
      <w:marBottom w:val="0"/>
      <w:divBdr>
        <w:top w:val="none" w:sz="0" w:space="0" w:color="auto"/>
        <w:left w:val="none" w:sz="0" w:space="0" w:color="auto"/>
        <w:bottom w:val="none" w:sz="0" w:space="0" w:color="auto"/>
        <w:right w:val="none" w:sz="0" w:space="0" w:color="auto"/>
      </w:divBdr>
    </w:div>
    <w:div w:id="115756539">
      <w:bodyDiv w:val="1"/>
      <w:marLeft w:val="0"/>
      <w:marRight w:val="0"/>
      <w:marTop w:val="0"/>
      <w:marBottom w:val="0"/>
      <w:divBdr>
        <w:top w:val="none" w:sz="0" w:space="0" w:color="auto"/>
        <w:left w:val="none" w:sz="0" w:space="0" w:color="auto"/>
        <w:bottom w:val="none" w:sz="0" w:space="0" w:color="auto"/>
        <w:right w:val="none" w:sz="0" w:space="0" w:color="auto"/>
      </w:divBdr>
      <w:divsChild>
        <w:div w:id="1305039998">
          <w:marLeft w:val="0"/>
          <w:marRight w:val="0"/>
          <w:marTop w:val="166"/>
          <w:marBottom w:val="166"/>
          <w:divBdr>
            <w:top w:val="none" w:sz="0" w:space="0" w:color="auto"/>
            <w:left w:val="none" w:sz="0" w:space="0" w:color="auto"/>
            <w:bottom w:val="none" w:sz="0" w:space="0" w:color="auto"/>
            <w:right w:val="none" w:sz="0" w:space="0" w:color="auto"/>
          </w:divBdr>
          <w:divsChild>
            <w:div w:id="3984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38648">
      <w:bodyDiv w:val="1"/>
      <w:marLeft w:val="0"/>
      <w:marRight w:val="0"/>
      <w:marTop w:val="0"/>
      <w:marBottom w:val="0"/>
      <w:divBdr>
        <w:top w:val="none" w:sz="0" w:space="0" w:color="auto"/>
        <w:left w:val="none" w:sz="0" w:space="0" w:color="auto"/>
        <w:bottom w:val="none" w:sz="0" w:space="0" w:color="auto"/>
        <w:right w:val="none" w:sz="0" w:space="0" w:color="auto"/>
      </w:divBdr>
      <w:divsChild>
        <w:div w:id="905528262">
          <w:marLeft w:val="0"/>
          <w:marRight w:val="0"/>
          <w:marTop w:val="0"/>
          <w:marBottom w:val="0"/>
          <w:divBdr>
            <w:top w:val="none" w:sz="0" w:space="0" w:color="auto"/>
            <w:left w:val="none" w:sz="0" w:space="0" w:color="auto"/>
            <w:bottom w:val="none" w:sz="0" w:space="0" w:color="auto"/>
            <w:right w:val="none" w:sz="0" w:space="0" w:color="auto"/>
          </w:divBdr>
        </w:div>
        <w:div w:id="646594238">
          <w:marLeft w:val="0"/>
          <w:marRight w:val="0"/>
          <w:marTop w:val="0"/>
          <w:marBottom w:val="0"/>
          <w:divBdr>
            <w:top w:val="none" w:sz="0" w:space="0" w:color="auto"/>
            <w:left w:val="none" w:sz="0" w:space="0" w:color="auto"/>
            <w:bottom w:val="none" w:sz="0" w:space="0" w:color="auto"/>
            <w:right w:val="none" w:sz="0" w:space="0" w:color="auto"/>
          </w:divBdr>
          <w:divsChild>
            <w:div w:id="1793279946">
              <w:marLeft w:val="0"/>
              <w:marRight w:val="0"/>
              <w:marTop w:val="0"/>
              <w:marBottom w:val="0"/>
              <w:divBdr>
                <w:top w:val="none" w:sz="0" w:space="0" w:color="auto"/>
                <w:left w:val="none" w:sz="0" w:space="0" w:color="auto"/>
                <w:bottom w:val="none" w:sz="0" w:space="0" w:color="auto"/>
                <w:right w:val="none" w:sz="0" w:space="0" w:color="auto"/>
              </w:divBdr>
              <w:divsChild>
                <w:div w:id="548760711">
                  <w:marLeft w:val="0"/>
                  <w:marRight w:val="0"/>
                  <w:marTop w:val="0"/>
                  <w:marBottom w:val="0"/>
                  <w:divBdr>
                    <w:top w:val="none" w:sz="0" w:space="0" w:color="auto"/>
                    <w:left w:val="none" w:sz="0" w:space="0" w:color="auto"/>
                    <w:bottom w:val="none" w:sz="0" w:space="0" w:color="auto"/>
                    <w:right w:val="none" w:sz="0" w:space="0" w:color="auto"/>
                  </w:divBdr>
                </w:div>
                <w:div w:id="751246346">
                  <w:marLeft w:val="0"/>
                  <w:marRight w:val="0"/>
                  <w:marTop w:val="0"/>
                  <w:marBottom w:val="0"/>
                  <w:divBdr>
                    <w:top w:val="none" w:sz="0" w:space="0" w:color="auto"/>
                    <w:left w:val="none" w:sz="0" w:space="0" w:color="auto"/>
                    <w:bottom w:val="none" w:sz="0" w:space="0" w:color="auto"/>
                    <w:right w:val="none" w:sz="0" w:space="0" w:color="auto"/>
                  </w:divBdr>
                </w:div>
                <w:div w:id="820971264">
                  <w:marLeft w:val="0"/>
                  <w:marRight w:val="0"/>
                  <w:marTop w:val="0"/>
                  <w:marBottom w:val="0"/>
                  <w:divBdr>
                    <w:top w:val="none" w:sz="0" w:space="0" w:color="auto"/>
                    <w:left w:val="none" w:sz="0" w:space="0" w:color="auto"/>
                    <w:bottom w:val="none" w:sz="0" w:space="0" w:color="auto"/>
                    <w:right w:val="none" w:sz="0" w:space="0" w:color="auto"/>
                  </w:divBdr>
                </w:div>
                <w:div w:id="637153426">
                  <w:marLeft w:val="0"/>
                  <w:marRight w:val="0"/>
                  <w:marTop w:val="0"/>
                  <w:marBottom w:val="0"/>
                  <w:divBdr>
                    <w:top w:val="none" w:sz="0" w:space="0" w:color="auto"/>
                    <w:left w:val="none" w:sz="0" w:space="0" w:color="auto"/>
                    <w:bottom w:val="none" w:sz="0" w:space="0" w:color="auto"/>
                    <w:right w:val="none" w:sz="0" w:space="0" w:color="auto"/>
                  </w:divBdr>
                  <w:divsChild>
                    <w:div w:id="8469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55261">
      <w:bodyDiv w:val="1"/>
      <w:marLeft w:val="0"/>
      <w:marRight w:val="0"/>
      <w:marTop w:val="0"/>
      <w:marBottom w:val="0"/>
      <w:divBdr>
        <w:top w:val="none" w:sz="0" w:space="0" w:color="auto"/>
        <w:left w:val="none" w:sz="0" w:space="0" w:color="auto"/>
        <w:bottom w:val="none" w:sz="0" w:space="0" w:color="auto"/>
        <w:right w:val="none" w:sz="0" w:space="0" w:color="auto"/>
      </w:divBdr>
      <w:divsChild>
        <w:div w:id="577055447">
          <w:marLeft w:val="0"/>
          <w:marRight w:val="0"/>
          <w:marTop w:val="240"/>
          <w:marBottom w:val="100"/>
          <w:divBdr>
            <w:top w:val="none" w:sz="0" w:space="0" w:color="auto"/>
            <w:left w:val="none" w:sz="0" w:space="0" w:color="auto"/>
            <w:bottom w:val="none" w:sz="0" w:space="0" w:color="auto"/>
            <w:right w:val="none" w:sz="0" w:space="0" w:color="auto"/>
          </w:divBdr>
          <w:divsChild>
            <w:div w:id="1208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7963">
      <w:bodyDiv w:val="1"/>
      <w:marLeft w:val="0"/>
      <w:marRight w:val="0"/>
      <w:marTop w:val="0"/>
      <w:marBottom w:val="0"/>
      <w:divBdr>
        <w:top w:val="none" w:sz="0" w:space="0" w:color="auto"/>
        <w:left w:val="none" w:sz="0" w:space="0" w:color="auto"/>
        <w:bottom w:val="none" w:sz="0" w:space="0" w:color="auto"/>
        <w:right w:val="none" w:sz="0" w:space="0" w:color="auto"/>
      </w:divBdr>
      <w:divsChild>
        <w:div w:id="1632512623">
          <w:marLeft w:val="0"/>
          <w:marRight w:val="0"/>
          <w:marTop w:val="0"/>
          <w:marBottom w:val="0"/>
          <w:divBdr>
            <w:top w:val="none" w:sz="0" w:space="0" w:color="auto"/>
            <w:left w:val="none" w:sz="0" w:space="0" w:color="auto"/>
            <w:bottom w:val="none" w:sz="0" w:space="0" w:color="auto"/>
            <w:right w:val="none" w:sz="0" w:space="0" w:color="auto"/>
          </w:divBdr>
        </w:div>
      </w:divsChild>
    </w:div>
    <w:div w:id="142938290">
      <w:bodyDiv w:val="1"/>
      <w:marLeft w:val="0"/>
      <w:marRight w:val="0"/>
      <w:marTop w:val="0"/>
      <w:marBottom w:val="0"/>
      <w:divBdr>
        <w:top w:val="none" w:sz="0" w:space="0" w:color="auto"/>
        <w:left w:val="none" w:sz="0" w:space="0" w:color="auto"/>
        <w:bottom w:val="none" w:sz="0" w:space="0" w:color="auto"/>
        <w:right w:val="none" w:sz="0" w:space="0" w:color="auto"/>
      </w:divBdr>
      <w:divsChild>
        <w:div w:id="372850662">
          <w:marLeft w:val="0"/>
          <w:marRight w:val="0"/>
          <w:marTop w:val="0"/>
          <w:marBottom w:val="0"/>
          <w:divBdr>
            <w:top w:val="none" w:sz="0" w:space="0" w:color="auto"/>
            <w:left w:val="none" w:sz="0" w:space="0" w:color="auto"/>
            <w:bottom w:val="none" w:sz="0" w:space="0" w:color="auto"/>
            <w:right w:val="none" w:sz="0" w:space="0" w:color="auto"/>
          </w:divBdr>
        </w:div>
      </w:divsChild>
    </w:div>
    <w:div w:id="154302508">
      <w:bodyDiv w:val="1"/>
      <w:marLeft w:val="0"/>
      <w:marRight w:val="0"/>
      <w:marTop w:val="0"/>
      <w:marBottom w:val="0"/>
      <w:divBdr>
        <w:top w:val="none" w:sz="0" w:space="0" w:color="auto"/>
        <w:left w:val="none" w:sz="0" w:space="0" w:color="auto"/>
        <w:bottom w:val="none" w:sz="0" w:space="0" w:color="auto"/>
        <w:right w:val="none" w:sz="0" w:space="0" w:color="auto"/>
      </w:divBdr>
      <w:divsChild>
        <w:div w:id="1022123633">
          <w:marLeft w:val="0"/>
          <w:marRight w:val="0"/>
          <w:marTop w:val="0"/>
          <w:marBottom w:val="0"/>
          <w:divBdr>
            <w:top w:val="none" w:sz="0" w:space="0" w:color="auto"/>
            <w:left w:val="none" w:sz="0" w:space="0" w:color="auto"/>
            <w:bottom w:val="none" w:sz="0" w:space="0" w:color="auto"/>
            <w:right w:val="none" w:sz="0" w:space="0" w:color="auto"/>
          </w:divBdr>
        </w:div>
        <w:div w:id="871915117">
          <w:marLeft w:val="0"/>
          <w:marRight w:val="0"/>
          <w:marTop w:val="0"/>
          <w:marBottom w:val="0"/>
          <w:divBdr>
            <w:top w:val="none" w:sz="0" w:space="0" w:color="auto"/>
            <w:left w:val="none" w:sz="0" w:space="0" w:color="auto"/>
            <w:bottom w:val="none" w:sz="0" w:space="0" w:color="auto"/>
            <w:right w:val="none" w:sz="0" w:space="0" w:color="auto"/>
          </w:divBdr>
        </w:div>
        <w:div w:id="737097195">
          <w:marLeft w:val="0"/>
          <w:marRight w:val="0"/>
          <w:marTop w:val="0"/>
          <w:marBottom w:val="0"/>
          <w:divBdr>
            <w:top w:val="none" w:sz="0" w:space="0" w:color="auto"/>
            <w:left w:val="none" w:sz="0" w:space="0" w:color="auto"/>
            <w:bottom w:val="none" w:sz="0" w:space="0" w:color="auto"/>
            <w:right w:val="none" w:sz="0" w:space="0" w:color="auto"/>
          </w:divBdr>
        </w:div>
        <w:div w:id="460390931">
          <w:marLeft w:val="0"/>
          <w:marRight w:val="0"/>
          <w:marTop w:val="0"/>
          <w:marBottom w:val="0"/>
          <w:divBdr>
            <w:top w:val="none" w:sz="0" w:space="0" w:color="auto"/>
            <w:left w:val="none" w:sz="0" w:space="0" w:color="auto"/>
            <w:bottom w:val="none" w:sz="0" w:space="0" w:color="auto"/>
            <w:right w:val="none" w:sz="0" w:space="0" w:color="auto"/>
          </w:divBdr>
          <w:divsChild>
            <w:div w:id="31156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7080">
      <w:bodyDiv w:val="1"/>
      <w:marLeft w:val="0"/>
      <w:marRight w:val="0"/>
      <w:marTop w:val="0"/>
      <w:marBottom w:val="0"/>
      <w:divBdr>
        <w:top w:val="none" w:sz="0" w:space="0" w:color="auto"/>
        <w:left w:val="none" w:sz="0" w:space="0" w:color="auto"/>
        <w:bottom w:val="none" w:sz="0" w:space="0" w:color="auto"/>
        <w:right w:val="none" w:sz="0" w:space="0" w:color="auto"/>
      </w:divBdr>
      <w:divsChild>
        <w:div w:id="565576461">
          <w:marLeft w:val="0"/>
          <w:marRight w:val="0"/>
          <w:marTop w:val="0"/>
          <w:marBottom w:val="0"/>
          <w:divBdr>
            <w:top w:val="none" w:sz="0" w:space="0" w:color="auto"/>
            <w:left w:val="none" w:sz="0" w:space="0" w:color="auto"/>
            <w:bottom w:val="none" w:sz="0" w:space="0" w:color="auto"/>
            <w:right w:val="none" w:sz="0" w:space="0" w:color="auto"/>
          </w:divBdr>
        </w:div>
      </w:divsChild>
    </w:div>
    <w:div w:id="158473560">
      <w:bodyDiv w:val="1"/>
      <w:marLeft w:val="0"/>
      <w:marRight w:val="0"/>
      <w:marTop w:val="0"/>
      <w:marBottom w:val="0"/>
      <w:divBdr>
        <w:top w:val="none" w:sz="0" w:space="0" w:color="auto"/>
        <w:left w:val="none" w:sz="0" w:space="0" w:color="auto"/>
        <w:bottom w:val="none" w:sz="0" w:space="0" w:color="auto"/>
        <w:right w:val="none" w:sz="0" w:space="0" w:color="auto"/>
      </w:divBdr>
      <w:divsChild>
        <w:div w:id="1940138780">
          <w:marLeft w:val="0"/>
          <w:marRight w:val="0"/>
          <w:marTop w:val="0"/>
          <w:marBottom w:val="0"/>
          <w:divBdr>
            <w:top w:val="none" w:sz="0" w:space="0" w:color="auto"/>
            <w:left w:val="none" w:sz="0" w:space="0" w:color="auto"/>
            <w:bottom w:val="none" w:sz="0" w:space="0" w:color="auto"/>
            <w:right w:val="none" w:sz="0" w:space="0" w:color="auto"/>
          </w:divBdr>
        </w:div>
        <w:div w:id="1594702622">
          <w:marLeft w:val="0"/>
          <w:marRight w:val="0"/>
          <w:marTop w:val="0"/>
          <w:marBottom w:val="0"/>
          <w:divBdr>
            <w:top w:val="none" w:sz="0" w:space="0" w:color="auto"/>
            <w:left w:val="none" w:sz="0" w:space="0" w:color="auto"/>
            <w:bottom w:val="none" w:sz="0" w:space="0" w:color="auto"/>
            <w:right w:val="none" w:sz="0" w:space="0" w:color="auto"/>
          </w:divBdr>
        </w:div>
        <w:div w:id="7490535">
          <w:marLeft w:val="0"/>
          <w:marRight w:val="0"/>
          <w:marTop w:val="0"/>
          <w:marBottom w:val="0"/>
          <w:divBdr>
            <w:top w:val="none" w:sz="0" w:space="0" w:color="auto"/>
            <w:left w:val="none" w:sz="0" w:space="0" w:color="auto"/>
            <w:bottom w:val="none" w:sz="0" w:space="0" w:color="auto"/>
            <w:right w:val="none" w:sz="0" w:space="0" w:color="auto"/>
          </w:divBdr>
          <w:divsChild>
            <w:div w:id="2145660948">
              <w:marLeft w:val="0"/>
              <w:marRight w:val="0"/>
              <w:marTop w:val="0"/>
              <w:marBottom w:val="0"/>
              <w:divBdr>
                <w:top w:val="none" w:sz="0" w:space="0" w:color="auto"/>
                <w:left w:val="none" w:sz="0" w:space="0" w:color="auto"/>
                <w:bottom w:val="none" w:sz="0" w:space="0" w:color="auto"/>
                <w:right w:val="none" w:sz="0" w:space="0" w:color="auto"/>
              </w:divBdr>
            </w:div>
          </w:divsChild>
        </w:div>
        <w:div w:id="166793791">
          <w:marLeft w:val="0"/>
          <w:marRight w:val="0"/>
          <w:marTop w:val="0"/>
          <w:marBottom w:val="0"/>
          <w:divBdr>
            <w:top w:val="none" w:sz="0" w:space="0" w:color="auto"/>
            <w:left w:val="none" w:sz="0" w:space="0" w:color="auto"/>
            <w:bottom w:val="none" w:sz="0" w:space="0" w:color="auto"/>
            <w:right w:val="none" w:sz="0" w:space="0" w:color="auto"/>
          </w:divBdr>
        </w:div>
      </w:divsChild>
    </w:div>
    <w:div w:id="160701930">
      <w:bodyDiv w:val="1"/>
      <w:marLeft w:val="0"/>
      <w:marRight w:val="0"/>
      <w:marTop w:val="0"/>
      <w:marBottom w:val="0"/>
      <w:divBdr>
        <w:top w:val="none" w:sz="0" w:space="0" w:color="auto"/>
        <w:left w:val="none" w:sz="0" w:space="0" w:color="auto"/>
        <w:bottom w:val="none" w:sz="0" w:space="0" w:color="auto"/>
        <w:right w:val="none" w:sz="0" w:space="0" w:color="auto"/>
      </w:divBdr>
    </w:div>
    <w:div w:id="160853144">
      <w:bodyDiv w:val="1"/>
      <w:marLeft w:val="0"/>
      <w:marRight w:val="0"/>
      <w:marTop w:val="0"/>
      <w:marBottom w:val="0"/>
      <w:divBdr>
        <w:top w:val="none" w:sz="0" w:space="0" w:color="auto"/>
        <w:left w:val="none" w:sz="0" w:space="0" w:color="auto"/>
        <w:bottom w:val="none" w:sz="0" w:space="0" w:color="auto"/>
        <w:right w:val="none" w:sz="0" w:space="0" w:color="auto"/>
      </w:divBdr>
      <w:divsChild>
        <w:div w:id="1763798698">
          <w:marLeft w:val="0"/>
          <w:marRight w:val="0"/>
          <w:marTop w:val="0"/>
          <w:marBottom w:val="0"/>
          <w:divBdr>
            <w:top w:val="none" w:sz="0" w:space="0" w:color="auto"/>
            <w:left w:val="none" w:sz="0" w:space="0" w:color="auto"/>
            <w:bottom w:val="none" w:sz="0" w:space="0" w:color="auto"/>
            <w:right w:val="none" w:sz="0" w:space="0" w:color="auto"/>
          </w:divBdr>
        </w:div>
      </w:divsChild>
    </w:div>
    <w:div w:id="162091307">
      <w:bodyDiv w:val="1"/>
      <w:marLeft w:val="0"/>
      <w:marRight w:val="0"/>
      <w:marTop w:val="0"/>
      <w:marBottom w:val="0"/>
      <w:divBdr>
        <w:top w:val="none" w:sz="0" w:space="0" w:color="auto"/>
        <w:left w:val="none" w:sz="0" w:space="0" w:color="auto"/>
        <w:bottom w:val="none" w:sz="0" w:space="0" w:color="auto"/>
        <w:right w:val="none" w:sz="0" w:space="0" w:color="auto"/>
      </w:divBdr>
      <w:divsChild>
        <w:div w:id="1016544080">
          <w:marLeft w:val="0"/>
          <w:marRight w:val="0"/>
          <w:marTop w:val="0"/>
          <w:marBottom w:val="0"/>
          <w:divBdr>
            <w:top w:val="none" w:sz="0" w:space="0" w:color="auto"/>
            <w:left w:val="none" w:sz="0" w:space="0" w:color="auto"/>
            <w:bottom w:val="none" w:sz="0" w:space="0" w:color="auto"/>
            <w:right w:val="none" w:sz="0" w:space="0" w:color="auto"/>
          </w:divBdr>
        </w:div>
      </w:divsChild>
    </w:div>
    <w:div w:id="172692321">
      <w:bodyDiv w:val="1"/>
      <w:marLeft w:val="0"/>
      <w:marRight w:val="0"/>
      <w:marTop w:val="0"/>
      <w:marBottom w:val="0"/>
      <w:divBdr>
        <w:top w:val="none" w:sz="0" w:space="0" w:color="auto"/>
        <w:left w:val="none" w:sz="0" w:space="0" w:color="auto"/>
        <w:bottom w:val="none" w:sz="0" w:space="0" w:color="auto"/>
        <w:right w:val="none" w:sz="0" w:space="0" w:color="auto"/>
      </w:divBdr>
      <w:divsChild>
        <w:div w:id="104275397">
          <w:marLeft w:val="0"/>
          <w:marRight w:val="0"/>
          <w:marTop w:val="0"/>
          <w:marBottom w:val="0"/>
          <w:divBdr>
            <w:top w:val="none" w:sz="0" w:space="0" w:color="auto"/>
            <w:left w:val="none" w:sz="0" w:space="0" w:color="auto"/>
            <w:bottom w:val="none" w:sz="0" w:space="0" w:color="auto"/>
            <w:right w:val="none" w:sz="0" w:space="0" w:color="auto"/>
          </w:divBdr>
          <w:divsChild>
            <w:div w:id="645931931">
              <w:marLeft w:val="0"/>
              <w:marRight w:val="0"/>
              <w:marTop w:val="0"/>
              <w:marBottom w:val="0"/>
              <w:divBdr>
                <w:top w:val="none" w:sz="0" w:space="0" w:color="auto"/>
                <w:left w:val="none" w:sz="0" w:space="0" w:color="auto"/>
                <w:bottom w:val="none" w:sz="0" w:space="0" w:color="auto"/>
                <w:right w:val="none" w:sz="0" w:space="0" w:color="auto"/>
              </w:divBdr>
              <w:divsChild>
                <w:div w:id="187487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68931">
          <w:marLeft w:val="0"/>
          <w:marRight w:val="0"/>
          <w:marTop w:val="0"/>
          <w:marBottom w:val="0"/>
          <w:divBdr>
            <w:top w:val="none" w:sz="0" w:space="0" w:color="auto"/>
            <w:left w:val="none" w:sz="0" w:space="0" w:color="auto"/>
            <w:bottom w:val="none" w:sz="0" w:space="0" w:color="auto"/>
            <w:right w:val="none" w:sz="0" w:space="0" w:color="auto"/>
          </w:divBdr>
          <w:divsChild>
            <w:div w:id="805968799">
              <w:marLeft w:val="0"/>
              <w:marRight w:val="0"/>
              <w:marTop w:val="0"/>
              <w:marBottom w:val="0"/>
              <w:divBdr>
                <w:top w:val="none" w:sz="0" w:space="0" w:color="auto"/>
                <w:left w:val="none" w:sz="0" w:space="0" w:color="auto"/>
                <w:bottom w:val="none" w:sz="0" w:space="0" w:color="auto"/>
                <w:right w:val="none" w:sz="0" w:space="0" w:color="auto"/>
              </w:divBdr>
              <w:divsChild>
                <w:div w:id="589121486">
                  <w:marLeft w:val="0"/>
                  <w:marRight w:val="0"/>
                  <w:marTop w:val="0"/>
                  <w:marBottom w:val="0"/>
                  <w:divBdr>
                    <w:top w:val="none" w:sz="0" w:space="0" w:color="auto"/>
                    <w:left w:val="none" w:sz="0" w:space="0" w:color="auto"/>
                    <w:bottom w:val="none" w:sz="0" w:space="0" w:color="auto"/>
                    <w:right w:val="none" w:sz="0" w:space="0" w:color="auto"/>
                  </w:divBdr>
                </w:div>
                <w:div w:id="120752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28808">
      <w:bodyDiv w:val="1"/>
      <w:marLeft w:val="0"/>
      <w:marRight w:val="0"/>
      <w:marTop w:val="0"/>
      <w:marBottom w:val="0"/>
      <w:divBdr>
        <w:top w:val="none" w:sz="0" w:space="0" w:color="auto"/>
        <w:left w:val="none" w:sz="0" w:space="0" w:color="auto"/>
        <w:bottom w:val="none" w:sz="0" w:space="0" w:color="auto"/>
        <w:right w:val="none" w:sz="0" w:space="0" w:color="auto"/>
      </w:divBdr>
    </w:div>
    <w:div w:id="188110458">
      <w:bodyDiv w:val="1"/>
      <w:marLeft w:val="0"/>
      <w:marRight w:val="0"/>
      <w:marTop w:val="0"/>
      <w:marBottom w:val="0"/>
      <w:divBdr>
        <w:top w:val="none" w:sz="0" w:space="0" w:color="auto"/>
        <w:left w:val="none" w:sz="0" w:space="0" w:color="auto"/>
        <w:bottom w:val="none" w:sz="0" w:space="0" w:color="auto"/>
        <w:right w:val="none" w:sz="0" w:space="0" w:color="auto"/>
      </w:divBdr>
      <w:divsChild>
        <w:div w:id="1949458679">
          <w:marLeft w:val="0"/>
          <w:marRight w:val="0"/>
          <w:marTop w:val="0"/>
          <w:marBottom w:val="0"/>
          <w:divBdr>
            <w:top w:val="none" w:sz="0" w:space="0" w:color="auto"/>
            <w:left w:val="none" w:sz="0" w:space="0" w:color="auto"/>
            <w:bottom w:val="none" w:sz="0" w:space="0" w:color="auto"/>
            <w:right w:val="none" w:sz="0" w:space="0" w:color="auto"/>
          </w:divBdr>
        </w:div>
      </w:divsChild>
    </w:div>
    <w:div w:id="188688803">
      <w:bodyDiv w:val="1"/>
      <w:marLeft w:val="0"/>
      <w:marRight w:val="0"/>
      <w:marTop w:val="0"/>
      <w:marBottom w:val="0"/>
      <w:divBdr>
        <w:top w:val="none" w:sz="0" w:space="0" w:color="auto"/>
        <w:left w:val="none" w:sz="0" w:space="0" w:color="auto"/>
        <w:bottom w:val="none" w:sz="0" w:space="0" w:color="auto"/>
        <w:right w:val="none" w:sz="0" w:space="0" w:color="auto"/>
      </w:divBdr>
    </w:div>
    <w:div w:id="195389794">
      <w:bodyDiv w:val="1"/>
      <w:marLeft w:val="0"/>
      <w:marRight w:val="0"/>
      <w:marTop w:val="0"/>
      <w:marBottom w:val="0"/>
      <w:divBdr>
        <w:top w:val="none" w:sz="0" w:space="0" w:color="auto"/>
        <w:left w:val="none" w:sz="0" w:space="0" w:color="auto"/>
        <w:bottom w:val="none" w:sz="0" w:space="0" w:color="auto"/>
        <w:right w:val="none" w:sz="0" w:space="0" w:color="auto"/>
      </w:divBdr>
      <w:divsChild>
        <w:div w:id="1290630151">
          <w:marLeft w:val="0"/>
          <w:marRight w:val="0"/>
          <w:marTop w:val="0"/>
          <w:marBottom w:val="0"/>
          <w:divBdr>
            <w:top w:val="none" w:sz="0" w:space="0" w:color="auto"/>
            <w:left w:val="none" w:sz="0" w:space="0" w:color="auto"/>
            <w:bottom w:val="none" w:sz="0" w:space="0" w:color="auto"/>
            <w:right w:val="none" w:sz="0" w:space="0" w:color="auto"/>
          </w:divBdr>
          <w:divsChild>
            <w:div w:id="1699695290">
              <w:marLeft w:val="0"/>
              <w:marRight w:val="0"/>
              <w:marTop w:val="0"/>
              <w:marBottom w:val="0"/>
              <w:divBdr>
                <w:top w:val="none" w:sz="0" w:space="0" w:color="auto"/>
                <w:left w:val="none" w:sz="0" w:space="0" w:color="auto"/>
                <w:bottom w:val="none" w:sz="0" w:space="0" w:color="auto"/>
                <w:right w:val="none" w:sz="0" w:space="0" w:color="auto"/>
              </w:divBdr>
              <w:divsChild>
                <w:div w:id="671299480">
                  <w:marLeft w:val="0"/>
                  <w:marRight w:val="0"/>
                  <w:marTop w:val="0"/>
                  <w:marBottom w:val="0"/>
                  <w:divBdr>
                    <w:top w:val="none" w:sz="0" w:space="0" w:color="auto"/>
                    <w:left w:val="none" w:sz="0" w:space="0" w:color="auto"/>
                    <w:bottom w:val="none" w:sz="0" w:space="0" w:color="auto"/>
                    <w:right w:val="none" w:sz="0" w:space="0" w:color="auto"/>
                  </w:divBdr>
                  <w:divsChild>
                    <w:div w:id="158367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732697">
          <w:marLeft w:val="0"/>
          <w:marRight w:val="0"/>
          <w:marTop w:val="0"/>
          <w:marBottom w:val="0"/>
          <w:divBdr>
            <w:top w:val="none" w:sz="0" w:space="0" w:color="auto"/>
            <w:left w:val="none" w:sz="0" w:space="0" w:color="auto"/>
            <w:bottom w:val="none" w:sz="0" w:space="0" w:color="auto"/>
            <w:right w:val="none" w:sz="0" w:space="0" w:color="auto"/>
          </w:divBdr>
        </w:div>
      </w:divsChild>
    </w:div>
    <w:div w:id="196740034">
      <w:bodyDiv w:val="1"/>
      <w:marLeft w:val="0"/>
      <w:marRight w:val="0"/>
      <w:marTop w:val="0"/>
      <w:marBottom w:val="0"/>
      <w:divBdr>
        <w:top w:val="none" w:sz="0" w:space="0" w:color="auto"/>
        <w:left w:val="none" w:sz="0" w:space="0" w:color="auto"/>
        <w:bottom w:val="none" w:sz="0" w:space="0" w:color="auto"/>
        <w:right w:val="none" w:sz="0" w:space="0" w:color="auto"/>
      </w:divBdr>
      <w:divsChild>
        <w:div w:id="921649160">
          <w:marLeft w:val="0"/>
          <w:marRight w:val="0"/>
          <w:marTop w:val="0"/>
          <w:marBottom w:val="0"/>
          <w:divBdr>
            <w:top w:val="none" w:sz="0" w:space="0" w:color="auto"/>
            <w:left w:val="none" w:sz="0" w:space="0" w:color="auto"/>
            <w:bottom w:val="none" w:sz="0" w:space="0" w:color="auto"/>
            <w:right w:val="none" w:sz="0" w:space="0" w:color="auto"/>
          </w:divBdr>
        </w:div>
      </w:divsChild>
    </w:div>
    <w:div w:id="208300652">
      <w:bodyDiv w:val="1"/>
      <w:marLeft w:val="0"/>
      <w:marRight w:val="0"/>
      <w:marTop w:val="0"/>
      <w:marBottom w:val="0"/>
      <w:divBdr>
        <w:top w:val="none" w:sz="0" w:space="0" w:color="auto"/>
        <w:left w:val="none" w:sz="0" w:space="0" w:color="auto"/>
        <w:bottom w:val="none" w:sz="0" w:space="0" w:color="auto"/>
        <w:right w:val="none" w:sz="0" w:space="0" w:color="auto"/>
      </w:divBdr>
      <w:divsChild>
        <w:div w:id="1365405981">
          <w:marLeft w:val="0"/>
          <w:marRight w:val="0"/>
          <w:marTop w:val="0"/>
          <w:marBottom w:val="0"/>
          <w:divBdr>
            <w:top w:val="none" w:sz="0" w:space="0" w:color="auto"/>
            <w:left w:val="none" w:sz="0" w:space="0" w:color="auto"/>
            <w:bottom w:val="none" w:sz="0" w:space="0" w:color="auto"/>
            <w:right w:val="none" w:sz="0" w:space="0" w:color="auto"/>
          </w:divBdr>
        </w:div>
      </w:divsChild>
    </w:div>
    <w:div w:id="220211116">
      <w:bodyDiv w:val="1"/>
      <w:marLeft w:val="0"/>
      <w:marRight w:val="0"/>
      <w:marTop w:val="0"/>
      <w:marBottom w:val="0"/>
      <w:divBdr>
        <w:top w:val="none" w:sz="0" w:space="0" w:color="auto"/>
        <w:left w:val="none" w:sz="0" w:space="0" w:color="auto"/>
        <w:bottom w:val="none" w:sz="0" w:space="0" w:color="auto"/>
        <w:right w:val="none" w:sz="0" w:space="0" w:color="auto"/>
      </w:divBdr>
      <w:divsChild>
        <w:div w:id="528106883">
          <w:marLeft w:val="0"/>
          <w:marRight w:val="0"/>
          <w:marTop w:val="0"/>
          <w:marBottom w:val="0"/>
          <w:divBdr>
            <w:top w:val="none" w:sz="0" w:space="0" w:color="auto"/>
            <w:left w:val="none" w:sz="0" w:space="0" w:color="auto"/>
            <w:bottom w:val="none" w:sz="0" w:space="0" w:color="auto"/>
            <w:right w:val="none" w:sz="0" w:space="0" w:color="auto"/>
          </w:divBdr>
        </w:div>
        <w:div w:id="1481265218">
          <w:marLeft w:val="0"/>
          <w:marRight w:val="0"/>
          <w:marTop w:val="0"/>
          <w:marBottom w:val="0"/>
          <w:divBdr>
            <w:top w:val="none" w:sz="0" w:space="0" w:color="auto"/>
            <w:left w:val="none" w:sz="0" w:space="0" w:color="auto"/>
            <w:bottom w:val="none" w:sz="0" w:space="0" w:color="auto"/>
            <w:right w:val="none" w:sz="0" w:space="0" w:color="auto"/>
          </w:divBdr>
        </w:div>
      </w:divsChild>
    </w:div>
    <w:div w:id="220990672">
      <w:bodyDiv w:val="1"/>
      <w:marLeft w:val="0"/>
      <w:marRight w:val="0"/>
      <w:marTop w:val="0"/>
      <w:marBottom w:val="0"/>
      <w:divBdr>
        <w:top w:val="none" w:sz="0" w:space="0" w:color="auto"/>
        <w:left w:val="none" w:sz="0" w:space="0" w:color="auto"/>
        <w:bottom w:val="none" w:sz="0" w:space="0" w:color="auto"/>
        <w:right w:val="none" w:sz="0" w:space="0" w:color="auto"/>
      </w:divBdr>
      <w:divsChild>
        <w:div w:id="567347504">
          <w:marLeft w:val="0"/>
          <w:marRight w:val="0"/>
          <w:marTop w:val="0"/>
          <w:marBottom w:val="0"/>
          <w:divBdr>
            <w:top w:val="none" w:sz="0" w:space="0" w:color="auto"/>
            <w:left w:val="none" w:sz="0" w:space="0" w:color="auto"/>
            <w:bottom w:val="none" w:sz="0" w:space="0" w:color="auto"/>
            <w:right w:val="none" w:sz="0" w:space="0" w:color="auto"/>
          </w:divBdr>
        </w:div>
      </w:divsChild>
    </w:div>
    <w:div w:id="222757066">
      <w:bodyDiv w:val="1"/>
      <w:marLeft w:val="0"/>
      <w:marRight w:val="0"/>
      <w:marTop w:val="0"/>
      <w:marBottom w:val="0"/>
      <w:divBdr>
        <w:top w:val="none" w:sz="0" w:space="0" w:color="auto"/>
        <w:left w:val="none" w:sz="0" w:space="0" w:color="auto"/>
        <w:bottom w:val="none" w:sz="0" w:space="0" w:color="auto"/>
        <w:right w:val="none" w:sz="0" w:space="0" w:color="auto"/>
      </w:divBdr>
      <w:divsChild>
        <w:div w:id="1618486775">
          <w:marLeft w:val="0"/>
          <w:marRight w:val="0"/>
          <w:marTop w:val="0"/>
          <w:marBottom w:val="0"/>
          <w:divBdr>
            <w:top w:val="none" w:sz="0" w:space="0" w:color="auto"/>
            <w:left w:val="none" w:sz="0" w:space="0" w:color="auto"/>
            <w:bottom w:val="none" w:sz="0" w:space="0" w:color="auto"/>
            <w:right w:val="none" w:sz="0" w:space="0" w:color="auto"/>
          </w:divBdr>
        </w:div>
      </w:divsChild>
    </w:div>
    <w:div w:id="232667660">
      <w:bodyDiv w:val="1"/>
      <w:marLeft w:val="0"/>
      <w:marRight w:val="0"/>
      <w:marTop w:val="0"/>
      <w:marBottom w:val="0"/>
      <w:divBdr>
        <w:top w:val="none" w:sz="0" w:space="0" w:color="auto"/>
        <w:left w:val="none" w:sz="0" w:space="0" w:color="auto"/>
        <w:bottom w:val="none" w:sz="0" w:space="0" w:color="auto"/>
        <w:right w:val="none" w:sz="0" w:space="0" w:color="auto"/>
      </w:divBdr>
      <w:divsChild>
        <w:div w:id="1830292067">
          <w:marLeft w:val="0"/>
          <w:marRight w:val="0"/>
          <w:marTop w:val="0"/>
          <w:marBottom w:val="0"/>
          <w:divBdr>
            <w:top w:val="none" w:sz="0" w:space="0" w:color="auto"/>
            <w:left w:val="none" w:sz="0" w:space="0" w:color="auto"/>
            <w:bottom w:val="none" w:sz="0" w:space="0" w:color="auto"/>
            <w:right w:val="none" w:sz="0" w:space="0" w:color="auto"/>
          </w:divBdr>
        </w:div>
      </w:divsChild>
    </w:div>
    <w:div w:id="240140060">
      <w:bodyDiv w:val="1"/>
      <w:marLeft w:val="0"/>
      <w:marRight w:val="0"/>
      <w:marTop w:val="0"/>
      <w:marBottom w:val="0"/>
      <w:divBdr>
        <w:top w:val="none" w:sz="0" w:space="0" w:color="auto"/>
        <w:left w:val="none" w:sz="0" w:space="0" w:color="auto"/>
        <w:bottom w:val="none" w:sz="0" w:space="0" w:color="auto"/>
        <w:right w:val="none" w:sz="0" w:space="0" w:color="auto"/>
      </w:divBdr>
    </w:div>
    <w:div w:id="249585488">
      <w:bodyDiv w:val="1"/>
      <w:marLeft w:val="0"/>
      <w:marRight w:val="0"/>
      <w:marTop w:val="0"/>
      <w:marBottom w:val="0"/>
      <w:divBdr>
        <w:top w:val="none" w:sz="0" w:space="0" w:color="auto"/>
        <w:left w:val="none" w:sz="0" w:space="0" w:color="auto"/>
        <w:bottom w:val="none" w:sz="0" w:space="0" w:color="auto"/>
        <w:right w:val="none" w:sz="0" w:space="0" w:color="auto"/>
      </w:divBdr>
      <w:divsChild>
        <w:div w:id="1944803461">
          <w:marLeft w:val="0"/>
          <w:marRight w:val="0"/>
          <w:marTop w:val="0"/>
          <w:marBottom w:val="0"/>
          <w:divBdr>
            <w:top w:val="none" w:sz="0" w:space="0" w:color="auto"/>
            <w:left w:val="none" w:sz="0" w:space="0" w:color="auto"/>
            <w:bottom w:val="none" w:sz="0" w:space="0" w:color="auto"/>
            <w:right w:val="none" w:sz="0" w:space="0" w:color="auto"/>
          </w:divBdr>
        </w:div>
      </w:divsChild>
    </w:div>
    <w:div w:id="251352651">
      <w:bodyDiv w:val="1"/>
      <w:marLeft w:val="0"/>
      <w:marRight w:val="0"/>
      <w:marTop w:val="0"/>
      <w:marBottom w:val="0"/>
      <w:divBdr>
        <w:top w:val="none" w:sz="0" w:space="0" w:color="auto"/>
        <w:left w:val="none" w:sz="0" w:space="0" w:color="auto"/>
        <w:bottom w:val="none" w:sz="0" w:space="0" w:color="auto"/>
        <w:right w:val="none" w:sz="0" w:space="0" w:color="auto"/>
      </w:divBdr>
      <w:divsChild>
        <w:div w:id="83890017">
          <w:marLeft w:val="0"/>
          <w:marRight w:val="0"/>
          <w:marTop w:val="0"/>
          <w:marBottom w:val="0"/>
          <w:divBdr>
            <w:top w:val="none" w:sz="0" w:space="0" w:color="auto"/>
            <w:left w:val="none" w:sz="0" w:space="0" w:color="auto"/>
            <w:bottom w:val="none" w:sz="0" w:space="0" w:color="auto"/>
            <w:right w:val="none" w:sz="0" w:space="0" w:color="auto"/>
          </w:divBdr>
        </w:div>
      </w:divsChild>
    </w:div>
    <w:div w:id="265237413">
      <w:bodyDiv w:val="1"/>
      <w:marLeft w:val="0"/>
      <w:marRight w:val="0"/>
      <w:marTop w:val="0"/>
      <w:marBottom w:val="0"/>
      <w:divBdr>
        <w:top w:val="none" w:sz="0" w:space="0" w:color="auto"/>
        <w:left w:val="none" w:sz="0" w:space="0" w:color="auto"/>
        <w:bottom w:val="none" w:sz="0" w:space="0" w:color="auto"/>
        <w:right w:val="none" w:sz="0" w:space="0" w:color="auto"/>
      </w:divBdr>
      <w:divsChild>
        <w:div w:id="1636252413">
          <w:marLeft w:val="0"/>
          <w:marRight w:val="0"/>
          <w:marTop w:val="0"/>
          <w:marBottom w:val="0"/>
          <w:divBdr>
            <w:top w:val="none" w:sz="0" w:space="0" w:color="auto"/>
            <w:left w:val="none" w:sz="0" w:space="0" w:color="auto"/>
            <w:bottom w:val="none" w:sz="0" w:space="0" w:color="auto"/>
            <w:right w:val="none" w:sz="0" w:space="0" w:color="auto"/>
          </w:divBdr>
        </w:div>
      </w:divsChild>
    </w:div>
    <w:div w:id="271785407">
      <w:bodyDiv w:val="1"/>
      <w:marLeft w:val="0"/>
      <w:marRight w:val="0"/>
      <w:marTop w:val="0"/>
      <w:marBottom w:val="0"/>
      <w:divBdr>
        <w:top w:val="none" w:sz="0" w:space="0" w:color="auto"/>
        <w:left w:val="none" w:sz="0" w:space="0" w:color="auto"/>
        <w:bottom w:val="none" w:sz="0" w:space="0" w:color="auto"/>
        <w:right w:val="none" w:sz="0" w:space="0" w:color="auto"/>
      </w:divBdr>
      <w:divsChild>
        <w:div w:id="1172262191">
          <w:marLeft w:val="0"/>
          <w:marRight w:val="0"/>
          <w:marTop w:val="0"/>
          <w:marBottom w:val="0"/>
          <w:divBdr>
            <w:top w:val="none" w:sz="0" w:space="0" w:color="auto"/>
            <w:left w:val="none" w:sz="0" w:space="0" w:color="auto"/>
            <w:bottom w:val="none" w:sz="0" w:space="0" w:color="auto"/>
            <w:right w:val="none" w:sz="0" w:space="0" w:color="auto"/>
          </w:divBdr>
        </w:div>
      </w:divsChild>
    </w:div>
    <w:div w:id="272906798">
      <w:bodyDiv w:val="1"/>
      <w:marLeft w:val="0"/>
      <w:marRight w:val="0"/>
      <w:marTop w:val="0"/>
      <w:marBottom w:val="0"/>
      <w:divBdr>
        <w:top w:val="none" w:sz="0" w:space="0" w:color="auto"/>
        <w:left w:val="none" w:sz="0" w:space="0" w:color="auto"/>
        <w:bottom w:val="none" w:sz="0" w:space="0" w:color="auto"/>
        <w:right w:val="none" w:sz="0" w:space="0" w:color="auto"/>
      </w:divBdr>
      <w:divsChild>
        <w:div w:id="1449857849">
          <w:marLeft w:val="0"/>
          <w:marRight w:val="0"/>
          <w:marTop w:val="0"/>
          <w:marBottom w:val="0"/>
          <w:divBdr>
            <w:top w:val="none" w:sz="0" w:space="0" w:color="auto"/>
            <w:left w:val="none" w:sz="0" w:space="0" w:color="auto"/>
            <w:bottom w:val="none" w:sz="0" w:space="0" w:color="auto"/>
            <w:right w:val="none" w:sz="0" w:space="0" w:color="auto"/>
          </w:divBdr>
        </w:div>
      </w:divsChild>
    </w:div>
    <w:div w:id="273948761">
      <w:bodyDiv w:val="1"/>
      <w:marLeft w:val="0"/>
      <w:marRight w:val="0"/>
      <w:marTop w:val="0"/>
      <w:marBottom w:val="0"/>
      <w:divBdr>
        <w:top w:val="none" w:sz="0" w:space="0" w:color="auto"/>
        <w:left w:val="none" w:sz="0" w:space="0" w:color="auto"/>
        <w:bottom w:val="none" w:sz="0" w:space="0" w:color="auto"/>
        <w:right w:val="none" w:sz="0" w:space="0" w:color="auto"/>
      </w:divBdr>
    </w:div>
    <w:div w:id="282008214">
      <w:bodyDiv w:val="1"/>
      <w:marLeft w:val="0"/>
      <w:marRight w:val="0"/>
      <w:marTop w:val="0"/>
      <w:marBottom w:val="0"/>
      <w:divBdr>
        <w:top w:val="none" w:sz="0" w:space="0" w:color="auto"/>
        <w:left w:val="none" w:sz="0" w:space="0" w:color="auto"/>
        <w:bottom w:val="none" w:sz="0" w:space="0" w:color="auto"/>
        <w:right w:val="none" w:sz="0" w:space="0" w:color="auto"/>
      </w:divBdr>
      <w:divsChild>
        <w:div w:id="2143035343">
          <w:marLeft w:val="0"/>
          <w:marRight w:val="0"/>
          <w:marTop w:val="0"/>
          <w:marBottom w:val="0"/>
          <w:divBdr>
            <w:top w:val="none" w:sz="0" w:space="0" w:color="auto"/>
            <w:left w:val="none" w:sz="0" w:space="0" w:color="auto"/>
            <w:bottom w:val="none" w:sz="0" w:space="0" w:color="auto"/>
            <w:right w:val="none" w:sz="0" w:space="0" w:color="auto"/>
          </w:divBdr>
        </w:div>
        <w:div w:id="1240554372">
          <w:marLeft w:val="0"/>
          <w:marRight w:val="0"/>
          <w:marTop w:val="0"/>
          <w:marBottom w:val="0"/>
          <w:divBdr>
            <w:top w:val="none" w:sz="0" w:space="0" w:color="auto"/>
            <w:left w:val="none" w:sz="0" w:space="0" w:color="auto"/>
            <w:bottom w:val="none" w:sz="0" w:space="0" w:color="auto"/>
            <w:right w:val="none" w:sz="0" w:space="0" w:color="auto"/>
          </w:divBdr>
        </w:div>
        <w:div w:id="923219342">
          <w:marLeft w:val="0"/>
          <w:marRight w:val="0"/>
          <w:marTop w:val="0"/>
          <w:marBottom w:val="0"/>
          <w:divBdr>
            <w:top w:val="none" w:sz="0" w:space="0" w:color="auto"/>
            <w:left w:val="none" w:sz="0" w:space="0" w:color="auto"/>
            <w:bottom w:val="none" w:sz="0" w:space="0" w:color="auto"/>
            <w:right w:val="none" w:sz="0" w:space="0" w:color="auto"/>
          </w:divBdr>
          <w:divsChild>
            <w:div w:id="8095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5635">
      <w:bodyDiv w:val="1"/>
      <w:marLeft w:val="0"/>
      <w:marRight w:val="0"/>
      <w:marTop w:val="0"/>
      <w:marBottom w:val="0"/>
      <w:divBdr>
        <w:top w:val="none" w:sz="0" w:space="0" w:color="auto"/>
        <w:left w:val="none" w:sz="0" w:space="0" w:color="auto"/>
        <w:bottom w:val="none" w:sz="0" w:space="0" w:color="auto"/>
        <w:right w:val="none" w:sz="0" w:space="0" w:color="auto"/>
      </w:divBdr>
      <w:divsChild>
        <w:div w:id="705250089">
          <w:marLeft w:val="0"/>
          <w:marRight w:val="0"/>
          <w:marTop w:val="0"/>
          <w:marBottom w:val="0"/>
          <w:divBdr>
            <w:top w:val="none" w:sz="0" w:space="0" w:color="auto"/>
            <w:left w:val="none" w:sz="0" w:space="0" w:color="auto"/>
            <w:bottom w:val="none" w:sz="0" w:space="0" w:color="auto"/>
            <w:right w:val="none" w:sz="0" w:space="0" w:color="auto"/>
          </w:divBdr>
        </w:div>
      </w:divsChild>
    </w:div>
    <w:div w:id="291061163">
      <w:bodyDiv w:val="1"/>
      <w:marLeft w:val="0"/>
      <w:marRight w:val="0"/>
      <w:marTop w:val="0"/>
      <w:marBottom w:val="0"/>
      <w:divBdr>
        <w:top w:val="none" w:sz="0" w:space="0" w:color="auto"/>
        <w:left w:val="none" w:sz="0" w:space="0" w:color="auto"/>
        <w:bottom w:val="none" w:sz="0" w:space="0" w:color="auto"/>
        <w:right w:val="none" w:sz="0" w:space="0" w:color="auto"/>
      </w:divBdr>
      <w:divsChild>
        <w:div w:id="608314768">
          <w:marLeft w:val="0"/>
          <w:marRight w:val="0"/>
          <w:marTop w:val="0"/>
          <w:marBottom w:val="0"/>
          <w:divBdr>
            <w:top w:val="none" w:sz="0" w:space="0" w:color="auto"/>
            <w:left w:val="none" w:sz="0" w:space="0" w:color="auto"/>
            <w:bottom w:val="none" w:sz="0" w:space="0" w:color="auto"/>
            <w:right w:val="none" w:sz="0" w:space="0" w:color="auto"/>
          </w:divBdr>
        </w:div>
      </w:divsChild>
    </w:div>
    <w:div w:id="305360071">
      <w:bodyDiv w:val="1"/>
      <w:marLeft w:val="0"/>
      <w:marRight w:val="0"/>
      <w:marTop w:val="0"/>
      <w:marBottom w:val="0"/>
      <w:divBdr>
        <w:top w:val="none" w:sz="0" w:space="0" w:color="auto"/>
        <w:left w:val="none" w:sz="0" w:space="0" w:color="auto"/>
        <w:bottom w:val="none" w:sz="0" w:space="0" w:color="auto"/>
        <w:right w:val="none" w:sz="0" w:space="0" w:color="auto"/>
      </w:divBdr>
      <w:divsChild>
        <w:div w:id="943684262">
          <w:marLeft w:val="0"/>
          <w:marRight w:val="0"/>
          <w:marTop w:val="0"/>
          <w:marBottom w:val="0"/>
          <w:divBdr>
            <w:top w:val="none" w:sz="0" w:space="0" w:color="auto"/>
            <w:left w:val="none" w:sz="0" w:space="0" w:color="auto"/>
            <w:bottom w:val="none" w:sz="0" w:space="0" w:color="auto"/>
            <w:right w:val="none" w:sz="0" w:space="0" w:color="auto"/>
          </w:divBdr>
        </w:div>
        <w:div w:id="1569070367">
          <w:marLeft w:val="0"/>
          <w:marRight w:val="0"/>
          <w:marTop w:val="0"/>
          <w:marBottom w:val="0"/>
          <w:divBdr>
            <w:top w:val="none" w:sz="0" w:space="0" w:color="auto"/>
            <w:left w:val="none" w:sz="0" w:space="0" w:color="auto"/>
            <w:bottom w:val="none" w:sz="0" w:space="0" w:color="auto"/>
            <w:right w:val="none" w:sz="0" w:space="0" w:color="auto"/>
          </w:divBdr>
        </w:div>
        <w:div w:id="1041132024">
          <w:marLeft w:val="0"/>
          <w:marRight w:val="0"/>
          <w:marTop w:val="0"/>
          <w:marBottom w:val="0"/>
          <w:divBdr>
            <w:top w:val="none" w:sz="0" w:space="0" w:color="auto"/>
            <w:left w:val="none" w:sz="0" w:space="0" w:color="auto"/>
            <w:bottom w:val="none" w:sz="0" w:space="0" w:color="auto"/>
            <w:right w:val="none" w:sz="0" w:space="0" w:color="auto"/>
          </w:divBdr>
        </w:div>
        <w:div w:id="702293105">
          <w:marLeft w:val="0"/>
          <w:marRight w:val="0"/>
          <w:marTop w:val="0"/>
          <w:marBottom w:val="0"/>
          <w:divBdr>
            <w:top w:val="none" w:sz="0" w:space="0" w:color="auto"/>
            <w:left w:val="none" w:sz="0" w:space="0" w:color="auto"/>
            <w:bottom w:val="none" w:sz="0" w:space="0" w:color="auto"/>
            <w:right w:val="none" w:sz="0" w:space="0" w:color="auto"/>
          </w:divBdr>
          <w:divsChild>
            <w:div w:id="171923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05572">
      <w:bodyDiv w:val="1"/>
      <w:marLeft w:val="0"/>
      <w:marRight w:val="0"/>
      <w:marTop w:val="0"/>
      <w:marBottom w:val="0"/>
      <w:divBdr>
        <w:top w:val="none" w:sz="0" w:space="0" w:color="auto"/>
        <w:left w:val="none" w:sz="0" w:space="0" w:color="auto"/>
        <w:bottom w:val="none" w:sz="0" w:space="0" w:color="auto"/>
        <w:right w:val="none" w:sz="0" w:space="0" w:color="auto"/>
      </w:divBdr>
      <w:divsChild>
        <w:div w:id="2028553545">
          <w:marLeft w:val="0"/>
          <w:marRight w:val="0"/>
          <w:marTop w:val="0"/>
          <w:marBottom w:val="0"/>
          <w:divBdr>
            <w:top w:val="none" w:sz="0" w:space="0" w:color="auto"/>
            <w:left w:val="none" w:sz="0" w:space="0" w:color="auto"/>
            <w:bottom w:val="none" w:sz="0" w:space="0" w:color="auto"/>
            <w:right w:val="none" w:sz="0" w:space="0" w:color="auto"/>
          </w:divBdr>
        </w:div>
      </w:divsChild>
    </w:div>
    <w:div w:id="335959609">
      <w:bodyDiv w:val="1"/>
      <w:marLeft w:val="0"/>
      <w:marRight w:val="0"/>
      <w:marTop w:val="0"/>
      <w:marBottom w:val="0"/>
      <w:divBdr>
        <w:top w:val="none" w:sz="0" w:space="0" w:color="auto"/>
        <w:left w:val="none" w:sz="0" w:space="0" w:color="auto"/>
        <w:bottom w:val="none" w:sz="0" w:space="0" w:color="auto"/>
        <w:right w:val="none" w:sz="0" w:space="0" w:color="auto"/>
      </w:divBdr>
    </w:div>
    <w:div w:id="367992634">
      <w:bodyDiv w:val="1"/>
      <w:marLeft w:val="0"/>
      <w:marRight w:val="0"/>
      <w:marTop w:val="0"/>
      <w:marBottom w:val="0"/>
      <w:divBdr>
        <w:top w:val="none" w:sz="0" w:space="0" w:color="auto"/>
        <w:left w:val="none" w:sz="0" w:space="0" w:color="auto"/>
        <w:bottom w:val="none" w:sz="0" w:space="0" w:color="auto"/>
        <w:right w:val="none" w:sz="0" w:space="0" w:color="auto"/>
      </w:divBdr>
      <w:divsChild>
        <w:div w:id="1934973693">
          <w:marLeft w:val="0"/>
          <w:marRight w:val="0"/>
          <w:marTop w:val="0"/>
          <w:marBottom w:val="0"/>
          <w:divBdr>
            <w:top w:val="none" w:sz="0" w:space="0" w:color="auto"/>
            <w:left w:val="none" w:sz="0" w:space="0" w:color="auto"/>
            <w:bottom w:val="none" w:sz="0" w:space="0" w:color="auto"/>
            <w:right w:val="none" w:sz="0" w:space="0" w:color="auto"/>
          </w:divBdr>
          <w:divsChild>
            <w:div w:id="139689405">
              <w:marLeft w:val="0"/>
              <w:marRight w:val="0"/>
              <w:marTop w:val="0"/>
              <w:marBottom w:val="0"/>
              <w:divBdr>
                <w:top w:val="none" w:sz="0" w:space="0" w:color="auto"/>
                <w:left w:val="none" w:sz="0" w:space="0" w:color="auto"/>
                <w:bottom w:val="none" w:sz="0" w:space="0" w:color="auto"/>
                <w:right w:val="none" w:sz="0" w:space="0" w:color="auto"/>
              </w:divBdr>
              <w:divsChild>
                <w:div w:id="61009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52762">
          <w:marLeft w:val="0"/>
          <w:marRight w:val="0"/>
          <w:marTop w:val="0"/>
          <w:marBottom w:val="0"/>
          <w:divBdr>
            <w:top w:val="none" w:sz="0" w:space="0" w:color="auto"/>
            <w:left w:val="none" w:sz="0" w:space="0" w:color="auto"/>
            <w:bottom w:val="none" w:sz="0" w:space="0" w:color="auto"/>
            <w:right w:val="none" w:sz="0" w:space="0" w:color="auto"/>
          </w:divBdr>
          <w:divsChild>
            <w:div w:id="2041121131">
              <w:marLeft w:val="0"/>
              <w:marRight w:val="0"/>
              <w:marTop w:val="0"/>
              <w:marBottom w:val="0"/>
              <w:divBdr>
                <w:top w:val="none" w:sz="0" w:space="0" w:color="auto"/>
                <w:left w:val="none" w:sz="0" w:space="0" w:color="auto"/>
                <w:bottom w:val="none" w:sz="0" w:space="0" w:color="auto"/>
                <w:right w:val="none" w:sz="0" w:space="0" w:color="auto"/>
              </w:divBdr>
              <w:divsChild>
                <w:div w:id="1191140112">
                  <w:marLeft w:val="0"/>
                  <w:marRight w:val="0"/>
                  <w:marTop w:val="0"/>
                  <w:marBottom w:val="0"/>
                  <w:divBdr>
                    <w:top w:val="none" w:sz="0" w:space="0" w:color="auto"/>
                    <w:left w:val="none" w:sz="0" w:space="0" w:color="auto"/>
                    <w:bottom w:val="none" w:sz="0" w:space="0" w:color="auto"/>
                    <w:right w:val="none" w:sz="0" w:space="0" w:color="auto"/>
                  </w:divBdr>
                </w:div>
                <w:div w:id="6975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100702">
      <w:bodyDiv w:val="1"/>
      <w:marLeft w:val="0"/>
      <w:marRight w:val="0"/>
      <w:marTop w:val="0"/>
      <w:marBottom w:val="0"/>
      <w:divBdr>
        <w:top w:val="none" w:sz="0" w:space="0" w:color="auto"/>
        <w:left w:val="none" w:sz="0" w:space="0" w:color="auto"/>
        <w:bottom w:val="none" w:sz="0" w:space="0" w:color="auto"/>
        <w:right w:val="none" w:sz="0" w:space="0" w:color="auto"/>
      </w:divBdr>
    </w:div>
    <w:div w:id="386073158">
      <w:bodyDiv w:val="1"/>
      <w:marLeft w:val="0"/>
      <w:marRight w:val="0"/>
      <w:marTop w:val="0"/>
      <w:marBottom w:val="0"/>
      <w:divBdr>
        <w:top w:val="none" w:sz="0" w:space="0" w:color="auto"/>
        <w:left w:val="none" w:sz="0" w:space="0" w:color="auto"/>
        <w:bottom w:val="none" w:sz="0" w:space="0" w:color="auto"/>
        <w:right w:val="none" w:sz="0" w:space="0" w:color="auto"/>
      </w:divBdr>
      <w:divsChild>
        <w:div w:id="1793014678">
          <w:marLeft w:val="0"/>
          <w:marRight w:val="0"/>
          <w:marTop w:val="0"/>
          <w:marBottom w:val="0"/>
          <w:divBdr>
            <w:top w:val="none" w:sz="0" w:space="0" w:color="auto"/>
            <w:left w:val="none" w:sz="0" w:space="0" w:color="auto"/>
            <w:bottom w:val="none" w:sz="0" w:space="0" w:color="auto"/>
            <w:right w:val="none" w:sz="0" w:space="0" w:color="auto"/>
          </w:divBdr>
        </w:div>
        <w:div w:id="336814618">
          <w:marLeft w:val="0"/>
          <w:marRight w:val="0"/>
          <w:marTop w:val="0"/>
          <w:marBottom w:val="0"/>
          <w:divBdr>
            <w:top w:val="none" w:sz="0" w:space="0" w:color="auto"/>
            <w:left w:val="none" w:sz="0" w:space="0" w:color="auto"/>
            <w:bottom w:val="none" w:sz="0" w:space="0" w:color="auto"/>
            <w:right w:val="none" w:sz="0" w:space="0" w:color="auto"/>
          </w:divBdr>
        </w:div>
      </w:divsChild>
    </w:div>
    <w:div w:id="386875942">
      <w:bodyDiv w:val="1"/>
      <w:marLeft w:val="0"/>
      <w:marRight w:val="0"/>
      <w:marTop w:val="0"/>
      <w:marBottom w:val="0"/>
      <w:divBdr>
        <w:top w:val="none" w:sz="0" w:space="0" w:color="auto"/>
        <w:left w:val="none" w:sz="0" w:space="0" w:color="auto"/>
        <w:bottom w:val="none" w:sz="0" w:space="0" w:color="auto"/>
        <w:right w:val="none" w:sz="0" w:space="0" w:color="auto"/>
      </w:divBdr>
      <w:divsChild>
        <w:div w:id="2025133789">
          <w:marLeft w:val="0"/>
          <w:marRight w:val="0"/>
          <w:marTop w:val="0"/>
          <w:marBottom w:val="0"/>
          <w:divBdr>
            <w:top w:val="none" w:sz="0" w:space="0" w:color="auto"/>
            <w:left w:val="none" w:sz="0" w:space="0" w:color="auto"/>
            <w:bottom w:val="none" w:sz="0" w:space="0" w:color="auto"/>
            <w:right w:val="none" w:sz="0" w:space="0" w:color="auto"/>
          </w:divBdr>
        </w:div>
        <w:div w:id="798305090">
          <w:marLeft w:val="0"/>
          <w:marRight w:val="0"/>
          <w:marTop w:val="0"/>
          <w:marBottom w:val="0"/>
          <w:divBdr>
            <w:top w:val="none" w:sz="0" w:space="0" w:color="auto"/>
            <w:left w:val="none" w:sz="0" w:space="0" w:color="auto"/>
            <w:bottom w:val="none" w:sz="0" w:space="0" w:color="auto"/>
            <w:right w:val="none" w:sz="0" w:space="0" w:color="auto"/>
          </w:divBdr>
        </w:div>
        <w:div w:id="417141758">
          <w:marLeft w:val="0"/>
          <w:marRight w:val="0"/>
          <w:marTop w:val="0"/>
          <w:marBottom w:val="0"/>
          <w:divBdr>
            <w:top w:val="none" w:sz="0" w:space="0" w:color="auto"/>
            <w:left w:val="none" w:sz="0" w:space="0" w:color="auto"/>
            <w:bottom w:val="none" w:sz="0" w:space="0" w:color="auto"/>
            <w:right w:val="none" w:sz="0" w:space="0" w:color="auto"/>
          </w:divBdr>
        </w:div>
        <w:div w:id="30349343">
          <w:marLeft w:val="0"/>
          <w:marRight w:val="0"/>
          <w:marTop w:val="0"/>
          <w:marBottom w:val="0"/>
          <w:divBdr>
            <w:top w:val="none" w:sz="0" w:space="0" w:color="auto"/>
            <w:left w:val="none" w:sz="0" w:space="0" w:color="auto"/>
            <w:bottom w:val="none" w:sz="0" w:space="0" w:color="auto"/>
            <w:right w:val="none" w:sz="0" w:space="0" w:color="auto"/>
          </w:divBdr>
        </w:div>
        <w:div w:id="1640114453">
          <w:marLeft w:val="0"/>
          <w:marRight w:val="0"/>
          <w:marTop w:val="0"/>
          <w:marBottom w:val="0"/>
          <w:divBdr>
            <w:top w:val="none" w:sz="0" w:space="0" w:color="auto"/>
            <w:left w:val="none" w:sz="0" w:space="0" w:color="auto"/>
            <w:bottom w:val="none" w:sz="0" w:space="0" w:color="auto"/>
            <w:right w:val="none" w:sz="0" w:space="0" w:color="auto"/>
          </w:divBdr>
        </w:div>
        <w:div w:id="654843366">
          <w:marLeft w:val="0"/>
          <w:marRight w:val="0"/>
          <w:marTop w:val="0"/>
          <w:marBottom w:val="0"/>
          <w:divBdr>
            <w:top w:val="none" w:sz="0" w:space="0" w:color="auto"/>
            <w:left w:val="none" w:sz="0" w:space="0" w:color="auto"/>
            <w:bottom w:val="none" w:sz="0" w:space="0" w:color="auto"/>
            <w:right w:val="none" w:sz="0" w:space="0" w:color="auto"/>
          </w:divBdr>
        </w:div>
      </w:divsChild>
    </w:div>
    <w:div w:id="396636754">
      <w:bodyDiv w:val="1"/>
      <w:marLeft w:val="0"/>
      <w:marRight w:val="0"/>
      <w:marTop w:val="0"/>
      <w:marBottom w:val="0"/>
      <w:divBdr>
        <w:top w:val="none" w:sz="0" w:space="0" w:color="auto"/>
        <w:left w:val="none" w:sz="0" w:space="0" w:color="auto"/>
        <w:bottom w:val="none" w:sz="0" w:space="0" w:color="auto"/>
        <w:right w:val="none" w:sz="0" w:space="0" w:color="auto"/>
      </w:divBdr>
    </w:div>
    <w:div w:id="398868506">
      <w:bodyDiv w:val="1"/>
      <w:marLeft w:val="0"/>
      <w:marRight w:val="0"/>
      <w:marTop w:val="0"/>
      <w:marBottom w:val="0"/>
      <w:divBdr>
        <w:top w:val="none" w:sz="0" w:space="0" w:color="auto"/>
        <w:left w:val="none" w:sz="0" w:space="0" w:color="auto"/>
        <w:bottom w:val="none" w:sz="0" w:space="0" w:color="auto"/>
        <w:right w:val="none" w:sz="0" w:space="0" w:color="auto"/>
      </w:divBdr>
      <w:divsChild>
        <w:div w:id="938677170">
          <w:marLeft w:val="0"/>
          <w:marRight w:val="0"/>
          <w:marTop w:val="0"/>
          <w:marBottom w:val="0"/>
          <w:divBdr>
            <w:top w:val="none" w:sz="0" w:space="0" w:color="auto"/>
            <w:left w:val="none" w:sz="0" w:space="0" w:color="auto"/>
            <w:bottom w:val="none" w:sz="0" w:space="0" w:color="auto"/>
            <w:right w:val="none" w:sz="0" w:space="0" w:color="auto"/>
          </w:divBdr>
          <w:divsChild>
            <w:div w:id="943730172">
              <w:marLeft w:val="0"/>
              <w:marRight w:val="0"/>
              <w:marTop w:val="0"/>
              <w:marBottom w:val="0"/>
              <w:divBdr>
                <w:top w:val="none" w:sz="0" w:space="0" w:color="auto"/>
                <w:left w:val="none" w:sz="0" w:space="0" w:color="auto"/>
                <w:bottom w:val="none" w:sz="0" w:space="0" w:color="auto"/>
                <w:right w:val="none" w:sz="0" w:space="0" w:color="auto"/>
              </w:divBdr>
              <w:divsChild>
                <w:div w:id="1767922813">
                  <w:marLeft w:val="0"/>
                  <w:marRight w:val="0"/>
                  <w:marTop w:val="0"/>
                  <w:marBottom w:val="0"/>
                  <w:divBdr>
                    <w:top w:val="none" w:sz="0" w:space="0" w:color="auto"/>
                    <w:left w:val="none" w:sz="0" w:space="0" w:color="auto"/>
                    <w:bottom w:val="none" w:sz="0" w:space="0" w:color="auto"/>
                    <w:right w:val="none" w:sz="0" w:space="0" w:color="auto"/>
                  </w:divBdr>
                  <w:divsChild>
                    <w:div w:id="716589758">
                      <w:marLeft w:val="0"/>
                      <w:marRight w:val="0"/>
                      <w:marTop w:val="0"/>
                      <w:marBottom w:val="0"/>
                      <w:divBdr>
                        <w:top w:val="none" w:sz="0" w:space="0" w:color="auto"/>
                        <w:left w:val="none" w:sz="0" w:space="0" w:color="auto"/>
                        <w:bottom w:val="none" w:sz="0" w:space="0" w:color="auto"/>
                        <w:right w:val="none" w:sz="0" w:space="0" w:color="auto"/>
                      </w:divBdr>
                      <w:divsChild>
                        <w:div w:id="1661227668">
                          <w:marLeft w:val="0"/>
                          <w:marRight w:val="0"/>
                          <w:marTop w:val="0"/>
                          <w:marBottom w:val="210"/>
                          <w:divBdr>
                            <w:top w:val="none" w:sz="0" w:space="0" w:color="auto"/>
                            <w:left w:val="none" w:sz="0" w:space="0" w:color="auto"/>
                            <w:bottom w:val="none" w:sz="0" w:space="0" w:color="auto"/>
                            <w:right w:val="none" w:sz="0" w:space="0" w:color="auto"/>
                          </w:divBdr>
                          <w:divsChild>
                            <w:div w:id="1501121297">
                              <w:marLeft w:val="75"/>
                              <w:marRight w:val="75"/>
                              <w:marTop w:val="0"/>
                              <w:marBottom w:val="0"/>
                              <w:divBdr>
                                <w:top w:val="none" w:sz="0" w:space="0" w:color="auto"/>
                                <w:left w:val="none" w:sz="0" w:space="0" w:color="auto"/>
                                <w:bottom w:val="none" w:sz="0" w:space="0" w:color="auto"/>
                                <w:right w:val="none" w:sz="0" w:space="0" w:color="auto"/>
                              </w:divBdr>
                              <w:divsChild>
                                <w:div w:id="1870142461">
                                  <w:marLeft w:val="0"/>
                                  <w:marRight w:val="0"/>
                                  <w:marTop w:val="0"/>
                                  <w:marBottom w:val="0"/>
                                  <w:divBdr>
                                    <w:top w:val="none" w:sz="0" w:space="0" w:color="auto"/>
                                    <w:left w:val="none" w:sz="0" w:space="0" w:color="auto"/>
                                    <w:bottom w:val="none" w:sz="0" w:space="0" w:color="auto"/>
                                    <w:right w:val="none" w:sz="0" w:space="0" w:color="auto"/>
                                  </w:divBdr>
                                  <w:divsChild>
                                    <w:div w:id="1623027713">
                                      <w:marLeft w:val="0"/>
                                      <w:marRight w:val="0"/>
                                      <w:marTop w:val="0"/>
                                      <w:marBottom w:val="0"/>
                                      <w:divBdr>
                                        <w:top w:val="none" w:sz="0" w:space="0" w:color="auto"/>
                                        <w:left w:val="none" w:sz="0" w:space="0" w:color="auto"/>
                                        <w:bottom w:val="none" w:sz="0" w:space="0" w:color="auto"/>
                                        <w:right w:val="none" w:sz="0" w:space="0" w:color="auto"/>
                                      </w:divBdr>
                                      <w:divsChild>
                                        <w:div w:id="634140278">
                                          <w:marLeft w:val="0"/>
                                          <w:marRight w:val="0"/>
                                          <w:marTop w:val="0"/>
                                          <w:marBottom w:val="0"/>
                                          <w:divBdr>
                                            <w:top w:val="none" w:sz="0" w:space="0" w:color="auto"/>
                                            <w:left w:val="none" w:sz="0" w:space="0" w:color="auto"/>
                                            <w:bottom w:val="none" w:sz="0" w:space="0" w:color="auto"/>
                                            <w:right w:val="none" w:sz="0" w:space="0" w:color="auto"/>
                                          </w:divBdr>
                                          <w:divsChild>
                                            <w:div w:id="936979600">
                                              <w:marLeft w:val="0"/>
                                              <w:marRight w:val="0"/>
                                              <w:marTop w:val="0"/>
                                              <w:marBottom w:val="0"/>
                                              <w:divBdr>
                                                <w:top w:val="none" w:sz="0" w:space="0" w:color="auto"/>
                                                <w:left w:val="none" w:sz="0" w:space="0" w:color="auto"/>
                                                <w:bottom w:val="none" w:sz="0" w:space="0" w:color="auto"/>
                                                <w:right w:val="none" w:sz="0" w:space="0" w:color="auto"/>
                                              </w:divBdr>
                                              <w:divsChild>
                                                <w:div w:id="1939874913">
                                                  <w:marLeft w:val="0"/>
                                                  <w:marRight w:val="0"/>
                                                  <w:marTop w:val="0"/>
                                                  <w:marBottom w:val="0"/>
                                                  <w:divBdr>
                                                    <w:top w:val="none" w:sz="0" w:space="0" w:color="auto"/>
                                                    <w:left w:val="none" w:sz="0" w:space="0" w:color="auto"/>
                                                    <w:bottom w:val="none" w:sz="0" w:space="0" w:color="auto"/>
                                                    <w:right w:val="none" w:sz="0" w:space="0" w:color="auto"/>
                                                  </w:divBdr>
                                                  <w:divsChild>
                                                    <w:div w:id="1836921215">
                                                      <w:marLeft w:val="0"/>
                                                      <w:marRight w:val="0"/>
                                                      <w:marTop w:val="0"/>
                                                      <w:marBottom w:val="0"/>
                                                      <w:divBdr>
                                                        <w:top w:val="none" w:sz="0" w:space="0" w:color="auto"/>
                                                        <w:left w:val="none" w:sz="0" w:space="0" w:color="auto"/>
                                                        <w:bottom w:val="none" w:sz="0" w:space="0" w:color="auto"/>
                                                        <w:right w:val="none" w:sz="0" w:space="0" w:color="auto"/>
                                                      </w:divBdr>
                                                      <w:divsChild>
                                                        <w:div w:id="1987782551">
                                                          <w:marLeft w:val="0"/>
                                                          <w:marRight w:val="0"/>
                                                          <w:marTop w:val="0"/>
                                                          <w:marBottom w:val="0"/>
                                                          <w:divBdr>
                                                            <w:top w:val="none" w:sz="0" w:space="0" w:color="auto"/>
                                                            <w:left w:val="none" w:sz="0" w:space="0" w:color="auto"/>
                                                            <w:bottom w:val="none" w:sz="0" w:space="0" w:color="auto"/>
                                                            <w:right w:val="none" w:sz="0" w:space="0" w:color="auto"/>
                                                          </w:divBdr>
                                                          <w:divsChild>
                                                            <w:div w:id="1114516673">
                                                              <w:marLeft w:val="0"/>
                                                              <w:marRight w:val="0"/>
                                                              <w:marTop w:val="0"/>
                                                              <w:marBottom w:val="0"/>
                                                              <w:divBdr>
                                                                <w:top w:val="none" w:sz="0" w:space="0" w:color="auto"/>
                                                                <w:left w:val="none" w:sz="0" w:space="0" w:color="auto"/>
                                                                <w:bottom w:val="none" w:sz="0" w:space="0" w:color="auto"/>
                                                                <w:right w:val="none" w:sz="0" w:space="0" w:color="auto"/>
                                                              </w:divBdr>
                                                              <w:divsChild>
                                                                <w:div w:id="607735438">
                                                                  <w:marLeft w:val="0"/>
                                                                  <w:marRight w:val="0"/>
                                                                  <w:marTop w:val="0"/>
                                                                  <w:marBottom w:val="0"/>
                                                                  <w:divBdr>
                                                                    <w:top w:val="none" w:sz="0" w:space="0" w:color="auto"/>
                                                                    <w:left w:val="none" w:sz="0" w:space="0" w:color="auto"/>
                                                                    <w:bottom w:val="none" w:sz="0" w:space="0" w:color="auto"/>
                                                                    <w:right w:val="none" w:sz="0" w:space="0" w:color="auto"/>
                                                                  </w:divBdr>
                                                                  <w:divsChild>
                                                                    <w:div w:id="1285581385">
                                                                      <w:marLeft w:val="0"/>
                                                                      <w:marRight w:val="0"/>
                                                                      <w:marTop w:val="0"/>
                                                                      <w:marBottom w:val="0"/>
                                                                      <w:divBdr>
                                                                        <w:top w:val="none" w:sz="0" w:space="0" w:color="auto"/>
                                                                        <w:left w:val="none" w:sz="0" w:space="0" w:color="auto"/>
                                                                        <w:bottom w:val="none" w:sz="0" w:space="0" w:color="auto"/>
                                                                        <w:right w:val="none" w:sz="0" w:space="0" w:color="auto"/>
                                                                      </w:divBdr>
                                                                      <w:divsChild>
                                                                        <w:div w:id="591427604">
                                                                          <w:marLeft w:val="0"/>
                                                                          <w:marRight w:val="0"/>
                                                                          <w:marTop w:val="0"/>
                                                                          <w:marBottom w:val="0"/>
                                                                          <w:divBdr>
                                                                            <w:top w:val="none" w:sz="0" w:space="0" w:color="auto"/>
                                                                            <w:left w:val="none" w:sz="0" w:space="0" w:color="auto"/>
                                                                            <w:bottom w:val="none" w:sz="0" w:space="0" w:color="auto"/>
                                                                            <w:right w:val="none" w:sz="0" w:space="0" w:color="auto"/>
                                                                          </w:divBdr>
                                                                          <w:divsChild>
                                                                            <w:div w:id="79606744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1492864">
      <w:bodyDiv w:val="1"/>
      <w:marLeft w:val="0"/>
      <w:marRight w:val="0"/>
      <w:marTop w:val="0"/>
      <w:marBottom w:val="0"/>
      <w:divBdr>
        <w:top w:val="none" w:sz="0" w:space="0" w:color="auto"/>
        <w:left w:val="none" w:sz="0" w:space="0" w:color="auto"/>
        <w:bottom w:val="none" w:sz="0" w:space="0" w:color="auto"/>
        <w:right w:val="none" w:sz="0" w:space="0" w:color="auto"/>
      </w:divBdr>
      <w:divsChild>
        <w:div w:id="991637517">
          <w:marLeft w:val="0"/>
          <w:marRight w:val="0"/>
          <w:marTop w:val="0"/>
          <w:marBottom w:val="0"/>
          <w:divBdr>
            <w:top w:val="none" w:sz="0" w:space="0" w:color="auto"/>
            <w:left w:val="none" w:sz="0" w:space="0" w:color="auto"/>
            <w:bottom w:val="none" w:sz="0" w:space="0" w:color="auto"/>
            <w:right w:val="none" w:sz="0" w:space="0" w:color="auto"/>
          </w:divBdr>
        </w:div>
        <w:div w:id="1987054183">
          <w:marLeft w:val="0"/>
          <w:marRight w:val="0"/>
          <w:marTop w:val="0"/>
          <w:marBottom w:val="0"/>
          <w:divBdr>
            <w:top w:val="none" w:sz="0" w:space="0" w:color="auto"/>
            <w:left w:val="none" w:sz="0" w:space="0" w:color="auto"/>
            <w:bottom w:val="none" w:sz="0" w:space="0" w:color="auto"/>
            <w:right w:val="none" w:sz="0" w:space="0" w:color="auto"/>
          </w:divBdr>
        </w:div>
        <w:div w:id="191265665">
          <w:marLeft w:val="0"/>
          <w:marRight w:val="0"/>
          <w:marTop w:val="0"/>
          <w:marBottom w:val="0"/>
          <w:divBdr>
            <w:top w:val="none" w:sz="0" w:space="0" w:color="auto"/>
            <w:left w:val="none" w:sz="0" w:space="0" w:color="auto"/>
            <w:bottom w:val="none" w:sz="0" w:space="0" w:color="auto"/>
            <w:right w:val="none" w:sz="0" w:space="0" w:color="auto"/>
          </w:divBdr>
        </w:div>
        <w:div w:id="1423723332">
          <w:marLeft w:val="0"/>
          <w:marRight w:val="0"/>
          <w:marTop w:val="0"/>
          <w:marBottom w:val="0"/>
          <w:divBdr>
            <w:top w:val="none" w:sz="0" w:space="0" w:color="auto"/>
            <w:left w:val="none" w:sz="0" w:space="0" w:color="auto"/>
            <w:bottom w:val="none" w:sz="0" w:space="0" w:color="auto"/>
            <w:right w:val="none" w:sz="0" w:space="0" w:color="auto"/>
          </w:divBdr>
          <w:divsChild>
            <w:div w:id="102795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96538">
      <w:bodyDiv w:val="1"/>
      <w:marLeft w:val="0"/>
      <w:marRight w:val="0"/>
      <w:marTop w:val="0"/>
      <w:marBottom w:val="0"/>
      <w:divBdr>
        <w:top w:val="none" w:sz="0" w:space="0" w:color="auto"/>
        <w:left w:val="none" w:sz="0" w:space="0" w:color="auto"/>
        <w:bottom w:val="none" w:sz="0" w:space="0" w:color="auto"/>
        <w:right w:val="none" w:sz="0" w:space="0" w:color="auto"/>
      </w:divBdr>
      <w:divsChild>
        <w:div w:id="1903173094">
          <w:marLeft w:val="0"/>
          <w:marRight w:val="0"/>
          <w:marTop w:val="0"/>
          <w:marBottom w:val="0"/>
          <w:divBdr>
            <w:top w:val="none" w:sz="0" w:space="0" w:color="auto"/>
            <w:left w:val="none" w:sz="0" w:space="0" w:color="auto"/>
            <w:bottom w:val="none" w:sz="0" w:space="0" w:color="auto"/>
            <w:right w:val="none" w:sz="0" w:space="0" w:color="auto"/>
          </w:divBdr>
        </w:div>
        <w:div w:id="434515863">
          <w:marLeft w:val="0"/>
          <w:marRight w:val="0"/>
          <w:marTop w:val="0"/>
          <w:marBottom w:val="0"/>
          <w:divBdr>
            <w:top w:val="none" w:sz="0" w:space="0" w:color="auto"/>
            <w:left w:val="none" w:sz="0" w:space="0" w:color="auto"/>
            <w:bottom w:val="none" w:sz="0" w:space="0" w:color="auto"/>
            <w:right w:val="none" w:sz="0" w:space="0" w:color="auto"/>
          </w:divBdr>
        </w:div>
        <w:div w:id="1171677868">
          <w:marLeft w:val="0"/>
          <w:marRight w:val="0"/>
          <w:marTop w:val="0"/>
          <w:marBottom w:val="0"/>
          <w:divBdr>
            <w:top w:val="none" w:sz="0" w:space="0" w:color="auto"/>
            <w:left w:val="none" w:sz="0" w:space="0" w:color="auto"/>
            <w:bottom w:val="none" w:sz="0" w:space="0" w:color="auto"/>
            <w:right w:val="none" w:sz="0" w:space="0" w:color="auto"/>
          </w:divBdr>
        </w:div>
        <w:div w:id="905653982">
          <w:marLeft w:val="0"/>
          <w:marRight w:val="0"/>
          <w:marTop w:val="0"/>
          <w:marBottom w:val="0"/>
          <w:divBdr>
            <w:top w:val="none" w:sz="0" w:space="0" w:color="auto"/>
            <w:left w:val="none" w:sz="0" w:space="0" w:color="auto"/>
            <w:bottom w:val="none" w:sz="0" w:space="0" w:color="auto"/>
            <w:right w:val="none" w:sz="0" w:space="0" w:color="auto"/>
          </w:divBdr>
          <w:divsChild>
            <w:div w:id="38503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37577">
      <w:bodyDiv w:val="1"/>
      <w:marLeft w:val="0"/>
      <w:marRight w:val="0"/>
      <w:marTop w:val="0"/>
      <w:marBottom w:val="0"/>
      <w:divBdr>
        <w:top w:val="none" w:sz="0" w:space="0" w:color="auto"/>
        <w:left w:val="none" w:sz="0" w:space="0" w:color="auto"/>
        <w:bottom w:val="none" w:sz="0" w:space="0" w:color="auto"/>
        <w:right w:val="none" w:sz="0" w:space="0" w:color="auto"/>
      </w:divBdr>
      <w:divsChild>
        <w:div w:id="1055660194">
          <w:marLeft w:val="0"/>
          <w:marRight w:val="0"/>
          <w:marTop w:val="0"/>
          <w:marBottom w:val="0"/>
          <w:divBdr>
            <w:top w:val="none" w:sz="0" w:space="0" w:color="auto"/>
            <w:left w:val="none" w:sz="0" w:space="0" w:color="auto"/>
            <w:bottom w:val="none" w:sz="0" w:space="0" w:color="auto"/>
            <w:right w:val="none" w:sz="0" w:space="0" w:color="auto"/>
          </w:divBdr>
        </w:div>
        <w:div w:id="213395556">
          <w:marLeft w:val="0"/>
          <w:marRight w:val="0"/>
          <w:marTop w:val="0"/>
          <w:marBottom w:val="0"/>
          <w:divBdr>
            <w:top w:val="none" w:sz="0" w:space="0" w:color="auto"/>
            <w:left w:val="none" w:sz="0" w:space="0" w:color="auto"/>
            <w:bottom w:val="none" w:sz="0" w:space="0" w:color="auto"/>
            <w:right w:val="none" w:sz="0" w:space="0" w:color="auto"/>
          </w:divBdr>
        </w:div>
        <w:div w:id="414790173">
          <w:marLeft w:val="0"/>
          <w:marRight w:val="0"/>
          <w:marTop w:val="0"/>
          <w:marBottom w:val="0"/>
          <w:divBdr>
            <w:top w:val="none" w:sz="0" w:space="0" w:color="auto"/>
            <w:left w:val="none" w:sz="0" w:space="0" w:color="auto"/>
            <w:bottom w:val="none" w:sz="0" w:space="0" w:color="auto"/>
            <w:right w:val="none" w:sz="0" w:space="0" w:color="auto"/>
          </w:divBdr>
          <w:divsChild>
            <w:div w:id="26904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94271">
      <w:bodyDiv w:val="1"/>
      <w:marLeft w:val="0"/>
      <w:marRight w:val="0"/>
      <w:marTop w:val="0"/>
      <w:marBottom w:val="0"/>
      <w:divBdr>
        <w:top w:val="none" w:sz="0" w:space="0" w:color="auto"/>
        <w:left w:val="none" w:sz="0" w:space="0" w:color="auto"/>
        <w:bottom w:val="none" w:sz="0" w:space="0" w:color="auto"/>
        <w:right w:val="none" w:sz="0" w:space="0" w:color="auto"/>
      </w:divBdr>
      <w:divsChild>
        <w:div w:id="2077319295">
          <w:marLeft w:val="0"/>
          <w:marRight w:val="0"/>
          <w:marTop w:val="0"/>
          <w:marBottom w:val="0"/>
          <w:divBdr>
            <w:top w:val="none" w:sz="0" w:space="0" w:color="auto"/>
            <w:left w:val="none" w:sz="0" w:space="0" w:color="auto"/>
            <w:bottom w:val="none" w:sz="0" w:space="0" w:color="auto"/>
            <w:right w:val="none" w:sz="0" w:space="0" w:color="auto"/>
          </w:divBdr>
        </w:div>
      </w:divsChild>
    </w:div>
    <w:div w:id="422915898">
      <w:bodyDiv w:val="1"/>
      <w:marLeft w:val="0"/>
      <w:marRight w:val="0"/>
      <w:marTop w:val="0"/>
      <w:marBottom w:val="0"/>
      <w:divBdr>
        <w:top w:val="none" w:sz="0" w:space="0" w:color="auto"/>
        <w:left w:val="none" w:sz="0" w:space="0" w:color="auto"/>
        <w:bottom w:val="none" w:sz="0" w:space="0" w:color="auto"/>
        <w:right w:val="none" w:sz="0" w:space="0" w:color="auto"/>
      </w:divBdr>
    </w:div>
    <w:div w:id="429472242">
      <w:bodyDiv w:val="1"/>
      <w:marLeft w:val="0"/>
      <w:marRight w:val="0"/>
      <w:marTop w:val="0"/>
      <w:marBottom w:val="0"/>
      <w:divBdr>
        <w:top w:val="none" w:sz="0" w:space="0" w:color="auto"/>
        <w:left w:val="none" w:sz="0" w:space="0" w:color="auto"/>
        <w:bottom w:val="none" w:sz="0" w:space="0" w:color="auto"/>
        <w:right w:val="none" w:sz="0" w:space="0" w:color="auto"/>
      </w:divBdr>
      <w:divsChild>
        <w:div w:id="1508248614">
          <w:marLeft w:val="0"/>
          <w:marRight w:val="0"/>
          <w:marTop w:val="0"/>
          <w:marBottom w:val="0"/>
          <w:divBdr>
            <w:top w:val="none" w:sz="0" w:space="0" w:color="auto"/>
            <w:left w:val="none" w:sz="0" w:space="0" w:color="auto"/>
            <w:bottom w:val="none" w:sz="0" w:space="0" w:color="auto"/>
            <w:right w:val="none" w:sz="0" w:space="0" w:color="auto"/>
          </w:divBdr>
        </w:div>
      </w:divsChild>
    </w:div>
    <w:div w:id="431823186">
      <w:bodyDiv w:val="1"/>
      <w:marLeft w:val="0"/>
      <w:marRight w:val="0"/>
      <w:marTop w:val="0"/>
      <w:marBottom w:val="0"/>
      <w:divBdr>
        <w:top w:val="none" w:sz="0" w:space="0" w:color="auto"/>
        <w:left w:val="none" w:sz="0" w:space="0" w:color="auto"/>
        <w:bottom w:val="none" w:sz="0" w:space="0" w:color="auto"/>
        <w:right w:val="none" w:sz="0" w:space="0" w:color="auto"/>
      </w:divBdr>
      <w:divsChild>
        <w:div w:id="1928033829">
          <w:marLeft w:val="0"/>
          <w:marRight w:val="0"/>
          <w:marTop w:val="0"/>
          <w:marBottom w:val="0"/>
          <w:divBdr>
            <w:top w:val="none" w:sz="0" w:space="0" w:color="auto"/>
            <w:left w:val="none" w:sz="0" w:space="0" w:color="auto"/>
            <w:bottom w:val="none" w:sz="0" w:space="0" w:color="auto"/>
            <w:right w:val="none" w:sz="0" w:space="0" w:color="auto"/>
          </w:divBdr>
        </w:div>
      </w:divsChild>
    </w:div>
    <w:div w:id="440540672">
      <w:bodyDiv w:val="1"/>
      <w:marLeft w:val="0"/>
      <w:marRight w:val="0"/>
      <w:marTop w:val="0"/>
      <w:marBottom w:val="0"/>
      <w:divBdr>
        <w:top w:val="none" w:sz="0" w:space="0" w:color="auto"/>
        <w:left w:val="none" w:sz="0" w:space="0" w:color="auto"/>
        <w:bottom w:val="none" w:sz="0" w:space="0" w:color="auto"/>
        <w:right w:val="none" w:sz="0" w:space="0" w:color="auto"/>
      </w:divBdr>
      <w:divsChild>
        <w:div w:id="821657449">
          <w:marLeft w:val="0"/>
          <w:marRight w:val="0"/>
          <w:marTop w:val="0"/>
          <w:marBottom w:val="0"/>
          <w:divBdr>
            <w:top w:val="none" w:sz="0" w:space="0" w:color="auto"/>
            <w:left w:val="none" w:sz="0" w:space="0" w:color="auto"/>
            <w:bottom w:val="none" w:sz="0" w:space="0" w:color="auto"/>
            <w:right w:val="none" w:sz="0" w:space="0" w:color="auto"/>
          </w:divBdr>
        </w:div>
      </w:divsChild>
    </w:div>
    <w:div w:id="445546161">
      <w:bodyDiv w:val="1"/>
      <w:marLeft w:val="0"/>
      <w:marRight w:val="0"/>
      <w:marTop w:val="0"/>
      <w:marBottom w:val="0"/>
      <w:divBdr>
        <w:top w:val="none" w:sz="0" w:space="0" w:color="auto"/>
        <w:left w:val="none" w:sz="0" w:space="0" w:color="auto"/>
        <w:bottom w:val="none" w:sz="0" w:space="0" w:color="auto"/>
        <w:right w:val="none" w:sz="0" w:space="0" w:color="auto"/>
      </w:divBdr>
      <w:divsChild>
        <w:div w:id="1744334696">
          <w:marLeft w:val="0"/>
          <w:marRight w:val="0"/>
          <w:marTop w:val="0"/>
          <w:marBottom w:val="0"/>
          <w:divBdr>
            <w:top w:val="none" w:sz="0" w:space="0" w:color="auto"/>
            <w:left w:val="none" w:sz="0" w:space="0" w:color="auto"/>
            <w:bottom w:val="none" w:sz="0" w:space="0" w:color="auto"/>
            <w:right w:val="none" w:sz="0" w:space="0" w:color="auto"/>
          </w:divBdr>
        </w:div>
      </w:divsChild>
    </w:div>
    <w:div w:id="455413575">
      <w:bodyDiv w:val="1"/>
      <w:marLeft w:val="0"/>
      <w:marRight w:val="0"/>
      <w:marTop w:val="0"/>
      <w:marBottom w:val="0"/>
      <w:divBdr>
        <w:top w:val="none" w:sz="0" w:space="0" w:color="auto"/>
        <w:left w:val="none" w:sz="0" w:space="0" w:color="auto"/>
        <w:bottom w:val="none" w:sz="0" w:space="0" w:color="auto"/>
        <w:right w:val="none" w:sz="0" w:space="0" w:color="auto"/>
      </w:divBdr>
    </w:div>
    <w:div w:id="480119934">
      <w:bodyDiv w:val="1"/>
      <w:marLeft w:val="0"/>
      <w:marRight w:val="0"/>
      <w:marTop w:val="0"/>
      <w:marBottom w:val="0"/>
      <w:divBdr>
        <w:top w:val="none" w:sz="0" w:space="0" w:color="auto"/>
        <w:left w:val="none" w:sz="0" w:space="0" w:color="auto"/>
        <w:bottom w:val="none" w:sz="0" w:space="0" w:color="auto"/>
        <w:right w:val="none" w:sz="0" w:space="0" w:color="auto"/>
      </w:divBdr>
      <w:divsChild>
        <w:div w:id="623773797">
          <w:marLeft w:val="0"/>
          <w:marRight w:val="0"/>
          <w:marTop w:val="0"/>
          <w:marBottom w:val="0"/>
          <w:divBdr>
            <w:top w:val="none" w:sz="0" w:space="0" w:color="auto"/>
            <w:left w:val="none" w:sz="0" w:space="0" w:color="auto"/>
            <w:bottom w:val="none" w:sz="0" w:space="0" w:color="auto"/>
            <w:right w:val="none" w:sz="0" w:space="0" w:color="auto"/>
          </w:divBdr>
        </w:div>
      </w:divsChild>
    </w:div>
    <w:div w:id="482544267">
      <w:bodyDiv w:val="1"/>
      <w:marLeft w:val="0"/>
      <w:marRight w:val="0"/>
      <w:marTop w:val="0"/>
      <w:marBottom w:val="0"/>
      <w:divBdr>
        <w:top w:val="none" w:sz="0" w:space="0" w:color="auto"/>
        <w:left w:val="none" w:sz="0" w:space="0" w:color="auto"/>
        <w:bottom w:val="none" w:sz="0" w:space="0" w:color="auto"/>
        <w:right w:val="none" w:sz="0" w:space="0" w:color="auto"/>
      </w:divBdr>
      <w:divsChild>
        <w:div w:id="1727945385">
          <w:marLeft w:val="0"/>
          <w:marRight w:val="0"/>
          <w:marTop w:val="0"/>
          <w:marBottom w:val="0"/>
          <w:divBdr>
            <w:top w:val="none" w:sz="0" w:space="0" w:color="auto"/>
            <w:left w:val="none" w:sz="0" w:space="0" w:color="auto"/>
            <w:bottom w:val="none" w:sz="0" w:space="0" w:color="auto"/>
            <w:right w:val="none" w:sz="0" w:space="0" w:color="auto"/>
          </w:divBdr>
        </w:div>
        <w:div w:id="168717901">
          <w:marLeft w:val="0"/>
          <w:marRight w:val="0"/>
          <w:marTop w:val="0"/>
          <w:marBottom w:val="0"/>
          <w:divBdr>
            <w:top w:val="none" w:sz="0" w:space="0" w:color="auto"/>
            <w:left w:val="none" w:sz="0" w:space="0" w:color="auto"/>
            <w:bottom w:val="none" w:sz="0" w:space="0" w:color="auto"/>
            <w:right w:val="none" w:sz="0" w:space="0" w:color="auto"/>
          </w:divBdr>
        </w:div>
      </w:divsChild>
    </w:div>
    <w:div w:id="482935925">
      <w:bodyDiv w:val="1"/>
      <w:marLeft w:val="0"/>
      <w:marRight w:val="0"/>
      <w:marTop w:val="0"/>
      <w:marBottom w:val="0"/>
      <w:divBdr>
        <w:top w:val="none" w:sz="0" w:space="0" w:color="auto"/>
        <w:left w:val="none" w:sz="0" w:space="0" w:color="auto"/>
        <w:bottom w:val="none" w:sz="0" w:space="0" w:color="auto"/>
        <w:right w:val="none" w:sz="0" w:space="0" w:color="auto"/>
      </w:divBdr>
      <w:divsChild>
        <w:div w:id="1980961951">
          <w:marLeft w:val="0"/>
          <w:marRight w:val="0"/>
          <w:marTop w:val="0"/>
          <w:marBottom w:val="0"/>
          <w:divBdr>
            <w:top w:val="none" w:sz="0" w:space="0" w:color="auto"/>
            <w:left w:val="none" w:sz="0" w:space="0" w:color="auto"/>
            <w:bottom w:val="none" w:sz="0" w:space="0" w:color="auto"/>
            <w:right w:val="none" w:sz="0" w:space="0" w:color="auto"/>
          </w:divBdr>
          <w:divsChild>
            <w:div w:id="103804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01981">
      <w:bodyDiv w:val="1"/>
      <w:marLeft w:val="0"/>
      <w:marRight w:val="0"/>
      <w:marTop w:val="0"/>
      <w:marBottom w:val="0"/>
      <w:divBdr>
        <w:top w:val="none" w:sz="0" w:space="0" w:color="auto"/>
        <w:left w:val="none" w:sz="0" w:space="0" w:color="auto"/>
        <w:bottom w:val="none" w:sz="0" w:space="0" w:color="auto"/>
        <w:right w:val="none" w:sz="0" w:space="0" w:color="auto"/>
      </w:divBdr>
    </w:div>
    <w:div w:id="487863924">
      <w:bodyDiv w:val="1"/>
      <w:marLeft w:val="0"/>
      <w:marRight w:val="0"/>
      <w:marTop w:val="0"/>
      <w:marBottom w:val="0"/>
      <w:divBdr>
        <w:top w:val="none" w:sz="0" w:space="0" w:color="auto"/>
        <w:left w:val="none" w:sz="0" w:space="0" w:color="auto"/>
        <w:bottom w:val="none" w:sz="0" w:space="0" w:color="auto"/>
        <w:right w:val="none" w:sz="0" w:space="0" w:color="auto"/>
      </w:divBdr>
    </w:div>
    <w:div w:id="488642331">
      <w:bodyDiv w:val="1"/>
      <w:marLeft w:val="0"/>
      <w:marRight w:val="0"/>
      <w:marTop w:val="0"/>
      <w:marBottom w:val="0"/>
      <w:divBdr>
        <w:top w:val="none" w:sz="0" w:space="0" w:color="auto"/>
        <w:left w:val="none" w:sz="0" w:space="0" w:color="auto"/>
        <w:bottom w:val="none" w:sz="0" w:space="0" w:color="auto"/>
        <w:right w:val="none" w:sz="0" w:space="0" w:color="auto"/>
      </w:divBdr>
      <w:divsChild>
        <w:div w:id="1128354566">
          <w:marLeft w:val="0"/>
          <w:marRight w:val="0"/>
          <w:marTop w:val="0"/>
          <w:marBottom w:val="0"/>
          <w:divBdr>
            <w:top w:val="none" w:sz="0" w:space="0" w:color="auto"/>
            <w:left w:val="none" w:sz="0" w:space="0" w:color="auto"/>
            <w:bottom w:val="none" w:sz="0" w:space="0" w:color="auto"/>
            <w:right w:val="none" w:sz="0" w:space="0" w:color="auto"/>
          </w:divBdr>
        </w:div>
      </w:divsChild>
    </w:div>
    <w:div w:id="511457447">
      <w:bodyDiv w:val="1"/>
      <w:marLeft w:val="0"/>
      <w:marRight w:val="0"/>
      <w:marTop w:val="0"/>
      <w:marBottom w:val="0"/>
      <w:divBdr>
        <w:top w:val="none" w:sz="0" w:space="0" w:color="auto"/>
        <w:left w:val="none" w:sz="0" w:space="0" w:color="auto"/>
        <w:bottom w:val="none" w:sz="0" w:space="0" w:color="auto"/>
        <w:right w:val="none" w:sz="0" w:space="0" w:color="auto"/>
      </w:divBdr>
      <w:divsChild>
        <w:div w:id="973409503">
          <w:marLeft w:val="0"/>
          <w:marRight w:val="0"/>
          <w:marTop w:val="0"/>
          <w:marBottom w:val="0"/>
          <w:divBdr>
            <w:top w:val="none" w:sz="0" w:space="0" w:color="auto"/>
            <w:left w:val="none" w:sz="0" w:space="0" w:color="auto"/>
            <w:bottom w:val="none" w:sz="0" w:space="0" w:color="auto"/>
            <w:right w:val="none" w:sz="0" w:space="0" w:color="auto"/>
          </w:divBdr>
        </w:div>
        <w:div w:id="1249383489">
          <w:marLeft w:val="0"/>
          <w:marRight w:val="0"/>
          <w:marTop w:val="0"/>
          <w:marBottom w:val="0"/>
          <w:divBdr>
            <w:top w:val="none" w:sz="0" w:space="0" w:color="auto"/>
            <w:left w:val="none" w:sz="0" w:space="0" w:color="auto"/>
            <w:bottom w:val="none" w:sz="0" w:space="0" w:color="auto"/>
            <w:right w:val="none" w:sz="0" w:space="0" w:color="auto"/>
          </w:divBdr>
        </w:div>
        <w:div w:id="244343697">
          <w:marLeft w:val="0"/>
          <w:marRight w:val="0"/>
          <w:marTop w:val="0"/>
          <w:marBottom w:val="0"/>
          <w:divBdr>
            <w:top w:val="none" w:sz="0" w:space="0" w:color="auto"/>
            <w:left w:val="none" w:sz="0" w:space="0" w:color="auto"/>
            <w:bottom w:val="none" w:sz="0" w:space="0" w:color="auto"/>
            <w:right w:val="none" w:sz="0" w:space="0" w:color="auto"/>
          </w:divBdr>
        </w:div>
        <w:div w:id="1349714101">
          <w:marLeft w:val="0"/>
          <w:marRight w:val="0"/>
          <w:marTop w:val="0"/>
          <w:marBottom w:val="0"/>
          <w:divBdr>
            <w:top w:val="none" w:sz="0" w:space="0" w:color="auto"/>
            <w:left w:val="none" w:sz="0" w:space="0" w:color="auto"/>
            <w:bottom w:val="none" w:sz="0" w:space="0" w:color="auto"/>
            <w:right w:val="none" w:sz="0" w:space="0" w:color="auto"/>
          </w:divBdr>
        </w:div>
        <w:div w:id="552230066">
          <w:marLeft w:val="0"/>
          <w:marRight w:val="0"/>
          <w:marTop w:val="0"/>
          <w:marBottom w:val="0"/>
          <w:divBdr>
            <w:top w:val="none" w:sz="0" w:space="0" w:color="auto"/>
            <w:left w:val="none" w:sz="0" w:space="0" w:color="auto"/>
            <w:bottom w:val="none" w:sz="0" w:space="0" w:color="auto"/>
            <w:right w:val="none" w:sz="0" w:space="0" w:color="auto"/>
          </w:divBdr>
        </w:div>
        <w:div w:id="1035739879">
          <w:marLeft w:val="0"/>
          <w:marRight w:val="0"/>
          <w:marTop w:val="0"/>
          <w:marBottom w:val="0"/>
          <w:divBdr>
            <w:top w:val="none" w:sz="0" w:space="0" w:color="auto"/>
            <w:left w:val="none" w:sz="0" w:space="0" w:color="auto"/>
            <w:bottom w:val="none" w:sz="0" w:space="0" w:color="auto"/>
            <w:right w:val="none" w:sz="0" w:space="0" w:color="auto"/>
          </w:divBdr>
        </w:div>
        <w:div w:id="140004188">
          <w:marLeft w:val="0"/>
          <w:marRight w:val="0"/>
          <w:marTop w:val="0"/>
          <w:marBottom w:val="0"/>
          <w:divBdr>
            <w:top w:val="none" w:sz="0" w:space="0" w:color="auto"/>
            <w:left w:val="none" w:sz="0" w:space="0" w:color="auto"/>
            <w:bottom w:val="none" w:sz="0" w:space="0" w:color="auto"/>
            <w:right w:val="none" w:sz="0" w:space="0" w:color="auto"/>
          </w:divBdr>
        </w:div>
        <w:div w:id="418212785">
          <w:marLeft w:val="0"/>
          <w:marRight w:val="0"/>
          <w:marTop w:val="0"/>
          <w:marBottom w:val="0"/>
          <w:divBdr>
            <w:top w:val="none" w:sz="0" w:space="0" w:color="auto"/>
            <w:left w:val="none" w:sz="0" w:space="0" w:color="auto"/>
            <w:bottom w:val="none" w:sz="0" w:space="0" w:color="auto"/>
            <w:right w:val="none" w:sz="0" w:space="0" w:color="auto"/>
          </w:divBdr>
        </w:div>
        <w:div w:id="86966565">
          <w:marLeft w:val="0"/>
          <w:marRight w:val="0"/>
          <w:marTop w:val="0"/>
          <w:marBottom w:val="0"/>
          <w:divBdr>
            <w:top w:val="none" w:sz="0" w:space="0" w:color="auto"/>
            <w:left w:val="none" w:sz="0" w:space="0" w:color="auto"/>
            <w:bottom w:val="none" w:sz="0" w:space="0" w:color="auto"/>
            <w:right w:val="none" w:sz="0" w:space="0" w:color="auto"/>
          </w:divBdr>
        </w:div>
        <w:div w:id="1630821278">
          <w:marLeft w:val="0"/>
          <w:marRight w:val="0"/>
          <w:marTop w:val="0"/>
          <w:marBottom w:val="0"/>
          <w:divBdr>
            <w:top w:val="none" w:sz="0" w:space="0" w:color="auto"/>
            <w:left w:val="none" w:sz="0" w:space="0" w:color="auto"/>
            <w:bottom w:val="none" w:sz="0" w:space="0" w:color="auto"/>
            <w:right w:val="none" w:sz="0" w:space="0" w:color="auto"/>
          </w:divBdr>
        </w:div>
        <w:div w:id="1450901684">
          <w:marLeft w:val="0"/>
          <w:marRight w:val="0"/>
          <w:marTop w:val="0"/>
          <w:marBottom w:val="0"/>
          <w:divBdr>
            <w:top w:val="none" w:sz="0" w:space="0" w:color="auto"/>
            <w:left w:val="none" w:sz="0" w:space="0" w:color="auto"/>
            <w:bottom w:val="none" w:sz="0" w:space="0" w:color="auto"/>
            <w:right w:val="none" w:sz="0" w:space="0" w:color="auto"/>
          </w:divBdr>
        </w:div>
        <w:div w:id="244263916">
          <w:marLeft w:val="0"/>
          <w:marRight w:val="0"/>
          <w:marTop w:val="0"/>
          <w:marBottom w:val="0"/>
          <w:divBdr>
            <w:top w:val="none" w:sz="0" w:space="0" w:color="auto"/>
            <w:left w:val="none" w:sz="0" w:space="0" w:color="auto"/>
            <w:bottom w:val="none" w:sz="0" w:space="0" w:color="auto"/>
            <w:right w:val="none" w:sz="0" w:space="0" w:color="auto"/>
          </w:divBdr>
        </w:div>
        <w:div w:id="322123211">
          <w:marLeft w:val="0"/>
          <w:marRight w:val="0"/>
          <w:marTop w:val="0"/>
          <w:marBottom w:val="0"/>
          <w:divBdr>
            <w:top w:val="none" w:sz="0" w:space="0" w:color="auto"/>
            <w:left w:val="none" w:sz="0" w:space="0" w:color="auto"/>
            <w:bottom w:val="none" w:sz="0" w:space="0" w:color="auto"/>
            <w:right w:val="none" w:sz="0" w:space="0" w:color="auto"/>
          </w:divBdr>
        </w:div>
        <w:div w:id="1081832702">
          <w:marLeft w:val="0"/>
          <w:marRight w:val="0"/>
          <w:marTop w:val="0"/>
          <w:marBottom w:val="0"/>
          <w:divBdr>
            <w:top w:val="none" w:sz="0" w:space="0" w:color="auto"/>
            <w:left w:val="none" w:sz="0" w:space="0" w:color="auto"/>
            <w:bottom w:val="none" w:sz="0" w:space="0" w:color="auto"/>
            <w:right w:val="none" w:sz="0" w:space="0" w:color="auto"/>
          </w:divBdr>
        </w:div>
        <w:div w:id="1503620633">
          <w:marLeft w:val="0"/>
          <w:marRight w:val="0"/>
          <w:marTop w:val="0"/>
          <w:marBottom w:val="0"/>
          <w:divBdr>
            <w:top w:val="none" w:sz="0" w:space="0" w:color="auto"/>
            <w:left w:val="none" w:sz="0" w:space="0" w:color="auto"/>
            <w:bottom w:val="none" w:sz="0" w:space="0" w:color="auto"/>
            <w:right w:val="none" w:sz="0" w:space="0" w:color="auto"/>
          </w:divBdr>
        </w:div>
        <w:div w:id="1818648832">
          <w:marLeft w:val="0"/>
          <w:marRight w:val="0"/>
          <w:marTop w:val="0"/>
          <w:marBottom w:val="0"/>
          <w:divBdr>
            <w:top w:val="none" w:sz="0" w:space="0" w:color="auto"/>
            <w:left w:val="none" w:sz="0" w:space="0" w:color="auto"/>
            <w:bottom w:val="none" w:sz="0" w:space="0" w:color="auto"/>
            <w:right w:val="none" w:sz="0" w:space="0" w:color="auto"/>
          </w:divBdr>
        </w:div>
        <w:div w:id="1648435318">
          <w:marLeft w:val="0"/>
          <w:marRight w:val="0"/>
          <w:marTop w:val="0"/>
          <w:marBottom w:val="0"/>
          <w:divBdr>
            <w:top w:val="none" w:sz="0" w:space="0" w:color="auto"/>
            <w:left w:val="none" w:sz="0" w:space="0" w:color="auto"/>
            <w:bottom w:val="none" w:sz="0" w:space="0" w:color="auto"/>
            <w:right w:val="none" w:sz="0" w:space="0" w:color="auto"/>
          </w:divBdr>
        </w:div>
        <w:div w:id="1617759709">
          <w:marLeft w:val="0"/>
          <w:marRight w:val="0"/>
          <w:marTop w:val="0"/>
          <w:marBottom w:val="0"/>
          <w:divBdr>
            <w:top w:val="none" w:sz="0" w:space="0" w:color="auto"/>
            <w:left w:val="none" w:sz="0" w:space="0" w:color="auto"/>
            <w:bottom w:val="none" w:sz="0" w:space="0" w:color="auto"/>
            <w:right w:val="none" w:sz="0" w:space="0" w:color="auto"/>
          </w:divBdr>
        </w:div>
        <w:div w:id="1453137883">
          <w:marLeft w:val="0"/>
          <w:marRight w:val="0"/>
          <w:marTop w:val="0"/>
          <w:marBottom w:val="0"/>
          <w:divBdr>
            <w:top w:val="none" w:sz="0" w:space="0" w:color="auto"/>
            <w:left w:val="none" w:sz="0" w:space="0" w:color="auto"/>
            <w:bottom w:val="none" w:sz="0" w:space="0" w:color="auto"/>
            <w:right w:val="none" w:sz="0" w:space="0" w:color="auto"/>
          </w:divBdr>
        </w:div>
        <w:div w:id="884027626">
          <w:marLeft w:val="0"/>
          <w:marRight w:val="0"/>
          <w:marTop w:val="0"/>
          <w:marBottom w:val="0"/>
          <w:divBdr>
            <w:top w:val="none" w:sz="0" w:space="0" w:color="auto"/>
            <w:left w:val="none" w:sz="0" w:space="0" w:color="auto"/>
            <w:bottom w:val="none" w:sz="0" w:space="0" w:color="auto"/>
            <w:right w:val="none" w:sz="0" w:space="0" w:color="auto"/>
          </w:divBdr>
        </w:div>
        <w:div w:id="395475258">
          <w:marLeft w:val="0"/>
          <w:marRight w:val="0"/>
          <w:marTop w:val="0"/>
          <w:marBottom w:val="0"/>
          <w:divBdr>
            <w:top w:val="none" w:sz="0" w:space="0" w:color="auto"/>
            <w:left w:val="none" w:sz="0" w:space="0" w:color="auto"/>
            <w:bottom w:val="none" w:sz="0" w:space="0" w:color="auto"/>
            <w:right w:val="none" w:sz="0" w:space="0" w:color="auto"/>
          </w:divBdr>
        </w:div>
        <w:div w:id="1572346986">
          <w:marLeft w:val="0"/>
          <w:marRight w:val="0"/>
          <w:marTop w:val="0"/>
          <w:marBottom w:val="0"/>
          <w:divBdr>
            <w:top w:val="none" w:sz="0" w:space="0" w:color="auto"/>
            <w:left w:val="none" w:sz="0" w:space="0" w:color="auto"/>
            <w:bottom w:val="none" w:sz="0" w:space="0" w:color="auto"/>
            <w:right w:val="none" w:sz="0" w:space="0" w:color="auto"/>
          </w:divBdr>
        </w:div>
        <w:div w:id="802385682">
          <w:marLeft w:val="0"/>
          <w:marRight w:val="0"/>
          <w:marTop w:val="0"/>
          <w:marBottom w:val="0"/>
          <w:divBdr>
            <w:top w:val="none" w:sz="0" w:space="0" w:color="auto"/>
            <w:left w:val="none" w:sz="0" w:space="0" w:color="auto"/>
            <w:bottom w:val="none" w:sz="0" w:space="0" w:color="auto"/>
            <w:right w:val="none" w:sz="0" w:space="0" w:color="auto"/>
          </w:divBdr>
        </w:div>
      </w:divsChild>
    </w:div>
    <w:div w:id="528832633">
      <w:bodyDiv w:val="1"/>
      <w:marLeft w:val="0"/>
      <w:marRight w:val="0"/>
      <w:marTop w:val="0"/>
      <w:marBottom w:val="0"/>
      <w:divBdr>
        <w:top w:val="none" w:sz="0" w:space="0" w:color="auto"/>
        <w:left w:val="none" w:sz="0" w:space="0" w:color="auto"/>
        <w:bottom w:val="none" w:sz="0" w:space="0" w:color="auto"/>
        <w:right w:val="none" w:sz="0" w:space="0" w:color="auto"/>
      </w:divBdr>
      <w:divsChild>
        <w:div w:id="1234657227">
          <w:marLeft w:val="0"/>
          <w:marRight w:val="0"/>
          <w:marTop w:val="0"/>
          <w:marBottom w:val="0"/>
          <w:divBdr>
            <w:top w:val="none" w:sz="0" w:space="0" w:color="auto"/>
            <w:left w:val="none" w:sz="0" w:space="0" w:color="auto"/>
            <w:bottom w:val="none" w:sz="0" w:space="0" w:color="auto"/>
            <w:right w:val="none" w:sz="0" w:space="0" w:color="auto"/>
          </w:divBdr>
        </w:div>
      </w:divsChild>
    </w:div>
    <w:div w:id="538317404">
      <w:bodyDiv w:val="1"/>
      <w:marLeft w:val="0"/>
      <w:marRight w:val="0"/>
      <w:marTop w:val="0"/>
      <w:marBottom w:val="0"/>
      <w:divBdr>
        <w:top w:val="none" w:sz="0" w:space="0" w:color="auto"/>
        <w:left w:val="none" w:sz="0" w:space="0" w:color="auto"/>
        <w:bottom w:val="none" w:sz="0" w:space="0" w:color="auto"/>
        <w:right w:val="none" w:sz="0" w:space="0" w:color="auto"/>
      </w:divBdr>
      <w:divsChild>
        <w:div w:id="353001438">
          <w:marLeft w:val="0"/>
          <w:marRight w:val="0"/>
          <w:marTop w:val="0"/>
          <w:marBottom w:val="0"/>
          <w:divBdr>
            <w:top w:val="none" w:sz="0" w:space="0" w:color="auto"/>
            <w:left w:val="none" w:sz="0" w:space="0" w:color="auto"/>
            <w:bottom w:val="none" w:sz="0" w:space="0" w:color="auto"/>
            <w:right w:val="none" w:sz="0" w:space="0" w:color="auto"/>
          </w:divBdr>
          <w:divsChild>
            <w:div w:id="1134248885">
              <w:marLeft w:val="0"/>
              <w:marRight w:val="0"/>
              <w:marTop w:val="0"/>
              <w:marBottom w:val="0"/>
              <w:divBdr>
                <w:top w:val="none" w:sz="0" w:space="0" w:color="auto"/>
                <w:left w:val="none" w:sz="0" w:space="0" w:color="auto"/>
                <w:bottom w:val="none" w:sz="0" w:space="0" w:color="auto"/>
                <w:right w:val="none" w:sz="0" w:space="0" w:color="auto"/>
              </w:divBdr>
              <w:divsChild>
                <w:div w:id="132936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271577">
          <w:marLeft w:val="0"/>
          <w:marRight w:val="0"/>
          <w:marTop w:val="0"/>
          <w:marBottom w:val="0"/>
          <w:divBdr>
            <w:top w:val="none" w:sz="0" w:space="0" w:color="auto"/>
            <w:left w:val="none" w:sz="0" w:space="0" w:color="auto"/>
            <w:bottom w:val="none" w:sz="0" w:space="0" w:color="auto"/>
            <w:right w:val="none" w:sz="0" w:space="0" w:color="auto"/>
          </w:divBdr>
          <w:divsChild>
            <w:div w:id="1213273679">
              <w:marLeft w:val="0"/>
              <w:marRight w:val="0"/>
              <w:marTop w:val="0"/>
              <w:marBottom w:val="0"/>
              <w:divBdr>
                <w:top w:val="none" w:sz="0" w:space="0" w:color="auto"/>
                <w:left w:val="none" w:sz="0" w:space="0" w:color="auto"/>
                <w:bottom w:val="none" w:sz="0" w:space="0" w:color="auto"/>
                <w:right w:val="none" w:sz="0" w:space="0" w:color="auto"/>
              </w:divBdr>
              <w:divsChild>
                <w:div w:id="1807553075">
                  <w:marLeft w:val="0"/>
                  <w:marRight w:val="0"/>
                  <w:marTop w:val="0"/>
                  <w:marBottom w:val="0"/>
                  <w:divBdr>
                    <w:top w:val="none" w:sz="0" w:space="0" w:color="auto"/>
                    <w:left w:val="none" w:sz="0" w:space="0" w:color="auto"/>
                    <w:bottom w:val="none" w:sz="0" w:space="0" w:color="auto"/>
                    <w:right w:val="none" w:sz="0" w:space="0" w:color="auto"/>
                  </w:divBdr>
                </w:div>
                <w:div w:id="10145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862075">
      <w:bodyDiv w:val="1"/>
      <w:marLeft w:val="0"/>
      <w:marRight w:val="0"/>
      <w:marTop w:val="0"/>
      <w:marBottom w:val="0"/>
      <w:divBdr>
        <w:top w:val="none" w:sz="0" w:space="0" w:color="auto"/>
        <w:left w:val="none" w:sz="0" w:space="0" w:color="auto"/>
        <w:bottom w:val="none" w:sz="0" w:space="0" w:color="auto"/>
        <w:right w:val="none" w:sz="0" w:space="0" w:color="auto"/>
      </w:divBdr>
    </w:div>
    <w:div w:id="547453989">
      <w:bodyDiv w:val="1"/>
      <w:marLeft w:val="0"/>
      <w:marRight w:val="0"/>
      <w:marTop w:val="0"/>
      <w:marBottom w:val="0"/>
      <w:divBdr>
        <w:top w:val="none" w:sz="0" w:space="0" w:color="auto"/>
        <w:left w:val="none" w:sz="0" w:space="0" w:color="auto"/>
        <w:bottom w:val="none" w:sz="0" w:space="0" w:color="auto"/>
        <w:right w:val="none" w:sz="0" w:space="0" w:color="auto"/>
      </w:divBdr>
      <w:divsChild>
        <w:div w:id="1411391007">
          <w:marLeft w:val="0"/>
          <w:marRight w:val="0"/>
          <w:marTop w:val="0"/>
          <w:marBottom w:val="0"/>
          <w:divBdr>
            <w:top w:val="none" w:sz="0" w:space="0" w:color="auto"/>
            <w:left w:val="none" w:sz="0" w:space="0" w:color="auto"/>
            <w:bottom w:val="none" w:sz="0" w:space="0" w:color="auto"/>
            <w:right w:val="none" w:sz="0" w:space="0" w:color="auto"/>
          </w:divBdr>
        </w:div>
      </w:divsChild>
    </w:div>
    <w:div w:id="555549341">
      <w:bodyDiv w:val="1"/>
      <w:marLeft w:val="0"/>
      <w:marRight w:val="0"/>
      <w:marTop w:val="0"/>
      <w:marBottom w:val="0"/>
      <w:divBdr>
        <w:top w:val="none" w:sz="0" w:space="0" w:color="auto"/>
        <w:left w:val="none" w:sz="0" w:space="0" w:color="auto"/>
        <w:bottom w:val="none" w:sz="0" w:space="0" w:color="auto"/>
        <w:right w:val="none" w:sz="0" w:space="0" w:color="auto"/>
      </w:divBdr>
      <w:divsChild>
        <w:div w:id="2102946230">
          <w:marLeft w:val="0"/>
          <w:marRight w:val="0"/>
          <w:marTop w:val="0"/>
          <w:marBottom w:val="0"/>
          <w:divBdr>
            <w:top w:val="none" w:sz="0" w:space="0" w:color="auto"/>
            <w:left w:val="none" w:sz="0" w:space="0" w:color="auto"/>
            <w:bottom w:val="none" w:sz="0" w:space="0" w:color="auto"/>
            <w:right w:val="none" w:sz="0" w:space="0" w:color="auto"/>
          </w:divBdr>
        </w:div>
      </w:divsChild>
    </w:div>
    <w:div w:id="556405552">
      <w:bodyDiv w:val="1"/>
      <w:marLeft w:val="0"/>
      <w:marRight w:val="0"/>
      <w:marTop w:val="0"/>
      <w:marBottom w:val="0"/>
      <w:divBdr>
        <w:top w:val="none" w:sz="0" w:space="0" w:color="auto"/>
        <w:left w:val="none" w:sz="0" w:space="0" w:color="auto"/>
        <w:bottom w:val="none" w:sz="0" w:space="0" w:color="auto"/>
        <w:right w:val="none" w:sz="0" w:space="0" w:color="auto"/>
      </w:divBdr>
      <w:divsChild>
        <w:div w:id="1141851966">
          <w:marLeft w:val="0"/>
          <w:marRight w:val="0"/>
          <w:marTop w:val="0"/>
          <w:marBottom w:val="0"/>
          <w:divBdr>
            <w:top w:val="none" w:sz="0" w:space="0" w:color="auto"/>
            <w:left w:val="none" w:sz="0" w:space="0" w:color="auto"/>
            <w:bottom w:val="none" w:sz="0" w:space="0" w:color="auto"/>
            <w:right w:val="none" w:sz="0" w:space="0" w:color="auto"/>
          </w:divBdr>
        </w:div>
      </w:divsChild>
    </w:div>
    <w:div w:id="560756236">
      <w:bodyDiv w:val="1"/>
      <w:marLeft w:val="0"/>
      <w:marRight w:val="0"/>
      <w:marTop w:val="0"/>
      <w:marBottom w:val="0"/>
      <w:divBdr>
        <w:top w:val="none" w:sz="0" w:space="0" w:color="auto"/>
        <w:left w:val="none" w:sz="0" w:space="0" w:color="auto"/>
        <w:bottom w:val="none" w:sz="0" w:space="0" w:color="auto"/>
        <w:right w:val="none" w:sz="0" w:space="0" w:color="auto"/>
      </w:divBdr>
      <w:divsChild>
        <w:div w:id="394548444">
          <w:marLeft w:val="0"/>
          <w:marRight w:val="0"/>
          <w:marTop w:val="0"/>
          <w:marBottom w:val="0"/>
          <w:divBdr>
            <w:top w:val="none" w:sz="0" w:space="0" w:color="auto"/>
            <w:left w:val="none" w:sz="0" w:space="0" w:color="auto"/>
            <w:bottom w:val="none" w:sz="0" w:space="0" w:color="auto"/>
            <w:right w:val="none" w:sz="0" w:space="0" w:color="auto"/>
          </w:divBdr>
        </w:div>
      </w:divsChild>
    </w:div>
    <w:div w:id="591934864">
      <w:bodyDiv w:val="1"/>
      <w:marLeft w:val="0"/>
      <w:marRight w:val="0"/>
      <w:marTop w:val="0"/>
      <w:marBottom w:val="0"/>
      <w:divBdr>
        <w:top w:val="none" w:sz="0" w:space="0" w:color="auto"/>
        <w:left w:val="none" w:sz="0" w:space="0" w:color="auto"/>
        <w:bottom w:val="none" w:sz="0" w:space="0" w:color="auto"/>
        <w:right w:val="none" w:sz="0" w:space="0" w:color="auto"/>
      </w:divBdr>
      <w:divsChild>
        <w:div w:id="1576672398">
          <w:marLeft w:val="0"/>
          <w:marRight w:val="0"/>
          <w:marTop w:val="0"/>
          <w:marBottom w:val="0"/>
          <w:divBdr>
            <w:top w:val="none" w:sz="0" w:space="0" w:color="auto"/>
            <w:left w:val="none" w:sz="0" w:space="0" w:color="auto"/>
            <w:bottom w:val="none" w:sz="0" w:space="0" w:color="auto"/>
            <w:right w:val="none" w:sz="0" w:space="0" w:color="auto"/>
          </w:divBdr>
          <w:divsChild>
            <w:div w:id="2104952988">
              <w:marLeft w:val="0"/>
              <w:marRight w:val="0"/>
              <w:marTop w:val="0"/>
              <w:marBottom w:val="0"/>
              <w:divBdr>
                <w:top w:val="none" w:sz="0" w:space="0" w:color="auto"/>
                <w:left w:val="none" w:sz="0" w:space="0" w:color="auto"/>
                <w:bottom w:val="none" w:sz="0" w:space="0" w:color="auto"/>
                <w:right w:val="none" w:sz="0" w:space="0" w:color="auto"/>
              </w:divBdr>
              <w:divsChild>
                <w:div w:id="13503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260501">
          <w:marLeft w:val="0"/>
          <w:marRight w:val="0"/>
          <w:marTop w:val="0"/>
          <w:marBottom w:val="0"/>
          <w:divBdr>
            <w:top w:val="none" w:sz="0" w:space="0" w:color="auto"/>
            <w:left w:val="none" w:sz="0" w:space="0" w:color="auto"/>
            <w:bottom w:val="none" w:sz="0" w:space="0" w:color="auto"/>
            <w:right w:val="none" w:sz="0" w:space="0" w:color="auto"/>
          </w:divBdr>
          <w:divsChild>
            <w:div w:id="536504450">
              <w:marLeft w:val="0"/>
              <w:marRight w:val="0"/>
              <w:marTop w:val="0"/>
              <w:marBottom w:val="0"/>
              <w:divBdr>
                <w:top w:val="none" w:sz="0" w:space="0" w:color="auto"/>
                <w:left w:val="none" w:sz="0" w:space="0" w:color="auto"/>
                <w:bottom w:val="none" w:sz="0" w:space="0" w:color="auto"/>
                <w:right w:val="none" w:sz="0" w:space="0" w:color="auto"/>
              </w:divBdr>
              <w:divsChild>
                <w:div w:id="307830834">
                  <w:marLeft w:val="0"/>
                  <w:marRight w:val="0"/>
                  <w:marTop w:val="0"/>
                  <w:marBottom w:val="0"/>
                  <w:divBdr>
                    <w:top w:val="none" w:sz="0" w:space="0" w:color="auto"/>
                    <w:left w:val="none" w:sz="0" w:space="0" w:color="auto"/>
                    <w:bottom w:val="none" w:sz="0" w:space="0" w:color="auto"/>
                    <w:right w:val="none" w:sz="0" w:space="0" w:color="auto"/>
                  </w:divBdr>
                </w:div>
                <w:div w:id="64527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442721">
      <w:bodyDiv w:val="1"/>
      <w:marLeft w:val="0"/>
      <w:marRight w:val="0"/>
      <w:marTop w:val="0"/>
      <w:marBottom w:val="0"/>
      <w:divBdr>
        <w:top w:val="none" w:sz="0" w:space="0" w:color="auto"/>
        <w:left w:val="none" w:sz="0" w:space="0" w:color="auto"/>
        <w:bottom w:val="none" w:sz="0" w:space="0" w:color="auto"/>
        <w:right w:val="none" w:sz="0" w:space="0" w:color="auto"/>
      </w:divBdr>
      <w:divsChild>
        <w:div w:id="501900232">
          <w:marLeft w:val="0"/>
          <w:marRight w:val="0"/>
          <w:marTop w:val="0"/>
          <w:marBottom w:val="0"/>
          <w:divBdr>
            <w:top w:val="none" w:sz="0" w:space="0" w:color="auto"/>
            <w:left w:val="none" w:sz="0" w:space="0" w:color="auto"/>
            <w:bottom w:val="none" w:sz="0" w:space="0" w:color="auto"/>
            <w:right w:val="none" w:sz="0" w:space="0" w:color="auto"/>
          </w:divBdr>
        </w:div>
      </w:divsChild>
    </w:div>
    <w:div w:id="597835996">
      <w:bodyDiv w:val="1"/>
      <w:marLeft w:val="0"/>
      <w:marRight w:val="0"/>
      <w:marTop w:val="0"/>
      <w:marBottom w:val="0"/>
      <w:divBdr>
        <w:top w:val="none" w:sz="0" w:space="0" w:color="auto"/>
        <w:left w:val="none" w:sz="0" w:space="0" w:color="auto"/>
        <w:bottom w:val="none" w:sz="0" w:space="0" w:color="auto"/>
        <w:right w:val="none" w:sz="0" w:space="0" w:color="auto"/>
      </w:divBdr>
      <w:divsChild>
        <w:div w:id="538708076">
          <w:marLeft w:val="0"/>
          <w:marRight w:val="0"/>
          <w:marTop w:val="0"/>
          <w:marBottom w:val="0"/>
          <w:divBdr>
            <w:top w:val="none" w:sz="0" w:space="0" w:color="auto"/>
            <w:left w:val="none" w:sz="0" w:space="0" w:color="auto"/>
            <w:bottom w:val="none" w:sz="0" w:space="0" w:color="auto"/>
            <w:right w:val="none" w:sz="0" w:space="0" w:color="auto"/>
          </w:divBdr>
        </w:div>
      </w:divsChild>
    </w:div>
    <w:div w:id="606042525">
      <w:bodyDiv w:val="1"/>
      <w:marLeft w:val="0"/>
      <w:marRight w:val="0"/>
      <w:marTop w:val="0"/>
      <w:marBottom w:val="0"/>
      <w:divBdr>
        <w:top w:val="none" w:sz="0" w:space="0" w:color="auto"/>
        <w:left w:val="none" w:sz="0" w:space="0" w:color="auto"/>
        <w:bottom w:val="none" w:sz="0" w:space="0" w:color="auto"/>
        <w:right w:val="none" w:sz="0" w:space="0" w:color="auto"/>
      </w:divBdr>
      <w:divsChild>
        <w:div w:id="2102529927">
          <w:marLeft w:val="0"/>
          <w:marRight w:val="0"/>
          <w:marTop w:val="0"/>
          <w:marBottom w:val="0"/>
          <w:divBdr>
            <w:top w:val="none" w:sz="0" w:space="0" w:color="auto"/>
            <w:left w:val="none" w:sz="0" w:space="0" w:color="auto"/>
            <w:bottom w:val="none" w:sz="0" w:space="0" w:color="auto"/>
            <w:right w:val="none" w:sz="0" w:space="0" w:color="auto"/>
          </w:divBdr>
        </w:div>
        <w:div w:id="930772013">
          <w:marLeft w:val="0"/>
          <w:marRight w:val="0"/>
          <w:marTop w:val="0"/>
          <w:marBottom w:val="0"/>
          <w:divBdr>
            <w:top w:val="none" w:sz="0" w:space="0" w:color="auto"/>
            <w:left w:val="none" w:sz="0" w:space="0" w:color="auto"/>
            <w:bottom w:val="none" w:sz="0" w:space="0" w:color="auto"/>
            <w:right w:val="none" w:sz="0" w:space="0" w:color="auto"/>
          </w:divBdr>
        </w:div>
        <w:div w:id="1009791838">
          <w:marLeft w:val="0"/>
          <w:marRight w:val="0"/>
          <w:marTop w:val="0"/>
          <w:marBottom w:val="0"/>
          <w:divBdr>
            <w:top w:val="none" w:sz="0" w:space="0" w:color="auto"/>
            <w:left w:val="none" w:sz="0" w:space="0" w:color="auto"/>
            <w:bottom w:val="none" w:sz="0" w:space="0" w:color="auto"/>
            <w:right w:val="none" w:sz="0" w:space="0" w:color="auto"/>
          </w:divBdr>
          <w:divsChild>
            <w:div w:id="516627446">
              <w:marLeft w:val="0"/>
              <w:marRight w:val="0"/>
              <w:marTop w:val="0"/>
              <w:marBottom w:val="0"/>
              <w:divBdr>
                <w:top w:val="none" w:sz="0" w:space="0" w:color="auto"/>
                <w:left w:val="none" w:sz="0" w:space="0" w:color="auto"/>
                <w:bottom w:val="none" w:sz="0" w:space="0" w:color="auto"/>
                <w:right w:val="none" w:sz="0" w:space="0" w:color="auto"/>
              </w:divBdr>
            </w:div>
          </w:divsChild>
        </w:div>
        <w:div w:id="1688022911">
          <w:marLeft w:val="0"/>
          <w:marRight w:val="0"/>
          <w:marTop w:val="0"/>
          <w:marBottom w:val="0"/>
          <w:divBdr>
            <w:top w:val="none" w:sz="0" w:space="0" w:color="auto"/>
            <w:left w:val="none" w:sz="0" w:space="0" w:color="auto"/>
            <w:bottom w:val="none" w:sz="0" w:space="0" w:color="auto"/>
            <w:right w:val="none" w:sz="0" w:space="0" w:color="auto"/>
          </w:divBdr>
          <w:divsChild>
            <w:div w:id="63079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245780">
      <w:bodyDiv w:val="1"/>
      <w:marLeft w:val="0"/>
      <w:marRight w:val="0"/>
      <w:marTop w:val="0"/>
      <w:marBottom w:val="0"/>
      <w:divBdr>
        <w:top w:val="none" w:sz="0" w:space="0" w:color="auto"/>
        <w:left w:val="none" w:sz="0" w:space="0" w:color="auto"/>
        <w:bottom w:val="none" w:sz="0" w:space="0" w:color="auto"/>
        <w:right w:val="none" w:sz="0" w:space="0" w:color="auto"/>
      </w:divBdr>
      <w:divsChild>
        <w:div w:id="14774764">
          <w:marLeft w:val="0"/>
          <w:marRight w:val="0"/>
          <w:marTop w:val="0"/>
          <w:marBottom w:val="0"/>
          <w:divBdr>
            <w:top w:val="none" w:sz="0" w:space="0" w:color="auto"/>
            <w:left w:val="none" w:sz="0" w:space="0" w:color="auto"/>
            <w:bottom w:val="none" w:sz="0" w:space="0" w:color="auto"/>
            <w:right w:val="none" w:sz="0" w:space="0" w:color="auto"/>
          </w:divBdr>
        </w:div>
      </w:divsChild>
    </w:div>
    <w:div w:id="645162007">
      <w:bodyDiv w:val="1"/>
      <w:marLeft w:val="0"/>
      <w:marRight w:val="0"/>
      <w:marTop w:val="0"/>
      <w:marBottom w:val="0"/>
      <w:divBdr>
        <w:top w:val="none" w:sz="0" w:space="0" w:color="auto"/>
        <w:left w:val="none" w:sz="0" w:space="0" w:color="auto"/>
        <w:bottom w:val="none" w:sz="0" w:space="0" w:color="auto"/>
        <w:right w:val="none" w:sz="0" w:space="0" w:color="auto"/>
      </w:divBdr>
      <w:divsChild>
        <w:div w:id="610747434">
          <w:marLeft w:val="0"/>
          <w:marRight w:val="0"/>
          <w:marTop w:val="0"/>
          <w:marBottom w:val="0"/>
          <w:divBdr>
            <w:top w:val="none" w:sz="0" w:space="0" w:color="auto"/>
            <w:left w:val="none" w:sz="0" w:space="0" w:color="auto"/>
            <w:bottom w:val="none" w:sz="0" w:space="0" w:color="auto"/>
            <w:right w:val="none" w:sz="0" w:space="0" w:color="auto"/>
          </w:divBdr>
        </w:div>
      </w:divsChild>
    </w:div>
    <w:div w:id="645861874">
      <w:bodyDiv w:val="1"/>
      <w:marLeft w:val="0"/>
      <w:marRight w:val="0"/>
      <w:marTop w:val="0"/>
      <w:marBottom w:val="0"/>
      <w:divBdr>
        <w:top w:val="none" w:sz="0" w:space="0" w:color="auto"/>
        <w:left w:val="none" w:sz="0" w:space="0" w:color="auto"/>
        <w:bottom w:val="none" w:sz="0" w:space="0" w:color="auto"/>
        <w:right w:val="none" w:sz="0" w:space="0" w:color="auto"/>
      </w:divBdr>
    </w:div>
    <w:div w:id="662859259">
      <w:bodyDiv w:val="1"/>
      <w:marLeft w:val="0"/>
      <w:marRight w:val="0"/>
      <w:marTop w:val="0"/>
      <w:marBottom w:val="0"/>
      <w:divBdr>
        <w:top w:val="none" w:sz="0" w:space="0" w:color="auto"/>
        <w:left w:val="none" w:sz="0" w:space="0" w:color="auto"/>
        <w:bottom w:val="none" w:sz="0" w:space="0" w:color="auto"/>
        <w:right w:val="none" w:sz="0" w:space="0" w:color="auto"/>
      </w:divBdr>
      <w:divsChild>
        <w:div w:id="848641650">
          <w:marLeft w:val="0"/>
          <w:marRight w:val="0"/>
          <w:marTop w:val="0"/>
          <w:marBottom w:val="0"/>
          <w:divBdr>
            <w:top w:val="none" w:sz="0" w:space="0" w:color="auto"/>
            <w:left w:val="none" w:sz="0" w:space="0" w:color="auto"/>
            <w:bottom w:val="none" w:sz="0" w:space="0" w:color="auto"/>
            <w:right w:val="none" w:sz="0" w:space="0" w:color="auto"/>
          </w:divBdr>
        </w:div>
      </w:divsChild>
    </w:div>
    <w:div w:id="668946202">
      <w:bodyDiv w:val="1"/>
      <w:marLeft w:val="0"/>
      <w:marRight w:val="0"/>
      <w:marTop w:val="0"/>
      <w:marBottom w:val="0"/>
      <w:divBdr>
        <w:top w:val="none" w:sz="0" w:space="0" w:color="auto"/>
        <w:left w:val="none" w:sz="0" w:space="0" w:color="auto"/>
        <w:bottom w:val="none" w:sz="0" w:space="0" w:color="auto"/>
        <w:right w:val="none" w:sz="0" w:space="0" w:color="auto"/>
      </w:divBdr>
      <w:divsChild>
        <w:div w:id="1811556689">
          <w:marLeft w:val="0"/>
          <w:marRight w:val="0"/>
          <w:marTop w:val="0"/>
          <w:marBottom w:val="0"/>
          <w:divBdr>
            <w:top w:val="none" w:sz="0" w:space="0" w:color="auto"/>
            <w:left w:val="none" w:sz="0" w:space="0" w:color="auto"/>
            <w:bottom w:val="none" w:sz="0" w:space="0" w:color="auto"/>
            <w:right w:val="none" w:sz="0" w:space="0" w:color="auto"/>
          </w:divBdr>
        </w:div>
      </w:divsChild>
    </w:div>
    <w:div w:id="672294426">
      <w:bodyDiv w:val="1"/>
      <w:marLeft w:val="0"/>
      <w:marRight w:val="0"/>
      <w:marTop w:val="0"/>
      <w:marBottom w:val="0"/>
      <w:divBdr>
        <w:top w:val="none" w:sz="0" w:space="0" w:color="auto"/>
        <w:left w:val="none" w:sz="0" w:space="0" w:color="auto"/>
        <w:bottom w:val="none" w:sz="0" w:space="0" w:color="auto"/>
        <w:right w:val="none" w:sz="0" w:space="0" w:color="auto"/>
      </w:divBdr>
      <w:divsChild>
        <w:div w:id="216744312">
          <w:marLeft w:val="0"/>
          <w:marRight w:val="0"/>
          <w:marTop w:val="0"/>
          <w:marBottom w:val="0"/>
          <w:divBdr>
            <w:top w:val="none" w:sz="0" w:space="0" w:color="auto"/>
            <w:left w:val="none" w:sz="0" w:space="0" w:color="auto"/>
            <w:bottom w:val="none" w:sz="0" w:space="0" w:color="auto"/>
            <w:right w:val="none" w:sz="0" w:space="0" w:color="auto"/>
          </w:divBdr>
        </w:div>
      </w:divsChild>
    </w:div>
    <w:div w:id="691493028">
      <w:bodyDiv w:val="1"/>
      <w:marLeft w:val="0"/>
      <w:marRight w:val="0"/>
      <w:marTop w:val="0"/>
      <w:marBottom w:val="0"/>
      <w:divBdr>
        <w:top w:val="none" w:sz="0" w:space="0" w:color="auto"/>
        <w:left w:val="none" w:sz="0" w:space="0" w:color="auto"/>
        <w:bottom w:val="none" w:sz="0" w:space="0" w:color="auto"/>
        <w:right w:val="none" w:sz="0" w:space="0" w:color="auto"/>
      </w:divBdr>
      <w:divsChild>
        <w:div w:id="1834762422">
          <w:marLeft w:val="0"/>
          <w:marRight w:val="0"/>
          <w:marTop w:val="0"/>
          <w:marBottom w:val="0"/>
          <w:divBdr>
            <w:top w:val="none" w:sz="0" w:space="0" w:color="auto"/>
            <w:left w:val="none" w:sz="0" w:space="0" w:color="auto"/>
            <w:bottom w:val="none" w:sz="0" w:space="0" w:color="auto"/>
            <w:right w:val="none" w:sz="0" w:space="0" w:color="auto"/>
          </w:divBdr>
        </w:div>
      </w:divsChild>
    </w:div>
    <w:div w:id="697194960">
      <w:bodyDiv w:val="1"/>
      <w:marLeft w:val="0"/>
      <w:marRight w:val="0"/>
      <w:marTop w:val="0"/>
      <w:marBottom w:val="0"/>
      <w:divBdr>
        <w:top w:val="none" w:sz="0" w:space="0" w:color="auto"/>
        <w:left w:val="none" w:sz="0" w:space="0" w:color="auto"/>
        <w:bottom w:val="none" w:sz="0" w:space="0" w:color="auto"/>
        <w:right w:val="none" w:sz="0" w:space="0" w:color="auto"/>
      </w:divBdr>
    </w:div>
    <w:div w:id="707030881">
      <w:bodyDiv w:val="1"/>
      <w:marLeft w:val="0"/>
      <w:marRight w:val="0"/>
      <w:marTop w:val="0"/>
      <w:marBottom w:val="0"/>
      <w:divBdr>
        <w:top w:val="none" w:sz="0" w:space="0" w:color="auto"/>
        <w:left w:val="none" w:sz="0" w:space="0" w:color="auto"/>
        <w:bottom w:val="none" w:sz="0" w:space="0" w:color="auto"/>
        <w:right w:val="none" w:sz="0" w:space="0" w:color="auto"/>
      </w:divBdr>
      <w:divsChild>
        <w:div w:id="1299067178">
          <w:marLeft w:val="0"/>
          <w:marRight w:val="0"/>
          <w:marTop w:val="0"/>
          <w:marBottom w:val="0"/>
          <w:divBdr>
            <w:top w:val="none" w:sz="0" w:space="0" w:color="auto"/>
            <w:left w:val="none" w:sz="0" w:space="0" w:color="auto"/>
            <w:bottom w:val="none" w:sz="0" w:space="0" w:color="auto"/>
            <w:right w:val="none" w:sz="0" w:space="0" w:color="auto"/>
          </w:divBdr>
          <w:divsChild>
            <w:div w:id="1647277897">
              <w:marLeft w:val="0"/>
              <w:marRight w:val="0"/>
              <w:marTop w:val="0"/>
              <w:marBottom w:val="0"/>
              <w:divBdr>
                <w:top w:val="none" w:sz="0" w:space="0" w:color="auto"/>
                <w:left w:val="none" w:sz="0" w:space="0" w:color="auto"/>
                <w:bottom w:val="none" w:sz="0" w:space="0" w:color="auto"/>
                <w:right w:val="none" w:sz="0" w:space="0" w:color="auto"/>
              </w:divBdr>
              <w:divsChild>
                <w:div w:id="92595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9314">
          <w:marLeft w:val="0"/>
          <w:marRight w:val="0"/>
          <w:marTop w:val="0"/>
          <w:marBottom w:val="0"/>
          <w:divBdr>
            <w:top w:val="none" w:sz="0" w:space="0" w:color="auto"/>
            <w:left w:val="none" w:sz="0" w:space="0" w:color="auto"/>
            <w:bottom w:val="none" w:sz="0" w:space="0" w:color="auto"/>
            <w:right w:val="none" w:sz="0" w:space="0" w:color="auto"/>
          </w:divBdr>
          <w:divsChild>
            <w:div w:id="1083261497">
              <w:marLeft w:val="0"/>
              <w:marRight w:val="0"/>
              <w:marTop w:val="0"/>
              <w:marBottom w:val="0"/>
              <w:divBdr>
                <w:top w:val="none" w:sz="0" w:space="0" w:color="auto"/>
                <w:left w:val="none" w:sz="0" w:space="0" w:color="auto"/>
                <w:bottom w:val="none" w:sz="0" w:space="0" w:color="auto"/>
                <w:right w:val="none" w:sz="0" w:space="0" w:color="auto"/>
              </w:divBdr>
              <w:divsChild>
                <w:div w:id="715273818">
                  <w:marLeft w:val="0"/>
                  <w:marRight w:val="0"/>
                  <w:marTop w:val="0"/>
                  <w:marBottom w:val="0"/>
                  <w:divBdr>
                    <w:top w:val="none" w:sz="0" w:space="0" w:color="auto"/>
                    <w:left w:val="none" w:sz="0" w:space="0" w:color="auto"/>
                    <w:bottom w:val="none" w:sz="0" w:space="0" w:color="auto"/>
                    <w:right w:val="none" w:sz="0" w:space="0" w:color="auto"/>
                  </w:divBdr>
                </w:div>
                <w:div w:id="80092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225414">
      <w:bodyDiv w:val="1"/>
      <w:marLeft w:val="0"/>
      <w:marRight w:val="0"/>
      <w:marTop w:val="0"/>
      <w:marBottom w:val="0"/>
      <w:divBdr>
        <w:top w:val="none" w:sz="0" w:space="0" w:color="auto"/>
        <w:left w:val="none" w:sz="0" w:space="0" w:color="auto"/>
        <w:bottom w:val="none" w:sz="0" w:space="0" w:color="auto"/>
        <w:right w:val="none" w:sz="0" w:space="0" w:color="auto"/>
      </w:divBdr>
      <w:divsChild>
        <w:div w:id="1099907848">
          <w:marLeft w:val="0"/>
          <w:marRight w:val="0"/>
          <w:marTop w:val="0"/>
          <w:marBottom w:val="0"/>
          <w:divBdr>
            <w:top w:val="none" w:sz="0" w:space="0" w:color="auto"/>
            <w:left w:val="none" w:sz="0" w:space="0" w:color="auto"/>
            <w:bottom w:val="none" w:sz="0" w:space="0" w:color="auto"/>
            <w:right w:val="none" w:sz="0" w:space="0" w:color="auto"/>
          </w:divBdr>
          <w:divsChild>
            <w:div w:id="448283965">
              <w:marLeft w:val="0"/>
              <w:marRight w:val="0"/>
              <w:marTop w:val="0"/>
              <w:marBottom w:val="0"/>
              <w:divBdr>
                <w:top w:val="none" w:sz="0" w:space="0" w:color="auto"/>
                <w:left w:val="none" w:sz="0" w:space="0" w:color="auto"/>
                <w:bottom w:val="none" w:sz="0" w:space="0" w:color="auto"/>
                <w:right w:val="none" w:sz="0" w:space="0" w:color="auto"/>
              </w:divBdr>
              <w:divsChild>
                <w:div w:id="459306557">
                  <w:marLeft w:val="0"/>
                  <w:marRight w:val="0"/>
                  <w:marTop w:val="0"/>
                  <w:marBottom w:val="0"/>
                  <w:divBdr>
                    <w:top w:val="none" w:sz="0" w:space="0" w:color="auto"/>
                    <w:left w:val="none" w:sz="0" w:space="0" w:color="auto"/>
                    <w:bottom w:val="none" w:sz="0" w:space="0" w:color="auto"/>
                    <w:right w:val="none" w:sz="0" w:space="0" w:color="auto"/>
                  </w:divBdr>
                  <w:divsChild>
                    <w:div w:id="122186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373563">
      <w:bodyDiv w:val="1"/>
      <w:marLeft w:val="0"/>
      <w:marRight w:val="0"/>
      <w:marTop w:val="0"/>
      <w:marBottom w:val="0"/>
      <w:divBdr>
        <w:top w:val="none" w:sz="0" w:space="0" w:color="auto"/>
        <w:left w:val="none" w:sz="0" w:space="0" w:color="auto"/>
        <w:bottom w:val="none" w:sz="0" w:space="0" w:color="auto"/>
        <w:right w:val="none" w:sz="0" w:space="0" w:color="auto"/>
      </w:divBdr>
    </w:div>
    <w:div w:id="745104769">
      <w:bodyDiv w:val="1"/>
      <w:marLeft w:val="0"/>
      <w:marRight w:val="0"/>
      <w:marTop w:val="0"/>
      <w:marBottom w:val="0"/>
      <w:divBdr>
        <w:top w:val="none" w:sz="0" w:space="0" w:color="auto"/>
        <w:left w:val="none" w:sz="0" w:space="0" w:color="auto"/>
        <w:bottom w:val="none" w:sz="0" w:space="0" w:color="auto"/>
        <w:right w:val="none" w:sz="0" w:space="0" w:color="auto"/>
      </w:divBdr>
      <w:divsChild>
        <w:div w:id="734932396">
          <w:marLeft w:val="0"/>
          <w:marRight w:val="0"/>
          <w:marTop w:val="0"/>
          <w:marBottom w:val="0"/>
          <w:divBdr>
            <w:top w:val="none" w:sz="0" w:space="0" w:color="auto"/>
            <w:left w:val="none" w:sz="0" w:space="0" w:color="auto"/>
            <w:bottom w:val="none" w:sz="0" w:space="0" w:color="auto"/>
            <w:right w:val="none" w:sz="0" w:space="0" w:color="auto"/>
          </w:divBdr>
          <w:divsChild>
            <w:div w:id="133800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5494">
      <w:bodyDiv w:val="1"/>
      <w:marLeft w:val="0"/>
      <w:marRight w:val="0"/>
      <w:marTop w:val="0"/>
      <w:marBottom w:val="0"/>
      <w:divBdr>
        <w:top w:val="none" w:sz="0" w:space="0" w:color="auto"/>
        <w:left w:val="none" w:sz="0" w:space="0" w:color="auto"/>
        <w:bottom w:val="none" w:sz="0" w:space="0" w:color="auto"/>
        <w:right w:val="none" w:sz="0" w:space="0" w:color="auto"/>
      </w:divBdr>
    </w:div>
    <w:div w:id="748431482">
      <w:bodyDiv w:val="1"/>
      <w:marLeft w:val="0"/>
      <w:marRight w:val="0"/>
      <w:marTop w:val="0"/>
      <w:marBottom w:val="0"/>
      <w:divBdr>
        <w:top w:val="none" w:sz="0" w:space="0" w:color="auto"/>
        <w:left w:val="none" w:sz="0" w:space="0" w:color="auto"/>
        <w:bottom w:val="none" w:sz="0" w:space="0" w:color="auto"/>
        <w:right w:val="none" w:sz="0" w:space="0" w:color="auto"/>
      </w:divBdr>
      <w:divsChild>
        <w:div w:id="1345012478">
          <w:marLeft w:val="0"/>
          <w:marRight w:val="0"/>
          <w:marTop w:val="0"/>
          <w:marBottom w:val="0"/>
          <w:divBdr>
            <w:top w:val="none" w:sz="0" w:space="0" w:color="auto"/>
            <w:left w:val="none" w:sz="0" w:space="0" w:color="auto"/>
            <w:bottom w:val="none" w:sz="0" w:space="0" w:color="auto"/>
            <w:right w:val="none" w:sz="0" w:space="0" w:color="auto"/>
          </w:divBdr>
        </w:div>
      </w:divsChild>
    </w:div>
    <w:div w:id="754396534">
      <w:bodyDiv w:val="1"/>
      <w:marLeft w:val="0"/>
      <w:marRight w:val="0"/>
      <w:marTop w:val="0"/>
      <w:marBottom w:val="0"/>
      <w:divBdr>
        <w:top w:val="none" w:sz="0" w:space="0" w:color="auto"/>
        <w:left w:val="none" w:sz="0" w:space="0" w:color="auto"/>
        <w:bottom w:val="none" w:sz="0" w:space="0" w:color="auto"/>
        <w:right w:val="none" w:sz="0" w:space="0" w:color="auto"/>
      </w:divBdr>
      <w:divsChild>
        <w:div w:id="1893032538">
          <w:marLeft w:val="0"/>
          <w:marRight w:val="0"/>
          <w:marTop w:val="0"/>
          <w:marBottom w:val="0"/>
          <w:divBdr>
            <w:top w:val="none" w:sz="0" w:space="0" w:color="auto"/>
            <w:left w:val="none" w:sz="0" w:space="0" w:color="auto"/>
            <w:bottom w:val="none" w:sz="0" w:space="0" w:color="auto"/>
            <w:right w:val="none" w:sz="0" w:space="0" w:color="auto"/>
          </w:divBdr>
        </w:div>
      </w:divsChild>
    </w:div>
    <w:div w:id="768507011">
      <w:bodyDiv w:val="1"/>
      <w:marLeft w:val="0"/>
      <w:marRight w:val="0"/>
      <w:marTop w:val="0"/>
      <w:marBottom w:val="0"/>
      <w:divBdr>
        <w:top w:val="none" w:sz="0" w:space="0" w:color="auto"/>
        <w:left w:val="none" w:sz="0" w:space="0" w:color="auto"/>
        <w:bottom w:val="none" w:sz="0" w:space="0" w:color="auto"/>
        <w:right w:val="none" w:sz="0" w:space="0" w:color="auto"/>
      </w:divBdr>
    </w:div>
    <w:div w:id="769352615">
      <w:bodyDiv w:val="1"/>
      <w:marLeft w:val="0"/>
      <w:marRight w:val="0"/>
      <w:marTop w:val="0"/>
      <w:marBottom w:val="0"/>
      <w:divBdr>
        <w:top w:val="none" w:sz="0" w:space="0" w:color="auto"/>
        <w:left w:val="none" w:sz="0" w:space="0" w:color="auto"/>
        <w:bottom w:val="none" w:sz="0" w:space="0" w:color="auto"/>
        <w:right w:val="none" w:sz="0" w:space="0" w:color="auto"/>
      </w:divBdr>
    </w:div>
    <w:div w:id="776143616">
      <w:bodyDiv w:val="1"/>
      <w:marLeft w:val="0"/>
      <w:marRight w:val="0"/>
      <w:marTop w:val="0"/>
      <w:marBottom w:val="0"/>
      <w:divBdr>
        <w:top w:val="none" w:sz="0" w:space="0" w:color="auto"/>
        <w:left w:val="none" w:sz="0" w:space="0" w:color="auto"/>
        <w:bottom w:val="none" w:sz="0" w:space="0" w:color="auto"/>
        <w:right w:val="none" w:sz="0" w:space="0" w:color="auto"/>
      </w:divBdr>
      <w:divsChild>
        <w:div w:id="3939538">
          <w:marLeft w:val="0"/>
          <w:marRight w:val="0"/>
          <w:marTop w:val="0"/>
          <w:marBottom w:val="0"/>
          <w:divBdr>
            <w:top w:val="none" w:sz="0" w:space="0" w:color="auto"/>
            <w:left w:val="none" w:sz="0" w:space="0" w:color="auto"/>
            <w:bottom w:val="none" w:sz="0" w:space="0" w:color="auto"/>
            <w:right w:val="none" w:sz="0" w:space="0" w:color="auto"/>
          </w:divBdr>
        </w:div>
        <w:div w:id="1178500451">
          <w:marLeft w:val="0"/>
          <w:marRight w:val="0"/>
          <w:marTop w:val="0"/>
          <w:marBottom w:val="0"/>
          <w:divBdr>
            <w:top w:val="none" w:sz="0" w:space="0" w:color="auto"/>
            <w:left w:val="none" w:sz="0" w:space="0" w:color="auto"/>
            <w:bottom w:val="none" w:sz="0" w:space="0" w:color="auto"/>
            <w:right w:val="none" w:sz="0" w:space="0" w:color="auto"/>
          </w:divBdr>
        </w:div>
        <w:div w:id="1641570308">
          <w:marLeft w:val="0"/>
          <w:marRight w:val="0"/>
          <w:marTop w:val="0"/>
          <w:marBottom w:val="0"/>
          <w:divBdr>
            <w:top w:val="none" w:sz="0" w:space="0" w:color="auto"/>
            <w:left w:val="none" w:sz="0" w:space="0" w:color="auto"/>
            <w:bottom w:val="none" w:sz="0" w:space="0" w:color="auto"/>
            <w:right w:val="none" w:sz="0" w:space="0" w:color="auto"/>
          </w:divBdr>
        </w:div>
        <w:div w:id="248537406">
          <w:marLeft w:val="0"/>
          <w:marRight w:val="0"/>
          <w:marTop w:val="0"/>
          <w:marBottom w:val="0"/>
          <w:divBdr>
            <w:top w:val="none" w:sz="0" w:space="0" w:color="auto"/>
            <w:left w:val="none" w:sz="0" w:space="0" w:color="auto"/>
            <w:bottom w:val="none" w:sz="0" w:space="0" w:color="auto"/>
            <w:right w:val="none" w:sz="0" w:space="0" w:color="auto"/>
          </w:divBdr>
        </w:div>
      </w:divsChild>
    </w:div>
    <w:div w:id="783502848">
      <w:bodyDiv w:val="1"/>
      <w:marLeft w:val="0"/>
      <w:marRight w:val="0"/>
      <w:marTop w:val="0"/>
      <w:marBottom w:val="0"/>
      <w:divBdr>
        <w:top w:val="none" w:sz="0" w:space="0" w:color="auto"/>
        <w:left w:val="none" w:sz="0" w:space="0" w:color="auto"/>
        <w:bottom w:val="none" w:sz="0" w:space="0" w:color="auto"/>
        <w:right w:val="none" w:sz="0" w:space="0" w:color="auto"/>
      </w:divBdr>
      <w:divsChild>
        <w:div w:id="369766571">
          <w:marLeft w:val="0"/>
          <w:marRight w:val="0"/>
          <w:marTop w:val="0"/>
          <w:marBottom w:val="0"/>
          <w:divBdr>
            <w:top w:val="none" w:sz="0" w:space="0" w:color="auto"/>
            <w:left w:val="none" w:sz="0" w:space="0" w:color="auto"/>
            <w:bottom w:val="none" w:sz="0" w:space="0" w:color="auto"/>
            <w:right w:val="none" w:sz="0" w:space="0" w:color="auto"/>
          </w:divBdr>
        </w:div>
      </w:divsChild>
    </w:div>
    <w:div w:id="802622864">
      <w:bodyDiv w:val="1"/>
      <w:marLeft w:val="0"/>
      <w:marRight w:val="0"/>
      <w:marTop w:val="0"/>
      <w:marBottom w:val="0"/>
      <w:divBdr>
        <w:top w:val="none" w:sz="0" w:space="0" w:color="auto"/>
        <w:left w:val="none" w:sz="0" w:space="0" w:color="auto"/>
        <w:bottom w:val="none" w:sz="0" w:space="0" w:color="auto"/>
        <w:right w:val="none" w:sz="0" w:space="0" w:color="auto"/>
      </w:divBdr>
      <w:divsChild>
        <w:div w:id="1219971926">
          <w:marLeft w:val="0"/>
          <w:marRight w:val="0"/>
          <w:marTop w:val="0"/>
          <w:marBottom w:val="0"/>
          <w:divBdr>
            <w:top w:val="none" w:sz="0" w:space="0" w:color="auto"/>
            <w:left w:val="none" w:sz="0" w:space="0" w:color="auto"/>
            <w:bottom w:val="none" w:sz="0" w:space="0" w:color="auto"/>
            <w:right w:val="none" w:sz="0" w:space="0" w:color="auto"/>
          </w:divBdr>
        </w:div>
        <w:div w:id="1181892040">
          <w:marLeft w:val="0"/>
          <w:marRight w:val="0"/>
          <w:marTop w:val="0"/>
          <w:marBottom w:val="0"/>
          <w:divBdr>
            <w:top w:val="none" w:sz="0" w:space="0" w:color="auto"/>
            <w:left w:val="none" w:sz="0" w:space="0" w:color="auto"/>
            <w:bottom w:val="none" w:sz="0" w:space="0" w:color="auto"/>
            <w:right w:val="none" w:sz="0" w:space="0" w:color="auto"/>
          </w:divBdr>
        </w:div>
        <w:div w:id="1064720986">
          <w:marLeft w:val="0"/>
          <w:marRight w:val="0"/>
          <w:marTop w:val="0"/>
          <w:marBottom w:val="0"/>
          <w:divBdr>
            <w:top w:val="none" w:sz="0" w:space="0" w:color="auto"/>
            <w:left w:val="none" w:sz="0" w:space="0" w:color="auto"/>
            <w:bottom w:val="none" w:sz="0" w:space="0" w:color="auto"/>
            <w:right w:val="none" w:sz="0" w:space="0" w:color="auto"/>
          </w:divBdr>
        </w:div>
        <w:div w:id="1031683201">
          <w:marLeft w:val="0"/>
          <w:marRight w:val="0"/>
          <w:marTop w:val="0"/>
          <w:marBottom w:val="0"/>
          <w:divBdr>
            <w:top w:val="none" w:sz="0" w:space="0" w:color="auto"/>
            <w:left w:val="none" w:sz="0" w:space="0" w:color="auto"/>
            <w:bottom w:val="none" w:sz="0" w:space="0" w:color="auto"/>
            <w:right w:val="none" w:sz="0" w:space="0" w:color="auto"/>
          </w:divBdr>
          <w:divsChild>
            <w:div w:id="147340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83633">
      <w:bodyDiv w:val="1"/>
      <w:marLeft w:val="0"/>
      <w:marRight w:val="0"/>
      <w:marTop w:val="0"/>
      <w:marBottom w:val="0"/>
      <w:divBdr>
        <w:top w:val="none" w:sz="0" w:space="0" w:color="auto"/>
        <w:left w:val="none" w:sz="0" w:space="0" w:color="auto"/>
        <w:bottom w:val="none" w:sz="0" w:space="0" w:color="auto"/>
        <w:right w:val="none" w:sz="0" w:space="0" w:color="auto"/>
      </w:divBdr>
      <w:divsChild>
        <w:div w:id="1962760166">
          <w:marLeft w:val="0"/>
          <w:marRight w:val="0"/>
          <w:marTop w:val="0"/>
          <w:marBottom w:val="0"/>
          <w:divBdr>
            <w:top w:val="none" w:sz="0" w:space="0" w:color="auto"/>
            <w:left w:val="none" w:sz="0" w:space="0" w:color="auto"/>
            <w:bottom w:val="none" w:sz="0" w:space="0" w:color="auto"/>
            <w:right w:val="none" w:sz="0" w:space="0" w:color="auto"/>
          </w:divBdr>
        </w:div>
      </w:divsChild>
    </w:div>
    <w:div w:id="808136824">
      <w:bodyDiv w:val="1"/>
      <w:marLeft w:val="0"/>
      <w:marRight w:val="0"/>
      <w:marTop w:val="0"/>
      <w:marBottom w:val="0"/>
      <w:divBdr>
        <w:top w:val="none" w:sz="0" w:space="0" w:color="auto"/>
        <w:left w:val="none" w:sz="0" w:space="0" w:color="auto"/>
        <w:bottom w:val="none" w:sz="0" w:space="0" w:color="auto"/>
        <w:right w:val="none" w:sz="0" w:space="0" w:color="auto"/>
      </w:divBdr>
    </w:div>
    <w:div w:id="808866241">
      <w:bodyDiv w:val="1"/>
      <w:marLeft w:val="0"/>
      <w:marRight w:val="0"/>
      <w:marTop w:val="0"/>
      <w:marBottom w:val="0"/>
      <w:divBdr>
        <w:top w:val="none" w:sz="0" w:space="0" w:color="auto"/>
        <w:left w:val="none" w:sz="0" w:space="0" w:color="auto"/>
        <w:bottom w:val="none" w:sz="0" w:space="0" w:color="auto"/>
        <w:right w:val="none" w:sz="0" w:space="0" w:color="auto"/>
      </w:divBdr>
    </w:div>
    <w:div w:id="810635927">
      <w:bodyDiv w:val="1"/>
      <w:marLeft w:val="0"/>
      <w:marRight w:val="0"/>
      <w:marTop w:val="0"/>
      <w:marBottom w:val="0"/>
      <w:divBdr>
        <w:top w:val="none" w:sz="0" w:space="0" w:color="auto"/>
        <w:left w:val="none" w:sz="0" w:space="0" w:color="auto"/>
        <w:bottom w:val="none" w:sz="0" w:space="0" w:color="auto"/>
        <w:right w:val="none" w:sz="0" w:space="0" w:color="auto"/>
      </w:divBdr>
      <w:divsChild>
        <w:div w:id="1870337597">
          <w:marLeft w:val="0"/>
          <w:marRight w:val="0"/>
          <w:marTop w:val="0"/>
          <w:marBottom w:val="0"/>
          <w:divBdr>
            <w:top w:val="none" w:sz="0" w:space="0" w:color="auto"/>
            <w:left w:val="none" w:sz="0" w:space="0" w:color="auto"/>
            <w:bottom w:val="none" w:sz="0" w:space="0" w:color="auto"/>
            <w:right w:val="none" w:sz="0" w:space="0" w:color="auto"/>
          </w:divBdr>
        </w:div>
      </w:divsChild>
    </w:div>
    <w:div w:id="822547603">
      <w:bodyDiv w:val="1"/>
      <w:marLeft w:val="0"/>
      <w:marRight w:val="0"/>
      <w:marTop w:val="0"/>
      <w:marBottom w:val="0"/>
      <w:divBdr>
        <w:top w:val="none" w:sz="0" w:space="0" w:color="auto"/>
        <w:left w:val="none" w:sz="0" w:space="0" w:color="auto"/>
        <w:bottom w:val="none" w:sz="0" w:space="0" w:color="auto"/>
        <w:right w:val="none" w:sz="0" w:space="0" w:color="auto"/>
      </w:divBdr>
      <w:divsChild>
        <w:div w:id="1697542166">
          <w:marLeft w:val="0"/>
          <w:marRight w:val="0"/>
          <w:marTop w:val="0"/>
          <w:marBottom w:val="0"/>
          <w:divBdr>
            <w:top w:val="none" w:sz="0" w:space="0" w:color="auto"/>
            <w:left w:val="none" w:sz="0" w:space="0" w:color="auto"/>
            <w:bottom w:val="none" w:sz="0" w:space="0" w:color="auto"/>
            <w:right w:val="none" w:sz="0" w:space="0" w:color="auto"/>
          </w:divBdr>
        </w:div>
      </w:divsChild>
    </w:div>
    <w:div w:id="832646898">
      <w:bodyDiv w:val="1"/>
      <w:marLeft w:val="0"/>
      <w:marRight w:val="0"/>
      <w:marTop w:val="0"/>
      <w:marBottom w:val="0"/>
      <w:divBdr>
        <w:top w:val="none" w:sz="0" w:space="0" w:color="auto"/>
        <w:left w:val="none" w:sz="0" w:space="0" w:color="auto"/>
        <w:bottom w:val="none" w:sz="0" w:space="0" w:color="auto"/>
        <w:right w:val="none" w:sz="0" w:space="0" w:color="auto"/>
      </w:divBdr>
    </w:div>
    <w:div w:id="838734066">
      <w:bodyDiv w:val="1"/>
      <w:marLeft w:val="0"/>
      <w:marRight w:val="0"/>
      <w:marTop w:val="0"/>
      <w:marBottom w:val="0"/>
      <w:divBdr>
        <w:top w:val="none" w:sz="0" w:space="0" w:color="auto"/>
        <w:left w:val="none" w:sz="0" w:space="0" w:color="auto"/>
        <w:bottom w:val="none" w:sz="0" w:space="0" w:color="auto"/>
        <w:right w:val="none" w:sz="0" w:space="0" w:color="auto"/>
      </w:divBdr>
      <w:divsChild>
        <w:div w:id="799080743">
          <w:marLeft w:val="0"/>
          <w:marRight w:val="0"/>
          <w:marTop w:val="0"/>
          <w:marBottom w:val="0"/>
          <w:divBdr>
            <w:top w:val="none" w:sz="0" w:space="0" w:color="auto"/>
            <w:left w:val="none" w:sz="0" w:space="0" w:color="auto"/>
            <w:bottom w:val="none" w:sz="0" w:space="0" w:color="auto"/>
            <w:right w:val="none" w:sz="0" w:space="0" w:color="auto"/>
          </w:divBdr>
        </w:div>
        <w:div w:id="1629236994">
          <w:marLeft w:val="0"/>
          <w:marRight w:val="0"/>
          <w:marTop w:val="0"/>
          <w:marBottom w:val="0"/>
          <w:divBdr>
            <w:top w:val="none" w:sz="0" w:space="0" w:color="auto"/>
            <w:left w:val="none" w:sz="0" w:space="0" w:color="auto"/>
            <w:bottom w:val="none" w:sz="0" w:space="0" w:color="auto"/>
            <w:right w:val="none" w:sz="0" w:space="0" w:color="auto"/>
          </w:divBdr>
          <w:divsChild>
            <w:div w:id="1012757745">
              <w:marLeft w:val="0"/>
              <w:marRight w:val="0"/>
              <w:marTop w:val="0"/>
              <w:marBottom w:val="0"/>
              <w:divBdr>
                <w:top w:val="none" w:sz="0" w:space="0" w:color="auto"/>
                <w:left w:val="none" w:sz="0" w:space="0" w:color="auto"/>
                <w:bottom w:val="none" w:sz="0" w:space="0" w:color="auto"/>
                <w:right w:val="none" w:sz="0" w:space="0" w:color="auto"/>
              </w:divBdr>
            </w:div>
          </w:divsChild>
        </w:div>
        <w:div w:id="1281839341">
          <w:marLeft w:val="0"/>
          <w:marRight w:val="0"/>
          <w:marTop w:val="0"/>
          <w:marBottom w:val="0"/>
          <w:divBdr>
            <w:top w:val="none" w:sz="0" w:space="0" w:color="auto"/>
            <w:left w:val="none" w:sz="0" w:space="0" w:color="auto"/>
            <w:bottom w:val="none" w:sz="0" w:space="0" w:color="auto"/>
            <w:right w:val="none" w:sz="0" w:space="0" w:color="auto"/>
          </w:divBdr>
          <w:divsChild>
            <w:div w:id="167985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6560">
      <w:bodyDiv w:val="1"/>
      <w:marLeft w:val="0"/>
      <w:marRight w:val="0"/>
      <w:marTop w:val="0"/>
      <w:marBottom w:val="0"/>
      <w:divBdr>
        <w:top w:val="none" w:sz="0" w:space="0" w:color="auto"/>
        <w:left w:val="none" w:sz="0" w:space="0" w:color="auto"/>
        <w:bottom w:val="none" w:sz="0" w:space="0" w:color="auto"/>
        <w:right w:val="none" w:sz="0" w:space="0" w:color="auto"/>
      </w:divBdr>
      <w:divsChild>
        <w:div w:id="507133527">
          <w:marLeft w:val="0"/>
          <w:marRight w:val="0"/>
          <w:marTop w:val="0"/>
          <w:marBottom w:val="0"/>
          <w:divBdr>
            <w:top w:val="none" w:sz="0" w:space="0" w:color="auto"/>
            <w:left w:val="none" w:sz="0" w:space="0" w:color="auto"/>
            <w:bottom w:val="none" w:sz="0" w:space="0" w:color="auto"/>
            <w:right w:val="none" w:sz="0" w:space="0" w:color="auto"/>
          </w:divBdr>
        </w:div>
      </w:divsChild>
    </w:div>
    <w:div w:id="852960738">
      <w:bodyDiv w:val="1"/>
      <w:marLeft w:val="0"/>
      <w:marRight w:val="0"/>
      <w:marTop w:val="0"/>
      <w:marBottom w:val="0"/>
      <w:divBdr>
        <w:top w:val="none" w:sz="0" w:space="0" w:color="auto"/>
        <w:left w:val="none" w:sz="0" w:space="0" w:color="auto"/>
        <w:bottom w:val="none" w:sz="0" w:space="0" w:color="auto"/>
        <w:right w:val="none" w:sz="0" w:space="0" w:color="auto"/>
      </w:divBdr>
      <w:divsChild>
        <w:div w:id="643432900">
          <w:marLeft w:val="0"/>
          <w:marRight w:val="0"/>
          <w:marTop w:val="0"/>
          <w:marBottom w:val="0"/>
          <w:divBdr>
            <w:top w:val="none" w:sz="0" w:space="0" w:color="auto"/>
            <w:left w:val="none" w:sz="0" w:space="0" w:color="auto"/>
            <w:bottom w:val="none" w:sz="0" w:space="0" w:color="auto"/>
            <w:right w:val="none" w:sz="0" w:space="0" w:color="auto"/>
          </w:divBdr>
        </w:div>
      </w:divsChild>
    </w:div>
    <w:div w:id="886724785">
      <w:bodyDiv w:val="1"/>
      <w:marLeft w:val="0"/>
      <w:marRight w:val="0"/>
      <w:marTop w:val="0"/>
      <w:marBottom w:val="0"/>
      <w:divBdr>
        <w:top w:val="none" w:sz="0" w:space="0" w:color="auto"/>
        <w:left w:val="none" w:sz="0" w:space="0" w:color="auto"/>
        <w:bottom w:val="none" w:sz="0" w:space="0" w:color="auto"/>
        <w:right w:val="none" w:sz="0" w:space="0" w:color="auto"/>
      </w:divBdr>
      <w:divsChild>
        <w:div w:id="1765611903">
          <w:marLeft w:val="0"/>
          <w:marRight w:val="0"/>
          <w:marTop w:val="0"/>
          <w:marBottom w:val="0"/>
          <w:divBdr>
            <w:top w:val="none" w:sz="0" w:space="0" w:color="auto"/>
            <w:left w:val="none" w:sz="0" w:space="0" w:color="auto"/>
            <w:bottom w:val="none" w:sz="0" w:space="0" w:color="auto"/>
            <w:right w:val="none" w:sz="0" w:space="0" w:color="auto"/>
          </w:divBdr>
        </w:div>
      </w:divsChild>
    </w:div>
    <w:div w:id="899511866">
      <w:bodyDiv w:val="1"/>
      <w:marLeft w:val="0"/>
      <w:marRight w:val="0"/>
      <w:marTop w:val="0"/>
      <w:marBottom w:val="0"/>
      <w:divBdr>
        <w:top w:val="none" w:sz="0" w:space="0" w:color="auto"/>
        <w:left w:val="none" w:sz="0" w:space="0" w:color="auto"/>
        <w:bottom w:val="none" w:sz="0" w:space="0" w:color="auto"/>
        <w:right w:val="none" w:sz="0" w:space="0" w:color="auto"/>
      </w:divBdr>
      <w:divsChild>
        <w:div w:id="510268145">
          <w:marLeft w:val="0"/>
          <w:marRight w:val="0"/>
          <w:marTop w:val="0"/>
          <w:marBottom w:val="0"/>
          <w:divBdr>
            <w:top w:val="none" w:sz="0" w:space="0" w:color="auto"/>
            <w:left w:val="none" w:sz="0" w:space="0" w:color="auto"/>
            <w:bottom w:val="none" w:sz="0" w:space="0" w:color="auto"/>
            <w:right w:val="none" w:sz="0" w:space="0" w:color="auto"/>
          </w:divBdr>
        </w:div>
      </w:divsChild>
    </w:div>
    <w:div w:id="899749798">
      <w:bodyDiv w:val="1"/>
      <w:marLeft w:val="0"/>
      <w:marRight w:val="0"/>
      <w:marTop w:val="0"/>
      <w:marBottom w:val="0"/>
      <w:divBdr>
        <w:top w:val="none" w:sz="0" w:space="0" w:color="auto"/>
        <w:left w:val="none" w:sz="0" w:space="0" w:color="auto"/>
        <w:bottom w:val="none" w:sz="0" w:space="0" w:color="auto"/>
        <w:right w:val="none" w:sz="0" w:space="0" w:color="auto"/>
      </w:divBdr>
      <w:divsChild>
        <w:div w:id="216669414">
          <w:marLeft w:val="0"/>
          <w:marRight w:val="0"/>
          <w:marTop w:val="0"/>
          <w:marBottom w:val="0"/>
          <w:divBdr>
            <w:top w:val="none" w:sz="0" w:space="0" w:color="auto"/>
            <w:left w:val="none" w:sz="0" w:space="0" w:color="auto"/>
            <w:bottom w:val="none" w:sz="0" w:space="0" w:color="auto"/>
            <w:right w:val="none" w:sz="0" w:space="0" w:color="auto"/>
          </w:divBdr>
        </w:div>
      </w:divsChild>
    </w:div>
    <w:div w:id="903636995">
      <w:bodyDiv w:val="1"/>
      <w:marLeft w:val="0"/>
      <w:marRight w:val="0"/>
      <w:marTop w:val="0"/>
      <w:marBottom w:val="0"/>
      <w:divBdr>
        <w:top w:val="none" w:sz="0" w:space="0" w:color="auto"/>
        <w:left w:val="none" w:sz="0" w:space="0" w:color="auto"/>
        <w:bottom w:val="none" w:sz="0" w:space="0" w:color="auto"/>
        <w:right w:val="none" w:sz="0" w:space="0" w:color="auto"/>
      </w:divBdr>
      <w:divsChild>
        <w:div w:id="1174681765">
          <w:marLeft w:val="0"/>
          <w:marRight w:val="0"/>
          <w:marTop w:val="0"/>
          <w:marBottom w:val="0"/>
          <w:divBdr>
            <w:top w:val="none" w:sz="0" w:space="0" w:color="auto"/>
            <w:left w:val="none" w:sz="0" w:space="0" w:color="auto"/>
            <w:bottom w:val="none" w:sz="0" w:space="0" w:color="auto"/>
            <w:right w:val="none" w:sz="0" w:space="0" w:color="auto"/>
          </w:divBdr>
        </w:div>
      </w:divsChild>
    </w:div>
    <w:div w:id="909274334">
      <w:bodyDiv w:val="1"/>
      <w:marLeft w:val="0"/>
      <w:marRight w:val="0"/>
      <w:marTop w:val="0"/>
      <w:marBottom w:val="0"/>
      <w:divBdr>
        <w:top w:val="none" w:sz="0" w:space="0" w:color="auto"/>
        <w:left w:val="none" w:sz="0" w:space="0" w:color="auto"/>
        <w:bottom w:val="none" w:sz="0" w:space="0" w:color="auto"/>
        <w:right w:val="none" w:sz="0" w:space="0" w:color="auto"/>
      </w:divBdr>
      <w:divsChild>
        <w:div w:id="18775634">
          <w:marLeft w:val="0"/>
          <w:marRight w:val="0"/>
          <w:marTop w:val="0"/>
          <w:marBottom w:val="0"/>
          <w:divBdr>
            <w:top w:val="none" w:sz="0" w:space="0" w:color="auto"/>
            <w:left w:val="none" w:sz="0" w:space="0" w:color="auto"/>
            <w:bottom w:val="none" w:sz="0" w:space="0" w:color="auto"/>
            <w:right w:val="none" w:sz="0" w:space="0" w:color="auto"/>
          </w:divBdr>
        </w:div>
      </w:divsChild>
    </w:div>
    <w:div w:id="911046626">
      <w:bodyDiv w:val="1"/>
      <w:marLeft w:val="0"/>
      <w:marRight w:val="0"/>
      <w:marTop w:val="0"/>
      <w:marBottom w:val="0"/>
      <w:divBdr>
        <w:top w:val="none" w:sz="0" w:space="0" w:color="auto"/>
        <w:left w:val="none" w:sz="0" w:space="0" w:color="auto"/>
        <w:bottom w:val="none" w:sz="0" w:space="0" w:color="auto"/>
        <w:right w:val="none" w:sz="0" w:space="0" w:color="auto"/>
      </w:divBdr>
      <w:divsChild>
        <w:div w:id="160972936">
          <w:marLeft w:val="0"/>
          <w:marRight w:val="0"/>
          <w:marTop w:val="0"/>
          <w:marBottom w:val="0"/>
          <w:divBdr>
            <w:top w:val="none" w:sz="0" w:space="0" w:color="auto"/>
            <w:left w:val="none" w:sz="0" w:space="0" w:color="auto"/>
            <w:bottom w:val="none" w:sz="0" w:space="0" w:color="auto"/>
            <w:right w:val="none" w:sz="0" w:space="0" w:color="auto"/>
          </w:divBdr>
        </w:div>
      </w:divsChild>
    </w:div>
    <w:div w:id="913204650">
      <w:bodyDiv w:val="1"/>
      <w:marLeft w:val="0"/>
      <w:marRight w:val="0"/>
      <w:marTop w:val="0"/>
      <w:marBottom w:val="0"/>
      <w:divBdr>
        <w:top w:val="none" w:sz="0" w:space="0" w:color="auto"/>
        <w:left w:val="none" w:sz="0" w:space="0" w:color="auto"/>
        <w:bottom w:val="none" w:sz="0" w:space="0" w:color="auto"/>
        <w:right w:val="none" w:sz="0" w:space="0" w:color="auto"/>
      </w:divBdr>
      <w:divsChild>
        <w:div w:id="3289412">
          <w:marLeft w:val="0"/>
          <w:marRight w:val="0"/>
          <w:marTop w:val="0"/>
          <w:marBottom w:val="0"/>
          <w:divBdr>
            <w:top w:val="none" w:sz="0" w:space="0" w:color="auto"/>
            <w:left w:val="none" w:sz="0" w:space="0" w:color="auto"/>
            <w:bottom w:val="none" w:sz="0" w:space="0" w:color="auto"/>
            <w:right w:val="none" w:sz="0" w:space="0" w:color="auto"/>
          </w:divBdr>
        </w:div>
        <w:div w:id="353380753">
          <w:marLeft w:val="0"/>
          <w:marRight w:val="0"/>
          <w:marTop w:val="0"/>
          <w:marBottom w:val="0"/>
          <w:divBdr>
            <w:top w:val="none" w:sz="0" w:space="0" w:color="auto"/>
            <w:left w:val="none" w:sz="0" w:space="0" w:color="auto"/>
            <w:bottom w:val="none" w:sz="0" w:space="0" w:color="auto"/>
            <w:right w:val="none" w:sz="0" w:space="0" w:color="auto"/>
          </w:divBdr>
        </w:div>
      </w:divsChild>
    </w:div>
    <w:div w:id="919294473">
      <w:bodyDiv w:val="1"/>
      <w:marLeft w:val="0"/>
      <w:marRight w:val="0"/>
      <w:marTop w:val="0"/>
      <w:marBottom w:val="0"/>
      <w:divBdr>
        <w:top w:val="none" w:sz="0" w:space="0" w:color="auto"/>
        <w:left w:val="none" w:sz="0" w:space="0" w:color="auto"/>
        <w:bottom w:val="none" w:sz="0" w:space="0" w:color="auto"/>
        <w:right w:val="none" w:sz="0" w:space="0" w:color="auto"/>
      </w:divBdr>
      <w:divsChild>
        <w:div w:id="1936936430">
          <w:marLeft w:val="0"/>
          <w:marRight w:val="0"/>
          <w:marTop w:val="0"/>
          <w:marBottom w:val="0"/>
          <w:divBdr>
            <w:top w:val="none" w:sz="0" w:space="0" w:color="auto"/>
            <w:left w:val="none" w:sz="0" w:space="0" w:color="auto"/>
            <w:bottom w:val="none" w:sz="0" w:space="0" w:color="auto"/>
            <w:right w:val="none" w:sz="0" w:space="0" w:color="auto"/>
          </w:divBdr>
        </w:div>
      </w:divsChild>
    </w:div>
    <w:div w:id="919405279">
      <w:bodyDiv w:val="1"/>
      <w:marLeft w:val="0"/>
      <w:marRight w:val="0"/>
      <w:marTop w:val="0"/>
      <w:marBottom w:val="0"/>
      <w:divBdr>
        <w:top w:val="none" w:sz="0" w:space="0" w:color="auto"/>
        <w:left w:val="none" w:sz="0" w:space="0" w:color="auto"/>
        <w:bottom w:val="none" w:sz="0" w:space="0" w:color="auto"/>
        <w:right w:val="none" w:sz="0" w:space="0" w:color="auto"/>
      </w:divBdr>
      <w:divsChild>
        <w:div w:id="36324855">
          <w:marLeft w:val="0"/>
          <w:marRight w:val="0"/>
          <w:marTop w:val="0"/>
          <w:marBottom w:val="0"/>
          <w:divBdr>
            <w:top w:val="none" w:sz="0" w:space="0" w:color="auto"/>
            <w:left w:val="none" w:sz="0" w:space="0" w:color="auto"/>
            <w:bottom w:val="none" w:sz="0" w:space="0" w:color="auto"/>
            <w:right w:val="none" w:sz="0" w:space="0" w:color="auto"/>
          </w:divBdr>
        </w:div>
      </w:divsChild>
    </w:div>
    <w:div w:id="921454668">
      <w:bodyDiv w:val="1"/>
      <w:marLeft w:val="0"/>
      <w:marRight w:val="0"/>
      <w:marTop w:val="0"/>
      <w:marBottom w:val="0"/>
      <w:divBdr>
        <w:top w:val="none" w:sz="0" w:space="0" w:color="auto"/>
        <w:left w:val="none" w:sz="0" w:space="0" w:color="auto"/>
        <w:bottom w:val="none" w:sz="0" w:space="0" w:color="auto"/>
        <w:right w:val="none" w:sz="0" w:space="0" w:color="auto"/>
      </w:divBdr>
      <w:divsChild>
        <w:div w:id="1488788920">
          <w:marLeft w:val="0"/>
          <w:marRight w:val="0"/>
          <w:marTop w:val="0"/>
          <w:marBottom w:val="0"/>
          <w:divBdr>
            <w:top w:val="none" w:sz="0" w:space="0" w:color="auto"/>
            <w:left w:val="none" w:sz="0" w:space="0" w:color="auto"/>
            <w:bottom w:val="none" w:sz="0" w:space="0" w:color="auto"/>
            <w:right w:val="none" w:sz="0" w:space="0" w:color="auto"/>
          </w:divBdr>
        </w:div>
      </w:divsChild>
    </w:div>
    <w:div w:id="924266040">
      <w:bodyDiv w:val="1"/>
      <w:marLeft w:val="0"/>
      <w:marRight w:val="0"/>
      <w:marTop w:val="0"/>
      <w:marBottom w:val="0"/>
      <w:divBdr>
        <w:top w:val="none" w:sz="0" w:space="0" w:color="auto"/>
        <w:left w:val="none" w:sz="0" w:space="0" w:color="auto"/>
        <w:bottom w:val="none" w:sz="0" w:space="0" w:color="auto"/>
        <w:right w:val="none" w:sz="0" w:space="0" w:color="auto"/>
      </w:divBdr>
      <w:divsChild>
        <w:div w:id="2064136344">
          <w:marLeft w:val="0"/>
          <w:marRight w:val="0"/>
          <w:marTop w:val="0"/>
          <w:marBottom w:val="0"/>
          <w:divBdr>
            <w:top w:val="none" w:sz="0" w:space="0" w:color="auto"/>
            <w:left w:val="none" w:sz="0" w:space="0" w:color="auto"/>
            <w:bottom w:val="none" w:sz="0" w:space="0" w:color="auto"/>
            <w:right w:val="none" w:sz="0" w:space="0" w:color="auto"/>
          </w:divBdr>
        </w:div>
      </w:divsChild>
    </w:div>
    <w:div w:id="930507795">
      <w:bodyDiv w:val="1"/>
      <w:marLeft w:val="0"/>
      <w:marRight w:val="0"/>
      <w:marTop w:val="0"/>
      <w:marBottom w:val="0"/>
      <w:divBdr>
        <w:top w:val="none" w:sz="0" w:space="0" w:color="auto"/>
        <w:left w:val="none" w:sz="0" w:space="0" w:color="auto"/>
        <w:bottom w:val="none" w:sz="0" w:space="0" w:color="auto"/>
        <w:right w:val="none" w:sz="0" w:space="0" w:color="auto"/>
      </w:divBdr>
    </w:div>
    <w:div w:id="931397691">
      <w:bodyDiv w:val="1"/>
      <w:marLeft w:val="0"/>
      <w:marRight w:val="0"/>
      <w:marTop w:val="0"/>
      <w:marBottom w:val="0"/>
      <w:divBdr>
        <w:top w:val="none" w:sz="0" w:space="0" w:color="auto"/>
        <w:left w:val="none" w:sz="0" w:space="0" w:color="auto"/>
        <w:bottom w:val="none" w:sz="0" w:space="0" w:color="auto"/>
        <w:right w:val="none" w:sz="0" w:space="0" w:color="auto"/>
      </w:divBdr>
      <w:divsChild>
        <w:div w:id="1558125571">
          <w:marLeft w:val="0"/>
          <w:marRight w:val="0"/>
          <w:marTop w:val="0"/>
          <w:marBottom w:val="0"/>
          <w:divBdr>
            <w:top w:val="none" w:sz="0" w:space="0" w:color="auto"/>
            <w:left w:val="none" w:sz="0" w:space="0" w:color="auto"/>
            <w:bottom w:val="none" w:sz="0" w:space="0" w:color="auto"/>
            <w:right w:val="none" w:sz="0" w:space="0" w:color="auto"/>
          </w:divBdr>
        </w:div>
      </w:divsChild>
    </w:div>
    <w:div w:id="939875740">
      <w:bodyDiv w:val="1"/>
      <w:marLeft w:val="0"/>
      <w:marRight w:val="0"/>
      <w:marTop w:val="0"/>
      <w:marBottom w:val="0"/>
      <w:divBdr>
        <w:top w:val="none" w:sz="0" w:space="0" w:color="auto"/>
        <w:left w:val="none" w:sz="0" w:space="0" w:color="auto"/>
        <w:bottom w:val="none" w:sz="0" w:space="0" w:color="auto"/>
        <w:right w:val="none" w:sz="0" w:space="0" w:color="auto"/>
      </w:divBdr>
      <w:divsChild>
        <w:div w:id="158742096">
          <w:marLeft w:val="0"/>
          <w:marRight w:val="0"/>
          <w:marTop w:val="0"/>
          <w:marBottom w:val="0"/>
          <w:divBdr>
            <w:top w:val="none" w:sz="0" w:space="0" w:color="auto"/>
            <w:left w:val="none" w:sz="0" w:space="0" w:color="auto"/>
            <w:bottom w:val="none" w:sz="0" w:space="0" w:color="auto"/>
            <w:right w:val="none" w:sz="0" w:space="0" w:color="auto"/>
          </w:divBdr>
        </w:div>
      </w:divsChild>
    </w:div>
    <w:div w:id="952710488">
      <w:bodyDiv w:val="1"/>
      <w:marLeft w:val="0"/>
      <w:marRight w:val="0"/>
      <w:marTop w:val="0"/>
      <w:marBottom w:val="0"/>
      <w:divBdr>
        <w:top w:val="none" w:sz="0" w:space="0" w:color="auto"/>
        <w:left w:val="none" w:sz="0" w:space="0" w:color="auto"/>
        <w:bottom w:val="none" w:sz="0" w:space="0" w:color="auto"/>
        <w:right w:val="none" w:sz="0" w:space="0" w:color="auto"/>
      </w:divBdr>
      <w:divsChild>
        <w:div w:id="966156393">
          <w:marLeft w:val="0"/>
          <w:marRight w:val="0"/>
          <w:marTop w:val="0"/>
          <w:marBottom w:val="0"/>
          <w:divBdr>
            <w:top w:val="none" w:sz="0" w:space="0" w:color="auto"/>
            <w:left w:val="none" w:sz="0" w:space="0" w:color="auto"/>
            <w:bottom w:val="none" w:sz="0" w:space="0" w:color="auto"/>
            <w:right w:val="none" w:sz="0" w:space="0" w:color="auto"/>
          </w:divBdr>
        </w:div>
      </w:divsChild>
    </w:div>
    <w:div w:id="957486055">
      <w:bodyDiv w:val="1"/>
      <w:marLeft w:val="0"/>
      <w:marRight w:val="0"/>
      <w:marTop w:val="0"/>
      <w:marBottom w:val="0"/>
      <w:divBdr>
        <w:top w:val="none" w:sz="0" w:space="0" w:color="auto"/>
        <w:left w:val="none" w:sz="0" w:space="0" w:color="auto"/>
        <w:bottom w:val="none" w:sz="0" w:space="0" w:color="auto"/>
        <w:right w:val="none" w:sz="0" w:space="0" w:color="auto"/>
      </w:divBdr>
      <w:divsChild>
        <w:div w:id="140971471">
          <w:marLeft w:val="0"/>
          <w:marRight w:val="0"/>
          <w:marTop w:val="0"/>
          <w:marBottom w:val="0"/>
          <w:divBdr>
            <w:top w:val="none" w:sz="0" w:space="0" w:color="auto"/>
            <w:left w:val="none" w:sz="0" w:space="0" w:color="auto"/>
            <w:bottom w:val="none" w:sz="0" w:space="0" w:color="auto"/>
            <w:right w:val="none" w:sz="0" w:space="0" w:color="auto"/>
          </w:divBdr>
          <w:divsChild>
            <w:div w:id="1967661982">
              <w:marLeft w:val="0"/>
              <w:marRight w:val="0"/>
              <w:marTop w:val="0"/>
              <w:marBottom w:val="0"/>
              <w:divBdr>
                <w:top w:val="none" w:sz="0" w:space="0" w:color="auto"/>
                <w:left w:val="none" w:sz="0" w:space="0" w:color="auto"/>
                <w:bottom w:val="none" w:sz="0" w:space="0" w:color="auto"/>
                <w:right w:val="none" w:sz="0" w:space="0" w:color="auto"/>
              </w:divBdr>
              <w:divsChild>
                <w:div w:id="1955938215">
                  <w:marLeft w:val="0"/>
                  <w:marRight w:val="0"/>
                  <w:marTop w:val="0"/>
                  <w:marBottom w:val="0"/>
                  <w:divBdr>
                    <w:top w:val="none" w:sz="0" w:space="0" w:color="auto"/>
                    <w:left w:val="none" w:sz="0" w:space="0" w:color="auto"/>
                    <w:bottom w:val="none" w:sz="0" w:space="0" w:color="auto"/>
                    <w:right w:val="none" w:sz="0" w:space="0" w:color="auto"/>
                  </w:divBdr>
                  <w:divsChild>
                    <w:div w:id="165428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242633">
          <w:marLeft w:val="0"/>
          <w:marRight w:val="0"/>
          <w:marTop w:val="0"/>
          <w:marBottom w:val="0"/>
          <w:divBdr>
            <w:top w:val="none" w:sz="0" w:space="0" w:color="auto"/>
            <w:left w:val="none" w:sz="0" w:space="0" w:color="auto"/>
            <w:bottom w:val="none" w:sz="0" w:space="0" w:color="auto"/>
            <w:right w:val="none" w:sz="0" w:space="0" w:color="auto"/>
          </w:divBdr>
        </w:div>
      </w:divsChild>
    </w:div>
    <w:div w:id="965158845">
      <w:bodyDiv w:val="1"/>
      <w:marLeft w:val="0"/>
      <w:marRight w:val="0"/>
      <w:marTop w:val="0"/>
      <w:marBottom w:val="0"/>
      <w:divBdr>
        <w:top w:val="none" w:sz="0" w:space="0" w:color="auto"/>
        <w:left w:val="none" w:sz="0" w:space="0" w:color="auto"/>
        <w:bottom w:val="none" w:sz="0" w:space="0" w:color="auto"/>
        <w:right w:val="none" w:sz="0" w:space="0" w:color="auto"/>
      </w:divBdr>
      <w:divsChild>
        <w:div w:id="912930241">
          <w:marLeft w:val="0"/>
          <w:marRight w:val="0"/>
          <w:marTop w:val="0"/>
          <w:marBottom w:val="0"/>
          <w:divBdr>
            <w:top w:val="none" w:sz="0" w:space="0" w:color="auto"/>
            <w:left w:val="none" w:sz="0" w:space="0" w:color="auto"/>
            <w:bottom w:val="none" w:sz="0" w:space="0" w:color="auto"/>
            <w:right w:val="none" w:sz="0" w:space="0" w:color="auto"/>
          </w:divBdr>
        </w:div>
      </w:divsChild>
    </w:div>
    <w:div w:id="977225374">
      <w:bodyDiv w:val="1"/>
      <w:marLeft w:val="0"/>
      <w:marRight w:val="0"/>
      <w:marTop w:val="0"/>
      <w:marBottom w:val="0"/>
      <w:divBdr>
        <w:top w:val="none" w:sz="0" w:space="0" w:color="auto"/>
        <w:left w:val="none" w:sz="0" w:space="0" w:color="auto"/>
        <w:bottom w:val="none" w:sz="0" w:space="0" w:color="auto"/>
        <w:right w:val="none" w:sz="0" w:space="0" w:color="auto"/>
      </w:divBdr>
      <w:divsChild>
        <w:div w:id="1927641510">
          <w:marLeft w:val="0"/>
          <w:marRight w:val="0"/>
          <w:marTop w:val="0"/>
          <w:marBottom w:val="0"/>
          <w:divBdr>
            <w:top w:val="none" w:sz="0" w:space="0" w:color="auto"/>
            <w:left w:val="none" w:sz="0" w:space="0" w:color="auto"/>
            <w:bottom w:val="none" w:sz="0" w:space="0" w:color="auto"/>
            <w:right w:val="none" w:sz="0" w:space="0" w:color="auto"/>
          </w:divBdr>
        </w:div>
        <w:div w:id="50924813">
          <w:marLeft w:val="0"/>
          <w:marRight w:val="0"/>
          <w:marTop w:val="0"/>
          <w:marBottom w:val="0"/>
          <w:divBdr>
            <w:top w:val="none" w:sz="0" w:space="0" w:color="auto"/>
            <w:left w:val="none" w:sz="0" w:space="0" w:color="auto"/>
            <w:bottom w:val="none" w:sz="0" w:space="0" w:color="auto"/>
            <w:right w:val="none" w:sz="0" w:space="0" w:color="auto"/>
          </w:divBdr>
          <w:divsChild>
            <w:div w:id="189592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89716">
      <w:bodyDiv w:val="1"/>
      <w:marLeft w:val="0"/>
      <w:marRight w:val="0"/>
      <w:marTop w:val="0"/>
      <w:marBottom w:val="0"/>
      <w:divBdr>
        <w:top w:val="none" w:sz="0" w:space="0" w:color="auto"/>
        <w:left w:val="none" w:sz="0" w:space="0" w:color="auto"/>
        <w:bottom w:val="none" w:sz="0" w:space="0" w:color="auto"/>
        <w:right w:val="none" w:sz="0" w:space="0" w:color="auto"/>
      </w:divBdr>
      <w:divsChild>
        <w:div w:id="416101547">
          <w:marLeft w:val="0"/>
          <w:marRight w:val="0"/>
          <w:marTop w:val="0"/>
          <w:marBottom w:val="0"/>
          <w:divBdr>
            <w:top w:val="none" w:sz="0" w:space="0" w:color="auto"/>
            <w:left w:val="none" w:sz="0" w:space="0" w:color="auto"/>
            <w:bottom w:val="none" w:sz="0" w:space="0" w:color="auto"/>
            <w:right w:val="none" w:sz="0" w:space="0" w:color="auto"/>
          </w:divBdr>
        </w:div>
        <w:div w:id="652953098">
          <w:marLeft w:val="0"/>
          <w:marRight w:val="0"/>
          <w:marTop w:val="0"/>
          <w:marBottom w:val="0"/>
          <w:divBdr>
            <w:top w:val="none" w:sz="0" w:space="0" w:color="auto"/>
            <w:left w:val="none" w:sz="0" w:space="0" w:color="auto"/>
            <w:bottom w:val="none" w:sz="0" w:space="0" w:color="auto"/>
            <w:right w:val="none" w:sz="0" w:space="0" w:color="auto"/>
          </w:divBdr>
        </w:div>
        <w:div w:id="159661981">
          <w:marLeft w:val="0"/>
          <w:marRight w:val="0"/>
          <w:marTop w:val="0"/>
          <w:marBottom w:val="0"/>
          <w:divBdr>
            <w:top w:val="none" w:sz="0" w:space="0" w:color="auto"/>
            <w:left w:val="none" w:sz="0" w:space="0" w:color="auto"/>
            <w:bottom w:val="none" w:sz="0" w:space="0" w:color="auto"/>
            <w:right w:val="none" w:sz="0" w:space="0" w:color="auto"/>
          </w:divBdr>
        </w:div>
        <w:div w:id="1521972734">
          <w:marLeft w:val="0"/>
          <w:marRight w:val="0"/>
          <w:marTop w:val="0"/>
          <w:marBottom w:val="0"/>
          <w:divBdr>
            <w:top w:val="none" w:sz="0" w:space="0" w:color="auto"/>
            <w:left w:val="none" w:sz="0" w:space="0" w:color="auto"/>
            <w:bottom w:val="none" w:sz="0" w:space="0" w:color="auto"/>
            <w:right w:val="none" w:sz="0" w:space="0" w:color="auto"/>
          </w:divBdr>
          <w:divsChild>
            <w:div w:id="3514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58925">
      <w:bodyDiv w:val="1"/>
      <w:marLeft w:val="0"/>
      <w:marRight w:val="0"/>
      <w:marTop w:val="0"/>
      <w:marBottom w:val="0"/>
      <w:divBdr>
        <w:top w:val="none" w:sz="0" w:space="0" w:color="auto"/>
        <w:left w:val="none" w:sz="0" w:space="0" w:color="auto"/>
        <w:bottom w:val="none" w:sz="0" w:space="0" w:color="auto"/>
        <w:right w:val="none" w:sz="0" w:space="0" w:color="auto"/>
      </w:divBdr>
      <w:divsChild>
        <w:div w:id="456293398">
          <w:marLeft w:val="0"/>
          <w:marRight w:val="0"/>
          <w:marTop w:val="0"/>
          <w:marBottom w:val="0"/>
          <w:divBdr>
            <w:top w:val="none" w:sz="0" w:space="0" w:color="auto"/>
            <w:left w:val="none" w:sz="0" w:space="0" w:color="auto"/>
            <w:bottom w:val="none" w:sz="0" w:space="0" w:color="auto"/>
            <w:right w:val="none" w:sz="0" w:space="0" w:color="auto"/>
          </w:divBdr>
          <w:divsChild>
            <w:div w:id="1605306759">
              <w:marLeft w:val="0"/>
              <w:marRight w:val="0"/>
              <w:marTop w:val="0"/>
              <w:marBottom w:val="0"/>
              <w:divBdr>
                <w:top w:val="none" w:sz="0" w:space="0" w:color="auto"/>
                <w:left w:val="none" w:sz="0" w:space="0" w:color="auto"/>
                <w:bottom w:val="none" w:sz="0" w:space="0" w:color="auto"/>
                <w:right w:val="none" w:sz="0" w:space="0" w:color="auto"/>
              </w:divBdr>
              <w:divsChild>
                <w:div w:id="734933533">
                  <w:marLeft w:val="0"/>
                  <w:marRight w:val="0"/>
                  <w:marTop w:val="0"/>
                  <w:marBottom w:val="0"/>
                  <w:divBdr>
                    <w:top w:val="none" w:sz="0" w:space="0" w:color="auto"/>
                    <w:left w:val="none" w:sz="0" w:space="0" w:color="auto"/>
                    <w:bottom w:val="none" w:sz="0" w:space="0" w:color="auto"/>
                    <w:right w:val="none" w:sz="0" w:space="0" w:color="auto"/>
                  </w:divBdr>
                  <w:divsChild>
                    <w:div w:id="1978610082">
                      <w:marLeft w:val="0"/>
                      <w:marRight w:val="0"/>
                      <w:marTop w:val="0"/>
                      <w:marBottom w:val="0"/>
                      <w:divBdr>
                        <w:top w:val="none" w:sz="0" w:space="0" w:color="auto"/>
                        <w:left w:val="none" w:sz="0" w:space="0" w:color="auto"/>
                        <w:bottom w:val="none" w:sz="0" w:space="0" w:color="auto"/>
                        <w:right w:val="none" w:sz="0" w:space="0" w:color="auto"/>
                      </w:divBdr>
                      <w:divsChild>
                        <w:div w:id="1992172900">
                          <w:marLeft w:val="0"/>
                          <w:marRight w:val="0"/>
                          <w:marTop w:val="0"/>
                          <w:marBottom w:val="0"/>
                          <w:divBdr>
                            <w:top w:val="none" w:sz="0" w:space="0" w:color="auto"/>
                            <w:left w:val="none" w:sz="0" w:space="0" w:color="auto"/>
                            <w:bottom w:val="none" w:sz="0" w:space="0" w:color="auto"/>
                            <w:right w:val="none" w:sz="0" w:space="0" w:color="auto"/>
                          </w:divBdr>
                          <w:divsChild>
                            <w:div w:id="1115296642">
                              <w:marLeft w:val="0"/>
                              <w:marRight w:val="0"/>
                              <w:marTop w:val="0"/>
                              <w:marBottom w:val="0"/>
                              <w:divBdr>
                                <w:top w:val="none" w:sz="0" w:space="0" w:color="auto"/>
                                <w:left w:val="none" w:sz="0" w:space="0" w:color="auto"/>
                                <w:bottom w:val="none" w:sz="0" w:space="0" w:color="auto"/>
                                <w:right w:val="none" w:sz="0" w:space="0" w:color="auto"/>
                              </w:divBdr>
                              <w:divsChild>
                                <w:div w:id="93270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448795">
                  <w:marLeft w:val="0"/>
                  <w:marRight w:val="0"/>
                  <w:marTop w:val="0"/>
                  <w:marBottom w:val="0"/>
                  <w:divBdr>
                    <w:top w:val="none" w:sz="0" w:space="0" w:color="auto"/>
                    <w:left w:val="none" w:sz="0" w:space="0" w:color="auto"/>
                    <w:bottom w:val="none" w:sz="0" w:space="0" w:color="auto"/>
                    <w:right w:val="none" w:sz="0" w:space="0" w:color="auto"/>
                  </w:divBdr>
                  <w:divsChild>
                    <w:div w:id="620066429">
                      <w:marLeft w:val="0"/>
                      <w:marRight w:val="0"/>
                      <w:marTop w:val="0"/>
                      <w:marBottom w:val="0"/>
                      <w:divBdr>
                        <w:top w:val="none" w:sz="0" w:space="0" w:color="auto"/>
                        <w:left w:val="none" w:sz="0" w:space="0" w:color="auto"/>
                        <w:bottom w:val="none" w:sz="0" w:space="0" w:color="auto"/>
                        <w:right w:val="none" w:sz="0" w:space="0" w:color="auto"/>
                      </w:divBdr>
                    </w:div>
                  </w:divsChild>
                </w:div>
                <w:div w:id="1148011754">
                  <w:marLeft w:val="0"/>
                  <w:marRight w:val="0"/>
                  <w:marTop w:val="0"/>
                  <w:marBottom w:val="0"/>
                  <w:divBdr>
                    <w:top w:val="none" w:sz="0" w:space="0" w:color="auto"/>
                    <w:left w:val="none" w:sz="0" w:space="0" w:color="auto"/>
                    <w:bottom w:val="none" w:sz="0" w:space="0" w:color="auto"/>
                    <w:right w:val="none" w:sz="0" w:space="0" w:color="auto"/>
                  </w:divBdr>
                </w:div>
                <w:div w:id="1531257342">
                  <w:marLeft w:val="0"/>
                  <w:marRight w:val="0"/>
                  <w:marTop w:val="0"/>
                  <w:marBottom w:val="0"/>
                  <w:divBdr>
                    <w:top w:val="none" w:sz="0" w:space="0" w:color="auto"/>
                    <w:left w:val="none" w:sz="0" w:space="0" w:color="auto"/>
                    <w:bottom w:val="none" w:sz="0" w:space="0" w:color="auto"/>
                    <w:right w:val="none" w:sz="0" w:space="0" w:color="auto"/>
                  </w:divBdr>
                </w:div>
                <w:div w:id="651100578">
                  <w:marLeft w:val="0"/>
                  <w:marRight w:val="0"/>
                  <w:marTop w:val="0"/>
                  <w:marBottom w:val="0"/>
                  <w:divBdr>
                    <w:top w:val="none" w:sz="0" w:space="0" w:color="auto"/>
                    <w:left w:val="none" w:sz="0" w:space="0" w:color="auto"/>
                    <w:bottom w:val="none" w:sz="0" w:space="0" w:color="auto"/>
                    <w:right w:val="none" w:sz="0" w:space="0" w:color="auto"/>
                  </w:divBdr>
                  <w:divsChild>
                    <w:div w:id="1555240249">
                      <w:marLeft w:val="0"/>
                      <w:marRight w:val="0"/>
                      <w:marTop w:val="0"/>
                      <w:marBottom w:val="0"/>
                      <w:divBdr>
                        <w:top w:val="none" w:sz="0" w:space="0" w:color="auto"/>
                        <w:left w:val="none" w:sz="0" w:space="0" w:color="auto"/>
                        <w:bottom w:val="none" w:sz="0" w:space="0" w:color="auto"/>
                        <w:right w:val="none" w:sz="0" w:space="0" w:color="auto"/>
                      </w:divBdr>
                      <w:divsChild>
                        <w:div w:id="981815024">
                          <w:marLeft w:val="0"/>
                          <w:marRight w:val="0"/>
                          <w:marTop w:val="0"/>
                          <w:marBottom w:val="0"/>
                          <w:divBdr>
                            <w:top w:val="none" w:sz="0" w:space="0" w:color="auto"/>
                            <w:left w:val="none" w:sz="0" w:space="0" w:color="auto"/>
                            <w:bottom w:val="none" w:sz="0" w:space="0" w:color="auto"/>
                            <w:right w:val="none" w:sz="0" w:space="0" w:color="auto"/>
                          </w:divBdr>
                          <w:divsChild>
                            <w:div w:id="40561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091297">
                  <w:marLeft w:val="0"/>
                  <w:marRight w:val="0"/>
                  <w:marTop w:val="0"/>
                  <w:marBottom w:val="0"/>
                  <w:divBdr>
                    <w:top w:val="none" w:sz="0" w:space="0" w:color="auto"/>
                    <w:left w:val="none" w:sz="0" w:space="0" w:color="auto"/>
                    <w:bottom w:val="none" w:sz="0" w:space="0" w:color="auto"/>
                    <w:right w:val="none" w:sz="0" w:space="0" w:color="auto"/>
                  </w:divBdr>
                  <w:divsChild>
                    <w:div w:id="1366758161">
                      <w:marLeft w:val="0"/>
                      <w:marRight w:val="0"/>
                      <w:marTop w:val="0"/>
                      <w:marBottom w:val="0"/>
                      <w:divBdr>
                        <w:top w:val="none" w:sz="0" w:space="0" w:color="auto"/>
                        <w:left w:val="none" w:sz="0" w:space="0" w:color="auto"/>
                        <w:bottom w:val="none" w:sz="0" w:space="0" w:color="auto"/>
                        <w:right w:val="none" w:sz="0" w:space="0" w:color="auto"/>
                      </w:divBdr>
                      <w:divsChild>
                        <w:div w:id="22171956">
                          <w:marLeft w:val="0"/>
                          <w:marRight w:val="0"/>
                          <w:marTop w:val="0"/>
                          <w:marBottom w:val="0"/>
                          <w:divBdr>
                            <w:top w:val="none" w:sz="0" w:space="0" w:color="auto"/>
                            <w:left w:val="none" w:sz="0" w:space="0" w:color="auto"/>
                            <w:bottom w:val="none" w:sz="0" w:space="0" w:color="auto"/>
                            <w:right w:val="none" w:sz="0" w:space="0" w:color="auto"/>
                          </w:divBdr>
                          <w:divsChild>
                            <w:div w:id="4320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90513">
                  <w:marLeft w:val="0"/>
                  <w:marRight w:val="0"/>
                  <w:marTop w:val="0"/>
                  <w:marBottom w:val="0"/>
                  <w:divBdr>
                    <w:top w:val="none" w:sz="0" w:space="0" w:color="auto"/>
                    <w:left w:val="none" w:sz="0" w:space="0" w:color="auto"/>
                    <w:bottom w:val="none" w:sz="0" w:space="0" w:color="auto"/>
                    <w:right w:val="none" w:sz="0" w:space="0" w:color="auto"/>
                  </w:divBdr>
                  <w:divsChild>
                    <w:div w:id="357316474">
                      <w:marLeft w:val="0"/>
                      <w:marRight w:val="0"/>
                      <w:marTop w:val="0"/>
                      <w:marBottom w:val="0"/>
                      <w:divBdr>
                        <w:top w:val="none" w:sz="0" w:space="0" w:color="auto"/>
                        <w:left w:val="none" w:sz="0" w:space="0" w:color="auto"/>
                        <w:bottom w:val="none" w:sz="0" w:space="0" w:color="auto"/>
                        <w:right w:val="none" w:sz="0" w:space="0" w:color="auto"/>
                      </w:divBdr>
                      <w:divsChild>
                        <w:div w:id="4523095">
                          <w:marLeft w:val="0"/>
                          <w:marRight w:val="0"/>
                          <w:marTop w:val="0"/>
                          <w:marBottom w:val="0"/>
                          <w:divBdr>
                            <w:top w:val="none" w:sz="0" w:space="0" w:color="auto"/>
                            <w:left w:val="none" w:sz="0" w:space="0" w:color="auto"/>
                            <w:bottom w:val="none" w:sz="0" w:space="0" w:color="auto"/>
                            <w:right w:val="none" w:sz="0" w:space="0" w:color="auto"/>
                          </w:divBdr>
                          <w:divsChild>
                            <w:div w:id="194329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919162">
                  <w:marLeft w:val="0"/>
                  <w:marRight w:val="0"/>
                  <w:marTop w:val="0"/>
                  <w:marBottom w:val="0"/>
                  <w:divBdr>
                    <w:top w:val="none" w:sz="0" w:space="0" w:color="auto"/>
                    <w:left w:val="none" w:sz="0" w:space="0" w:color="auto"/>
                    <w:bottom w:val="none" w:sz="0" w:space="0" w:color="auto"/>
                    <w:right w:val="none" w:sz="0" w:space="0" w:color="auto"/>
                  </w:divBdr>
                  <w:divsChild>
                    <w:div w:id="42023427">
                      <w:marLeft w:val="0"/>
                      <w:marRight w:val="0"/>
                      <w:marTop w:val="0"/>
                      <w:marBottom w:val="0"/>
                      <w:divBdr>
                        <w:top w:val="none" w:sz="0" w:space="0" w:color="auto"/>
                        <w:left w:val="none" w:sz="0" w:space="0" w:color="auto"/>
                        <w:bottom w:val="none" w:sz="0" w:space="0" w:color="auto"/>
                        <w:right w:val="none" w:sz="0" w:space="0" w:color="auto"/>
                      </w:divBdr>
                      <w:divsChild>
                        <w:div w:id="640503957">
                          <w:marLeft w:val="0"/>
                          <w:marRight w:val="0"/>
                          <w:marTop w:val="0"/>
                          <w:marBottom w:val="0"/>
                          <w:divBdr>
                            <w:top w:val="none" w:sz="0" w:space="0" w:color="auto"/>
                            <w:left w:val="none" w:sz="0" w:space="0" w:color="auto"/>
                            <w:bottom w:val="none" w:sz="0" w:space="0" w:color="auto"/>
                            <w:right w:val="none" w:sz="0" w:space="0" w:color="auto"/>
                          </w:divBdr>
                          <w:divsChild>
                            <w:div w:id="14096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22693">
                  <w:marLeft w:val="0"/>
                  <w:marRight w:val="0"/>
                  <w:marTop w:val="0"/>
                  <w:marBottom w:val="0"/>
                  <w:divBdr>
                    <w:top w:val="none" w:sz="0" w:space="0" w:color="auto"/>
                    <w:left w:val="none" w:sz="0" w:space="0" w:color="auto"/>
                    <w:bottom w:val="none" w:sz="0" w:space="0" w:color="auto"/>
                    <w:right w:val="none" w:sz="0" w:space="0" w:color="auto"/>
                  </w:divBdr>
                  <w:divsChild>
                    <w:div w:id="536628377">
                      <w:marLeft w:val="0"/>
                      <w:marRight w:val="0"/>
                      <w:marTop w:val="0"/>
                      <w:marBottom w:val="0"/>
                      <w:divBdr>
                        <w:top w:val="none" w:sz="0" w:space="0" w:color="auto"/>
                        <w:left w:val="none" w:sz="0" w:space="0" w:color="auto"/>
                        <w:bottom w:val="none" w:sz="0" w:space="0" w:color="auto"/>
                        <w:right w:val="none" w:sz="0" w:space="0" w:color="auto"/>
                      </w:divBdr>
                      <w:divsChild>
                        <w:div w:id="1888251903">
                          <w:marLeft w:val="0"/>
                          <w:marRight w:val="0"/>
                          <w:marTop w:val="0"/>
                          <w:marBottom w:val="0"/>
                          <w:divBdr>
                            <w:top w:val="none" w:sz="0" w:space="0" w:color="auto"/>
                            <w:left w:val="none" w:sz="0" w:space="0" w:color="auto"/>
                            <w:bottom w:val="none" w:sz="0" w:space="0" w:color="auto"/>
                            <w:right w:val="none" w:sz="0" w:space="0" w:color="auto"/>
                          </w:divBdr>
                          <w:divsChild>
                            <w:div w:id="203476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83104">
                  <w:marLeft w:val="0"/>
                  <w:marRight w:val="0"/>
                  <w:marTop w:val="0"/>
                  <w:marBottom w:val="0"/>
                  <w:divBdr>
                    <w:top w:val="none" w:sz="0" w:space="0" w:color="auto"/>
                    <w:left w:val="none" w:sz="0" w:space="0" w:color="auto"/>
                    <w:bottom w:val="none" w:sz="0" w:space="0" w:color="auto"/>
                    <w:right w:val="none" w:sz="0" w:space="0" w:color="auto"/>
                  </w:divBdr>
                  <w:divsChild>
                    <w:div w:id="242031585">
                      <w:marLeft w:val="0"/>
                      <w:marRight w:val="0"/>
                      <w:marTop w:val="0"/>
                      <w:marBottom w:val="0"/>
                      <w:divBdr>
                        <w:top w:val="none" w:sz="0" w:space="0" w:color="auto"/>
                        <w:left w:val="none" w:sz="0" w:space="0" w:color="auto"/>
                        <w:bottom w:val="none" w:sz="0" w:space="0" w:color="auto"/>
                        <w:right w:val="none" w:sz="0" w:space="0" w:color="auto"/>
                      </w:divBdr>
                      <w:divsChild>
                        <w:div w:id="261575493">
                          <w:marLeft w:val="0"/>
                          <w:marRight w:val="0"/>
                          <w:marTop w:val="0"/>
                          <w:marBottom w:val="0"/>
                          <w:divBdr>
                            <w:top w:val="none" w:sz="0" w:space="0" w:color="auto"/>
                            <w:left w:val="none" w:sz="0" w:space="0" w:color="auto"/>
                            <w:bottom w:val="none" w:sz="0" w:space="0" w:color="auto"/>
                            <w:right w:val="none" w:sz="0" w:space="0" w:color="auto"/>
                          </w:divBdr>
                          <w:divsChild>
                            <w:div w:id="23679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68404">
                      <w:marLeft w:val="0"/>
                      <w:marRight w:val="0"/>
                      <w:marTop w:val="0"/>
                      <w:marBottom w:val="0"/>
                      <w:divBdr>
                        <w:top w:val="none" w:sz="0" w:space="0" w:color="auto"/>
                        <w:left w:val="none" w:sz="0" w:space="0" w:color="auto"/>
                        <w:bottom w:val="none" w:sz="0" w:space="0" w:color="auto"/>
                        <w:right w:val="none" w:sz="0" w:space="0" w:color="auto"/>
                      </w:divBdr>
                      <w:divsChild>
                        <w:div w:id="61953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10814">
          <w:marLeft w:val="0"/>
          <w:marRight w:val="0"/>
          <w:marTop w:val="0"/>
          <w:marBottom w:val="0"/>
          <w:divBdr>
            <w:top w:val="none" w:sz="0" w:space="0" w:color="auto"/>
            <w:left w:val="none" w:sz="0" w:space="0" w:color="auto"/>
            <w:bottom w:val="none" w:sz="0" w:space="0" w:color="auto"/>
            <w:right w:val="none" w:sz="0" w:space="0" w:color="auto"/>
          </w:divBdr>
          <w:divsChild>
            <w:div w:id="2045011001">
              <w:marLeft w:val="0"/>
              <w:marRight w:val="0"/>
              <w:marTop w:val="0"/>
              <w:marBottom w:val="0"/>
              <w:divBdr>
                <w:top w:val="none" w:sz="0" w:space="0" w:color="auto"/>
                <w:left w:val="none" w:sz="0" w:space="0" w:color="auto"/>
                <w:bottom w:val="none" w:sz="0" w:space="0" w:color="auto"/>
                <w:right w:val="none" w:sz="0" w:space="0" w:color="auto"/>
              </w:divBdr>
              <w:divsChild>
                <w:div w:id="1886479510">
                  <w:marLeft w:val="0"/>
                  <w:marRight w:val="0"/>
                  <w:marTop w:val="0"/>
                  <w:marBottom w:val="0"/>
                  <w:divBdr>
                    <w:top w:val="none" w:sz="0" w:space="0" w:color="auto"/>
                    <w:left w:val="none" w:sz="0" w:space="0" w:color="auto"/>
                    <w:bottom w:val="none" w:sz="0" w:space="0" w:color="auto"/>
                    <w:right w:val="none" w:sz="0" w:space="0" w:color="auto"/>
                  </w:divBdr>
                  <w:divsChild>
                    <w:div w:id="223881820">
                      <w:marLeft w:val="0"/>
                      <w:marRight w:val="0"/>
                      <w:marTop w:val="0"/>
                      <w:marBottom w:val="0"/>
                      <w:divBdr>
                        <w:top w:val="none" w:sz="0" w:space="0" w:color="auto"/>
                        <w:left w:val="none" w:sz="0" w:space="0" w:color="auto"/>
                        <w:bottom w:val="none" w:sz="0" w:space="0" w:color="auto"/>
                        <w:right w:val="none" w:sz="0" w:space="0" w:color="auto"/>
                      </w:divBdr>
                      <w:divsChild>
                        <w:div w:id="2023779703">
                          <w:marLeft w:val="0"/>
                          <w:marRight w:val="0"/>
                          <w:marTop w:val="0"/>
                          <w:marBottom w:val="0"/>
                          <w:divBdr>
                            <w:top w:val="none" w:sz="0" w:space="0" w:color="auto"/>
                            <w:left w:val="none" w:sz="0" w:space="0" w:color="auto"/>
                            <w:bottom w:val="none" w:sz="0" w:space="0" w:color="auto"/>
                            <w:right w:val="none" w:sz="0" w:space="0" w:color="auto"/>
                          </w:divBdr>
                          <w:divsChild>
                            <w:div w:id="292100267">
                              <w:marLeft w:val="0"/>
                              <w:marRight w:val="0"/>
                              <w:marTop w:val="0"/>
                              <w:marBottom w:val="0"/>
                              <w:divBdr>
                                <w:top w:val="none" w:sz="0" w:space="0" w:color="auto"/>
                                <w:left w:val="none" w:sz="0" w:space="0" w:color="auto"/>
                                <w:bottom w:val="none" w:sz="0" w:space="0" w:color="auto"/>
                                <w:right w:val="none" w:sz="0" w:space="0" w:color="auto"/>
                              </w:divBdr>
                              <w:divsChild>
                                <w:div w:id="757754538">
                                  <w:marLeft w:val="0"/>
                                  <w:marRight w:val="0"/>
                                  <w:marTop w:val="0"/>
                                  <w:marBottom w:val="0"/>
                                  <w:divBdr>
                                    <w:top w:val="none" w:sz="0" w:space="0" w:color="auto"/>
                                    <w:left w:val="none" w:sz="0" w:space="0" w:color="auto"/>
                                    <w:bottom w:val="none" w:sz="0" w:space="0" w:color="auto"/>
                                    <w:right w:val="none" w:sz="0" w:space="0" w:color="auto"/>
                                  </w:divBdr>
                                  <w:divsChild>
                                    <w:div w:id="405499165">
                                      <w:marLeft w:val="0"/>
                                      <w:marRight w:val="0"/>
                                      <w:marTop w:val="0"/>
                                      <w:marBottom w:val="0"/>
                                      <w:divBdr>
                                        <w:top w:val="none" w:sz="0" w:space="0" w:color="auto"/>
                                        <w:left w:val="none" w:sz="0" w:space="0" w:color="auto"/>
                                        <w:bottom w:val="none" w:sz="0" w:space="0" w:color="auto"/>
                                        <w:right w:val="none" w:sz="0" w:space="0" w:color="auto"/>
                                      </w:divBdr>
                                    </w:div>
                                    <w:div w:id="1248417172">
                                      <w:marLeft w:val="0"/>
                                      <w:marRight w:val="0"/>
                                      <w:marTop w:val="0"/>
                                      <w:marBottom w:val="0"/>
                                      <w:divBdr>
                                        <w:top w:val="none" w:sz="0" w:space="0" w:color="auto"/>
                                        <w:left w:val="none" w:sz="0" w:space="0" w:color="auto"/>
                                        <w:bottom w:val="none" w:sz="0" w:space="0" w:color="auto"/>
                                        <w:right w:val="none" w:sz="0" w:space="0" w:color="auto"/>
                                      </w:divBdr>
                                      <w:divsChild>
                                        <w:div w:id="83338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601724">
                      <w:marLeft w:val="0"/>
                      <w:marRight w:val="0"/>
                      <w:marTop w:val="0"/>
                      <w:marBottom w:val="0"/>
                      <w:divBdr>
                        <w:top w:val="none" w:sz="0" w:space="0" w:color="auto"/>
                        <w:left w:val="none" w:sz="0" w:space="0" w:color="auto"/>
                        <w:bottom w:val="none" w:sz="0" w:space="0" w:color="auto"/>
                        <w:right w:val="none" w:sz="0" w:space="0" w:color="auto"/>
                      </w:divBdr>
                      <w:divsChild>
                        <w:div w:id="523835213">
                          <w:marLeft w:val="0"/>
                          <w:marRight w:val="0"/>
                          <w:marTop w:val="0"/>
                          <w:marBottom w:val="0"/>
                          <w:divBdr>
                            <w:top w:val="none" w:sz="0" w:space="0" w:color="auto"/>
                            <w:left w:val="none" w:sz="0" w:space="0" w:color="auto"/>
                            <w:bottom w:val="none" w:sz="0" w:space="0" w:color="auto"/>
                            <w:right w:val="none" w:sz="0" w:space="0" w:color="auto"/>
                          </w:divBdr>
                          <w:divsChild>
                            <w:div w:id="680551201">
                              <w:marLeft w:val="0"/>
                              <w:marRight w:val="0"/>
                              <w:marTop w:val="0"/>
                              <w:marBottom w:val="0"/>
                              <w:divBdr>
                                <w:top w:val="none" w:sz="0" w:space="0" w:color="auto"/>
                                <w:left w:val="none" w:sz="0" w:space="0" w:color="auto"/>
                                <w:bottom w:val="none" w:sz="0" w:space="0" w:color="auto"/>
                                <w:right w:val="none" w:sz="0" w:space="0" w:color="auto"/>
                              </w:divBdr>
                              <w:divsChild>
                                <w:div w:id="958796912">
                                  <w:marLeft w:val="0"/>
                                  <w:marRight w:val="0"/>
                                  <w:marTop w:val="0"/>
                                  <w:marBottom w:val="0"/>
                                  <w:divBdr>
                                    <w:top w:val="none" w:sz="0" w:space="0" w:color="auto"/>
                                    <w:left w:val="none" w:sz="0" w:space="0" w:color="auto"/>
                                    <w:bottom w:val="none" w:sz="0" w:space="0" w:color="auto"/>
                                    <w:right w:val="none" w:sz="0" w:space="0" w:color="auto"/>
                                  </w:divBdr>
                                  <w:divsChild>
                                    <w:div w:id="229124791">
                                      <w:marLeft w:val="0"/>
                                      <w:marRight w:val="0"/>
                                      <w:marTop w:val="0"/>
                                      <w:marBottom w:val="0"/>
                                      <w:divBdr>
                                        <w:top w:val="none" w:sz="0" w:space="0" w:color="auto"/>
                                        <w:left w:val="none" w:sz="0" w:space="0" w:color="auto"/>
                                        <w:bottom w:val="none" w:sz="0" w:space="0" w:color="auto"/>
                                        <w:right w:val="none" w:sz="0" w:space="0" w:color="auto"/>
                                      </w:divBdr>
                                    </w:div>
                                    <w:div w:id="875582391">
                                      <w:marLeft w:val="0"/>
                                      <w:marRight w:val="0"/>
                                      <w:marTop w:val="0"/>
                                      <w:marBottom w:val="0"/>
                                      <w:divBdr>
                                        <w:top w:val="none" w:sz="0" w:space="0" w:color="auto"/>
                                        <w:left w:val="none" w:sz="0" w:space="0" w:color="auto"/>
                                        <w:bottom w:val="none" w:sz="0" w:space="0" w:color="auto"/>
                                        <w:right w:val="none" w:sz="0" w:space="0" w:color="auto"/>
                                      </w:divBdr>
                                      <w:divsChild>
                                        <w:div w:id="693383722">
                                          <w:marLeft w:val="0"/>
                                          <w:marRight w:val="0"/>
                                          <w:marTop w:val="0"/>
                                          <w:marBottom w:val="0"/>
                                          <w:divBdr>
                                            <w:top w:val="none" w:sz="0" w:space="0" w:color="auto"/>
                                            <w:left w:val="none" w:sz="0" w:space="0" w:color="auto"/>
                                            <w:bottom w:val="none" w:sz="0" w:space="0" w:color="auto"/>
                                            <w:right w:val="none" w:sz="0" w:space="0" w:color="auto"/>
                                          </w:divBdr>
                                        </w:div>
                                        <w:div w:id="118555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1831837">
      <w:bodyDiv w:val="1"/>
      <w:marLeft w:val="0"/>
      <w:marRight w:val="0"/>
      <w:marTop w:val="0"/>
      <w:marBottom w:val="0"/>
      <w:divBdr>
        <w:top w:val="none" w:sz="0" w:space="0" w:color="auto"/>
        <w:left w:val="none" w:sz="0" w:space="0" w:color="auto"/>
        <w:bottom w:val="none" w:sz="0" w:space="0" w:color="auto"/>
        <w:right w:val="none" w:sz="0" w:space="0" w:color="auto"/>
      </w:divBdr>
      <w:divsChild>
        <w:div w:id="1152212396">
          <w:marLeft w:val="0"/>
          <w:marRight w:val="0"/>
          <w:marTop w:val="0"/>
          <w:marBottom w:val="0"/>
          <w:divBdr>
            <w:top w:val="none" w:sz="0" w:space="0" w:color="auto"/>
            <w:left w:val="none" w:sz="0" w:space="0" w:color="auto"/>
            <w:bottom w:val="none" w:sz="0" w:space="0" w:color="auto"/>
            <w:right w:val="none" w:sz="0" w:space="0" w:color="auto"/>
          </w:divBdr>
        </w:div>
      </w:divsChild>
    </w:div>
    <w:div w:id="1001130042">
      <w:bodyDiv w:val="1"/>
      <w:marLeft w:val="0"/>
      <w:marRight w:val="0"/>
      <w:marTop w:val="0"/>
      <w:marBottom w:val="0"/>
      <w:divBdr>
        <w:top w:val="none" w:sz="0" w:space="0" w:color="auto"/>
        <w:left w:val="none" w:sz="0" w:space="0" w:color="auto"/>
        <w:bottom w:val="none" w:sz="0" w:space="0" w:color="auto"/>
        <w:right w:val="none" w:sz="0" w:space="0" w:color="auto"/>
      </w:divBdr>
    </w:div>
    <w:div w:id="1004865274">
      <w:bodyDiv w:val="1"/>
      <w:marLeft w:val="0"/>
      <w:marRight w:val="0"/>
      <w:marTop w:val="0"/>
      <w:marBottom w:val="0"/>
      <w:divBdr>
        <w:top w:val="none" w:sz="0" w:space="0" w:color="auto"/>
        <w:left w:val="none" w:sz="0" w:space="0" w:color="auto"/>
        <w:bottom w:val="none" w:sz="0" w:space="0" w:color="auto"/>
        <w:right w:val="none" w:sz="0" w:space="0" w:color="auto"/>
      </w:divBdr>
      <w:divsChild>
        <w:div w:id="732388243">
          <w:marLeft w:val="0"/>
          <w:marRight w:val="0"/>
          <w:marTop w:val="0"/>
          <w:marBottom w:val="0"/>
          <w:divBdr>
            <w:top w:val="none" w:sz="0" w:space="0" w:color="auto"/>
            <w:left w:val="none" w:sz="0" w:space="0" w:color="auto"/>
            <w:bottom w:val="none" w:sz="0" w:space="0" w:color="auto"/>
            <w:right w:val="none" w:sz="0" w:space="0" w:color="auto"/>
          </w:divBdr>
        </w:div>
      </w:divsChild>
    </w:div>
    <w:div w:id="1006130476">
      <w:bodyDiv w:val="1"/>
      <w:marLeft w:val="0"/>
      <w:marRight w:val="0"/>
      <w:marTop w:val="0"/>
      <w:marBottom w:val="0"/>
      <w:divBdr>
        <w:top w:val="none" w:sz="0" w:space="0" w:color="auto"/>
        <w:left w:val="none" w:sz="0" w:space="0" w:color="auto"/>
        <w:bottom w:val="none" w:sz="0" w:space="0" w:color="auto"/>
        <w:right w:val="none" w:sz="0" w:space="0" w:color="auto"/>
      </w:divBdr>
      <w:divsChild>
        <w:div w:id="1069502806">
          <w:marLeft w:val="0"/>
          <w:marRight w:val="0"/>
          <w:marTop w:val="0"/>
          <w:marBottom w:val="0"/>
          <w:divBdr>
            <w:top w:val="none" w:sz="0" w:space="0" w:color="auto"/>
            <w:left w:val="none" w:sz="0" w:space="0" w:color="auto"/>
            <w:bottom w:val="none" w:sz="0" w:space="0" w:color="auto"/>
            <w:right w:val="none" w:sz="0" w:space="0" w:color="auto"/>
          </w:divBdr>
        </w:div>
        <w:div w:id="1939675791">
          <w:marLeft w:val="0"/>
          <w:marRight w:val="0"/>
          <w:marTop w:val="0"/>
          <w:marBottom w:val="0"/>
          <w:divBdr>
            <w:top w:val="none" w:sz="0" w:space="0" w:color="auto"/>
            <w:left w:val="none" w:sz="0" w:space="0" w:color="auto"/>
            <w:bottom w:val="none" w:sz="0" w:space="0" w:color="auto"/>
            <w:right w:val="none" w:sz="0" w:space="0" w:color="auto"/>
          </w:divBdr>
        </w:div>
        <w:div w:id="1913586728">
          <w:marLeft w:val="0"/>
          <w:marRight w:val="0"/>
          <w:marTop w:val="0"/>
          <w:marBottom w:val="0"/>
          <w:divBdr>
            <w:top w:val="none" w:sz="0" w:space="0" w:color="auto"/>
            <w:left w:val="none" w:sz="0" w:space="0" w:color="auto"/>
            <w:bottom w:val="none" w:sz="0" w:space="0" w:color="auto"/>
            <w:right w:val="none" w:sz="0" w:space="0" w:color="auto"/>
          </w:divBdr>
        </w:div>
        <w:div w:id="838544929">
          <w:marLeft w:val="0"/>
          <w:marRight w:val="0"/>
          <w:marTop w:val="0"/>
          <w:marBottom w:val="0"/>
          <w:divBdr>
            <w:top w:val="none" w:sz="0" w:space="0" w:color="auto"/>
            <w:left w:val="none" w:sz="0" w:space="0" w:color="auto"/>
            <w:bottom w:val="none" w:sz="0" w:space="0" w:color="auto"/>
            <w:right w:val="none" w:sz="0" w:space="0" w:color="auto"/>
          </w:divBdr>
          <w:divsChild>
            <w:div w:id="176534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927480">
      <w:bodyDiv w:val="1"/>
      <w:marLeft w:val="0"/>
      <w:marRight w:val="0"/>
      <w:marTop w:val="0"/>
      <w:marBottom w:val="0"/>
      <w:divBdr>
        <w:top w:val="none" w:sz="0" w:space="0" w:color="auto"/>
        <w:left w:val="none" w:sz="0" w:space="0" w:color="auto"/>
        <w:bottom w:val="none" w:sz="0" w:space="0" w:color="auto"/>
        <w:right w:val="none" w:sz="0" w:space="0" w:color="auto"/>
      </w:divBdr>
    </w:div>
    <w:div w:id="1018197212">
      <w:bodyDiv w:val="1"/>
      <w:marLeft w:val="0"/>
      <w:marRight w:val="0"/>
      <w:marTop w:val="0"/>
      <w:marBottom w:val="0"/>
      <w:divBdr>
        <w:top w:val="none" w:sz="0" w:space="0" w:color="auto"/>
        <w:left w:val="none" w:sz="0" w:space="0" w:color="auto"/>
        <w:bottom w:val="none" w:sz="0" w:space="0" w:color="auto"/>
        <w:right w:val="none" w:sz="0" w:space="0" w:color="auto"/>
      </w:divBdr>
      <w:divsChild>
        <w:div w:id="360327012">
          <w:marLeft w:val="0"/>
          <w:marRight w:val="0"/>
          <w:marTop w:val="0"/>
          <w:marBottom w:val="0"/>
          <w:divBdr>
            <w:top w:val="none" w:sz="0" w:space="0" w:color="auto"/>
            <w:left w:val="none" w:sz="0" w:space="0" w:color="auto"/>
            <w:bottom w:val="none" w:sz="0" w:space="0" w:color="auto"/>
            <w:right w:val="none" w:sz="0" w:space="0" w:color="auto"/>
          </w:divBdr>
        </w:div>
      </w:divsChild>
    </w:div>
    <w:div w:id="1025442198">
      <w:bodyDiv w:val="1"/>
      <w:marLeft w:val="0"/>
      <w:marRight w:val="0"/>
      <w:marTop w:val="0"/>
      <w:marBottom w:val="0"/>
      <w:divBdr>
        <w:top w:val="none" w:sz="0" w:space="0" w:color="auto"/>
        <w:left w:val="none" w:sz="0" w:space="0" w:color="auto"/>
        <w:bottom w:val="none" w:sz="0" w:space="0" w:color="auto"/>
        <w:right w:val="none" w:sz="0" w:space="0" w:color="auto"/>
      </w:divBdr>
      <w:divsChild>
        <w:div w:id="2036229829">
          <w:marLeft w:val="0"/>
          <w:marRight w:val="0"/>
          <w:marTop w:val="0"/>
          <w:marBottom w:val="0"/>
          <w:divBdr>
            <w:top w:val="none" w:sz="0" w:space="0" w:color="auto"/>
            <w:left w:val="none" w:sz="0" w:space="0" w:color="auto"/>
            <w:bottom w:val="none" w:sz="0" w:space="0" w:color="auto"/>
            <w:right w:val="none" w:sz="0" w:space="0" w:color="auto"/>
          </w:divBdr>
        </w:div>
      </w:divsChild>
    </w:div>
    <w:div w:id="1046952371">
      <w:bodyDiv w:val="1"/>
      <w:marLeft w:val="0"/>
      <w:marRight w:val="0"/>
      <w:marTop w:val="0"/>
      <w:marBottom w:val="0"/>
      <w:divBdr>
        <w:top w:val="none" w:sz="0" w:space="0" w:color="auto"/>
        <w:left w:val="none" w:sz="0" w:space="0" w:color="auto"/>
        <w:bottom w:val="none" w:sz="0" w:space="0" w:color="auto"/>
        <w:right w:val="none" w:sz="0" w:space="0" w:color="auto"/>
      </w:divBdr>
      <w:divsChild>
        <w:div w:id="533618728">
          <w:marLeft w:val="0"/>
          <w:marRight w:val="0"/>
          <w:marTop w:val="0"/>
          <w:marBottom w:val="0"/>
          <w:divBdr>
            <w:top w:val="none" w:sz="0" w:space="0" w:color="auto"/>
            <w:left w:val="none" w:sz="0" w:space="0" w:color="auto"/>
            <w:bottom w:val="none" w:sz="0" w:space="0" w:color="auto"/>
            <w:right w:val="none" w:sz="0" w:space="0" w:color="auto"/>
          </w:divBdr>
        </w:div>
        <w:div w:id="1890340874">
          <w:marLeft w:val="0"/>
          <w:marRight w:val="0"/>
          <w:marTop w:val="0"/>
          <w:marBottom w:val="0"/>
          <w:divBdr>
            <w:top w:val="none" w:sz="0" w:space="0" w:color="auto"/>
            <w:left w:val="none" w:sz="0" w:space="0" w:color="auto"/>
            <w:bottom w:val="none" w:sz="0" w:space="0" w:color="auto"/>
            <w:right w:val="none" w:sz="0" w:space="0" w:color="auto"/>
          </w:divBdr>
          <w:divsChild>
            <w:div w:id="258754209">
              <w:marLeft w:val="0"/>
              <w:marRight w:val="0"/>
              <w:marTop w:val="0"/>
              <w:marBottom w:val="0"/>
              <w:divBdr>
                <w:top w:val="none" w:sz="0" w:space="0" w:color="auto"/>
                <w:left w:val="none" w:sz="0" w:space="0" w:color="auto"/>
                <w:bottom w:val="none" w:sz="0" w:space="0" w:color="auto"/>
                <w:right w:val="none" w:sz="0" w:space="0" w:color="auto"/>
              </w:divBdr>
            </w:div>
            <w:div w:id="1703827098">
              <w:marLeft w:val="0"/>
              <w:marRight w:val="0"/>
              <w:marTop w:val="0"/>
              <w:marBottom w:val="0"/>
              <w:divBdr>
                <w:top w:val="none" w:sz="0" w:space="0" w:color="auto"/>
                <w:left w:val="none" w:sz="0" w:space="0" w:color="auto"/>
                <w:bottom w:val="none" w:sz="0" w:space="0" w:color="auto"/>
                <w:right w:val="none" w:sz="0" w:space="0" w:color="auto"/>
              </w:divBdr>
              <w:divsChild>
                <w:div w:id="63425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6023">
      <w:bodyDiv w:val="1"/>
      <w:marLeft w:val="0"/>
      <w:marRight w:val="0"/>
      <w:marTop w:val="0"/>
      <w:marBottom w:val="0"/>
      <w:divBdr>
        <w:top w:val="none" w:sz="0" w:space="0" w:color="auto"/>
        <w:left w:val="none" w:sz="0" w:space="0" w:color="auto"/>
        <w:bottom w:val="none" w:sz="0" w:space="0" w:color="auto"/>
        <w:right w:val="none" w:sz="0" w:space="0" w:color="auto"/>
      </w:divBdr>
      <w:divsChild>
        <w:div w:id="1477330664">
          <w:marLeft w:val="0"/>
          <w:marRight w:val="0"/>
          <w:marTop w:val="0"/>
          <w:marBottom w:val="0"/>
          <w:divBdr>
            <w:top w:val="none" w:sz="0" w:space="0" w:color="auto"/>
            <w:left w:val="none" w:sz="0" w:space="0" w:color="auto"/>
            <w:bottom w:val="none" w:sz="0" w:space="0" w:color="auto"/>
            <w:right w:val="none" w:sz="0" w:space="0" w:color="auto"/>
          </w:divBdr>
        </w:div>
      </w:divsChild>
    </w:div>
    <w:div w:id="1048340391">
      <w:bodyDiv w:val="1"/>
      <w:marLeft w:val="0"/>
      <w:marRight w:val="0"/>
      <w:marTop w:val="0"/>
      <w:marBottom w:val="0"/>
      <w:divBdr>
        <w:top w:val="none" w:sz="0" w:space="0" w:color="auto"/>
        <w:left w:val="none" w:sz="0" w:space="0" w:color="auto"/>
        <w:bottom w:val="none" w:sz="0" w:space="0" w:color="auto"/>
        <w:right w:val="none" w:sz="0" w:space="0" w:color="auto"/>
      </w:divBdr>
      <w:divsChild>
        <w:div w:id="184099640">
          <w:marLeft w:val="0"/>
          <w:marRight w:val="0"/>
          <w:marTop w:val="0"/>
          <w:marBottom w:val="0"/>
          <w:divBdr>
            <w:top w:val="none" w:sz="0" w:space="0" w:color="auto"/>
            <w:left w:val="none" w:sz="0" w:space="0" w:color="auto"/>
            <w:bottom w:val="none" w:sz="0" w:space="0" w:color="auto"/>
            <w:right w:val="none" w:sz="0" w:space="0" w:color="auto"/>
          </w:divBdr>
        </w:div>
      </w:divsChild>
    </w:div>
    <w:div w:id="1055927311">
      <w:bodyDiv w:val="1"/>
      <w:marLeft w:val="0"/>
      <w:marRight w:val="0"/>
      <w:marTop w:val="0"/>
      <w:marBottom w:val="0"/>
      <w:divBdr>
        <w:top w:val="none" w:sz="0" w:space="0" w:color="auto"/>
        <w:left w:val="none" w:sz="0" w:space="0" w:color="auto"/>
        <w:bottom w:val="none" w:sz="0" w:space="0" w:color="auto"/>
        <w:right w:val="none" w:sz="0" w:space="0" w:color="auto"/>
      </w:divBdr>
      <w:divsChild>
        <w:div w:id="1243221515">
          <w:marLeft w:val="0"/>
          <w:marRight w:val="0"/>
          <w:marTop w:val="0"/>
          <w:marBottom w:val="0"/>
          <w:divBdr>
            <w:top w:val="none" w:sz="0" w:space="0" w:color="auto"/>
            <w:left w:val="none" w:sz="0" w:space="0" w:color="auto"/>
            <w:bottom w:val="none" w:sz="0" w:space="0" w:color="auto"/>
            <w:right w:val="none" w:sz="0" w:space="0" w:color="auto"/>
          </w:divBdr>
          <w:divsChild>
            <w:div w:id="980842030">
              <w:marLeft w:val="0"/>
              <w:marRight w:val="0"/>
              <w:marTop w:val="0"/>
              <w:marBottom w:val="0"/>
              <w:divBdr>
                <w:top w:val="none" w:sz="0" w:space="0" w:color="auto"/>
                <w:left w:val="none" w:sz="0" w:space="0" w:color="auto"/>
                <w:bottom w:val="none" w:sz="0" w:space="0" w:color="auto"/>
                <w:right w:val="none" w:sz="0" w:space="0" w:color="auto"/>
              </w:divBdr>
            </w:div>
            <w:div w:id="119269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69179">
      <w:bodyDiv w:val="1"/>
      <w:marLeft w:val="0"/>
      <w:marRight w:val="0"/>
      <w:marTop w:val="0"/>
      <w:marBottom w:val="0"/>
      <w:divBdr>
        <w:top w:val="none" w:sz="0" w:space="0" w:color="auto"/>
        <w:left w:val="none" w:sz="0" w:space="0" w:color="auto"/>
        <w:bottom w:val="none" w:sz="0" w:space="0" w:color="auto"/>
        <w:right w:val="none" w:sz="0" w:space="0" w:color="auto"/>
      </w:divBdr>
    </w:div>
    <w:div w:id="1090858535">
      <w:bodyDiv w:val="1"/>
      <w:marLeft w:val="0"/>
      <w:marRight w:val="0"/>
      <w:marTop w:val="0"/>
      <w:marBottom w:val="0"/>
      <w:divBdr>
        <w:top w:val="none" w:sz="0" w:space="0" w:color="auto"/>
        <w:left w:val="none" w:sz="0" w:space="0" w:color="auto"/>
        <w:bottom w:val="none" w:sz="0" w:space="0" w:color="auto"/>
        <w:right w:val="none" w:sz="0" w:space="0" w:color="auto"/>
      </w:divBdr>
      <w:divsChild>
        <w:div w:id="1744522277">
          <w:marLeft w:val="0"/>
          <w:marRight w:val="0"/>
          <w:marTop w:val="0"/>
          <w:marBottom w:val="0"/>
          <w:divBdr>
            <w:top w:val="none" w:sz="0" w:space="0" w:color="auto"/>
            <w:left w:val="none" w:sz="0" w:space="0" w:color="auto"/>
            <w:bottom w:val="none" w:sz="0" w:space="0" w:color="auto"/>
            <w:right w:val="none" w:sz="0" w:space="0" w:color="auto"/>
          </w:divBdr>
          <w:divsChild>
            <w:div w:id="1822235239">
              <w:marLeft w:val="0"/>
              <w:marRight w:val="0"/>
              <w:marTop w:val="0"/>
              <w:marBottom w:val="0"/>
              <w:divBdr>
                <w:top w:val="none" w:sz="0" w:space="0" w:color="auto"/>
                <w:left w:val="none" w:sz="0" w:space="0" w:color="auto"/>
                <w:bottom w:val="none" w:sz="0" w:space="0" w:color="auto"/>
                <w:right w:val="none" w:sz="0" w:space="0" w:color="auto"/>
              </w:divBdr>
              <w:divsChild>
                <w:div w:id="203746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671885">
          <w:marLeft w:val="0"/>
          <w:marRight w:val="0"/>
          <w:marTop w:val="0"/>
          <w:marBottom w:val="0"/>
          <w:divBdr>
            <w:top w:val="none" w:sz="0" w:space="0" w:color="auto"/>
            <w:left w:val="none" w:sz="0" w:space="0" w:color="auto"/>
            <w:bottom w:val="none" w:sz="0" w:space="0" w:color="auto"/>
            <w:right w:val="none" w:sz="0" w:space="0" w:color="auto"/>
          </w:divBdr>
          <w:divsChild>
            <w:div w:id="1040521454">
              <w:marLeft w:val="0"/>
              <w:marRight w:val="0"/>
              <w:marTop w:val="0"/>
              <w:marBottom w:val="0"/>
              <w:divBdr>
                <w:top w:val="none" w:sz="0" w:space="0" w:color="auto"/>
                <w:left w:val="none" w:sz="0" w:space="0" w:color="auto"/>
                <w:bottom w:val="none" w:sz="0" w:space="0" w:color="auto"/>
                <w:right w:val="none" w:sz="0" w:space="0" w:color="auto"/>
              </w:divBdr>
              <w:divsChild>
                <w:div w:id="1191262695">
                  <w:marLeft w:val="0"/>
                  <w:marRight w:val="0"/>
                  <w:marTop w:val="0"/>
                  <w:marBottom w:val="0"/>
                  <w:divBdr>
                    <w:top w:val="none" w:sz="0" w:space="0" w:color="auto"/>
                    <w:left w:val="none" w:sz="0" w:space="0" w:color="auto"/>
                    <w:bottom w:val="none" w:sz="0" w:space="0" w:color="auto"/>
                    <w:right w:val="none" w:sz="0" w:space="0" w:color="auto"/>
                  </w:divBdr>
                </w:div>
                <w:div w:id="20326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740728">
      <w:bodyDiv w:val="1"/>
      <w:marLeft w:val="0"/>
      <w:marRight w:val="0"/>
      <w:marTop w:val="0"/>
      <w:marBottom w:val="0"/>
      <w:divBdr>
        <w:top w:val="none" w:sz="0" w:space="0" w:color="auto"/>
        <w:left w:val="none" w:sz="0" w:space="0" w:color="auto"/>
        <w:bottom w:val="none" w:sz="0" w:space="0" w:color="auto"/>
        <w:right w:val="none" w:sz="0" w:space="0" w:color="auto"/>
      </w:divBdr>
    </w:div>
    <w:div w:id="1114791428">
      <w:bodyDiv w:val="1"/>
      <w:marLeft w:val="0"/>
      <w:marRight w:val="0"/>
      <w:marTop w:val="0"/>
      <w:marBottom w:val="0"/>
      <w:divBdr>
        <w:top w:val="none" w:sz="0" w:space="0" w:color="auto"/>
        <w:left w:val="none" w:sz="0" w:space="0" w:color="auto"/>
        <w:bottom w:val="none" w:sz="0" w:space="0" w:color="auto"/>
        <w:right w:val="none" w:sz="0" w:space="0" w:color="auto"/>
      </w:divBdr>
      <w:divsChild>
        <w:div w:id="1796946021">
          <w:marLeft w:val="0"/>
          <w:marRight w:val="0"/>
          <w:marTop w:val="0"/>
          <w:marBottom w:val="0"/>
          <w:divBdr>
            <w:top w:val="none" w:sz="0" w:space="0" w:color="auto"/>
            <w:left w:val="none" w:sz="0" w:space="0" w:color="auto"/>
            <w:bottom w:val="none" w:sz="0" w:space="0" w:color="auto"/>
            <w:right w:val="none" w:sz="0" w:space="0" w:color="auto"/>
          </w:divBdr>
        </w:div>
        <w:div w:id="373584033">
          <w:marLeft w:val="0"/>
          <w:marRight w:val="0"/>
          <w:marTop w:val="0"/>
          <w:marBottom w:val="0"/>
          <w:divBdr>
            <w:top w:val="none" w:sz="0" w:space="0" w:color="auto"/>
            <w:left w:val="none" w:sz="0" w:space="0" w:color="auto"/>
            <w:bottom w:val="none" w:sz="0" w:space="0" w:color="auto"/>
            <w:right w:val="none" w:sz="0" w:space="0" w:color="auto"/>
          </w:divBdr>
        </w:div>
        <w:div w:id="1165046736">
          <w:marLeft w:val="0"/>
          <w:marRight w:val="0"/>
          <w:marTop w:val="0"/>
          <w:marBottom w:val="0"/>
          <w:divBdr>
            <w:top w:val="none" w:sz="0" w:space="0" w:color="auto"/>
            <w:left w:val="none" w:sz="0" w:space="0" w:color="auto"/>
            <w:bottom w:val="none" w:sz="0" w:space="0" w:color="auto"/>
            <w:right w:val="none" w:sz="0" w:space="0" w:color="auto"/>
          </w:divBdr>
          <w:divsChild>
            <w:div w:id="185592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157342">
      <w:bodyDiv w:val="1"/>
      <w:marLeft w:val="0"/>
      <w:marRight w:val="0"/>
      <w:marTop w:val="0"/>
      <w:marBottom w:val="0"/>
      <w:divBdr>
        <w:top w:val="none" w:sz="0" w:space="0" w:color="auto"/>
        <w:left w:val="none" w:sz="0" w:space="0" w:color="auto"/>
        <w:bottom w:val="none" w:sz="0" w:space="0" w:color="auto"/>
        <w:right w:val="none" w:sz="0" w:space="0" w:color="auto"/>
      </w:divBdr>
    </w:div>
    <w:div w:id="1136876200">
      <w:bodyDiv w:val="1"/>
      <w:marLeft w:val="0"/>
      <w:marRight w:val="0"/>
      <w:marTop w:val="0"/>
      <w:marBottom w:val="0"/>
      <w:divBdr>
        <w:top w:val="none" w:sz="0" w:space="0" w:color="auto"/>
        <w:left w:val="none" w:sz="0" w:space="0" w:color="auto"/>
        <w:bottom w:val="none" w:sz="0" w:space="0" w:color="auto"/>
        <w:right w:val="none" w:sz="0" w:space="0" w:color="auto"/>
      </w:divBdr>
      <w:divsChild>
        <w:div w:id="1468277450">
          <w:marLeft w:val="0"/>
          <w:marRight w:val="0"/>
          <w:marTop w:val="0"/>
          <w:marBottom w:val="0"/>
          <w:divBdr>
            <w:top w:val="none" w:sz="0" w:space="0" w:color="auto"/>
            <w:left w:val="none" w:sz="0" w:space="0" w:color="auto"/>
            <w:bottom w:val="none" w:sz="0" w:space="0" w:color="auto"/>
            <w:right w:val="none" w:sz="0" w:space="0" w:color="auto"/>
          </w:divBdr>
        </w:div>
      </w:divsChild>
    </w:div>
    <w:div w:id="1159350401">
      <w:bodyDiv w:val="1"/>
      <w:marLeft w:val="0"/>
      <w:marRight w:val="0"/>
      <w:marTop w:val="0"/>
      <w:marBottom w:val="0"/>
      <w:divBdr>
        <w:top w:val="none" w:sz="0" w:space="0" w:color="auto"/>
        <w:left w:val="none" w:sz="0" w:space="0" w:color="auto"/>
        <w:bottom w:val="none" w:sz="0" w:space="0" w:color="auto"/>
        <w:right w:val="none" w:sz="0" w:space="0" w:color="auto"/>
      </w:divBdr>
      <w:divsChild>
        <w:div w:id="1831559750">
          <w:marLeft w:val="0"/>
          <w:marRight w:val="0"/>
          <w:marTop w:val="0"/>
          <w:marBottom w:val="0"/>
          <w:divBdr>
            <w:top w:val="none" w:sz="0" w:space="0" w:color="auto"/>
            <w:left w:val="none" w:sz="0" w:space="0" w:color="auto"/>
            <w:bottom w:val="none" w:sz="0" w:space="0" w:color="auto"/>
            <w:right w:val="none" w:sz="0" w:space="0" w:color="auto"/>
          </w:divBdr>
        </w:div>
      </w:divsChild>
    </w:div>
    <w:div w:id="1164931946">
      <w:bodyDiv w:val="1"/>
      <w:marLeft w:val="0"/>
      <w:marRight w:val="0"/>
      <w:marTop w:val="0"/>
      <w:marBottom w:val="0"/>
      <w:divBdr>
        <w:top w:val="none" w:sz="0" w:space="0" w:color="auto"/>
        <w:left w:val="none" w:sz="0" w:space="0" w:color="auto"/>
        <w:bottom w:val="none" w:sz="0" w:space="0" w:color="auto"/>
        <w:right w:val="none" w:sz="0" w:space="0" w:color="auto"/>
      </w:divBdr>
    </w:div>
    <w:div w:id="1165241223">
      <w:bodyDiv w:val="1"/>
      <w:marLeft w:val="0"/>
      <w:marRight w:val="0"/>
      <w:marTop w:val="0"/>
      <w:marBottom w:val="0"/>
      <w:divBdr>
        <w:top w:val="none" w:sz="0" w:space="0" w:color="auto"/>
        <w:left w:val="none" w:sz="0" w:space="0" w:color="auto"/>
        <w:bottom w:val="none" w:sz="0" w:space="0" w:color="auto"/>
        <w:right w:val="none" w:sz="0" w:space="0" w:color="auto"/>
      </w:divBdr>
      <w:divsChild>
        <w:div w:id="408774441">
          <w:marLeft w:val="0"/>
          <w:marRight w:val="0"/>
          <w:marTop w:val="0"/>
          <w:marBottom w:val="0"/>
          <w:divBdr>
            <w:top w:val="none" w:sz="0" w:space="0" w:color="auto"/>
            <w:left w:val="none" w:sz="0" w:space="0" w:color="auto"/>
            <w:bottom w:val="none" w:sz="0" w:space="0" w:color="auto"/>
            <w:right w:val="none" w:sz="0" w:space="0" w:color="auto"/>
          </w:divBdr>
        </w:div>
      </w:divsChild>
    </w:div>
    <w:div w:id="1174607778">
      <w:bodyDiv w:val="1"/>
      <w:marLeft w:val="0"/>
      <w:marRight w:val="0"/>
      <w:marTop w:val="0"/>
      <w:marBottom w:val="0"/>
      <w:divBdr>
        <w:top w:val="none" w:sz="0" w:space="0" w:color="auto"/>
        <w:left w:val="none" w:sz="0" w:space="0" w:color="auto"/>
        <w:bottom w:val="none" w:sz="0" w:space="0" w:color="auto"/>
        <w:right w:val="none" w:sz="0" w:space="0" w:color="auto"/>
      </w:divBdr>
    </w:div>
    <w:div w:id="1175002182">
      <w:bodyDiv w:val="1"/>
      <w:marLeft w:val="0"/>
      <w:marRight w:val="0"/>
      <w:marTop w:val="0"/>
      <w:marBottom w:val="0"/>
      <w:divBdr>
        <w:top w:val="none" w:sz="0" w:space="0" w:color="auto"/>
        <w:left w:val="none" w:sz="0" w:space="0" w:color="auto"/>
        <w:bottom w:val="none" w:sz="0" w:space="0" w:color="auto"/>
        <w:right w:val="none" w:sz="0" w:space="0" w:color="auto"/>
      </w:divBdr>
      <w:divsChild>
        <w:div w:id="1268467713">
          <w:marLeft w:val="0"/>
          <w:marRight w:val="0"/>
          <w:marTop w:val="0"/>
          <w:marBottom w:val="0"/>
          <w:divBdr>
            <w:top w:val="none" w:sz="0" w:space="0" w:color="auto"/>
            <w:left w:val="none" w:sz="0" w:space="0" w:color="auto"/>
            <w:bottom w:val="none" w:sz="0" w:space="0" w:color="auto"/>
            <w:right w:val="none" w:sz="0" w:space="0" w:color="auto"/>
          </w:divBdr>
        </w:div>
        <w:div w:id="2101444225">
          <w:marLeft w:val="0"/>
          <w:marRight w:val="0"/>
          <w:marTop w:val="0"/>
          <w:marBottom w:val="0"/>
          <w:divBdr>
            <w:top w:val="none" w:sz="0" w:space="0" w:color="auto"/>
            <w:left w:val="none" w:sz="0" w:space="0" w:color="auto"/>
            <w:bottom w:val="none" w:sz="0" w:space="0" w:color="auto"/>
            <w:right w:val="none" w:sz="0" w:space="0" w:color="auto"/>
          </w:divBdr>
        </w:div>
      </w:divsChild>
    </w:div>
    <w:div w:id="1179856007">
      <w:bodyDiv w:val="1"/>
      <w:marLeft w:val="0"/>
      <w:marRight w:val="0"/>
      <w:marTop w:val="0"/>
      <w:marBottom w:val="0"/>
      <w:divBdr>
        <w:top w:val="none" w:sz="0" w:space="0" w:color="auto"/>
        <w:left w:val="none" w:sz="0" w:space="0" w:color="auto"/>
        <w:bottom w:val="none" w:sz="0" w:space="0" w:color="auto"/>
        <w:right w:val="none" w:sz="0" w:space="0" w:color="auto"/>
      </w:divBdr>
    </w:div>
    <w:div w:id="1188567809">
      <w:bodyDiv w:val="1"/>
      <w:marLeft w:val="0"/>
      <w:marRight w:val="0"/>
      <w:marTop w:val="0"/>
      <w:marBottom w:val="0"/>
      <w:divBdr>
        <w:top w:val="none" w:sz="0" w:space="0" w:color="auto"/>
        <w:left w:val="none" w:sz="0" w:space="0" w:color="auto"/>
        <w:bottom w:val="none" w:sz="0" w:space="0" w:color="auto"/>
        <w:right w:val="none" w:sz="0" w:space="0" w:color="auto"/>
      </w:divBdr>
      <w:divsChild>
        <w:div w:id="1313439101">
          <w:marLeft w:val="0"/>
          <w:marRight w:val="0"/>
          <w:marTop w:val="0"/>
          <w:marBottom w:val="0"/>
          <w:divBdr>
            <w:top w:val="none" w:sz="0" w:space="0" w:color="auto"/>
            <w:left w:val="none" w:sz="0" w:space="0" w:color="auto"/>
            <w:bottom w:val="none" w:sz="0" w:space="0" w:color="auto"/>
            <w:right w:val="none" w:sz="0" w:space="0" w:color="auto"/>
          </w:divBdr>
        </w:div>
      </w:divsChild>
    </w:div>
    <w:div w:id="1191408724">
      <w:bodyDiv w:val="1"/>
      <w:marLeft w:val="0"/>
      <w:marRight w:val="0"/>
      <w:marTop w:val="0"/>
      <w:marBottom w:val="0"/>
      <w:divBdr>
        <w:top w:val="none" w:sz="0" w:space="0" w:color="auto"/>
        <w:left w:val="none" w:sz="0" w:space="0" w:color="auto"/>
        <w:bottom w:val="none" w:sz="0" w:space="0" w:color="auto"/>
        <w:right w:val="none" w:sz="0" w:space="0" w:color="auto"/>
      </w:divBdr>
    </w:div>
    <w:div w:id="1221283602">
      <w:bodyDiv w:val="1"/>
      <w:marLeft w:val="0"/>
      <w:marRight w:val="0"/>
      <w:marTop w:val="0"/>
      <w:marBottom w:val="0"/>
      <w:divBdr>
        <w:top w:val="none" w:sz="0" w:space="0" w:color="auto"/>
        <w:left w:val="none" w:sz="0" w:space="0" w:color="auto"/>
        <w:bottom w:val="none" w:sz="0" w:space="0" w:color="auto"/>
        <w:right w:val="none" w:sz="0" w:space="0" w:color="auto"/>
      </w:divBdr>
      <w:divsChild>
        <w:div w:id="1937714164">
          <w:marLeft w:val="0"/>
          <w:marRight w:val="0"/>
          <w:marTop w:val="0"/>
          <w:marBottom w:val="0"/>
          <w:divBdr>
            <w:top w:val="none" w:sz="0" w:space="0" w:color="auto"/>
            <w:left w:val="none" w:sz="0" w:space="0" w:color="auto"/>
            <w:bottom w:val="none" w:sz="0" w:space="0" w:color="auto"/>
            <w:right w:val="none" w:sz="0" w:space="0" w:color="auto"/>
          </w:divBdr>
        </w:div>
      </w:divsChild>
    </w:div>
    <w:div w:id="1227841022">
      <w:bodyDiv w:val="1"/>
      <w:marLeft w:val="0"/>
      <w:marRight w:val="0"/>
      <w:marTop w:val="0"/>
      <w:marBottom w:val="0"/>
      <w:divBdr>
        <w:top w:val="none" w:sz="0" w:space="0" w:color="auto"/>
        <w:left w:val="none" w:sz="0" w:space="0" w:color="auto"/>
        <w:bottom w:val="none" w:sz="0" w:space="0" w:color="auto"/>
        <w:right w:val="none" w:sz="0" w:space="0" w:color="auto"/>
      </w:divBdr>
      <w:divsChild>
        <w:div w:id="1226255654">
          <w:marLeft w:val="0"/>
          <w:marRight w:val="0"/>
          <w:marTop w:val="0"/>
          <w:marBottom w:val="0"/>
          <w:divBdr>
            <w:top w:val="none" w:sz="0" w:space="0" w:color="auto"/>
            <w:left w:val="none" w:sz="0" w:space="0" w:color="auto"/>
            <w:bottom w:val="none" w:sz="0" w:space="0" w:color="auto"/>
            <w:right w:val="none" w:sz="0" w:space="0" w:color="auto"/>
          </w:divBdr>
        </w:div>
        <w:div w:id="529690197">
          <w:marLeft w:val="0"/>
          <w:marRight w:val="0"/>
          <w:marTop w:val="0"/>
          <w:marBottom w:val="0"/>
          <w:divBdr>
            <w:top w:val="none" w:sz="0" w:space="0" w:color="auto"/>
            <w:left w:val="none" w:sz="0" w:space="0" w:color="auto"/>
            <w:bottom w:val="none" w:sz="0" w:space="0" w:color="auto"/>
            <w:right w:val="none" w:sz="0" w:space="0" w:color="auto"/>
          </w:divBdr>
        </w:div>
        <w:div w:id="1782842235">
          <w:marLeft w:val="0"/>
          <w:marRight w:val="0"/>
          <w:marTop w:val="0"/>
          <w:marBottom w:val="0"/>
          <w:divBdr>
            <w:top w:val="none" w:sz="0" w:space="0" w:color="auto"/>
            <w:left w:val="none" w:sz="0" w:space="0" w:color="auto"/>
            <w:bottom w:val="none" w:sz="0" w:space="0" w:color="auto"/>
            <w:right w:val="none" w:sz="0" w:space="0" w:color="auto"/>
          </w:divBdr>
        </w:div>
        <w:div w:id="1200126272">
          <w:marLeft w:val="0"/>
          <w:marRight w:val="0"/>
          <w:marTop w:val="0"/>
          <w:marBottom w:val="0"/>
          <w:divBdr>
            <w:top w:val="none" w:sz="0" w:space="0" w:color="auto"/>
            <w:left w:val="none" w:sz="0" w:space="0" w:color="auto"/>
            <w:bottom w:val="none" w:sz="0" w:space="0" w:color="auto"/>
            <w:right w:val="none" w:sz="0" w:space="0" w:color="auto"/>
          </w:divBdr>
          <w:divsChild>
            <w:div w:id="35654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7729">
      <w:bodyDiv w:val="1"/>
      <w:marLeft w:val="0"/>
      <w:marRight w:val="0"/>
      <w:marTop w:val="0"/>
      <w:marBottom w:val="0"/>
      <w:divBdr>
        <w:top w:val="none" w:sz="0" w:space="0" w:color="auto"/>
        <w:left w:val="none" w:sz="0" w:space="0" w:color="auto"/>
        <w:bottom w:val="none" w:sz="0" w:space="0" w:color="auto"/>
        <w:right w:val="none" w:sz="0" w:space="0" w:color="auto"/>
      </w:divBdr>
      <w:divsChild>
        <w:div w:id="2056268864">
          <w:marLeft w:val="0"/>
          <w:marRight w:val="0"/>
          <w:marTop w:val="0"/>
          <w:marBottom w:val="0"/>
          <w:divBdr>
            <w:top w:val="none" w:sz="0" w:space="0" w:color="auto"/>
            <w:left w:val="none" w:sz="0" w:space="0" w:color="auto"/>
            <w:bottom w:val="none" w:sz="0" w:space="0" w:color="auto"/>
            <w:right w:val="none" w:sz="0" w:space="0" w:color="auto"/>
          </w:divBdr>
          <w:divsChild>
            <w:div w:id="739213020">
              <w:marLeft w:val="0"/>
              <w:marRight w:val="0"/>
              <w:marTop w:val="0"/>
              <w:marBottom w:val="0"/>
              <w:divBdr>
                <w:top w:val="none" w:sz="0" w:space="0" w:color="auto"/>
                <w:left w:val="none" w:sz="0" w:space="0" w:color="auto"/>
                <w:bottom w:val="none" w:sz="0" w:space="0" w:color="auto"/>
                <w:right w:val="none" w:sz="0" w:space="0" w:color="auto"/>
              </w:divBdr>
              <w:divsChild>
                <w:div w:id="22580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186">
          <w:marLeft w:val="0"/>
          <w:marRight w:val="0"/>
          <w:marTop w:val="0"/>
          <w:marBottom w:val="0"/>
          <w:divBdr>
            <w:top w:val="none" w:sz="0" w:space="0" w:color="auto"/>
            <w:left w:val="none" w:sz="0" w:space="0" w:color="auto"/>
            <w:bottom w:val="none" w:sz="0" w:space="0" w:color="auto"/>
            <w:right w:val="none" w:sz="0" w:space="0" w:color="auto"/>
          </w:divBdr>
          <w:divsChild>
            <w:div w:id="2014794502">
              <w:marLeft w:val="0"/>
              <w:marRight w:val="0"/>
              <w:marTop w:val="0"/>
              <w:marBottom w:val="0"/>
              <w:divBdr>
                <w:top w:val="none" w:sz="0" w:space="0" w:color="auto"/>
                <w:left w:val="none" w:sz="0" w:space="0" w:color="auto"/>
                <w:bottom w:val="none" w:sz="0" w:space="0" w:color="auto"/>
                <w:right w:val="none" w:sz="0" w:space="0" w:color="auto"/>
              </w:divBdr>
              <w:divsChild>
                <w:div w:id="439103786">
                  <w:marLeft w:val="0"/>
                  <w:marRight w:val="0"/>
                  <w:marTop w:val="0"/>
                  <w:marBottom w:val="0"/>
                  <w:divBdr>
                    <w:top w:val="none" w:sz="0" w:space="0" w:color="auto"/>
                    <w:left w:val="none" w:sz="0" w:space="0" w:color="auto"/>
                    <w:bottom w:val="none" w:sz="0" w:space="0" w:color="auto"/>
                    <w:right w:val="none" w:sz="0" w:space="0" w:color="auto"/>
                  </w:divBdr>
                </w:div>
                <w:div w:id="93868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6653">
      <w:bodyDiv w:val="1"/>
      <w:marLeft w:val="0"/>
      <w:marRight w:val="0"/>
      <w:marTop w:val="0"/>
      <w:marBottom w:val="0"/>
      <w:divBdr>
        <w:top w:val="none" w:sz="0" w:space="0" w:color="auto"/>
        <w:left w:val="none" w:sz="0" w:space="0" w:color="auto"/>
        <w:bottom w:val="none" w:sz="0" w:space="0" w:color="auto"/>
        <w:right w:val="none" w:sz="0" w:space="0" w:color="auto"/>
      </w:divBdr>
      <w:divsChild>
        <w:div w:id="1168256002">
          <w:marLeft w:val="0"/>
          <w:marRight w:val="0"/>
          <w:marTop w:val="0"/>
          <w:marBottom w:val="0"/>
          <w:divBdr>
            <w:top w:val="none" w:sz="0" w:space="0" w:color="auto"/>
            <w:left w:val="none" w:sz="0" w:space="0" w:color="auto"/>
            <w:bottom w:val="none" w:sz="0" w:space="0" w:color="auto"/>
            <w:right w:val="none" w:sz="0" w:space="0" w:color="auto"/>
          </w:divBdr>
          <w:divsChild>
            <w:div w:id="911114187">
              <w:marLeft w:val="0"/>
              <w:marRight w:val="0"/>
              <w:marTop w:val="0"/>
              <w:marBottom w:val="0"/>
              <w:divBdr>
                <w:top w:val="none" w:sz="0" w:space="0" w:color="auto"/>
                <w:left w:val="none" w:sz="0" w:space="0" w:color="auto"/>
                <w:bottom w:val="none" w:sz="0" w:space="0" w:color="auto"/>
                <w:right w:val="none" w:sz="0" w:space="0" w:color="auto"/>
              </w:divBdr>
              <w:divsChild>
                <w:div w:id="142746985">
                  <w:marLeft w:val="0"/>
                  <w:marRight w:val="0"/>
                  <w:marTop w:val="0"/>
                  <w:marBottom w:val="0"/>
                  <w:divBdr>
                    <w:top w:val="none" w:sz="0" w:space="0" w:color="auto"/>
                    <w:left w:val="none" w:sz="0" w:space="0" w:color="auto"/>
                    <w:bottom w:val="none" w:sz="0" w:space="0" w:color="auto"/>
                    <w:right w:val="none" w:sz="0" w:space="0" w:color="auto"/>
                  </w:divBdr>
                  <w:divsChild>
                    <w:div w:id="1180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4572">
          <w:marLeft w:val="0"/>
          <w:marRight w:val="0"/>
          <w:marTop w:val="0"/>
          <w:marBottom w:val="0"/>
          <w:divBdr>
            <w:top w:val="none" w:sz="0" w:space="0" w:color="auto"/>
            <w:left w:val="none" w:sz="0" w:space="0" w:color="auto"/>
            <w:bottom w:val="none" w:sz="0" w:space="0" w:color="auto"/>
            <w:right w:val="none" w:sz="0" w:space="0" w:color="auto"/>
          </w:divBdr>
        </w:div>
      </w:divsChild>
    </w:div>
    <w:div w:id="1235972683">
      <w:bodyDiv w:val="1"/>
      <w:marLeft w:val="0"/>
      <w:marRight w:val="0"/>
      <w:marTop w:val="0"/>
      <w:marBottom w:val="0"/>
      <w:divBdr>
        <w:top w:val="none" w:sz="0" w:space="0" w:color="auto"/>
        <w:left w:val="none" w:sz="0" w:space="0" w:color="auto"/>
        <w:bottom w:val="none" w:sz="0" w:space="0" w:color="auto"/>
        <w:right w:val="none" w:sz="0" w:space="0" w:color="auto"/>
      </w:divBdr>
      <w:divsChild>
        <w:div w:id="810748351">
          <w:marLeft w:val="0"/>
          <w:marRight w:val="0"/>
          <w:marTop w:val="0"/>
          <w:marBottom w:val="0"/>
          <w:divBdr>
            <w:top w:val="none" w:sz="0" w:space="0" w:color="auto"/>
            <w:left w:val="none" w:sz="0" w:space="0" w:color="auto"/>
            <w:bottom w:val="none" w:sz="0" w:space="0" w:color="auto"/>
            <w:right w:val="none" w:sz="0" w:space="0" w:color="auto"/>
          </w:divBdr>
        </w:div>
        <w:div w:id="1785806346">
          <w:marLeft w:val="0"/>
          <w:marRight w:val="0"/>
          <w:marTop w:val="0"/>
          <w:marBottom w:val="0"/>
          <w:divBdr>
            <w:top w:val="none" w:sz="0" w:space="0" w:color="auto"/>
            <w:left w:val="none" w:sz="0" w:space="0" w:color="auto"/>
            <w:bottom w:val="none" w:sz="0" w:space="0" w:color="auto"/>
            <w:right w:val="none" w:sz="0" w:space="0" w:color="auto"/>
          </w:divBdr>
        </w:div>
        <w:div w:id="767702900">
          <w:marLeft w:val="0"/>
          <w:marRight w:val="0"/>
          <w:marTop w:val="0"/>
          <w:marBottom w:val="0"/>
          <w:divBdr>
            <w:top w:val="none" w:sz="0" w:space="0" w:color="auto"/>
            <w:left w:val="none" w:sz="0" w:space="0" w:color="auto"/>
            <w:bottom w:val="none" w:sz="0" w:space="0" w:color="auto"/>
            <w:right w:val="none" w:sz="0" w:space="0" w:color="auto"/>
          </w:divBdr>
        </w:div>
        <w:div w:id="1766225316">
          <w:marLeft w:val="0"/>
          <w:marRight w:val="0"/>
          <w:marTop w:val="0"/>
          <w:marBottom w:val="0"/>
          <w:divBdr>
            <w:top w:val="none" w:sz="0" w:space="0" w:color="auto"/>
            <w:left w:val="none" w:sz="0" w:space="0" w:color="auto"/>
            <w:bottom w:val="none" w:sz="0" w:space="0" w:color="auto"/>
            <w:right w:val="none" w:sz="0" w:space="0" w:color="auto"/>
          </w:divBdr>
          <w:divsChild>
            <w:div w:id="201984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989541">
      <w:bodyDiv w:val="1"/>
      <w:marLeft w:val="0"/>
      <w:marRight w:val="0"/>
      <w:marTop w:val="0"/>
      <w:marBottom w:val="0"/>
      <w:divBdr>
        <w:top w:val="none" w:sz="0" w:space="0" w:color="auto"/>
        <w:left w:val="none" w:sz="0" w:space="0" w:color="auto"/>
        <w:bottom w:val="none" w:sz="0" w:space="0" w:color="auto"/>
        <w:right w:val="none" w:sz="0" w:space="0" w:color="auto"/>
      </w:divBdr>
    </w:div>
    <w:div w:id="1268780451">
      <w:bodyDiv w:val="1"/>
      <w:marLeft w:val="0"/>
      <w:marRight w:val="0"/>
      <w:marTop w:val="0"/>
      <w:marBottom w:val="0"/>
      <w:divBdr>
        <w:top w:val="none" w:sz="0" w:space="0" w:color="auto"/>
        <w:left w:val="none" w:sz="0" w:space="0" w:color="auto"/>
        <w:bottom w:val="none" w:sz="0" w:space="0" w:color="auto"/>
        <w:right w:val="none" w:sz="0" w:space="0" w:color="auto"/>
      </w:divBdr>
      <w:divsChild>
        <w:div w:id="982778489">
          <w:marLeft w:val="0"/>
          <w:marRight w:val="0"/>
          <w:marTop w:val="0"/>
          <w:marBottom w:val="0"/>
          <w:divBdr>
            <w:top w:val="none" w:sz="0" w:space="0" w:color="auto"/>
            <w:left w:val="none" w:sz="0" w:space="0" w:color="auto"/>
            <w:bottom w:val="none" w:sz="0" w:space="0" w:color="auto"/>
            <w:right w:val="none" w:sz="0" w:space="0" w:color="auto"/>
          </w:divBdr>
        </w:div>
        <w:div w:id="1848669571">
          <w:marLeft w:val="0"/>
          <w:marRight w:val="0"/>
          <w:marTop w:val="0"/>
          <w:marBottom w:val="0"/>
          <w:divBdr>
            <w:top w:val="none" w:sz="0" w:space="0" w:color="auto"/>
            <w:left w:val="none" w:sz="0" w:space="0" w:color="auto"/>
            <w:bottom w:val="none" w:sz="0" w:space="0" w:color="auto"/>
            <w:right w:val="none" w:sz="0" w:space="0" w:color="auto"/>
          </w:divBdr>
        </w:div>
      </w:divsChild>
    </w:div>
    <w:div w:id="1275596427">
      <w:bodyDiv w:val="1"/>
      <w:marLeft w:val="0"/>
      <w:marRight w:val="0"/>
      <w:marTop w:val="0"/>
      <w:marBottom w:val="0"/>
      <w:divBdr>
        <w:top w:val="none" w:sz="0" w:space="0" w:color="auto"/>
        <w:left w:val="none" w:sz="0" w:space="0" w:color="auto"/>
        <w:bottom w:val="none" w:sz="0" w:space="0" w:color="auto"/>
        <w:right w:val="none" w:sz="0" w:space="0" w:color="auto"/>
      </w:divBdr>
      <w:divsChild>
        <w:div w:id="1500657696">
          <w:marLeft w:val="0"/>
          <w:marRight w:val="0"/>
          <w:marTop w:val="0"/>
          <w:marBottom w:val="0"/>
          <w:divBdr>
            <w:top w:val="none" w:sz="0" w:space="0" w:color="auto"/>
            <w:left w:val="none" w:sz="0" w:space="0" w:color="auto"/>
            <w:bottom w:val="none" w:sz="0" w:space="0" w:color="auto"/>
            <w:right w:val="none" w:sz="0" w:space="0" w:color="auto"/>
          </w:divBdr>
        </w:div>
      </w:divsChild>
    </w:div>
    <w:div w:id="1284768750">
      <w:bodyDiv w:val="1"/>
      <w:marLeft w:val="0"/>
      <w:marRight w:val="0"/>
      <w:marTop w:val="0"/>
      <w:marBottom w:val="0"/>
      <w:divBdr>
        <w:top w:val="none" w:sz="0" w:space="0" w:color="auto"/>
        <w:left w:val="none" w:sz="0" w:space="0" w:color="auto"/>
        <w:bottom w:val="none" w:sz="0" w:space="0" w:color="auto"/>
        <w:right w:val="none" w:sz="0" w:space="0" w:color="auto"/>
      </w:divBdr>
      <w:divsChild>
        <w:div w:id="310140146">
          <w:marLeft w:val="0"/>
          <w:marRight w:val="0"/>
          <w:marTop w:val="0"/>
          <w:marBottom w:val="0"/>
          <w:divBdr>
            <w:top w:val="none" w:sz="0" w:space="0" w:color="auto"/>
            <w:left w:val="none" w:sz="0" w:space="0" w:color="auto"/>
            <w:bottom w:val="none" w:sz="0" w:space="0" w:color="auto"/>
            <w:right w:val="none" w:sz="0" w:space="0" w:color="auto"/>
          </w:divBdr>
        </w:div>
      </w:divsChild>
    </w:div>
    <w:div w:id="1284918477">
      <w:bodyDiv w:val="1"/>
      <w:marLeft w:val="0"/>
      <w:marRight w:val="0"/>
      <w:marTop w:val="0"/>
      <w:marBottom w:val="0"/>
      <w:divBdr>
        <w:top w:val="none" w:sz="0" w:space="0" w:color="auto"/>
        <w:left w:val="none" w:sz="0" w:space="0" w:color="auto"/>
        <w:bottom w:val="none" w:sz="0" w:space="0" w:color="auto"/>
        <w:right w:val="none" w:sz="0" w:space="0" w:color="auto"/>
      </w:divBdr>
    </w:div>
    <w:div w:id="1291739883">
      <w:bodyDiv w:val="1"/>
      <w:marLeft w:val="0"/>
      <w:marRight w:val="0"/>
      <w:marTop w:val="0"/>
      <w:marBottom w:val="0"/>
      <w:divBdr>
        <w:top w:val="none" w:sz="0" w:space="0" w:color="auto"/>
        <w:left w:val="none" w:sz="0" w:space="0" w:color="auto"/>
        <w:bottom w:val="none" w:sz="0" w:space="0" w:color="auto"/>
        <w:right w:val="none" w:sz="0" w:space="0" w:color="auto"/>
      </w:divBdr>
    </w:div>
    <w:div w:id="1296988084">
      <w:bodyDiv w:val="1"/>
      <w:marLeft w:val="0"/>
      <w:marRight w:val="0"/>
      <w:marTop w:val="0"/>
      <w:marBottom w:val="0"/>
      <w:divBdr>
        <w:top w:val="none" w:sz="0" w:space="0" w:color="auto"/>
        <w:left w:val="none" w:sz="0" w:space="0" w:color="auto"/>
        <w:bottom w:val="none" w:sz="0" w:space="0" w:color="auto"/>
        <w:right w:val="none" w:sz="0" w:space="0" w:color="auto"/>
      </w:divBdr>
      <w:divsChild>
        <w:div w:id="207955399">
          <w:marLeft w:val="0"/>
          <w:marRight w:val="0"/>
          <w:marTop w:val="0"/>
          <w:marBottom w:val="0"/>
          <w:divBdr>
            <w:top w:val="none" w:sz="0" w:space="0" w:color="auto"/>
            <w:left w:val="none" w:sz="0" w:space="0" w:color="auto"/>
            <w:bottom w:val="none" w:sz="0" w:space="0" w:color="auto"/>
            <w:right w:val="none" w:sz="0" w:space="0" w:color="auto"/>
          </w:divBdr>
        </w:div>
      </w:divsChild>
    </w:div>
    <w:div w:id="1301885092">
      <w:bodyDiv w:val="1"/>
      <w:marLeft w:val="0"/>
      <w:marRight w:val="0"/>
      <w:marTop w:val="0"/>
      <w:marBottom w:val="0"/>
      <w:divBdr>
        <w:top w:val="none" w:sz="0" w:space="0" w:color="auto"/>
        <w:left w:val="none" w:sz="0" w:space="0" w:color="auto"/>
        <w:bottom w:val="none" w:sz="0" w:space="0" w:color="auto"/>
        <w:right w:val="none" w:sz="0" w:space="0" w:color="auto"/>
      </w:divBdr>
      <w:divsChild>
        <w:div w:id="1826700661">
          <w:marLeft w:val="0"/>
          <w:marRight w:val="0"/>
          <w:marTop w:val="0"/>
          <w:marBottom w:val="0"/>
          <w:divBdr>
            <w:top w:val="none" w:sz="0" w:space="0" w:color="auto"/>
            <w:left w:val="none" w:sz="0" w:space="0" w:color="auto"/>
            <w:bottom w:val="none" w:sz="0" w:space="0" w:color="auto"/>
            <w:right w:val="none" w:sz="0" w:space="0" w:color="auto"/>
          </w:divBdr>
        </w:div>
      </w:divsChild>
    </w:div>
    <w:div w:id="1321926685">
      <w:bodyDiv w:val="1"/>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
      </w:divsChild>
    </w:div>
    <w:div w:id="1323267221">
      <w:bodyDiv w:val="1"/>
      <w:marLeft w:val="0"/>
      <w:marRight w:val="0"/>
      <w:marTop w:val="0"/>
      <w:marBottom w:val="0"/>
      <w:divBdr>
        <w:top w:val="none" w:sz="0" w:space="0" w:color="auto"/>
        <w:left w:val="none" w:sz="0" w:space="0" w:color="auto"/>
        <w:bottom w:val="none" w:sz="0" w:space="0" w:color="auto"/>
        <w:right w:val="none" w:sz="0" w:space="0" w:color="auto"/>
      </w:divBdr>
      <w:divsChild>
        <w:div w:id="1053819027">
          <w:marLeft w:val="0"/>
          <w:marRight w:val="0"/>
          <w:marTop w:val="0"/>
          <w:marBottom w:val="0"/>
          <w:divBdr>
            <w:top w:val="none" w:sz="0" w:space="0" w:color="auto"/>
            <w:left w:val="none" w:sz="0" w:space="0" w:color="auto"/>
            <w:bottom w:val="none" w:sz="0" w:space="0" w:color="auto"/>
            <w:right w:val="none" w:sz="0" w:space="0" w:color="auto"/>
          </w:divBdr>
        </w:div>
        <w:div w:id="102500257">
          <w:marLeft w:val="0"/>
          <w:marRight w:val="0"/>
          <w:marTop w:val="0"/>
          <w:marBottom w:val="0"/>
          <w:divBdr>
            <w:top w:val="none" w:sz="0" w:space="0" w:color="auto"/>
            <w:left w:val="none" w:sz="0" w:space="0" w:color="auto"/>
            <w:bottom w:val="none" w:sz="0" w:space="0" w:color="auto"/>
            <w:right w:val="none" w:sz="0" w:space="0" w:color="auto"/>
          </w:divBdr>
        </w:div>
        <w:div w:id="943225479">
          <w:marLeft w:val="0"/>
          <w:marRight w:val="0"/>
          <w:marTop w:val="0"/>
          <w:marBottom w:val="0"/>
          <w:divBdr>
            <w:top w:val="none" w:sz="0" w:space="0" w:color="auto"/>
            <w:left w:val="none" w:sz="0" w:space="0" w:color="auto"/>
            <w:bottom w:val="none" w:sz="0" w:space="0" w:color="auto"/>
            <w:right w:val="none" w:sz="0" w:space="0" w:color="auto"/>
          </w:divBdr>
        </w:div>
        <w:div w:id="778135818">
          <w:marLeft w:val="0"/>
          <w:marRight w:val="0"/>
          <w:marTop w:val="0"/>
          <w:marBottom w:val="0"/>
          <w:divBdr>
            <w:top w:val="none" w:sz="0" w:space="0" w:color="auto"/>
            <w:left w:val="none" w:sz="0" w:space="0" w:color="auto"/>
            <w:bottom w:val="none" w:sz="0" w:space="0" w:color="auto"/>
            <w:right w:val="none" w:sz="0" w:space="0" w:color="auto"/>
          </w:divBdr>
        </w:div>
        <w:div w:id="1195658488">
          <w:marLeft w:val="0"/>
          <w:marRight w:val="0"/>
          <w:marTop w:val="0"/>
          <w:marBottom w:val="0"/>
          <w:divBdr>
            <w:top w:val="none" w:sz="0" w:space="0" w:color="auto"/>
            <w:left w:val="none" w:sz="0" w:space="0" w:color="auto"/>
            <w:bottom w:val="none" w:sz="0" w:space="0" w:color="auto"/>
            <w:right w:val="none" w:sz="0" w:space="0" w:color="auto"/>
          </w:divBdr>
        </w:div>
        <w:div w:id="1720979835">
          <w:marLeft w:val="0"/>
          <w:marRight w:val="0"/>
          <w:marTop w:val="0"/>
          <w:marBottom w:val="0"/>
          <w:divBdr>
            <w:top w:val="none" w:sz="0" w:space="0" w:color="auto"/>
            <w:left w:val="none" w:sz="0" w:space="0" w:color="auto"/>
            <w:bottom w:val="none" w:sz="0" w:space="0" w:color="auto"/>
            <w:right w:val="none" w:sz="0" w:space="0" w:color="auto"/>
          </w:divBdr>
        </w:div>
        <w:div w:id="911232624">
          <w:marLeft w:val="0"/>
          <w:marRight w:val="0"/>
          <w:marTop w:val="0"/>
          <w:marBottom w:val="0"/>
          <w:divBdr>
            <w:top w:val="none" w:sz="0" w:space="0" w:color="auto"/>
            <w:left w:val="none" w:sz="0" w:space="0" w:color="auto"/>
            <w:bottom w:val="none" w:sz="0" w:space="0" w:color="auto"/>
            <w:right w:val="none" w:sz="0" w:space="0" w:color="auto"/>
          </w:divBdr>
        </w:div>
      </w:divsChild>
    </w:div>
    <w:div w:id="1349722628">
      <w:bodyDiv w:val="1"/>
      <w:marLeft w:val="0"/>
      <w:marRight w:val="0"/>
      <w:marTop w:val="0"/>
      <w:marBottom w:val="0"/>
      <w:divBdr>
        <w:top w:val="none" w:sz="0" w:space="0" w:color="auto"/>
        <w:left w:val="none" w:sz="0" w:space="0" w:color="auto"/>
        <w:bottom w:val="none" w:sz="0" w:space="0" w:color="auto"/>
        <w:right w:val="none" w:sz="0" w:space="0" w:color="auto"/>
      </w:divBdr>
      <w:divsChild>
        <w:div w:id="1555505106">
          <w:marLeft w:val="0"/>
          <w:marRight w:val="0"/>
          <w:marTop w:val="0"/>
          <w:marBottom w:val="0"/>
          <w:divBdr>
            <w:top w:val="none" w:sz="0" w:space="0" w:color="auto"/>
            <w:left w:val="none" w:sz="0" w:space="0" w:color="auto"/>
            <w:bottom w:val="none" w:sz="0" w:space="0" w:color="auto"/>
            <w:right w:val="none" w:sz="0" w:space="0" w:color="auto"/>
          </w:divBdr>
        </w:div>
      </w:divsChild>
    </w:div>
    <w:div w:id="1351565296">
      <w:bodyDiv w:val="1"/>
      <w:marLeft w:val="0"/>
      <w:marRight w:val="0"/>
      <w:marTop w:val="0"/>
      <w:marBottom w:val="0"/>
      <w:divBdr>
        <w:top w:val="none" w:sz="0" w:space="0" w:color="auto"/>
        <w:left w:val="none" w:sz="0" w:space="0" w:color="auto"/>
        <w:bottom w:val="none" w:sz="0" w:space="0" w:color="auto"/>
        <w:right w:val="none" w:sz="0" w:space="0" w:color="auto"/>
      </w:divBdr>
      <w:divsChild>
        <w:div w:id="838227221">
          <w:marLeft w:val="0"/>
          <w:marRight w:val="0"/>
          <w:marTop w:val="0"/>
          <w:marBottom w:val="0"/>
          <w:divBdr>
            <w:top w:val="none" w:sz="0" w:space="0" w:color="auto"/>
            <w:left w:val="none" w:sz="0" w:space="0" w:color="auto"/>
            <w:bottom w:val="none" w:sz="0" w:space="0" w:color="auto"/>
            <w:right w:val="none" w:sz="0" w:space="0" w:color="auto"/>
          </w:divBdr>
          <w:divsChild>
            <w:div w:id="931281972">
              <w:marLeft w:val="0"/>
              <w:marRight w:val="0"/>
              <w:marTop w:val="0"/>
              <w:marBottom w:val="0"/>
              <w:divBdr>
                <w:top w:val="none" w:sz="0" w:space="0" w:color="auto"/>
                <w:left w:val="none" w:sz="0" w:space="0" w:color="auto"/>
                <w:bottom w:val="none" w:sz="0" w:space="0" w:color="auto"/>
                <w:right w:val="none" w:sz="0" w:space="0" w:color="auto"/>
              </w:divBdr>
              <w:divsChild>
                <w:div w:id="1463843643">
                  <w:marLeft w:val="0"/>
                  <w:marRight w:val="0"/>
                  <w:marTop w:val="0"/>
                  <w:marBottom w:val="0"/>
                  <w:divBdr>
                    <w:top w:val="none" w:sz="0" w:space="0" w:color="auto"/>
                    <w:left w:val="none" w:sz="0" w:space="0" w:color="auto"/>
                    <w:bottom w:val="none" w:sz="0" w:space="0" w:color="auto"/>
                    <w:right w:val="none" w:sz="0" w:space="0" w:color="auto"/>
                  </w:divBdr>
                </w:div>
              </w:divsChild>
            </w:div>
            <w:div w:id="227573572">
              <w:marLeft w:val="0"/>
              <w:marRight w:val="0"/>
              <w:marTop w:val="0"/>
              <w:marBottom w:val="0"/>
              <w:divBdr>
                <w:top w:val="none" w:sz="0" w:space="0" w:color="auto"/>
                <w:left w:val="none" w:sz="0" w:space="0" w:color="auto"/>
                <w:bottom w:val="none" w:sz="0" w:space="0" w:color="auto"/>
                <w:right w:val="none" w:sz="0" w:space="0" w:color="auto"/>
              </w:divBdr>
              <w:divsChild>
                <w:div w:id="770249159">
                  <w:marLeft w:val="0"/>
                  <w:marRight w:val="0"/>
                  <w:marTop w:val="0"/>
                  <w:marBottom w:val="0"/>
                  <w:divBdr>
                    <w:top w:val="none" w:sz="0" w:space="0" w:color="auto"/>
                    <w:left w:val="none" w:sz="0" w:space="0" w:color="auto"/>
                    <w:bottom w:val="none" w:sz="0" w:space="0" w:color="auto"/>
                    <w:right w:val="none" w:sz="0" w:space="0" w:color="auto"/>
                  </w:divBdr>
                </w:div>
              </w:divsChild>
            </w:div>
            <w:div w:id="1647860246">
              <w:marLeft w:val="0"/>
              <w:marRight w:val="0"/>
              <w:marTop w:val="0"/>
              <w:marBottom w:val="0"/>
              <w:divBdr>
                <w:top w:val="none" w:sz="0" w:space="0" w:color="auto"/>
                <w:left w:val="none" w:sz="0" w:space="0" w:color="auto"/>
                <w:bottom w:val="none" w:sz="0" w:space="0" w:color="auto"/>
                <w:right w:val="none" w:sz="0" w:space="0" w:color="auto"/>
              </w:divBdr>
              <w:divsChild>
                <w:div w:id="640965301">
                  <w:marLeft w:val="0"/>
                  <w:marRight w:val="0"/>
                  <w:marTop w:val="0"/>
                  <w:marBottom w:val="0"/>
                  <w:divBdr>
                    <w:top w:val="none" w:sz="0" w:space="0" w:color="auto"/>
                    <w:left w:val="none" w:sz="0" w:space="0" w:color="auto"/>
                    <w:bottom w:val="none" w:sz="0" w:space="0" w:color="auto"/>
                    <w:right w:val="none" w:sz="0" w:space="0" w:color="auto"/>
                  </w:divBdr>
                  <w:divsChild>
                    <w:div w:id="298921500">
                      <w:marLeft w:val="0"/>
                      <w:marRight w:val="0"/>
                      <w:marTop w:val="0"/>
                      <w:marBottom w:val="0"/>
                      <w:divBdr>
                        <w:top w:val="none" w:sz="0" w:space="0" w:color="auto"/>
                        <w:left w:val="none" w:sz="0" w:space="0" w:color="auto"/>
                        <w:bottom w:val="none" w:sz="0" w:space="0" w:color="auto"/>
                        <w:right w:val="none" w:sz="0" w:space="0" w:color="auto"/>
                      </w:divBdr>
                    </w:div>
                    <w:div w:id="207192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595096">
          <w:marLeft w:val="0"/>
          <w:marRight w:val="0"/>
          <w:marTop w:val="0"/>
          <w:marBottom w:val="0"/>
          <w:divBdr>
            <w:top w:val="none" w:sz="0" w:space="0" w:color="auto"/>
            <w:left w:val="none" w:sz="0" w:space="0" w:color="auto"/>
            <w:bottom w:val="none" w:sz="0" w:space="0" w:color="auto"/>
            <w:right w:val="none" w:sz="0" w:space="0" w:color="auto"/>
          </w:divBdr>
          <w:divsChild>
            <w:div w:id="586891215">
              <w:marLeft w:val="0"/>
              <w:marRight w:val="0"/>
              <w:marTop w:val="0"/>
              <w:marBottom w:val="0"/>
              <w:divBdr>
                <w:top w:val="none" w:sz="0" w:space="0" w:color="auto"/>
                <w:left w:val="none" w:sz="0" w:space="0" w:color="auto"/>
                <w:bottom w:val="none" w:sz="0" w:space="0" w:color="auto"/>
                <w:right w:val="none" w:sz="0" w:space="0" w:color="auto"/>
              </w:divBdr>
            </w:div>
            <w:div w:id="1636374594">
              <w:marLeft w:val="0"/>
              <w:marRight w:val="0"/>
              <w:marTop w:val="0"/>
              <w:marBottom w:val="0"/>
              <w:divBdr>
                <w:top w:val="none" w:sz="0" w:space="0" w:color="auto"/>
                <w:left w:val="none" w:sz="0" w:space="0" w:color="auto"/>
                <w:bottom w:val="none" w:sz="0" w:space="0" w:color="auto"/>
                <w:right w:val="none" w:sz="0" w:space="0" w:color="auto"/>
              </w:divBdr>
              <w:divsChild>
                <w:div w:id="2077122055">
                  <w:marLeft w:val="0"/>
                  <w:marRight w:val="0"/>
                  <w:marTop w:val="0"/>
                  <w:marBottom w:val="0"/>
                  <w:divBdr>
                    <w:top w:val="none" w:sz="0" w:space="0" w:color="auto"/>
                    <w:left w:val="none" w:sz="0" w:space="0" w:color="auto"/>
                    <w:bottom w:val="none" w:sz="0" w:space="0" w:color="auto"/>
                    <w:right w:val="none" w:sz="0" w:space="0" w:color="auto"/>
                  </w:divBdr>
                </w:div>
                <w:div w:id="1764493866">
                  <w:marLeft w:val="0"/>
                  <w:marRight w:val="0"/>
                  <w:marTop w:val="0"/>
                  <w:marBottom w:val="0"/>
                  <w:divBdr>
                    <w:top w:val="none" w:sz="0" w:space="0" w:color="auto"/>
                    <w:left w:val="none" w:sz="0" w:space="0" w:color="auto"/>
                    <w:bottom w:val="none" w:sz="0" w:space="0" w:color="auto"/>
                    <w:right w:val="none" w:sz="0" w:space="0" w:color="auto"/>
                  </w:divBdr>
                </w:div>
                <w:div w:id="1856069475">
                  <w:marLeft w:val="0"/>
                  <w:marRight w:val="0"/>
                  <w:marTop w:val="0"/>
                  <w:marBottom w:val="0"/>
                  <w:divBdr>
                    <w:top w:val="none" w:sz="0" w:space="0" w:color="auto"/>
                    <w:left w:val="none" w:sz="0" w:space="0" w:color="auto"/>
                    <w:bottom w:val="none" w:sz="0" w:space="0" w:color="auto"/>
                    <w:right w:val="none" w:sz="0" w:space="0" w:color="auto"/>
                  </w:divBdr>
                </w:div>
                <w:div w:id="1164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948876">
      <w:bodyDiv w:val="1"/>
      <w:marLeft w:val="0"/>
      <w:marRight w:val="0"/>
      <w:marTop w:val="0"/>
      <w:marBottom w:val="0"/>
      <w:divBdr>
        <w:top w:val="none" w:sz="0" w:space="0" w:color="auto"/>
        <w:left w:val="none" w:sz="0" w:space="0" w:color="auto"/>
        <w:bottom w:val="none" w:sz="0" w:space="0" w:color="auto"/>
        <w:right w:val="none" w:sz="0" w:space="0" w:color="auto"/>
      </w:divBdr>
    </w:div>
    <w:div w:id="1362974879">
      <w:bodyDiv w:val="1"/>
      <w:marLeft w:val="0"/>
      <w:marRight w:val="0"/>
      <w:marTop w:val="0"/>
      <w:marBottom w:val="0"/>
      <w:divBdr>
        <w:top w:val="none" w:sz="0" w:space="0" w:color="auto"/>
        <w:left w:val="none" w:sz="0" w:space="0" w:color="auto"/>
        <w:bottom w:val="none" w:sz="0" w:space="0" w:color="auto"/>
        <w:right w:val="none" w:sz="0" w:space="0" w:color="auto"/>
      </w:divBdr>
      <w:divsChild>
        <w:div w:id="1386104469">
          <w:marLeft w:val="0"/>
          <w:marRight w:val="0"/>
          <w:marTop w:val="0"/>
          <w:marBottom w:val="0"/>
          <w:divBdr>
            <w:top w:val="none" w:sz="0" w:space="0" w:color="auto"/>
            <w:left w:val="none" w:sz="0" w:space="0" w:color="auto"/>
            <w:bottom w:val="none" w:sz="0" w:space="0" w:color="auto"/>
            <w:right w:val="none" w:sz="0" w:space="0" w:color="auto"/>
          </w:divBdr>
        </w:div>
        <w:div w:id="1496452166">
          <w:marLeft w:val="0"/>
          <w:marRight w:val="0"/>
          <w:marTop w:val="0"/>
          <w:marBottom w:val="0"/>
          <w:divBdr>
            <w:top w:val="none" w:sz="0" w:space="0" w:color="auto"/>
            <w:left w:val="none" w:sz="0" w:space="0" w:color="auto"/>
            <w:bottom w:val="none" w:sz="0" w:space="0" w:color="auto"/>
            <w:right w:val="none" w:sz="0" w:space="0" w:color="auto"/>
          </w:divBdr>
        </w:div>
        <w:div w:id="1970672684">
          <w:marLeft w:val="0"/>
          <w:marRight w:val="0"/>
          <w:marTop w:val="0"/>
          <w:marBottom w:val="0"/>
          <w:divBdr>
            <w:top w:val="none" w:sz="0" w:space="0" w:color="auto"/>
            <w:left w:val="none" w:sz="0" w:space="0" w:color="auto"/>
            <w:bottom w:val="none" w:sz="0" w:space="0" w:color="auto"/>
            <w:right w:val="none" w:sz="0" w:space="0" w:color="auto"/>
          </w:divBdr>
        </w:div>
        <w:div w:id="1367372944">
          <w:marLeft w:val="0"/>
          <w:marRight w:val="0"/>
          <w:marTop w:val="0"/>
          <w:marBottom w:val="0"/>
          <w:divBdr>
            <w:top w:val="none" w:sz="0" w:space="0" w:color="auto"/>
            <w:left w:val="none" w:sz="0" w:space="0" w:color="auto"/>
            <w:bottom w:val="none" w:sz="0" w:space="0" w:color="auto"/>
            <w:right w:val="none" w:sz="0" w:space="0" w:color="auto"/>
          </w:divBdr>
          <w:divsChild>
            <w:div w:id="205639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639857">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sChild>
        <w:div w:id="834415775">
          <w:marLeft w:val="0"/>
          <w:marRight w:val="0"/>
          <w:marTop w:val="0"/>
          <w:marBottom w:val="0"/>
          <w:divBdr>
            <w:top w:val="none" w:sz="0" w:space="0" w:color="auto"/>
            <w:left w:val="none" w:sz="0" w:space="0" w:color="auto"/>
            <w:bottom w:val="none" w:sz="0" w:space="0" w:color="auto"/>
            <w:right w:val="none" w:sz="0" w:space="0" w:color="auto"/>
          </w:divBdr>
        </w:div>
        <w:div w:id="1899130312">
          <w:marLeft w:val="0"/>
          <w:marRight w:val="0"/>
          <w:marTop w:val="0"/>
          <w:marBottom w:val="0"/>
          <w:divBdr>
            <w:top w:val="none" w:sz="0" w:space="0" w:color="auto"/>
            <w:left w:val="none" w:sz="0" w:space="0" w:color="auto"/>
            <w:bottom w:val="none" w:sz="0" w:space="0" w:color="auto"/>
            <w:right w:val="none" w:sz="0" w:space="0" w:color="auto"/>
          </w:divBdr>
        </w:div>
        <w:div w:id="825128467">
          <w:marLeft w:val="0"/>
          <w:marRight w:val="0"/>
          <w:marTop w:val="0"/>
          <w:marBottom w:val="0"/>
          <w:divBdr>
            <w:top w:val="none" w:sz="0" w:space="0" w:color="auto"/>
            <w:left w:val="none" w:sz="0" w:space="0" w:color="auto"/>
            <w:bottom w:val="none" w:sz="0" w:space="0" w:color="auto"/>
            <w:right w:val="none" w:sz="0" w:space="0" w:color="auto"/>
          </w:divBdr>
        </w:div>
      </w:divsChild>
    </w:div>
    <w:div w:id="1378437104">
      <w:bodyDiv w:val="1"/>
      <w:marLeft w:val="0"/>
      <w:marRight w:val="0"/>
      <w:marTop w:val="0"/>
      <w:marBottom w:val="0"/>
      <w:divBdr>
        <w:top w:val="none" w:sz="0" w:space="0" w:color="auto"/>
        <w:left w:val="none" w:sz="0" w:space="0" w:color="auto"/>
        <w:bottom w:val="none" w:sz="0" w:space="0" w:color="auto"/>
        <w:right w:val="none" w:sz="0" w:space="0" w:color="auto"/>
      </w:divBdr>
      <w:divsChild>
        <w:div w:id="1593008483">
          <w:marLeft w:val="0"/>
          <w:marRight w:val="0"/>
          <w:marTop w:val="0"/>
          <w:marBottom w:val="0"/>
          <w:divBdr>
            <w:top w:val="none" w:sz="0" w:space="0" w:color="auto"/>
            <w:left w:val="none" w:sz="0" w:space="0" w:color="auto"/>
            <w:bottom w:val="none" w:sz="0" w:space="0" w:color="auto"/>
            <w:right w:val="none" w:sz="0" w:space="0" w:color="auto"/>
          </w:divBdr>
        </w:div>
        <w:div w:id="768695281">
          <w:marLeft w:val="0"/>
          <w:marRight w:val="0"/>
          <w:marTop w:val="0"/>
          <w:marBottom w:val="0"/>
          <w:divBdr>
            <w:top w:val="none" w:sz="0" w:space="0" w:color="auto"/>
            <w:left w:val="none" w:sz="0" w:space="0" w:color="auto"/>
            <w:bottom w:val="none" w:sz="0" w:space="0" w:color="auto"/>
            <w:right w:val="none" w:sz="0" w:space="0" w:color="auto"/>
          </w:divBdr>
        </w:div>
      </w:divsChild>
    </w:div>
    <w:div w:id="1378505105">
      <w:bodyDiv w:val="1"/>
      <w:marLeft w:val="0"/>
      <w:marRight w:val="0"/>
      <w:marTop w:val="0"/>
      <w:marBottom w:val="0"/>
      <w:divBdr>
        <w:top w:val="none" w:sz="0" w:space="0" w:color="auto"/>
        <w:left w:val="none" w:sz="0" w:space="0" w:color="auto"/>
        <w:bottom w:val="none" w:sz="0" w:space="0" w:color="auto"/>
        <w:right w:val="none" w:sz="0" w:space="0" w:color="auto"/>
      </w:divBdr>
    </w:div>
    <w:div w:id="1378550959">
      <w:bodyDiv w:val="1"/>
      <w:marLeft w:val="0"/>
      <w:marRight w:val="0"/>
      <w:marTop w:val="0"/>
      <w:marBottom w:val="0"/>
      <w:divBdr>
        <w:top w:val="none" w:sz="0" w:space="0" w:color="auto"/>
        <w:left w:val="none" w:sz="0" w:space="0" w:color="auto"/>
        <w:bottom w:val="none" w:sz="0" w:space="0" w:color="auto"/>
        <w:right w:val="none" w:sz="0" w:space="0" w:color="auto"/>
      </w:divBdr>
      <w:divsChild>
        <w:div w:id="1849900807">
          <w:marLeft w:val="0"/>
          <w:marRight w:val="0"/>
          <w:marTop w:val="0"/>
          <w:marBottom w:val="0"/>
          <w:divBdr>
            <w:top w:val="none" w:sz="0" w:space="0" w:color="auto"/>
            <w:left w:val="none" w:sz="0" w:space="0" w:color="auto"/>
            <w:bottom w:val="none" w:sz="0" w:space="0" w:color="auto"/>
            <w:right w:val="none" w:sz="0" w:space="0" w:color="auto"/>
          </w:divBdr>
        </w:div>
        <w:div w:id="466627580">
          <w:marLeft w:val="0"/>
          <w:marRight w:val="0"/>
          <w:marTop w:val="0"/>
          <w:marBottom w:val="0"/>
          <w:divBdr>
            <w:top w:val="none" w:sz="0" w:space="0" w:color="auto"/>
            <w:left w:val="none" w:sz="0" w:space="0" w:color="auto"/>
            <w:bottom w:val="none" w:sz="0" w:space="0" w:color="auto"/>
            <w:right w:val="none" w:sz="0" w:space="0" w:color="auto"/>
          </w:divBdr>
        </w:div>
        <w:div w:id="2055033537">
          <w:marLeft w:val="0"/>
          <w:marRight w:val="0"/>
          <w:marTop w:val="0"/>
          <w:marBottom w:val="0"/>
          <w:divBdr>
            <w:top w:val="none" w:sz="0" w:space="0" w:color="auto"/>
            <w:left w:val="none" w:sz="0" w:space="0" w:color="auto"/>
            <w:bottom w:val="none" w:sz="0" w:space="0" w:color="auto"/>
            <w:right w:val="none" w:sz="0" w:space="0" w:color="auto"/>
          </w:divBdr>
        </w:div>
        <w:div w:id="579682911">
          <w:marLeft w:val="0"/>
          <w:marRight w:val="0"/>
          <w:marTop w:val="0"/>
          <w:marBottom w:val="0"/>
          <w:divBdr>
            <w:top w:val="none" w:sz="0" w:space="0" w:color="auto"/>
            <w:left w:val="none" w:sz="0" w:space="0" w:color="auto"/>
            <w:bottom w:val="none" w:sz="0" w:space="0" w:color="auto"/>
            <w:right w:val="none" w:sz="0" w:space="0" w:color="auto"/>
          </w:divBdr>
          <w:divsChild>
            <w:div w:id="126662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96386">
      <w:bodyDiv w:val="1"/>
      <w:marLeft w:val="0"/>
      <w:marRight w:val="0"/>
      <w:marTop w:val="0"/>
      <w:marBottom w:val="0"/>
      <w:divBdr>
        <w:top w:val="none" w:sz="0" w:space="0" w:color="auto"/>
        <w:left w:val="none" w:sz="0" w:space="0" w:color="auto"/>
        <w:bottom w:val="none" w:sz="0" w:space="0" w:color="auto"/>
        <w:right w:val="none" w:sz="0" w:space="0" w:color="auto"/>
      </w:divBdr>
      <w:divsChild>
        <w:div w:id="349262662">
          <w:marLeft w:val="0"/>
          <w:marRight w:val="0"/>
          <w:marTop w:val="0"/>
          <w:marBottom w:val="0"/>
          <w:divBdr>
            <w:top w:val="none" w:sz="0" w:space="0" w:color="auto"/>
            <w:left w:val="none" w:sz="0" w:space="0" w:color="auto"/>
            <w:bottom w:val="none" w:sz="0" w:space="0" w:color="auto"/>
            <w:right w:val="none" w:sz="0" w:space="0" w:color="auto"/>
          </w:divBdr>
        </w:div>
      </w:divsChild>
    </w:div>
    <w:div w:id="1388190601">
      <w:bodyDiv w:val="1"/>
      <w:marLeft w:val="0"/>
      <w:marRight w:val="0"/>
      <w:marTop w:val="0"/>
      <w:marBottom w:val="0"/>
      <w:divBdr>
        <w:top w:val="none" w:sz="0" w:space="0" w:color="auto"/>
        <w:left w:val="none" w:sz="0" w:space="0" w:color="auto"/>
        <w:bottom w:val="none" w:sz="0" w:space="0" w:color="auto"/>
        <w:right w:val="none" w:sz="0" w:space="0" w:color="auto"/>
      </w:divBdr>
    </w:div>
    <w:div w:id="1408697000">
      <w:bodyDiv w:val="1"/>
      <w:marLeft w:val="0"/>
      <w:marRight w:val="0"/>
      <w:marTop w:val="0"/>
      <w:marBottom w:val="0"/>
      <w:divBdr>
        <w:top w:val="none" w:sz="0" w:space="0" w:color="auto"/>
        <w:left w:val="none" w:sz="0" w:space="0" w:color="auto"/>
        <w:bottom w:val="none" w:sz="0" w:space="0" w:color="auto"/>
        <w:right w:val="none" w:sz="0" w:space="0" w:color="auto"/>
      </w:divBdr>
      <w:divsChild>
        <w:div w:id="1299649976">
          <w:marLeft w:val="0"/>
          <w:marRight w:val="0"/>
          <w:marTop w:val="0"/>
          <w:marBottom w:val="0"/>
          <w:divBdr>
            <w:top w:val="none" w:sz="0" w:space="0" w:color="auto"/>
            <w:left w:val="none" w:sz="0" w:space="0" w:color="auto"/>
            <w:bottom w:val="none" w:sz="0" w:space="0" w:color="auto"/>
            <w:right w:val="none" w:sz="0" w:space="0" w:color="auto"/>
          </w:divBdr>
        </w:div>
      </w:divsChild>
    </w:div>
    <w:div w:id="1417441827">
      <w:bodyDiv w:val="1"/>
      <w:marLeft w:val="0"/>
      <w:marRight w:val="0"/>
      <w:marTop w:val="0"/>
      <w:marBottom w:val="0"/>
      <w:divBdr>
        <w:top w:val="none" w:sz="0" w:space="0" w:color="auto"/>
        <w:left w:val="none" w:sz="0" w:space="0" w:color="auto"/>
        <w:bottom w:val="none" w:sz="0" w:space="0" w:color="auto"/>
        <w:right w:val="none" w:sz="0" w:space="0" w:color="auto"/>
      </w:divBdr>
    </w:div>
    <w:div w:id="1419406143">
      <w:bodyDiv w:val="1"/>
      <w:marLeft w:val="0"/>
      <w:marRight w:val="0"/>
      <w:marTop w:val="0"/>
      <w:marBottom w:val="0"/>
      <w:divBdr>
        <w:top w:val="none" w:sz="0" w:space="0" w:color="auto"/>
        <w:left w:val="none" w:sz="0" w:space="0" w:color="auto"/>
        <w:bottom w:val="none" w:sz="0" w:space="0" w:color="auto"/>
        <w:right w:val="none" w:sz="0" w:space="0" w:color="auto"/>
      </w:divBdr>
      <w:divsChild>
        <w:div w:id="2118523627">
          <w:marLeft w:val="0"/>
          <w:marRight w:val="0"/>
          <w:marTop w:val="0"/>
          <w:marBottom w:val="0"/>
          <w:divBdr>
            <w:top w:val="none" w:sz="0" w:space="0" w:color="auto"/>
            <w:left w:val="none" w:sz="0" w:space="0" w:color="auto"/>
            <w:bottom w:val="none" w:sz="0" w:space="0" w:color="auto"/>
            <w:right w:val="none" w:sz="0" w:space="0" w:color="auto"/>
          </w:divBdr>
        </w:div>
        <w:div w:id="1070007613">
          <w:marLeft w:val="0"/>
          <w:marRight w:val="0"/>
          <w:marTop w:val="0"/>
          <w:marBottom w:val="0"/>
          <w:divBdr>
            <w:top w:val="none" w:sz="0" w:space="0" w:color="auto"/>
            <w:left w:val="none" w:sz="0" w:space="0" w:color="auto"/>
            <w:bottom w:val="none" w:sz="0" w:space="0" w:color="auto"/>
            <w:right w:val="none" w:sz="0" w:space="0" w:color="auto"/>
          </w:divBdr>
        </w:div>
        <w:div w:id="1406957165">
          <w:marLeft w:val="0"/>
          <w:marRight w:val="0"/>
          <w:marTop w:val="0"/>
          <w:marBottom w:val="0"/>
          <w:divBdr>
            <w:top w:val="none" w:sz="0" w:space="0" w:color="auto"/>
            <w:left w:val="none" w:sz="0" w:space="0" w:color="auto"/>
            <w:bottom w:val="none" w:sz="0" w:space="0" w:color="auto"/>
            <w:right w:val="none" w:sz="0" w:space="0" w:color="auto"/>
          </w:divBdr>
          <w:divsChild>
            <w:div w:id="189912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194045">
      <w:bodyDiv w:val="1"/>
      <w:marLeft w:val="0"/>
      <w:marRight w:val="0"/>
      <w:marTop w:val="0"/>
      <w:marBottom w:val="0"/>
      <w:divBdr>
        <w:top w:val="none" w:sz="0" w:space="0" w:color="auto"/>
        <w:left w:val="none" w:sz="0" w:space="0" w:color="auto"/>
        <w:bottom w:val="none" w:sz="0" w:space="0" w:color="auto"/>
        <w:right w:val="none" w:sz="0" w:space="0" w:color="auto"/>
      </w:divBdr>
      <w:divsChild>
        <w:div w:id="1474909606">
          <w:marLeft w:val="0"/>
          <w:marRight w:val="0"/>
          <w:marTop w:val="0"/>
          <w:marBottom w:val="0"/>
          <w:divBdr>
            <w:top w:val="none" w:sz="0" w:space="0" w:color="auto"/>
            <w:left w:val="none" w:sz="0" w:space="0" w:color="auto"/>
            <w:bottom w:val="none" w:sz="0" w:space="0" w:color="auto"/>
            <w:right w:val="none" w:sz="0" w:space="0" w:color="auto"/>
          </w:divBdr>
        </w:div>
      </w:divsChild>
    </w:div>
    <w:div w:id="1431075445">
      <w:bodyDiv w:val="1"/>
      <w:marLeft w:val="0"/>
      <w:marRight w:val="0"/>
      <w:marTop w:val="0"/>
      <w:marBottom w:val="0"/>
      <w:divBdr>
        <w:top w:val="none" w:sz="0" w:space="0" w:color="auto"/>
        <w:left w:val="none" w:sz="0" w:space="0" w:color="auto"/>
        <w:bottom w:val="none" w:sz="0" w:space="0" w:color="auto"/>
        <w:right w:val="none" w:sz="0" w:space="0" w:color="auto"/>
      </w:divBdr>
      <w:divsChild>
        <w:div w:id="1491484691">
          <w:marLeft w:val="0"/>
          <w:marRight w:val="0"/>
          <w:marTop w:val="0"/>
          <w:marBottom w:val="0"/>
          <w:divBdr>
            <w:top w:val="none" w:sz="0" w:space="0" w:color="auto"/>
            <w:left w:val="none" w:sz="0" w:space="0" w:color="auto"/>
            <w:bottom w:val="none" w:sz="0" w:space="0" w:color="auto"/>
            <w:right w:val="none" w:sz="0" w:space="0" w:color="auto"/>
          </w:divBdr>
        </w:div>
        <w:div w:id="629168830">
          <w:marLeft w:val="0"/>
          <w:marRight w:val="0"/>
          <w:marTop w:val="0"/>
          <w:marBottom w:val="0"/>
          <w:divBdr>
            <w:top w:val="none" w:sz="0" w:space="0" w:color="auto"/>
            <w:left w:val="none" w:sz="0" w:space="0" w:color="auto"/>
            <w:bottom w:val="none" w:sz="0" w:space="0" w:color="auto"/>
            <w:right w:val="none" w:sz="0" w:space="0" w:color="auto"/>
          </w:divBdr>
        </w:div>
        <w:div w:id="1157696339">
          <w:marLeft w:val="0"/>
          <w:marRight w:val="0"/>
          <w:marTop w:val="0"/>
          <w:marBottom w:val="0"/>
          <w:divBdr>
            <w:top w:val="none" w:sz="0" w:space="0" w:color="auto"/>
            <w:left w:val="none" w:sz="0" w:space="0" w:color="auto"/>
            <w:bottom w:val="none" w:sz="0" w:space="0" w:color="auto"/>
            <w:right w:val="none" w:sz="0" w:space="0" w:color="auto"/>
          </w:divBdr>
        </w:div>
        <w:div w:id="515970949">
          <w:marLeft w:val="0"/>
          <w:marRight w:val="0"/>
          <w:marTop w:val="0"/>
          <w:marBottom w:val="0"/>
          <w:divBdr>
            <w:top w:val="none" w:sz="0" w:space="0" w:color="auto"/>
            <w:left w:val="none" w:sz="0" w:space="0" w:color="auto"/>
            <w:bottom w:val="none" w:sz="0" w:space="0" w:color="auto"/>
            <w:right w:val="none" w:sz="0" w:space="0" w:color="auto"/>
          </w:divBdr>
          <w:divsChild>
            <w:div w:id="190043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894847">
      <w:bodyDiv w:val="1"/>
      <w:marLeft w:val="0"/>
      <w:marRight w:val="0"/>
      <w:marTop w:val="0"/>
      <w:marBottom w:val="0"/>
      <w:divBdr>
        <w:top w:val="none" w:sz="0" w:space="0" w:color="auto"/>
        <w:left w:val="none" w:sz="0" w:space="0" w:color="auto"/>
        <w:bottom w:val="none" w:sz="0" w:space="0" w:color="auto"/>
        <w:right w:val="none" w:sz="0" w:space="0" w:color="auto"/>
      </w:divBdr>
      <w:divsChild>
        <w:div w:id="1741442716">
          <w:marLeft w:val="0"/>
          <w:marRight w:val="0"/>
          <w:marTop w:val="0"/>
          <w:marBottom w:val="0"/>
          <w:divBdr>
            <w:top w:val="none" w:sz="0" w:space="0" w:color="auto"/>
            <w:left w:val="none" w:sz="0" w:space="0" w:color="auto"/>
            <w:bottom w:val="none" w:sz="0" w:space="0" w:color="auto"/>
            <w:right w:val="none" w:sz="0" w:space="0" w:color="auto"/>
          </w:divBdr>
          <w:divsChild>
            <w:div w:id="1481114283">
              <w:marLeft w:val="0"/>
              <w:marRight w:val="0"/>
              <w:marTop w:val="0"/>
              <w:marBottom w:val="0"/>
              <w:divBdr>
                <w:top w:val="none" w:sz="0" w:space="0" w:color="auto"/>
                <w:left w:val="none" w:sz="0" w:space="0" w:color="auto"/>
                <w:bottom w:val="none" w:sz="0" w:space="0" w:color="auto"/>
                <w:right w:val="none" w:sz="0" w:space="0" w:color="auto"/>
              </w:divBdr>
              <w:divsChild>
                <w:div w:id="444887250">
                  <w:marLeft w:val="0"/>
                  <w:marRight w:val="0"/>
                  <w:marTop w:val="0"/>
                  <w:marBottom w:val="0"/>
                  <w:divBdr>
                    <w:top w:val="none" w:sz="0" w:space="0" w:color="auto"/>
                    <w:left w:val="none" w:sz="0" w:space="0" w:color="auto"/>
                    <w:bottom w:val="none" w:sz="0" w:space="0" w:color="auto"/>
                    <w:right w:val="none" w:sz="0" w:space="0" w:color="auto"/>
                  </w:divBdr>
                </w:div>
                <w:div w:id="128014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743209">
      <w:bodyDiv w:val="1"/>
      <w:marLeft w:val="0"/>
      <w:marRight w:val="0"/>
      <w:marTop w:val="0"/>
      <w:marBottom w:val="0"/>
      <w:divBdr>
        <w:top w:val="none" w:sz="0" w:space="0" w:color="auto"/>
        <w:left w:val="none" w:sz="0" w:space="0" w:color="auto"/>
        <w:bottom w:val="none" w:sz="0" w:space="0" w:color="auto"/>
        <w:right w:val="none" w:sz="0" w:space="0" w:color="auto"/>
      </w:divBdr>
    </w:div>
    <w:div w:id="1439060031">
      <w:bodyDiv w:val="1"/>
      <w:marLeft w:val="0"/>
      <w:marRight w:val="0"/>
      <w:marTop w:val="0"/>
      <w:marBottom w:val="0"/>
      <w:divBdr>
        <w:top w:val="none" w:sz="0" w:space="0" w:color="auto"/>
        <w:left w:val="none" w:sz="0" w:space="0" w:color="auto"/>
        <w:bottom w:val="none" w:sz="0" w:space="0" w:color="auto"/>
        <w:right w:val="none" w:sz="0" w:space="0" w:color="auto"/>
      </w:divBdr>
      <w:divsChild>
        <w:div w:id="1305692858">
          <w:marLeft w:val="0"/>
          <w:marRight w:val="0"/>
          <w:marTop w:val="0"/>
          <w:marBottom w:val="0"/>
          <w:divBdr>
            <w:top w:val="none" w:sz="0" w:space="0" w:color="auto"/>
            <w:left w:val="none" w:sz="0" w:space="0" w:color="auto"/>
            <w:bottom w:val="none" w:sz="0" w:space="0" w:color="auto"/>
            <w:right w:val="none" w:sz="0" w:space="0" w:color="auto"/>
          </w:divBdr>
        </w:div>
      </w:divsChild>
    </w:div>
    <w:div w:id="1445147524">
      <w:bodyDiv w:val="1"/>
      <w:marLeft w:val="0"/>
      <w:marRight w:val="0"/>
      <w:marTop w:val="0"/>
      <w:marBottom w:val="0"/>
      <w:divBdr>
        <w:top w:val="none" w:sz="0" w:space="0" w:color="auto"/>
        <w:left w:val="none" w:sz="0" w:space="0" w:color="auto"/>
        <w:bottom w:val="none" w:sz="0" w:space="0" w:color="auto"/>
        <w:right w:val="none" w:sz="0" w:space="0" w:color="auto"/>
      </w:divBdr>
      <w:divsChild>
        <w:div w:id="1584144022">
          <w:marLeft w:val="0"/>
          <w:marRight w:val="0"/>
          <w:marTop w:val="0"/>
          <w:marBottom w:val="0"/>
          <w:divBdr>
            <w:top w:val="none" w:sz="0" w:space="0" w:color="auto"/>
            <w:left w:val="none" w:sz="0" w:space="0" w:color="auto"/>
            <w:bottom w:val="none" w:sz="0" w:space="0" w:color="auto"/>
            <w:right w:val="none" w:sz="0" w:space="0" w:color="auto"/>
          </w:divBdr>
          <w:divsChild>
            <w:div w:id="1183395515">
              <w:marLeft w:val="0"/>
              <w:marRight w:val="0"/>
              <w:marTop w:val="0"/>
              <w:marBottom w:val="0"/>
              <w:divBdr>
                <w:top w:val="none" w:sz="0" w:space="0" w:color="auto"/>
                <w:left w:val="none" w:sz="0" w:space="0" w:color="auto"/>
                <w:bottom w:val="none" w:sz="0" w:space="0" w:color="auto"/>
                <w:right w:val="none" w:sz="0" w:space="0" w:color="auto"/>
              </w:divBdr>
              <w:divsChild>
                <w:div w:id="47009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2591">
          <w:marLeft w:val="0"/>
          <w:marRight w:val="0"/>
          <w:marTop w:val="0"/>
          <w:marBottom w:val="0"/>
          <w:divBdr>
            <w:top w:val="none" w:sz="0" w:space="0" w:color="auto"/>
            <w:left w:val="none" w:sz="0" w:space="0" w:color="auto"/>
            <w:bottom w:val="none" w:sz="0" w:space="0" w:color="auto"/>
            <w:right w:val="none" w:sz="0" w:space="0" w:color="auto"/>
          </w:divBdr>
          <w:divsChild>
            <w:div w:id="813908577">
              <w:marLeft w:val="0"/>
              <w:marRight w:val="0"/>
              <w:marTop w:val="0"/>
              <w:marBottom w:val="0"/>
              <w:divBdr>
                <w:top w:val="none" w:sz="0" w:space="0" w:color="auto"/>
                <w:left w:val="none" w:sz="0" w:space="0" w:color="auto"/>
                <w:bottom w:val="none" w:sz="0" w:space="0" w:color="auto"/>
                <w:right w:val="none" w:sz="0" w:space="0" w:color="auto"/>
              </w:divBdr>
              <w:divsChild>
                <w:div w:id="76249846">
                  <w:marLeft w:val="0"/>
                  <w:marRight w:val="0"/>
                  <w:marTop w:val="0"/>
                  <w:marBottom w:val="0"/>
                  <w:divBdr>
                    <w:top w:val="none" w:sz="0" w:space="0" w:color="auto"/>
                    <w:left w:val="none" w:sz="0" w:space="0" w:color="auto"/>
                    <w:bottom w:val="none" w:sz="0" w:space="0" w:color="auto"/>
                    <w:right w:val="none" w:sz="0" w:space="0" w:color="auto"/>
                  </w:divBdr>
                </w:div>
                <w:div w:id="164504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739596">
      <w:bodyDiv w:val="1"/>
      <w:marLeft w:val="0"/>
      <w:marRight w:val="0"/>
      <w:marTop w:val="0"/>
      <w:marBottom w:val="0"/>
      <w:divBdr>
        <w:top w:val="none" w:sz="0" w:space="0" w:color="auto"/>
        <w:left w:val="none" w:sz="0" w:space="0" w:color="auto"/>
        <w:bottom w:val="none" w:sz="0" w:space="0" w:color="auto"/>
        <w:right w:val="none" w:sz="0" w:space="0" w:color="auto"/>
      </w:divBdr>
    </w:div>
    <w:div w:id="1461654515">
      <w:bodyDiv w:val="1"/>
      <w:marLeft w:val="0"/>
      <w:marRight w:val="0"/>
      <w:marTop w:val="0"/>
      <w:marBottom w:val="0"/>
      <w:divBdr>
        <w:top w:val="none" w:sz="0" w:space="0" w:color="auto"/>
        <w:left w:val="none" w:sz="0" w:space="0" w:color="auto"/>
        <w:bottom w:val="none" w:sz="0" w:space="0" w:color="auto"/>
        <w:right w:val="none" w:sz="0" w:space="0" w:color="auto"/>
      </w:divBdr>
      <w:divsChild>
        <w:div w:id="1805386254">
          <w:marLeft w:val="0"/>
          <w:marRight w:val="0"/>
          <w:marTop w:val="0"/>
          <w:marBottom w:val="0"/>
          <w:divBdr>
            <w:top w:val="none" w:sz="0" w:space="0" w:color="auto"/>
            <w:left w:val="none" w:sz="0" w:space="0" w:color="auto"/>
            <w:bottom w:val="none" w:sz="0" w:space="0" w:color="auto"/>
            <w:right w:val="none" w:sz="0" w:space="0" w:color="auto"/>
          </w:divBdr>
        </w:div>
      </w:divsChild>
    </w:div>
    <w:div w:id="1468889184">
      <w:bodyDiv w:val="1"/>
      <w:marLeft w:val="0"/>
      <w:marRight w:val="0"/>
      <w:marTop w:val="0"/>
      <w:marBottom w:val="0"/>
      <w:divBdr>
        <w:top w:val="none" w:sz="0" w:space="0" w:color="auto"/>
        <w:left w:val="none" w:sz="0" w:space="0" w:color="auto"/>
        <w:bottom w:val="none" w:sz="0" w:space="0" w:color="auto"/>
        <w:right w:val="none" w:sz="0" w:space="0" w:color="auto"/>
      </w:divBdr>
      <w:divsChild>
        <w:div w:id="479616366">
          <w:marLeft w:val="0"/>
          <w:marRight w:val="0"/>
          <w:marTop w:val="0"/>
          <w:marBottom w:val="0"/>
          <w:divBdr>
            <w:top w:val="none" w:sz="0" w:space="0" w:color="auto"/>
            <w:left w:val="none" w:sz="0" w:space="0" w:color="auto"/>
            <w:bottom w:val="none" w:sz="0" w:space="0" w:color="auto"/>
            <w:right w:val="none" w:sz="0" w:space="0" w:color="auto"/>
          </w:divBdr>
        </w:div>
      </w:divsChild>
    </w:div>
    <w:div w:id="1476682585">
      <w:bodyDiv w:val="1"/>
      <w:marLeft w:val="0"/>
      <w:marRight w:val="0"/>
      <w:marTop w:val="0"/>
      <w:marBottom w:val="0"/>
      <w:divBdr>
        <w:top w:val="none" w:sz="0" w:space="0" w:color="auto"/>
        <w:left w:val="none" w:sz="0" w:space="0" w:color="auto"/>
        <w:bottom w:val="none" w:sz="0" w:space="0" w:color="auto"/>
        <w:right w:val="none" w:sz="0" w:space="0" w:color="auto"/>
      </w:divBdr>
      <w:divsChild>
        <w:div w:id="255016024">
          <w:marLeft w:val="0"/>
          <w:marRight w:val="0"/>
          <w:marTop w:val="0"/>
          <w:marBottom w:val="0"/>
          <w:divBdr>
            <w:top w:val="none" w:sz="0" w:space="0" w:color="auto"/>
            <w:left w:val="none" w:sz="0" w:space="0" w:color="auto"/>
            <w:bottom w:val="none" w:sz="0" w:space="0" w:color="auto"/>
            <w:right w:val="none" w:sz="0" w:space="0" w:color="auto"/>
          </w:divBdr>
        </w:div>
        <w:div w:id="158229776">
          <w:marLeft w:val="0"/>
          <w:marRight w:val="0"/>
          <w:marTop w:val="0"/>
          <w:marBottom w:val="0"/>
          <w:divBdr>
            <w:top w:val="none" w:sz="0" w:space="0" w:color="auto"/>
            <w:left w:val="none" w:sz="0" w:space="0" w:color="auto"/>
            <w:bottom w:val="none" w:sz="0" w:space="0" w:color="auto"/>
            <w:right w:val="none" w:sz="0" w:space="0" w:color="auto"/>
          </w:divBdr>
        </w:div>
        <w:div w:id="1505559031">
          <w:marLeft w:val="0"/>
          <w:marRight w:val="0"/>
          <w:marTop w:val="0"/>
          <w:marBottom w:val="0"/>
          <w:divBdr>
            <w:top w:val="none" w:sz="0" w:space="0" w:color="auto"/>
            <w:left w:val="none" w:sz="0" w:space="0" w:color="auto"/>
            <w:bottom w:val="none" w:sz="0" w:space="0" w:color="auto"/>
            <w:right w:val="none" w:sz="0" w:space="0" w:color="auto"/>
          </w:divBdr>
          <w:divsChild>
            <w:div w:id="120228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91348">
      <w:bodyDiv w:val="1"/>
      <w:marLeft w:val="0"/>
      <w:marRight w:val="0"/>
      <w:marTop w:val="0"/>
      <w:marBottom w:val="0"/>
      <w:divBdr>
        <w:top w:val="none" w:sz="0" w:space="0" w:color="auto"/>
        <w:left w:val="none" w:sz="0" w:space="0" w:color="auto"/>
        <w:bottom w:val="none" w:sz="0" w:space="0" w:color="auto"/>
        <w:right w:val="none" w:sz="0" w:space="0" w:color="auto"/>
      </w:divBdr>
      <w:divsChild>
        <w:div w:id="1291059448">
          <w:marLeft w:val="0"/>
          <w:marRight w:val="0"/>
          <w:marTop w:val="0"/>
          <w:marBottom w:val="0"/>
          <w:divBdr>
            <w:top w:val="none" w:sz="0" w:space="0" w:color="auto"/>
            <w:left w:val="none" w:sz="0" w:space="0" w:color="auto"/>
            <w:bottom w:val="none" w:sz="0" w:space="0" w:color="auto"/>
            <w:right w:val="none" w:sz="0" w:space="0" w:color="auto"/>
          </w:divBdr>
        </w:div>
        <w:div w:id="721632324">
          <w:marLeft w:val="0"/>
          <w:marRight w:val="0"/>
          <w:marTop w:val="0"/>
          <w:marBottom w:val="0"/>
          <w:divBdr>
            <w:top w:val="none" w:sz="0" w:space="0" w:color="auto"/>
            <w:left w:val="none" w:sz="0" w:space="0" w:color="auto"/>
            <w:bottom w:val="none" w:sz="0" w:space="0" w:color="auto"/>
            <w:right w:val="none" w:sz="0" w:space="0" w:color="auto"/>
          </w:divBdr>
        </w:div>
        <w:div w:id="296224868">
          <w:marLeft w:val="0"/>
          <w:marRight w:val="0"/>
          <w:marTop w:val="0"/>
          <w:marBottom w:val="0"/>
          <w:divBdr>
            <w:top w:val="none" w:sz="0" w:space="0" w:color="auto"/>
            <w:left w:val="none" w:sz="0" w:space="0" w:color="auto"/>
            <w:bottom w:val="none" w:sz="0" w:space="0" w:color="auto"/>
            <w:right w:val="none" w:sz="0" w:space="0" w:color="auto"/>
          </w:divBdr>
        </w:div>
        <w:div w:id="440342215">
          <w:marLeft w:val="0"/>
          <w:marRight w:val="0"/>
          <w:marTop w:val="0"/>
          <w:marBottom w:val="0"/>
          <w:divBdr>
            <w:top w:val="none" w:sz="0" w:space="0" w:color="auto"/>
            <w:left w:val="none" w:sz="0" w:space="0" w:color="auto"/>
            <w:bottom w:val="none" w:sz="0" w:space="0" w:color="auto"/>
            <w:right w:val="none" w:sz="0" w:space="0" w:color="auto"/>
          </w:divBdr>
          <w:divsChild>
            <w:div w:id="154849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5058">
      <w:bodyDiv w:val="1"/>
      <w:marLeft w:val="0"/>
      <w:marRight w:val="0"/>
      <w:marTop w:val="0"/>
      <w:marBottom w:val="0"/>
      <w:divBdr>
        <w:top w:val="none" w:sz="0" w:space="0" w:color="auto"/>
        <w:left w:val="none" w:sz="0" w:space="0" w:color="auto"/>
        <w:bottom w:val="none" w:sz="0" w:space="0" w:color="auto"/>
        <w:right w:val="none" w:sz="0" w:space="0" w:color="auto"/>
      </w:divBdr>
      <w:divsChild>
        <w:div w:id="879319238">
          <w:marLeft w:val="0"/>
          <w:marRight w:val="0"/>
          <w:marTop w:val="0"/>
          <w:marBottom w:val="0"/>
          <w:divBdr>
            <w:top w:val="none" w:sz="0" w:space="0" w:color="auto"/>
            <w:left w:val="none" w:sz="0" w:space="0" w:color="auto"/>
            <w:bottom w:val="none" w:sz="0" w:space="0" w:color="auto"/>
            <w:right w:val="none" w:sz="0" w:space="0" w:color="auto"/>
          </w:divBdr>
        </w:div>
      </w:divsChild>
    </w:div>
    <w:div w:id="1497529454">
      <w:bodyDiv w:val="1"/>
      <w:marLeft w:val="0"/>
      <w:marRight w:val="0"/>
      <w:marTop w:val="0"/>
      <w:marBottom w:val="0"/>
      <w:divBdr>
        <w:top w:val="none" w:sz="0" w:space="0" w:color="auto"/>
        <w:left w:val="none" w:sz="0" w:space="0" w:color="auto"/>
        <w:bottom w:val="none" w:sz="0" w:space="0" w:color="auto"/>
        <w:right w:val="none" w:sz="0" w:space="0" w:color="auto"/>
      </w:divBdr>
      <w:divsChild>
        <w:div w:id="1074473166">
          <w:marLeft w:val="0"/>
          <w:marRight w:val="0"/>
          <w:marTop w:val="0"/>
          <w:marBottom w:val="0"/>
          <w:divBdr>
            <w:top w:val="none" w:sz="0" w:space="0" w:color="auto"/>
            <w:left w:val="none" w:sz="0" w:space="0" w:color="auto"/>
            <w:bottom w:val="none" w:sz="0" w:space="0" w:color="auto"/>
            <w:right w:val="none" w:sz="0" w:space="0" w:color="auto"/>
          </w:divBdr>
        </w:div>
        <w:div w:id="21176758">
          <w:marLeft w:val="0"/>
          <w:marRight w:val="0"/>
          <w:marTop w:val="0"/>
          <w:marBottom w:val="0"/>
          <w:divBdr>
            <w:top w:val="none" w:sz="0" w:space="0" w:color="auto"/>
            <w:left w:val="none" w:sz="0" w:space="0" w:color="auto"/>
            <w:bottom w:val="none" w:sz="0" w:space="0" w:color="auto"/>
            <w:right w:val="none" w:sz="0" w:space="0" w:color="auto"/>
          </w:divBdr>
          <w:divsChild>
            <w:div w:id="951127111">
              <w:marLeft w:val="0"/>
              <w:marRight w:val="0"/>
              <w:marTop w:val="0"/>
              <w:marBottom w:val="0"/>
              <w:divBdr>
                <w:top w:val="none" w:sz="0" w:space="0" w:color="auto"/>
                <w:left w:val="none" w:sz="0" w:space="0" w:color="auto"/>
                <w:bottom w:val="none" w:sz="0" w:space="0" w:color="auto"/>
                <w:right w:val="none" w:sz="0" w:space="0" w:color="auto"/>
              </w:divBdr>
              <w:divsChild>
                <w:div w:id="2107310462">
                  <w:marLeft w:val="0"/>
                  <w:marRight w:val="0"/>
                  <w:marTop w:val="0"/>
                  <w:marBottom w:val="0"/>
                  <w:divBdr>
                    <w:top w:val="none" w:sz="0" w:space="0" w:color="auto"/>
                    <w:left w:val="none" w:sz="0" w:space="0" w:color="auto"/>
                    <w:bottom w:val="none" w:sz="0" w:space="0" w:color="auto"/>
                    <w:right w:val="none" w:sz="0" w:space="0" w:color="auto"/>
                  </w:divBdr>
                </w:div>
                <w:div w:id="1206679321">
                  <w:marLeft w:val="0"/>
                  <w:marRight w:val="0"/>
                  <w:marTop w:val="0"/>
                  <w:marBottom w:val="0"/>
                  <w:divBdr>
                    <w:top w:val="none" w:sz="0" w:space="0" w:color="auto"/>
                    <w:left w:val="none" w:sz="0" w:space="0" w:color="auto"/>
                    <w:bottom w:val="none" w:sz="0" w:space="0" w:color="auto"/>
                    <w:right w:val="none" w:sz="0" w:space="0" w:color="auto"/>
                  </w:divBdr>
                </w:div>
                <w:div w:id="702557009">
                  <w:marLeft w:val="0"/>
                  <w:marRight w:val="0"/>
                  <w:marTop w:val="0"/>
                  <w:marBottom w:val="0"/>
                  <w:divBdr>
                    <w:top w:val="none" w:sz="0" w:space="0" w:color="auto"/>
                    <w:left w:val="none" w:sz="0" w:space="0" w:color="auto"/>
                    <w:bottom w:val="none" w:sz="0" w:space="0" w:color="auto"/>
                    <w:right w:val="none" w:sz="0" w:space="0" w:color="auto"/>
                  </w:divBdr>
                </w:div>
                <w:div w:id="229930023">
                  <w:marLeft w:val="0"/>
                  <w:marRight w:val="0"/>
                  <w:marTop w:val="0"/>
                  <w:marBottom w:val="0"/>
                  <w:divBdr>
                    <w:top w:val="none" w:sz="0" w:space="0" w:color="auto"/>
                    <w:left w:val="none" w:sz="0" w:space="0" w:color="auto"/>
                    <w:bottom w:val="none" w:sz="0" w:space="0" w:color="auto"/>
                    <w:right w:val="none" w:sz="0" w:space="0" w:color="auto"/>
                  </w:divBdr>
                  <w:divsChild>
                    <w:div w:id="15930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709933">
      <w:bodyDiv w:val="1"/>
      <w:marLeft w:val="0"/>
      <w:marRight w:val="0"/>
      <w:marTop w:val="0"/>
      <w:marBottom w:val="0"/>
      <w:divBdr>
        <w:top w:val="none" w:sz="0" w:space="0" w:color="auto"/>
        <w:left w:val="none" w:sz="0" w:space="0" w:color="auto"/>
        <w:bottom w:val="none" w:sz="0" w:space="0" w:color="auto"/>
        <w:right w:val="none" w:sz="0" w:space="0" w:color="auto"/>
      </w:divBdr>
    </w:div>
    <w:div w:id="1508983082">
      <w:bodyDiv w:val="1"/>
      <w:marLeft w:val="0"/>
      <w:marRight w:val="0"/>
      <w:marTop w:val="0"/>
      <w:marBottom w:val="0"/>
      <w:divBdr>
        <w:top w:val="none" w:sz="0" w:space="0" w:color="auto"/>
        <w:left w:val="none" w:sz="0" w:space="0" w:color="auto"/>
        <w:bottom w:val="none" w:sz="0" w:space="0" w:color="auto"/>
        <w:right w:val="none" w:sz="0" w:space="0" w:color="auto"/>
      </w:divBdr>
      <w:divsChild>
        <w:div w:id="140924523">
          <w:marLeft w:val="0"/>
          <w:marRight w:val="0"/>
          <w:marTop w:val="0"/>
          <w:marBottom w:val="0"/>
          <w:divBdr>
            <w:top w:val="none" w:sz="0" w:space="0" w:color="auto"/>
            <w:left w:val="none" w:sz="0" w:space="0" w:color="auto"/>
            <w:bottom w:val="none" w:sz="0" w:space="0" w:color="auto"/>
            <w:right w:val="none" w:sz="0" w:space="0" w:color="auto"/>
          </w:divBdr>
        </w:div>
      </w:divsChild>
    </w:div>
    <w:div w:id="1513455512">
      <w:bodyDiv w:val="1"/>
      <w:marLeft w:val="0"/>
      <w:marRight w:val="0"/>
      <w:marTop w:val="0"/>
      <w:marBottom w:val="0"/>
      <w:divBdr>
        <w:top w:val="none" w:sz="0" w:space="0" w:color="auto"/>
        <w:left w:val="none" w:sz="0" w:space="0" w:color="auto"/>
        <w:bottom w:val="none" w:sz="0" w:space="0" w:color="auto"/>
        <w:right w:val="none" w:sz="0" w:space="0" w:color="auto"/>
      </w:divBdr>
      <w:divsChild>
        <w:div w:id="1371417566">
          <w:marLeft w:val="0"/>
          <w:marRight w:val="0"/>
          <w:marTop w:val="0"/>
          <w:marBottom w:val="0"/>
          <w:divBdr>
            <w:top w:val="none" w:sz="0" w:space="0" w:color="auto"/>
            <w:left w:val="none" w:sz="0" w:space="0" w:color="auto"/>
            <w:bottom w:val="none" w:sz="0" w:space="0" w:color="auto"/>
            <w:right w:val="none" w:sz="0" w:space="0" w:color="auto"/>
          </w:divBdr>
        </w:div>
        <w:div w:id="2135362159">
          <w:marLeft w:val="0"/>
          <w:marRight w:val="0"/>
          <w:marTop w:val="0"/>
          <w:marBottom w:val="0"/>
          <w:divBdr>
            <w:top w:val="none" w:sz="0" w:space="0" w:color="auto"/>
            <w:left w:val="none" w:sz="0" w:space="0" w:color="auto"/>
            <w:bottom w:val="none" w:sz="0" w:space="0" w:color="auto"/>
            <w:right w:val="none" w:sz="0" w:space="0" w:color="auto"/>
          </w:divBdr>
        </w:div>
        <w:div w:id="1416316462">
          <w:marLeft w:val="0"/>
          <w:marRight w:val="0"/>
          <w:marTop w:val="0"/>
          <w:marBottom w:val="0"/>
          <w:divBdr>
            <w:top w:val="none" w:sz="0" w:space="0" w:color="auto"/>
            <w:left w:val="none" w:sz="0" w:space="0" w:color="auto"/>
            <w:bottom w:val="none" w:sz="0" w:space="0" w:color="auto"/>
            <w:right w:val="none" w:sz="0" w:space="0" w:color="auto"/>
          </w:divBdr>
        </w:div>
        <w:div w:id="603154642">
          <w:marLeft w:val="0"/>
          <w:marRight w:val="0"/>
          <w:marTop w:val="0"/>
          <w:marBottom w:val="0"/>
          <w:divBdr>
            <w:top w:val="none" w:sz="0" w:space="0" w:color="auto"/>
            <w:left w:val="none" w:sz="0" w:space="0" w:color="auto"/>
            <w:bottom w:val="none" w:sz="0" w:space="0" w:color="auto"/>
            <w:right w:val="none" w:sz="0" w:space="0" w:color="auto"/>
          </w:divBdr>
          <w:divsChild>
            <w:div w:id="162804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00910">
      <w:bodyDiv w:val="1"/>
      <w:marLeft w:val="0"/>
      <w:marRight w:val="0"/>
      <w:marTop w:val="0"/>
      <w:marBottom w:val="0"/>
      <w:divBdr>
        <w:top w:val="none" w:sz="0" w:space="0" w:color="auto"/>
        <w:left w:val="none" w:sz="0" w:space="0" w:color="auto"/>
        <w:bottom w:val="none" w:sz="0" w:space="0" w:color="auto"/>
        <w:right w:val="none" w:sz="0" w:space="0" w:color="auto"/>
      </w:divBdr>
      <w:divsChild>
        <w:div w:id="1782412509">
          <w:marLeft w:val="0"/>
          <w:marRight w:val="0"/>
          <w:marTop w:val="0"/>
          <w:marBottom w:val="0"/>
          <w:divBdr>
            <w:top w:val="none" w:sz="0" w:space="0" w:color="auto"/>
            <w:left w:val="none" w:sz="0" w:space="0" w:color="auto"/>
            <w:bottom w:val="none" w:sz="0" w:space="0" w:color="auto"/>
            <w:right w:val="none" w:sz="0" w:space="0" w:color="auto"/>
          </w:divBdr>
        </w:div>
      </w:divsChild>
    </w:div>
    <w:div w:id="1532261420">
      <w:bodyDiv w:val="1"/>
      <w:marLeft w:val="0"/>
      <w:marRight w:val="0"/>
      <w:marTop w:val="0"/>
      <w:marBottom w:val="0"/>
      <w:divBdr>
        <w:top w:val="none" w:sz="0" w:space="0" w:color="auto"/>
        <w:left w:val="none" w:sz="0" w:space="0" w:color="auto"/>
        <w:bottom w:val="none" w:sz="0" w:space="0" w:color="auto"/>
        <w:right w:val="none" w:sz="0" w:space="0" w:color="auto"/>
      </w:divBdr>
      <w:divsChild>
        <w:div w:id="1270700898">
          <w:marLeft w:val="0"/>
          <w:marRight w:val="0"/>
          <w:marTop w:val="0"/>
          <w:marBottom w:val="0"/>
          <w:divBdr>
            <w:top w:val="none" w:sz="0" w:space="0" w:color="auto"/>
            <w:left w:val="none" w:sz="0" w:space="0" w:color="auto"/>
            <w:bottom w:val="none" w:sz="0" w:space="0" w:color="auto"/>
            <w:right w:val="none" w:sz="0" w:space="0" w:color="auto"/>
          </w:divBdr>
        </w:div>
      </w:divsChild>
    </w:div>
    <w:div w:id="1548223759">
      <w:bodyDiv w:val="1"/>
      <w:marLeft w:val="0"/>
      <w:marRight w:val="0"/>
      <w:marTop w:val="0"/>
      <w:marBottom w:val="0"/>
      <w:divBdr>
        <w:top w:val="none" w:sz="0" w:space="0" w:color="auto"/>
        <w:left w:val="none" w:sz="0" w:space="0" w:color="auto"/>
        <w:bottom w:val="none" w:sz="0" w:space="0" w:color="auto"/>
        <w:right w:val="none" w:sz="0" w:space="0" w:color="auto"/>
      </w:divBdr>
      <w:divsChild>
        <w:div w:id="1250845041">
          <w:marLeft w:val="0"/>
          <w:marRight w:val="0"/>
          <w:marTop w:val="0"/>
          <w:marBottom w:val="0"/>
          <w:divBdr>
            <w:top w:val="none" w:sz="0" w:space="0" w:color="auto"/>
            <w:left w:val="none" w:sz="0" w:space="0" w:color="auto"/>
            <w:bottom w:val="none" w:sz="0" w:space="0" w:color="auto"/>
            <w:right w:val="none" w:sz="0" w:space="0" w:color="auto"/>
          </w:divBdr>
        </w:div>
      </w:divsChild>
    </w:div>
    <w:div w:id="1563904784">
      <w:bodyDiv w:val="1"/>
      <w:marLeft w:val="0"/>
      <w:marRight w:val="0"/>
      <w:marTop w:val="0"/>
      <w:marBottom w:val="0"/>
      <w:divBdr>
        <w:top w:val="none" w:sz="0" w:space="0" w:color="auto"/>
        <w:left w:val="none" w:sz="0" w:space="0" w:color="auto"/>
        <w:bottom w:val="none" w:sz="0" w:space="0" w:color="auto"/>
        <w:right w:val="none" w:sz="0" w:space="0" w:color="auto"/>
      </w:divBdr>
      <w:divsChild>
        <w:div w:id="798298526">
          <w:marLeft w:val="0"/>
          <w:marRight w:val="0"/>
          <w:marTop w:val="0"/>
          <w:marBottom w:val="0"/>
          <w:divBdr>
            <w:top w:val="none" w:sz="0" w:space="0" w:color="auto"/>
            <w:left w:val="none" w:sz="0" w:space="0" w:color="auto"/>
            <w:bottom w:val="none" w:sz="0" w:space="0" w:color="auto"/>
            <w:right w:val="none" w:sz="0" w:space="0" w:color="auto"/>
          </w:divBdr>
        </w:div>
      </w:divsChild>
    </w:div>
    <w:div w:id="1582443520">
      <w:bodyDiv w:val="1"/>
      <w:marLeft w:val="0"/>
      <w:marRight w:val="0"/>
      <w:marTop w:val="0"/>
      <w:marBottom w:val="0"/>
      <w:divBdr>
        <w:top w:val="none" w:sz="0" w:space="0" w:color="auto"/>
        <w:left w:val="none" w:sz="0" w:space="0" w:color="auto"/>
        <w:bottom w:val="none" w:sz="0" w:space="0" w:color="auto"/>
        <w:right w:val="none" w:sz="0" w:space="0" w:color="auto"/>
      </w:divBdr>
      <w:divsChild>
        <w:div w:id="1674145262">
          <w:marLeft w:val="0"/>
          <w:marRight w:val="0"/>
          <w:marTop w:val="0"/>
          <w:marBottom w:val="0"/>
          <w:divBdr>
            <w:top w:val="none" w:sz="0" w:space="0" w:color="auto"/>
            <w:left w:val="none" w:sz="0" w:space="0" w:color="auto"/>
            <w:bottom w:val="none" w:sz="0" w:space="0" w:color="auto"/>
            <w:right w:val="none" w:sz="0" w:space="0" w:color="auto"/>
          </w:divBdr>
        </w:div>
      </w:divsChild>
    </w:div>
    <w:div w:id="1584800774">
      <w:bodyDiv w:val="1"/>
      <w:marLeft w:val="0"/>
      <w:marRight w:val="0"/>
      <w:marTop w:val="0"/>
      <w:marBottom w:val="0"/>
      <w:divBdr>
        <w:top w:val="none" w:sz="0" w:space="0" w:color="auto"/>
        <w:left w:val="none" w:sz="0" w:space="0" w:color="auto"/>
        <w:bottom w:val="none" w:sz="0" w:space="0" w:color="auto"/>
        <w:right w:val="none" w:sz="0" w:space="0" w:color="auto"/>
      </w:divBdr>
      <w:divsChild>
        <w:div w:id="905842435">
          <w:marLeft w:val="0"/>
          <w:marRight w:val="0"/>
          <w:marTop w:val="0"/>
          <w:marBottom w:val="0"/>
          <w:divBdr>
            <w:top w:val="none" w:sz="0" w:space="0" w:color="auto"/>
            <w:left w:val="none" w:sz="0" w:space="0" w:color="auto"/>
            <w:bottom w:val="none" w:sz="0" w:space="0" w:color="auto"/>
            <w:right w:val="none" w:sz="0" w:space="0" w:color="auto"/>
          </w:divBdr>
        </w:div>
        <w:div w:id="1851678850">
          <w:marLeft w:val="0"/>
          <w:marRight w:val="0"/>
          <w:marTop w:val="0"/>
          <w:marBottom w:val="0"/>
          <w:divBdr>
            <w:top w:val="none" w:sz="0" w:space="0" w:color="auto"/>
            <w:left w:val="none" w:sz="0" w:space="0" w:color="auto"/>
            <w:bottom w:val="none" w:sz="0" w:space="0" w:color="auto"/>
            <w:right w:val="none" w:sz="0" w:space="0" w:color="auto"/>
          </w:divBdr>
        </w:div>
        <w:div w:id="2092391249">
          <w:marLeft w:val="0"/>
          <w:marRight w:val="0"/>
          <w:marTop w:val="0"/>
          <w:marBottom w:val="0"/>
          <w:divBdr>
            <w:top w:val="none" w:sz="0" w:space="0" w:color="auto"/>
            <w:left w:val="none" w:sz="0" w:space="0" w:color="auto"/>
            <w:bottom w:val="none" w:sz="0" w:space="0" w:color="auto"/>
            <w:right w:val="none" w:sz="0" w:space="0" w:color="auto"/>
          </w:divBdr>
        </w:div>
      </w:divsChild>
    </w:div>
    <w:div w:id="1586065865">
      <w:bodyDiv w:val="1"/>
      <w:marLeft w:val="0"/>
      <w:marRight w:val="0"/>
      <w:marTop w:val="0"/>
      <w:marBottom w:val="0"/>
      <w:divBdr>
        <w:top w:val="none" w:sz="0" w:space="0" w:color="auto"/>
        <w:left w:val="none" w:sz="0" w:space="0" w:color="auto"/>
        <w:bottom w:val="none" w:sz="0" w:space="0" w:color="auto"/>
        <w:right w:val="none" w:sz="0" w:space="0" w:color="auto"/>
      </w:divBdr>
      <w:divsChild>
        <w:div w:id="1504515632">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0"/>
          <w:marBottom w:val="0"/>
          <w:divBdr>
            <w:top w:val="none" w:sz="0" w:space="0" w:color="auto"/>
            <w:left w:val="none" w:sz="0" w:space="0" w:color="auto"/>
            <w:bottom w:val="none" w:sz="0" w:space="0" w:color="auto"/>
            <w:right w:val="none" w:sz="0" w:space="0" w:color="auto"/>
          </w:divBdr>
        </w:div>
        <w:div w:id="1566722773">
          <w:marLeft w:val="0"/>
          <w:marRight w:val="0"/>
          <w:marTop w:val="0"/>
          <w:marBottom w:val="0"/>
          <w:divBdr>
            <w:top w:val="none" w:sz="0" w:space="0" w:color="auto"/>
            <w:left w:val="none" w:sz="0" w:space="0" w:color="auto"/>
            <w:bottom w:val="none" w:sz="0" w:space="0" w:color="auto"/>
            <w:right w:val="none" w:sz="0" w:space="0" w:color="auto"/>
          </w:divBdr>
          <w:divsChild>
            <w:div w:id="129656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8087">
      <w:bodyDiv w:val="1"/>
      <w:marLeft w:val="0"/>
      <w:marRight w:val="0"/>
      <w:marTop w:val="0"/>
      <w:marBottom w:val="0"/>
      <w:divBdr>
        <w:top w:val="none" w:sz="0" w:space="0" w:color="auto"/>
        <w:left w:val="none" w:sz="0" w:space="0" w:color="auto"/>
        <w:bottom w:val="none" w:sz="0" w:space="0" w:color="auto"/>
        <w:right w:val="none" w:sz="0" w:space="0" w:color="auto"/>
      </w:divBdr>
    </w:div>
    <w:div w:id="1598126504">
      <w:bodyDiv w:val="1"/>
      <w:marLeft w:val="0"/>
      <w:marRight w:val="0"/>
      <w:marTop w:val="0"/>
      <w:marBottom w:val="0"/>
      <w:divBdr>
        <w:top w:val="none" w:sz="0" w:space="0" w:color="auto"/>
        <w:left w:val="none" w:sz="0" w:space="0" w:color="auto"/>
        <w:bottom w:val="none" w:sz="0" w:space="0" w:color="auto"/>
        <w:right w:val="none" w:sz="0" w:space="0" w:color="auto"/>
      </w:divBdr>
      <w:divsChild>
        <w:div w:id="543060832">
          <w:marLeft w:val="0"/>
          <w:marRight w:val="0"/>
          <w:marTop w:val="0"/>
          <w:marBottom w:val="0"/>
          <w:divBdr>
            <w:top w:val="none" w:sz="0" w:space="0" w:color="auto"/>
            <w:left w:val="none" w:sz="0" w:space="0" w:color="auto"/>
            <w:bottom w:val="none" w:sz="0" w:space="0" w:color="auto"/>
            <w:right w:val="none" w:sz="0" w:space="0" w:color="auto"/>
          </w:divBdr>
        </w:div>
        <w:div w:id="1716810506">
          <w:marLeft w:val="0"/>
          <w:marRight w:val="0"/>
          <w:marTop w:val="0"/>
          <w:marBottom w:val="0"/>
          <w:divBdr>
            <w:top w:val="none" w:sz="0" w:space="0" w:color="auto"/>
            <w:left w:val="none" w:sz="0" w:space="0" w:color="auto"/>
            <w:bottom w:val="none" w:sz="0" w:space="0" w:color="auto"/>
            <w:right w:val="none" w:sz="0" w:space="0" w:color="auto"/>
          </w:divBdr>
        </w:div>
      </w:divsChild>
    </w:div>
    <w:div w:id="1608385826">
      <w:bodyDiv w:val="1"/>
      <w:marLeft w:val="0"/>
      <w:marRight w:val="0"/>
      <w:marTop w:val="0"/>
      <w:marBottom w:val="0"/>
      <w:divBdr>
        <w:top w:val="none" w:sz="0" w:space="0" w:color="auto"/>
        <w:left w:val="none" w:sz="0" w:space="0" w:color="auto"/>
        <w:bottom w:val="none" w:sz="0" w:space="0" w:color="auto"/>
        <w:right w:val="none" w:sz="0" w:space="0" w:color="auto"/>
      </w:divBdr>
      <w:divsChild>
        <w:div w:id="520552607">
          <w:marLeft w:val="0"/>
          <w:marRight w:val="0"/>
          <w:marTop w:val="0"/>
          <w:marBottom w:val="0"/>
          <w:divBdr>
            <w:top w:val="none" w:sz="0" w:space="0" w:color="auto"/>
            <w:left w:val="none" w:sz="0" w:space="0" w:color="auto"/>
            <w:bottom w:val="none" w:sz="0" w:space="0" w:color="auto"/>
            <w:right w:val="none" w:sz="0" w:space="0" w:color="auto"/>
          </w:divBdr>
        </w:div>
      </w:divsChild>
    </w:div>
    <w:div w:id="1615137227">
      <w:bodyDiv w:val="1"/>
      <w:marLeft w:val="0"/>
      <w:marRight w:val="0"/>
      <w:marTop w:val="0"/>
      <w:marBottom w:val="0"/>
      <w:divBdr>
        <w:top w:val="none" w:sz="0" w:space="0" w:color="auto"/>
        <w:left w:val="none" w:sz="0" w:space="0" w:color="auto"/>
        <w:bottom w:val="none" w:sz="0" w:space="0" w:color="auto"/>
        <w:right w:val="none" w:sz="0" w:space="0" w:color="auto"/>
      </w:divBdr>
      <w:divsChild>
        <w:div w:id="1480613266">
          <w:marLeft w:val="0"/>
          <w:marRight w:val="0"/>
          <w:marTop w:val="0"/>
          <w:marBottom w:val="0"/>
          <w:divBdr>
            <w:top w:val="none" w:sz="0" w:space="0" w:color="auto"/>
            <w:left w:val="none" w:sz="0" w:space="0" w:color="auto"/>
            <w:bottom w:val="none" w:sz="0" w:space="0" w:color="auto"/>
            <w:right w:val="none" w:sz="0" w:space="0" w:color="auto"/>
          </w:divBdr>
        </w:div>
      </w:divsChild>
    </w:div>
    <w:div w:id="1617174094">
      <w:bodyDiv w:val="1"/>
      <w:marLeft w:val="0"/>
      <w:marRight w:val="0"/>
      <w:marTop w:val="0"/>
      <w:marBottom w:val="0"/>
      <w:divBdr>
        <w:top w:val="none" w:sz="0" w:space="0" w:color="auto"/>
        <w:left w:val="none" w:sz="0" w:space="0" w:color="auto"/>
        <w:bottom w:val="none" w:sz="0" w:space="0" w:color="auto"/>
        <w:right w:val="none" w:sz="0" w:space="0" w:color="auto"/>
      </w:divBdr>
    </w:div>
    <w:div w:id="1623463170">
      <w:bodyDiv w:val="1"/>
      <w:marLeft w:val="0"/>
      <w:marRight w:val="0"/>
      <w:marTop w:val="0"/>
      <w:marBottom w:val="0"/>
      <w:divBdr>
        <w:top w:val="none" w:sz="0" w:space="0" w:color="auto"/>
        <w:left w:val="none" w:sz="0" w:space="0" w:color="auto"/>
        <w:bottom w:val="none" w:sz="0" w:space="0" w:color="auto"/>
        <w:right w:val="none" w:sz="0" w:space="0" w:color="auto"/>
      </w:divBdr>
      <w:divsChild>
        <w:div w:id="1042289465">
          <w:marLeft w:val="0"/>
          <w:marRight w:val="0"/>
          <w:marTop w:val="0"/>
          <w:marBottom w:val="0"/>
          <w:divBdr>
            <w:top w:val="none" w:sz="0" w:space="0" w:color="auto"/>
            <w:left w:val="none" w:sz="0" w:space="0" w:color="auto"/>
            <w:bottom w:val="none" w:sz="0" w:space="0" w:color="auto"/>
            <w:right w:val="none" w:sz="0" w:space="0" w:color="auto"/>
          </w:divBdr>
          <w:divsChild>
            <w:div w:id="61954202">
              <w:marLeft w:val="0"/>
              <w:marRight w:val="0"/>
              <w:marTop w:val="0"/>
              <w:marBottom w:val="0"/>
              <w:divBdr>
                <w:top w:val="none" w:sz="0" w:space="0" w:color="auto"/>
                <w:left w:val="none" w:sz="0" w:space="0" w:color="auto"/>
                <w:bottom w:val="none" w:sz="0" w:space="0" w:color="auto"/>
                <w:right w:val="none" w:sz="0" w:space="0" w:color="auto"/>
              </w:divBdr>
              <w:divsChild>
                <w:div w:id="123589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794820">
          <w:marLeft w:val="0"/>
          <w:marRight w:val="0"/>
          <w:marTop w:val="0"/>
          <w:marBottom w:val="0"/>
          <w:divBdr>
            <w:top w:val="none" w:sz="0" w:space="0" w:color="auto"/>
            <w:left w:val="none" w:sz="0" w:space="0" w:color="auto"/>
            <w:bottom w:val="none" w:sz="0" w:space="0" w:color="auto"/>
            <w:right w:val="none" w:sz="0" w:space="0" w:color="auto"/>
          </w:divBdr>
          <w:divsChild>
            <w:div w:id="1977835624">
              <w:marLeft w:val="0"/>
              <w:marRight w:val="0"/>
              <w:marTop w:val="0"/>
              <w:marBottom w:val="0"/>
              <w:divBdr>
                <w:top w:val="none" w:sz="0" w:space="0" w:color="auto"/>
                <w:left w:val="none" w:sz="0" w:space="0" w:color="auto"/>
                <w:bottom w:val="none" w:sz="0" w:space="0" w:color="auto"/>
                <w:right w:val="none" w:sz="0" w:space="0" w:color="auto"/>
              </w:divBdr>
              <w:divsChild>
                <w:div w:id="301153333">
                  <w:marLeft w:val="0"/>
                  <w:marRight w:val="0"/>
                  <w:marTop w:val="0"/>
                  <w:marBottom w:val="0"/>
                  <w:divBdr>
                    <w:top w:val="none" w:sz="0" w:space="0" w:color="auto"/>
                    <w:left w:val="none" w:sz="0" w:space="0" w:color="auto"/>
                    <w:bottom w:val="none" w:sz="0" w:space="0" w:color="auto"/>
                    <w:right w:val="none" w:sz="0" w:space="0" w:color="auto"/>
                  </w:divBdr>
                </w:div>
                <w:div w:id="14464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015299">
      <w:bodyDiv w:val="1"/>
      <w:marLeft w:val="0"/>
      <w:marRight w:val="0"/>
      <w:marTop w:val="0"/>
      <w:marBottom w:val="0"/>
      <w:divBdr>
        <w:top w:val="none" w:sz="0" w:space="0" w:color="auto"/>
        <w:left w:val="none" w:sz="0" w:space="0" w:color="auto"/>
        <w:bottom w:val="none" w:sz="0" w:space="0" w:color="auto"/>
        <w:right w:val="none" w:sz="0" w:space="0" w:color="auto"/>
      </w:divBdr>
      <w:divsChild>
        <w:div w:id="1961524055">
          <w:marLeft w:val="0"/>
          <w:marRight w:val="0"/>
          <w:marTop w:val="0"/>
          <w:marBottom w:val="0"/>
          <w:divBdr>
            <w:top w:val="none" w:sz="0" w:space="0" w:color="auto"/>
            <w:left w:val="none" w:sz="0" w:space="0" w:color="auto"/>
            <w:bottom w:val="none" w:sz="0" w:space="0" w:color="auto"/>
            <w:right w:val="none" w:sz="0" w:space="0" w:color="auto"/>
          </w:divBdr>
        </w:div>
      </w:divsChild>
    </w:div>
    <w:div w:id="1647859653">
      <w:bodyDiv w:val="1"/>
      <w:marLeft w:val="0"/>
      <w:marRight w:val="0"/>
      <w:marTop w:val="0"/>
      <w:marBottom w:val="0"/>
      <w:divBdr>
        <w:top w:val="none" w:sz="0" w:space="0" w:color="auto"/>
        <w:left w:val="none" w:sz="0" w:space="0" w:color="auto"/>
        <w:bottom w:val="none" w:sz="0" w:space="0" w:color="auto"/>
        <w:right w:val="none" w:sz="0" w:space="0" w:color="auto"/>
      </w:divBdr>
    </w:div>
    <w:div w:id="1656909342">
      <w:bodyDiv w:val="1"/>
      <w:marLeft w:val="0"/>
      <w:marRight w:val="0"/>
      <w:marTop w:val="0"/>
      <w:marBottom w:val="0"/>
      <w:divBdr>
        <w:top w:val="none" w:sz="0" w:space="0" w:color="auto"/>
        <w:left w:val="none" w:sz="0" w:space="0" w:color="auto"/>
        <w:bottom w:val="none" w:sz="0" w:space="0" w:color="auto"/>
        <w:right w:val="none" w:sz="0" w:space="0" w:color="auto"/>
      </w:divBdr>
      <w:divsChild>
        <w:div w:id="1653178119">
          <w:marLeft w:val="0"/>
          <w:marRight w:val="0"/>
          <w:marTop w:val="0"/>
          <w:marBottom w:val="0"/>
          <w:divBdr>
            <w:top w:val="none" w:sz="0" w:space="0" w:color="auto"/>
            <w:left w:val="none" w:sz="0" w:space="0" w:color="auto"/>
            <w:bottom w:val="none" w:sz="0" w:space="0" w:color="auto"/>
            <w:right w:val="none" w:sz="0" w:space="0" w:color="auto"/>
          </w:divBdr>
        </w:div>
      </w:divsChild>
    </w:div>
    <w:div w:id="1660573037">
      <w:bodyDiv w:val="1"/>
      <w:marLeft w:val="0"/>
      <w:marRight w:val="0"/>
      <w:marTop w:val="0"/>
      <w:marBottom w:val="0"/>
      <w:divBdr>
        <w:top w:val="none" w:sz="0" w:space="0" w:color="auto"/>
        <w:left w:val="none" w:sz="0" w:space="0" w:color="auto"/>
        <w:bottom w:val="none" w:sz="0" w:space="0" w:color="auto"/>
        <w:right w:val="none" w:sz="0" w:space="0" w:color="auto"/>
      </w:divBdr>
      <w:divsChild>
        <w:div w:id="608128104">
          <w:marLeft w:val="0"/>
          <w:marRight w:val="0"/>
          <w:marTop w:val="0"/>
          <w:marBottom w:val="0"/>
          <w:divBdr>
            <w:top w:val="none" w:sz="0" w:space="0" w:color="auto"/>
            <w:left w:val="none" w:sz="0" w:space="0" w:color="auto"/>
            <w:bottom w:val="none" w:sz="0" w:space="0" w:color="auto"/>
            <w:right w:val="none" w:sz="0" w:space="0" w:color="auto"/>
          </w:divBdr>
          <w:divsChild>
            <w:div w:id="173158451">
              <w:marLeft w:val="0"/>
              <w:marRight w:val="0"/>
              <w:marTop w:val="0"/>
              <w:marBottom w:val="0"/>
              <w:divBdr>
                <w:top w:val="none" w:sz="0" w:space="0" w:color="auto"/>
                <w:left w:val="none" w:sz="0" w:space="0" w:color="auto"/>
                <w:bottom w:val="none" w:sz="0" w:space="0" w:color="auto"/>
                <w:right w:val="none" w:sz="0" w:space="0" w:color="auto"/>
              </w:divBdr>
              <w:divsChild>
                <w:div w:id="118687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641101">
          <w:marLeft w:val="0"/>
          <w:marRight w:val="0"/>
          <w:marTop w:val="0"/>
          <w:marBottom w:val="0"/>
          <w:divBdr>
            <w:top w:val="none" w:sz="0" w:space="0" w:color="auto"/>
            <w:left w:val="none" w:sz="0" w:space="0" w:color="auto"/>
            <w:bottom w:val="none" w:sz="0" w:space="0" w:color="auto"/>
            <w:right w:val="none" w:sz="0" w:space="0" w:color="auto"/>
          </w:divBdr>
          <w:divsChild>
            <w:div w:id="1672564691">
              <w:marLeft w:val="0"/>
              <w:marRight w:val="0"/>
              <w:marTop w:val="0"/>
              <w:marBottom w:val="0"/>
              <w:divBdr>
                <w:top w:val="none" w:sz="0" w:space="0" w:color="auto"/>
                <w:left w:val="none" w:sz="0" w:space="0" w:color="auto"/>
                <w:bottom w:val="none" w:sz="0" w:space="0" w:color="auto"/>
                <w:right w:val="none" w:sz="0" w:space="0" w:color="auto"/>
              </w:divBdr>
              <w:divsChild>
                <w:div w:id="1111780209">
                  <w:marLeft w:val="0"/>
                  <w:marRight w:val="0"/>
                  <w:marTop w:val="0"/>
                  <w:marBottom w:val="0"/>
                  <w:divBdr>
                    <w:top w:val="none" w:sz="0" w:space="0" w:color="auto"/>
                    <w:left w:val="none" w:sz="0" w:space="0" w:color="auto"/>
                    <w:bottom w:val="none" w:sz="0" w:space="0" w:color="auto"/>
                    <w:right w:val="none" w:sz="0" w:space="0" w:color="auto"/>
                  </w:divBdr>
                </w:div>
                <w:div w:id="207508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15452">
      <w:bodyDiv w:val="1"/>
      <w:marLeft w:val="0"/>
      <w:marRight w:val="0"/>
      <w:marTop w:val="0"/>
      <w:marBottom w:val="0"/>
      <w:divBdr>
        <w:top w:val="none" w:sz="0" w:space="0" w:color="auto"/>
        <w:left w:val="none" w:sz="0" w:space="0" w:color="auto"/>
        <w:bottom w:val="none" w:sz="0" w:space="0" w:color="auto"/>
        <w:right w:val="none" w:sz="0" w:space="0" w:color="auto"/>
      </w:divBdr>
      <w:divsChild>
        <w:div w:id="213734346">
          <w:marLeft w:val="0"/>
          <w:marRight w:val="0"/>
          <w:marTop w:val="0"/>
          <w:marBottom w:val="0"/>
          <w:divBdr>
            <w:top w:val="none" w:sz="0" w:space="0" w:color="auto"/>
            <w:left w:val="none" w:sz="0" w:space="0" w:color="auto"/>
            <w:bottom w:val="none" w:sz="0" w:space="0" w:color="auto"/>
            <w:right w:val="none" w:sz="0" w:space="0" w:color="auto"/>
          </w:divBdr>
        </w:div>
        <w:div w:id="751122141">
          <w:marLeft w:val="0"/>
          <w:marRight w:val="0"/>
          <w:marTop w:val="0"/>
          <w:marBottom w:val="0"/>
          <w:divBdr>
            <w:top w:val="none" w:sz="0" w:space="0" w:color="auto"/>
            <w:left w:val="none" w:sz="0" w:space="0" w:color="auto"/>
            <w:bottom w:val="none" w:sz="0" w:space="0" w:color="auto"/>
            <w:right w:val="none" w:sz="0" w:space="0" w:color="auto"/>
          </w:divBdr>
          <w:divsChild>
            <w:div w:id="202256845">
              <w:marLeft w:val="0"/>
              <w:marRight w:val="0"/>
              <w:marTop w:val="0"/>
              <w:marBottom w:val="0"/>
              <w:divBdr>
                <w:top w:val="none" w:sz="0" w:space="0" w:color="auto"/>
                <w:left w:val="none" w:sz="0" w:space="0" w:color="auto"/>
                <w:bottom w:val="none" w:sz="0" w:space="0" w:color="auto"/>
                <w:right w:val="none" w:sz="0" w:space="0" w:color="auto"/>
              </w:divBdr>
              <w:divsChild>
                <w:div w:id="175921190">
                  <w:marLeft w:val="0"/>
                  <w:marRight w:val="0"/>
                  <w:marTop w:val="0"/>
                  <w:marBottom w:val="0"/>
                  <w:divBdr>
                    <w:top w:val="none" w:sz="0" w:space="0" w:color="auto"/>
                    <w:left w:val="none" w:sz="0" w:space="0" w:color="auto"/>
                    <w:bottom w:val="none" w:sz="0" w:space="0" w:color="auto"/>
                    <w:right w:val="none" w:sz="0" w:space="0" w:color="auto"/>
                  </w:divBdr>
                </w:div>
                <w:div w:id="970672522">
                  <w:marLeft w:val="0"/>
                  <w:marRight w:val="0"/>
                  <w:marTop w:val="0"/>
                  <w:marBottom w:val="0"/>
                  <w:divBdr>
                    <w:top w:val="none" w:sz="0" w:space="0" w:color="auto"/>
                    <w:left w:val="none" w:sz="0" w:space="0" w:color="auto"/>
                    <w:bottom w:val="none" w:sz="0" w:space="0" w:color="auto"/>
                    <w:right w:val="none" w:sz="0" w:space="0" w:color="auto"/>
                  </w:divBdr>
                </w:div>
                <w:div w:id="1533150610">
                  <w:marLeft w:val="0"/>
                  <w:marRight w:val="0"/>
                  <w:marTop w:val="0"/>
                  <w:marBottom w:val="0"/>
                  <w:divBdr>
                    <w:top w:val="none" w:sz="0" w:space="0" w:color="auto"/>
                    <w:left w:val="none" w:sz="0" w:space="0" w:color="auto"/>
                    <w:bottom w:val="none" w:sz="0" w:space="0" w:color="auto"/>
                    <w:right w:val="none" w:sz="0" w:space="0" w:color="auto"/>
                  </w:divBdr>
                </w:div>
                <w:div w:id="1203397676">
                  <w:marLeft w:val="0"/>
                  <w:marRight w:val="0"/>
                  <w:marTop w:val="0"/>
                  <w:marBottom w:val="0"/>
                  <w:divBdr>
                    <w:top w:val="none" w:sz="0" w:space="0" w:color="auto"/>
                    <w:left w:val="none" w:sz="0" w:space="0" w:color="auto"/>
                    <w:bottom w:val="none" w:sz="0" w:space="0" w:color="auto"/>
                    <w:right w:val="none" w:sz="0" w:space="0" w:color="auto"/>
                  </w:divBdr>
                  <w:divsChild>
                    <w:div w:id="89031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400272">
      <w:bodyDiv w:val="1"/>
      <w:marLeft w:val="0"/>
      <w:marRight w:val="0"/>
      <w:marTop w:val="0"/>
      <w:marBottom w:val="0"/>
      <w:divBdr>
        <w:top w:val="none" w:sz="0" w:space="0" w:color="auto"/>
        <w:left w:val="none" w:sz="0" w:space="0" w:color="auto"/>
        <w:bottom w:val="none" w:sz="0" w:space="0" w:color="auto"/>
        <w:right w:val="none" w:sz="0" w:space="0" w:color="auto"/>
      </w:divBdr>
      <w:divsChild>
        <w:div w:id="137501026">
          <w:marLeft w:val="0"/>
          <w:marRight w:val="0"/>
          <w:marTop w:val="0"/>
          <w:marBottom w:val="0"/>
          <w:divBdr>
            <w:top w:val="none" w:sz="0" w:space="0" w:color="auto"/>
            <w:left w:val="none" w:sz="0" w:space="0" w:color="auto"/>
            <w:bottom w:val="none" w:sz="0" w:space="0" w:color="auto"/>
            <w:right w:val="none" w:sz="0" w:space="0" w:color="auto"/>
          </w:divBdr>
        </w:div>
      </w:divsChild>
    </w:div>
    <w:div w:id="1674844004">
      <w:bodyDiv w:val="1"/>
      <w:marLeft w:val="0"/>
      <w:marRight w:val="0"/>
      <w:marTop w:val="0"/>
      <w:marBottom w:val="0"/>
      <w:divBdr>
        <w:top w:val="none" w:sz="0" w:space="0" w:color="auto"/>
        <w:left w:val="none" w:sz="0" w:space="0" w:color="auto"/>
        <w:bottom w:val="none" w:sz="0" w:space="0" w:color="auto"/>
        <w:right w:val="none" w:sz="0" w:space="0" w:color="auto"/>
      </w:divBdr>
      <w:divsChild>
        <w:div w:id="873810911">
          <w:marLeft w:val="0"/>
          <w:marRight w:val="0"/>
          <w:marTop w:val="0"/>
          <w:marBottom w:val="0"/>
          <w:divBdr>
            <w:top w:val="none" w:sz="0" w:space="0" w:color="auto"/>
            <w:left w:val="none" w:sz="0" w:space="0" w:color="auto"/>
            <w:bottom w:val="none" w:sz="0" w:space="0" w:color="auto"/>
            <w:right w:val="none" w:sz="0" w:space="0" w:color="auto"/>
          </w:divBdr>
          <w:divsChild>
            <w:div w:id="510029159">
              <w:marLeft w:val="0"/>
              <w:marRight w:val="0"/>
              <w:marTop w:val="0"/>
              <w:marBottom w:val="0"/>
              <w:divBdr>
                <w:top w:val="none" w:sz="0" w:space="0" w:color="auto"/>
                <w:left w:val="none" w:sz="0" w:space="0" w:color="auto"/>
                <w:bottom w:val="none" w:sz="0" w:space="0" w:color="auto"/>
                <w:right w:val="none" w:sz="0" w:space="0" w:color="auto"/>
              </w:divBdr>
              <w:divsChild>
                <w:div w:id="35928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95539">
          <w:marLeft w:val="0"/>
          <w:marRight w:val="0"/>
          <w:marTop w:val="0"/>
          <w:marBottom w:val="0"/>
          <w:divBdr>
            <w:top w:val="none" w:sz="0" w:space="0" w:color="auto"/>
            <w:left w:val="none" w:sz="0" w:space="0" w:color="auto"/>
            <w:bottom w:val="none" w:sz="0" w:space="0" w:color="auto"/>
            <w:right w:val="none" w:sz="0" w:space="0" w:color="auto"/>
          </w:divBdr>
          <w:divsChild>
            <w:div w:id="1396319357">
              <w:marLeft w:val="0"/>
              <w:marRight w:val="0"/>
              <w:marTop w:val="0"/>
              <w:marBottom w:val="0"/>
              <w:divBdr>
                <w:top w:val="none" w:sz="0" w:space="0" w:color="auto"/>
                <w:left w:val="none" w:sz="0" w:space="0" w:color="auto"/>
                <w:bottom w:val="none" w:sz="0" w:space="0" w:color="auto"/>
                <w:right w:val="none" w:sz="0" w:space="0" w:color="auto"/>
              </w:divBdr>
              <w:divsChild>
                <w:div w:id="1201472412">
                  <w:marLeft w:val="0"/>
                  <w:marRight w:val="0"/>
                  <w:marTop w:val="0"/>
                  <w:marBottom w:val="0"/>
                  <w:divBdr>
                    <w:top w:val="none" w:sz="0" w:space="0" w:color="auto"/>
                    <w:left w:val="none" w:sz="0" w:space="0" w:color="auto"/>
                    <w:bottom w:val="none" w:sz="0" w:space="0" w:color="auto"/>
                    <w:right w:val="none" w:sz="0" w:space="0" w:color="auto"/>
                  </w:divBdr>
                </w:div>
                <w:div w:id="191424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49599">
      <w:bodyDiv w:val="1"/>
      <w:marLeft w:val="0"/>
      <w:marRight w:val="0"/>
      <w:marTop w:val="0"/>
      <w:marBottom w:val="0"/>
      <w:divBdr>
        <w:top w:val="none" w:sz="0" w:space="0" w:color="auto"/>
        <w:left w:val="none" w:sz="0" w:space="0" w:color="auto"/>
        <w:bottom w:val="none" w:sz="0" w:space="0" w:color="auto"/>
        <w:right w:val="none" w:sz="0" w:space="0" w:color="auto"/>
      </w:divBdr>
      <w:divsChild>
        <w:div w:id="1081103998">
          <w:marLeft w:val="0"/>
          <w:marRight w:val="0"/>
          <w:marTop w:val="0"/>
          <w:marBottom w:val="0"/>
          <w:divBdr>
            <w:top w:val="none" w:sz="0" w:space="0" w:color="auto"/>
            <w:left w:val="none" w:sz="0" w:space="0" w:color="auto"/>
            <w:bottom w:val="none" w:sz="0" w:space="0" w:color="auto"/>
            <w:right w:val="none" w:sz="0" w:space="0" w:color="auto"/>
          </w:divBdr>
        </w:div>
        <w:div w:id="1251617467">
          <w:marLeft w:val="0"/>
          <w:marRight w:val="0"/>
          <w:marTop w:val="0"/>
          <w:marBottom w:val="0"/>
          <w:divBdr>
            <w:top w:val="none" w:sz="0" w:space="0" w:color="auto"/>
            <w:left w:val="none" w:sz="0" w:space="0" w:color="auto"/>
            <w:bottom w:val="none" w:sz="0" w:space="0" w:color="auto"/>
            <w:right w:val="none" w:sz="0" w:space="0" w:color="auto"/>
          </w:divBdr>
        </w:div>
        <w:div w:id="1213268588">
          <w:marLeft w:val="0"/>
          <w:marRight w:val="0"/>
          <w:marTop w:val="0"/>
          <w:marBottom w:val="0"/>
          <w:divBdr>
            <w:top w:val="none" w:sz="0" w:space="0" w:color="auto"/>
            <w:left w:val="none" w:sz="0" w:space="0" w:color="auto"/>
            <w:bottom w:val="none" w:sz="0" w:space="0" w:color="auto"/>
            <w:right w:val="none" w:sz="0" w:space="0" w:color="auto"/>
          </w:divBdr>
          <w:divsChild>
            <w:div w:id="16026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372100">
      <w:bodyDiv w:val="1"/>
      <w:marLeft w:val="0"/>
      <w:marRight w:val="0"/>
      <w:marTop w:val="0"/>
      <w:marBottom w:val="0"/>
      <w:divBdr>
        <w:top w:val="none" w:sz="0" w:space="0" w:color="auto"/>
        <w:left w:val="none" w:sz="0" w:space="0" w:color="auto"/>
        <w:bottom w:val="none" w:sz="0" w:space="0" w:color="auto"/>
        <w:right w:val="none" w:sz="0" w:space="0" w:color="auto"/>
      </w:divBdr>
      <w:divsChild>
        <w:div w:id="1534732080">
          <w:marLeft w:val="0"/>
          <w:marRight w:val="0"/>
          <w:marTop w:val="0"/>
          <w:marBottom w:val="0"/>
          <w:divBdr>
            <w:top w:val="none" w:sz="0" w:space="0" w:color="auto"/>
            <w:left w:val="none" w:sz="0" w:space="0" w:color="auto"/>
            <w:bottom w:val="none" w:sz="0" w:space="0" w:color="auto"/>
            <w:right w:val="none" w:sz="0" w:space="0" w:color="auto"/>
          </w:divBdr>
        </w:div>
      </w:divsChild>
    </w:div>
    <w:div w:id="1684164462">
      <w:bodyDiv w:val="1"/>
      <w:marLeft w:val="0"/>
      <w:marRight w:val="0"/>
      <w:marTop w:val="0"/>
      <w:marBottom w:val="0"/>
      <w:divBdr>
        <w:top w:val="none" w:sz="0" w:space="0" w:color="auto"/>
        <w:left w:val="none" w:sz="0" w:space="0" w:color="auto"/>
        <w:bottom w:val="none" w:sz="0" w:space="0" w:color="auto"/>
        <w:right w:val="none" w:sz="0" w:space="0" w:color="auto"/>
      </w:divBdr>
      <w:divsChild>
        <w:div w:id="206185774">
          <w:marLeft w:val="0"/>
          <w:marRight w:val="0"/>
          <w:marTop w:val="0"/>
          <w:marBottom w:val="0"/>
          <w:divBdr>
            <w:top w:val="none" w:sz="0" w:space="0" w:color="auto"/>
            <w:left w:val="none" w:sz="0" w:space="0" w:color="auto"/>
            <w:bottom w:val="none" w:sz="0" w:space="0" w:color="auto"/>
            <w:right w:val="none" w:sz="0" w:space="0" w:color="auto"/>
          </w:divBdr>
        </w:div>
      </w:divsChild>
    </w:div>
    <w:div w:id="1716664069">
      <w:bodyDiv w:val="1"/>
      <w:marLeft w:val="0"/>
      <w:marRight w:val="0"/>
      <w:marTop w:val="0"/>
      <w:marBottom w:val="0"/>
      <w:divBdr>
        <w:top w:val="none" w:sz="0" w:space="0" w:color="auto"/>
        <w:left w:val="none" w:sz="0" w:space="0" w:color="auto"/>
        <w:bottom w:val="none" w:sz="0" w:space="0" w:color="auto"/>
        <w:right w:val="none" w:sz="0" w:space="0" w:color="auto"/>
      </w:divBdr>
      <w:divsChild>
        <w:div w:id="101997290">
          <w:marLeft w:val="0"/>
          <w:marRight w:val="0"/>
          <w:marTop w:val="0"/>
          <w:marBottom w:val="0"/>
          <w:divBdr>
            <w:top w:val="none" w:sz="0" w:space="0" w:color="auto"/>
            <w:left w:val="none" w:sz="0" w:space="0" w:color="auto"/>
            <w:bottom w:val="none" w:sz="0" w:space="0" w:color="auto"/>
            <w:right w:val="none" w:sz="0" w:space="0" w:color="auto"/>
          </w:divBdr>
          <w:divsChild>
            <w:div w:id="2088991970">
              <w:marLeft w:val="0"/>
              <w:marRight w:val="0"/>
              <w:marTop w:val="0"/>
              <w:marBottom w:val="0"/>
              <w:divBdr>
                <w:top w:val="none" w:sz="0" w:space="0" w:color="auto"/>
                <w:left w:val="none" w:sz="0" w:space="0" w:color="auto"/>
                <w:bottom w:val="none" w:sz="0" w:space="0" w:color="auto"/>
                <w:right w:val="none" w:sz="0" w:space="0" w:color="auto"/>
              </w:divBdr>
              <w:divsChild>
                <w:div w:id="110174844">
                  <w:marLeft w:val="0"/>
                  <w:marRight w:val="0"/>
                  <w:marTop w:val="0"/>
                  <w:marBottom w:val="0"/>
                  <w:divBdr>
                    <w:top w:val="none" w:sz="0" w:space="0" w:color="auto"/>
                    <w:left w:val="none" w:sz="0" w:space="0" w:color="auto"/>
                    <w:bottom w:val="none" w:sz="0" w:space="0" w:color="auto"/>
                    <w:right w:val="none" w:sz="0" w:space="0" w:color="auto"/>
                  </w:divBdr>
                  <w:divsChild>
                    <w:div w:id="1863199303">
                      <w:marLeft w:val="0"/>
                      <w:marRight w:val="0"/>
                      <w:marTop w:val="0"/>
                      <w:marBottom w:val="0"/>
                      <w:divBdr>
                        <w:top w:val="none" w:sz="0" w:space="0" w:color="auto"/>
                        <w:left w:val="none" w:sz="0" w:space="0" w:color="auto"/>
                        <w:bottom w:val="none" w:sz="0" w:space="0" w:color="auto"/>
                        <w:right w:val="none" w:sz="0" w:space="0" w:color="auto"/>
                      </w:divBdr>
                      <w:divsChild>
                        <w:div w:id="1377120179">
                          <w:marLeft w:val="0"/>
                          <w:marRight w:val="0"/>
                          <w:marTop w:val="0"/>
                          <w:marBottom w:val="210"/>
                          <w:divBdr>
                            <w:top w:val="none" w:sz="0" w:space="0" w:color="auto"/>
                            <w:left w:val="none" w:sz="0" w:space="0" w:color="auto"/>
                            <w:bottom w:val="none" w:sz="0" w:space="0" w:color="auto"/>
                            <w:right w:val="none" w:sz="0" w:space="0" w:color="auto"/>
                          </w:divBdr>
                          <w:divsChild>
                            <w:div w:id="1359233007">
                              <w:marLeft w:val="75"/>
                              <w:marRight w:val="75"/>
                              <w:marTop w:val="0"/>
                              <w:marBottom w:val="0"/>
                              <w:divBdr>
                                <w:top w:val="none" w:sz="0" w:space="0" w:color="auto"/>
                                <w:left w:val="none" w:sz="0" w:space="0" w:color="auto"/>
                                <w:bottom w:val="none" w:sz="0" w:space="0" w:color="auto"/>
                                <w:right w:val="none" w:sz="0" w:space="0" w:color="auto"/>
                              </w:divBdr>
                              <w:divsChild>
                                <w:div w:id="243296842">
                                  <w:marLeft w:val="0"/>
                                  <w:marRight w:val="0"/>
                                  <w:marTop w:val="0"/>
                                  <w:marBottom w:val="0"/>
                                  <w:divBdr>
                                    <w:top w:val="none" w:sz="0" w:space="0" w:color="auto"/>
                                    <w:left w:val="none" w:sz="0" w:space="0" w:color="auto"/>
                                    <w:bottom w:val="none" w:sz="0" w:space="0" w:color="auto"/>
                                    <w:right w:val="none" w:sz="0" w:space="0" w:color="auto"/>
                                  </w:divBdr>
                                  <w:divsChild>
                                    <w:div w:id="1018118929">
                                      <w:marLeft w:val="0"/>
                                      <w:marRight w:val="0"/>
                                      <w:marTop w:val="0"/>
                                      <w:marBottom w:val="0"/>
                                      <w:divBdr>
                                        <w:top w:val="none" w:sz="0" w:space="0" w:color="auto"/>
                                        <w:left w:val="none" w:sz="0" w:space="0" w:color="auto"/>
                                        <w:bottom w:val="none" w:sz="0" w:space="0" w:color="auto"/>
                                        <w:right w:val="none" w:sz="0" w:space="0" w:color="auto"/>
                                      </w:divBdr>
                                      <w:divsChild>
                                        <w:div w:id="440686169">
                                          <w:marLeft w:val="0"/>
                                          <w:marRight w:val="0"/>
                                          <w:marTop w:val="0"/>
                                          <w:marBottom w:val="0"/>
                                          <w:divBdr>
                                            <w:top w:val="none" w:sz="0" w:space="0" w:color="auto"/>
                                            <w:left w:val="none" w:sz="0" w:space="0" w:color="auto"/>
                                            <w:bottom w:val="none" w:sz="0" w:space="0" w:color="auto"/>
                                            <w:right w:val="none" w:sz="0" w:space="0" w:color="auto"/>
                                          </w:divBdr>
                                          <w:divsChild>
                                            <w:div w:id="1639727750">
                                              <w:marLeft w:val="0"/>
                                              <w:marRight w:val="0"/>
                                              <w:marTop w:val="0"/>
                                              <w:marBottom w:val="0"/>
                                              <w:divBdr>
                                                <w:top w:val="none" w:sz="0" w:space="0" w:color="auto"/>
                                                <w:left w:val="none" w:sz="0" w:space="0" w:color="auto"/>
                                                <w:bottom w:val="none" w:sz="0" w:space="0" w:color="auto"/>
                                                <w:right w:val="none" w:sz="0" w:space="0" w:color="auto"/>
                                              </w:divBdr>
                                              <w:divsChild>
                                                <w:div w:id="1644117629">
                                                  <w:marLeft w:val="0"/>
                                                  <w:marRight w:val="0"/>
                                                  <w:marTop w:val="0"/>
                                                  <w:marBottom w:val="0"/>
                                                  <w:divBdr>
                                                    <w:top w:val="none" w:sz="0" w:space="0" w:color="auto"/>
                                                    <w:left w:val="none" w:sz="0" w:space="0" w:color="auto"/>
                                                    <w:bottom w:val="none" w:sz="0" w:space="0" w:color="auto"/>
                                                    <w:right w:val="none" w:sz="0" w:space="0" w:color="auto"/>
                                                  </w:divBdr>
                                                  <w:divsChild>
                                                    <w:div w:id="1590458659">
                                                      <w:marLeft w:val="0"/>
                                                      <w:marRight w:val="0"/>
                                                      <w:marTop w:val="0"/>
                                                      <w:marBottom w:val="0"/>
                                                      <w:divBdr>
                                                        <w:top w:val="none" w:sz="0" w:space="0" w:color="auto"/>
                                                        <w:left w:val="none" w:sz="0" w:space="0" w:color="auto"/>
                                                        <w:bottom w:val="none" w:sz="0" w:space="0" w:color="auto"/>
                                                        <w:right w:val="none" w:sz="0" w:space="0" w:color="auto"/>
                                                      </w:divBdr>
                                                      <w:divsChild>
                                                        <w:div w:id="1876040585">
                                                          <w:marLeft w:val="0"/>
                                                          <w:marRight w:val="0"/>
                                                          <w:marTop w:val="0"/>
                                                          <w:marBottom w:val="0"/>
                                                          <w:divBdr>
                                                            <w:top w:val="none" w:sz="0" w:space="0" w:color="auto"/>
                                                            <w:left w:val="none" w:sz="0" w:space="0" w:color="auto"/>
                                                            <w:bottom w:val="none" w:sz="0" w:space="0" w:color="auto"/>
                                                            <w:right w:val="none" w:sz="0" w:space="0" w:color="auto"/>
                                                          </w:divBdr>
                                                          <w:divsChild>
                                                            <w:div w:id="869226028">
                                                              <w:marLeft w:val="0"/>
                                                              <w:marRight w:val="0"/>
                                                              <w:marTop w:val="0"/>
                                                              <w:marBottom w:val="0"/>
                                                              <w:divBdr>
                                                                <w:top w:val="none" w:sz="0" w:space="0" w:color="auto"/>
                                                                <w:left w:val="none" w:sz="0" w:space="0" w:color="auto"/>
                                                                <w:bottom w:val="none" w:sz="0" w:space="0" w:color="auto"/>
                                                                <w:right w:val="none" w:sz="0" w:space="0" w:color="auto"/>
                                                              </w:divBdr>
                                                              <w:divsChild>
                                                                <w:div w:id="707141328">
                                                                  <w:marLeft w:val="0"/>
                                                                  <w:marRight w:val="0"/>
                                                                  <w:marTop w:val="0"/>
                                                                  <w:marBottom w:val="0"/>
                                                                  <w:divBdr>
                                                                    <w:top w:val="none" w:sz="0" w:space="0" w:color="auto"/>
                                                                    <w:left w:val="none" w:sz="0" w:space="0" w:color="auto"/>
                                                                    <w:bottom w:val="none" w:sz="0" w:space="0" w:color="auto"/>
                                                                    <w:right w:val="none" w:sz="0" w:space="0" w:color="auto"/>
                                                                  </w:divBdr>
                                                                  <w:divsChild>
                                                                    <w:div w:id="753822035">
                                                                      <w:marLeft w:val="0"/>
                                                                      <w:marRight w:val="0"/>
                                                                      <w:marTop w:val="0"/>
                                                                      <w:marBottom w:val="0"/>
                                                                      <w:divBdr>
                                                                        <w:top w:val="none" w:sz="0" w:space="0" w:color="auto"/>
                                                                        <w:left w:val="none" w:sz="0" w:space="0" w:color="auto"/>
                                                                        <w:bottom w:val="none" w:sz="0" w:space="0" w:color="auto"/>
                                                                        <w:right w:val="none" w:sz="0" w:space="0" w:color="auto"/>
                                                                      </w:divBdr>
                                                                      <w:divsChild>
                                                                        <w:div w:id="744837080">
                                                                          <w:marLeft w:val="0"/>
                                                                          <w:marRight w:val="0"/>
                                                                          <w:marTop w:val="0"/>
                                                                          <w:marBottom w:val="0"/>
                                                                          <w:divBdr>
                                                                            <w:top w:val="none" w:sz="0" w:space="0" w:color="auto"/>
                                                                            <w:left w:val="none" w:sz="0" w:space="0" w:color="auto"/>
                                                                            <w:bottom w:val="none" w:sz="0" w:space="0" w:color="auto"/>
                                                                            <w:right w:val="none" w:sz="0" w:space="0" w:color="auto"/>
                                                                          </w:divBdr>
                                                                          <w:divsChild>
                                                                            <w:div w:id="163899678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9813532">
      <w:bodyDiv w:val="1"/>
      <w:marLeft w:val="0"/>
      <w:marRight w:val="0"/>
      <w:marTop w:val="0"/>
      <w:marBottom w:val="0"/>
      <w:divBdr>
        <w:top w:val="none" w:sz="0" w:space="0" w:color="auto"/>
        <w:left w:val="none" w:sz="0" w:space="0" w:color="auto"/>
        <w:bottom w:val="none" w:sz="0" w:space="0" w:color="auto"/>
        <w:right w:val="none" w:sz="0" w:space="0" w:color="auto"/>
      </w:divBdr>
    </w:div>
    <w:div w:id="1720782113">
      <w:bodyDiv w:val="1"/>
      <w:marLeft w:val="0"/>
      <w:marRight w:val="0"/>
      <w:marTop w:val="0"/>
      <w:marBottom w:val="0"/>
      <w:divBdr>
        <w:top w:val="none" w:sz="0" w:space="0" w:color="auto"/>
        <w:left w:val="none" w:sz="0" w:space="0" w:color="auto"/>
        <w:bottom w:val="none" w:sz="0" w:space="0" w:color="auto"/>
        <w:right w:val="none" w:sz="0" w:space="0" w:color="auto"/>
      </w:divBdr>
      <w:divsChild>
        <w:div w:id="755901455">
          <w:marLeft w:val="0"/>
          <w:marRight w:val="0"/>
          <w:marTop w:val="0"/>
          <w:marBottom w:val="0"/>
          <w:divBdr>
            <w:top w:val="none" w:sz="0" w:space="0" w:color="auto"/>
            <w:left w:val="none" w:sz="0" w:space="0" w:color="auto"/>
            <w:bottom w:val="none" w:sz="0" w:space="0" w:color="auto"/>
            <w:right w:val="none" w:sz="0" w:space="0" w:color="auto"/>
          </w:divBdr>
        </w:div>
      </w:divsChild>
    </w:div>
    <w:div w:id="1723794547">
      <w:bodyDiv w:val="1"/>
      <w:marLeft w:val="0"/>
      <w:marRight w:val="0"/>
      <w:marTop w:val="0"/>
      <w:marBottom w:val="0"/>
      <w:divBdr>
        <w:top w:val="none" w:sz="0" w:space="0" w:color="auto"/>
        <w:left w:val="none" w:sz="0" w:space="0" w:color="auto"/>
        <w:bottom w:val="none" w:sz="0" w:space="0" w:color="auto"/>
        <w:right w:val="none" w:sz="0" w:space="0" w:color="auto"/>
      </w:divBdr>
      <w:divsChild>
        <w:div w:id="1440947144">
          <w:marLeft w:val="0"/>
          <w:marRight w:val="0"/>
          <w:marTop w:val="0"/>
          <w:marBottom w:val="0"/>
          <w:divBdr>
            <w:top w:val="none" w:sz="0" w:space="0" w:color="auto"/>
            <w:left w:val="none" w:sz="0" w:space="0" w:color="auto"/>
            <w:bottom w:val="none" w:sz="0" w:space="0" w:color="auto"/>
            <w:right w:val="none" w:sz="0" w:space="0" w:color="auto"/>
          </w:divBdr>
        </w:div>
        <w:div w:id="1604923852">
          <w:marLeft w:val="0"/>
          <w:marRight w:val="0"/>
          <w:marTop w:val="0"/>
          <w:marBottom w:val="0"/>
          <w:divBdr>
            <w:top w:val="none" w:sz="0" w:space="0" w:color="auto"/>
            <w:left w:val="none" w:sz="0" w:space="0" w:color="auto"/>
            <w:bottom w:val="none" w:sz="0" w:space="0" w:color="auto"/>
            <w:right w:val="none" w:sz="0" w:space="0" w:color="auto"/>
          </w:divBdr>
        </w:div>
      </w:divsChild>
    </w:div>
    <w:div w:id="1736394057">
      <w:bodyDiv w:val="1"/>
      <w:marLeft w:val="0"/>
      <w:marRight w:val="0"/>
      <w:marTop w:val="0"/>
      <w:marBottom w:val="0"/>
      <w:divBdr>
        <w:top w:val="none" w:sz="0" w:space="0" w:color="auto"/>
        <w:left w:val="none" w:sz="0" w:space="0" w:color="auto"/>
        <w:bottom w:val="none" w:sz="0" w:space="0" w:color="auto"/>
        <w:right w:val="none" w:sz="0" w:space="0" w:color="auto"/>
      </w:divBdr>
      <w:divsChild>
        <w:div w:id="2093351819">
          <w:marLeft w:val="0"/>
          <w:marRight w:val="0"/>
          <w:marTop w:val="0"/>
          <w:marBottom w:val="0"/>
          <w:divBdr>
            <w:top w:val="none" w:sz="0" w:space="0" w:color="auto"/>
            <w:left w:val="none" w:sz="0" w:space="0" w:color="auto"/>
            <w:bottom w:val="none" w:sz="0" w:space="0" w:color="auto"/>
            <w:right w:val="none" w:sz="0" w:space="0" w:color="auto"/>
          </w:divBdr>
        </w:div>
      </w:divsChild>
    </w:div>
    <w:div w:id="1739207190">
      <w:bodyDiv w:val="1"/>
      <w:marLeft w:val="0"/>
      <w:marRight w:val="0"/>
      <w:marTop w:val="0"/>
      <w:marBottom w:val="0"/>
      <w:divBdr>
        <w:top w:val="none" w:sz="0" w:space="0" w:color="auto"/>
        <w:left w:val="none" w:sz="0" w:space="0" w:color="auto"/>
        <w:bottom w:val="none" w:sz="0" w:space="0" w:color="auto"/>
        <w:right w:val="none" w:sz="0" w:space="0" w:color="auto"/>
      </w:divBdr>
    </w:div>
    <w:div w:id="1741904152">
      <w:bodyDiv w:val="1"/>
      <w:marLeft w:val="0"/>
      <w:marRight w:val="0"/>
      <w:marTop w:val="0"/>
      <w:marBottom w:val="0"/>
      <w:divBdr>
        <w:top w:val="none" w:sz="0" w:space="0" w:color="auto"/>
        <w:left w:val="none" w:sz="0" w:space="0" w:color="auto"/>
        <w:bottom w:val="none" w:sz="0" w:space="0" w:color="auto"/>
        <w:right w:val="none" w:sz="0" w:space="0" w:color="auto"/>
      </w:divBdr>
      <w:divsChild>
        <w:div w:id="1898278926">
          <w:marLeft w:val="0"/>
          <w:marRight w:val="0"/>
          <w:marTop w:val="0"/>
          <w:marBottom w:val="0"/>
          <w:divBdr>
            <w:top w:val="none" w:sz="0" w:space="0" w:color="auto"/>
            <w:left w:val="none" w:sz="0" w:space="0" w:color="auto"/>
            <w:bottom w:val="none" w:sz="0" w:space="0" w:color="auto"/>
            <w:right w:val="none" w:sz="0" w:space="0" w:color="auto"/>
          </w:divBdr>
        </w:div>
      </w:divsChild>
    </w:div>
    <w:div w:id="1750039420">
      <w:bodyDiv w:val="1"/>
      <w:marLeft w:val="0"/>
      <w:marRight w:val="0"/>
      <w:marTop w:val="0"/>
      <w:marBottom w:val="0"/>
      <w:divBdr>
        <w:top w:val="none" w:sz="0" w:space="0" w:color="auto"/>
        <w:left w:val="none" w:sz="0" w:space="0" w:color="auto"/>
        <w:bottom w:val="none" w:sz="0" w:space="0" w:color="auto"/>
        <w:right w:val="none" w:sz="0" w:space="0" w:color="auto"/>
      </w:divBdr>
      <w:divsChild>
        <w:div w:id="423234583">
          <w:marLeft w:val="0"/>
          <w:marRight w:val="0"/>
          <w:marTop w:val="0"/>
          <w:marBottom w:val="0"/>
          <w:divBdr>
            <w:top w:val="none" w:sz="0" w:space="0" w:color="auto"/>
            <w:left w:val="none" w:sz="0" w:space="0" w:color="auto"/>
            <w:bottom w:val="none" w:sz="0" w:space="0" w:color="auto"/>
            <w:right w:val="none" w:sz="0" w:space="0" w:color="auto"/>
          </w:divBdr>
        </w:div>
      </w:divsChild>
    </w:div>
    <w:div w:id="1758553478">
      <w:bodyDiv w:val="1"/>
      <w:marLeft w:val="0"/>
      <w:marRight w:val="0"/>
      <w:marTop w:val="0"/>
      <w:marBottom w:val="0"/>
      <w:divBdr>
        <w:top w:val="none" w:sz="0" w:space="0" w:color="auto"/>
        <w:left w:val="none" w:sz="0" w:space="0" w:color="auto"/>
        <w:bottom w:val="none" w:sz="0" w:space="0" w:color="auto"/>
        <w:right w:val="none" w:sz="0" w:space="0" w:color="auto"/>
      </w:divBdr>
      <w:divsChild>
        <w:div w:id="1365596098">
          <w:marLeft w:val="0"/>
          <w:marRight w:val="0"/>
          <w:marTop w:val="0"/>
          <w:marBottom w:val="0"/>
          <w:divBdr>
            <w:top w:val="none" w:sz="0" w:space="0" w:color="auto"/>
            <w:left w:val="none" w:sz="0" w:space="0" w:color="auto"/>
            <w:bottom w:val="none" w:sz="0" w:space="0" w:color="auto"/>
            <w:right w:val="none" w:sz="0" w:space="0" w:color="auto"/>
          </w:divBdr>
        </w:div>
        <w:div w:id="1016542261">
          <w:marLeft w:val="0"/>
          <w:marRight w:val="0"/>
          <w:marTop w:val="0"/>
          <w:marBottom w:val="0"/>
          <w:divBdr>
            <w:top w:val="none" w:sz="0" w:space="0" w:color="auto"/>
            <w:left w:val="none" w:sz="0" w:space="0" w:color="auto"/>
            <w:bottom w:val="none" w:sz="0" w:space="0" w:color="auto"/>
            <w:right w:val="none" w:sz="0" w:space="0" w:color="auto"/>
          </w:divBdr>
        </w:div>
        <w:div w:id="1730573988">
          <w:marLeft w:val="0"/>
          <w:marRight w:val="0"/>
          <w:marTop w:val="0"/>
          <w:marBottom w:val="0"/>
          <w:divBdr>
            <w:top w:val="none" w:sz="0" w:space="0" w:color="auto"/>
            <w:left w:val="none" w:sz="0" w:space="0" w:color="auto"/>
            <w:bottom w:val="none" w:sz="0" w:space="0" w:color="auto"/>
            <w:right w:val="none" w:sz="0" w:space="0" w:color="auto"/>
          </w:divBdr>
        </w:div>
        <w:div w:id="783766356">
          <w:marLeft w:val="0"/>
          <w:marRight w:val="0"/>
          <w:marTop w:val="0"/>
          <w:marBottom w:val="0"/>
          <w:divBdr>
            <w:top w:val="none" w:sz="0" w:space="0" w:color="auto"/>
            <w:left w:val="none" w:sz="0" w:space="0" w:color="auto"/>
            <w:bottom w:val="none" w:sz="0" w:space="0" w:color="auto"/>
            <w:right w:val="none" w:sz="0" w:space="0" w:color="auto"/>
          </w:divBdr>
        </w:div>
        <w:div w:id="363481949">
          <w:marLeft w:val="0"/>
          <w:marRight w:val="0"/>
          <w:marTop w:val="0"/>
          <w:marBottom w:val="0"/>
          <w:divBdr>
            <w:top w:val="none" w:sz="0" w:space="0" w:color="auto"/>
            <w:left w:val="none" w:sz="0" w:space="0" w:color="auto"/>
            <w:bottom w:val="none" w:sz="0" w:space="0" w:color="auto"/>
            <w:right w:val="none" w:sz="0" w:space="0" w:color="auto"/>
          </w:divBdr>
          <w:divsChild>
            <w:div w:id="1709792119">
              <w:marLeft w:val="0"/>
              <w:marRight w:val="0"/>
              <w:marTop w:val="0"/>
              <w:marBottom w:val="0"/>
              <w:divBdr>
                <w:top w:val="none" w:sz="0" w:space="0" w:color="auto"/>
                <w:left w:val="none" w:sz="0" w:space="0" w:color="auto"/>
                <w:bottom w:val="none" w:sz="0" w:space="0" w:color="auto"/>
                <w:right w:val="none" w:sz="0" w:space="0" w:color="auto"/>
              </w:divBdr>
            </w:div>
          </w:divsChild>
        </w:div>
        <w:div w:id="1280527355">
          <w:marLeft w:val="0"/>
          <w:marRight w:val="0"/>
          <w:marTop w:val="0"/>
          <w:marBottom w:val="0"/>
          <w:divBdr>
            <w:top w:val="none" w:sz="0" w:space="0" w:color="auto"/>
            <w:left w:val="none" w:sz="0" w:space="0" w:color="auto"/>
            <w:bottom w:val="none" w:sz="0" w:space="0" w:color="auto"/>
            <w:right w:val="none" w:sz="0" w:space="0" w:color="auto"/>
          </w:divBdr>
        </w:div>
      </w:divsChild>
    </w:div>
    <w:div w:id="1761172152">
      <w:bodyDiv w:val="1"/>
      <w:marLeft w:val="0"/>
      <w:marRight w:val="0"/>
      <w:marTop w:val="0"/>
      <w:marBottom w:val="0"/>
      <w:divBdr>
        <w:top w:val="none" w:sz="0" w:space="0" w:color="auto"/>
        <w:left w:val="none" w:sz="0" w:space="0" w:color="auto"/>
        <w:bottom w:val="none" w:sz="0" w:space="0" w:color="auto"/>
        <w:right w:val="none" w:sz="0" w:space="0" w:color="auto"/>
      </w:divBdr>
      <w:divsChild>
        <w:div w:id="109253276">
          <w:marLeft w:val="0"/>
          <w:marRight w:val="0"/>
          <w:marTop w:val="0"/>
          <w:marBottom w:val="0"/>
          <w:divBdr>
            <w:top w:val="none" w:sz="0" w:space="0" w:color="auto"/>
            <w:left w:val="none" w:sz="0" w:space="0" w:color="auto"/>
            <w:bottom w:val="none" w:sz="0" w:space="0" w:color="auto"/>
            <w:right w:val="none" w:sz="0" w:space="0" w:color="auto"/>
          </w:divBdr>
        </w:div>
      </w:divsChild>
    </w:div>
    <w:div w:id="1761173710">
      <w:bodyDiv w:val="1"/>
      <w:marLeft w:val="0"/>
      <w:marRight w:val="0"/>
      <w:marTop w:val="0"/>
      <w:marBottom w:val="0"/>
      <w:divBdr>
        <w:top w:val="none" w:sz="0" w:space="0" w:color="auto"/>
        <w:left w:val="none" w:sz="0" w:space="0" w:color="auto"/>
        <w:bottom w:val="none" w:sz="0" w:space="0" w:color="auto"/>
        <w:right w:val="none" w:sz="0" w:space="0" w:color="auto"/>
      </w:divBdr>
      <w:divsChild>
        <w:div w:id="1920098499">
          <w:marLeft w:val="0"/>
          <w:marRight w:val="0"/>
          <w:marTop w:val="0"/>
          <w:marBottom w:val="0"/>
          <w:divBdr>
            <w:top w:val="none" w:sz="0" w:space="0" w:color="auto"/>
            <w:left w:val="none" w:sz="0" w:space="0" w:color="auto"/>
            <w:bottom w:val="none" w:sz="0" w:space="0" w:color="auto"/>
            <w:right w:val="none" w:sz="0" w:space="0" w:color="auto"/>
          </w:divBdr>
          <w:divsChild>
            <w:div w:id="2103331234">
              <w:marLeft w:val="0"/>
              <w:marRight w:val="0"/>
              <w:marTop w:val="0"/>
              <w:marBottom w:val="0"/>
              <w:divBdr>
                <w:top w:val="none" w:sz="0" w:space="0" w:color="auto"/>
                <w:left w:val="none" w:sz="0" w:space="0" w:color="auto"/>
                <w:bottom w:val="none" w:sz="0" w:space="0" w:color="auto"/>
                <w:right w:val="none" w:sz="0" w:space="0" w:color="auto"/>
              </w:divBdr>
              <w:divsChild>
                <w:div w:id="138499625">
                  <w:marLeft w:val="0"/>
                  <w:marRight w:val="0"/>
                  <w:marTop w:val="0"/>
                  <w:marBottom w:val="0"/>
                  <w:divBdr>
                    <w:top w:val="none" w:sz="0" w:space="0" w:color="auto"/>
                    <w:left w:val="none" w:sz="0" w:space="0" w:color="auto"/>
                    <w:bottom w:val="none" w:sz="0" w:space="0" w:color="auto"/>
                    <w:right w:val="none" w:sz="0" w:space="0" w:color="auto"/>
                  </w:divBdr>
                  <w:divsChild>
                    <w:div w:id="133460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60777">
          <w:marLeft w:val="0"/>
          <w:marRight w:val="0"/>
          <w:marTop w:val="0"/>
          <w:marBottom w:val="0"/>
          <w:divBdr>
            <w:top w:val="none" w:sz="0" w:space="0" w:color="auto"/>
            <w:left w:val="none" w:sz="0" w:space="0" w:color="auto"/>
            <w:bottom w:val="none" w:sz="0" w:space="0" w:color="auto"/>
            <w:right w:val="none" w:sz="0" w:space="0" w:color="auto"/>
          </w:divBdr>
        </w:div>
      </w:divsChild>
    </w:div>
    <w:div w:id="1778940126">
      <w:bodyDiv w:val="1"/>
      <w:marLeft w:val="0"/>
      <w:marRight w:val="0"/>
      <w:marTop w:val="0"/>
      <w:marBottom w:val="0"/>
      <w:divBdr>
        <w:top w:val="none" w:sz="0" w:space="0" w:color="auto"/>
        <w:left w:val="none" w:sz="0" w:space="0" w:color="auto"/>
        <w:bottom w:val="none" w:sz="0" w:space="0" w:color="auto"/>
        <w:right w:val="none" w:sz="0" w:space="0" w:color="auto"/>
      </w:divBdr>
      <w:divsChild>
        <w:div w:id="885869129">
          <w:marLeft w:val="0"/>
          <w:marRight w:val="0"/>
          <w:marTop w:val="0"/>
          <w:marBottom w:val="0"/>
          <w:divBdr>
            <w:top w:val="none" w:sz="0" w:space="0" w:color="auto"/>
            <w:left w:val="none" w:sz="0" w:space="0" w:color="auto"/>
            <w:bottom w:val="none" w:sz="0" w:space="0" w:color="auto"/>
            <w:right w:val="none" w:sz="0" w:space="0" w:color="auto"/>
          </w:divBdr>
        </w:div>
      </w:divsChild>
    </w:div>
    <w:div w:id="1784493294">
      <w:bodyDiv w:val="1"/>
      <w:marLeft w:val="0"/>
      <w:marRight w:val="0"/>
      <w:marTop w:val="0"/>
      <w:marBottom w:val="0"/>
      <w:divBdr>
        <w:top w:val="none" w:sz="0" w:space="0" w:color="auto"/>
        <w:left w:val="none" w:sz="0" w:space="0" w:color="auto"/>
        <w:bottom w:val="none" w:sz="0" w:space="0" w:color="auto"/>
        <w:right w:val="none" w:sz="0" w:space="0" w:color="auto"/>
      </w:divBdr>
    </w:div>
    <w:div w:id="1787768963">
      <w:bodyDiv w:val="1"/>
      <w:marLeft w:val="0"/>
      <w:marRight w:val="0"/>
      <w:marTop w:val="0"/>
      <w:marBottom w:val="0"/>
      <w:divBdr>
        <w:top w:val="none" w:sz="0" w:space="0" w:color="auto"/>
        <w:left w:val="none" w:sz="0" w:space="0" w:color="auto"/>
        <w:bottom w:val="none" w:sz="0" w:space="0" w:color="auto"/>
        <w:right w:val="none" w:sz="0" w:space="0" w:color="auto"/>
      </w:divBdr>
      <w:divsChild>
        <w:div w:id="377050667">
          <w:marLeft w:val="0"/>
          <w:marRight w:val="0"/>
          <w:marTop w:val="0"/>
          <w:marBottom w:val="0"/>
          <w:divBdr>
            <w:top w:val="none" w:sz="0" w:space="0" w:color="auto"/>
            <w:left w:val="none" w:sz="0" w:space="0" w:color="auto"/>
            <w:bottom w:val="none" w:sz="0" w:space="0" w:color="auto"/>
            <w:right w:val="none" w:sz="0" w:space="0" w:color="auto"/>
          </w:divBdr>
        </w:div>
        <w:div w:id="658575604">
          <w:marLeft w:val="0"/>
          <w:marRight w:val="0"/>
          <w:marTop w:val="0"/>
          <w:marBottom w:val="0"/>
          <w:divBdr>
            <w:top w:val="none" w:sz="0" w:space="0" w:color="auto"/>
            <w:left w:val="none" w:sz="0" w:space="0" w:color="auto"/>
            <w:bottom w:val="none" w:sz="0" w:space="0" w:color="auto"/>
            <w:right w:val="none" w:sz="0" w:space="0" w:color="auto"/>
          </w:divBdr>
          <w:divsChild>
            <w:div w:id="2033918456">
              <w:marLeft w:val="0"/>
              <w:marRight w:val="0"/>
              <w:marTop w:val="0"/>
              <w:marBottom w:val="0"/>
              <w:divBdr>
                <w:top w:val="none" w:sz="0" w:space="0" w:color="auto"/>
                <w:left w:val="none" w:sz="0" w:space="0" w:color="auto"/>
                <w:bottom w:val="none" w:sz="0" w:space="0" w:color="auto"/>
                <w:right w:val="none" w:sz="0" w:space="0" w:color="auto"/>
              </w:divBdr>
              <w:divsChild>
                <w:div w:id="2129737742">
                  <w:marLeft w:val="0"/>
                  <w:marRight w:val="0"/>
                  <w:marTop w:val="0"/>
                  <w:marBottom w:val="0"/>
                  <w:divBdr>
                    <w:top w:val="none" w:sz="0" w:space="0" w:color="auto"/>
                    <w:left w:val="none" w:sz="0" w:space="0" w:color="auto"/>
                    <w:bottom w:val="none" w:sz="0" w:space="0" w:color="auto"/>
                    <w:right w:val="none" w:sz="0" w:space="0" w:color="auto"/>
                  </w:divBdr>
                  <w:divsChild>
                    <w:div w:id="16325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96335">
          <w:marLeft w:val="0"/>
          <w:marRight w:val="0"/>
          <w:marTop w:val="0"/>
          <w:marBottom w:val="0"/>
          <w:divBdr>
            <w:top w:val="none" w:sz="0" w:space="0" w:color="auto"/>
            <w:left w:val="none" w:sz="0" w:space="0" w:color="auto"/>
            <w:bottom w:val="none" w:sz="0" w:space="0" w:color="auto"/>
            <w:right w:val="none" w:sz="0" w:space="0" w:color="auto"/>
          </w:divBdr>
        </w:div>
        <w:div w:id="524833313">
          <w:marLeft w:val="0"/>
          <w:marRight w:val="0"/>
          <w:marTop w:val="0"/>
          <w:marBottom w:val="0"/>
          <w:divBdr>
            <w:top w:val="none" w:sz="0" w:space="0" w:color="auto"/>
            <w:left w:val="none" w:sz="0" w:space="0" w:color="auto"/>
            <w:bottom w:val="none" w:sz="0" w:space="0" w:color="auto"/>
            <w:right w:val="none" w:sz="0" w:space="0" w:color="auto"/>
          </w:divBdr>
          <w:divsChild>
            <w:div w:id="795098737">
              <w:marLeft w:val="0"/>
              <w:marRight w:val="0"/>
              <w:marTop w:val="0"/>
              <w:marBottom w:val="0"/>
              <w:divBdr>
                <w:top w:val="none" w:sz="0" w:space="0" w:color="auto"/>
                <w:left w:val="none" w:sz="0" w:space="0" w:color="auto"/>
                <w:bottom w:val="none" w:sz="0" w:space="0" w:color="auto"/>
                <w:right w:val="none" w:sz="0" w:space="0" w:color="auto"/>
              </w:divBdr>
              <w:divsChild>
                <w:div w:id="2052270123">
                  <w:marLeft w:val="0"/>
                  <w:marRight w:val="0"/>
                  <w:marTop w:val="0"/>
                  <w:marBottom w:val="0"/>
                  <w:divBdr>
                    <w:top w:val="none" w:sz="0" w:space="0" w:color="auto"/>
                    <w:left w:val="none" w:sz="0" w:space="0" w:color="auto"/>
                    <w:bottom w:val="none" w:sz="0" w:space="0" w:color="auto"/>
                    <w:right w:val="none" w:sz="0" w:space="0" w:color="auto"/>
                  </w:divBdr>
                </w:div>
                <w:div w:id="279068442">
                  <w:marLeft w:val="0"/>
                  <w:marRight w:val="0"/>
                  <w:marTop w:val="0"/>
                  <w:marBottom w:val="0"/>
                  <w:divBdr>
                    <w:top w:val="none" w:sz="0" w:space="0" w:color="auto"/>
                    <w:left w:val="none" w:sz="0" w:space="0" w:color="auto"/>
                    <w:bottom w:val="none" w:sz="0" w:space="0" w:color="auto"/>
                    <w:right w:val="none" w:sz="0" w:space="0" w:color="auto"/>
                  </w:divBdr>
                </w:div>
                <w:div w:id="1474954555">
                  <w:marLeft w:val="0"/>
                  <w:marRight w:val="0"/>
                  <w:marTop w:val="0"/>
                  <w:marBottom w:val="0"/>
                  <w:divBdr>
                    <w:top w:val="none" w:sz="0" w:space="0" w:color="auto"/>
                    <w:left w:val="none" w:sz="0" w:space="0" w:color="auto"/>
                    <w:bottom w:val="none" w:sz="0" w:space="0" w:color="auto"/>
                    <w:right w:val="none" w:sz="0" w:space="0" w:color="auto"/>
                  </w:divBdr>
                </w:div>
                <w:div w:id="57994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052036">
      <w:bodyDiv w:val="1"/>
      <w:marLeft w:val="0"/>
      <w:marRight w:val="0"/>
      <w:marTop w:val="0"/>
      <w:marBottom w:val="0"/>
      <w:divBdr>
        <w:top w:val="none" w:sz="0" w:space="0" w:color="auto"/>
        <w:left w:val="none" w:sz="0" w:space="0" w:color="auto"/>
        <w:bottom w:val="none" w:sz="0" w:space="0" w:color="auto"/>
        <w:right w:val="none" w:sz="0" w:space="0" w:color="auto"/>
      </w:divBdr>
    </w:div>
    <w:div w:id="1809585824">
      <w:bodyDiv w:val="1"/>
      <w:marLeft w:val="0"/>
      <w:marRight w:val="0"/>
      <w:marTop w:val="0"/>
      <w:marBottom w:val="0"/>
      <w:divBdr>
        <w:top w:val="none" w:sz="0" w:space="0" w:color="auto"/>
        <w:left w:val="none" w:sz="0" w:space="0" w:color="auto"/>
        <w:bottom w:val="none" w:sz="0" w:space="0" w:color="auto"/>
        <w:right w:val="none" w:sz="0" w:space="0" w:color="auto"/>
      </w:divBdr>
      <w:divsChild>
        <w:div w:id="502285280">
          <w:marLeft w:val="0"/>
          <w:marRight w:val="0"/>
          <w:marTop w:val="0"/>
          <w:marBottom w:val="0"/>
          <w:divBdr>
            <w:top w:val="none" w:sz="0" w:space="0" w:color="auto"/>
            <w:left w:val="none" w:sz="0" w:space="0" w:color="auto"/>
            <w:bottom w:val="none" w:sz="0" w:space="0" w:color="auto"/>
            <w:right w:val="none" w:sz="0" w:space="0" w:color="auto"/>
          </w:divBdr>
          <w:divsChild>
            <w:div w:id="690374298">
              <w:marLeft w:val="0"/>
              <w:marRight w:val="0"/>
              <w:marTop w:val="0"/>
              <w:marBottom w:val="0"/>
              <w:divBdr>
                <w:top w:val="none" w:sz="0" w:space="0" w:color="auto"/>
                <w:left w:val="none" w:sz="0" w:space="0" w:color="auto"/>
                <w:bottom w:val="none" w:sz="0" w:space="0" w:color="auto"/>
                <w:right w:val="none" w:sz="0" w:space="0" w:color="auto"/>
              </w:divBdr>
              <w:divsChild>
                <w:div w:id="2993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67115">
          <w:marLeft w:val="0"/>
          <w:marRight w:val="0"/>
          <w:marTop w:val="0"/>
          <w:marBottom w:val="0"/>
          <w:divBdr>
            <w:top w:val="none" w:sz="0" w:space="0" w:color="auto"/>
            <w:left w:val="none" w:sz="0" w:space="0" w:color="auto"/>
            <w:bottom w:val="none" w:sz="0" w:space="0" w:color="auto"/>
            <w:right w:val="none" w:sz="0" w:space="0" w:color="auto"/>
          </w:divBdr>
          <w:divsChild>
            <w:div w:id="1488670825">
              <w:marLeft w:val="0"/>
              <w:marRight w:val="0"/>
              <w:marTop w:val="0"/>
              <w:marBottom w:val="0"/>
              <w:divBdr>
                <w:top w:val="none" w:sz="0" w:space="0" w:color="auto"/>
                <w:left w:val="none" w:sz="0" w:space="0" w:color="auto"/>
                <w:bottom w:val="none" w:sz="0" w:space="0" w:color="auto"/>
                <w:right w:val="none" w:sz="0" w:space="0" w:color="auto"/>
              </w:divBdr>
              <w:divsChild>
                <w:div w:id="2008439283">
                  <w:marLeft w:val="0"/>
                  <w:marRight w:val="0"/>
                  <w:marTop w:val="0"/>
                  <w:marBottom w:val="0"/>
                  <w:divBdr>
                    <w:top w:val="none" w:sz="0" w:space="0" w:color="auto"/>
                    <w:left w:val="none" w:sz="0" w:space="0" w:color="auto"/>
                    <w:bottom w:val="none" w:sz="0" w:space="0" w:color="auto"/>
                    <w:right w:val="none" w:sz="0" w:space="0" w:color="auto"/>
                  </w:divBdr>
                </w:div>
                <w:div w:id="133407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84946">
      <w:bodyDiv w:val="1"/>
      <w:marLeft w:val="0"/>
      <w:marRight w:val="0"/>
      <w:marTop w:val="0"/>
      <w:marBottom w:val="0"/>
      <w:divBdr>
        <w:top w:val="none" w:sz="0" w:space="0" w:color="auto"/>
        <w:left w:val="none" w:sz="0" w:space="0" w:color="auto"/>
        <w:bottom w:val="none" w:sz="0" w:space="0" w:color="auto"/>
        <w:right w:val="none" w:sz="0" w:space="0" w:color="auto"/>
      </w:divBdr>
      <w:divsChild>
        <w:div w:id="490872612">
          <w:marLeft w:val="0"/>
          <w:marRight w:val="0"/>
          <w:marTop w:val="0"/>
          <w:marBottom w:val="0"/>
          <w:divBdr>
            <w:top w:val="none" w:sz="0" w:space="0" w:color="auto"/>
            <w:left w:val="none" w:sz="0" w:space="0" w:color="auto"/>
            <w:bottom w:val="none" w:sz="0" w:space="0" w:color="auto"/>
            <w:right w:val="none" w:sz="0" w:space="0" w:color="auto"/>
          </w:divBdr>
        </w:div>
        <w:div w:id="1155680934">
          <w:marLeft w:val="0"/>
          <w:marRight w:val="0"/>
          <w:marTop w:val="0"/>
          <w:marBottom w:val="0"/>
          <w:divBdr>
            <w:top w:val="none" w:sz="0" w:space="0" w:color="auto"/>
            <w:left w:val="none" w:sz="0" w:space="0" w:color="auto"/>
            <w:bottom w:val="none" w:sz="0" w:space="0" w:color="auto"/>
            <w:right w:val="none" w:sz="0" w:space="0" w:color="auto"/>
          </w:divBdr>
          <w:divsChild>
            <w:div w:id="892037352">
              <w:marLeft w:val="0"/>
              <w:marRight w:val="0"/>
              <w:marTop w:val="0"/>
              <w:marBottom w:val="0"/>
              <w:divBdr>
                <w:top w:val="none" w:sz="0" w:space="0" w:color="auto"/>
                <w:left w:val="none" w:sz="0" w:space="0" w:color="auto"/>
                <w:bottom w:val="none" w:sz="0" w:space="0" w:color="auto"/>
                <w:right w:val="none" w:sz="0" w:space="0" w:color="auto"/>
              </w:divBdr>
              <w:divsChild>
                <w:div w:id="1104610935">
                  <w:marLeft w:val="0"/>
                  <w:marRight w:val="0"/>
                  <w:marTop w:val="0"/>
                  <w:marBottom w:val="0"/>
                  <w:divBdr>
                    <w:top w:val="none" w:sz="0" w:space="0" w:color="auto"/>
                    <w:left w:val="none" w:sz="0" w:space="0" w:color="auto"/>
                    <w:bottom w:val="none" w:sz="0" w:space="0" w:color="auto"/>
                    <w:right w:val="none" w:sz="0" w:space="0" w:color="auto"/>
                  </w:divBdr>
                </w:div>
                <w:div w:id="467866223">
                  <w:marLeft w:val="0"/>
                  <w:marRight w:val="0"/>
                  <w:marTop w:val="0"/>
                  <w:marBottom w:val="0"/>
                  <w:divBdr>
                    <w:top w:val="none" w:sz="0" w:space="0" w:color="auto"/>
                    <w:left w:val="none" w:sz="0" w:space="0" w:color="auto"/>
                    <w:bottom w:val="none" w:sz="0" w:space="0" w:color="auto"/>
                    <w:right w:val="none" w:sz="0" w:space="0" w:color="auto"/>
                  </w:divBdr>
                </w:div>
                <w:div w:id="896283228">
                  <w:marLeft w:val="0"/>
                  <w:marRight w:val="0"/>
                  <w:marTop w:val="0"/>
                  <w:marBottom w:val="0"/>
                  <w:divBdr>
                    <w:top w:val="none" w:sz="0" w:space="0" w:color="auto"/>
                    <w:left w:val="none" w:sz="0" w:space="0" w:color="auto"/>
                    <w:bottom w:val="none" w:sz="0" w:space="0" w:color="auto"/>
                    <w:right w:val="none" w:sz="0" w:space="0" w:color="auto"/>
                  </w:divBdr>
                </w:div>
                <w:div w:id="1730766860">
                  <w:marLeft w:val="0"/>
                  <w:marRight w:val="0"/>
                  <w:marTop w:val="0"/>
                  <w:marBottom w:val="0"/>
                  <w:divBdr>
                    <w:top w:val="none" w:sz="0" w:space="0" w:color="auto"/>
                    <w:left w:val="none" w:sz="0" w:space="0" w:color="auto"/>
                    <w:bottom w:val="none" w:sz="0" w:space="0" w:color="auto"/>
                    <w:right w:val="none" w:sz="0" w:space="0" w:color="auto"/>
                  </w:divBdr>
                  <w:divsChild>
                    <w:div w:id="10080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989092">
      <w:bodyDiv w:val="1"/>
      <w:marLeft w:val="0"/>
      <w:marRight w:val="0"/>
      <w:marTop w:val="0"/>
      <w:marBottom w:val="0"/>
      <w:divBdr>
        <w:top w:val="none" w:sz="0" w:space="0" w:color="auto"/>
        <w:left w:val="none" w:sz="0" w:space="0" w:color="auto"/>
        <w:bottom w:val="none" w:sz="0" w:space="0" w:color="auto"/>
        <w:right w:val="none" w:sz="0" w:space="0" w:color="auto"/>
      </w:divBdr>
    </w:div>
    <w:div w:id="1838693444">
      <w:bodyDiv w:val="1"/>
      <w:marLeft w:val="0"/>
      <w:marRight w:val="0"/>
      <w:marTop w:val="0"/>
      <w:marBottom w:val="0"/>
      <w:divBdr>
        <w:top w:val="none" w:sz="0" w:space="0" w:color="auto"/>
        <w:left w:val="none" w:sz="0" w:space="0" w:color="auto"/>
        <w:bottom w:val="none" w:sz="0" w:space="0" w:color="auto"/>
        <w:right w:val="none" w:sz="0" w:space="0" w:color="auto"/>
      </w:divBdr>
      <w:divsChild>
        <w:div w:id="553929649">
          <w:marLeft w:val="0"/>
          <w:marRight w:val="0"/>
          <w:marTop w:val="0"/>
          <w:marBottom w:val="0"/>
          <w:divBdr>
            <w:top w:val="none" w:sz="0" w:space="0" w:color="auto"/>
            <w:left w:val="none" w:sz="0" w:space="0" w:color="auto"/>
            <w:bottom w:val="none" w:sz="0" w:space="0" w:color="auto"/>
            <w:right w:val="none" w:sz="0" w:space="0" w:color="auto"/>
          </w:divBdr>
        </w:div>
      </w:divsChild>
    </w:div>
    <w:div w:id="1846284309">
      <w:bodyDiv w:val="1"/>
      <w:marLeft w:val="0"/>
      <w:marRight w:val="0"/>
      <w:marTop w:val="0"/>
      <w:marBottom w:val="0"/>
      <w:divBdr>
        <w:top w:val="none" w:sz="0" w:space="0" w:color="auto"/>
        <w:left w:val="none" w:sz="0" w:space="0" w:color="auto"/>
        <w:bottom w:val="none" w:sz="0" w:space="0" w:color="auto"/>
        <w:right w:val="none" w:sz="0" w:space="0" w:color="auto"/>
      </w:divBdr>
      <w:divsChild>
        <w:div w:id="1900245350">
          <w:marLeft w:val="0"/>
          <w:marRight w:val="0"/>
          <w:marTop w:val="0"/>
          <w:marBottom w:val="0"/>
          <w:divBdr>
            <w:top w:val="none" w:sz="0" w:space="0" w:color="auto"/>
            <w:left w:val="none" w:sz="0" w:space="0" w:color="auto"/>
            <w:bottom w:val="none" w:sz="0" w:space="0" w:color="auto"/>
            <w:right w:val="none" w:sz="0" w:space="0" w:color="auto"/>
          </w:divBdr>
        </w:div>
      </w:divsChild>
    </w:div>
    <w:div w:id="1850824154">
      <w:bodyDiv w:val="1"/>
      <w:marLeft w:val="0"/>
      <w:marRight w:val="0"/>
      <w:marTop w:val="0"/>
      <w:marBottom w:val="0"/>
      <w:divBdr>
        <w:top w:val="none" w:sz="0" w:space="0" w:color="auto"/>
        <w:left w:val="none" w:sz="0" w:space="0" w:color="auto"/>
        <w:bottom w:val="none" w:sz="0" w:space="0" w:color="auto"/>
        <w:right w:val="none" w:sz="0" w:space="0" w:color="auto"/>
      </w:divBdr>
    </w:div>
    <w:div w:id="1852909403">
      <w:bodyDiv w:val="1"/>
      <w:marLeft w:val="0"/>
      <w:marRight w:val="0"/>
      <w:marTop w:val="0"/>
      <w:marBottom w:val="0"/>
      <w:divBdr>
        <w:top w:val="none" w:sz="0" w:space="0" w:color="auto"/>
        <w:left w:val="none" w:sz="0" w:space="0" w:color="auto"/>
        <w:bottom w:val="none" w:sz="0" w:space="0" w:color="auto"/>
        <w:right w:val="none" w:sz="0" w:space="0" w:color="auto"/>
      </w:divBdr>
    </w:div>
    <w:div w:id="1853642140">
      <w:bodyDiv w:val="1"/>
      <w:marLeft w:val="0"/>
      <w:marRight w:val="0"/>
      <w:marTop w:val="0"/>
      <w:marBottom w:val="0"/>
      <w:divBdr>
        <w:top w:val="none" w:sz="0" w:space="0" w:color="auto"/>
        <w:left w:val="none" w:sz="0" w:space="0" w:color="auto"/>
        <w:bottom w:val="none" w:sz="0" w:space="0" w:color="auto"/>
        <w:right w:val="none" w:sz="0" w:space="0" w:color="auto"/>
      </w:divBdr>
      <w:divsChild>
        <w:div w:id="713699821">
          <w:marLeft w:val="0"/>
          <w:marRight w:val="0"/>
          <w:marTop w:val="0"/>
          <w:marBottom w:val="0"/>
          <w:divBdr>
            <w:top w:val="none" w:sz="0" w:space="0" w:color="auto"/>
            <w:left w:val="none" w:sz="0" w:space="0" w:color="auto"/>
            <w:bottom w:val="none" w:sz="0" w:space="0" w:color="auto"/>
            <w:right w:val="none" w:sz="0" w:space="0" w:color="auto"/>
          </w:divBdr>
        </w:div>
        <w:div w:id="1839272668">
          <w:marLeft w:val="0"/>
          <w:marRight w:val="0"/>
          <w:marTop w:val="0"/>
          <w:marBottom w:val="0"/>
          <w:divBdr>
            <w:top w:val="none" w:sz="0" w:space="0" w:color="auto"/>
            <w:left w:val="none" w:sz="0" w:space="0" w:color="auto"/>
            <w:bottom w:val="none" w:sz="0" w:space="0" w:color="auto"/>
            <w:right w:val="none" w:sz="0" w:space="0" w:color="auto"/>
          </w:divBdr>
        </w:div>
        <w:div w:id="345640512">
          <w:marLeft w:val="0"/>
          <w:marRight w:val="0"/>
          <w:marTop w:val="0"/>
          <w:marBottom w:val="0"/>
          <w:divBdr>
            <w:top w:val="none" w:sz="0" w:space="0" w:color="auto"/>
            <w:left w:val="none" w:sz="0" w:space="0" w:color="auto"/>
            <w:bottom w:val="none" w:sz="0" w:space="0" w:color="auto"/>
            <w:right w:val="none" w:sz="0" w:space="0" w:color="auto"/>
          </w:divBdr>
        </w:div>
        <w:div w:id="1177380512">
          <w:marLeft w:val="0"/>
          <w:marRight w:val="0"/>
          <w:marTop w:val="0"/>
          <w:marBottom w:val="0"/>
          <w:divBdr>
            <w:top w:val="none" w:sz="0" w:space="0" w:color="auto"/>
            <w:left w:val="none" w:sz="0" w:space="0" w:color="auto"/>
            <w:bottom w:val="none" w:sz="0" w:space="0" w:color="auto"/>
            <w:right w:val="none" w:sz="0" w:space="0" w:color="auto"/>
          </w:divBdr>
        </w:div>
        <w:div w:id="1008022387">
          <w:marLeft w:val="0"/>
          <w:marRight w:val="0"/>
          <w:marTop w:val="0"/>
          <w:marBottom w:val="0"/>
          <w:divBdr>
            <w:top w:val="none" w:sz="0" w:space="0" w:color="auto"/>
            <w:left w:val="none" w:sz="0" w:space="0" w:color="auto"/>
            <w:bottom w:val="none" w:sz="0" w:space="0" w:color="auto"/>
            <w:right w:val="none" w:sz="0" w:space="0" w:color="auto"/>
          </w:divBdr>
        </w:div>
        <w:div w:id="1685092466">
          <w:marLeft w:val="0"/>
          <w:marRight w:val="0"/>
          <w:marTop w:val="0"/>
          <w:marBottom w:val="0"/>
          <w:divBdr>
            <w:top w:val="none" w:sz="0" w:space="0" w:color="auto"/>
            <w:left w:val="none" w:sz="0" w:space="0" w:color="auto"/>
            <w:bottom w:val="none" w:sz="0" w:space="0" w:color="auto"/>
            <w:right w:val="none" w:sz="0" w:space="0" w:color="auto"/>
          </w:divBdr>
        </w:div>
        <w:div w:id="1420062500">
          <w:marLeft w:val="0"/>
          <w:marRight w:val="0"/>
          <w:marTop w:val="0"/>
          <w:marBottom w:val="0"/>
          <w:divBdr>
            <w:top w:val="none" w:sz="0" w:space="0" w:color="auto"/>
            <w:left w:val="none" w:sz="0" w:space="0" w:color="auto"/>
            <w:bottom w:val="none" w:sz="0" w:space="0" w:color="auto"/>
            <w:right w:val="none" w:sz="0" w:space="0" w:color="auto"/>
          </w:divBdr>
        </w:div>
      </w:divsChild>
    </w:div>
    <w:div w:id="1862014111">
      <w:bodyDiv w:val="1"/>
      <w:marLeft w:val="0"/>
      <w:marRight w:val="0"/>
      <w:marTop w:val="0"/>
      <w:marBottom w:val="0"/>
      <w:divBdr>
        <w:top w:val="none" w:sz="0" w:space="0" w:color="auto"/>
        <w:left w:val="none" w:sz="0" w:space="0" w:color="auto"/>
        <w:bottom w:val="none" w:sz="0" w:space="0" w:color="auto"/>
        <w:right w:val="none" w:sz="0" w:space="0" w:color="auto"/>
      </w:divBdr>
      <w:divsChild>
        <w:div w:id="2048328867">
          <w:marLeft w:val="0"/>
          <w:marRight w:val="0"/>
          <w:marTop w:val="0"/>
          <w:marBottom w:val="0"/>
          <w:divBdr>
            <w:top w:val="none" w:sz="0" w:space="0" w:color="auto"/>
            <w:left w:val="none" w:sz="0" w:space="0" w:color="auto"/>
            <w:bottom w:val="none" w:sz="0" w:space="0" w:color="auto"/>
            <w:right w:val="none" w:sz="0" w:space="0" w:color="auto"/>
          </w:divBdr>
        </w:div>
      </w:divsChild>
    </w:div>
    <w:div w:id="1864248550">
      <w:bodyDiv w:val="1"/>
      <w:marLeft w:val="0"/>
      <w:marRight w:val="0"/>
      <w:marTop w:val="0"/>
      <w:marBottom w:val="0"/>
      <w:divBdr>
        <w:top w:val="none" w:sz="0" w:space="0" w:color="auto"/>
        <w:left w:val="none" w:sz="0" w:space="0" w:color="auto"/>
        <w:bottom w:val="none" w:sz="0" w:space="0" w:color="auto"/>
        <w:right w:val="none" w:sz="0" w:space="0" w:color="auto"/>
      </w:divBdr>
      <w:divsChild>
        <w:div w:id="1630740244">
          <w:marLeft w:val="0"/>
          <w:marRight w:val="0"/>
          <w:marTop w:val="0"/>
          <w:marBottom w:val="0"/>
          <w:divBdr>
            <w:top w:val="none" w:sz="0" w:space="0" w:color="auto"/>
            <w:left w:val="none" w:sz="0" w:space="0" w:color="auto"/>
            <w:bottom w:val="none" w:sz="0" w:space="0" w:color="auto"/>
            <w:right w:val="none" w:sz="0" w:space="0" w:color="auto"/>
          </w:divBdr>
        </w:div>
        <w:div w:id="1008020843">
          <w:marLeft w:val="0"/>
          <w:marRight w:val="0"/>
          <w:marTop w:val="0"/>
          <w:marBottom w:val="0"/>
          <w:divBdr>
            <w:top w:val="none" w:sz="0" w:space="0" w:color="auto"/>
            <w:left w:val="none" w:sz="0" w:space="0" w:color="auto"/>
            <w:bottom w:val="none" w:sz="0" w:space="0" w:color="auto"/>
            <w:right w:val="none" w:sz="0" w:space="0" w:color="auto"/>
          </w:divBdr>
          <w:divsChild>
            <w:div w:id="1252860399">
              <w:marLeft w:val="0"/>
              <w:marRight w:val="0"/>
              <w:marTop w:val="0"/>
              <w:marBottom w:val="0"/>
              <w:divBdr>
                <w:top w:val="none" w:sz="0" w:space="0" w:color="auto"/>
                <w:left w:val="none" w:sz="0" w:space="0" w:color="auto"/>
                <w:bottom w:val="none" w:sz="0" w:space="0" w:color="auto"/>
                <w:right w:val="none" w:sz="0" w:space="0" w:color="auto"/>
              </w:divBdr>
            </w:div>
            <w:div w:id="552037535">
              <w:marLeft w:val="0"/>
              <w:marRight w:val="0"/>
              <w:marTop w:val="0"/>
              <w:marBottom w:val="0"/>
              <w:divBdr>
                <w:top w:val="none" w:sz="0" w:space="0" w:color="auto"/>
                <w:left w:val="none" w:sz="0" w:space="0" w:color="auto"/>
                <w:bottom w:val="none" w:sz="0" w:space="0" w:color="auto"/>
                <w:right w:val="none" w:sz="0" w:space="0" w:color="auto"/>
              </w:divBdr>
              <w:divsChild>
                <w:div w:id="186655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820351">
      <w:bodyDiv w:val="1"/>
      <w:marLeft w:val="0"/>
      <w:marRight w:val="0"/>
      <w:marTop w:val="0"/>
      <w:marBottom w:val="0"/>
      <w:divBdr>
        <w:top w:val="none" w:sz="0" w:space="0" w:color="auto"/>
        <w:left w:val="none" w:sz="0" w:space="0" w:color="auto"/>
        <w:bottom w:val="none" w:sz="0" w:space="0" w:color="auto"/>
        <w:right w:val="none" w:sz="0" w:space="0" w:color="auto"/>
      </w:divBdr>
    </w:div>
    <w:div w:id="1870409842">
      <w:bodyDiv w:val="1"/>
      <w:marLeft w:val="0"/>
      <w:marRight w:val="0"/>
      <w:marTop w:val="0"/>
      <w:marBottom w:val="0"/>
      <w:divBdr>
        <w:top w:val="none" w:sz="0" w:space="0" w:color="auto"/>
        <w:left w:val="none" w:sz="0" w:space="0" w:color="auto"/>
        <w:bottom w:val="none" w:sz="0" w:space="0" w:color="auto"/>
        <w:right w:val="none" w:sz="0" w:space="0" w:color="auto"/>
      </w:divBdr>
      <w:divsChild>
        <w:div w:id="1976786537">
          <w:marLeft w:val="0"/>
          <w:marRight w:val="0"/>
          <w:marTop w:val="0"/>
          <w:marBottom w:val="0"/>
          <w:divBdr>
            <w:top w:val="none" w:sz="0" w:space="0" w:color="auto"/>
            <w:left w:val="none" w:sz="0" w:space="0" w:color="auto"/>
            <w:bottom w:val="none" w:sz="0" w:space="0" w:color="auto"/>
            <w:right w:val="none" w:sz="0" w:space="0" w:color="auto"/>
          </w:divBdr>
        </w:div>
        <w:div w:id="2022778334">
          <w:marLeft w:val="0"/>
          <w:marRight w:val="0"/>
          <w:marTop w:val="0"/>
          <w:marBottom w:val="0"/>
          <w:divBdr>
            <w:top w:val="none" w:sz="0" w:space="0" w:color="auto"/>
            <w:left w:val="none" w:sz="0" w:space="0" w:color="auto"/>
            <w:bottom w:val="none" w:sz="0" w:space="0" w:color="auto"/>
            <w:right w:val="none" w:sz="0" w:space="0" w:color="auto"/>
          </w:divBdr>
          <w:divsChild>
            <w:div w:id="396519197">
              <w:marLeft w:val="0"/>
              <w:marRight w:val="0"/>
              <w:marTop w:val="0"/>
              <w:marBottom w:val="0"/>
              <w:divBdr>
                <w:top w:val="none" w:sz="0" w:space="0" w:color="auto"/>
                <w:left w:val="none" w:sz="0" w:space="0" w:color="auto"/>
                <w:bottom w:val="none" w:sz="0" w:space="0" w:color="auto"/>
                <w:right w:val="none" w:sz="0" w:space="0" w:color="auto"/>
              </w:divBdr>
            </w:div>
          </w:divsChild>
        </w:div>
        <w:div w:id="471681652">
          <w:marLeft w:val="0"/>
          <w:marRight w:val="0"/>
          <w:marTop w:val="0"/>
          <w:marBottom w:val="0"/>
          <w:divBdr>
            <w:top w:val="none" w:sz="0" w:space="0" w:color="auto"/>
            <w:left w:val="none" w:sz="0" w:space="0" w:color="auto"/>
            <w:bottom w:val="none" w:sz="0" w:space="0" w:color="auto"/>
            <w:right w:val="none" w:sz="0" w:space="0" w:color="auto"/>
          </w:divBdr>
          <w:divsChild>
            <w:div w:id="118798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529378">
      <w:bodyDiv w:val="1"/>
      <w:marLeft w:val="0"/>
      <w:marRight w:val="0"/>
      <w:marTop w:val="0"/>
      <w:marBottom w:val="0"/>
      <w:divBdr>
        <w:top w:val="none" w:sz="0" w:space="0" w:color="auto"/>
        <w:left w:val="none" w:sz="0" w:space="0" w:color="auto"/>
        <w:bottom w:val="none" w:sz="0" w:space="0" w:color="auto"/>
        <w:right w:val="none" w:sz="0" w:space="0" w:color="auto"/>
      </w:divBdr>
      <w:divsChild>
        <w:div w:id="305013569">
          <w:marLeft w:val="0"/>
          <w:marRight w:val="0"/>
          <w:marTop w:val="0"/>
          <w:marBottom w:val="0"/>
          <w:divBdr>
            <w:top w:val="none" w:sz="0" w:space="0" w:color="auto"/>
            <w:left w:val="none" w:sz="0" w:space="0" w:color="auto"/>
            <w:bottom w:val="none" w:sz="0" w:space="0" w:color="auto"/>
            <w:right w:val="none" w:sz="0" w:space="0" w:color="auto"/>
          </w:divBdr>
        </w:div>
        <w:div w:id="1980264661">
          <w:marLeft w:val="0"/>
          <w:marRight w:val="0"/>
          <w:marTop w:val="0"/>
          <w:marBottom w:val="0"/>
          <w:divBdr>
            <w:top w:val="none" w:sz="0" w:space="0" w:color="auto"/>
            <w:left w:val="none" w:sz="0" w:space="0" w:color="auto"/>
            <w:bottom w:val="none" w:sz="0" w:space="0" w:color="auto"/>
            <w:right w:val="none" w:sz="0" w:space="0" w:color="auto"/>
          </w:divBdr>
        </w:div>
        <w:div w:id="1231959127">
          <w:marLeft w:val="0"/>
          <w:marRight w:val="0"/>
          <w:marTop w:val="0"/>
          <w:marBottom w:val="0"/>
          <w:divBdr>
            <w:top w:val="none" w:sz="0" w:space="0" w:color="auto"/>
            <w:left w:val="none" w:sz="0" w:space="0" w:color="auto"/>
            <w:bottom w:val="none" w:sz="0" w:space="0" w:color="auto"/>
            <w:right w:val="none" w:sz="0" w:space="0" w:color="auto"/>
          </w:divBdr>
        </w:div>
        <w:div w:id="1123887370">
          <w:marLeft w:val="0"/>
          <w:marRight w:val="0"/>
          <w:marTop w:val="0"/>
          <w:marBottom w:val="0"/>
          <w:divBdr>
            <w:top w:val="none" w:sz="0" w:space="0" w:color="auto"/>
            <w:left w:val="none" w:sz="0" w:space="0" w:color="auto"/>
            <w:bottom w:val="none" w:sz="0" w:space="0" w:color="auto"/>
            <w:right w:val="none" w:sz="0" w:space="0" w:color="auto"/>
          </w:divBdr>
          <w:divsChild>
            <w:div w:id="197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766430">
      <w:bodyDiv w:val="1"/>
      <w:marLeft w:val="0"/>
      <w:marRight w:val="0"/>
      <w:marTop w:val="0"/>
      <w:marBottom w:val="0"/>
      <w:divBdr>
        <w:top w:val="none" w:sz="0" w:space="0" w:color="auto"/>
        <w:left w:val="none" w:sz="0" w:space="0" w:color="auto"/>
        <w:bottom w:val="none" w:sz="0" w:space="0" w:color="auto"/>
        <w:right w:val="none" w:sz="0" w:space="0" w:color="auto"/>
      </w:divBdr>
      <w:divsChild>
        <w:div w:id="1852603440">
          <w:marLeft w:val="0"/>
          <w:marRight w:val="0"/>
          <w:marTop w:val="0"/>
          <w:marBottom w:val="0"/>
          <w:divBdr>
            <w:top w:val="none" w:sz="0" w:space="0" w:color="auto"/>
            <w:left w:val="none" w:sz="0" w:space="0" w:color="auto"/>
            <w:bottom w:val="none" w:sz="0" w:space="0" w:color="auto"/>
            <w:right w:val="none" w:sz="0" w:space="0" w:color="auto"/>
          </w:divBdr>
        </w:div>
      </w:divsChild>
    </w:div>
    <w:div w:id="1874803031">
      <w:bodyDiv w:val="1"/>
      <w:marLeft w:val="0"/>
      <w:marRight w:val="0"/>
      <w:marTop w:val="0"/>
      <w:marBottom w:val="0"/>
      <w:divBdr>
        <w:top w:val="none" w:sz="0" w:space="0" w:color="auto"/>
        <w:left w:val="none" w:sz="0" w:space="0" w:color="auto"/>
        <w:bottom w:val="none" w:sz="0" w:space="0" w:color="auto"/>
        <w:right w:val="none" w:sz="0" w:space="0" w:color="auto"/>
      </w:divBdr>
      <w:divsChild>
        <w:div w:id="430710325">
          <w:marLeft w:val="0"/>
          <w:marRight w:val="0"/>
          <w:marTop w:val="0"/>
          <w:marBottom w:val="0"/>
          <w:divBdr>
            <w:top w:val="none" w:sz="0" w:space="0" w:color="auto"/>
            <w:left w:val="none" w:sz="0" w:space="0" w:color="auto"/>
            <w:bottom w:val="none" w:sz="0" w:space="0" w:color="auto"/>
            <w:right w:val="none" w:sz="0" w:space="0" w:color="auto"/>
          </w:divBdr>
        </w:div>
      </w:divsChild>
    </w:div>
    <w:div w:id="1875994997">
      <w:bodyDiv w:val="1"/>
      <w:marLeft w:val="0"/>
      <w:marRight w:val="0"/>
      <w:marTop w:val="0"/>
      <w:marBottom w:val="0"/>
      <w:divBdr>
        <w:top w:val="none" w:sz="0" w:space="0" w:color="auto"/>
        <w:left w:val="none" w:sz="0" w:space="0" w:color="auto"/>
        <w:bottom w:val="none" w:sz="0" w:space="0" w:color="auto"/>
        <w:right w:val="none" w:sz="0" w:space="0" w:color="auto"/>
      </w:divBdr>
      <w:divsChild>
        <w:div w:id="173618329">
          <w:marLeft w:val="0"/>
          <w:marRight w:val="0"/>
          <w:marTop w:val="0"/>
          <w:marBottom w:val="0"/>
          <w:divBdr>
            <w:top w:val="none" w:sz="0" w:space="0" w:color="auto"/>
            <w:left w:val="none" w:sz="0" w:space="0" w:color="auto"/>
            <w:bottom w:val="none" w:sz="0" w:space="0" w:color="auto"/>
            <w:right w:val="none" w:sz="0" w:space="0" w:color="auto"/>
          </w:divBdr>
        </w:div>
      </w:divsChild>
    </w:div>
    <w:div w:id="1876769577">
      <w:bodyDiv w:val="1"/>
      <w:marLeft w:val="0"/>
      <w:marRight w:val="0"/>
      <w:marTop w:val="0"/>
      <w:marBottom w:val="0"/>
      <w:divBdr>
        <w:top w:val="none" w:sz="0" w:space="0" w:color="auto"/>
        <w:left w:val="none" w:sz="0" w:space="0" w:color="auto"/>
        <w:bottom w:val="none" w:sz="0" w:space="0" w:color="auto"/>
        <w:right w:val="none" w:sz="0" w:space="0" w:color="auto"/>
      </w:divBdr>
    </w:div>
    <w:div w:id="1877959420">
      <w:bodyDiv w:val="1"/>
      <w:marLeft w:val="0"/>
      <w:marRight w:val="0"/>
      <w:marTop w:val="0"/>
      <w:marBottom w:val="0"/>
      <w:divBdr>
        <w:top w:val="none" w:sz="0" w:space="0" w:color="auto"/>
        <w:left w:val="none" w:sz="0" w:space="0" w:color="auto"/>
        <w:bottom w:val="none" w:sz="0" w:space="0" w:color="auto"/>
        <w:right w:val="none" w:sz="0" w:space="0" w:color="auto"/>
      </w:divBdr>
      <w:divsChild>
        <w:div w:id="481240620">
          <w:marLeft w:val="0"/>
          <w:marRight w:val="0"/>
          <w:marTop w:val="0"/>
          <w:marBottom w:val="0"/>
          <w:divBdr>
            <w:top w:val="none" w:sz="0" w:space="0" w:color="auto"/>
            <w:left w:val="none" w:sz="0" w:space="0" w:color="auto"/>
            <w:bottom w:val="none" w:sz="0" w:space="0" w:color="auto"/>
            <w:right w:val="none" w:sz="0" w:space="0" w:color="auto"/>
          </w:divBdr>
        </w:div>
        <w:div w:id="2144426210">
          <w:marLeft w:val="0"/>
          <w:marRight w:val="0"/>
          <w:marTop w:val="0"/>
          <w:marBottom w:val="0"/>
          <w:divBdr>
            <w:top w:val="none" w:sz="0" w:space="0" w:color="auto"/>
            <w:left w:val="none" w:sz="0" w:space="0" w:color="auto"/>
            <w:bottom w:val="none" w:sz="0" w:space="0" w:color="auto"/>
            <w:right w:val="none" w:sz="0" w:space="0" w:color="auto"/>
          </w:divBdr>
        </w:div>
      </w:divsChild>
    </w:div>
    <w:div w:id="1879974250">
      <w:bodyDiv w:val="1"/>
      <w:marLeft w:val="0"/>
      <w:marRight w:val="0"/>
      <w:marTop w:val="0"/>
      <w:marBottom w:val="0"/>
      <w:divBdr>
        <w:top w:val="none" w:sz="0" w:space="0" w:color="auto"/>
        <w:left w:val="none" w:sz="0" w:space="0" w:color="auto"/>
        <w:bottom w:val="none" w:sz="0" w:space="0" w:color="auto"/>
        <w:right w:val="none" w:sz="0" w:space="0" w:color="auto"/>
      </w:divBdr>
    </w:div>
    <w:div w:id="1881473511">
      <w:bodyDiv w:val="1"/>
      <w:marLeft w:val="0"/>
      <w:marRight w:val="0"/>
      <w:marTop w:val="0"/>
      <w:marBottom w:val="0"/>
      <w:divBdr>
        <w:top w:val="none" w:sz="0" w:space="0" w:color="auto"/>
        <w:left w:val="none" w:sz="0" w:space="0" w:color="auto"/>
        <w:bottom w:val="none" w:sz="0" w:space="0" w:color="auto"/>
        <w:right w:val="none" w:sz="0" w:space="0" w:color="auto"/>
      </w:divBdr>
    </w:div>
    <w:div w:id="1892495886">
      <w:bodyDiv w:val="1"/>
      <w:marLeft w:val="0"/>
      <w:marRight w:val="0"/>
      <w:marTop w:val="0"/>
      <w:marBottom w:val="0"/>
      <w:divBdr>
        <w:top w:val="none" w:sz="0" w:space="0" w:color="auto"/>
        <w:left w:val="none" w:sz="0" w:space="0" w:color="auto"/>
        <w:bottom w:val="none" w:sz="0" w:space="0" w:color="auto"/>
        <w:right w:val="none" w:sz="0" w:space="0" w:color="auto"/>
      </w:divBdr>
      <w:divsChild>
        <w:div w:id="1902058660">
          <w:marLeft w:val="0"/>
          <w:marRight w:val="0"/>
          <w:marTop w:val="0"/>
          <w:marBottom w:val="0"/>
          <w:divBdr>
            <w:top w:val="none" w:sz="0" w:space="0" w:color="auto"/>
            <w:left w:val="none" w:sz="0" w:space="0" w:color="auto"/>
            <w:bottom w:val="none" w:sz="0" w:space="0" w:color="auto"/>
            <w:right w:val="none" w:sz="0" w:space="0" w:color="auto"/>
          </w:divBdr>
          <w:divsChild>
            <w:div w:id="507791748">
              <w:marLeft w:val="0"/>
              <w:marRight w:val="0"/>
              <w:marTop w:val="0"/>
              <w:marBottom w:val="0"/>
              <w:divBdr>
                <w:top w:val="none" w:sz="0" w:space="0" w:color="auto"/>
                <w:left w:val="none" w:sz="0" w:space="0" w:color="auto"/>
                <w:bottom w:val="none" w:sz="0" w:space="0" w:color="auto"/>
                <w:right w:val="none" w:sz="0" w:space="0" w:color="auto"/>
              </w:divBdr>
              <w:divsChild>
                <w:div w:id="204809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908454">
          <w:marLeft w:val="0"/>
          <w:marRight w:val="0"/>
          <w:marTop w:val="0"/>
          <w:marBottom w:val="0"/>
          <w:divBdr>
            <w:top w:val="none" w:sz="0" w:space="0" w:color="auto"/>
            <w:left w:val="none" w:sz="0" w:space="0" w:color="auto"/>
            <w:bottom w:val="none" w:sz="0" w:space="0" w:color="auto"/>
            <w:right w:val="none" w:sz="0" w:space="0" w:color="auto"/>
          </w:divBdr>
          <w:divsChild>
            <w:div w:id="1145850676">
              <w:marLeft w:val="0"/>
              <w:marRight w:val="0"/>
              <w:marTop w:val="0"/>
              <w:marBottom w:val="0"/>
              <w:divBdr>
                <w:top w:val="none" w:sz="0" w:space="0" w:color="auto"/>
                <w:left w:val="none" w:sz="0" w:space="0" w:color="auto"/>
                <w:bottom w:val="none" w:sz="0" w:space="0" w:color="auto"/>
                <w:right w:val="none" w:sz="0" w:space="0" w:color="auto"/>
              </w:divBdr>
              <w:divsChild>
                <w:div w:id="1055929310">
                  <w:marLeft w:val="0"/>
                  <w:marRight w:val="0"/>
                  <w:marTop w:val="0"/>
                  <w:marBottom w:val="0"/>
                  <w:divBdr>
                    <w:top w:val="none" w:sz="0" w:space="0" w:color="auto"/>
                    <w:left w:val="none" w:sz="0" w:space="0" w:color="auto"/>
                    <w:bottom w:val="none" w:sz="0" w:space="0" w:color="auto"/>
                    <w:right w:val="none" w:sz="0" w:space="0" w:color="auto"/>
                  </w:divBdr>
                </w:div>
                <w:div w:id="153029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733462">
      <w:bodyDiv w:val="1"/>
      <w:marLeft w:val="0"/>
      <w:marRight w:val="0"/>
      <w:marTop w:val="0"/>
      <w:marBottom w:val="0"/>
      <w:divBdr>
        <w:top w:val="none" w:sz="0" w:space="0" w:color="auto"/>
        <w:left w:val="none" w:sz="0" w:space="0" w:color="auto"/>
        <w:bottom w:val="none" w:sz="0" w:space="0" w:color="auto"/>
        <w:right w:val="none" w:sz="0" w:space="0" w:color="auto"/>
      </w:divBdr>
      <w:divsChild>
        <w:div w:id="205457925">
          <w:marLeft w:val="0"/>
          <w:marRight w:val="0"/>
          <w:marTop w:val="0"/>
          <w:marBottom w:val="0"/>
          <w:divBdr>
            <w:top w:val="none" w:sz="0" w:space="0" w:color="auto"/>
            <w:left w:val="none" w:sz="0" w:space="0" w:color="auto"/>
            <w:bottom w:val="none" w:sz="0" w:space="0" w:color="auto"/>
            <w:right w:val="none" w:sz="0" w:space="0" w:color="auto"/>
          </w:divBdr>
        </w:div>
        <w:div w:id="1332486406">
          <w:marLeft w:val="0"/>
          <w:marRight w:val="0"/>
          <w:marTop w:val="0"/>
          <w:marBottom w:val="0"/>
          <w:divBdr>
            <w:top w:val="none" w:sz="0" w:space="0" w:color="auto"/>
            <w:left w:val="none" w:sz="0" w:space="0" w:color="auto"/>
            <w:bottom w:val="none" w:sz="0" w:space="0" w:color="auto"/>
            <w:right w:val="none" w:sz="0" w:space="0" w:color="auto"/>
          </w:divBdr>
          <w:divsChild>
            <w:div w:id="1610433907">
              <w:marLeft w:val="0"/>
              <w:marRight w:val="0"/>
              <w:marTop w:val="0"/>
              <w:marBottom w:val="0"/>
              <w:divBdr>
                <w:top w:val="none" w:sz="0" w:space="0" w:color="auto"/>
                <w:left w:val="none" w:sz="0" w:space="0" w:color="auto"/>
                <w:bottom w:val="none" w:sz="0" w:space="0" w:color="auto"/>
                <w:right w:val="none" w:sz="0" w:space="0" w:color="auto"/>
              </w:divBdr>
            </w:div>
            <w:div w:id="2019235370">
              <w:marLeft w:val="0"/>
              <w:marRight w:val="0"/>
              <w:marTop w:val="0"/>
              <w:marBottom w:val="0"/>
              <w:divBdr>
                <w:top w:val="none" w:sz="0" w:space="0" w:color="auto"/>
                <w:left w:val="none" w:sz="0" w:space="0" w:color="auto"/>
                <w:bottom w:val="none" w:sz="0" w:space="0" w:color="auto"/>
                <w:right w:val="none" w:sz="0" w:space="0" w:color="auto"/>
              </w:divBdr>
              <w:divsChild>
                <w:div w:id="158414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191374">
      <w:bodyDiv w:val="1"/>
      <w:marLeft w:val="0"/>
      <w:marRight w:val="0"/>
      <w:marTop w:val="0"/>
      <w:marBottom w:val="0"/>
      <w:divBdr>
        <w:top w:val="none" w:sz="0" w:space="0" w:color="auto"/>
        <w:left w:val="none" w:sz="0" w:space="0" w:color="auto"/>
        <w:bottom w:val="none" w:sz="0" w:space="0" w:color="auto"/>
        <w:right w:val="none" w:sz="0" w:space="0" w:color="auto"/>
      </w:divBdr>
      <w:divsChild>
        <w:div w:id="847715887">
          <w:marLeft w:val="0"/>
          <w:marRight w:val="0"/>
          <w:marTop w:val="0"/>
          <w:marBottom w:val="0"/>
          <w:divBdr>
            <w:top w:val="none" w:sz="0" w:space="0" w:color="auto"/>
            <w:left w:val="none" w:sz="0" w:space="0" w:color="auto"/>
            <w:bottom w:val="none" w:sz="0" w:space="0" w:color="auto"/>
            <w:right w:val="none" w:sz="0" w:space="0" w:color="auto"/>
          </w:divBdr>
        </w:div>
      </w:divsChild>
    </w:div>
    <w:div w:id="1896089949">
      <w:bodyDiv w:val="1"/>
      <w:marLeft w:val="0"/>
      <w:marRight w:val="0"/>
      <w:marTop w:val="0"/>
      <w:marBottom w:val="0"/>
      <w:divBdr>
        <w:top w:val="none" w:sz="0" w:space="0" w:color="auto"/>
        <w:left w:val="none" w:sz="0" w:space="0" w:color="auto"/>
        <w:bottom w:val="none" w:sz="0" w:space="0" w:color="auto"/>
        <w:right w:val="none" w:sz="0" w:space="0" w:color="auto"/>
      </w:divBdr>
      <w:divsChild>
        <w:div w:id="1436242428">
          <w:marLeft w:val="0"/>
          <w:marRight w:val="0"/>
          <w:marTop w:val="0"/>
          <w:marBottom w:val="0"/>
          <w:divBdr>
            <w:top w:val="none" w:sz="0" w:space="0" w:color="auto"/>
            <w:left w:val="none" w:sz="0" w:space="0" w:color="auto"/>
            <w:bottom w:val="none" w:sz="0" w:space="0" w:color="auto"/>
            <w:right w:val="none" w:sz="0" w:space="0" w:color="auto"/>
          </w:divBdr>
        </w:div>
        <w:div w:id="1367174655">
          <w:marLeft w:val="0"/>
          <w:marRight w:val="0"/>
          <w:marTop w:val="0"/>
          <w:marBottom w:val="0"/>
          <w:divBdr>
            <w:top w:val="none" w:sz="0" w:space="0" w:color="auto"/>
            <w:left w:val="none" w:sz="0" w:space="0" w:color="auto"/>
            <w:bottom w:val="none" w:sz="0" w:space="0" w:color="auto"/>
            <w:right w:val="none" w:sz="0" w:space="0" w:color="auto"/>
          </w:divBdr>
        </w:div>
        <w:div w:id="2126608190">
          <w:marLeft w:val="0"/>
          <w:marRight w:val="0"/>
          <w:marTop w:val="0"/>
          <w:marBottom w:val="0"/>
          <w:divBdr>
            <w:top w:val="none" w:sz="0" w:space="0" w:color="auto"/>
            <w:left w:val="none" w:sz="0" w:space="0" w:color="auto"/>
            <w:bottom w:val="none" w:sz="0" w:space="0" w:color="auto"/>
            <w:right w:val="none" w:sz="0" w:space="0" w:color="auto"/>
          </w:divBdr>
        </w:div>
        <w:div w:id="1675843653">
          <w:marLeft w:val="0"/>
          <w:marRight w:val="0"/>
          <w:marTop w:val="0"/>
          <w:marBottom w:val="0"/>
          <w:divBdr>
            <w:top w:val="none" w:sz="0" w:space="0" w:color="auto"/>
            <w:left w:val="none" w:sz="0" w:space="0" w:color="auto"/>
            <w:bottom w:val="none" w:sz="0" w:space="0" w:color="auto"/>
            <w:right w:val="none" w:sz="0" w:space="0" w:color="auto"/>
          </w:divBdr>
          <w:divsChild>
            <w:div w:id="9691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087128">
      <w:bodyDiv w:val="1"/>
      <w:marLeft w:val="0"/>
      <w:marRight w:val="0"/>
      <w:marTop w:val="0"/>
      <w:marBottom w:val="0"/>
      <w:divBdr>
        <w:top w:val="none" w:sz="0" w:space="0" w:color="auto"/>
        <w:left w:val="none" w:sz="0" w:space="0" w:color="auto"/>
        <w:bottom w:val="none" w:sz="0" w:space="0" w:color="auto"/>
        <w:right w:val="none" w:sz="0" w:space="0" w:color="auto"/>
      </w:divBdr>
      <w:divsChild>
        <w:div w:id="392429799">
          <w:marLeft w:val="0"/>
          <w:marRight w:val="0"/>
          <w:marTop w:val="0"/>
          <w:marBottom w:val="0"/>
          <w:divBdr>
            <w:top w:val="none" w:sz="0" w:space="0" w:color="auto"/>
            <w:left w:val="none" w:sz="0" w:space="0" w:color="auto"/>
            <w:bottom w:val="none" w:sz="0" w:space="0" w:color="auto"/>
            <w:right w:val="none" w:sz="0" w:space="0" w:color="auto"/>
          </w:divBdr>
          <w:divsChild>
            <w:div w:id="824273388">
              <w:marLeft w:val="0"/>
              <w:marRight w:val="0"/>
              <w:marTop w:val="0"/>
              <w:marBottom w:val="0"/>
              <w:divBdr>
                <w:top w:val="none" w:sz="0" w:space="0" w:color="auto"/>
                <w:left w:val="none" w:sz="0" w:space="0" w:color="auto"/>
                <w:bottom w:val="none" w:sz="0" w:space="0" w:color="auto"/>
                <w:right w:val="none" w:sz="0" w:space="0" w:color="auto"/>
              </w:divBdr>
              <w:divsChild>
                <w:div w:id="44743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96386">
          <w:marLeft w:val="0"/>
          <w:marRight w:val="0"/>
          <w:marTop w:val="0"/>
          <w:marBottom w:val="0"/>
          <w:divBdr>
            <w:top w:val="none" w:sz="0" w:space="0" w:color="auto"/>
            <w:left w:val="none" w:sz="0" w:space="0" w:color="auto"/>
            <w:bottom w:val="none" w:sz="0" w:space="0" w:color="auto"/>
            <w:right w:val="none" w:sz="0" w:space="0" w:color="auto"/>
          </w:divBdr>
          <w:divsChild>
            <w:div w:id="1851069738">
              <w:marLeft w:val="0"/>
              <w:marRight w:val="0"/>
              <w:marTop w:val="0"/>
              <w:marBottom w:val="0"/>
              <w:divBdr>
                <w:top w:val="none" w:sz="0" w:space="0" w:color="auto"/>
                <w:left w:val="none" w:sz="0" w:space="0" w:color="auto"/>
                <w:bottom w:val="none" w:sz="0" w:space="0" w:color="auto"/>
                <w:right w:val="none" w:sz="0" w:space="0" w:color="auto"/>
              </w:divBdr>
              <w:divsChild>
                <w:div w:id="900286425">
                  <w:marLeft w:val="0"/>
                  <w:marRight w:val="0"/>
                  <w:marTop w:val="0"/>
                  <w:marBottom w:val="0"/>
                  <w:divBdr>
                    <w:top w:val="none" w:sz="0" w:space="0" w:color="auto"/>
                    <w:left w:val="none" w:sz="0" w:space="0" w:color="auto"/>
                    <w:bottom w:val="none" w:sz="0" w:space="0" w:color="auto"/>
                    <w:right w:val="none" w:sz="0" w:space="0" w:color="auto"/>
                  </w:divBdr>
                </w:div>
                <w:div w:id="158918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791832">
      <w:bodyDiv w:val="1"/>
      <w:marLeft w:val="0"/>
      <w:marRight w:val="0"/>
      <w:marTop w:val="0"/>
      <w:marBottom w:val="0"/>
      <w:divBdr>
        <w:top w:val="none" w:sz="0" w:space="0" w:color="auto"/>
        <w:left w:val="none" w:sz="0" w:space="0" w:color="auto"/>
        <w:bottom w:val="none" w:sz="0" w:space="0" w:color="auto"/>
        <w:right w:val="none" w:sz="0" w:space="0" w:color="auto"/>
      </w:divBdr>
      <w:divsChild>
        <w:div w:id="967319817">
          <w:marLeft w:val="0"/>
          <w:marRight w:val="0"/>
          <w:marTop w:val="0"/>
          <w:marBottom w:val="0"/>
          <w:divBdr>
            <w:top w:val="none" w:sz="0" w:space="0" w:color="auto"/>
            <w:left w:val="none" w:sz="0" w:space="0" w:color="auto"/>
            <w:bottom w:val="none" w:sz="0" w:space="0" w:color="auto"/>
            <w:right w:val="none" w:sz="0" w:space="0" w:color="auto"/>
          </w:divBdr>
        </w:div>
        <w:div w:id="1727291585">
          <w:marLeft w:val="0"/>
          <w:marRight w:val="0"/>
          <w:marTop w:val="0"/>
          <w:marBottom w:val="0"/>
          <w:divBdr>
            <w:top w:val="none" w:sz="0" w:space="0" w:color="auto"/>
            <w:left w:val="none" w:sz="0" w:space="0" w:color="auto"/>
            <w:bottom w:val="none" w:sz="0" w:space="0" w:color="auto"/>
            <w:right w:val="none" w:sz="0" w:space="0" w:color="auto"/>
          </w:divBdr>
        </w:div>
      </w:divsChild>
    </w:div>
    <w:div w:id="1906211158">
      <w:bodyDiv w:val="1"/>
      <w:marLeft w:val="0"/>
      <w:marRight w:val="0"/>
      <w:marTop w:val="0"/>
      <w:marBottom w:val="0"/>
      <w:divBdr>
        <w:top w:val="none" w:sz="0" w:space="0" w:color="auto"/>
        <w:left w:val="none" w:sz="0" w:space="0" w:color="auto"/>
        <w:bottom w:val="none" w:sz="0" w:space="0" w:color="auto"/>
        <w:right w:val="none" w:sz="0" w:space="0" w:color="auto"/>
      </w:divBdr>
    </w:div>
    <w:div w:id="1930772158">
      <w:bodyDiv w:val="1"/>
      <w:marLeft w:val="0"/>
      <w:marRight w:val="0"/>
      <w:marTop w:val="0"/>
      <w:marBottom w:val="0"/>
      <w:divBdr>
        <w:top w:val="none" w:sz="0" w:space="0" w:color="auto"/>
        <w:left w:val="none" w:sz="0" w:space="0" w:color="auto"/>
        <w:bottom w:val="none" w:sz="0" w:space="0" w:color="auto"/>
        <w:right w:val="none" w:sz="0" w:space="0" w:color="auto"/>
      </w:divBdr>
      <w:divsChild>
        <w:div w:id="1883636762">
          <w:marLeft w:val="0"/>
          <w:marRight w:val="0"/>
          <w:marTop w:val="0"/>
          <w:marBottom w:val="0"/>
          <w:divBdr>
            <w:top w:val="none" w:sz="0" w:space="0" w:color="auto"/>
            <w:left w:val="none" w:sz="0" w:space="0" w:color="auto"/>
            <w:bottom w:val="none" w:sz="0" w:space="0" w:color="auto"/>
            <w:right w:val="none" w:sz="0" w:space="0" w:color="auto"/>
          </w:divBdr>
        </w:div>
      </w:divsChild>
    </w:div>
    <w:div w:id="1946227554">
      <w:bodyDiv w:val="1"/>
      <w:marLeft w:val="0"/>
      <w:marRight w:val="0"/>
      <w:marTop w:val="0"/>
      <w:marBottom w:val="0"/>
      <w:divBdr>
        <w:top w:val="none" w:sz="0" w:space="0" w:color="auto"/>
        <w:left w:val="none" w:sz="0" w:space="0" w:color="auto"/>
        <w:bottom w:val="none" w:sz="0" w:space="0" w:color="auto"/>
        <w:right w:val="none" w:sz="0" w:space="0" w:color="auto"/>
      </w:divBdr>
      <w:divsChild>
        <w:div w:id="628824122">
          <w:marLeft w:val="0"/>
          <w:marRight w:val="0"/>
          <w:marTop w:val="0"/>
          <w:marBottom w:val="0"/>
          <w:divBdr>
            <w:top w:val="none" w:sz="0" w:space="0" w:color="auto"/>
            <w:left w:val="none" w:sz="0" w:space="0" w:color="auto"/>
            <w:bottom w:val="none" w:sz="0" w:space="0" w:color="auto"/>
            <w:right w:val="none" w:sz="0" w:space="0" w:color="auto"/>
          </w:divBdr>
        </w:div>
      </w:divsChild>
    </w:div>
    <w:div w:id="1946377113">
      <w:bodyDiv w:val="1"/>
      <w:marLeft w:val="0"/>
      <w:marRight w:val="0"/>
      <w:marTop w:val="0"/>
      <w:marBottom w:val="0"/>
      <w:divBdr>
        <w:top w:val="none" w:sz="0" w:space="0" w:color="auto"/>
        <w:left w:val="none" w:sz="0" w:space="0" w:color="auto"/>
        <w:bottom w:val="none" w:sz="0" w:space="0" w:color="auto"/>
        <w:right w:val="none" w:sz="0" w:space="0" w:color="auto"/>
      </w:divBdr>
      <w:divsChild>
        <w:div w:id="1855145518">
          <w:marLeft w:val="0"/>
          <w:marRight w:val="0"/>
          <w:marTop w:val="0"/>
          <w:marBottom w:val="0"/>
          <w:divBdr>
            <w:top w:val="none" w:sz="0" w:space="0" w:color="auto"/>
            <w:left w:val="none" w:sz="0" w:space="0" w:color="auto"/>
            <w:bottom w:val="none" w:sz="0" w:space="0" w:color="auto"/>
            <w:right w:val="none" w:sz="0" w:space="0" w:color="auto"/>
          </w:divBdr>
        </w:div>
      </w:divsChild>
    </w:div>
    <w:div w:id="1947347620">
      <w:bodyDiv w:val="1"/>
      <w:marLeft w:val="0"/>
      <w:marRight w:val="0"/>
      <w:marTop w:val="0"/>
      <w:marBottom w:val="0"/>
      <w:divBdr>
        <w:top w:val="none" w:sz="0" w:space="0" w:color="auto"/>
        <w:left w:val="none" w:sz="0" w:space="0" w:color="auto"/>
        <w:bottom w:val="none" w:sz="0" w:space="0" w:color="auto"/>
        <w:right w:val="none" w:sz="0" w:space="0" w:color="auto"/>
      </w:divBdr>
    </w:div>
    <w:div w:id="1947928097">
      <w:bodyDiv w:val="1"/>
      <w:marLeft w:val="0"/>
      <w:marRight w:val="0"/>
      <w:marTop w:val="0"/>
      <w:marBottom w:val="0"/>
      <w:divBdr>
        <w:top w:val="none" w:sz="0" w:space="0" w:color="auto"/>
        <w:left w:val="none" w:sz="0" w:space="0" w:color="auto"/>
        <w:bottom w:val="none" w:sz="0" w:space="0" w:color="auto"/>
        <w:right w:val="none" w:sz="0" w:space="0" w:color="auto"/>
      </w:divBdr>
    </w:div>
    <w:div w:id="1957516765">
      <w:bodyDiv w:val="1"/>
      <w:marLeft w:val="0"/>
      <w:marRight w:val="0"/>
      <w:marTop w:val="0"/>
      <w:marBottom w:val="0"/>
      <w:divBdr>
        <w:top w:val="none" w:sz="0" w:space="0" w:color="auto"/>
        <w:left w:val="none" w:sz="0" w:space="0" w:color="auto"/>
        <w:bottom w:val="none" w:sz="0" w:space="0" w:color="auto"/>
        <w:right w:val="none" w:sz="0" w:space="0" w:color="auto"/>
      </w:divBdr>
      <w:divsChild>
        <w:div w:id="1422335865">
          <w:marLeft w:val="0"/>
          <w:marRight w:val="0"/>
          <w:marTop w:val="0"/>
          <w:marBottom w:val="0"/>
          <w:divBdr>
            <w:top w:val="none" w:sz="0" w:space="0" w:color="auto"/>
            <w:left w:val="none" w:sz="0" w:space="0" w:color="auto"/>
            <w:bottom w:val="none" w:sz="0" w:space="0" w:color="auto"/>
            <w:right w:val="none" w:sz="0" w:space="0" w:color="auto"/>
          </w:divBdr>
        </w:div>
      </w:divsChild>
    </w:div>
    <w:div w:id="1968925934">
      <w:bodyDiv w:val="1"/>
      <w:marLeft w:val="0"/>
      <w:marRight w:val="0"/>
      <w:marTop w:val="0"/>
      <w:marBottom w:val="0"/>
      <w:divBdr>
        <w:top w:val="none" w:sz="0" w:space="0" w:color="auto"/>
        <w:left w:val="none" w:sz="0" w:space="0" w:color="auto"/>
        <w:bottom w:val="none" w:sz="0" w:space="0" w:color="auto"/>
        <w:right w:val="none" w:sz="0" w:space="0" w:color="auto"/>
      </w:divBdr>
      <w:divsChild>
        <w:div w:id="167135613">
          <w:marLeft w:val="0"/>
          <w:marRight w:val="0"/>
          <w:marTop w:val="0"/>
          <w:marBottom w:val="0"/>
          <w:divBdr>
            <w:top w:val="none" w:sz="0" w:space="0" w:color="auto"/>
            <w:left w:val="none" w:sz="0" w:space="0" w:color="auto"/>
            <w:bottom w:val="none" w:sz="0" w:space="0" w:color="auto"/>
            <w:right w:val="none" w:sz="0" w:space="0" w:color="auto"/>
          </w:divBdr>
        </w:div>
        <w:div w:id="1293559523">
          <w:marLeft w:val="0"/>
          <w:marRight w:val="0"/>
          <w:marTop w:val="0"/>
          <w:marBottom w:val="0"/>
          <w:divBdr>
            <w:top w:val="none" w:sz="0" w:space="0" w:color="auto"/>
            <w:left w:val="none" w:sz="0" w:space="0" w:color="auto"/>
            <w:bottom w:val="none" w:sz="0" w:space="0" w:color="auto"/>
            <w:right w:val="none" w:sz="0" w:space="0" w:color="auto"/>
          </w:divBdr>
        </w:div>
      </w:divsChild>
    </w:div>
    <w:div w:id="1981229217">
      <w:bodyDiv w:val="1"/>
      <w:marLeft w:val="0"/>
      <w:marRight w:val="0"/>
      <w:marTop w:val="0"/>
      <w:marBottom w:val="0"/>
      <w:divBdr>
        <w:top w:val="none" w:sz="0" w:space="0" w:color="auto"/>
        <w:left w:val="none" w:sz="0" w:space="0" w:color="auto"/>
        <w:bottom w:val="none" w:sz="0" w:space="0" w:color="auto"/>
        <w:right w:val="none" w:sz="0" w:space="0" w:color="auto"/>
      </w:divBdr>
      <w:divsChild>
        <w:div w:id="6635351">
          <w:marLeft w:val="0"/>
          <w:marRight w:val="0"/>
          <w:marTop w:val="0"/>
          <w:marBottom w:val="0"/>
          <w:divBdr>
            <w:top w:val="none" w:sz="0" w:space="0" w:color="auto"/>
            <w:left w:val="none" w:sz="0" w:space="0" w:color="auto"/>
            <w:bottom w:val="none" w:sz="0" w:space="0" w:color="auto"/>
            <w:right w:val="none" w:sz="0" w:space="0" w:color="auto"/>
          </w:divBdr>
        </w:div>
      </w:divsChild>
    </w:div>
    <w:div w:id="1989939727">
      <w:bodyDiv w:val="1"/>
      <w:marLeft w:val="0"/>
      <w:marRight w:val="0"/>
      <w:marTop w:val="0"/>
      <w:marBottom w:val="0"/>
      <w:divBdr>
        <w:top w:val="none" w:sz="0" w:space="0" w:color="auto"/>
        <w:left w:val="none" w:sz="0" w:space="0" w:color="auto"/>
        <w:bottom w:val="none" w:sz="0" w:space="0" w:color="auto"/>
        <w:right w:val="none" w:sz="0" w:space="0" w:color="auto"/>
      </w:divBdr>
      <w:divsChild>
        <w:div w:id="875770810">
          <w:marLeft w:val="0"/>
          <w:marRight w:val="0"/>
          <w:marTop w:val="0"/>
          <w:marBottom w:val="0"/>
          <w:divBdr>
            <w:top w:val="none" w:sz="0" w:space="0" w:color="auto"/>
            <w:left w:val="none" w:sz="0" w:space="0" w:color="auto"/>
            <w:bottom w:val="none" w:sz="0" w:space="0" w:color="auto"/>
            <w:right w:val="none" w:sz="0" w:space="0" w:color="auto"/>
          </w:divBdr>
        </w:div>
      </w:divsChild>
    </w:div>
    <w:div w:id="1993943173">
      <w:bodyDiv w:val="1"/>
      <w:marLeft w:val="0"/>
      <w:marRight w:val="0"/>
      <w:marTop w:val="0"/>
      <w:marBottom w:val="0"/>
      <w:divBdr>
        <w:top w:val="none" w:sz="0" w:space="0" w:color="auto"/>
        <w:left w:val="none" w:sz="0" w:space="0" w:color="auto"/>
        <w:bottom w:val="none" w:sz="0" w:space="0" w:color="auto"/>
        <w:right w:val="none" w:sz="0" w:space="0" w:color="auto"/>
      </w:divBdr>
      <w:divsChild>
        <w:div w:id="1625188019">
          <w:marLeft w:val="0"/>
          <w:marRight w:val="0"/>
          <w:marTop w:val="0"/>
          <w:marBottom w:val="0"/>
          <w:divBdr>
            <w:top w:val="none" w:sz="0" w:space="0" w:color="auto"/>
            <w:left w:val="none" w:sz="0" w:space="0" w:color="auto"/>
            <w:bottom w:val="none" w:sz="0" w:space="0" w:color="auto"/>
            <w:right w:val="none" w:sz="0" w:space="0" w:color="auto"/>
          </w:divBdr>
        </w:div>
        <w:div w:id="2056537279">
          <w:marLeft w:val="0"/>
          <w:marRight w:val="0"/>
          <w:marTop w:val="0"/>
          <w:marBottom w:val="0"/>
          <w:divBdr>
            <w:top w:val="none" w:sz="0" w:space="0" w:color="auto"/>
            <w:left w:val="none" w:sz="0" w:space="0" w:color="auto"/>
            <w:bottom w:val="none" w:sz="0" w:space="0" w:color="auto"/>
            <w:right w:val="none" w:sz="0" w:space="0" w:color="auto"/>
          </w:divBdr>
        </w:div>
        <w:div w:id="1777869551">
          <w:marLeft w:val="0"/>
          <w:marRight w:val="0"/>
          <w:marTop w:val="0"/>
          <w:marBottom w:val="0"/>
          <w:divBdr>
            <w:top w:val="none" w:sz="0" w:space="0" w:color="auto"/>
            <w:left w:val="none" w:sz="0" w:space="0" w:color="auto"/>
            <w:bottom w:val="none" w:sz="0" w:space="0" w:color="auto"/>
            <w:right w:val="none" w:sz="0" w:space="0" w:color="auto"/>
          </w:divBdr>
        </w:div>
        <w:div w:id="4599361">
          <w:marLeft w:val="0"/>
          <w:marRight w:val="0"/>
          <w:marTop w:val="0"/>
          <w:marBottom w:val="0"/>
          <w:divBdr>
            <w:top w:val="none" w:sz="0" w:space="0" w:color="auto"/>
            <w:left w:val="none" w:sz="0" w:space="0" w:color="auto"/>
            <w:bottom w:val="none" w:sz="0" w:space="0" w:color="auto"/>
            <w:right w:val="none" w:sz="0" w:space="0" w:color="auto"/>
          </w:divBdr>
          <w:divsChild>
            <w:div w:id="91259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86601">
      <w:bodyDiv w:val="1"/>
      <w:marLeft w:val="0"/>
      <w:marRight w:val="0"/>
      <w:marTop w:val="0"/>
      <w:marBottom w:val="0"/>
      <w:divBdr>
        <w:top w:val="none" w:sz="0" w:space="0" w:color="auto"/>
        <w:left w:val="none" w:sz="0" w:space="0" w:color="auto"/>
        <w:bottom w:val="none" w:sz="0" w:space="0" w:color="auto"/>
        <w:right w:val="none" w:sz="0" w:space="0" w:color="auto"/>
      </w:divBdr>
      <w:divsChild>
        <w:div w:id="452672924">
          <w:marLeft w:val="0"/>
          <w:marRight w:val="0"/>
          <w:marTop w:val="0"/>
          <w:marBottom w:val="166"/>
          <w:divBdr>
            <w:top w:val="none" w:sz="0" w:space="0" w:color="auto"/>
            <w:left w:val="none" w:sz="0" w:space="0" w:color="auto"/>
            <w:bottom w:val="none" w:sz="0" w:space="0" w:color="auto"/>
            <w:right w:val="none" w:sz="0" w:space="0" w:color="auto"/>
          </w:divBdr>
          <w:divsChild>
            <w:div w:id="1789619251">
              <w:marLeft w:val="0"/>
              <w:marRight w:val="0"/>
              <w:marTop w:val="0"/>
              <w:marBottom w:val="166"/>
              <w:divBdr>
                <w:top w:val="none" w:sz="0" w:space="0" w:color="auto"/>
                <w:left w:val="none" w:sz="0" w:space="0" w:color="auto"/>
                <w:bottom w:val="none" w:sz="0" w:space="0" w:color="auto"/>
                <w:right w:val="none" w:sz="0" w:space="0" w:color="auto"/>
              </w:divBdr>
              <w:divsChild>
                <w:div w:id="1768187991">
                  <w:marLeft w:val="0"/>
                  <w:marRight w:val="0"/>
                  <w:marTop w:val="0"/>
                  <w:marBottom w:val="0"/>
                  <w:divBdr>
                    <w:top w:val="none" w:sz="0" w:space="0" w:color="auto"/>
                    <w:left w:val="none" w:sz="0" w:space="0" w:color="auto"/>
                    <w:bottom w:val="none" w:sz="0" w:space="0" w:color="auto"/>
                    <w:right w:val="none" w:sz="0" w:space="0" w:color="auto"/>
                  </w:divBdr>
                  <w:divsChild>
                    <w:div w:id="1802310260">
                      <w:marLeft w:val="0"/>
                      <w:marRight w:val="0"/>
                      <w:marTop w:val="0"/>
                      <w:marBottom w:val="0"/>
                      <w:divBdr>
                        <w:top w:val="none" w:sz="0" w:space="0" w:color="auto"/>
                        <w:left w:val="none" w:sz="0" w:space="0" w:color="auto"/>
                        <w:bottom w:val="none" w:sz="0" w:space="0" w:color="auto"/>
                        <w:right w:val="none" w:sz="0" w:space="0" w:color="auto"/>
                      </w:divBdr>
                      <w:divsChild>
                        <w:div w:id="1122646760">
                          <w:marLeft w:val="0"/>
                          <w:marRight w:val="0"/>
                          <w:marTop w:val="0"/>
                          <w:marBottom w:val="0"/>
                          <w:divBdr>
                            <w:top w:val="none" w:sz="0" w:space="0" w:color="auto"/>
                            <w:left w:val="none" w:sz="0" w:space="0" w:color="auto"/>
                            <w:bottom w:val="none" w:sz="0" w:space="0" w:color="auto"/>
                            <w:right w:val="none" w:sz="0" w:space="0" w:color="auto"/>
                          </w:divBdr>
                          <w:divsChild>
                            <w:div w:id="112430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16119">
                      <w:marLeft w:val="0"/>
                      <w:marRight w:val="0"/>
                      <w:marTop w:val="0"/>
                      <w:marBottom w:val="0"/>
                      <w:divBdr>
                        <w:top w:val="none" w:sz="0" w:space="0" w:color="auto"/>
                        <w:left w:val="none" w:sz="0" w:space="0" w:color="auto"/>
                        <w:bottom w:val="none" w:sz="0" w:space="0" w:color="auto"/>
                        <w:right w:val="none" w:sz="0" w:space="0" w:color="auto"/>
                      </w:divBdr>
                      <w:divsChild>
                        <w:div w:id="19058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564136">
              <w:marLeft w:val="0"/>
              <w:marRight w:val="0"/>
              <w:marTop w:val="166"/>
              <w:marBottom w:val="166"/>
              <w:divBdr>
                <w:top w:val="none" w:sz="0" w:space="0" w:color="auto"/>
                <w:left w:val="none" w:sz="0" w:space="0" w:color="auto"/>
                <w:bottom w:val="none" w:sz="0" w:space="0" w:color="auto"/>
                <w:right w:val="none" w:sz="0" w:space="0" w:color="auto"/>
              </w:divBdr>
              <w:divsChild>
                <w:div w:id="2091661211">
                  <w:marLeft w:val="0"/>
                  <w:marRight w:val="0"/>
                  <w:marTop w:val="0"/>
                  <w:marBottom w:val="0"/>
                  <w:divBdr>
                    <w:top w:val="none" w:sz="0" w:space="0" w:color="auto"/>
                    <w:left w:val="none" w:sz="0" w:space="0" w:color="auto"/>
                    <w:bottom w:val="none" w:sz="0" w:space="0" w:color="auto"/>
                    <w:right w:val="none" w:sz="0" w:space="0" w:color="auto"/>
                  </w:divBdr>
                </w:div>
              </w:divsChild>
            </w:div>
            <w:div w:id="757410342">
              <w:marLeft w:val="0"/>
              <w:marRight w:val="0"/>
              <w:marTop w:val="166"/>
              <w:marBottom w:val="166"/>
              <w:divBdr>
                <w:top w:val="none" w:sz="0" w:space="0" w:color="auto"/>
                <w:left w:val="none" w:sz="0" w:space="0" w:color="auto"/>
                <w:bottom w:val="none" w:sz="0" w:space="0" w:color="auto"/>
                <w:right w:val="none" w:sz="0" w:space="0" w:color="auto"/>
              </w:divBdr>
              <w:divsChild>
                <w:div w:id="50925105">
                  <w:marLeft w:val="0"/>
                  <w:marRight w:val="0"/>
                  <w:marTop w:val="166"/>
                  <w:marBottom w:val="166"/>
                  <w:divBdr>
                    <w:top w:val="none" w:sz="0" w:space="0" w:color="auto"/>
                    <w:left w:val="none" w:sz="0" w:space="0" w:color="auto"/>
                    <w:bottom w:val="none" w:sz="0" w:space="0" w:color="auto"/>
                    <w:right w:val="none" w:sz="0" w:space="0" w:color="auto"/>
                  </w:divBdr>
                  <w:divsChild>
                    <w:div w:id="101264874">
                      <w:marLeft w:val="0"/>
                      <w:marRight w:val="0"/>
                      <w:marTop w:val="0"/>
                      <w:marBottom w:val="0"/>
                      <w:divBdr>
                        <w:top w:val="none" w:sz="0" w:space="0" w:color="auto"/>
                        <w:left w:val="none" w:sz="0" w:space="0" w:color="auto"/>
                        <w:bottom w:val="none" w:sz="0" w:space="0" w:color="auto"/>
                        <w:right w:val="none" w:sz="0" w:space="0" w:color="auto"/>
                      </w:divBdr>
                    </w:div>
                  </w:divsChild>
                </w:div>
                <w:div w:id="19355892">
                  <w:marLeft w:val="0"/>
                  <w:marRight w:val="0"/>
                  <w:marTop w:val="0"/>
                  <w:marBottom w:val="0"/>
                  <w:divBdr>
                    <w:top w:val="none" w:sz="0" w:space="0" w:color="auto"/>
                    <w:left w:val="none" w:sz="0" w:space="0" w:color="auto"/>
                    <w:bottom w:val="none" w:sz="0" w:space="0" w:color="auto"/>
                    <w:right w:val="none" w:sz="0" w:space="0" w:color="auto"/>
                  </w:divBdr>
                </w:div>
              </w:divsChild>
            </w:div>
            <w:div w:id="147021568">
              <w:marLeft w:val="0"/>
              <w:marRight w:val="0"/>
              <w:marTop w:val="332"/>
              <w:marBottom w:val="332"/>
              <w:divBdr>
                <w:top w:val="single" w:sz="6" w:space="5" w:color="EAC3AF"/>
                <w:left w:val="single" w:sz="6" w:space="8" w:color="EAC3AF"/>
                <w:bottom w:val="single" w:sz="6" w:space="5" w:color="EAC3AF"/>
                <w:right w:val="single" w:sz="6" w:space="8" w:color="EAC3AF"/>
              </w:divBdr>
              <w:divsChild>
                <w:div w:id="647130480">
                  <w:marLeft w:val="0"/>
                  <w:marRight w:val="0"/>
                  <w:marTop w:val="0"/>
                  <w:marBottom w:val="0"/>
                  <w:divBdr>
                    <w:top w:val="none" w:sz="0" w:space="0" w:color="auto"/>
                    <w:left w:val="none" w:sz="0" w:space="0" w:color="auto"/>
                    <w:bottom w:val="none" w:sz="0" w:space="0" w:color="auto"/>
                    <w:right w:val="none" w:sz="0" w:space="0" w:color="auto"/>
                  </w:divBdr>
                  <w:divsChild>
                    <w:div w:id="5932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998685">
          <w:marLeft w:val="0"/>
          <w:marRight w:val="0"/>
          <w:marTop w:val="300"/>
          <w:marBottom w:val="0"/>
          <w:divBdr>
            <w:top w:val="none" w:sz="0" w:space="0" w:color="auto"/>
            <w:left w:val="none" w:sz="0" w:space="0" w:color="auto"/>
            <w:bottom w:val="none" w:sz="0" w:space="0" w:color="auto"/>
            <w:right w:val="none" w:sz="0" w:space="0" w:color="auto"/>
          </w:divBdr>
          <w:divsChild>
            <w:div w:id="6151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10419">
      <w:bodyDiv w:val="1"/>
      <w:marLeft w:val="0"/>
      <w:marRight w:val="0"/>
      <w:marTop w:val="0"/>
      <w:marBottom w:val="0"/>
      <w:divBdr>
        <w:top w:val="none" w:sz="0" w:space="0" w:color="auto"/>
        <w:left w:val="none" w:sz="0" w:space="0" w:color="auto"/>
        <w:bottom w:val="none" w:sz="0" w:space="0" w:color="auto"/>
        <w:right w:val="none" w:sz="0" w:space="0" w:color="auto"/>
      </w:divBdr>
      <w:divsChild>
        <w:div w:id="1704671399">
          <w:marLeft w:val="0"/>
          <w:marRight w:val="0"/>
          <w:marTop w:val="0"/>
          <w:marBottom w:val="0"/>
          <w:divBdr>
            <w:top w:val="none" w:sz="0" w:space="0" w:color="auto"/>
            <w:left w:val="none" w:sz="0" w:space="0" w:color="auto"/>
            <w:bottom w:val="none" w:sz="0" w:space="0" w:color="auto"/>
            <w:right w:val="none" w:sz="0" w:space="0" w:color="auto"/>
          </w:divBdr>
        </w:div>
      </w:divsChild>
    </w:div>
    <w:div w:id="2058046017">
      <w:bodyDiv w:val="1"/>
      <w:marLeft w:val="0"/>
      <w:marRight w:val="0"/>
      <w:marTop w:val="0"/>
      <w:marBottom w:val="0"/>
      <w:divBdr>
        <w:top w:val="none" w:sz="0" w:space="0" w:color="auto"/>
        <w:left w:val="none" w:sz="0" w:space="0" w:color="auto"/>
        <w:bottom w:val="none" w:sz="0" w:space="0" w:color="auto"/>
        <w:right w:val="none" w:sz="0" w:space="0" w:color="auto"/>
      </w:divBdr>
      <w:divsChild>
        <w:div w:id="21369981">
          <w:marLeft w:val="0"/>
          <w:marRight w:val="0"/>
          <w:marTop w:val="0"/>
          <w:marBottom w:val="0"/>
          <w:divBdr>
            <w:top w:val="none" w:sz="0" w:space="0" w:color="auto"/>
            <w:left w:val="none" w:sz="0" w:space="0" w:color="auto"/>
            <w:bottom w:val="none" w:sz="0" w:space="0" w:color="auto"/>
            <w:right w:val="none" w:sz="0" w:space="0" w:color="auto"/>
          </w:divBdr>
        </w:div>
      </w:divsChild>
    </w:div>
    <w:div w:id="2059157226">
      <w:bodyDiv w:val="1"/>
      <w:marLeft w:val="0"/>
      <w:marRight w:val="0"/>
      <w:marTop w:val="0"/>
      <w:marBottom w:val="0"/>
      <w:divBdr>
        <w:top w:val="none" w:sz="0" w:space="0" w:color="auto"/>
        <w:left w:val="none" w:sz="0" w:space="0" w:color="auto"/>
        <w:bottom w:val="none" w:sz="0" w:space="0" w:color="auto"/>
        <w:right w:val="none" w:sz="0" w:space="0" w:color="auto"/>
      </w:divBdr>
    </w:div>
    <w:div w:id="2060397649">
      <w:bodyDiv w:val="1"/>
      <w:marLeft w:val="0"/>
      <w:marRight w:val="0"/>
      <w:marTop w:val="0"/>
      <w:marBottom w:val="0"/>
      <w:divBdr>
        <w:top w:val="none" w:sz="0" w:space="0" w:color="auto"/>
        <w:left w:val="none" w:sz="0" w:space="0" w:color="auto"/>
        <w:bottom w:val="none" w:sz="0" w:space="0" w:color="auto"/>
        <w:right w:val="none" w:sz="0" w:space="0" w:color="auto"/>
      </w:divBdr>
      <w:divsChild>
        <w:div w:id="137386660">
          <w:marLeft w:val="0"/>
          <w:marRight w:val="0"/>
          <w:marTop w:val="0"/>
          <w:marBottom w:val="0"/>
          <w:divBdr>
            <w:top w:val="none" w:sz="0" w:space="0" w:color="auto"/>
            <w:left w:val="none" w:sz="0" w:space="0" w:color="auto"/>
            <w:bottom w:val="none" w:sz="0" w:space="0" w:color="auto"/>
            <w:right w:val="none" w:sz="0" w:space="0" w:color="auto"/>
          </w:divBdr>
        </w:div>
      </w:divsChild>
    </w:div>
    <w:div w:id="2089615521">
      <w:bodyDiv w:val="1"/>
      <w:marLeft w:val="0"/>
      <w:marRight w:val="0"/>
      <w:marTop w:val="0"/>
      <w:marBottom w:val="0"/>
      <w:divBdr>
        <w:top w:val="none" w:sz="0" w:space="0" w:color="auto"/>
        <w:left w:val="none" w:sz="0" w:space="0" w:color="auto"/>
        <w:bottom w:val="none" w:sz="0" w:space="0" w:color="auto"/>
        <w:right w:val="none" w:sz="0" w:space="0" w:color="auto"/>
      </w:divBdr>
    </w:div>
    <w:div w:id="2093618237">
      <w:bodyDiv w:val="1"/>
      <w:marLeft w:val="0"/>
      <w:marRight w:val="0"/>
      <w:marTop w:val="0"/>
      <w:marBottom w:val="0"/>
      <w:divBdr>
        <w:top w:val="none" w:sz="0" w:space="0" w:color="auto"/>
        <w:left w:val="none" w:sz="0" w:space="0" w:color="auto"/>
        <w:bottom w:val="none" w:sz="0" w:space="0" w:color="auto"/>
        <w:right w:val="none" w:sz="0" w:space="0" w:color="auto"/>
      </w:divBdr>
      <w:divsChild>
        <w:div w:id="1530676185">
          <w:marLeft w:val="0"/>
          <w:marRight w:val="0"/>
          <w:marTop w:val="0"/>
          <w:marBottom w:val="0"/>
          <w:divBdr>
            <w:top w:val="none" w:sz="0" w:space="0" w:color="auto"/>
            <w:left w:val="none" w:sz="0" w:space="0" w:color="auto"/>
            <w:bottom w:val="none" w:sz="0" w:space="0" w:color="auto"/>
            <w:right w:val="none" w:sz="0" w:space="0" w:color="auto"/>
          </w:divBdr>
        </w:div>
      </w:divsChild>
    </w:div>
    <w:div w:id="2106686625">
      <w:bodyDiv w:val="1"/>
      <w:marLeft w:val="0"/>
      <w:marRight w:val="0"/>
      <w:marTop w:val="0"/>
      <w:marBottom w:val="0"/>
      <w:divBdr>
        <w:top w:val="none" w:sz="0" w:space="0" w:color="auto"/>
        <w:left w:val="none" w:sz="0" w:space="0" w:color="auto"/>
        <w:bottom w:val="none" w:sz="0" w:space="0" w:color="auto"/>
        <w:right w:val="none" w:sz="0" w:space="0" w:color="auto"/>
      </w:divBdr>
      <w:divsChild>
        <w:div w:id="1181508601">
          <w:marLeft w:val="0"/>
          <w:marRight w:val="0"/>
          <w:marTop w:val="0"/>
          <w:marBottom w:val="0"/>
          <w:divBdr>
            <w:top w:val="none" w:sz="0" w:space="0" w:color="auto"/>
            <w:left w:val="none" w:sz="0" w:space="0" w:color="auto"/>
            <w:bottom w:val="none" w:sz="0" w:space="0" w:color="auto"/>
            <w:right w:val="none" w:sz="0" w:space="0" w:color="auto"/>
          </w:divBdr>
        </w:div>
      </w:divsChild>
    </w:div>
    <w:div w:id="2113893956">
      <w:bodyDiv w:val="1"/>
      <w:marLeft w:val="0"/>
      <w:marRight w:val="0"/>
      <w:marTop w:val="0"/>
      <w:marBottom w:val="0"/>
      <w:divBdr>
        <w:top w:val="none" w:sz="0" w:space="0" w:color="auto"/>
        <w:left w:val="none" w:sz="0" w:space="0" w:color="auto"/>
        <w:bottom w:val="none" w:sz="0" w:space="0" w:color="auto"/>
        <w:right w:val="none" w:sz="0" w:space="0" w:color="auto"/>
      </w:divBdr>
      <w:divsChild>
        <w:div w:id="1445464234">
          <w:marLeft w:val="0"/>
          <w:marRight w:val="0"/>
          <w:marTop w:val="0"/>
          <w:marBottom w:val="0"/>
          <w:divBdr>
            <w:top w:val="none" w:sz="0" w:space="0" w:color="auto"/>
            <w:left w:val="none" w:sz="0" w:space="0" w:color="auto"/>
            <w:bottom w:val="none" w:sz="0" w:space="0" w:color="auto"/>
            <w:right w:val="none" w:sz="0" w:space="0" w:color="auto"/>
          </w:divBdr>
        </w:div>
      </w:divsChild>
    </w:div>
    <w:div w:id="2114862330">
      <w:bodyDiv w:val="1"/>
      <w:marLeft w:val="0"/>
      <w:marRight w:val="0"/>
      <w:marTop w:val="0"/>
      <w:marBottom w:val="0"/>
      <w:divBdr>
        <w:top w:val="none" w:sz="0" w:space="0" w:color="auto"/>
        <w:left w:val="none" w:sz="0" w:space="0" w:color="auto"/>
        <w:bottom w:val="none" w:sz="0" w:space="0" w:color="auto"/>
        <w:right w:val="none" w:sz="0" w:space="0" w:color="auto"/>
      </w:divBdr>
    </w:div>
    <w:div w:id="2132361992">
      <w:bodyDiv w:val="1"/>
      <w:marLeft w:val="0"/>
      <w:marRight w:val="0"/>
      <w:marTop w:val="0"/>
      <w:marBottom w:val="0"/>
      <w:divBdr>
        <w:top w:val="none" w:sz="0" w:space="0" w:color="auto"/>
        <w:left w:val="none" w:sz="0" w:space="0" w:color="auto"/>
        <w:bottom w:val="none" w:sz="0" w:space="0" w:color="auto"/>
        <w:right w:val="none" w:sz="0" w:space="0" w:color="auto"/>
      </w:divBdr>
      <w:divsChild>
        <w:div w:id="1547595285">
          <w:marLeft w:val="0"/>
          <w:marRight w:val="0"/>
          <w:marTop w:val="0"/>
          <w:marBottom w:val="0"/>
          <w:divBdr>
            <w:top w:val="none" w:sz="0" w:space="0" w:color="auto"/>
            <w:left w:val="none" w:sz="0" w:space="0" w:color="auto"/>
            <w:bottom w:val="none" w:sz="0" w:space="0" w:color="auto"/>
            <w:right w:val="none" w:sz="0" w:space="0" w:color="auto"/>
          </w:divBdr>
        </w:div>
        <w:div w:id="1465386454">
          <w:marLeft w:val="0"/>
          <w:marRight w:val="0"/>
          <w:marTop w:val="0"/>
          <w:marBottom w:val="0"/>
          <w:divBdr>
            <w:top w:val="none" w:sz="0" w:space="0" w:color="auto"/>
            <w:left w:val="none" w:sz="0" w:space="0" w:color="auto"/>
            <w:bottom w:val="none" w:sz="0" w:space="0" w:color="auto"/>
            <w:right w:val="none" w:sz="0" w:space="0" w:color="auto"/>
          </w:divBdr>
        </w:div>
      </w:divsChild>
    </w:div>
    <w:div w:id="2133211511">
      <w:bodyDiv w:val="1"/>
      <w:marLeft w:val="0"/>
      <w:marRight w:val="0"/>
      <w:marTop w:val="0"/>
      <w:marBottom w:val="0"/>
      <w:divBdr>
        <w:top w:val="none" w:sz="0" w:space="0" w:color="auto"/>
        <w:left w:val="none" w:sz="0" w:space="0" w:color="auto"/>
        <w:bottom w:val="none" w:sz="0" w:space="0" w:color="auto"/>
        <w:right w:val="none" w:sz="0" w:space="0" w:color="auto"/>
      </w:divBdr>
      <w:divsChild>
        <w:div w:id="1174032409">
          <w:marLeft w:val="0"/>
          <w:marRight w:val="0"/>
          <w:marTop w:val="0"/>
          <w:marBottom w:val="0"/>
          <w:divBdr>
            <w:top w:val="none" w:sz="0" w:space="0" w:color="auto"/>
            <w:left w:val="none" w:sz="0" w:space="0" w:color="auto"/>
            <w:bottom w:val="none" w:sz="0" w:space="0" w:color="auto"/>
            <w:right w:val="none" w:sz="0" w:space="0" w:color="auto"/>
          </w:divBdr>
          <w:divsChild>
            <w:div w:id="2034842483">
              <w:marLeft w:val="0"/>
              <w:marRight w:val="0"/>
              <w:marTop w:val="0"/>
              <w:marBottom w:val="0"/>
              <w:divBdr>
                <w:top w:val="none" w:sz="0" w:space="0" w:color="auto"/>
                <w:left w:val="none" w:sz="0" w:space="0" w:color="auto"/>
                <w:bottom w:val="none" w:sz="0" w:space="0" w:color="auto"/>
                <w:right w:val="none" w:sz="0" w:space="0" w:color="auto"/>
              </w:divBdr>
              <w:divsChild>
                <w:div w:id="108865592">
                  <w:marLeft w:val="0"/>
                  <w:marRight w:val="0"/>
                  <w:marTop w:val="0"/>
                  <w:marBottom w:val="0"/>
                  <w:divBdr>
                    <w:top w:val="none" w:sz="0" w:space="0" w:color="auto"/>
                    <w:left w:val="none" w:sz="0" w:space="0" w:color="auto"/>
                    <w:bottom w:val="none" w:sz="0" w:space="0" w:color="auto"/>
                    <w:right w:val="none" w:sz="0" w:space="0" w:color="auto"/>
                  </w:divBdr>
                  <w:divsChild>
                    <w:div w:id="208034295">
                      <w:marLeft w:val="0"/>
                      <w:marRight w:val="0"/>
                      <w:marTop w:val="0"/>
                      <w:marBottom w:val="0"/>
                      <w:divBdr>
                        <w:top w:val="none" w:sz="0" w:space="0" w:color="auto"/>
                        <w:left w:val="none" w:sz="0" w:space="0" w:color="auto"/>
                        <w:bottom w:val="none" w:sz="0" w:space="0" w:color="auto"/>
                        <w:right w:val="none" w:sz="0" w:space="0" w:color="auto"/>
                      </w:divBdr>
                      <w:divsChild>
                        <w:div w:id="1031110131">
                          <w:marLeft w:val="0"/>
                          <w:marRight w:val="0"/>
                          <w:marTop w:val="0"/>
                          <w:marBottom w:val="0"/>
                          <w:divBdr>
                            <w:top w:val="none" w:sz="0" w:space="0" w:color="auto"/>
                            <w:left w:val="none" w:sz="0" w:space="0" w:color="auto"/>
                            <w:bottom w:val="none" w:sz="0" w:space="0" w:color="auto"/>
                            <w:right w:val="none" w:sz="0" w:space="0" w:color="auto"/>
                          </w:divBdr>
                          <w:divsChild>
                            <w:div w:id="1359619380">
                              <w:marLeft w:val="0"/>
                              <w:marRight w:val="0"/>
                              <w:marTop w:val="0"/>
                              <w:marBottom w:val="0"/>
                              <w:divBdr>
                                <w:top w:val="none" w:sz="0" w:space="0" w:color="auto"/>
                                <w:left w:val="none" w:sz="0" w:space="0" w:color="auto"/>
                                <w:bottom w:val="none" w:sz="0" w:space="0" w:color="auto"/>
                                <w:right w:val="none" w:sz="0" w:space="0" w:color="auto"/>
                              </w:divBdr>
                              <w:divsChild>
                                <w:div w:id="18437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591976">
                  <w:marLeft w:val="0"/>
                  <w:marRight w:val="0"/>
                  <w:marTop w:val="0"/>
                  <w:marBottom w:val="0"/>
                  <w:divBdr>
                    <w:top w:val="none" w:sz="0" w:space="0" w:color="auto"/>
                    <w:left w:val="none" w:sz="0" w:space="0" w:color="auto"/>
                    <w:bottom w:val="none" w:sz="0" w:space="0" w:color="auto"/>
                    <w:right w:val="none" w:sz="0" w:space="0" w:color="auto"/>
                  </w:divBdr>
                  <w:divsChild>
                    <w:div w:id="180362671">
                      <w:marLeft w:val="0"/>
                      <w:marRight w:val="0"/>
                      <w:marTop w:val="0"/>
                      <w:marBottom w:val="0"/>
                      <w:divBdr>
                        <w:top w:val="none" w:sz="0" w:space="0" w:color="auto"/>
                        <w:left w:val="none" w:sz="0" w:space="0" w:color="auto"/>
                        <w:bottom w:val="none" w:sz="0" w:space="0" w:color="auto"/>
                        <w:right w:val="none" w:sz="0" w:space="0" w:color="auto"/>
                      </w:divBdr>
                    </w:div>
                  </w:divsChild>
                </w:div>
                <w:div w:id="1507282681">
                  <w:marLeft w:val="0"/>
                  <w:marRight w:val="0"/>
                  <w:marTop w:val="0"/>
                  <w:marBottom w:val="0"/>
                  <w:divBdr>
                    <w:top w:val="none" w:sz="0" w:space="0" w:color="auto"/>
                    <w:left w:val="none" w:sz="0" w:space="0" w:color="auto"/>
                    <w:bottom w:val="none" w:sz="0" w:space="0" w:color="auto"/>
                    <w:right w:val="none" w:sz="0" w:space="0" w:color="auto"/>
                  </w:divBdr>
                </w:div>
                <w:div w:id="1438670351">
                  <w:marLeft w:val="0"/>
                  <w:marRight w:val="0"/>
                  <w:marTop w:val="0"/>
                  <w:marBottom w:val="0"/>
                  <w:divBdr>
                    <w:top w:val="none" w:sz="0" w:space="0" w:color="auto"/>
                    <w:left w:val="none" w:sz="0" w:space="0" w:color="auto"/>
                    <w:bottom w:val="none" w:sz="0" w:space="0" w:color="auto"/>
                    <w:right w:val="none" w:sz="0" w:space="0" w:color="auto"/>
                  </w:divBdr>
                </w:div>
                <w:div w:id="1190071332">
                  <w:marLeft w:val="0"/>
                  <w:marRight w:val="0"/>
                  <w:marTop w:val="0"/>
                  <w:marBottom w:val="0"/>
                  <w:divBdr>
                    <w:top w:val="none" w:sz="0" w:space="0" w:color="auto"/>
                    <w:left w:val="none" w:sz="0" w:space="0" w:color="auto"/>
                    <w:bottom w:val="none" w:sz="0" w:space="0" w:color="auto"/>
                    <w:right w:val="none" w:sz="0" w:space="0" w:color="auto"/>
                  </w:divBdr>
                  <w:divsChild>
                    <w:div w:id="2014842489">
                      <w:marLeft w:val="0"/>
                      <w:marRight w:val="0"/>
                      <w:marTop w:val="0"/>
                      <w:marBottom w:val="0"/>
                      <w:divBdr>
                        <w:top w:val="none" w:sz="0" w:space="0" w:color="auto"/>
                        <w:left w:val="none" w:sz="0" w:space="0" w:color="auto"/>
                        <w:bottom w:val="none" w:sz="0" w:space="0" w:color="auto"/>
                        <w:right w:val="none" w:sz="0" w:space="0" w:color="auto"/>
                      </w:divBdr>
                      <w:divsChild>
                        <w:div w:id="1019353833">
                          <w:marLeft w:val="0"/>
                          <w:marRight w:val="0"/>
                          <w:marTop w:val="0"/>
                          <w:marBottom w:val="0"/>
                          <w:divBdr>
                            <w:top w:val="none" w:sz="0" w:space="0" w:color="auto"/>
                            <w:left w:val="none" w:sz="0" w:space="0" w:color="auto"/>
                            <w:bottom w:val="none" w:sz="0" w:space="0" w:color="auto"/>
                            <w:right w:val="none" w:sz="0" w:space="0" w:color="auto"/>
                          </w:divBdr>
                          <w:divsChild>
                            <w:div w:id="7840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12899">
                  <w:marLeft w:val="0"/>
                  <w:marRight w:val="0"/>
                  <w:marTop w:val="0"/>
                  <w:marBottom w:val="0"/>
                  <w:divBdr>
                    <w:top w:val="none" w:sz="0" w:space="0" w:color="auto"/>
                    <w:left w:val="none" w:sz="0" w:space="0" w:color="auto"/>
                    <w:bottom w:val="none" w:sz="0" w:space="0" w:color="auto"/>
                    <w:right w:val="none" w:sz="0" w:space="0" w:color="auto"/>
                  </w:divBdr>
                  <w:divsChild>
                    <w:div w:id="247426031">
                      <w:marLeft w:val="0"/>
                      <w:marRight w:val="0"/>
                      <w:marTop w:val="0"/>
                      <w:marBottom w:val="0"/>
                      <w:divBdr>
                        <w:top w:val="none" w:sz="0" w:space="0" w:color="auto"/>
                        <w:left w:val="none" w:sz="0" w:space="0" w:color="auto"/>
                        <w:bottom w:val="none" w:sz="0" w:space="0" w:color="auto"/>
                        <w:right w:val="none" w:sz="0" w:space="0" w:color="auto"/>
                      </w:divBdr>
                      <w:divsChild>
                        <w:div w:id="1277447077">
                          <w:marLeft w:val="0"/>
                          <w:marRight w:val="0"/>
                          <w:marTop w:val="0"/>
                          <w:marBottom w:val="0"/>
                          <w:divBdr>
                            <w:top w:val="none" w:sz="0" w:space="0" w:color="auto"/>
                            <w:left w:val="none" w:sz="0" w:space="0" w:color="auto"/>
                            <w:bottom w:val="none" w:sz="0" w:space="0" w:color="auto"/>
                            <w:right w:val="none" w:sz="0" w:space="0" w:color="auto"/>
                          </w:divBdr>
                          <w:divsChild>
                            <w:div w:id="1000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60773">
                  <w:marLeft w:val="0"/>
                  <w:marRight w:val="0"/>
                  <w:marTop w:val="0"/>
                  <w:marBottom w:val="0"/>
                  <w:divBdr>
                    <w:top w:val="none" w:sz="0" w:space="0" w:color="auto"/>
                    <w:left w:val="none" w:sz="0" w:space="0" w:color="auto"/>
                    <w:bottom w:val="none" w:sz="0" w:space="0" w:color="auto"/>
                    <w:right w:val="none" w:sz="0" w:space="0" w:color="auto"/>
                  </w:divBdr>
                  <w:divsChild>
                    <w:div w:id="935215140">
                      <w:marLeft w:val="0"/>
                      <w:marRight w:val="0"/>
                      <w:marTop w:val="0"/>
                      <w:marBottom w:val="0"/>
                      <w:divBdr>
                        <w:top w:val="none" w:sz="0" w:space="0" w:color="auto"/>
                        <w:left w:val="none" w:sz="0" w:space="0" w:color="auto"/>
                        <w:bottom w:val="none" w:sz="0" w:space="0" w:color="auto"/>
                        <w:right w:val="none" w:sz="0" w:space="0" w:color="auto"/>
                      </w:divBdr>
                      <w:divsChild>
                        <w:div w:id="983311868">
                          <w:marLeft w:val="0"/>
                          <w:marRight w:val="0"/>
                          <w:marTop w:val="0"/>
                          <w:marBottom w:val="0"/>
                          <w:divBdr>
                            <w:top w:val="none" w:sz="0" w:space="0" w:color="auto"/>
                            <w:left w:val="none" w:sz="0" w:space="0" w:color="auto"/>
                            <w:bottom w:val="none" w:sz="0" w:space="0" w:color="auto"/>
                            <w:right w:val="none" w:sz="0" w:space="0" w:color="auto"/>
                          </w:divBdr>
                          <w:divsChild>
                            <w:div w:id="158198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261942">
                  <w:marLeft w:val="0"/>
                  <w:marRight w:val="0"/>
                  <w:marTop w:val="0"/>
                  <w:marBottom w:val="0"/>
                  <w:divBdr>
                    <w:top w:val="none" w:sz="0" w:space="0" w:color="auto"/>
                    <w:left w:val="none" w:sz="0" w:space="0" w:color="auto"/>
                    <w:bottom w:val="none" w:sz="0" w:space="0" w:color="auto"/>
                    <w:right w:val="none" w:sz="0" w:space="0" w:color="auto"/>
                  </w:divBdr>
                  <w:divsChild>
                    <w:div w:id="443766158">
                      <w:marLeft w:val="0"/>
                      <w:marRight w:val="0"/>
                      <w:marTop w:val="0"/>
                      <w:marBottom w:val="0"/>
                      <w:divBdr>
                        <w:top w:val="none" w:sz="0" w:space="0" w:color="auto"/>
                        <w:left w:val="none" w:sz="0" w:space="0" w:color="auto"/>
                        <w:bottom w:val="none" w:sz="0" w:space="0" w:color="auto"/>
                        <w:right w:val="none" w:sz="0" w:space="0" w:color="auto"/>
                      </w:divBdr>
                      <w:divsChild>
                        <w:div w:id="1614946594">
                          <w:marLeft w:val="0"/>
                          <w:marRight w:val="0"/>
                          <w:marTop w:val="0"/>
                          <w:marBottom w:val="0"/>
                          <w:divBdr>
                            <w:top w:val="none" w:sz="0" w:space="0" w:color="auto"/>
                            <w:left w:val="none" w:sz="0" w:space="0" w:color="auto"/>
                            <w:bottom w:val="none" w:sz="0" w:space="0" w:color="auto"/>
                            <w:right w:val="none" w:sz="0" w:space="0" w:color="auto"/>
                          </w:divBdr>
                          <w:divsChild>
                            <w:div w:id="175631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20405">
                  <w:marLeft w:val="0"/>
                  <w:marRight w:val="0"/>
                  <w:marTop w:val="0"/>
                  <w:marBottom w:val="0"/>
                  <w:divBdr>
                    <w:top w:val="none" w:sz="0" w:space="0" w:color="auto"/>
                    <w:left w:val="none" w:sz="0" w:space="0" w:color="auto"/>
                    <w:bottom w:val="none" w:sz="0" w:space="0" w:color="auto"/>
                    <w:right w:val="none" w:sz="0" w:space="0" w:color="auto"/>
                  </w:divBdr>
                  <w:divsChild>
                    <w:div w:id="106313708">
                      <w:marLeft w:val="0"/>
                      <w:marRight w:val="0"/>
                      <w:marTop w:val="0"/>
                      <w:marBottom w:val="0"/>
                      <w:divBdr>
                        <w:top w:val="none" w:sz="0" w:space="0" w:color="auto"/>
                        <w:left w:val="none" w:sz="0" w:space="0" w:color="auto"/>
                        <w:bottom w:val="none" w:sz="0" w:space="0" w:color="auto"/>
                        <w:right w:val="none" w:sz="0" w:space="0" w:color="auto"/>
                      </w:divBdr>
                      <w:divsChild>
                        <w:div w:id="2073579879">
                          <w:marLeft w:val="0"/>
                          <w:marRight w:val="0"/>
                          <w:marTop w:val="0"/>
                          <w:marBottom w:val="0"/>
                          <w:divBdr>
                            <w:top w:val="none" w:sz="0" w:space="0" w:color="auto"/>
                            <w:left w:val="none" w:sz="0" w:space="0" w:color="auto"/>
                            <w:bottom w:val="none" w:sz="0" w:space="0" w:color="auto"/>
                            <w:right w:val="none" w:sz="0" w:space="0" w:color="auto"/>
                          </w:divBdr>
                          <w:divsChild>
                            <w:div w:id="169785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0690">
                  <w:marLeft w:val="0"/>
                  <w:marRight w:val="0"/>
                  <w:marTop w:val="0"/>
                  <w:marBottom w:val="0"/>
                  <w:divBdr>
                    <w:top w:val="none" w:sz="0" w:space="0" w:color="auto"/>
                    <w:left w:val="none" w:sz="0" w:space="0" w:color="auto"/>
                    <w:bottom w:val="none" w:sz="0" w:space="0" w:color="auto"/>
                    <w:right w:val="none" w:sz="0" w:space="0" w:color="auto"/>
                  </w:divBdr>
                  <w:divsChild>
                    <w:div w:id="1762022338">
                      <w:marLeft w:val="0"/>
                      <w:marRight w:val="0"/>
                      <w:marTop w:val="0"/>
                      <w:marBottom w:val="0"/>
                      <w:divBdr>
                        <w:top w:val="none" w:sz="0" w:space="0" w:color="auto"/>
                        <w:left w:val="none" w:sz="0" w:space="0" w:color="auto"/>
                        <w:bottom w:val="none" w:sz="0" w:space="0" w:color="auto"/>
                        <w:right w:val="none" w:sz="0" w:space="0" w:color="auto"/>
                      </w:divBdr>
                      <w:divsChild>
                        <w:div w:id="64500859">
                          <w:marLeft w:val="0"/>
                          <w:marRight w:val="0"/>
                          <w:marTop w:val="0"/>
                          <w:marBottom w:val="0"/>
                          <w:divBdr>
                            <w:top w:val="none" w:sz="0" w:space="0" w:color="auto"/>
                            <w:left w:val="none" w:sz="0" w:space="0" w:color="auto"/>
                            <w:bottom w:val="none" w:sz="0" w:space="0" w:color="auto"/>
                            <w:right w:val="none" w:sz="0" w:space="0" w:color="auto"/>
                          </w:divBdr>
                          <w:divsChild>
                            <w:div w:id="30705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631316">
                      <w:marLeft w:val="0"/>
                      <w:marRight w:val="0"/>
                      <w:marTop w:val="0"/>
                      <w:marBottom w:val="0"/>
                      <w:divBdr>
                        <w:top w:val="none" w:sz="0" w:space="0" w:color="auto"/>
                        <w:left w:val="none" w:sz="0" w:space="0" w:color="auto"/>
                        <w:bottom w:val="none" w:sz="0" w:space="0" w:color="auto"/>
                        <w:right w:val="none" w:sz="0" w:space="0" w:color="auto"/>
                      </w:divBdr>
                      <w:divsChild>
                        <w:div w:id="149202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360461">
          <w:marLeft w:val="0"/>
          <w:marRight w:val="0"/>
          <w:marTop w:val="0"/>
          <w:marBottom w:val="0"/>
          <w:divBdr>
            <w:top w:val="none" w:sz="0" w:space="0" w:color="auto"/>
            <w:left w:val="none" w:sz="0" w:space="0" w:color="auto"/>
            <w:bottom w:val="none" w:sz="0" w:space="0" w:color="auto"/>
            <w:right w:val="none" w:sz="0" w:space="0" w:color="auto"/>
          </w:divBdr>
          <w:divsChild>
            <w:div w:id="991104717">
              <w:marLeft w:val="0"/>
              <w:marRight w:val="0"/>
              <w:marTop w:val="0"/>
              <w:marBottom w:val="0"/>
              <w:divBdr>
                <w:top w:val="none" w:sz="0" w:space="0" w:color="auto"/>
                <w:left w:val="none" w:sz="0" w:space="0" w:color="auto"/>
                <w:bottom w:val="none" w:sz="0" w:space="0" w:color="auto"/>
                <w:right w:val="none" w:sz="0" w:space="0" w:color="auto"/>
              </w:divBdr>
              <w:divsChild>
                <w:div w:id="57633567">
                  <w:marLeft w:val="0"/>
                  <w:marRight w:val="0"/>
                  <w:marTop w:val="0"/>
                  <w:marBottom w:val="0"/>
                  <w:divBdr>
                    <w:top w:val="none" w:sz="0" w:space="0" w:color="auto"/>
                    <w:left w:val="none" w:sz="0" w:space="0" w:color="auto"/>
                    <w:bottom w:val="none" w:sz="0" w:space="0" w:color="auto"/>
                    <w:right w:val="none" w:sz="0" w:space="0" w:color="auto"/>
                  </w:divBdr>
                  <w:divsChild>
                    <w:div w:id="214894257">
                      <w:marLeft w:val="0"/>
                      <w:marRight w:val="0"/>
                      <w:marTop w:val="0"/>
                      <w:marBottom w:val="0"/>
                      <w:divBdr>
                        <w:top w:val="none" w:sz="0" w:space="0" w:color="auto"/>
                        <w:left w:val="none" w:sz="0" w:space="0" w:color="auto"/>
                        <w:bottom w:val="none" w:sz="0" w:space="0" w:color="auto"/>
                        <w:right w:val="none" w:sz="0" w:space="0" w:color="auto"/>
                      </w:divBdr>
                      <w:divsChild>
                        <w:div w:id="760223636">
                          <w:marLeft w:val="0"/>
                          <w:marRight w:val="0"/>
                          <w:marTop w:val="0"/>
                          <w:marBottom w:val="0"/>
                          <w:divBdr>
                            <w:top w:val="none" w:sz="0" w:space="0" w:color="auto"/>
                            <w:left w:val="none" w:sz="0" w:space="0" w:color="auto"/>
                            <w:bottom w:val="none" w:sz="0" w:space="0" w:color="auto"/>
                            <w:right w:val="none" w:sz="0" w:space="0" w:color="auto"/>
                          </w:divBdr>
                          <w:divsChild>
                            <w:div w:id="593129301">
                              <w:marLeft w:val="0"/>
                              <w:marRight w:val="0"/>
                              <w:marTop w:val="0"/>
                              <w:marBottom w:val="0"/>
                              <w:divBdr>
                                <w:top w:val="none" w:sz="0" w:space="0" w:color="auto"/>
                                <w:left w:val="none" w:sz="0" w:space="0" w:color="auto"/>
                                <w:bottom w:val="none" w:sz="0" w:space="0" w:color="auto"/>
                                <w:right w:val="none" w:sz="0" w:space="0" w:color="auto"/>
                              </w:divBdr>
                              <w:divsChild>
                                <w:div w:id="888104157">
                                  <w:marLeft w:val="0"/>
                                  <w:marRight w:val="0"/>
                                  <w:marTop w:val="0"/>
                                  <w:marBottom w:val="0"/>
                                  <w:divBdr>
                                    <w:top w:val="none" w:sz="0" w:space="0" w:color="auto"/>
                                    <w:left w:val="none" w:sz="0" w:space="0" w:color="auto"/>
                                    <w:bottom w:val="none" w:sz="0" w:space="0" w:color="auto"/>
                                    <w:right w:val="none" w:sz="0" w:space="0" w:color="auto"/>
                                  </w:divBdr>
                                  <w:divsChild>
                                    <w:div w:id="1774283942">
                                      <w:marLeft w:val="0"/>
                                      <w:marRight w:val="0"/>
                                      <w:marTop w:val="0"/>
                                      <w:marBottom w:val="0"/>
                                      <w:divBdr>
                                        <w:top w:val="none" w:sz="0" w:space="0" w:color="auto"/>
                                        <w:left w:val="none" w:sz="0" w:space="0" w:color="auto"/>
                                        <w:bottom w:val="none" w:sz="0" w:space="0" w:color="auto"/>
                                        <w:right w:val="none" w:sz="0" w:space="0" w:color="auto"/>
                                      </w:divBdr>
                                    </w:div>
                                    <w:div w:id="1350137922">
                                      <w:marLeft w:val="0"/>
                                      <w:marRight w:val="0"/>
                                      <w:marTop w:val="0"/>
                                      <w:marBottom w:val="0"/>
                                      <w:divBdr>
                                        <w:top w:val="none" w:sz="0" w:space="0" w:color="auto"/>
                                        <w:left w:val="none" w:sz="0" w:space="0" w:color="auto"/>
                                        <w:bottom w:val="none" w:sz="0" w:space="0" w:color="auto"/>
                                        <w:right w:val="none" w:sz="0" w:space="0" w:color="auto"/>
                                      </w:divBdr>
                                      <w:divsChild>
                                        <w:div w:id="147255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195823">
                      <w:marLeft w:val="0"/>
                      <w:marRight w:val="0"/>
                      <w:marTop w:val="0"/>
                      <w:marBottom w:val="0"/>
                      <w:divBdr>
                        <w:top w:val="none" w:sz="0" w:space="0" w:color="auto"/>
                        <w:left w:val="none" w:sz="0" w:space="0" w:color="auto"/>
                        <w:bottom w:val="none" w:sz="0" w:space="0" w:color="auto"/>
                        <w:right w:val="none" w:sz="0" w:space="0" w:color="auto"/>
                      </w:divBdr>
                      <w:divsChild>
                        <w:div w:id="623079066">
                          <w:marLeft w:val="0"/>
                          <w:marRight w:val="0"/>
                          <w:marTop w:val="0"/>
                          <w:marBottom w:val="0"/>
                          <w:divBdr>
                            <w:top w:val="none" w:sz="0" w:space="0" w:color="auto"/>
                            <w:left w:val="none" w:sz="0" w:space="0" w:color="auto"/>
                            <w:bottom w:val="none" w:sz="0" w:space="0" w:color="auto"/>
                            <w:right w:val="none" w:sz="0" w:space="0" w:color="auto"/>
                          </w:divBdr>
                          <w:divsChild>
                            <w:div w:id="74596327">
                              <w:marLeft w:val="0"/>
                              <w:marRight w:val="0"/>
                              <w:marTop w:val="0"/>
                              <w:marBottom w:val="0"/>
                              <w:divBdr>
                                <w:top w:val="none" w:sz="0" w:space="0" w:color="auto"/>
                                <w:left w:val="none" w:sz="0" w:space="0" w:color="auto"/>
                                <w:bottom w:val="none" w:sz="0" w:space="0" w:color="auto"/>
                                <w:right w:val="none" w:sz="0" w:space="0" w:color="auto"/>
                              </w:divBdr>
                              <w:divsChild>
                                <w:div w:id="1823429538">
                                  <w:marLeft w:val="0"/>
                                  <w:marRight w:val="0"/>
                                  <w:marTop w:val="0"/>
                                  <w:marBottom w:val="0"/>
                                  <w:divBdr>
                                    <w:top w:val="none" w:sz="0" w:space="0" w:color="auto"/>
                                    <w:left w:val="none" w:sz="0" w:space="0" w:color="auto"/>
                                    <w:bottom w:val="none" w:sz="0" w:space="0" w:color="auto"/>
                                    <w:right w:val="none" w:sz="0" w:space="0" w:color="auto"/>
                                  </w:divBdr>
                                  <w:divsChild>
                                    <w:div w:id="932594738">
                                      <w:marLeft w:val="0"/>
                                      <w:marRight w:val="0"/>
                                      <w:marTop w:val="0"/>
                                      <w:marBottom w:val="0"/>
                                      <w:divBdr>
                                        <w:top w:val="none" w:sz="0" w:space="0" w:color="auto"/>
                                        <w:left w:val="none" w:sz="0" w:space="0" w:color="auto"/>
                                        <w:bottom w:val="none" w:sz="0" w:space="0" w:color="auto"/>
                                        <w:right w:val="none" w:sz="0" w:space="0" w:color="auto"/>
                                      </w:divBdr>
                                    </w:div>
                                    <w:div w:id="1571034386">
                                      <w:marLeft w:val="0"/>
                                      <w:marRight w:val="0"/>
                                      <w:marTop w:val="0"/>
                                      <w:marBottom w:val="0"/>
                                      <w:divBdr>
                                        <w:top w:val="none" w:sz="0" w:space="0" w:color="auto"/>
                                        <w:left w:val="none" w:sz="0" w:space="0" w:color="auto"/>
                                        <w:bottom w:val="none" w:sz="0" w:space="0" w:color="auto"/>
                                        <w:right w:val="none" w:sz="0" w:space="0" w:color="auto"/>
                                      </w:divBdr>
                                      <w:divsChild>
                                        <w:div w:id="1382054097">
                                          <w:marLeft w:val="0"/>
                                          <w:marRight w:val="0"/>
                                          <w:marTop w:val="0"/>
                                          <w:marBottom w:val="0"/>
                                          <w:divBdr>
                                            <w:top w:val="none" w:sz="0" w:space="0" w:color="auto"/>
                                            <w:left w:val="none" w:sz="0" w:space="0" w:color="auto"/>
                                            <w:bottom w:val="none" w:sz="0" w:space="0" w:color="auto"/>
                                            <w:right w:val="none" w:sz="0" w:space="0" w:color="auto"/>
                                          </w:divBdr>
                                        </w:div>
                                        <w:div w:id="2021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reportal.coventry.ac.uk/en/organisations/faculty-research-centre-for-sport-exercise-and-life-science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creativecommons.org/licenses/by-nc/4.0/"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0D1B0-7A9C-4675-9114-34D248575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96007</Words>
  <Characters>547241</Characters>
  <Application>Microsoft Office Word</Application>
  <DocSecurity>0</DocSecurity>
  <Lines>4560</Lines>
  <Paragraphs>1283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Kosha Mehta</dc:creator>
  <cp:lastModifiedBy>Lian-Sheng Ma</cp:lastModifiedBy>
  <cp:revision>2</cp:revision>
  <cp:lastPrinted>2018-07-12T15:05:00Z</cp:lastPrinted>
  <dcterms:created xsi:type="dcterms:W3CDTF">2019-01-10T05:45:00Z</dcterms:created>
  <dcterms:modified xsi:type="dcterms:W3CDTF">2019-01-10T05:45:00Z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zotero-version="5.0.59"&gt;&lt;session id="z1PZoHrb"/&gt;&lt;style id="http://www.zotero.org/styles/vancouver" locale="en-GB" hasBibliography="1" bibliographyStyleHasBeenSet="1"/&gt;&lt;prefs&gt;&lt;pref name="fieldType" value="Field"/&gt;&lt;pref name="automati</vt:lpwstr>
  </property>
  <property fmtid="{D5CDD505-2E9C-101B-9397-08002B2CF9AE}" pid="3" name="ZOTERO_PREF_2">
    <vt:lpwstr>cJournalAbbreviations" value="true"/&gt;&lt;pref name="dontAskDelayCitationUpdates" value="true"/&gt;&lt;/prefs&gt;&lt;/data&gt;</vt:lpwstr>
  </property>
</Properties>
</file>