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7E80" w14:textId="77777777" w:rsidR="00E13481" w:rsidRPr="00E13481" w:rsidRDefault="00E13481" w:rsidP="00DE4C97">
      <w:pPr>
        <w:widowControl/>
        <w:spacing w:line="360" w:lineRule="auto"/>
        <w:outlineLvl w:val="0"/>
        <w:rPr>
          <w:rFonts w:ascii="Book Antiqua" w:hAnsi="Book Antiqua"/>
          <w:b/>
          <w:color w:val="000000"/>
          <w:kern w:val="0"/>
          <w:sz w:val="24"/>
          <w:highlight w:val="whit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373"/>
      <w:bookmarkStart w:id="13" w:name="OLE_LINK18"/>
      <w:r w:rsidRPr="00E13481">
        <w:rPr>
          <w:rFonts w:ascii="Book Antiqua" w:hAnsi="Book Antiqua"/>
          <w:b/>
          <w:color w:val="000000"/>
          <w:kern w:val="0"/>
          <w:sz w:val="24"/>
          <w:highlight w:val="white"/>
        </w:rPr>
        <w:t xml:space="preserve">Name of </w:t>
      </w:r>
      <w:r w:rsidRPr="00E13481">
        <w:rPr>
          <w:rFonts w:ascii="Book Antiqua" w:hAnsi="Book Antiqua"/>
          <w:b/>
          <w:caps/>
          <w:color w:val="000000"/>
          <w:kern w:val="0"/>
          <w:sz w:val="24"/>
          <w:highlight w:val="white"/>
        </w:rPr>
        <w:t>j</w:t>
      </w:r>
      <w:r w:rsidRPr="00E13481">
        <w:rPr>
          <w:rFonts w:ascii="Book Antiqua" w:hAnsi="Book Antiqua"/>
          <w:b/>
          <w:color w:val="000000"/>
          <w:kern w:val="0"/>
          <w:sz w:val="24"/>
          <w:highlight w:val="white"/>
        </w:rPr>
        <w:t xml:space="preserve">ournal: </w:t>
      </w:r>
      <w:bookmarkStart w:id="14" w:name="OLE_LINK718"/>
      <w:bookmarkStart w:id="15" w:name="OLE_LINK719"/>
      <w:r w:rsidRPr="00E13481">
        <w:rPr>
          <w:rFonts w:ascii="Book Antiqua" w:hAnsi="Book Antiqua"/>
          <w:b/>
          <w:i/>
          <w:color w:val="000000"/>
          <w:kern w:val="0"/>
          <w:sz w:val="24"/>
          <w:highlight w:val="white"/>
        </w:rPr>
        <w:t>World Journal of Gastroenterology</w:t>
      </w:r>
      <w:bookmarkEnd w:id="14"/>
      <w:bookmarkEnd w:id="15"/>
    </w:p>
    <w:p w14:paraId="2D89F4A1" w14:textId="77777777" w:rsidR="00E13481" w:rsidRPr="00E13481" w:rsidRDefault="00E13481" w:rsidP="00DE4C97">
      <w:pPr>
        <w:widowControl/>
        <w:spacing w:line="360" w:lineRule="auto"/>
        <w:outlineLvl w:val="0"/>
        <w:rPr>
          <w:rFonts w:ascii="Book Antiqua" w:hAnsi="Book Antiqua"/>
          <w:b/>
          <w:i/>
          <w:color w:val="000000"/>
          <w:kern w:val="0"/>
          <w:sz w:val="24"/>
          <w:highlight w:val="white"/>
        </w:rPr>
      </w:pPr>
      <w:bookmarkStart w:id="16" w:name="OLE_LINK485"/>
      <w:bookmarkStart w:id="17" w:name="OLE_LINK486"/>
      <w:bookmarkStart w:id="18" w:name="OLE_LINK661"/>
      <w:bookmarkStart w:id="19" w:name="OLE_LINK768"/>
      <w:bookmarkStart w:id="20" w:name="OLE_LINK514"/>
      <w:bookmarkStart w:id="21" w:name="OLE_LINK515"/>
      <w:r w:rsidRPr="00E13481">
        <w:rPr>
          <w:rFonts w:ascii="Book Antiqua" w:hAnsi="Book Antiqua"/>
          <w:b/>
          <w:color w:val="000000"/>
          <w:kern w:val="0"/>
          <w:sz w:val="24"/>
          <w:highlight w:val="white"/>
        </w:rPr>
        <w:t>Manuscript NO:</w:t>
      </w:r>
      <w:bookmarkEnd w:id="16"/>
      <w:bookmarkEnd w:id="17"/>
      <w:bookmarkEnd w:id="18"/>
      <w:bookmarkEnd w:id="19"/>
      <w:r w:rsidRPr="00E13481">
        <w:rPr>
          <w:rFonts w:ascii="Book Antiqua" w:hAnsi="Book Antiqua"/>
          <w:b/>
          <w:color w:val="000000"/>
          <w:kern w:val="0"/>
          <w:sz w:val="24"/>
          <w:highlight w:val="white"/>
        </w:rPr>
        <w:t xml:space="preserve"> </w:t>
      </w:r>
      <w:r>
        <w:rPr>
          <w:rFonts w:ascii="Book Antiqua" w:hAnsi="Book Antiqua"/>
          <w:b/>
          <w:color w:val="000000"/>
          <w:kern w:val="0"/>
          <w:sz w:val="24"/>
        </w:rPr>
        <w:t>44934</w:t>
      </w:r>
    </w:p>
    <w:bookmarkEnd w:id="20"/>
    <w:bookmarkEnd w:id="21"/>
    <w:p w14:paraId="207A8F58" w14:textId="77777777" w:rsidR="00E13481" w:rsidRPr="00E13481" w:rsidRDefault="00E13481" w:rsidP="00DE4C97">
      <w:pPr>
        <w:widowControl/>
        <w:spacing w:line="360" w:lineRule="auto"/>
        <w:outlineLvl w:val="0"/>
        <w:rPr>
          <w:rFonts w:ascii="Book Antiqua" w:hAnsi="Book Antiqua"/>
          <w:b/>
          <w:color w:val="000000"/>
          <w:kern w:val="0"/>
          <w:sz w:val="24"/>
        </w:rPr>
      </w:pPr>
      <w:r w:rsidRPr="00E13481">
        <w:rPr>
          <w:rFonts w:ascii="Book Antiqua" w:hAnsi="Book Antiqua"/>
          <w:b/>
          <w:color w:val="000000"/>
          <w:kern w:val="0"/>
          <w:sz w:val="24"/>
          <w:highlight w:val="white"/>
        </w:rPr>
        <w:t xml:space="preserve">Manuscript </w:t>
      </w:r>
      <w:r w:rsidRPr="00E13481">
        <w:rPr>
          <w:rFonts w:ascii="Book Antiqua" w:hAnsi="Book Antiqua"/>
          <w:b/>
          <w:caps/>
          <w:color w:val="000000"/>
          <w:kern w:val="0"/>
          <w:sz w:val="24"/>
          <w:highlight w:val="white"/>
        </w:rPr>
        <w:t>t</w:t>
      </w:r>
      <w:r w:rsidRPr="00E13481">
        <w:rPr>
          <w:rFonts w:ascii="Book Antiqua" w:hAnsi="Book Antiqua"/>
          <w:b/>
          <w:color w:val="000000"/>
          <w:kern w:val="0"/>
          <w:sz w:val="24"/>
          <w:highlight w:val="white"/>
        </w:rPr>
        <w:t>ype</w:t>
      </w:r>
      <w:r w:rsidRPr="00E13481">
        <w:rPr>
          <w:rFonts w:ascii="Book Antiqua" w:hAnsi="Book Antiqua"/>
          <w:b/>
          <w:color w:val="000000"/>
          <w:kern w:val="0"/>
          <w:sz w:val="24"/>
        </w:rPr>
        <w:t>:</w:t>
      </w:r>
      <w:bookmarkEnd w:id="0"/>
      <w:bookmarkEnd w:id="1"/>
      <w:bookmarkEnd w:id="2"/>
      <w:bookmarkEnd w:id="3"/>
      <w:bookmarkEnd w:id="4"/>
      <w:bookmarkEnd w:id="5"/>
      <w:bookmarkEnd w:id="6"/>
      <w:bookmarkEnd w:id="7"/>
      <w:bookmarkEnd w:id="8"/>
      <w:bookmarkEnd w:id="9"/>
      <w:bookmarkEnd w:id="10"/>
      <w:r w:rsidRPr="00E13481">
        <w:rPr>
          <w:rFonts w:ascii="Book Antiqua" w:hAnsi="Book Antiqua"/>
          <w:b/>
          <w:color w:val="000000"/>
          <w:kern w:val="0"/>
          <w:sz w:val="24"/>
        </w:rPr>
        <w:t xml:space="preserve"> </w:t>
      </w:r>
      <w:bookmarkStart w:id="22" w:name="OLE_LINK13"/>
      <w:r w:rsidRPr="00E13481">
        <w:rPr>
          <w:rFonts w:ascii="Book Antiqua" w:hAnsi="Book Antiqua"/>
          <w:b/>
          <w:color w:val="000000"/>
          <w:kern w:val="0"/>
          <w:sz w:val="24"/>
        </w:rPr>
        <w:t>ORIGINAL ARTICLE</w:t>
      </w:r>
      <w:bookmarkEnd w:id="11"/>
      <w:bookmarkEnd w:id="22"/>
    </w:p>
    <w:p w14:paraId="18D9E80E" w14:textId="77777777" w:rsidR="00E13481" w:rsidRPr="00E13481" w:rsidRDefault="00E13481" w:rsidP="00E13481">
      <w:pPr>
        <w:widowControl/>
        <w:spacing w:line="360" w:lineRule="auto"/>
        <w:rPr>
          <w:rFonts w:ascii="Book Antiqua" w:hAnsi="Book Antiqua"/>
          <w:b/>
          <w:color w:val="000000"/>
          <w:kern w:val="0"/>
          <w:sz w:val="24"/>
        </w:rPr>
      </w:pPr>
      <w:bookmarkStart w:id="23" w:name="OLE_LINK45"/>
    </w:p>
    <w:bookmarkEnd w:id="23"/>
    <w:p w14:paraId="7AA826B1" w14:textId="77777777" w:rsidR="000D59A6" w:rsidRPr="005F429F" w:rsidRDefault="00E13481" w:rsidP="00DE4C97">
      <w:pPr>
        <w:adjustRightInd w:val="0"/>
        <w:snapToGrid w:val="0"/>
        <w:spacing w:line="360" w:lineRule="auto"/>
        <w:outlineLvl w:val="0"/>
        <w:rPr>
          <w:rFonts w:ascii="Book Antiqua" w:hAnsi="Book Antiqua"/>
          <w:color w:val="000000" w:themeColor="text1"/>
          <w:sz w:val="24"/>
        </w:rPr>
      </w:pPr>
      <w:r>
        <w:rPr>
          <w:rFonts w:ascii="Book Antiqua" w:eastAsia="YouYuan" w:hAnsi="Book Antiqua"/>
          <w:b/>
          <w:i/>
          <w:kern w:val="0"/>
          <w:sz w:val="24"/>
        </w:rPr>
        <w:t>Basic</w:t>
      </w:r>
      <w:r w:rsidRPr="00E13481">
        <w:rPr>
          <w:rFonts w:ascii="Book Antiqua" w:eastAsia="YouYuan" w:hAnsi="Book Antiqua"/>
          <w:b/>
          <w:i/>
          <w:kern w:val="0"/>
          <w:sz w:val="24"/>
        </w:rPr>
        <w:t xml:space="preserve"> Study</w:t>
      </w:r>
      <w:bookmarkEnd w:id="12"/>
      <w:bookmarkEnd w:id="13"/>
    </w:p>
    <w:p w14:paraId="1FE14AB1" w14:textId="77777777" w:rsidR="000D59A6" w:rsidRPr="00E13481" w:rsidRDefault="00E30FC2" w:rsidP="005F429F">
      <w:pPr>
        <w:adjustRightInd w:val="0"/>
        <w:snapToGrid w:val="0"/>
        <w:spacing w:line="360" w:lineRule="auto"/>
        <w:rPr>
          <w:rFonts w:ascii="Book Antiqua" w:hAnsi="Book Antiqua"/>
          <w:b/>
          <w:color w:val="000000" w:themeColor="text1"/>
          <w:sz w:val="24"/>
        </w:rPr>
      </w:pPr>
      <w:r w:rsidRPr="00E13481">
        <w:rPr>
          <w:rFonts w:ascii="Book Antiqua" w:hAnsi="Book Antiqua"/>
          <w:b/>
          <w:color w:val="000000" w:themeColor="text1"/>
          <w:sz w:val="24"/>
        </w:rPr>
        <w:t>Plasma microRNAs as potential new biomarkers for early detection of early gastric cancer</w:t>
      </w:r>
    </w:p>
    <w:p w14:paraId="20FB1B7B" w14:textId="77777777" w:rsidR="00E13481" w:rsidRPr="005F429F" w:rsidRDefault="00E13481" w:rsidP="005F429F">
      <w:pPr>
        <w:adjustRightInd w:val="0"/>
        <w:snapToGrid w:val="0"/>
        <w:spacing w:line="360" w:lineRule="auto"/>
        <w:rPr>
          <w:rFonts w:ascii="Book Antiqua" w:hAnsi="Book Antiqua"/>
          <w:color w:val="000000" w:themeColor="text1"/>
          <w:sz w:val="24"/>
        </w:rPr>
      </w:pPr>
    </w:p>
    <w:p w14:paraId="5C59F37B" w14:textId="77777777" w:rsidR="000D59A6" w:rsidRDefault="00E30FC2" w:rsidP="00DE4C97">
      <w:pPr>
        <w:adjustRightInd w:val="0"/>
        <w:snapToGrid w:val="0"/>
        <w:spacing w:line="360" w:lineRule="auto"/>
        <w:outlineLvl w:val="0"/>
        <w:rPr>
          <w:rFonts w:ascii="Book Antiqua" w:hAnsi="Book Antiqua"/>
          <w:color w:val="000000" w:themeColor="text1"/>
          <w:sz w:val="24"/>
        </w:rPr>
      </w:pPr>
      <w:r w:rsidRPr="005F429F">
        <w:rPr>
          <w:rFonts w:ascii="Book Antiqua" w:hAnsi="Book Antiqua"/>
          <w:color w:val="000000" w:themeColor="text1"/>
          <w:sz w:val="24"/>
        </w:rPr>
        <w:t xml:space="preserve">Zhu XL </w:t>
      </w:r>
      <w:r w:rsidRPr="00E13481">
        <w:rPr>
          <w:rFonts w:ascii="Book Antiqua" w:hAnsi="Book Antiqua"/>
          <w:i/>
          <w:color w:val="000000" w:themeColor="text1"/>
          <w:sz w:val="24"/>
        </w:rPr>
        <w:t>et al</w:t>
      </w:r>
      <w:r w:rsidRPr="005F429F">
        <w:rPr>
          <w:rFonts w:ascii="Book Antiqua" w:hAnsi="Book Antiqua"/>
          <w:color w:val="000000" w:themeColor="text1"/>
          <w:sz w:val="24"/>
        </w:rPr>
        <w:t xml:space="preserve">. </w:t>
      </w:r>
      <w:r w:rsidR="00E13481">
        <w:rPr>
          <w:rFonts w:ascii="Book Antiqua" w:hAnsi="Book Antiqua"/>
          <w:color w:val="000000" w:themeColor="text1"/>
          <w:sz w:val="24"/>
        </w:rPr>
        <w:t>Five</w:t>
      </w:r>
      <w:r w:rsidRPr="005F429F">
        <w:rPr>
          <w:rFonts w:ascii="Book Antiqua" w:hAnsi="Book Antiqua"/>
          <w:color w:val="000000" w:themeColor="text1"/>
          <w:sz w:val="24"/>
        </w:rPr>
        <w:t xml:space="preserve"> miRNAs as biomarker for </w:t>
      </w:r>
      <w:r w:rsidR="00DE4C97">
        <w:rPr>
          <w:rFonts w:ascii="Book Antiqua" w:hAnsi="Book Antiqua"/>
          <w:color w:val="000000" w:themeColor="text1"/>
          <w:sz w:val="24"/>
        </w:rPr>
        <w:t>EGC</w:t>
      </w:r>
    </w:p>
    <w:p w14:paraId="01DE9F90" w14:textId="77777777" w:rsidR="00E13481" w:rsidRPr="005F429F" w:rsidRDefault="00E13481" w:rsidP="005F429F">
      <w:pPr>
        <w:adjustRightInd w:val="0"/>
        <w:snapToGrid w:val="0"/>
        <w:spacing w:line="360" w:lineRule="auto"/>
        <w:rPr>
          <w:rFonts w:ascii="Book Antiqua" w:hAnsi="Book Antiqua"/>
          <w:color w:val="000000" w:themeColor="text1"/>
          <w:sz w:val="24"/>
        </w:rPr>
      </w:pPr>
    </w:p>
    <w:p w14:paraId="549BFDAD" w14:textId="77777777" w:rsidR="000D59A6" w:rsidRPr="005F429F"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Xiao-Liang Zhu, Long-Fei Ren, Hai-Ping Wang, Zhong-Tian Bai, Lei Zhang, Wen-Bo Meng, </w:t>
      </w:r>
      <w:proofErr w:type="spellStart"/>
      <w:r w:rsidRPr="005F429F">
        <w:rPr>
          <w:rFonts w:ascii="Book Antiqua" w:hAnsi="Book Antiqua"/>
          <w:color w:val="000000" w:themeColor="text1"/>
          <w:sz w:val="24"/>
        </w:rPr>
        <w:t>Ke</w:t>
      </w:r>
      <w:proofErr w:type="spellEnd"/>
      <w:r w:rsidRPr="005F429F">
        <w:rPr>
          <w:rFonts w:ascii="Book Antiqua" w:hAnsi="Book Antiqua"/>
          <w:color w:val="000000" w:themeColor="text1"/>
          <w:sz w:val="24"/>
        </w:rPr>
        <w:t xml:space="preserve">-Xiang Zhu, Fang-Hui Ding, Long Miao, Jun Yan, Yan-Ping Wang, Yu-Qin Liu, Wen-Ce Zhou, </w:t>
      </w:r>
      <w:proofErr w:type="spellStart"/>
      <w:r w:rsidRPr="005F429F">
        <w:rPr>
          <w:rFonts w:ascii="Book Antiqua" w:hAnsi="Book Antiqua"/>
          <w:color w:val="000000" w:themeColor="text1"/>
          <w:sz w:val="24"/>
        </w:rPr>
        <w:t>Xun</w:t>
      </w:r>
      <w:proofErr w:type="spellEnd"/>
      <w:r w:rsidRPr="005F429F">
        <w:rPr>
          <w:rFonts w:ascii="Book Antiqua" w:hAnsi="Book Antiqua"/>
          <w:color w:val="000000" w:themeColor="text1"/>
          <w:sz w:val="24"/>
        </w:rPr>
        <w:t xml:space="preserve"> Li</w:t>
      </w:r>
    </w:p>
    <w:p w14:paraId="7F5FAFAF" w14:textId="77777777" w:rsidR="000D59A6" w:rsidRPr="005F429F" w:rsidRDefault="000D59A6" w:rsidP="005F429F">
      <w:pPr>
        <w:adjustRightInd w:val="0"/>
        <w:snapToGrid w:val="0"/>
        <w:spacing w:line="360" w:lineRule="auto"/>
        <w:rPr>
          <w:rFonts w:ascii="Book Antiqua" w:hAnsi="Book Antiqua"/>
          <w:color w:val="000000" w:themeColor="text1"/>
          <w:sz w:val="24"/>
        </w:rPr>
      </w:pPr>
    </w:p>
    <w:p w14:paraId="14E3DB9E" w14:textId="77777777" w:rsidR="00E13481"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t xml:space="preserve">Xiao-Liang Zhu, Long-Fei Ren, Lei Zhang, Fang-Hui Ding, </w:t>
      </w:r>
      <w:proofErr w:type="spellStart"/>
      <w:r w:rsidRPr="005F429F">
        <w:rPr>
          <w:rFonts w:ascii="Book Antiqua" w:hAnsi="Book Antiqua"/>
          <w:b/>
          <w:bCs/>
          <w:color w:val="000000" w:themeColor="text1"/>
          <w:sz w:val="24"/>
        </w:rPr>
        <w:t>Xun</w:t>
      </w:r>
      <w:proofErr w:type="spellEnd"/>
      <w:r w:rsidRPr="005F429F">
        <w:rPr>
          <w:rFonts w:ascii="Book Antiqua" w:hAnsi="Book Antiqua"/>
          <w:b/>
          <w:bCs/>
          <w:color w:val="000000" w:themeColor="text1"/>
          <w:sz w:val="24"/>
        </w:rPr>
        <w:t xml:space="preserve"> Li</w:t>
      </w:r>
      <w:r w:rsidRPr="00E13481">
        <w:rPr>
          <w:rFonts w:ascii="Book Antiqua" w:hAnsi="Book Antiqua"/>
          <w:b/>
          <w:color w:val="000000" w:themeColor="text1"/>
          <w:sz w:val="24"/>
        </w:rPr>
        <w:t>,</w:t>
      </w:r>
      <w:r w:rsidRPr="005F429F">
        <w:rPr>
          <w:rFonts w:ascii="Book Antiqua" w:hAnsi="Book Antiqua"/>
          <w:color w:val="000000" w:themeColor="text1"/>
          <w:sz w:val="24"/>
        </w:rPr>
        <w:t> The Fifth Department of General Surgery, The First Hospital of Lanzhou University, Lanzhou 730000, Gansu</w:t>
      </w:r>
      <w:r w:rsidR="00E13481">
        <w:rPr>
          <w:rFonts w:ascii="Book Antiqua" w:hAnsi="Book Antiqua"/>
          <w:color w:val="000000" w:themeColor="text1"/>
          <w:sz w:val="24"/>
        </w:rPr>
        <w:t xml:space="preserve"> Province, China</w:t>
      </w:r>
    </w:p>
    <w:p w14:paraId="046CE670" w14:textId="77777777" w:rsidR="00E13481"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br/>
      </w:r>
      <w:r w:rsidRPr="005F429F">
        <w:rPr>
          <w:rFonts w:ascii="Book Antiqua" w:hAnsi="Book Antiqua"/>
          <w:b/>
          <w:bCs/>
          <w:color w:val="000000" w:themeColor="text1"/>
          <w:sz w:val="24"/>
        </w:rPr>
        <w:t>Hai-Ping Wang</w:t>
      </w:r>
      <w:r w:rsidRPr="00E13481">
        <w:rPr>
          <w:rFonts w:ascii="Book Antiqua" w:hAnsi="Book Antiqua"/>
          <w:b/>
          <w:color w:val="000000" w:themeColor="text1"/>
          <w:sz w:val="24"/>
        </w:rPr>
        <w:t>,</w:t>
      </w:r>
      <w:r w:rsidRPr="005F429F">
        <w:rPr>
          <w:rFonts w:ascii="Book Antiqua" w:hAnsi="Book Antiqua"/>
          <w:color w:val="000000" w:themeColor="text1"/>
          <w:sz w:val="24"/>
        </w:rPr>
        <w:t> The Key La</w:t>
      </w:r>
      <w:r w:rsidR="00E13481">
        <w:rPr>
          <w:rFonts w:ascii="Book Antiqua" w:hAnsi="Book Antiqua"/>
          <w:color w:val="000000" w:themeColor="text1"/>
          <w:sz w:val="24"/>
        </w:rPr>
        <w:t>boratory of Biological Therapy a</w:t>
      </w:r>
      <w:r w:rsidRPr="005F429F">
        <w:rPr>
          <w:rFonts w:ascii="Book Antiqua" w:hAnsi="Book Antiqua"/>
          <w:color w:val="000000" w:themeColor="text1"/>
          <w:sz w:val="24"/>
        </w:rPr>
        <w:t>nd Regenerative Medicine Transformation Gansu Province, The First Hospital of Lanzhou University, Lanzhou 730000, Gansu</w:t>
      </w:r>
      <w:r w:rsidR="00E13481">
        <w:rPr>
          <w:rFonts w:ascii="Book Antiqua" w:hAnsi="Book Antiqua"/>
          <w:color w:val="000000" w:themeColor="text1"/>
          <w:sz w:val="24"/>
        </w:rPr>
        <w:t xml:space="preserve"> Province, China</w:t>
      </w:r>
    </w:p>
    <w:p w14:paraId="60D10657" w14:textId="77777777" w:rsidR="00E13481"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br/>
      </w:r>
      <w:r w:rsidRPr="005F429F">
        <w:rPr>
          <w:rFonts w:ascii="Book Antiqua" w:hAnsi="Book Antiqua"/>
          <w:b/>
          <w:bCs/>
          <w:color w:val="000000" w:themeColor="text1"/>
          <w:sz w:val="24"/>
        </w:rPr>
        <w:t xml:space="preserve">Zhong-Tian Bai, </w:t>
      </w:r>
      <w:proofErr w:type="spellStart"/>
      <w:r w:rsidRPr="005F429F">
        <w:rPr>
          <w:rFonts w:ascii="Book Antiqua" w:hAnsi="Book Antiqua"/>
          <w:b/>
          <w:bCs/>
          <w:color w:val="000000" w:themeColor="text1"/>
          <w:sz w:val="24"/>
        </w:rPr>
        <w:t>Ke</w:t>
      </w:r>
      <w:proofErr w:type="spellEnd"/>
      <w:r w:rsidRPr="005F429F">
        <w:rPr>
          <w:rFonts w:ascii="Book Antiqua" w:hAnsi="Book Antiqua"/>
          <w:b/>
          <w:bCs/>
          <w:color w:val="000000" w:themeColor="text1"/>
          <w:sz w:val="24"/>
        </w:rPr>
        <w:t>-Xiang Zhu, Long Miao, Jun Yan, Wen-Ce Zhou</w:t>
      </w:r>
      <w:r w:rsidRPr="00E13481">
        <w:rPr>
          <w:rFonts w:ascii="Book Antiqua" w:hAnsi="Book Antiqua"/>
          <w:b/>
          <w:color w:val="000000" w:themeColor="text1"/>
          <w:sz w:val="24"/>
        </w:rPr>
        <w:t>, </w:t>
      </w:r>
      <w:r w:rsidRPr="005F429F">
        <w:rPr>
          <w:rFonts w:ascii="Book Antiqua" w:hAnsi="Book Antiqua"/>
          <w:color w:val="000000" w:themeColor="text1"/>
          <w:sz w:val="24"/>
        </w:rPr>
        <w:t>The Second Department of General Surgery, The First Hospital of Lanzhou University, Lanzhou 730000, Gansu</w:t>
      </w:r>
      <w:r w:rsidR="00E13481">
        <w:rPr>
          <w:rFonts w:ascii="Book Antiqua" w:hAnsi="Book Antiqua"/>
          <w:color w:val="000000" w:themeColor="text1"/>
          <w:sz w:val="24"/>
        </w:rPr>
        <w:t xml:space="preserve"> Province, China</w:t>
      </w:r>
    </w:p>
    <w:p w14:paraId="4DED2586" w14:textId="77777777" w:rsidR="00E13481"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br/>
      </w:r>
      <w:r w:rsidRPr="005F429F">
        <w:rPr>
          <w:rFonts w:ascii="Book Antiqua" w:hAnsi="Book Antiqua"/>
          <w:b/>
          <w:bCs/>
          <w:color w:val="000000" w:themeColor="text1"/>
          <w:sz w:val="24"/>
        </w:rPr>
        <w:t>Wen-Bo Meng</w:t>
      </w:r>
      <w:r w:rsidRPr="00E13481">
        <w:rPr>
          <w:rFonts w:ascii="Book Antiqua" w:hAnsi="Book Antiqua"/>
          <w:b/>
          <w:color w:val="000000" w:themeColor="text1"/>
          <w:sz w:val="24"/>
        </w:rPr>
        <w:t>,</w:t>
      </w:r>
      <w:r w:rsidRPr="005F429F">
        <w:rPr>
          <w:rFonts w:ascii="Book Antiqua" w:hAnsi="Book Antiqua"/>
          <w:color w:val="000000" w:themeColor="text1"/>
          <w:sz w:val="24"/>
        </w:rPr>
        <w:t> The Department of Minimally invasive surgery, The First Hospital of Lanzhou University, Lanzhou 730000, Gansu</w:t>
      </w:r>
      <w:r w:rsidR="00E13481">
        <w:rPr>
          <w:rFonts w:ascii="Book Antiqua" w:hAnsi="Book Antiqua"/>
          <w:color w:val="000000" w:themeColor="text1"/>
          <w:sz w:val="24"/>
        </w:rPr>
        <w:t xml:space="preserve"> Province, China</w:t>
      </w:r>
    </w:p>
    <w:p w14:paraId="1DC5716E" w14:textId="77777777" w:rsidR="00E13481"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br/>
      </w:r>
      <w:r w:rsidRPr="005F429F">
        <w:rPr>
          <w:rFonts w:ascii="Book Antiqua" w:hAnsi="Book Antiqua"/>
          <w:b/>
          <w:bCs/>
          <w:color w:val="000000" w:themeColor="text1"/>
          <w:sz w:val="24"/>
        </w:rPr>
        <w:t>Yan-Ping Wang</w:t>
      </w:r>
      <w:r w:rsidRPr="00E13481">
        <w:rPr>
          <w:rFonts w:ascii="Book Antiqua" w:hAnsi="Book Antiqua"/>
          <w:b/>
          <w:color w:val="000000" w:themeColor="text1"/>
          <w:sz w:val="24"/>
        </w:rPr>
        <w:t>, </w:t>
      </w:r>
      <w:r w:rsidRPr="005F429F">
        <w:rPr>
          <w:rFonts w:ascii="Book Antiqua" w:hAnsi="Book Antiqua"/>
          <w:color w:val="000000" w:themeColor="text1"/>
          <w:sz w:val="24"/>
        </w:rPr>
        <w:t>The Pharmacy Department, The First Hospital of Lanzhou University, Lanzhou 730000, Gansu</w:t>
      </w:r>
      <w:r w:rsidR="00E13481">
        <w:rPr>
          <w:rFonts w:ascii="Book Antiqua" w:hAnsi="Book Antiqua"/>
          <w:color w:val="000000" w:themeColor="text1"/>
          <w:sz w:val="24"/>
        </w:rPr>
        <w:t xml:space="preserve"> Province, China</w:t>
      </w:r>
    </w:p>
    <w:p w14:paraId="3A9D4414"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br/>
      </w:r>
      <w:r w:rsidRPr="005F429F">
        <w:rPr>
          <w:rFonts w:ascii="Book Antiqua" w:hAnsi="Book Antiqua"/>
          <w:b/>
          <w:bCs/>
          <w:color w:val="000000" w:themeColor="text1"/>
          <w:sz w:val="24"/>
        </w:rPr>
        <w:lastRenderedPageBreak/>
        <w:t>Yu-Qin Liu</w:t>
      </w:r>
      <w:r w:rsidRPr="00E13481">
        <w:rPr>
          <w:rFonts w:ascii="Book Antiqua" w:hAnsi="Book Antiqua"/>
          <w:b/>
          <w:color w:val="000000" w:themeColor="text1"/>
          <w:sz w:val="24"/>
        </w:rPr>
        <w:t>, </w:t>
      </w:r>
      <w:r w:rsidRPr="005F429F">
        <w:rPr>
          <w:rFonts w:ascii="Book Antiqua" w:hAnsi="Book Antiqua"/>
          <w:color w:val="000000" w:themeColor="text1"/>
          <w:sz w:val="24"/>
        </w:rPr>
        <w:t>Cancer Epidemiology Research Center, Gansu Cancer Hospital, Lanzhou 730050, Gansu</w:t>
      </w:r>
      <w:r w:rsidR="00E13481">
        <w:rPr>
          <w:rFonts w:ascii="Book Antiqua" w:hAnsi="Book Antiqua"/>
          <w:color w:val="000000" w:themeColor="text1"/>
          <w:sz w:val="24"/>
        </w:rPr>
        <w:t xml:space="preserve"> Province, China</w:t>
      </w:r>
    </w:p>
    <w:p w14:paraId="3E49992B" w14:textId="77777777" w:rsidR="00E13481" w:rsidRPr="005F429F" w:rsidRDefault="00E13481" w:rsidP="005F429F">
      <w:pPr>
        <w:adjustRightInd w:val="0"/>
        <w:snapToGrid w:val="0"/>
        <w:spacing w:line="360" w:lineRule="auto"/>
        <w:rPr>
          <w:rFonts w:ascii="Book Antiqua" w:hAnsi="Book Antiqua"/>
          <w:color w:val="000000" w:themeColor="text1"/>
          <w:sz w:val="24"/>
        </w:rPr>
      </w:pPr>
    </w:p>
    <w:p w14:paraId="2885E1A9"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t>ORCID number</w:t>
      </w:r>
      <w:r w:rsidRPr="00E13481">
        <w:rPr>
          <w:rFonts w:ascii="Book Antiqua" w:hAnsi="Book Antiqua"/>
          <w:b/>
          <w:color w:val="000000" w:themeColor="text1"/>
          <w:sz w:val="24"/>
        </w:rPr>
        <w:t>:</w:t>
      </w:r>
      <w:r w:rsidRPr="005F429F">
        <w:rPr>
          <w:rFonts w:ascii="Book Antiqua" w:hAnsi="Book Antiqua"/>
          <w:color w:val="000000" w:themeColor="text1"/>
          <w:sz w:val="24"/>
        </w:rPr>
        <w:t xml:space="preserve"> Xiao-Liang Zhu</w:t>
      </w:r>
      <w:r w:rsidR="00E13481">
        <w:rPr>
          <w:rFonts w:ascii="Book Antiqua" w:hAnsi="Book Antiqua"/>
          <w:color w:val="000000" w:themeColor="text1"/>
          <w:sz w:val="24"/>
        </w:rPr>
        <w:t xml:space="preserve"> (0000-0002-5697-9583);</w:t>
      </w:r>
      <w:r w:rsidRPr="005F429F">
        <w:rPr>
          <w:rFonts w:ascii="Book Antiqua" w:hAnsi="Book Antiqua"/>
          <w:color w:val="000000" w:themeColor="text1"/>
          <w:sz w:val="24"/>
        </w:rPr>
        <w:t xml:space="preserve"> Long-Fei Ren</w:t>
      </w:r>
      <w:r w:rsidR="00E13481">
        <w:rPr>
          <w:rFonts w:ascii="Book Antiqua" w:hAnsi="Book Antiqua"/>
          <w:color w:val="000000" w:themeColor="text1"/>
          <w:sz w:val="24"/>
        </w:rPr>
        <w:t xml:space="preserve"> (0000-0003-4927-0012);</w:t>
      </w:r>
      <w:r w:rsidRPr="005F429F">
        <w:rPr>
          <w:rFonts w:ascii="Book Antiqua" w:hAnsi="Book Antiqua"/>
          <w:color w:val="000000" w:themeColor="text1"/>
          <w:sz w:val="24"/>
        </w:rPr>
        <w:t xml:space="preserve"> Hai-Ping Wang</w:t>
      </w:r>
      <w:r w:rsidR="00E13481">
        <w:rPr>
          <w:rFonts w:ascii="Book Antiqua" w:hAnsi="Book Antiqua"/>
          <w:color w:val="000000" w:themeColor="text1"/>
          <w:sz w:val="24"/>
        </w:rPr>
        <w:t xml:space="preserve"> (0000-0002-7771-5077);</w:t>
      </w:r>
      <w:r w:rsidRPr="005F429F">
        <w:rPr>
          <w:rFonts w:ascii="Book Antiqua" w:hAnsi="Book Antiqua"/>
          <w:color w:val="000000" w:themeColor="text1"/>
          <w:sz w:val="24"/>
        </w:rPr>
        <w:t xml:space="preserve"> Zhong-Tian Bai</w:t>
      </w:r>
      <w:r w:rsidR="00E13481">
        <w:rPr>
          <w:rFonts w:ascii="Book Antiqua" w:hAnsi="Book Antiqua"/>
          <w:color w:val="000000" w:themeColor="text1"/>
          <w:sz w:val="24"/>
        </w:rPr>
        <w:t xml:space="preserve"> (0000-0002-8922-0442);</w:t>
      </w:r>
      <w:r w:rsidRPr="005F429F">
        <w:rPr>
          <w:rFonts w:ascii="Book Antiqua" w:hAnsi="Book Antiqua"/>
          <w:color w:val="000000" w:themeColor="text1"/>
          <w:sz w:val="24"/>
        </w:rPr>
        <w:t xml:space="preserve"> Lei Zhang</w:t>
      </w:r>
      <w:r w:rsidR="00E13481">
        <w:rPr>
          <w:rFonts w:ascii="Book Antiqua" w:hAnsi="Book Antiqua"/>
          <w:color w:val="000000" w:themeColor="text1"/>
          <w:sz w:val="24"/>
        </w:rPr>
        <w:t xml:space="preserve"> (0000-0001-9320-304X);</w:t>
      </w:r>
      <w:r w:rsidRPr="005F429F">
        <w:rPr>
          <w:rFonts w:ascii="Book Antiqua" w:hAnsi="Book Antiqua"/>
          <w:color w:val="000000" w:themeColor="text1"/>
          <w:sz w:val="24"/>
        </w:rPr>
        <w:t xml:space="preserve"> Wen-Bo Meng</w:t>
      </w:r>
      <w:r w:rsidR="00E13481">
        <w:rPr>
          <w:rFonts w:ascii="Book Antiqua" w:hAnsi="Book Antiqua"/>
          <w:color w:val="000000" w:themeColor="text1"/>
          <w:sz w:val="24"/>
        </w:rPr>
        <w:t xml:space="preserve"> (0000-0002-9355-0225);</w:t>
      </w:r>
      <w:r w:rsidRPr="005F429F">
        <w:rPr>
          <w:rFonts w:ascii="Book Antiqua" w:hAnsi="Book Antiqua"/>
          <w:color w:val="000000" w:themeColor="text1"/>
          <w:sz w:val="24"/>
        </w:rPr>
        <w:t xml:space="preserve"> </w:t>
      </w:r>
      <w:proofErr w:type="spellStart"/>
      <w:r w:rsidRPr="005F429F">
        <w:rPr>
          <w:rFonts w:ascii="Book Antiqua" w:hAnsi="Book Antiqua"/>
          <w:color w:val="000000" w:themeColor="text1"/>
          <w:sz w:val="24"/>
        </w:rPr>
        <w:t>Ke</w:t>
      </w:r>
      <w:proofErr w:type="spellEnd"/>
      <w:r w:rsidRPr="005F429F">
        <w:rPr>
          <w:rFonts w:ascii="Book Antiqua" w:hAnsi="Book Antiqua"/>
          <w:color w:val="000000" w:themeColor="text1"/>
          <w:sz w:val="24"/>
        </w:rPr>
        <w:t>-Xiang Zhu</w:t>
      </w:r>
      <w:r w:rsidR="00E13481">
        <w:rPr>
          <w:rFonts w:ascii="Book Antiqua" w:hAnsi="Book Antiqua"/>
          <w:color w:val="000000" w:themeColor="text1"/>
          <w:sz w:val="24"/>
        </w:rPr>
        <w:t xml:space="preserve"> (0000-0003-4272-5221);</w:t>
      </w:r>
      <w:r w:rsidRPr="005F429F">
        <w:rPr>
          <w:rFonts w:ascii="Book Antiqua" w:hAnsi="Book Antiqua"/>
          <w:color w:val="000000" w:themeColor="text1"/>
          <w:sz w:val="24"/>
        </w:rPr>
        <w:t xml:space="preserve"> Fang-Hui Ding</w:t>
      </w:r>
      <w:r w:rsidR="00E13481">
        <w:rPr>
          <w:rFonts w:ascii="Book Antiqua" w:hAnsi="Book Antiqua"/>
          <w:color w:val="000000" w:themeColor="text1"/>
          <w:sz w:val="24"/>
        </w:rPr>
        <w:t xml:space="preserve"> (0000-0002-2450-2406);</w:t>
      </w:r>
      <w:r w:rsidRPr="005F429F">
        <w:rPr>
          <w:rFonts w:ascii="Book Antiqua" w:hAnsi="Book Antiqua"/>
          <w:color w:val="000000" w:themeColor="text1"/>
          <w:sz w:val="24"/>
        </w:rPr>
        <w:t xml:space="preserve"> Long Miao</w:t>
      </w:r>
      <w:r w:rsidR="00E13481">
        <w:rPr>
          <w:rFonts w:ascii="Book Antiqua" w:hAnsi="Book Antiqua"/>
          <w:color w:val="000000" w:themeColor="text1"/>
          <w:sz w:val="24"/>
        </w:rPr>
        <w:t xml:space="preserve"> </w:t>
      </w:r>
      <w:r w:rsidRPr="005F429F">
        <w:rPr>
          <w:rFonts w:ascii="Book Antiqua" w:hAnsi="Book Antiqua"/>
          <w:color w:val="000000" w:themeColor="text1"/>
          <w:sz w:val="24"/>
        </w:rPr>
        <w:t>(0000-00</w:t>
      </w:r>
      <w:r w:rsidR="00E13481">
        <w:rPr>
          <w:rFonts w:ascii="Book Antiqua" w:hAnsi="Book Antiqua"/>
          <w:color w:val="000000" w:themeColor="text1"/>
          <w:sz w:val="24"/>
        </w:rPr>
        <w:t>02-7861-6134);</w:t>
      </w:r>
      <w:r w:rsidRPr="005F429F">
        <w:rPr>
          <w:rFonts w:ascii="Book Antiqua" w:hAnsi="Book Antiqua"/>
          <w:color w:val="000000" w:themeColor="text1"/>
          <w:sz w:val="24"/>
        </w:rPr>
        <w:t xml:space="preserve"> Jun Yan</w:t>
      </w:r>
      <w:r w:rsidR="00E13481">
        <w:rPr>
          <w:rFonts w:ascii="Book Antiqua" w:hAnsi="Book Antiqua"/>
          <w:color w:val="000000" w:themeColor="text1"/>
          <w:sz w:val="24"/>
        </w:rPr>
        <w:t xml:space="preserve"> (0000-0002-1452-613X);</w:t>
      </w:r>
      <w:r w:rsidRPr="005F429F">
        <w:rPr>
          <w:rFonts w:ascii="Book Antiqua" w:hAnsi="Book Antiqua"/>
          <w:color w:val="000000" w:themeColor="text1"/>
          <w:sz w:val="24"/>
        </w:rPr>
        <w:t xml:space="preserve"> Yan-Ping Wang</w:t>
      </w:r>
      <w:r w:rsidR="00E13481">
        <w:rPr>
          <w:rFonts w:ascii="Book Antiqua" w:hAnsi="Book Antiqua"/>
          <w:color w:val="000000" w:themeColor="text1"/>
          <w:sz w:val="24"/>
        </w:rPr>
        <w:t xml:space="preserve"> (0000-0002-5197-7714);</w:t>
      </w:r>
      <w:r w:rsidRPr="005F429F">
        <w:rPr>
          <w:rFonts w:ascii="Book Antiqua" w:hAnsi="Book Antiqua"/>
          <w:color w:val="000000" w:themeColor="text1"/>
          <w:sz w:val="24"/>
        </w:rPr>
        <w:t xml:space="preserve"> Yu-Qin Liu</w:t>
      </w:r>
      <w:r w:rsidR="00E13481">
        <w:rPr>
          <w:rFonts w:ascii="Book Antiqua" w:hAnsi="Book Antiqua"/>
          <w:color w:val="000000" w:themeColor="text1"/>
          <w:sz w:val="24"/>
        </w:rPr>
        <w:t xml:space="preserve"> (0000-0002-7372-0282);</w:t>
      </w:r>
      <w:r w:rsidRPr="005F429F">
        <w:rPr>
          <w:rFonts w:ascii="Book Antiqua" w:hAnsi="Book Antiqua"/>
          <w:color w:val="000000" w:themeColor="text1"/>
          <w:sz w:val="24"/>
        </w:rPr>
        <w:t xml:space="preserve"> Wen-Ce Zhou</w:t>
      </w:r>
      <w:r w:rsidR="00E13481">
        <w:rPr>
          <w:rFonts w:ascii="Book Antiqua" w:hAnsi="Book Antiqua"/>
          <w:color w:val="000000" w:themeColor="text1"/>
          <w:sz w:val="24"/>
        </w:rPr>
        <w:t xml:space="preserve"> (0000-0002-0529-7777);</w:t>
      </w:r>
      <w:r w:rsidRPr="005F429F">
        <w:rPr>
          <w:rFonts w:ascii="Book Antiqua" w:hAnsi="Book Antiqua"/>
          <w:color w:val="000000" w:themeColor="text1"/>
          <w:sz w:val="24"/>
        </w:rPr>
        <w:t xml:space="preserve"> </w:t>
      </w:r>
      <w:proofErr w:type="spellStart"/>
      <w:r w:rsidRPr="005F429F">
        <w:rPr>
          <w:rFonts w:ascii="Book Antiqua" w:hAnsi="Book Antiqua"/>
          <w:color w:val="000000" w:themeColor="text1"/>
          <w:sz w:val="24"/>
        </w:rPr>
        <w:t>Xun</w:t>
      </w:r>
      <w:proofErr w:type="spellEnd"/>
      <w:r w:rsidRPr="005F429F">
        <w:rPr>
          <w:rFonts w:ascii="Book Antiqua" w:hAnsi="Book Antiqua"/>
          <w:color w:val="000000" w:themeColor="text1"/>
          <w:sz w:val="24"/>
        </w:rPr>
        <w:t xml:space="preserve"> Li</w:t>
      </w:r>
      <w:r w:rsidR="00E13481">
        <w:rPr>
          <w:rFonts w:ascii="Book Antiqua" w:hAnsi="Book Antiqua"/>
          <w:color w:val="000000" w:themeColor="text1"/>
          <w:sz w:val="24"/>
        </w:rPr>
        <w:t xml:space="preserve"> </w:t>
      </w:r>
      <w:r w:rsidRPr="005F429F">
        <w:rPr>
          <w:rFonts w:ascii="Book Antiqua" w:hAnsi="Book Antiqua"/>
          <w:color w:val="000000" w:themeColor="text1"/>
          <w:sz w:val="24"/>
        </w:rPr>
        <w:t>(0000-0001-6862-7692).</w:t>
      </w:r>
    </w:p>
    <w:p w14:paraId="332EDE79" w14:textId="77777777" w:rsidR="00E13481" w:rsidRPr="005F429F" w:rsidRDefault="00E13481" w:rsidP="005F429F">
      <w:pPr>
        <w:adjustRightInd w:val="0"/>
        <w:snapToGrid w:val="0"/>
        <w:spacing w:line="360" w:lineRule="auto"/>
        <w:rPr>
          <w:rFonts w:ascii="Book Antiqua" w:hAnsi="Book Antiqua"/>
          <w:color w:val="000000" w:themeColor="text1"/>
          <w:sz w:val="24"/>
        </w:rPr>
      </w:pPr>
    </w:p>
    <w:p w14:paraId="281985C6"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t>Author contributions:</w:t>
      </w:r>
      <w:r w:rsidRPr="005F429F">
        <w:rPr>
          <w:rFonts w:ascii="Book Antiqua" w:hAnsi="Book Antiqua"/>
          <w:color w:val="000000" w:themeColor="text1"/>
          <w:sz w:val="24"/>
        </w:rPr>
        <w:t xml:space="preserve"> Zhu XL, Wang YP, Zhou WC and Li X contributed to conceptualization and design of the study, and Liu YQ suggested the study location. Zhu XL, Zhang L, Meng WB, Zhu KX, Ding FH and Miao L performed all gastroscopy and collected the blood and biopsy samples. Ren LF, Wang HP, Bai ZT and Yan J performed the majority of the experiments and analyzed the data. All authors drafted the article and made revisions related to the intellectual content of the manuscript, and approved the final version of the article to be published.</w:t>
      </w:r>
    </w:p>
    <w:p w14:paraId="762DD125" w14:textId="77777777" w:rsidR="00E13481" w:rsidRPr="005F429F" w:rsidRDefault="00E13481" w:rsidP="005F429F">
      <w:pPr>
        <w:adjustRightInd w:val="0"/>
        <w:snapToGrid w:val="0"/>
        <w:spacing w:line="360" w:lineRule="auto"/>
        <w:rPr>
          <w:rFonts w:ascii="Book Antiqua" w:hAnsi="Book Antiqua"/>
          <w:color w:val="000000" w:themeColor="text1"/>
          <w:sz w:val="24"/>
        </w:rPr>
      </w:pPr>
    </w:p>
    <w:p w14:paraId="56BD7EF0" w14:textId="77777777" w:rsidR="000D59A6" w:rsidRPr="005F429F" w:rsidRDefault="00E30FC2" w:rsidP="005F429F">
      <w:pPr>
        <w:adjustRightInd w:val="0"/>
        <w:snapToGrid w:val="0"/>
        <w:spacing w:line="360" w:lineRule="auto"/>
        <w:rPr>
          <w:rFonts w:ascii="Book Antiqua" w:hAnsi="Book Antiqua"/>
          <w:color w:val="000000" w:themeColor="text1"/>
          <w:sz w:val="24"/>
        </w:rPr>
      </w:pPr>
      <w:bookmarkStart w:id="24" w:name="OLE_LINK617"/>
      <w:bookmarkStart w:id="25" w:name="OLE_LINK616"/>
      <w:bookmarkStart w:id="26" w:name="OLE_LINK273"/>
      <w:r w:rsidRPr="005F429F">
        <w:rPr>
          <w:rFonts w:ascii="Book Antiqua" w:hAnsi="Book Antiqua"/>
          <w:b/>
          <w:bCs/>
          <w:color w:val="000000" w:themeColor="text1"/>
          <w:sz w:val="24"/>
        </w:rPr>
        <w:t>Supported by</w:t>
      </w:r>
      <w:bookmarkEnd w:id="24"/>
      <w:bookmarkEnd w:id="25"/>
      <w:bookmarkEnd w:id="26"/>
      <w:r w:rsidRPr="005F429F">
        <w:rPr>
          <w:rFonts w:ascii="Book Antiqua" w:hAnsi="Book Antiqua"/>
          <w:color w:val="000000" w:themeColor="text1"/>
          <w:sz w:val="24"/>
        </w:rPr>
        <w:t xml:space="preserve"> the Health Industry Rese</w:t>
      </w:r>
      <w:r w:rsidR="00E13481">
        <w:rPr>
          <w:rFonts w:ascii="Book Antiqua" w:hAnsi="Book Antiqua"/>
          <w:color w:val="000000" w:themeColor="text1"/>
          <w:sz w:val="24"/>
        </w:rPr>
        <w:t>arch Project of Gansu Province, No. GSWSKY2017-26;</w:t>
      </w:r>
      <w:r w:rsidRPr="005F429F">
        <w:rPr>
          <w:rFonts w:ascii="Book Antiqua" w:hAnsi="Book Antiqua"/>
          <w:color w:val="000000" w:themeColor="text1"/>
          <w:sz w:val="24"/>
        </w:rPr>
        <w:t xml:space="preserve"> the Gansu Province Science Foundation fo</w:t>
      </w:r>
      <w:r w:rsidR="00E13481">
        <w:rPr>
          <w:rFonts w:ascii="Book Antiqua" w:hAnsi="Book Antiqua"/>
          <w:color w:val="000000" w:themeColor="text1"/>
          <w:sz w:val="24"/>
        </w:rPr>
        <w:t>r Distinguished Young Scholars, No. 1606RJDA317;</w:t>
      </w:r>
      <w:r w:rsidRPr="005F429F">
        <w:rPr>
          <w:rFonts w:ascii="Book Antiqua" w:hAnsi="Book Antiqua"/>
          <w:color w:val="000000" w:themeColor="text1"/>
          <w:sz w:val="24"/>
        </w:rPr>
        <w:t xml:space="preserve"> the Key Laboratory of Biotherapy and Regenerat</w:t>
      </w:r>
      <w:r w:rsidR="00E13481">
        <w:rPr>
          <w:rFonts w:ascii="Book Antiqua" w:hAnsi="Book Antiqua"/>
          <w:color w:val="000000" w:themeColor="text1"/>
          <w:sz w:val="24"/>
        </w:rPr>
        <w:t>ive Medicine of Gansu Province, No. zdsyskfkt-201704;</w:t>
      </w:r>
      <w:r w:rsidRPr="005F429F">
        <w:rPr>
          <w:rFonts w:ascii="Book Antiqua" w:hAnsi="Book Antiqua"/>
          <w:color w:val="000000" w:themeColor="text1"/>
          <w:sz w:val="24"/>
        </w:rPr>
        <w:t xml:space="preserve"> and the Foundation of The First </w:t>
      </w:r>
      <w:r w:rsidR="00E13481">
        <w:rPr>
          <w:rFonts w:ascii="Book Antiqua" w:hAnsi="Book Antiqua"/>
          <w:color w:val="000000" w:themeColor="text1"/>
          <w:sz w:val="24"/>
        </w:rPr>
        <w:t>Hospital of Lanzhou University, No. ldyyyn2015-16</w:t>
      </w:r>
      <w:r w:rsidRPr="005F429F">
        <w:rPr>
          <w:rFonts w:ascii="Book Antiqua" w:hAnsi="Book Antiqua"/>
          <w:color w:val="000000" w:themeColor="text1"/>
          <w:sz w:val="24"/>
        </w:rPr>
        <w:t>.</w:t>
      </w:r>
    </w:p>
    <w:p w14:paraId="3EBB98D3" w14:textId="77777777" w:rsidR="000D59A6" w:rsidRPr="005F429F" w:rsidRDefault="000D59A6" w:rsidP="005F429F">
      <w:pPr>
        <w:adjustRightInd w:val="0"/>
        <w:snapToGrid w:val="0"/>
        <w:spacing w:line="360" w:lineRule="auto"/>
        <w:rPr>
          <w:rFonts w:ascii="Book Antiqua" w:hAnsi="Book Antiqua"/>
          <w:color w:val="000000" w:themeColor="text1"/>
          <w:sz w:val="24"/>
        </w:rPr>
      </w:pPr>
    </w:p>
    <w:p w14:paraId="3DE2B61D" w14:textId="77777777" w:rsidR="000D59A6" w:rsidRDefault="00E30FC2" w:rsidP="005F429F">
      <w:pPr>
        <w:adjustRightInd w:val="0"/>
        <w:snapToGrid w:val="0"/>
        <w:spacing w:line="360" w:lineRule="auto"/>
        <w:rPr>
          <w:rFonts w:ascii="Book Antiqua" w:hAnsi="Book Antiqua"/>
          <w:color w:val="000000" w:themeColor="text1"/>
          <w:sz w:val="24"/>
        </w:rPr>
      </w:pPr>
      <w:bookmarkStart w:id="27" w:name="OLE_LINK815"/>
      <w:bookmarkStart w:id="28" w:name="OLE_LINK863"/>
      <w:bookmarkStart w:id="29" w:name="OLE_LINK960"/>
      <w:bookmarkStart w:id="30" w:name="OLE_LINK657"/>
      <w:r w:rsidRPr="005F429F">
        <w:rPr>
          <w:rFonts w:ascii="Book Antiqua" w:hAnsi="Book Antiqua"/>
          <w:b/>
          <w:bCs/>
          <w:color w:val="000000" w:themeColor="text1"/>
          <w:sz w:val="24"/>
        </w:rPr>
        <w:t>Institutional review board statement:</w:t>
      </w:r>
      <w:bookmarkEnd w:id="27"/>
      <w:bookmarkEnd w:id="28"/>
      <w:bookmarkEnd w:id="29"/>
      <w:r w:rsidRPr="005F429F">
        <w:rPr>
          <w:rFonts w:ascii="Book Antiqua" w:hAnsi="Book Antiqua"/>
          <w:b/>
          <w:bCs/>
          <w:color w:val="000000" w:themeColor="text1"/>
          <w:sz w:val="24"/>
        </w:rPr>
        <w:t xml:space="preserve"> </w:t>
      </w:r>
      <w:bookmarkEnd w:id="30"/>
      <w:r w:rsidRPr="005F429F">
        <w:rPr>
          <w:rFonts w:ascii="Book Antiqua" w:hAnsi="Book Antiqua"/>
          <w:color w:val="000000" w:themeColor="text1"/>
          <w:sz w:val="24"/>
        </w:rPr>
        <w:t>This study was reviewed and approved by the Ethics Committee of the First Hospital of Lanzhou University. Informed consent was obtained from all individual participants included in the study.</w:t>
      </w:r>
    </w:p>
    <w:p w14:paraId="3D7139BF" w14:textId="77777777" w:rsidR="00E13481" w:rsidRPr="005F429F" w:rsidRDefault="00E13481" w:rsidP="005F429F">
      <w:pPr>
        <w:adjustRightInd w:val="0"/>
        <w:snapToGrid w:val="0"/>
        <w:spacing w:line="360" w:lineRule="auto"/>
        <w:rPr>
          <w:rFonts w:ascii="Book Antiqua" w:hAnsi="Book Antiqua"/>
          <w:color w:val="000000" w:themeColor="text1"/>
          <w:sz w:val="24"/>
        </w:rPr>
      </w:pPr>
    </w:p>
    <w:p w14:paraId="3BC12B9B" w14:textId="77777777" w:rsidR="000D59A6" w:rsidRDefault="00E30FC2" w:rsidP="00DE4C97">
      <w:pPr>
        <w:adjustRightInd w:val="0"/>
        <w:snapToGrid w:val="0"/>
        <w:spacing w:line="360" w:lineRule="auto"/>
        <w:outlineLvl w:val="0"/>
        <w:rPr>
          <w:rFonts w:ascii="Book Antiqua" w:hAnsi="Book Antiqua"/>
          <w:color w:val="000000" w:themeColor="text1"/>
          <w:sz w:val="24"/>
        </w:rPr>
      </w:pPr>
      <w:r w:rsidRPr="005F429F">
        <w:rPr>
          <w:rFonts w:ascii="Book Antiqua" w:hAnsi="Book Antiqua"/>
          <w:b/>
          <w:bCs/>
          <w:color w:val="000000" w:themeColor="text1"/>
          <w:sz w:val="24"/>
        </w:rPr>
        <w:t>Conflict-of-interest statement:</w:t>
      </w:r>
      <w:r w:rsidRPr="005F429F">
        <w:rPr>
          <w:rFonts w:ascii="Book Antiqua" w:hAnsi="Book Antiqua"/>
          <w:color w:val="000000" w:themeColor="text1"/>
          <w:sz w:val="24"/>
        </w:rPr>
        <w:t xml:space="preserve"> The authors declare no conflicts of interest.</w:t>
      </w:r>
    </w:p>
    <w:p w14:paraId="7CB29D44" w14:textId="77777777" w:rsidR="00E13481" w:rsidRPr="005F429F" w:rsidRDefault="00E13481" w:rsidP="005F429F">
      <w:pPr>
        <w:adjustRightInd w:val="0"/>
        <w:snapToGrid w:val="0"/>
        <w:spacing w:line="360" w:lineRule="auto"/>
        <w:rPr>
          <w:rFonts w:ascii="Book Antiqua" w:hAnsi="Book Antiqua"/>
          <w:color w:val="000000" w:themeColor="text1"/>
          <w:sz w:val="24"/>
        </w:rPr>
      </w:pPr>
    </w:p>
    <w:p w14:paraId="6B48303D" w14:textId="77777777" w:rsidR="000D59A6" w:rsidRDefault="00E30FC2" w:rsidP="00DE4C97">
      <w:pPr>
        <w:adjustRightInd w:val="0"/>
        <w:snapToGrid w:val="0"/>
        <w:spacing w:line="360" w:lineRule="auto"/>
        <w:outlineLvl w:val="0"/>
        <w:rPr>
          <w:rFonts w:ascii="Book Antiqua" w:hAnsi="Book Antiqua"/>
          <w:color w:val="000000" w:themeColor="text1"/>
          <w:sz w:val="24"/>
        </w:rPr>
      </w:pPr>
      <w:r w:rsidRPr="005F429F">
        <w:rPr>
          <w:rFonts w:ascii="Book Antiqua" w:hAnsi="Book Antiqua"/>
          <w:b/>
          <w:bCs/>
          <w:color w:val="000000" w:themeColor="text1"/>
          <w:sz w:val="24"/>
        </w:rPr>
        <w:lastRenderedPageBreak/>
        <w:t>Data sharing statement:</w:t>
      </w:r>
      <w:r w:rsidRPr="005F429F">
        <w:rPr>
          <w:rFonts w:ascii="Book Antiqua" w:hAnsi="Book Antiqua"/>
          <w:color w:val="000000" w:themeColor="text1"/>
          <w:sz w:val="24"/>
        </w:rPr>
        <w:t xml:space="preserve"> No additional data are available.</w:t>
      </w:r>
    </w:p>
    <w:p w14:paraId="4B6F7BC9" w14:textId="77777777" w:rsidR="00E13481" w:rsidRPr="005F429F" w:rsidRDefault="00E13481" w:rsidP="005F429F">
      <w:pPr>
        <w:adjustRightInd w:val="0"/>
        <w:snapToGrid w:val="0"/>
        <w:spacing w:line="360" w:lineRule="auto"/>
        <w:rPr>
          <w:rFonts w:ascii="Book Antiqua" w:hAnsi="Book Antiqua"/>
          <w:color w:val="000000" w:themeColor="text1"/>
          <w:sz w:val="24"/>
        </w:rPr>
      </w:pPr>
    </w:p>
    <w:p w14:paraId="0EECAFF4" w14:textId="77777777" w:rsidR="00E13481" w:rsidRPr="00E13481" w:rsidRDefault="00E13481" w:rsidP="00E13481">
      <w:pPr>
        <w:widowControl/>
        <w:snapToGrid w:val="0"/>
        <w:spacing w:line="360" w:lineRule="auto"/>
        <w:rPr>
          <w:rFonts w:ascii="Book Antiqua" w:hAnsi="Book Antiqua"/>
          <w:kern w:val="0"/>
          <w:sz w:val="24"/>
        </w:rPr>
      </w:pPr>
      <w:bookmarkStart w:id="31" w:name="OLE_LINK25"/>
      <w:bookmarkStart w:id="32" w:name="OLE_LINK26"/>
      <w:bookmarkStart w:id="33" w:name="OLE_LINK375"/>
      <w:bookmarkStart w:id="34" w:name="OLE_LINK32"/>
      <w:bookmarkStart w:id="35" w:name="OLE_LINK381"/>
      <w:bookmarkStart w:id="36" w:name="OLE_LINK413"/>
      <w:r w:rsidRPr="00E13481">
        <w:rPr>
          <w:rFonts w:ascii="Book Antiqua" w:hAnsi="Book Antiqua"/>
          <w:b/>
          <w:color w:val="000000"/>
          <w:kern w:val="0"/>
          <w:sz w:val="24"/>
        </w:rPr>
        <w:t xml:space="preserve">Open-Access: </w:t>
      </w:r>
      <w:r w:rsidRPr="00E13481">
        <w:rPr>
          <w:rFonts w:ascii="Book Antiqua" w:hAnsi="Book Antiqua"/>
          <w:color w:val="000000"/>
          <w:kern w:val="0"/>
          <w:sz w:val="24"/>
        </w:rPr>
        <w:t xml:space="preserve">This is an </w:t>
      </w:r>
      <w:r w:rsidRPr="00E13481">
        <w:rPr>
          <w:rFonts w:ascii="Book Antiqua" w:hAnsi="Book Antiqua" w:cs="SimSun"/>
          <w:kern w:val="0"/>
          <w:sz w:val="24"/>
        </w:rPr>
        <w:t xml:space="preserve">open-access article that was </w:t>
      </w:r>
      <w:r w:rsidRPr="00E13481">
        <w:rPr>
          <w:rFonts w:ascii="Book Antiqua" w:hAnsi="Book Antiqua"/>
          <w:kern w:val="0"/>
          <w:sz w:val="24"/>
        </w:rPr>
        <w:t xml:space="preserve">selected by an in-house editor and fully peer-reviewed by external reviewers. It is </w:t>
      </w:r>
      <w:r w:rsidRPr="00E13481">
        <w:rPr>
          <w:rFonts w:ascii="Book Antiqua" w:hAnsi="Book Antiqua" w:cs="SimSun"/>
          <w:kern w:val="0"/>
          <w:sz w:val="24"/>
        </w:rPr>
        <w:t xml:space="preserve">distributed in accordance with </w:t>
      </w:r>
      <w:r w:rsidRPr="00E13481">
        <w:rPr>
          <w:rFonts w:ascii="Book Antiqua" w:hAnsi="Book Antiqua"/>
          <w:kern w:val="0"/>
          <w:sz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13481">
          <w:rPr>
            <w:rFonts w:ascii="Book Antiqua" w:hAnsi="Book Antiqua"/>
            <w:color w:val="0000FF"/>
            <w:kern w:val="0"/>
            <w:sz w:val="24"/>
            <w:u w:val="single"/>
          </w:rPr>
          <w:t>http://creativecommons.org/licenses/by-nc/4.0/</w:t>
        </w:r>
      </w:hyperlink>
    </w:p>
    <w:p w14:paraId="2926E6A1" w14:textId="77777777" w:rsidR="00E13481" w:rsidRPr="00E13481" w:rsidRDefault="00E13481" w:rsidP="00E13481">
      <w:pPr>
        <w:widowControl/>
        <w:snapToGrid w:val="0"/>
        <w:spacing w:line="360" w:lineRule="auto"/>
        <w:rPr>
          <w:rFonts w:ascii="Book Antiqua" w:hAnsi="Book Antiqua"/>
          <w:kern w:val="0"/>
          <w:sz w:val="24"/>
        </w:rPr>
      </w:pPr>
    </w:p>
    <w:p w14:paraId="546A70CD" w14:textId="77777777" w:rsidR="00E13481" w:rsidRDefault="00E13481" w:rsidP="00DE4C97">
      <w:pPr>
        <w:adjustRightInd w:val="0"/>
        <w:snapToGrid w:val="0"/>
        <w:spacing w:line="360" w:lineRule="auto"/>
        <w:outlineLvl w:val="0"/>
        <w:rPr>
          <w:rFonts w:ascii="Book Antiqua" w:hAnsi="Book Antiqua"/>
          <w:bCs/>
          <w:kern w:val="0"/>
          <w:sz w:val="24"/>
        </w:rPr>
      </w:pPr>
      <w:r w:rsidRPr="00E13481">
        <w:rPr>
          <w:rFonts w:ascii="Book Antiqua" w:hAnsi="Book Antiqua"/>
          <w:b/>
          <w:bCs/>
          <w:kern w:val="0"/>
          <w:sz w:val="24"/>
          <w:highlight w:val="white"/>
        </w:rPr>
        <w:t>Manuscript source:</w:t>
      </w:r>
      <w:r w:rsidRPr="00E13481">
        <w:rPr>
          <w:rFonts w:ascii="Book Antiqua" w:hAnsi="Book Antiqua" w:hint="eastAsia"/>
          <w:b/>
          <w:bCs/>
          <w:kern w:val="0"/>
          <w:sz w:val="24"/>
          <w:highlight w:val="white"/>
        </w:rPr>
        <w:t xml:space="preserve"> </w:t>
      </w:r>
      <w:r w:rsidRPr="00E13481">
        <w:rPr>
          <w:rFonts w:ascii="Book Antiqua" w:hAnsi="Book Antiqua"/>
          <w:bCs/>
          <w:kern w:val="0"/>
          <w:sz w:val="24"/>
          <w:highlight w:val="white"/>
        </w:rPr>
        <w:t>Unsolicited manuscript</w:t>
      </w:r>
      <w:bookmarkEnd w:id="31"/>
      <w:bookmarkEnd w:id="32"/>
      <w:bookmarkEnd w:id="33"/>
      <w:bookmarkEnd w:id="34"/>
      <w:bookmarkEnd w:id="35"/>
      <w:bookmarkEnd w:id="36"/>
    </w:p>
    <w:p w14:paraId="127638CD" w14:textId="77777777" w:rsidR="00E13481" w:rsidRPr="005F429F" w:rsidRDefault="00E13481" w:rsidP="00E13481">
      <w:pPr>
        <w:adjustRightInd w:val="0"/>
        <w:snapToGrid w:val="0"/>
        <w:spacing w:line="360" w:lineRule="auto"/>
        <w:rPr>
          <w:rFonts w:ascii="Book Antiqua" w:hAnsi="Book Antiqua"/>
          <w:color w:val="000000" w:themeColor="text1"/>
          <w:sz w:val="24"/>
        </w:rPr>
      </w:pPr>
    </w:p>
    <w:p w14:paraId="5C6DB928" w14:textId="6F11CD03" w:rsidR="000D59A6" w:rsidRPr="005F429F"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t>Corresponding author:</w:t>
      </w:r>
      <w:r w:rsidRPr="005F429F">
        <w:rPr>
          <w:rFonts w:ascii="Book Antiqua" w:hAnsi="Book Antiqua"/>
          <w:color w:val="000000" w:themeColor="text1"/>
          <w:sz w:val="24"/>
        </w:rPr>
        <w:t xml:space="preserve"> </w:t>
      </w:r>
      <w:proofErr w:type="spellStart"/>
      <w:r w:rsidRPr="00E13481">
        <w:rPr>
          <w:rFonts w:ascii="Book Antiqua" w:hAnsi="Book Antiqua"/>
          <w:b/>
          <w:color w:val="000000" w:themeColor="text1"/>
          <w:sz w:val="24"/>
        </w:rPr>
        <w:t>Xun</w:t>
      </w:r>
      <w:proofErr w:type="spellEnd"/>
      <w:r w:rsidRPr="00E13481">
        <w:rPr>
          <w:rFonts w:ascii="Book Antiqua" w:hAnsi="Book Antiqua"/>
          <w:b/>
          <w:color w:val="000000" w:themeColor="text1"/>
          <w:sz w:val="24"/>
        </w:rPr>
        <w:t xml:space="preserve"> Li,</w:t>
      </w:r>
      <w:r w:rsidR="00E13481" w:rsidRPr="00E13481">
        <w:rPr>
          <w:rFonts w:ascii="Book Antiqua" w:hAnsi="Book Antiqua"/>
          <w:b/>
          <w:color w:val="000000" w:themeColor="text1"/>
          <w:sz w:val="24"/>
        </w:rPr>
        <w:t xml:space="preserve"> MD, Chief Doctor, </w:t>
      </w:r>
      <w:r w:rsidR="00E13481" w:rsidRPr="005F429F">
        <w:rPr>
          <w:rFonts w:ascii="Book Antiqua" w:hAnsi="Book Antiqua"/>
          <w:color w:val="000000" w:themeColor="text1"/>
          <w:sz w:val="24"/>
        </w:rPr>
        <w:t>The Fifth Department of General Surgery,</w:t>
      </w:r>
      <w:r w:rsidR="00E13481">
        <w:rPr>
          <w:rFonts w:ascii="Book Antiqua" w:hAnsi="Book Antiqua"/>
          <w:color w:val="000000" w:themeColor="text1"/>
          <w:sz w:val="24"/>
        </w:rPr>
        <w:t xml:space="preserve"> </w:t>
      </w:r>
      <w:r w:rsidRPr="005F429F">
        <w:rPr>
          <w:rFonts w:ascii="Book Antiqua" w:hAnsi="Book Antiqua"/>
          <w:color w:val="000000" w:themeColor="text1"/>
          <w:sz w:val="24"/>
        </w:rPr>
        <w:t xml:space="preserve">The First Hospital of Lanzhou University, </w:t>
      </w:r>
      <w:r w:rsidR="00E13481" w:rsidRPr="005F429F">
        <w:rPr>
          <w:rFonts w:ascii="Book Antiqua" w:hAnsi="Book Antiqua"/>
          <w:color w:val="000000" w:themeColor="text1"/>
          <w:sz w:val="24"/>
        </w:rPr>
        <w:t>No.1</w:t>
      </w:r>
      <w:r w:rsidR="00E13481">
        <w:rPr>
          <w:rFonts w:ascii="Book Antiqua" w:hAnsi="Book Antiqua"/>
          <w:color w:val="000000" w:themeColor="text1"/>
          <w:sz w:val="24"/>
        </w:rPr>
        <w:t xml:space="preserve"> </w:t>
      </w:r>
      <w:proofErr w:type="spellStart"/>
      <w:r w:rsidRPr="005F429F">
        <w:rPr>
          <w:rFonts w:ascii="Book Antiqua" w:hAnsi="Book Antiqua"/>
          <w:color w:val="000000" w:themeColor="text1"/>
          <w:sz w:val="24"/>
        </w:rPr>
        <w:t>DongGang</w:t>
      </w:r>
      <w:proofErr w:type="spellEnd"/>
      <w:r w:rsidRPr="005F429F">
        <w:rPr>
          <w:rFonts w:ascii="Book Antiqua" w:hAnsi="Book Antiqua"/>
          <w:color w:val="000000" w:themeColor="text1"/>
          <w:sz w:val="24"/>
        </w:rPr>
        <w:t xml:space="preserve"> West Road, Lanzhou 730000, Gansu</w:t>
      </w:r>
      <w:r w:rsidR="00E13481">
        <w:rPr>
          <w:rFonts w:ascii="Book Antiqua" w:hAnsi="Book Antiqua"/>
          <w:color w:val="000000" w:themeColor="text1"/>
          <w:sz w:val="24"/>
        </w:rPr>
        <w:t xml:space="preserve"> Province, China. lxdr21@126.com</w:t>
      </w:r>
    </w:p>
    <w:p w14:paraId="78652592" w14:textId="77777777" w:rsidR="000D59A6" w:rsidRPr="005F429F" w:rsidRDefault="00E30FC2" w:rsidP="005F429F">
      <w:pPr>
        <w:adjustRightInd w:val="0"/>
        <w:snapToGrid w:val="0"/>
        <w:spacing w:line="360" w:lineRule="auto"/>
        <w:rPr>
          <w:rFonts w:ascii="Book Antiqua" w:hAnsi="Book Antiqua"/>
          <w:color w:val="000000" w:themeColor="text1"/>
          <w:sz w:val="24"/>
        </w:rPr>
      </w:pPr>
      <w:r w:rsidRPr="00E13481">
        <w:rPr>
          <w:rFonts w:ascii="Book Antiqua" w:hAnsi="Book Antiqua"/>
          <w:b/>
          <w:color w:val="000000" w:themeColor="text1"/>
          <w:sz w:val="24"/>
        </w:rPr>
        <w:t>Telephone:</w:t>
      </w:r>
      <w:r w:rsidR="00E13481">
        <w:rPr>
          <w:rFonts w:ascii="Book Antiqua" w:hAnsi="Book Antiqua"/>
          <w:color w:val="000000" w:themeColor="text1"/>
          <w:sz w:val="24"/>
        </w:rPr>
        <w:t xml:space="preserve"> +86-</w:t>
      </w:r>
      <w:r w:rsidRPr="005F429F">
        <w:rPr>
          <w:rFonts w:ascii="Book Antiqua" w:hAnsi="Book Antiqua"/>
          <w:color w:val="000000" w:themeColor="text1"/>
          <w:sz w:val="24"/>
        </w:rPr>
        <w:t xml:space="preserve">931-8356821 </w:t>
      </w:r>
    </w:p>
    <w:p w14:paraId="5B5F3D69" w14:textId="77777777" w:rsidR="000D59A6" w:rsidRPr="005F429F" w:rsidRDefault="00E30FC2" w:rsidP="005F429F">
      <w:pPr>
        <w:adjustRightInd w:val="0"/>
        <w:snapToGrid w:val="0"/>
        <w:spacing w:line="360" w:lineRule="auto"/>
        <w:rPr>
          <w:rFonts w:ascii="Book Antiqua" w:hAnsi="Book Antiqua"/>
          <w:color w:val="000000" w:themeColor="text1"/>
          <w:sz w:val="24"/>
        </w:rPr>
      </w:pPr>
      <w:r w:rsidRPr="00E13481">
        <w:rPr>
          <w:rFonts w:ascii="Book Antiqua" w:hAnsi="Book Antiqua"/>
          <w:b/>
          <w:color w:val="000000" w:themeColor="text1"/>
          <w:sz w:val="24"/>
        </w:rPr>
        <w:t>Fax:</w:t>
      </w:r>
      <w:r w:rsidR="00E13481">
        <w:rPr>
          <w:rFonts w:ascii="Book Antiqua" w:hAnsi="Book Antiqua"/>
          <w:color w:val="000000" w:themeColor="text1"/>
          <w:sz w:val="24"/>
        </w:rPr>
        <w:t xml:space="preserve"> +86-</w:t>
      </w:r>
      <w:r w:rsidRPr="005F429F">
        <w:rPr>
          <w:rFonts w:ascii="Book Antiqua" w:hAnsi="Book Antiqua"/>
          <w:color w:val="000000" w:themeColor="text1"/>
          <w:sz w:val="24"/>
        </w:rPr>
        <w:t>931-8619797</w:t>
      </w:r>
    </w:p>
    <w:p w14:paraId="6FC3CA38" w14:textId="77777777" w:rsidR="000D59A6" w:rsidRDefault="000D59A6" w:rsidP="005F429F">
      <w:pPr>
        <w:adjustRightInd w:val="0"/>
        <w:snapToGrid w:val="0"/>
        <w:spacing w:line="360" w:lineRule="auto"/>
        <w:rPr>
          <w:rFonts w:ascii="Book Antiqua" w:hAnsi="Book Antiqua"/>
          <w:b/>
          <w:bCs/>
          <w:color w:val="000000" w:themeColor="text1"/>
          <w:sz w:val="24"/>
        </w:rPr>
      </w:pPr>
    </w:p>
    <w:p w14:paraId="4531C7D2" w14:textId="77777777" w:rsidR="00512826" w:rsidRPr="00512826" w:rsidRDefault="00512826" w:rsidP="00DE4C97">
      <w:pPr>
        <w:widowControl/>
        <w:adjustRightInd w:val="0"/>
        <w:snapToGrid w:val="0"/>
        <w:spacing w:line="360" w:lineRule="auto"/>
        <w:outlineLvl w:val="0"/>
        <w:rPr>
          <w:rFonts w:ascii="Book Antiqua" w:hAnsi="Book Antiqua"/>
          <w:b/>
          <w:kern w:val="0"/>
          <w:sz w:val="24"/>
        </w:rPr>
      </w:pPr>
      <w:bookmarkStart w:id="37" w:name="OLE_LINK14"/>
      <w:bookmarkStart w:id="38" w:name="OLE_LINK16"/>
      <w:bookmarkStart w:id="39" w:name="OLE_LINK51"/>
      <w:bookmarkStart w:id="40" w:name="OLE_LINK27"/>
      <w:bookmarkStart w:id="41" w:name="OLE_LINK382"/>
      <w:r w:rsidRPr="00512826">
        <w:rPr>
          <w:rFonts w:ascii="Book Antiqua" w:hAnsi="Book Antiqua"/>
          <w:b/>
          <w:kern w:val="0"/>
          <w:sz w:val="24"/>
        </w:rPr>
        <w:t xml:space="preserve">Received: </w:t>
      </w:r>
      <w:r>
        <w:rPr>
          <w:rFonts w:ascii="Book Antiqua" w:hAnsi="Book Antiqua"/>
          <w:kern w:val="0"/>
          <w:sz w:val="24"/>
        </w:rPr>
        <w:t>January</w:t>
      </w:r>
      <w:r>
        <w:rPr>
          <w:rFonts w:ascii="Book Antiqua" w:eastAsia="DengXian" w:hAnsi="Book Antiqua"/>
          <w:kern w:val="0"/>
          <w:sz w:val="24"/>
        </w:rPr>
        <w:t xml:space="preserve"> 9</w:t>
      </w:r>
      <w:r w:rsidRPr="00512826">
        <w:rPr>
          <w:rFonts w:ascii="Book Antiqua" w:eastAsia="DengXian" w:hAnsi="Book Antiqua"/>
          <w:kern w:val="0"/>
          <w:sz w:val="24"/>
        </w:rPr>
        <w:t>, 201</w:t>
      </w:r>
      <w:r>
        <w:rPr>
          <w:rFonts w:ascii="Book Antiqua" w:eastAsia="DengXian" w:hAnsi="Book Antiqua"/>
          <w:kern w:val="0"/>
          <w:sz w:val="24"/>
        </w:rPr>
        <w:t>9</w:t>
      </w:r>
    </w:p>
    <w:p w14:paraId="21CB9856" w14:textId="77777777" w:rsidR="00512826" w:rsidRPr="00512826" w:rsidRDefault="00512826" w:rsidP="00DE4C97">
      <w:pPr>
        <w:widowControl/>
        <w:adjustRightInd w:val="0"/>
        <w:snapToGrid w:val="0"/>
        <w:spacing w:line="360" w:lineRule="auto"/>
        <w:outlineLvl w:val="0"/>
        <w:rPr>
          <w:rFonts w:ascii="Book Antiqua" w:eastAsia="DengXian" w:hAnsi="Book Antiqua"/>
          <w:b/>
          <w:kern w:val="0"/>
          <w:sz w:val="24"/>
        </w:rPr>
      </w:pPr>
      <w:r w:rsidRPr="00512826">
        <w:rPr>
          <w:rFonts w:ascii="Book Antiqua" w:hAnsi="Book Antiqua"/>
          <w:b/>
          <w:kern w:val="0"/>
          <w:sz w:val="24"/>
        </w:rPr>
        <w:t>Peer-review started:</w:t>
      </w:r>
      <w:r w:rsidRPr="00512826">
        <w:rPr>
          <w:rFonts w:ascii="Book Antiqua" w:eastAsia="DengXian" w:hAnsi="Book Antiqua"/>
          <w:b/>
          <w:kern w:val="0"/>
          <w:sz w:val="24"/>
        </w:rPr>
        <w:t xml:space="preserve"> </w:t>
      </w:r>
      <w:r>
        <w:rPr>
          <w:rFonts w:ascii="Book Antiqua" w:hAnsi="Book Antiqua"/>
          <w:kern w:val="0"/>
          <w:sz w:val="24"/>
        </w:rPr>
        <w:t>January</w:t>
      </w:r>
      <w:r>
        <w:rPr>
          <w:rFonts w:ascii="Book Antiqua" w:eastAsia="DengXian" w:hAnsi="Book Antiqua"/>
          <w:kern w:val="0"/>
          <w:sz w:val="24"/>
        </w:rPr>
        <w:t xml:space="preserve"> 9</w:t>
      </w:r>
      <w:r w:rsidRPr="00512826">
        <w:rPr>
          <w:rFonts w:ascii="Book Antiqua" w:eastAsia="DengXian" w:hAnsi="Book Antiqua"/>
          <w:kern w:val="0"/>
          <w:sz w:val="24"/>
        </w:rPr>
        <w:t>, 201</w:t>
      </w:r>
      <w:r>
        <w:rPr>
          <w:rFonts w:ascii="Book Antiqua" w:eastAsia="DengXian" w:hAnsi="Book Antiqua"/>
          <w:kern w:val="0"/>
          <w:sz w:val="24"/>
        </w:rPr>
        <w:t>9</w:t>
      </w:r>
    </w:p>
    <w:p w14:paraId="1A9FD4F1" w14:textId="77777777" w:rsidR="00512826" w:rsidRPr="00512826" w:rsidRDefault="00512826" w:rsidP="00DE4C97">
      <w:pPr>
        <w:widowControl/>
        <w:adjustRightInd w:val="0"/>
        <w:snapToGrid w:val="0"/>
        <w:spacing w:line="360" w:lineRule="auto"/>
        <w:outlineLvl w:val="0"/>
        <w:rPr>
          <w:rFonts w:ascii="Book Antiqua" w:eastAsia="DengXian" w:hAnsi="Book Antiqua"/>
          <w:b/>
          <w:kern w:val="0"/>
          <w:sz w:val="24"/>
        </w:rPr>
      </w:pPr>
      <w:r w:rsidRPr="00512826">
        <w:rPr>
          <w:rFonts w:ascii="Book Antiqua" w:hAnsi="Book Antiqua"/>
          <w:b/>
          <w:kern w:val="0"/>
          <w:sz w:val="24"/>
        </w:rPr>
        <w:t>First decision:</w:t>
      </w:r>
      <w:r w:rsidRPr="00512826">
        <w:rPr>
          <w:rFonts w:ascii="Book Antiqua" w:eastAsia="DengXian" w:hAnsi="Book Antiqua"/>
          <w:b/>
          <w:kern w:val="0"/>
          <w:sz w:val="24"/>
        </w:rPr>
        <w:t xml:space="preserve"> </w:t>
      </w:r>
      <w:r>
        <w:rPr>
          <w:rFonts w:ascii="Book Antiqua" w:hAnsi="Book Antiqua"/>
          <w:kern w:val="0"/>
          <w:sz w:val="24"/>
        </w:rPr>
        <w:t>February</w:t>
      </w:r>
      <w:r>
        <w:rPr>
          <w:rFonts w:ascii="Book Antiqua" w:eastAsia="DengXian" w:hAnsi="Book Antiqua"/>
          <w:kern w:val="0"/>
          <w:sz w:val="24"/>
        </w:rPr>
        <w:t xml:space="preserve"> 13</w:t>
      </w:r>
      <w:r w:rsidRPr="00512826">
        <w:rPr>
          <w:rFonts w:ascii="Book Antiqua" w:eastAsia="DengXian" w:hAnsi="Book Antiqua"/>
          <w:kern w:val="0"/>
          <w:sz w:val="24"/>
        </w:rPr>
        <w:t>, 201</w:t>
      </w:r>
      <w:r>
        <w:rPr>
          <w:rFonts w:ascii="Book Antiqua" w:eastAsia="DengXian" w:hAnsi="Book Antiqua"/>
          <w:kern w:val="0"/>
          <w:sz w:val="24"/>
        </w:rPr>
        <w:t>9</w:t>
      </w:r>
    </w:p>
    <w:p w14:paraId="00B8CFC9" w14:textId="77777777" w:rsidR="00512826" w:rsidRPr="00512826" w:rsidRDefault="00512826" w:rsidP="00512826">
      <w:pPr>
        <w:widowControl/>
        <w:adjustRightInd w:val="0"/>
        <w:snapToGrid w:val="0"/>
        <w:spacing w:line="360" w:lineRule="auto"/>
        <w:rPr>
          <w:rFonts w:ascii="Book Antiqua" w:hAnsi="Book Antiqua"/>
          <w:b/>
          <w:kern w:val="0"/>
          <w:sz w:val="24"/>
        </w:rPr>
      </w:pPr>
      <w:r w:rsidRPr="00512826">
        <w:rPr>
          <w:rFonts w:ascii="Book Antiqua" w:hAnsi="Book Antiqua"/>
          <w:b/>
          <w:kern w:val="0"/>
          <w:sz w:val="24"/>
        </w:rPr>
        <w:t xml:space="preserve">Revised: </w:t>
      </w:r>
      <w:r>
        <w:rPr>
          <w:rFonts w:ascii="Book Antiqua" w:hAnsi="Book Antiqua"/>
          <w:kern w:val="0"/>
          <w:sz w:val="24"/>
        </w:rPr>
        <w:t>March 1</w:t>
      </w:r>
      <w:r w:rsidRPr="00512826">
        <w:rPr>
          <w:rFonts w:ascii="Book Antiqua" w:hAnsi="Book Antiqua"/>
          <w:kern w:val="0"/>
          <w:sz w:val="24"/>
        </w:rPr>
        <w:t>, 201</w:t>
      </w:r>
      <w:r>
        <w:rPr>
          <w:rFonts w:ascii="Book Antiqua" w:hAnsi="Book Antiqua"/>
          <w:kern w:val="0"/>
          <w:sz w:val="24"/>
        </w:rPr>
        <w:t>9</w:t>
      </w:r>
    </w:p>
    <w:p w14:paraId="4D080844" w14:textId="72A9F3B3" w:rsidR="00512826" w:rsidRPr="00512826" w:rsidRDefault="00512826" w:rsidP="00DE4C97">
      <w:pPr>
        <w:widowControl/>
        <w:adjustRightInd w:val="0"/>
        <w:snapToGrid w:val="0"/>
        <w:spacing w:line="360" w:lineRule="auto"/>
        <w:outlineLvl w:val="0"/>
        <w:rPr>
          <w:rFonts w:ascii="Book Antiqua" w:hAnsi="Book Antiqua"/>
          <w:b/>
          <w:kern w:val="0"/>
          <w:sz w:val="24"/>
        </w:rPr>
      </w:pPr>
      <w:r w:rsidRPr="00512826">
        <w:rPr>
          <w:rFonts w:ascii="Book Antiqua" w:hAnsi="Book Antiqua"/>
          <w:b/>
          <w:kern w:val="0"/>
          <w:sz w:val="24"/>
        </w:rPr>
        <w:t xml:space="preserve">Accepted: </w:t>
      </w:r>
      <w:r w:rsidR="00D71199">
        <w:rPr>
          <w:rFonts w:ascii="Book Antiqua" w:hAnsi="Book Antiqua"/>
          <w:kern w:val="0"/>
          <w:sz w:val="24"/>
        </w:rPr>
        <w:t>March 1</w:t>
      </w:r>
      <w:r w:rsidR="00D71199">
        <w:rPr>
          <w:rFonts w:ascii="Book Antiqua" w:hAnsi="Book Antiqua"/>
          <w:kern w:val="0"/>
          <w:sz w:val="24"/>
        </w:rPr>
        <w:t>1</w:t>
      </w:r>
      <w:r w:rsidR="00D71199" w:rsidRPr="00512826">
        <w:rPr>
          <w:rFonts w:ascii="Book Antiqua" w:hAnsi="Book Antiqua"/>
          <w:kern w:val="0"/>
          <w:sz w:val="24"/>
        </w:rPr>
        <w:t>, 201</w:t>
      </w:r>
      <w:r w:rsidR="00D71199">
        <w:rPr>
          <w:rFonts w:ascii="Book Antiqua" w:hAnsi="Book Antiqua"/>
          <w:kern w:val="0"/>
          <w:sz w:val="24"/>
        </w:rPr>
        <w:t>9</w:t>
      </w:r>
    </w:p>
    <w:p w14:paraId="48320606" w14:textId="77777777" w:rsidR="00512826" w:rsidRPr="00512826" w:rsidRDefault="00512826" w:rsidP="00DE4C97">
      <w:pPr>
        <w:widowControl/>
        <w:adjustRightInd w:val="0"/>
        <w:snapToGrid w:val="0"/>
        <w:spacing w:line="360" w:lineRule="auto"/>
        <w:outlineLvl w:val="0"/>
        <w:rPr>
          <w:rFonts w:ascii="Book Antiqua" w:hAnsi="Book Antiqua"/>
          <w:b/>
          <w:kern w:val="0"/>
          <w:sz w:val="24"/>
        </w:rPr>
      </w:pPr>
      <w:r w:rsidRPr="00512826">
        <w:rPr>
          <w:rFonts w:ascii="Book Antiqua" w:hAnsi="Book Antiqua"/>
          <w:b/>
          <w:kern w:val="0"/>
          <w:sz w:val="24"/>
        </w:rPr>
        <w:t>Article in press:</w:t>
      </w:r>
    </w:p>
    <w:p w14:paraId="421DFA02" w14:textId="77777777" w:rsidR="00512826" w:rsidRPr="005F429F" w:rsidRDefault="00512826" w:rsidP="00DE4C97">
      <w:pPr>
        <w:adjustRightInd w:val="0"/>
        <w:snapToGrid w:val="0"/>
        <w:spacing w:line="360" w:lineRule="auto"/>
        <w:outlineLvl w:val="0"/>
        <w:rPr>
          <w:rFonts w:ascii="Book Antiqua" w:hAnsi="Book Antiqua"/>
          <w:b/>
          <w:bCs/>
          <w:color w:val="000000" w:themeColor="text1"/>
          <w:sz w:val="24"/>
        </w:rPr>
      </w:pPr>
      <w:r w:rsidRPr="00512826">
        <w:rPr>
          <w:rFonts w:ascii="Book Antiqua" w:hAnsi="Book Antiqua"/>
          <w:b/>
          <w:kern w:val="0"/>
          <w:sz w:val="24"/>
        </w:rPr>
        <w:t>Published online:</w:t>
      </w:r>
      <w:bookmarkEnd w:id="37"/>
      <w:bookmarkEnd w:id="38"/>
      <w:bookmarkEnd w:id="39"/>
      <w:bookmarkEnd w:id="40"/>
      <w:bookmarkEnd w:id="41"/>
    </w:p>
    <w:p w14:paraId="130CF2CD" w14:textId="77777777" w:rsidR="00512826" w:rsidRDefault="00512826">
      <w:pPr>
        <w:widowControl/>
        <w:jc w:val="left"/>
        <w:rPr>
          <w:rFonts w:ascii="Book Antiqua" w:hAnsi="Book Antiqua"/>
          <w:b/>
          <w:bCs/>
          <w:color w:val="000000" w:themeColor="text1"/>
          <w:sz w:val="24"/>
        </w:rPr>
      </w:pPr>
      <w:r>
        <w:rPr>
          <w:rFonts w:ascii="Book Antiqua" w:hAnsi="Book Antiqua"/>
          <w:b/>
          <w:bCs/>
          <w:color w:val="000000" w:themeColor="text1"/>
          <w:sz w:val="24"/>
        </w:rPr>
        <w:br w:type="page"/>
      </w:r>
    </w:p>
    <w:p w14:paraId="72CB4E4E" w14:textId="77777777" w:rsidR="000D59A6" w:rsidRPr="005F429F" w:rsidRDefault="00E30FC2" w:rsidP="00DE4C97">
      <w:pPr>
        <w:adjustRightInd w:val="0"/>
        <w:snapToGrid w:val="0"/>
        <w:spacing w:line="360" w:lineRule="auto"/>
        <w:outlineLvl w:val="0"/>
        <w:rPr>
          <w:rFonts w:ascii="Book Antiqua" w:hAnsi="Book Antiqua"/>
          <w:b/>
          <w:bCs/>
          <w:color w:val="000000" w:themeColor="text1"/>
          <w:sz w:val="24"/>
        </w:rPr>
      </w:pPr>
      <w:r w:rsidRPr="005F429F">
        <w:rPr>
          <w:rFonts w:ascii="Book Antiqua" w:hAnsi="Book Antiqua"/>
          <w:b/>
          <w:bCs/>
          <w:color w:val="000000" w:themeColor="text1"/>
          <w:sz w:val="24"/>
        </w:rPr>
        <w:lastRenderedPageBreak/>
        <w:t>Abstract</w:t>
      </w:r>
    </w:p>
    <w:p w14:paraId="7C87EA23" w14:textId="77777777" w:rsidR="00512826" w:rsidRPr="00512826" w:rsidRDefault="00E30FC2" w:rsidP="00DE4C97">
      <w:pPr>
        <w:adjustRightInd w:val="0"/>
        <w:snapToGrid w:val="0"/>
        <w:spacing w:line="360" w:lineRule="auto"/>
        <w:outlineLvl w:val="0"/>
        <w:rPr>
          <w:rFonts w:ascii="Book Antiqua" w:hAnsi="Book Antiqua"/>
          <w:b/>
          <w:bCs/>
          <w:i/>
          <w:color w:val="000000" w:themeColor="text1"/>
          <w:sz w:val="24"/>
        </w:rPr>
      </w:pPr>
      <w:r w:rsidRPr="00512826">
        <w:rPr>
          <w:rFonts w:ascii="Book Antiqua" w:hAnsi="Book Antiqua"/>
          <w:b/>
          <w:bCs/>
          <w:i/>
          <w:color w:val="000000" w:themeColor="text1"/>
          <w:sz w:val="24"/>
        </w:rPr>
        <w:t>BACKGROUND</w:t>
      </w:r>
    </w:p>
    <w:p w14:paraId="052E3ED3"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Early gastric cancer (EGC), compared with advanced gastric cancer (AGC), has a higher 5-year survival rate. However, due to the lack of typical symptoms and the difficulty in diagnosing EGC, no effective biomarkers exist for the detection of EGC, and gastroscopy is the only detection method.</w:t>
      </w:r>
    </w:p>
    <w:p w14:paraId="5A2CCCBD" w14:textId="77777777" w:rsidR="00DE4C97" w:rsidRPr="005F429F" w:rsidRDefault="00DE4C97" w:rsidP="005F429F">
      <w:pPr>
        <w:adjustRightInd w:val="0"/>
        <w:snapToGrid w:val="0"/>
        <w:spacing w:line="360" w:lineRule="auto"/>
        <w:rPr>
          <w:rFonts w:ascii="Book Antiqua" w:hAnsi="Book Antiqua"/>
          <w:color w:val="000000" w:themeColor="text1"/>
          <w:sz w:val="24"/>
        </w:rPr>
      </w:pPr>
    </w:p>
    <w:p w14:paraId="03B74F52" w14:textId="77777777" w:rsidR="00DE4C97" w:rsidRPr="00DE4C97" w:rsidRDefault="00E30FC2" w:rsidP="005F429F">
      <w:pPr>
        <w:adjustRightInd w:val="0"/>
        <w:snapToGrid w:val="0"/>
        <w:spacing w:line="360" w:lineRule="auto"/>
        <w:rPr>
          <w:rFonts w:ascii="Book Antiqua" w:hAnsi="Book Antiqua"/>
          <w:b/>
          <w:bCs/>
          <w:i/>
          <w:color w:val="000000" w:themeColor="text1"/>
          <w:sz w:val="24"/>
        </w:rPr>
      </w:pPr>
      <w:r w:rsidRPr="00DE4C97">
        <w:rPr>
          <w:rFonts w:ascii="Book Antiqua" w:hAnsi="Book Antiqua"/>
          <w:b/>
          <w:bCs/>
          <w:i/>
          <w:color w:val="000000" w:themeColor="text1"/>
          <w:sz w:val="24"/>
        </w:rPr>
        <w:t>AIM</w:t>
      </w:r>
    </w:p>
    <w:p w14:paraId="2A6ABC68"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To provide new biomarkers with high specificity and sensitivity through analyzed the differentially expressed </w:t>
      </w:r>
      <w:r w:rsidR="00DE4C97">
        <w:rPr>
          <w:rFonts w:ascii="Book Antiqua" w:hAnsi="Book Antiqua"/>
          <w:color w:val="000000" w:themeColor="text1"/>
          <w:sz w:val="24"/>
        </w:rPr>
        <w:t>microRNAs (</w:t>
      </w:r>
      <w:r w:rsidRPr="005F429F">
        <w:rPr>
          <w:rFonts w:ascii="Book Antiqua" w:hAnsi="Book Antiqua"/>
          <w:color w:val="000000" w:themeColor="text1"/>
          <w:sz w:val="24"/>
        </w:rPr>
        <w:t>miRNAs</w:t>
      </w:r>
      <w:r w:rsidR="00DE4C97">
        <w:rPr>
          <w:rFonts w:ascii="Book Antiqua" w:hAnsi="Book Antiqua"/>
          <w:color w:val="000000" w:themeColor="text1"/>
          <w:sz w:val="24"/>
        </w:rPr>
        <w:t>)</w:t>
      </w:r>
      <w:r w:rsidRPr="005F429F">
        <w:rPr>
          <w:rFonts w:ascii="Book Antiqua" w:hAnsi="Book Antiqua"/>
          <w:color w:val="000000" w:themeColor="text1"/>
          <w:sz w:val="24"/>
        </w:rPr>
        <w:t xml:space="preserve"> in EGC and AGC and compared them with those in benign g</w:t>
      </w:r>
      <w:r w:rsidR="00DE4C97">
        <w:rPr>
          <w:rFonts w:ascii="Book Antiqua" w:hAnsi="Book Antiqua"/>
          <w:color w:val="000000" w:themeColor="text1"/>
          <w:sz w:val="24"/>
        </w:rPr>
        <w:t>astritis (BG).</w:t>
      </w:r>
    </w:p>
    <w:p w14:paraId="5BCA9D6C" w14:textId="77777777" w:rsidR="00DE4C97" w:rsidRPr="005F429F" w:rsidRDefault="00DE4C97" w:rsidP="005F429F">
      <w:pPr>
        <w:adjustRightInd w:val="0"/>
        <w:snapToGrid w:val="0"/>
        <w:spacing w:line="360" w:lineRule="auto"/>
        <w:rPr>
          <w:rFonts w:ascii="Book Antiqua" w:hAnsi="Book Antiqua"/>
          <w:color w:val="000000" w:themeColor="text1"/>
          <w:sz w:val="24"/>
        </w:rPr>
      </w:pPr>
    </w:p>
    <w:p w14:paraId="0706288E" w14:textId="77777777" w:rsidR="00DE4C97" w:rsidRPr="00DE4C97" w:rsidRDefault="00E30FC2" w:rsidP="005F429F">
      <w:pPr>
        <w:adjustRightInd w:val="0"/>
        <w:snapToGrid w:val="0"/>
        <w:spacing w:line="360" w:lineRule="auto"/>
        <w:rPr>
          <w:rFonts w:ascii="Book Antiqua" w:hAnsi="Book Antiqua"/>
          <w:b/>
          <w:bCs/>
          <w:i/>
          <w:color w:val="000000" w:themeColor="text1"/>
          <w:sz w:val="24"/>
        </w:rPr>
      </w:pPr>
      <w:r w:rsidRPr="00DE4C97">
        <w:rPr>
          <w:rFonts w:ascii="Book Antiqua" w:hAnsi="Book Antiqua"/>
          <w:b/>
          <w:bCs/>
          <w:i/>
          <w:color w:val="000000" w:themeColor="text1"/>
          <w:sz w:val="24"/>
        </w:rPr>
        <w:t>METHODS</w:t>
      </w:r>
    </w:p>
    <w:p w14:paraId="124E8DC8"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We examined the differentially expressed miRNAs in the plasma of 30 patients with EGC, AGC, and BG by miRNA chip analysis. Then, we analyzed and selected the significantly different miRNAs using bioinformatics. </w:t>
      </w:r>
      <w:r w:rsidR="00DE4C97">
        <w:rPr>
          <w:rFonts w:ascii="Book Antiqua" w:hAnsi="Book Antiqua"/>
          <w:color w:val="000000" w:themeColor="text1"/>
          <w:sz w:val="24"/>
        </w:rPr>
        <w:t>R</w:t>
      </w:r>
      <w:r w:rsidR="00DE4C97" w:rsidRPr="005F429F">
        <w:rPr>
          <w:rFonts w:ascii="Book Antiqua" w:hAnsi="Book Antiqua"/>
          <w:color w:val="000000" w:themeColor="text1"/>
          <w:sz w:val="24"/>
        </w:rPr>
        <w:t>everse transcription quantitative real-time polymerase chain reaction (RT-qPCR)</w:t>
      </w:r>
      <w:r w:rsidRPr="005F429F">
        <w:rPr>
          <w:rFonts w:ascii="Book Antiqua" w:hAnsi="Book Antiqua"/>
          <w:color w:val="000000" w:themeColor="text1"/>
          <w:sz w:val="24"/>
        </w:rPr>
        <w:t xml:space="preserve"> confirmed the relative transcription level of these miRNAs in another 122 patients, including patients with EGC, AGC, </w:t>
      </w:r>
      <w:bookmarkStart w:id="42" w:name="OLE_LINK565"/>
      <w:bookmarkStart w:id="43" w:name="OLE_LINK566"/>
      <w:r w:rsidR="00B93781" w:rsidRPr="00B93781">
        <w:rPr>
          <w:rFonts w:ascii="Book Antiqua" w:hAnsi="Book Antiqua"/>
          <w:i/>
          <w:color w:val="000000" w:themeColor="text1"/>
          <w:sz w:val="24"/>
        </w:rPr>
        <w:t>Helicobacter pylori</w:t>
      </w:r>
      <w:r w:rsidR="00B93781" w:rsidRPr="00B93781">
        <w:rPr>
          <w:rFonts w:ascii="Book Antiqua" w:hAnsi="Book Antiqua"/>
          <w:color w:val="000000" w:themeColor="text1"/>
          <w:sz w:val="24"/>
        </w:rPr>
        <w:t xml:space="preserve"> </w:t>
      </w:r>
      <w:r w:rsidR="00B93781">
        <w:rPr>
          <w:rFonts w:ascii="Book Antiqua" w:hAnsi="Book Antiqua"/>
          <w:color w:val="000000" w:themeColor="text1"/>
          <w:sz w:val="24"/>
        </w:rPr>
        <w:t>(</w:t>
      </w:r>
      <w:r w:rsidR="00B93781" w:rsidRPr="00B93781">
        <w:rPr>
          <w:rFonts w:ascii="Book Antiqua" w:hAnsi="Book Antiqua"/>
          <w:i/>
          <w:color w:val="000000" w:themeColor="text1"/>
          <w:sz w:val="24"/>
        </w:rPr>
        <w:t>H. pylori</w:t>
      </w:r>
      <w:r w:rsidR="00B93781">
        <w:rPr>
          <w:rFonts w:ascii="Book Antiqua" w:hAnsi="Book Antiqua"/>
          <w:color w:val="000000" w:themeColor="text1"/>
          <w:sz w:val="24"/>
        </w:rPr>
        <w:t>)</w:t>
      </w:r>
      <w:bookmarkEnd w:id="42"/>
      <w:bookmarkEnd w:id="43"/>
      <w:r w:rsidRPr="005F429F">
        <w:rPr>
          <w:rFonts w:ascii="Book Antiqua" w:hAnsi="Book Antiqua"/>
          <w:color w:val="000000" w:themeColor="text1"/>
          <w:sz w:val="24"/>
        </w:rPr>
        <w:t xml:space="preserve">-negative gastritis (Control-1), and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-positive atrophic gastritis (Control-2). To establish a diagnos</w:t>
      </w:r>
      <w:r w:rsidR="00DE4C97">
        <w:rPr>
          <w:rFonts w:ascii="Book Antiqua" w:hAnsi="Book Antiqua"/>
          <w:color w:val="000000" w:themeColor="text1"/>
          <w:sz w:val="24"/>
        </w:rPr>
        <w:t xml:space="preserve">tic model for the detection of </w:t>
      </w:r>
      <w:r w:rsidRPr="005F429F">
        <w:rPr>
          <w:rFonts w:ascii="Book Antiqua" w:hAnsi="Book Antiqua"/>
          <w:color w:val="000000" w:themeColor="text1"/>
          <w:sz w:val="24"/>
        </w:rPr>
        <w:t>plasma miRNA in EGC, we chose miRNAs that can be used to determine EGC and AGC from Control-1 and Control-2 and miRNA</w:t>
      </w:r>
      <w:r w:rsidR="00DE4C97">
        <w:rPr>
          <w:rFonts w:ascii="Book Antiqua" w:hAnsi="Book Antiqua"/>
          <w:color w:val="000000" w:themeColor="text1"/>
          <w:sz w:val="24"/>
        </w:rPr>
        <w:t>s in EGC from all other groups.</w:t>
      </w:r>
    </w:p>
    <w:p w14:paraId="6AA1DBFD" w14:textId="77777777" w:rsidR="00DE4C97" w:rsidRPr="005F429F" w:rsidRDefault="00DE4C97" w:rsidP="005F429F">
      <w:pPr>
        <w:adjustRightInd w:val="0"/>
        <w:snapToGrid w:val="0"/>
        <w:spacing w:line="360" w:lineRule="auto"/>
        <w:rPr>
          <w:rFonts w:ascii="Book Antiqua" w:hAnsi="Book Antiqua"/>
          <w:color w:val="000000" w:themeColor="text1"/>
          <w:sz w:val="24"/>
        </w:rPr>
      </w:pPr>
    </w:p>
    <w:p w14:paraId="5E816ACD" w14:textId="77777777" w:rsidR="00DE4C97" w:rsidRPr="00DE4C97" w:rsidRDefault="00E30FC2" w:rsidP="005F429F">
      <w:pPr>
        <w:adjustRightInd w:val="0"/>
        <w:snapToGrid w:val="0"/>
        <w:spacing w:line="360" w:lineRule="auto"/>
        <w:rPr>
          <w:rFonts w:ascii="Book Antiqua" w:hAnsi="Book Antiqua"/>
          <w:b/>
          <w:bCs/>
          <w:i/>
          <w:color w:val="000000" w:themeColor="text1"/>
          <w:sz w:val="24"/>
        </w:rPr>
      </w:pPr>
      <w:r w:rsidRPr="00DE4C97">
        <w:rPr>
          <w:rFonts w:ascii="Book Antiqua" w:hAnsi="Book Antiqua"/>
          <w:b/>
          <w:bCs/>
          <w:i/>
          <w:color w:val="000000" w:themeColor="text1"/>
          <w:sz w:val="24"/>
        </w:rPr>
        <w:t>RESULTS</w:t>
      </w:r>
    </w:p>
    <w:p w14:paraId="25EB17E9"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Among the expression profiles of the miRNA chips in the three groups in the discovery set, of 117 aberrantly expressed miRNAs, 30 confirmed target prediction, whereas 14 were included as potential miRNAs. The RT-qPCR results showed that 14 potential miRNAs expression profiles in the two groups exhibited no differences in terms of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 xml:space="preserve">-negative gastritis (Control-1) and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 xml:space="preserve">-positive atrophic gastritis (Control-2). Hence, these two groups were incorporated into the Control group. A combination of four types of miRNAs, </w:t>
      </w:r>
      <w:r w:rsidRPr="005F429F">
        <w:rPr>
          <w:rFonts w:ascii="Book Antiqua" w:hAnsi="Book Antiqua"/>
          <w:color w:val="000000" w:themeColor="text1"/>
          <w:sz w:val="24"/>
        </w:rPr>
        <w:lastRenderedPageBreak/>
        <w:t>miR-7641, miR-425-5p, miR-1180-3p and miR-122-5p, were used to effectively distinguish the Cancer group (EGC</w:t>
      </w:r>
      <w:r w:rsidR="00DE4C97">
        <w:rPr>
          <w:rFonts w:ascii="Book Antiqua" w:hAnsi="Book Antiqua"/>
          <w:color w:val="000000" w:themeColor="text1"/>
          <w:sz w:val="24"/>
        </w:rPr>
        <w:t xml:space="preserve"> + AGC) from the Control group [area under the curve (</w:t>
      </w:r>
      <w:r w:rsidRPr="005F429F">
        <w:rPr>
          <w:rFonts w:ascii="Book Antiqua" w:hAnsi="Book Antiqua"/>
          <w:color w:val="000000" w:themeColor="text1"/>
          <w:sz w:val="24"/>
        </w:rPr>
        <w:t>AUC</w:t>
      </w:r>
      <w:r w:rsidR="00DE4C97">
        <w:rPr>
          <w:rFonts w:ascii="Book Antiqua" w:hAnsi="Book Antiqua"/>
          <w:color w:val="000000" w:themeColor="text1"/>
          <w:sz w:val="24"/>
        </w:rPr>
        <w:t>) =</w:t>
      </w:r>
      <w:r w:rsidRPr="005F429F">
        <w:rPr>
          <w:rFonts w:ascii="Book Antiqua" w:hAnsi="Book Antiqua"/>
          <w:color w:val="000000" w:themeColor="text1"/>
          <w:sz w:val="24"/>
        </w:rPr>
        <w:t xml:space="preserve"> 0.799, 95% </w:t>
      </w:r>
      <w:r w:rsidR="00DE4C97">
        <w:rPr>
          <w:rFonts w:ascii="Book Antiqua" w:hAnsi="Book Antiqua"/>
          <w:color w:val="000000" w:themeColor="text1"/>
          <w:sz w:val="24"/>
        </w:rPr>
        <w:t>confidence interval (</w:t>
      </w:r>
      <w:r w:rsidRPr="005F429F">
        <w:rPr>
          <w:rFonts w:ascii="Book Antiqua" w:hAnsi="Book Antiqua"/>
          <w:color w:val="000000" w:themeColor="text1"/>
          <w:sz w:val="24"/>
        </w:rPr>
        <w:t>CI</w:t>
      </w:r>
      <w:r w:rsidR="00DE4C97">
        <w:rPr>
          <w:rFonts w:ascii="Book Antiqua" w:hAnsi="Book Antiqua"/>
          <w:color w:val="000000" w:themeColor="text1"/>
          <w:sz w:val="24"/>
        </w:rPr>
        <w:t>):</w:t>
      </w:r>
      <w:r w:rsidRPr="005F429F">
        <w:rPr>
          <w:rFonts w:ascii="Book Antiqua" w:hAnsi="Book Antiqua"/>
          <w:color w:val="000000" w:themeColor="text1"/>
          <w:sz w:val="24"/>
        </w:rPr>
        <w:t xml:space="preserve"> 0.691-0.908, </w:t>
      </w:r>
      <w:r w:rsidRPr="00DE4C97">
        <w:rPr>
          <w:rFonts w:ascii="Book Antiqua" w:hAnsi="Book Antiqua"/>
          <w:i/>
          <w:color w:val="000000" w:themeColor="text1"/>
          <w:sz w:val="24"/>
        </w:rPr>
        <w:t>P</w:t>
      </w:r>
      <w:r w:rsidR="00DE4C97" w:rsidRPr="00DE4C97">
        <w:rPr>
          <w:rFonts w:ascii="Book Antiqua" w:hAnsi="Book Antiqua"/>
          <w:i/>
          <w:color w:val="000000" w:themeColor="text1"/>
          <w:sz w:val="24"/>
        </w:rPr>
        <w:t xml:space="preserve"> </w:t>
      </w:r>
      <w:r w:rsidRPr="005F429F">
        <w:rPr>
          <w:rFonts w:ascii="Book Antiqua" w:hAnsi="Book Antiqua"/>
          <w:color w:val="000000" w:themeColor="text1"/>
          <w:sz w:val="24"/>
        </w:rPr>
        <w:t>&lt;</w:t>
      </w:r>
      <w:r w:rsidR="00DE4C97">
        <w:rPr>
          <w:rFonts w:ascii="Book Antiqua" w:hAnsi="Book Antiqua"/>
          <w:color w:val="000000" w:themeColor="text1"/>
          <w:sz w:val="24"/>
        </w:rPr>
        <w:t xml:space="preserve"> 0.001]</w:t>
      </w:r>
      <w:r w:rsidRPr="005F429F">
        <w:rPr>
          <w:rFonts w:ascii="Book Antiqua" w:hAnsi="Book Antiqua"/>
          <w:color w:val="000000" w:themeColor="text1"/>
          <w:sz w:val="24"/>
        </w:rPr>
        <w:t xml:space="preserve">. Additionally, miR-425-5p, miR-24-3p, miR-1180-3p and miR-122-5p were utilized to distinguish EGC from the Control group (AUC </w:t>
      </w:r>
      <w:r w:rsidR="00DE4C97">
        <w:rPr>
          <w:rFonts w:ascii="Book Antiqua" w:hAnsi="Book Antiqua"/>
          <w:color w:val="000000" w:themeColor="text1"/>
          <w:sz w:val="24"/>
        </w:rPr>
        <w:t>= 0.829, 95%</w:t>
      </w:r>
      <w:r w:rsidRPr="005F429F">
        <w:rPr>
          <w:rFonts w:ascii="Book Antiqua" w:hAnsi="Book Antiqua"/>
          <w:color w:val="000000" w:themeColor="text1"/>
          <w:sz w:val="24"/>
        </w:rPr>
        <w:t>CI</w:t>
      </w:r>
      <w:r w:rsidR="00DE4C97">
        <w:rPr>
          <w:rFonts w:ascii="Book Antiqua" w:hAnsi="Book Antiqua"/>
          <w:color w:val="000000" w:themeColor="text1"/>
          <w:sz w:val="24"/>
        </w:rPr>
        <w:t>:</w:t>
      </w:r>
      <w:r w:rsidRPr="005F429F">
        <w:rPr>
          <w:rFonts w:ascii="Book Antiqua" w:hAnsi="Book Antiqua"/>
          <w:color w:val="000000" w:themeColor="text1"/>
          <w:sz w:val="24"/>
        </w:rPr>
        <w:t xml:space="preserve"> 0.657-1.000, </w:t>
      </w:r>
      <w:r w:rsidRPr="00DE4C97">
        <w:rPr>
          <w:rFonts w:ascii="Book Antiqua" w:hAnsi="Book Antiqua"/>
          <w:i/>
          <w:color w:val="000000" w:themeColor="text1"/>
          <w:sz w:val="24"/>
        </w:rPr>
        <w:t>P</w:t>
      </w:r>
      <w:r w:rsidR="00DE4C97">
        <w:rPr>
          <w:rFonts w:ascii="Book Antiqua" w:hAnsi="Book Antiqua"/>
          <w:color w:val="000000" w:themeColor="text1"/>
          <w:sz w:val="24"/>
        </w:rPr>
        <w:t xml:space="preserve"> </w:t>
      </w:r>
      <w:r w:rsidRPr="005F429F">
        <w:rPr>
          <w:rFonts w:ascii="Book Antiqua" w:hAnsi="Book Antiqua"/>
          <w:color w:val="000000" w:themeColor="text1"/>
          <w:sz w:val="24"/>
        </w:rPr>
        <w:t>=</w:t>
      </w:r>
      <w:r w:rsidR="00DE4C97">
        <w:rPr>
          <w:rFonts w:ascii="Book Antiqua" w:hAnsi="Book Antiqua"/>
          <w:color w:val="000000" w:themeColor="text1"/>
          <w:sz w:val="24"/>
        </w:rPr>
        <w:t xml:space="preserve"> </w:t>
      </w:r>
      <w:r w:rsidRPr="005F429F">
        <w:rPr>
          <w:rFonts w:ascii="Book Antiqua" w:hAnsi="Book Antiqua"/>
          <w:color w:val="000000" w:themeColor="text1"/>
          <w:sz w:val="24"/>
        </w:rPr>
        <w:t xml:space="preserve">0.001). Moreover, the miR-24-3p expression level in EGC was lower than that in the AGC (AUC </w:t>
      </w:r>
      <w:r w:rsidR="00DE4C97">
        <w:rPr>
          <w:rFonts w:ascii="Book Antiqua" w:hAnsi="Book Antiqua"/>
          <w:color w:val="000000" w:themeColor="text1"/>
          <w:sz w:val="24"/>
        </w:rPr>
        <w:t>= 0.782, 95%</w:t>
      </w:r>
      <w:r w:rsidRPr="005F429F">
        <w:rPr>
          <w:rFonts w:ascii="Book Antiqua" w:hAnsi="Book Antiqua"/>
          <w:color w:val="000000" w:themeColor="text1"/>
          <w:sz w:val="24"/>
        </w:rPr>
        <w:t>CI</w:t>
      </w:r>
      <w:r w:rsidR="00DE4C97">
        <w:rPr>
          <w:rFonts w:ascii="Book Antiqua" w:hAnsi="Book Antiqua"/>
          <w:color w:val="000000" w:themeColor="text1"/>
          <w:sz w:val="24"/>
        </w:rPr>
        <w:t>:</w:t>
      </w:r>
      <w:r w:rsidRPr="005F429F">
        <w:rPr>
          <w:rFonts w:ascii="Book Antiqua" w:hAnsi="Book Antiqua"/>
          <w:color w:val="000000" w:themeColor="text1"/>
          <w:sz w:val="24"/>
        </w:rPr>
        <w:t xml:space="preserve"> 0.571-0.993, </w:t>
      </w:r>
      <w:r w:rsidRPr="00DE4C97">
        <w:rPr>
          <w:rFonts w:ascii="Book Antiqua" w:hAnsi="Book Antiqua"/>
          <w:i/>
          <w:color w:val="000000" w:themeColor="text1"/>
          <w:sz w:val="24"/>
        </w:rPr>
        <w:t>P</w:t>
      </w:r>
      <w:r w:rsidR="00DE4C97">
        <w:rPr>
          <w:rFonts w:ascii="Book Antiqua" w:hAnsi="Book Antiqua"/>
          <w:color w:val="000000" w:themeColor="text1"/>
          <w:sz w:val="24"/>
        </w:rPr>
        <w:t xml:space="preserve"> </w:t>
      </w:r>
      <w:r w:rsidRPr="005F429F">
        <w:rPr>
          <w:rFonts w:ascii="Book Antiqua" w:hAnsi="Book Antiqua"/>
          <w:color w:val="000000" w:themeColor="text1"/>
          <w:sz w:val="24"/>
        </w:rPr>
        <w:t>=</w:t>
      </w:r>
      <w:r w:rsidR="00DE4C97">
        <w:rPr>
          <w:rFonts w:ascii="Book Antiqua" w:hAnsi="Book Antiqua"/>
          <w:color w:val="000000" w:themeColor="text1"/>
          <w:sz w:val="24"/>
        </w:rPr>
        <w:t xml:space="preserve"> </w:t>
      </w:r>
      <w:r w:rsidRPr="005F429F">
        <w:rPr>
          <w:rFonts w:ascii="Book Antiqua" w:hAnsi="Book Antiqua"/>
          <w:color w:val="000000" w:themeColor="text1"/>
          <w:sz w:val="24"/>
        </w:rPr>
        <w:t xml:space="preserve">0.029), and the miR-4632-5p expression level in EGC was significantly higher than that in AGC (AUC </w:t>
      </w:r>
      <w:r w:rsidR="00DE4C97">
        <w:rPr>
          <w:rFonts w:ascii="Book Antiqua" w:hAnsi="Book Antiqua"/>
          <w:color w:val="000000" w:themeColor="text1"/>
          <w:sz w:val="24"/>
        </w:rPr>
        <w:t>= 0.791, 95%</w:t>
      </w:r>
      <w:r w:rsidRPr="005F429F">
        <w:rPr>
          <w:rFonts w:ascii="Book Antiqua" w:hAnsi="Book Antiqua"/>
          <w:color w:val="000000" w:themeColor="text1"/>
          <w:sz w:val="24"/>
        </w:rPr>
        <w:t>CI</w:t>
      </w:r>
      <w:r w:rsidR="00DE4C97">
        <w:rPr>
          <w:rFonts w:ascii="Book Antiqua" w:hAnsi="Book Antiqua"/>
          <w:color w:val="000000" w:themeColor="text1"/>
          <w:sz w:val="24"/>
        </w:rPr>
        <w:t>:</w:t>
      </w:r>
      <w:r w:rsidRPr="005F429F">
        <w:rPr>
          <w:rFonts w:ascii="Book Antiqua" w:hAnsi="Book Antiqua"/>
          <w:color w:val="000000" w:themeColor="text1"/>
          <w:sz w:val="24"/>
        </w:rPr>
        <w:t xml:space="preserve"> 0.574-1.000, </w:t>
      </w:r>
      <w:r w:rsidRPr="00DE4C97">
        <w:rPr>
          <w:rFonts w:ascii="Book Antiqua" w:hAnsi="Book Antiqua"/>
          <w:i/>
          <w:color w:val="000000" w:themeColor="text1"/>
          <w:sz w:val="24"/>
        </w:rPr>
        <w:t>P</w:t>
      </w:r>
      <w:r w:rsidR="00DE4C97">
        <w:rPr>
          <w:rFonts w:ascii="Book Antiqua" w:hAnsi="Book Antiqua"/>
          <w:color w:val="000000" w:themeColor="text1"/>
          <w:sz w:val="24"/>
        </w:rPr>
        <w:t xml:space="preserve"> </w:t>
      </w:r>
      <w:r w:rsidRPr="005F429F">
        <w:rPr>
          <w:rFonts w:ascii="Book Antiqua" w:hAnsi="Book Antiqua"/>
          <w:color w:val="000000" w:themeColor="text1"/>
          <w:sz w:val="24"/>
        </w:rPr>
        <w:t>=</w:t>
      </w:r>
      <w:r w:rsidR="00DE4C97">
        <w:rPr>
          <w:rFonts w:ascii="Book Antiqua" w:hAnsi="Book Antiqua"/>
          <w:color w:val="000000" w:themeColor="text1"/>
          <w:sz w:val="24"/>
        </w:rPr>
        <w:t xml:space="preserve"> 0.024).</w:t>
      </w:r>
    </w:p>
    <w:p w14:paraId="47010C87" w14:textId="77777777" w:rsidR="00DE4C97" w:rsidRPr="005F429F" w:rsidRDefault="00DE4C97" w:rsidP="005F429F">
      <w:pPr>
        <w:adjustRightInd w:val="0"/>
        <w:snapToGrid w:val="0"/>
        <w:spacing w:line="360" w:lineRule="auto"/>
        <w:rPr>
          <w:rFonts w:ascii="Book Antiqua" w:hAnsi="Book Antiqua"/>
          <w:color w:val="000000" w:themeColor="text1"/>
          <w:sz w:val="24"/>
        </w:rPr>
      </w:pPr>
    </w:p>
    <w:p w14:paraId="0E4A6A71" w14:textId="77777777" w:rsidR="00DE4C97" w:rsidRPr="00DE4C97" w:rsidRDefault="00E30FC2" w:rsidP="005F429F">
      <w:pPr>
        <w:adjustRightInd w:val="0"/>
        <w:snapToGrid w:val="0"/>
        <w:spacing w:line="360" w:lineRule="auto"/>
        <w:rPr>
          <w:rFonts w:ascii="Book Antiqua" w:hAnsi="Book Antiqua"/>
          <w:b/>
          <w:bCs/>
          <w:i/>
          <w:color w:val="000000" w:themeColor="text1"/>
          <w:sz w:val="24"/>
        </w:rPr>
      </w:pPr>
      <w:r w:rsidRPr="00DE4C97">
        <w:rPr>
          <w:rFonts w:ascii="Book Antiqua" w:hAnsi="Book Antiqua"/>
          <w:b/>
          <w:bCs/>
          <w:i/>
          <w:color w:val="000000" w:themeColor="text1"/>
          <w:sz w:val="24"/>
        </w:rPr>
        <w:t>CONCLUSION</w:t>
      </w:r>
    </w:p>
    <w:p w14:paraId="57E22AE5"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The differentially expressed circulatory plasma miR-425-5p, miR-1180-3p, miR-122-5p, miR-24-3p and miR-4632-5p can be regarded as a new potential biomarker panel for the diagnosis of EGC. The prediction and early diagnosis of EGC can be considerably facilitated by combining gastroscopy with the use of these miRNA biomarkers, thereby optimizing the strategy for effective detection of EGC. Nevertheless, larger-scale human experiments are still re</w:t>
      </w:r>
      <w:r w:rsidR="00DE4C97">
        <w:rPr>
          <w:rFonts w:ascii="Book Antiqua" w:hAnsi="Book Antiqua"/>
          <w:color w:val="000000" w:themeColor="text1"/>
          <w:sz w:val="24"/>
        </w:rPr>
        <w:t>quired to confirm our findings.</w:t>
      </w:r>
    </w:p>
    <w:p w14:paraId="1A9475BA" w14:textId="77777777" w:rsidR="00DE4C97" w:rsidRPr="005F429F" w:rsidRDefault="00DE4C97" w:rsidP="005F429F">
      <w:pPr>
        <w:adjustRightInd w:val="0"/>
        <w:snapToGrid w:val="0"/>
        <w:spacing w:line="360" w:lineRule="auto"/>
        <w:rPr>
          <w:rFonts w:ascii="Book Antiqua" w:hAnsi="Book Antiqua"/>
          <w:color w:val="000000" w:themeColor="text1"/>
          <w:sz w:val="24"/>
        </w:rPr>
      </w:pPr>
    </w:p>
    <w:p w14:paraId="4C750E93"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t>Key</w:t>
      </w:r>
      <w:r w:rsidR="00DE4C97">
        <w:rPr>
          <w:rFonts w:ascii="Book Antiqua" w:hAnsi="Book Antiqua"/>
          <w:b/>
          <w:bCs/>
          <w:color w:val="000000" w:themeColor="text1"/>
          <w:sz w:val="24"/>
        </w:rPr>
        <w:t xml:space="preserve"> </w:t>
      </w:r>
      <w:r w:rsidRPr="005F429F">
        <w:rPr>
          <w:rFonts w:ascii="Book Antiqua" w:hAnsi="Book Antiqua"/>
          <w:b/>
          <w:bCs/>
          <w:color w:val="000000" w:themeColor="text1"/>
          <w:sz w:val="24"/>
        </w:rPr>
        <w:t>words:</w:t>
      </w:r>
      <w:r w:rsidRPr="005F429F">
        <w:rPr>
          <w:rFonts w:ascii="Book Antiqua" w:hAnsi="Book Antiqua"/>
          <w:color w:val="000000" w:themeColor="text1"/>
          <w:sz w:val="24"/>
        </w:rPr>
        <w:t xml:space="preserve"> Biomarker; MicroRNA; Plasma; Ea</w:t>
      </w:r>
      <w:r w:rsidR="00DE4C97">
        <w:rPr>
          <w:rFonts w:ascii="Book Antiqua" w:hAnsi="Book Antiqua"/>
          <w:color w:val="000000" w:themeColor="text1"/>
          <w:sz w:val="24"/>
        </w:rPr>
        <w:t>rly gastric cancer</w:t>
      </w:r>
    </w:p>
    <w:p w14:paraId="41BD0B79" w14:textId="77777777" w:rsidR="00DE4C97" w:rsidRDefault="00DE4C97" w:rsidP="005F429F">
      <w:pPr>
        <w:adjustRightInd w:val="0"/>
        <w:snapToGrid w:val="0"/>
        <w:spacing w:line="360" w:lineRule="auto"/>
        <w:rPr>
          <w:rFonts w:ascii="Book Antiqua" w:hAnsi="Book Antiqua"/>
          <w:color w:val="000000" w:themeColor="text1"/>
          <w:sz w:val="24"/>
        </w:rPr>
      </w:pPr>
    </w:p>
    <w:p w14:paraId="0C6DF448" w14:textId="77777777" w:rsidR="00DE4C97" w:rsidRDefault="00DE4C97" w:rsidP="005F429F">
      <w:pPr>
        <w:adjustRightInd w:val="0"/>
        <w:snapToGrid w:val="0"/>
        <w:spacing w:line="360" w:lineRule="auto"/>
        <w:rPr>
          <w:rFonts w:ascii="Book Antiqua" w:hAnsi="Book Antiqua"/>
          <w:kern w:val="0"/>
          <w:sz w:val="24"/>
        </w:rPr>
      </w:pPr>
      <w:bookmarkStart w:id="44" w:name="OLE_LINK43"/>
      <w:bookmarkStart w:id="45" w:name="OLE_LINK44"/>
      <w:r w:rsidRPr="00DE4C97">
        <w:rPr>
          <w:rFonts w:ascii="Book Antiqua" w:hAnsi="Book Antiqua"/>
          <w:b/>
          <w:kern w:val="0"/>
          <w:sz w:val="24"/>
        </w:rPr>
        <w:t>© The Author(s) 201</w:t>
      </w:r>
      <w:r w:rsidRPr="00DE4C97">
        <w:rPr>
          <w:rFonts w:ascii="Book Antiqua" w:hAnsi="Book Antiqua" w:hint="eastAsia"/>
          <w:b/>
          <w:kern w:val="0"/>
          <w:sz w:val="24"/>
        </w:rPr>
        <w:t>9</w:t>
      </w:r>
      <w:r w:rsidRPr="00DE4C97">
        <w:rPr>
          <w:rFonts w:ascii="Book Antiqua" w:hAnsi="Book Antiqua"/>
          <w:b/>
          <w:kern w:val="0"/>
          <w:sz w:val="24"/>
        </w:rPr>
        <w:t xml:space="preserve">. </w:t>
      </w:r>
      <w:r w:rsidRPr="00DE4C97">
        <w:rPr>
          <w:rFonts w:ascii="Book Antiqua" w:hAnsi="Book Antiqua"/>
          <w:kern w:val="0"/>
          <w:sz w:val="24"/>
        </w:rPr>
        <w:t xml:space="preserve">Published by </w:t>
      </w:r>
      <w:proofErr w:type="spellStart"/>
      <w:r w:rsidRPr="00DE4C97">
        <w:rPr>
          <w:rFonts w:ascii="Book Antiqua" w:hAnsi="Book Antiqua"/>
          <w:kern w:val="0"/>
          <w:sz w:val="24"/>
        </w:rPr>
        <w:t>Baishideng</w:t>
      </w:r>
      <w:proofErr w:type="spellEnd"/>
      <w:r w:rsidRPr="00DE4C97">
        <w:rPr>
          <w:rFonts w:ascii="Book Antiqua" w:hAnsi="Book Antiqua"/>
          <w:kern w:val="0"/>
          <w:sz w:val="24"/>
        </w:rPr>
        <w:t xml:space="preserve"> Publishing Group Inc. All rights reserved.</w:t>
      </w:r>
      <w:bookmarkEnd w:id="44"/>
      <w:bookmarkEnd w:id="45"/>
    </w:p>
    <w:p w14:paraId="71412108" w14:textId="77777777" w:rsidR="00DE4C97" w:rsidRPr="005F429F" w:rsidRDefault="00DE4C97" w:rsidP="005F429F">
      <w:pPr>
        <w:adjustRightInd w:val="0"/>
        <w:snapToGrid w:val="0"/>
        <w:spacing w:line="360" w:lineRule="auto"/>
        <w:rPr>
          <w:rFonts w:ascii="Book Antiqua" w:hAnsi="Book Antiqua"/>
          <w:color w:val="000000" w:themeColor="text1"/>
          <w:sz w:val="24"/>
        </w:rPr>
      </w:pPr>
    </w:p>
    <w:p w14:paraId="6A9D168E"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t>Core tip:</w:t>
      </w:r>
      <w:r w:rsidRPr="005F429F">
        <w:rPr>
          <w:rFonts w:ascii="Book Antiqua" w:hAnsi="Book Antiqua"/>
          <w:color w:val="000000" w:themeColor="text1"/>
          <w:sz w:val="24"/>
        </w:rPr>
        <w:t xml:space="preserve"> Early gastric cancer (EGC) has no typical symptoms and difficulty to diagnosis. We filtrated the differentially expressed </w:t>
      </w:r>
      <w:r w:rsidR="00DE4C97">
        <w:rPr>
          <w:rFonts w:ascii="Book Antiqua" w:hAnsi="Book Antiqua"/>
          <w:color w:val="000000" w:themeColor="text1"/>
          <w:sz w:val="24"/>
        </w:rPr>
        <w:t>microRNAs (</w:t>
      </w:r>
      <w:r w:rsidRPr="005F429F">
        <w:rPr>
          <w:rFonts w:ascii="Book Antiqua" w:hAnsi="Book Antiqua"/>
          <w:color w:val="000000" w:themeColor="text1"/>
          <w:sz w:val="24"/>
        </w:rPr>
        <w:t>miRNAs</w:t>
      </w:r>
      <w:r w:rsidR="00DE4C97">
        <w:rPr>
          <w:rFonts w:ascii="Book Antiqua" w:hAnsi="Book Antiqua"/>
          <w:color w:val="000000" w:themeColor="text1"/>
          <w:sz w:val="24"/>
        </w:rPr>
        <w:t>)</w:t>
      </w:r>
      <w:r w:rsidRPr="005F429F">
        <w:rPr>
          <w:rFonts w:ascii="Book Antiqua" w:hAnsi="Book Antiqua"/>
          <w:color w:val="000000" w:themeColor="text1"/>
          <w:sz w:val="24"/>
        </w:rPr>
        <w:t xml:space="preserve"> in the plasma of EGC, advanced gastric cancer and benign gastritis by miRNA chip analysis. Then, </w:t>
      </w:r>
      <w:r w:rsidR="00DE4C97">
        <w:rPr>
          <w:rFonts w:ascii="Book Antiqua" w:hAnsi="Book Antiqua"/>
          <w:color w:val="000000" w:themeColor="text1"/>
          <w:sz w:val="24"/>
        </w:rPr>
        <w:t>r</w:t>
      </w:r>
      <w:r w:rsidR="00DE4C97" w:rsidRPr="005F429F">
        <w:rPr>
          <w:rFonts w:ascii="Book Antiqua" w:hAnsi="Book Antiqua"/>
          <w:color w:val="000000" w:themeColor="text1"/>
          <w:sz w:val="24"/>
        </w:rPr>
        <w:t>everse transcription quantitative real-time polymerase chain reaction</w:t>
      </w:r>
      <w:r w:rsidRPr="005F429F">
        <w:rPr>
          <w:rFonts w:ascii="Book Antiqua" w:hAnsi="Book Antiqua"/>
          <w:color w:val="000000" w:themeColor="text1"/>
          <w:sz w:val="24"/>
        </w:rPr>
        <w:t xml:space="preserve"> confirmed the relative transcription level of target miRNAs. The 5 plasma miRNAs can be used as new potential biomarkers for the diagnosis of EGC.</w:t>
      </w:r>
    </w:p>
    <w:p w14:paraId="27774018" w14:textId="77777777" w:rsidR="00DE4C97" w:rsidRPr="005F429F" w:rsidRDefault="00DE4C97" w:rsidP="005F429F">
      <w:pPr>
        <w:adjustRightInd w:val="0"/>
        <w:snapToGrid w:val="0"/>
        <w:spacing w:line="360" w:lineRule="auto"/>
        <w:rPr>
          <w:rFonts w:ascii="Book Antiqua" w:hAnsi="Book Antiqua"/>
          <w:color w:val="000000" w:themeColor="text1"/>
          <w:sz w:val="24"/>
        </w:rPr>
      </w:pPr>
    </w:p>
    <w:p w14:paraId="24E2B1E3" w14:textId="77777777" w:rsidR="000D59A6" w:rsidRPr="005F429F"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lastRenderedPageBreak/>
        <w:t xml:space="preserve">Zhu XL, Ren LF, Wang HP, Bai ZT, Zhang L, Meng WB, Zhu KX, Ding FH, Miao L, Yan J, Wang YP, Liu YQ, Zhou WC, Li X. </w:t>
      </w:r>
      <w:r w:rsidR="00DE4C97" w:rsidRPr="00DE4C97">
        <w:rPr>
          <w:rFonts w:ascii="Book Antiqua" w:hAnsi="Book Antiqua"/>
          <w:color w:val="000000" w:themeColor="text1"/>
          <w:sz w:val="24"/>
        </w:rPr>
        <w:t>Plasma microRNAs as potential new biomarkers for early detection of early gastric cancer</w:t>
      </w:r>
      <w:r w:rsidRPr="005F429F">
        <w:rPr>
          <w:rFonts w:ascii="Book Antiqua" w:hAnsi="Book Antiqua"/>
          <w:color w:val="000000" w:themeColor="text1"/>
          <w:sz w:val="24"/>
        </w:rPr>
        <w:t>.</w:t>
      </w:r>
      <w:r w:rsidR="00DE4C97">
        <w:rPr>
          <w:rFonts w:ascii="Book Antiqua" w:hAnsi="Book Antiqua"/>
          <w:color w:val="000000" w:themeColor="text1"/>
          <w:sz w:val="24"/>
        </w:rPr>
        <w:t xml:space="preserve"> </w:t>
      </w:r>
      <w:bookmarkStart w:id="46" w:name="OLE_LINK1105"/>
      <w:bookmarkStart w:id="47" w:name="OLE_LINK1107"/>
      <w:bookmarkStart w:id="48" w:name="OLE_LINK380"/>
      <w:r w:rsidR="00DE4C97" w:rsidRPr="00DE4C97">
        <w:rPr>
          <w:rFonts w:ascii="Book Antiqua" w:hAnsi="Book Antiqua"/>
          <w:i/>
          <w:color w:val="000000"/>
          <w:kern w:val="0"/>
          <w:sz w:val="24"/>
        </w:rPr>
        <w:t xml:space="preserve">World J Gastroenterol </w:t>
      </w:r>
      <w:r w:rsidR="00DE4C97" w:rsidRPr="00DE4C97">
        <w:rPr>
          <w:rFonts w:ascii="Book Antiqua" w:hAnsi="Book Antiqua"/>
          <w:color w:val="000000"/>
          <w:kern w:val="0"/>
          <w:sz w:val="24"/>
        </w:rPr>
        <w:t>2019; In press</w:t>
      </w:r>
      <w:bookmarkEnd w:id="46"/>
      <w:bookmarkEnd w:id="47"/>
      <w:bookmarkEnd w:id="48"/>
    </w:p>
    <w:p w14:paraId="27CF0AC9" w14:textId="77777777" w:rsidR="00DE4C97" w:rsidRDefault="00DE4C97">
      <w:pPr>
        <w:widowControl/>
        <w:jc w:val="left"/>
        <w:rPr>
          <w:rFonts w:ascii="Book Antiqua" w:hAnsi="Book Antiqua"/>
          <w:b/>
          <w:bCs/>
          <w:color w:val="000000" w:themeColor="text1"/>
          <w:sz w:val="24"/>
        </w:rPr>
      </w:pPr>
      <w:r>
        <w:rPr>
          <w:rFonts w:ascii="Book Antiqua" w:hAnsi="Book Antiqua"/>
          <w:b/>
          <w:bCs/>
          <w:color w:val="000000" w:themeColor="text1"/>
          <w:sz w:val="24"/>
        </w:rPr>
        <w:br w:type="page"/>
      </w:r>
    </w:p>
    <w:p w14:paraId="4CDD9922" w14:textId="77777777" w:rsidR="000D59A6" w:rsidRPr="005F429F" w:rsidRDefault="00E30FC2" w:rsidP="00DE4C97">
      <w:pPr>
        <w:adjustRightInd w:val="0"/>
        <w:snapToGrid w:val="0"/>
        <w:spacing w:line="360" w:lineRule="auto"/>
        <w:outlineLvl w:val="0"/>
        <w:rPr>
          <w:rFonts w:ascii="Book Antiqua" w:hAnsi="Book Antiqua"/>
          <w:b/>
          <w:bCs/>
          <w:color w:val="000000" w:themeColor="text1"/>
          <w:sz w:val="24"/>
        </w:rPr>
      </w:pPr>
      <w:r w:rsidRPr="005F429F">
        <w:rPr>
          <w:rFonts w:ascii="Book Antiqua" w:hAnsi="Book Antiqua"/>
          <w:b/>
          <w:bCs/>
          <w:color w:val="000000" w:themeColor="text1"/>
          <w:sz w:val="24"/>
        </w:rPr>
        <w:lastRenderedPageBreak/>
        <w:t>INTRODUCTION</w:t>
      </w:r>
    </w:p>
    <w:p w14:paraId="6C489E91" w14:textId="77777777" w:rsidR="000D59A6" w:rsidRPr="005F429F" w:rsidRDefault="00E30FC2" w:rsidP="005F429F">
      <w:pPr>
        <w:adjustRightInd w:val="0"/>
        <w:snapToGrid w:val="0"/>
        <w:spacing w:line="360" w:lineRule="auto"/>
        <w:rPr>
          <w:rFonts w:ascii="Book Antiqua" w:hAnsi="Book Antiqua"/>
          <w:color w:val="000000" w:themeColor="text1"/>
          <w:sz w:val="24"/>
        </w:rPr>
      </w:pPr>
      <w:bookmarkStart w:id="49" w:name="OLE_LINK563"/>
      <w:r w:rsidRPr="005F429F">
        <w:rPr>
          <w:rFonts w:ascii="Book Antiqua" w:hAnsi="Book Antiqua"/>
          <w:color w:val="000000" w:themeColor="text1"/>
          <w:sz w:val="24"/>
        </w:rPr>
        <w:t>Gastric cancer</w:t>
      </w:r>
      <w:bookmarkEnd w:id="49"/>
      <w:r w:rsidRPr="005F429F">
        <w:rPr>
          <w:rFonts w:ascii="Book Antiqua" w:hAnsi="Book Antiqua"/>
          <w:color w:val="000000" w:themeColor="text1"/>
          <w:sz w:val="24"/>
        </w:rPr>
        <w:t xml:space="preserve"> (GC) is one of the most common upper digestive tract cancers, the fourth most commonly diagnosed cancer, and the second leading cause of cancer-related deaths worldwide</w:t>
      </w:r>
      <w:r w:rsidRPr="00E30FC2">
        <w:rPr>
          <w:rFonts w:ascii="Book Antiqua" w:hAnsi="Book Antiqua"/>
          <w:color w:val="000000" w:themeColor="text1"/>
          <w:sz w:val="24"/>
          <w:vertAlign w:val="superscript"/>
        </w:rPr>
        <w:t>[1,2]</w:t>
      </w:r>
      <w:r w:rsidRPr="005F429F">
        <w:rPr>
          <w:rFonts w:ascii="Book Antiqua" w:hAnsi="Book Antiqua"/>
          <w:color w:val="000000" w:themeColor="text1"/>
          <w:sz w:val="24"/>
        </w:rPr>
        <w:t xml:space="preserve">. China is well known to have a high incidence of </w:t>
      </w:r>
      <w:r>
        <w:rPr>
          <w:rFonts w:ascii="Book Antiqua" w:hAnsi="Book Antiqua"/>
          <w:color w:val="000000" w:themeColor="text1"/>
          <w:sz w:val="24"/>
        </w:rPr>
        <w:t>GC</w:t>
      </w:r>
      <w:r w:rsidRPr="005F429F">
        <w:rPr>
          <w:rFonts w:ascii="Book Antiqua" w:hAnsi="Book Antiqua"/>
          <w:color w:val="000000" w:themeColor="text1"/>
          <w:sz w:val="24"/>
        </w:rPr>
        <w:t xml:space="preserve">. This incidence and mortality are the second and third highest, respectively, among all cancers, and the incidence and mortality rates are more than two-fold higher than world averages. Moreover, recent reports showed that the incidence rate of </w:t>
      </w:r>
      <w:r>
        <w:rPr>
          <w:rFonts w:ascii="Book Antiqua" w:hAnsi="Book Antiqua"/>
          <w:color w:val="000000" w:themeColor="text1"/>
          <w:sz w:val="24"/>
        </w:rPr>
        <w:t>GC</w:t>
      </w:r>
      <w:r w:rsidRPr="005F429F">
        <w:rPr>
          <w:rFonts w:ascii="Book Antiqua" w:hAnsi="Book Antiqua"/>
          <w:color w:val="000000" w:themeColor="text1"/>
          <w:sz w:val="24"/>
        </w:rPr>
        <w:t xml:space="preserve"> in Gansu Province, China, is significantly higher than the na</w:t>
      </w:r>
      <w:r>
        <w:rPr>
          <w:rFonts w:ascii="Book Antiqua" w:hAnsi="Book Antiqua"/>
          <w:color w:val="000000" w:themeColor="text1"/>
          <w:sz w:val="24"/>
        </w:rPr>
        <w:t>tional rate, which is 55.25/100</w:t>
      </w:r>
      <w:r w:rsidRPr="005F429F">
        <w:rPr>
          <w:rFonts w:ascii="Book Antiqua" w:hAnsi="Book Antiqua"/>
          <w:color w:val="000000" w:themeColor="text1"/>
          <w:sz w:val="24"/>
        </w:rPr>
        <w:t>000, and the mortality r</w:t>
      </w:r>
      <w:r>
        <w:rPr>
          <w:rFonts w:ascii="Book Antiqua" w:hAnsi="Book Antiqua"/>
          <w:color w:val="000000" w:themeColor="text1"/>
          <w:sz w:val="24"/>
        </w:rPr>
        <w:t>ate is 36.94/100000</w:t>
      </w:r>
      <w:r w:rsidRPr="00E30FC2">
        <w:rPr>
          <w:rFonts w:ascii="Book Antiqua" w:hAnsi="Book Antiqua"/>
          <w:color w:val="000000" w:themeColor="text1"/>
          <w:sz w:val="24"/>
          <w:vertAlign w:val="superscript"/>
        </w:rPr>
        <w:t>[3]</w:t>
      </w:r>
      <w:r w:rsidRPr="005F429F">
        <w:rPr>
          <w:rFonts w:ascii="Book Antiqua" w:hAnsi="Book Antiqua"/>
          <w:color w:val="000000" w:themeColor="text1"/>
          <w:sz w:val="24"/>
        </w:rPr>
        <w:t xml:space="preserve">, This province ranks first in terms of mortality caused by malignant tumors, accounting for 28.74% of all malignant tumor mortalities, far higher than </w:t>
      </w:r>
      <w:r>
        <w:rPr>
          <w:rFonts w:ascii="Book Antiqua" w:hAnsi="Book Antiqua"/>
          <w:color w:val="000000" w:themeColor="text1"/>
          <w:sz w:val="24"/>
        </w:rPr>
        <w:t>the national average (30.00/100000, 21.48/100000, 12.80%)</w:t>
      </w:r>
      <w:r w:rsidRPr="00E30FC2">
        <w:rPr>
          <w:rFonts w:ascii="Book Antiqua" w:hAnsi="Book Antiqua"/>
          <w:color w:val="000000" w:themeColor="text1"/>
          <w:sz w:val="24"/>
          <w:vertAlign w:val="superscript"/>
        </w:rPr>
        <w:t>[4]</w:t>
      </w:r>
      <w:r w:rsidRPr="005F429F">
        <w:rPr>
          <w:rFonts w:ascii="Book Antiqua" w:hAnsi="Book Antiqua"/>
          <w:color w:val="000000" w:themeColor="text1"/>
          <w:sz w:val="24"/>
        </w:rPr>
        <w:t xml:space="preserve">. The prognosis of GC is related to the clinical progress and the early diagnosis, and its treatment is of critical significance to the prognosis. In early </w:t>
      </w:r>
      <w:r>
        <w:rPr>
          <w:rFonts w:ascii="Book Antiqua" w:hAnsi="Book Antiqua"/>
          <w:color w:val="000000" w:themeColor="text1"/>
          <w:sz w:val="24"/>
        </w:rPr>
        <w:t>GC</w:t>
      </w:r>
      <w:r w:rsidRPr="005F429F">
        <w:rPr>
          <w:rFonts w:ascii="Book Antiqua" w:hAnsi="Book Antiqua"/>
          <w:color w:val="000000" w:themeColor="text1"/>
          <w:sz w:val="24"/>
        </w:rPr>
        <w:t xml:space="preserve"> (EGC), the gastric mucosal lesion and the development of invasion cancer do not reach the submucosa, but their spread is limited to the mucous layer. This type of cancer is called </w:t>
      </w:r>
      <w:proofErr w:type="spellStart"/>
      <w:r w:rsidRPr="005F429F">
        <w:rPr>
          <w:rFonts w:ascii="Book Antiqua" w:hAnsi="Book Antiqua"/>
          <w:color w:val="000000" w:themeColor="text1"/>
          <w:sz w:val="24"/>
        </w:rPr>
        <w:t>intramucosal</w:t>
      </w:r>
      <w:proofErr w:type="spellEnd"/>
      <w:r w:rsidRPr="005F429F">
        <w:rPr>
          <w:rFonts w:ascii="Book Antiqua" w:hAnsi="Book Antiqua"/>
          <w:color w:val="000000" w:themeColor="text1"/>
          <w:sz w:val="24"/>
        </w:rPr>
        <w:t xml:space="preserve"> carcinoma. Most EGC can be treated with radical surgery with gastroscopy. The gastroscopy treatment using </w:t>
      </w:r>
      <w:bookmarkStart w:id="50" w:name="OLE_LINK564"/>
      <w:r w:rsidRPr="005F429F">
        <w:rPr>
          <w:rFonts w:ascii="Book Antiqua" w:hAnsi="Book Antiqua"/>
          <w:color w:val="000000" w:themeColor="text1"/>
          <w:sz w:val="24"/>
        </w:rPr>
        <w:t>endoscopic submucosal dissection</w:t>
      </w:r>
      <w:bookmarkEnd w:id="50"/>
      <w:r w:rsidRPr="005F429F">
        <w:rPr>
          <w:rFonts w:ascii="Book Antiqua" w:hAnsi="Book Antiqua"/>
          <w:color w:val="000000" w:themeColor="text1"/>
          <w:sz w:val="24"/>
        </w:rPr>
        <w:t xml:space="preserve"> (ESD) can completely remove the gastric mucosal lesion, eliminating the pain of laparotomy and organ removal. The application of this approach can increase the survival rate to 90% within five years, whereas the survival rate from advanced </w:t>
      </w:r>
      <w:r>
        <w:rPr>
          <w:rFonts w:ascii="Book Antiqua" w:hAnsi="Book Antiqua"/>
          <w:color w:val="000000" w:themeColor="text1"/>
          <w:sz w:val="24"/>
        </w:rPr>
        <w:t>GC</w:t>
      </w:r>
      <w:r w:rsidRPr="005F429F">
        <w:rPr>
          <w:rFonts w:ascii="Book Antiqua" w:hAnsi="Book Antiqua"/>
          <w:color w:val="000000" w:themeColor="text1"/>
          <w:sz w:val="24"/>
        </w:rPr>
        <w:t xml:space="preserve"> (AGC) is less than 20%. However, the diagnosis of EGC is difficult due to the absence of typical symptoms. Furthermore, no clinically effective biomarkers have been established for EGC detection. Using simple methods to detect high-risk groups of </w:t>
      </w:r>
      <w:r>
        <w:rPr>
          <w:rFonts w:ascii="Book Antiqua" w:hAnsi="Book Antiqua"/>
          <w:color w:val="000000" w:themeColor="text1"/>
          <w:sz w:val="24"/>
        </w:rPr>
        <w:t>GC</w:t>
      </w:r>
      <w:r w:rsidRPr="005F429F">
        <w:rPr>
          <w:rFonts w:ascii="Book Antiqua" w:hAnsi="Book Antiqua"/>
          <w:color w:val="000000" w:themeColor="text1"/>
          <w:sz w:val="24"/>
        </w:rPr>
        <w:t xml:space="preserve"> and improve the diagnostic rate of EGC are some of the crucial strategies for prevention of </w:t>
      </w:r>
      <w:r>
        <w:rPr>
          <w:rFonts w:ascii="Book Antiqua" w:hAnsi="Book Antiqua"/>
          <w:color w:val="000000" w:themeColor="text1"/>
          <w:sz w:val="24"/>
        </w:rPr>
        <w:t>GC</w:t>
      </w:r>
      <w:r w:rsidRPr="005F429F">
        <w:rPr>
          <w:rFonts w:ascii="Book Antiqua" w:hAnsi="Book Antiqua"/>
          <w:color w:val="000000" w:themeColor="text1"/>
          <w:sz w:val="24"/>
        </w:rPr>
        <w:t xml:space="preserve">. Currently, no reliable method or effective biomarkers for EGC that have high sensitivity and specificity exist for detection of high-risk groups of </w:t>
      </w:r>
      <w:r>
        <w:rPr>
          <w:rFonts w:ascii="Book Antiqua" w:hAnsi="Book Antiqua"/>
          <w:color w:val="000000" w:themeColor="text1"/>
          <w:sz w:val="24"/>
        </w:rPr>
        <w:t>GC</w:t>
      </w:r>
      <w:r w:rsidRPr="005F429F">
        <w:rPr>
          <w:rFonts w:ascii="Book Antiqua" w:hAnsi="Book Antiqua"/>
          <w:color w:val="000000" w:themeColor="text1"/>
          <w:sz w:val="24"/>
        </w:rPr>
        <w:t xml:space="preserve">. The early detection and diagnosis of </w:t>
      </w:r>
      <w:r w:rsidR="00DE4C97">
        <w:rPr>
          <w:rFonts w:ascii="Book Antiqua" w:hAnsi="Book Antiqua"/>
          <w:color w:val="000000" w:themeColor="text1"/>
          <w:sz w:val="24"/>
        </w:rPr>
        <w:t>EGC</w:t>
      </w:r>
      <w:r w:rsidRPr="005F429F">
        <w:rPr>
          <w:rFonts w:ascii="Book Antiqua" w:hAnsi="Book Antiqua"/>
          <w:color w:val="000000" w:themeColor="text1"/>
          <w:sz w:val="24"/>
        </w:rPr>
        <w:t xml:space="preserve"> at the subclinical stage would substantially improve the prognosis of </w:t>
      </w:r>
      <w:r>
        <w:rPr>
          <w:rFonts w:ascii="Book Antiqua" w:hAnsi="Book Antiqua"/>
          <w:color w:val="000000" w:themeColor="text1"/>
          <w:sz w:val="24"/>
        </w:rPr>
        <w:t>GC</w:t>
      </w:r>
      <w:r w:rsidRPr="005F429F">
        <w:rPr>
          <w:rFonts w:ascii="Book Antiqua" w:hAnsi="Book Antiqua"/>
          <w:color w:val="000000" w:themeColor="text1"/>
          <w:sz w:val="24"/>
        </w:rPr>
        <w:t xml:space="preserve"> patients.</w:t>
      </w:r>
    </w:p>
    <w:p w14:paraId="38F80C20" w14:textId="77777777" w:rsidR="000D59A6" w:rsidRPr="005F429F" w:rsidRDefault="00E30FC2" w:rsidP="005F429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  </w:t>
      </w:r>
      <w:r w:rsidRPr="005F429F">
        <w:rPr>
          <w:rFonts w:ascii="Book Antiqua" w:hAnsi="Book Antiqua"/>
          <w:color w:val="000000" w:themeColor="text1"/>
          <w:sz w:val="24"/>
        </w:rPr>
        <w:t xml:space="preserve">It is estimated that approximately two-thirds of the genes in the human body are manipulated by specific </w:t>
      </w:r>
      <w:r>
        <w:rPr>
          <w:rFonts w:ascii="Book Antiqua" w:hAnsi="Book Antiqua"/>
          <w:color w:val="000000" w:themeColor="text1"/>
          <w:sz w:val="24"/>
        </w:rPr>
        <w:t>microRNA (</w:t>
      </w:r>
      <w:r w:rsidRPr="005F429F">
        <w:rPr>
          <w:rFonts w:ascii="Book Antiqua" w:hAnsi="Book Antiqua"/>
          <w:color w:val="000000" w:themeColor="text1"/>
          <w:sz w:val="24"/>
        </w:rPr>
        <w:t>miRNA</w:t>
      </w:r>
      <w:r>
        <w:rPr>
          <w:rFonts w:ascii="Book Antiqua" w:hAnsi="Book Antiqua"/>
          <w:color w:val="000000" w:themeColor="text1"/>
          <w:sz w:val="24"/>
        </w:rPr>
        <w:t>)</w:t>
      </w:r>
      <w:r w:rsidRPr="005F429F">
        <w:rPr>
          <w:rFonts w:ascii="Book Antiqua" w:hAnsi="Book Antiqua"/>
          <w:color w:val="000000" w:themeColor="text1"/>
          <w:sz w:val="24"/>
        </w:rPr>
        <w:t xml:space="preserve"> or groups of miRNAs, and </w:t>
      </w:r>
      <w:r w:rsidRPr="005F429F">
        <w:rPr>
          <w:rFonts w:ascii="Book Antiqua" w:hAnsi="Book Antiqua"/>
          <w:color w:val="000000" w:themeColor="text1"/>
          <w:sz w:val="24"/>
        </w:rPr>
        <w:lastRenderedPageBreak/>
        <w:t>more than 60 percent of genes encoding human protein were manipulated by miRNAs. These small miRNAs always target one mRNA or multiple mRNAs and degrade or block the translation of mRNAs by base pairing RNA-induced silencing complex with the target gene mRNA. Additionally, they adjust the expression of genes at the translation level. Previous findings indicate that the results of the testing of the miRNA level in tissues, cells, and body fluids can be used as biomarkers for early diagnosis, tre</w:t>
      </w:r>
      <w:r>
        <w:rPr>
          <w:rFonts w:ascii="Book Antiqua" w:hAnsi="Book Antiqua"/>
          <w:color w:val="000000" w:themeColor="text1"/>
          <w:sz w:val="24"/>
        </w:rPr>
        <w:t xml:space="preserve">atment, and prognosis of </w:t>
      </w:r>
      <w:proofErr w:type="gramStart"/>
      <w:r>
        <w:rPr>
          <w:rFonts w:ascii="Book Antiqua" w:hAnsi="Book Antiqua"/>
          <w:color w:val="000000" w:themeColor="text1"/>
          <w:sz w:val="24"/>
        </w:rPr>
        <w:t>tumors</w:t>
      </w:r>
      <w:r w:rsidRPr="00E30FC2">
        <w:rPr>
          <w:rFonts w:ascii="Book Antiqua" w:hAnsi="Book Antiqua"/>
          <w:color w:val="000000" w:themeColor="text1"/>
          <w:sz w:val="24"/>
          <w:vertAlign w:val="superscript"/>
        </w:rPr>
        <w:t>[</w:t>
      </w:r>
      <w:proofErr w:type="gramEnd"/>
      <w:r w:rsidRPr="00E30FC2">
        <w:rPr>
          <w:rFonts w:ascii="Book Antiqua" w:hAnsi="Book Antiqua"/>
          <w:color w:val="000000" w:themeColor="text1"/>
          <w:sz w:val="24"/>
          <w:vertAlign w:val="superscript"/>
        </w:rPr>
        <w:t>5]</w:t>
      </w:r>
      <w:r w:rsidRPr="005F429F">
        <w:rPr>
          <w:rFonts w:ascii="Book Antiqua" w:hAnsi="Book Antiqua"/>
          <w:color w:val="000000" w:themeColor="text1"/>
          <w:sz w:val="24"/>
        </w:rPr>
        <w:t>. miRNAs can circulate in the blood in stable extracellular forms. The tests for circulating miRNAs can be employed to establish various disease statuses. Therefore, circulating miRNAs should be considered potential blood-based biomarkers, which are new tool</w:t>
      </w:r>
      <w:r>
        <w:rPr>
          <w:rFonts w:ascii="Book Antiqua" w:hAnsi="Book Antiqua"/>
          <w:color w:val="000000" w:themeColor="text1"/>
          <w:sz w:val="24"/>
        </w:rPr>
        <w:t xml:space="preserve">s for early diagnosis of </w:t>
      </w:r>
      <w:proofErr w:type="gramStart"/>
      <w:r>
        <w:rPr>
          <w:rFonts w:ascii="Book Antiqua" w:hAnsi="Book Antiqua"/>
          <w:color w:val="000000" w:themeColor="text1"/>
          <w:sz w:val="24"/>
        </w:rPr>
        <w:t>cancer</w:t>
      </w:r>
      <w:r w:rsidRPr="00E30FC2">
        <w:rPr>
          <w:rFonts w:ascii="Book Antiqua" w:hAnsi="Book Antiqua"/>
          <w:color w:val="000000" w:themeColor="text1"/>
          <w:sz w:val="24"/>
          <w:vertAlign w:val="superscript"/>
        </w:rPr>
        <w:t>[</w:t>
      </w:r>
      <w:proofErr w:type="gramEnd"/>
      <w:r w:rsidRPr="00E30FC2">
        <w:rPr>
          <w:rFonts w:ascii="Book Antiqua" w:hAnsi="Book Antiqua"/>
          <w:color w:val="000000" w:themeColor="text1"/>
          <w:sz w:val="24"/>
          <w:vertAlign w:val="superscript"/>
        </w:rPr>
        <w:t>6]</w:t>
      </w:r>
      <w:r w:rsidRPr="005F429F">
        <w:rPr>
          <w:rFonts w:ascii="Book Antiqua" w:hAnsi="Book Antiqua"/>
          <w:color w:val="000000" w:themeColor="text1"/>
          <w:sz w:val="24"/>
        </w:rPr>
        <w:t>.</w:t>
      </w:r>
    </w:p>
    <w:p w14:paraId="1EF5ED63" w14:textId="77777777" w:rsidR="000D59A6" w:rsidRDefault="00E30FC2" w:rsidP="00E30FC2">
      <w:pPr>
        <w:adjustRightInd w:val="0"/>
        <w:snapToGrid w:val="0"/>
        <w:spacing w:line="360" w:lineRule="auto"/>
        <w:ind w:firstLine="240"/>
        <w:rPr>
          <w:rFonts w:ascii="Book Antiqua" w:hAnsi="Book Antiqua"/>
          <w:color w:val="000000" w:themeColor="text1"/>
          <w:sz w:val="24"/>
        </w:rPr>
      </w:pPr>
      <w:r w:rsidRPr="005F429F">
        <w:rPr>
          <w:rFonts w:ascii="Book Antiqua" w:hAnsi="Book Antiqua"/>
          <w:color w:val="000000" w:themeColor="text1"/>
          <w:sz w:val="24"/>
        </w:rPr>
        <w:t>The purpose of this research was to identify the differentially expressed miRNAs in the plasma of patients with EGC, AGC, and benign gastritis (BG) through miRNAs chips and to determine their transcription levels at different stages of the disease through reverse transcription quantitative real-time polymerase chain reaction (RT-qPCR). Finally, new specific biomarkers for detection of EGC were identified.</w:t>
      </w:r>
    </w:p>
    <w:p w14:paraId="5BA0A68F" w14:textId="77777777" w:rsidR="00E30FC2" w:rsidRPr="005F429F" w:rsidRDefault="00E30FC2" w:rsidP="00E30FC2">
      <w:pPr>
        <w:adjustRightInd w:val="0"/>
        <w:snapToGrid w:val="0"/>
        <w:spacing w:line="360" w:lineRule="auto"/>
        <w:ind w:firstLine="240"/>
        <w:rPr>
          <w:rFonts w:ascii="Book Antiqua" w:hAnsi="Book Antiqua"/>
          <w:color w:val="000000" w:themeColor="text1"/>
          <w:sz w:val="24"/>
        </w:rPr>
      </w:pPr>
    </w:p>
    <w:p w14:paraId="3D22B39C" w14:textId="77777777" w:rsidR="000D59A6" w:rsidRPr="005F429F" w:rsidRDefault="00E30FC2" w:rsidP="00DE4C97">
      <w:pPr>
        <w:adjustRightInd w:val="0"/>
        <w:snapToGrid w:val="0"/>
        <w:spacing w:line="360" w:lineRule="auto"/>
        <w:outlineLvl w:val="0"/>
        <w:rPr>
          <w:rFonts w:ascii="Book Antiqua" w:hAnsi="Book Antiqua"/>
          <w:b/>
          <w:bCs/>
          <w:color w:val="000000" w:themeColor="text1"/>
          <w:sz w:val="24"/>
        </w:rPr>
      </w:pPr>
      <w:r w:rsidRPr="005F429F">
        <w:rPr>
          <w:rFonts w:ascii="Book Antiqua" w:hAnsi="Book Antiqua"/>
          <w:b/>
          <w:bCs/>
          <w:color w:val="000000" w:themeColor="text1"/>
          <w:sz w:val="24"/>
        </w:rPr>
        <w:t>MATERIALS AND METHODS</w:t>
      </w:r>
    </w:p>
    <w:p w14:paraId="77514494" w14:textId="77777777" w:rsidR="000D59A6" w:rsidRPr="005F429F" w:rsidRDefault="00E30FC2" w:rsidP="00DE4C97">
      <w:pPr>
        <w:adjustRightInd w:val="0"/>
        <w:snapToGrid w:val="0"/>
        <w:spacing w:line="360" w:lineRule="auto"/>
        <w:outlineLvl w:val="0"/>
        <w:rPr>
          <w:rFonts w:ascii="Book Antiqua" w:hAnsi="Book Antiqua"/>
          <w:color w:val="000000" w:themeColor="text1"/>
          <w:sz w:val="24"/>
        </w:rPr>
      </w:pPr>
      <w:r w:rsidRPr="005F429F">
        <w:rPr>
          <w:rFonts w:ascii="Book Antiqua" w:hAnsi="Book Antiqua"/>
          <w:b/>
          <w:bCs/>
          <w:i/>
          <w:iCs/>
          <w:color w:val="000000" w:themeColor="text1"/>
          <w:sz w:val="24"/>
        </w:rPr>
        <w:t>Patients</w:t>
      </w:r>
    </w:p>
    <w:p w14:paraId="03C0EAF7"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The protocol for this study was approved by the Ethics Committee of the First Hospital of Lanzhou University (Lanzhou, Gansu, China; ethic number: LDYYLL2018-60), and all patients signed informed consent forms. The present study is part of the project of “The Early Cancer Screening Program of the Upper Gastrointestinal Tract of Gansu Province” conducted from July 2016 to December 2017. The patients diagnosed with EGC, AGC, BG, </w:t>
      </w:r>
      <w:r w:rsidR="00B93781" w:rsidRPr="00B93781">
        <w:rPr>
          <w:rFonts w:ascii="Book Antiqua" w:hAnsi="Book Antiqua"/>
          <w:i/>
          <w:color w:val="000000" w:themeColor="text1"/>
          <w:sz w:val="24"/>
        </w:rPr>
        <w:t>Helicobacter pylori</w:t>
      </w:r>
      <w:r w:rsidR="00B93781" w:rsidRPr="00B93781">
        <w:rPr>
          <w:rFonts w:ascii="Book Antiqua" w:hAnsi="Book Antiqua"/>
          <w:color w:val="000000" w:themeColor="text1"/>
          <w:sz w:val="24"/>
        </w:rPr>
        <w:t xml:space="preserve"> </w:t>
      </w:r>
      <w:r w:rsidR="00B93781">
        <w:rPr>
          <w:rFonts w:ascii="Book Antiqua" w:hAnsi="Book Antiqua"/>
          <w:color w:val="000000" w:themeColor="text1"/>
          <w:sz w:val="24"/>
        </w:rPr>
        <w:t>(</w:t>
      </w:r>
      <w:r w:rsidR="00B93781" w:rsidRPr="00B93781">
        <w:rPr>
          <w:rFonts w:ascii="Book Antiqua" w:hAnsi="Book Antiqua"/>
          <w:i/>
          <w:color w:val="000000" w:themeColor="text1"/>
          <w:sz w:val="24"/>
        </w:rPr>
        <w:t>H. pylori</w:t>
      </w:r>
      <w:r w:rsidR="00B93781">
        <w:rPr>
          <w:rFonts w:ascii="Book Antiqua" w:hAnsi="Book Antiqua"/>
          <w:color w:val="000000" w:themeColor="text1"/>
          <w:sz w:val="24"/>
        </w:rPr>
        <w:t>)</w:t>
      </w:r>
      <w:r w:rsidRPr="005F429F">
        <w:rPr>
          <w:rFonts w:ascii="Book Antiqua" w:hAnsi="Book Antiqua"/>
          <w:color w:val="000000" w:themeColor="text1"/>
          <w:sz w:val="24"/>
        </w:rPr>
        <w:t xml:space="preserve">-negative gastritis (Control-1), and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 xml:space="preserve">-positive atrophic gastritis (Control-2) received a gastroscopy examination and treatment using the OLYMPUS EVIS 290 electronic endoscope system. The biopsy specimen was analyzed and diagnosed by pathologists at the First Hospital of Lanzhou University using the Vienna classification.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 xml:space="preserve"> infection was detected by </w:t>
      </w:r>
      <w:r w:rsidRPr="00410F21">
        <w:rPr>
          <w:rFonts w:ascii="Book Antiqua" w:hAnsi="Book Antiqua"/>
          <w:color w:val="000000" w:themeColor="text1"/>
          <w:sz w:val="24"/>
          <w:vertAlign w:val="superscript"/>
        </w:rPr>
        <w:t>14</w:t>
      </w:r>
      <w:r w:rsidRPr="005F429F">
        <w:rPr>
          <w:rFonts w:ascii="Book Antiqua" w:hAnsi="Book Antiqua"/>
          <w:color w:val="000000" w:themeColor="text1"/>
          <w:sz w:val="24"/>
        </w:rPr>
        <w:t xml:space="preserve">C-urea breath test. Blood specimens were analyzed in the Key Laboratory of </w:t>
      </w:r>
      <w:r w:rsidRPr="005F429F">
        <w:rPr>
          <w:rFonts w:ascii="Book Antiqua" w:hAnsi="Book Antiqua"/>
          <w:color w:val="000000" w:themeColor="text1"/>
          <w:sz w:val="24"/>
        </w:rPr>
        <w:lastRenderedPageBreak/>
        <w:t>Biotherapy and Regenerative Medicine of Gansu Province. Patients who were diagnosed for the first time were included, whereas those with other types of previous malignant t</w:t>
      </w:r>
      <w:r w:rsidR="00410F21">
        <w:rPr>
          <w:rFonts w:ascii="Book Antiqua" w:hAnsi="Book Antiqua"/>
          <w:color w:val="000000" w:themeColor="text1"/>
          <w:sz w:val="24"/>
        </w:rPr>
        <w:t>umors were excluded (</w:t>
      </w:r>
      <w:bookmarkStart w:id="51" w:name="_GoBack"/>
      <w:r w:rsidR="00410F21">
        <w:rPr>
          <w:rFonts w:ascii="Book Antiqua" w:hAnsi="Book Antiqua"/>
          <w:color w:val="000000" w:themeColor="text1"/>
          <w:sz w:val="24"/>
        </w:rPr>
        <w:t>Figure</w:t>
      </w:r>
      <w:bookmarkEnd w:id="51"/>
      <w:r w:rsidR="00410F21">
        <w:rPr>
          <w:rFonts w:ascii="Book Antiqua" w:hAnsi="Book Antiqua"/>
          <w:color w:val="000000" w:themeColor="text1"/>
          <w:sz w:val="24"/>
        </w:rPr>
        <w:t xml:space="preserve"> 1).</w:t>
      </w:r>
    </w:p>
    <w:p w14:paraId="1B02A953" w14:textId="77777777" w:rsidR="00410F21" w:rsidRPr="005F429F" w:rsidRDefault="00410F21" w:rsidP="005F429F">
      <w:pPr>
        <w:adjustRightInd w:val="0"/>
        <w:snapToGrid w:val="0"/>
        <w:spacing w:line="360" w:lineRule="auto"/>
        <w:rPr>
          <w:rFonts w:ascii="Book Antiqua" w:hAnsi="Book Antiqua"/>
          <w:color w:val="000000" w:themeColor="text1"/>
          <w:sz w:val="24"/>
        </w:rPr>
      </w:pPr>
    </w:p>
    <w:p w14:paraId="50269358" w14:textId="77777777" w:rsidR="000D59A6" w:rsidRPr="005F429F" w:rsidRDefault="00E30FC2" w:rsidP="00DE4C97">
      <w:pPr>
        <w:adjustRightInd w:val="0"/>
        <w:snapToGrid w:val="0"/>
        <w:spacing w:line="360" w:lineRule="auto"/>
        <w:outlineLvl w:val="0"/>
        <w:rPr>
          <w:rFonts w:ascii="Book Antiqua" w:hAnsi="Book Antiqua"/>
          <w:b/>
          <w:bCs/>
          <w:i/>
          <w:iCs/>
          <w:color w:val="000000" w:themeColor="text1"/>
          <w:sz w:val="24"/>
        </w:rPr>
      </w:pPr>
      <w:r w:rsidRPr="005F429F">
        <w:rPr>
          <w:rFonts w:ascii="Book Antiqua" w:hAnsi="Book Antiqua"/>
          <w:b/>
          <w:bCs/>
          <w:i/>
          <w:iCs/>
          <w:color w:val="000000" w:themeColor="text1"/>
          <w:sz w:val="24"/>
        </w:rPr>
        <w:t>Obtaining plasma and extracting total RNA</w:t>
      </w:r>
    </w:p>
    <w:p w14:paraId="72EF67AA"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Samples of 5 mL of blood were collected into EDTA anticoagulant tubes after an overnight fast. After in vitro placement from 30 min to 2 h, eac</w:t>
      </w:r>
      <w:r w:rsidR="00410F21">
        <w:rPr>
          <w:rFonts w:ascii="Book Antiqua" w:hAnsi="Book Antiqua"/>
          <w:color w:val="000000" w:themeColor="text1"/>
          <w:sz w:val="24"/>
        </w:rPr>
        <w:t>h specimen was centrifuged at 3</w:t>
      </w:r>
      <w:r w:rsidRPr="005F429F">
        <w:rPr>
          <w:rFonts w:ascii="Book Antiqua" w:hAnsi="Book Antiqua"/>
          <w:color w:val="000000" w:themeColor="text1"/>
          <w:sz w:val="24"/>
        </w:rPr>
        <w:t xml:space="preserve">000 r/min for 10 min, followed by transfer of plasma into an EP tube in a liquid nitrogen canister and then transport into a -80 </w:t>
      </w:r>
      <w:r w:rsidR="00410F21">
        <w:rPr>
          <w:rFonts w:ascii="MS Mincho" w:eastAsia="MS Mincho" w:hAnsi="MS Mincho" w:cs="MS Mincho"/>
          <w:color w:val="000000" w:themeColor="text1"/>
          <w:sz w:val="24"/>
        </w:rPr>
        <w:t>℃</w:t>
      </w:r>
      <w:r w:rsidRPr="005F429F">
        <w:rPr>
          <w:rFonts w:ascii="Book Antiqua" w:hAnsi="Book Antiqua"/>
          <w:color w:val="000000" w:themeColor="text1"/>
          <w:sz w:val="24"/>
        </w:rPr>
        <w:t xml:space="preserve"> refrigerator. We extracted total RNA using </w:t>
      </w:r>
      <w:proofErr w:type="spellStart"/>
      <w:r w:rsidRPr="005F429F">
        <w:rPr>
          <w:rFonts w:ascii="Book Antiqua" w:hAnsi="Book Antiqua"/>
          <w:color w:val="000000" w:themeColor="text1"/>
          <w:sz w:val="24"/>
        </w:rPr>
        <w:t>TRIzol</w:t>
      </w:r>
      <w:proofErr w:type="spellEnd"/>
      <w:r w:rsidRPr="005F429F">
        <w:rPr>
          <w:rFonts w:ascii="Book Antiqua" w:hAnsi="Book Antiqua"/>
          <w:color w:val="000000" w:themeColor="text1"/>
          <w:sz w:val="24"/>
        </w:rPr>
        <w:t xml:space="preserve">, and the total RNA was analyzed by </w:t>
      </w:r>
      <w:proofErr w:type="spellStart"/>
      <w:r w:rsidRPr="005F429F">
        <w:rPr>
          <w:rFonts w:ascii="Book Antiqua" w:hAnsi="Book Antiqua"/>
          <w:color w:val="000000" w:themeColor="text1"/>
          <w:sz w:val="24"/>
        </w:rPr>
        <w:t>NanoDrop</w:t>
      </w:r>
      <w:proofErr w:type="spellEnd"/>
      <w:r w:rsidRPr="005F429F">
        <w:rPr>
          <w:rFonts w:ascii="Book Antiqua" w:hAnsi="Book Antiqua"/>
          <w:color w:val="000000" w:themeColor="text1"/>
          <w:sz w:val="24"/>
        </w:rPr>
        <w:t xml:space="preserve"> 200</w:t>
      </w:r>
      <w:r w:rsidR="00410F21">
        <w:rPr>
          <w:rFonts w:ascii="Book Antiqua" w:hAnsi="Book Antiqua"/>
          <w:color w:val="000000" w:themeColor="text1"/>
          <w:sz w:val="24"/>
        </w:rPr>
        <w:t>0 and Agilent Bioanalyzer 2100.</w:t>
      </w:r>
    </w:p>
    <w:p w14:paraId="6568D6A6" w14:textId="77777777" w:rsidR="00410F21" w:rsidRPr="005F429F" w:rsidRDefault="00410F21" w:rsidP="005F429F">
      <w:pPr>
        <w:adjustRightInd w:val="0"/>
        <w:snapToGrid w:val="0"/>
        <w:spacing w:line="360" w:lineRule="auto"/>
        <w:rPr>
          <w:rFonts w:ascii="Book Antiqua" w:hAnsi="Book Antiqua"/>
          <w:color w:val="000000" w:themeColor="text1"/>
          <w:sz w:val="24"/>
        </w:rPr>
      </w:pPr>
    </w:p>
    <w:p w14:paraId="01FF7BBF" w14:textId="77777777" w:rsidR="000D59A6" w:rsidRPr="005F429F" w:rsidRDefault="00E30FC2" w:rsidP="005F429F">
      <w:pPr>
        <w:adjustRightInd w:val="0"/>
        <w:snapToGrid w:val="0"/>
        <w:spacing w:line="360" w:lineRule="auto"/>
        <w:rPr>
          <w:rFonts w:ascii="Book Antiqua" w:hAnsi="Book Antiqua"/>
          <w:b/>
          <w:bCs/>
          <w:i/>
          <w:iCs/>
          <w:color w:val="000000" w:themeColor="text1"/>
          <w:sz w:val="24"/>
        </w:rPr>
      </w:pPr>
      <w:r w:rsidRPr="005F429F">
        <w:rPr>
          <w:rFonts w:ascii="Book Antiqua" w:hAnsi="Book Antiqua"/>
          <w:b/>
          <w:bCs/>
          <w:i/>
          <w:iCs/>
          <w:color w:val="000000" w:themeColor="text1"/>
          <w:sz w:val="24"/>
        </w:rPr>
        <w:t>miRNA chip expression profile</w:t>
      </w:r>
    </w:p>
    <w:p w14:paraId="413AEEE8"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The Affymetrix </w:t>
      </w:r>
      <w:proofErr w:type="spellStart"/>
      <w:r w:rsidRPr="005F429F">
        <w:rPr>
          <w:rFonts w:ascii="Book Antiqua" w:hAnsi="Book Antiqua"/>
          <w:color w:val="000000" w:themeColor="text1"/>
          <w:sz w:val="24"/>
        </w:rPr>
        <w:t>GeneChip</w:t>
      </w:r>
      <w:proofErr w:type="spellEnd"/>
      <w:r w:rsidRPr="005F429F">
        <w:rPr>
          <w:rFonts w:ascii="Book Antiqua" w:hAnsi="Book Antiqua"/>
          <w:color w:val="000000" w:themeColor="text1"/>
          <w:sz w:val="24"/>
        </w:rPr>
        <w:t>® miRNA</w:t>
      </w:r>
      <w:r w:rsidR="00410F21">
        <w:rPr>
          <w:rFonts w:ascii="Book Antiqua" w:hAnsi="Book Antiqua"/>
          <w:color w:val="000000" w:themeColor="text1"/>
          <w:sz w:val="24"/>
        </w:rPr>
        <w:t xml:space="preserve"> 4.0 system (Affymetrix, CA, United States</w:t>
      </w:r>
      <w:r w:rsidRPr="005F429F">
        <w:rPr>
          <w:rFonts w:ascii="Book Antiqua" w:hAnsi="Book Antiqua"/>
          <w:color w:val="000000" w:themeColor="text1"/>
          <w:sz w:val="24"/>
        </w:rPr>
        <w:t xml:space="preserve">) was used following the manufacturer’s protocol. </w:t>
      </w:r>
      <w:proofErr w:type="spellStart"/>
      <w:r w:rsidRPr="005F429F">
        <w:rPr>
          <w:rFonts w:ascii="Book Antiqua" w:hAnsi="Book Antiqua"/>
          <w:color w:val="000000" w:themeColor="text1"/>
          <w:sz w:val="24"/>
        </w:rPr>
        <w:t>FlashTagTM</w:t>
      </w:r>
      <w:proofErr w:type="spellEnd"/>
      <w:r w:rsidRPr="005F429F">
        <w:rPr>
          <w:rFonts w:ascii="Book Antiqua" w:hAnsi="Book Antiqua"/>
          <w:color w:val="000000" w:themeColor="text1"/>
          <w:sz w:val="24"/>
        </w:rPr>
        <w:t xml:space="preserve"> Biotin HSR Labeling Kit was utilized for Poly(A) biotin labeling and hybridization. Next, a </w:t>
      </w:r>
      <w:proofErr w:type="spellStart"/>
      <w:r w:rsidRPr="005F429F">
        <w:rPr>
          <w:rFonts w:ascii="Book Antiqua" w:hAnsi="Book Antiqua"/>
          <w:color w:val="000000" w:themeColor="text1"/>
          <w:sz w:val="24"/>
        </w:rPr>
        <w:t>GeneChip</w:t>
      </w:r>
      <w:proofErr w:type="spellEnd"/>
      <w:r w:rsidRPr="005F429F">
        <w:rPr>
          <w:rFonts w:ascii="Book Antiqua" w:hAnsi="Book Antiqua"/>
          <w:color w:val="000000" w:themeColor="text1"/>
          <w:sz w:val="24"/>
        </w:rPr>
        <w:t xml:space="preserve"> Hybridization Wash and Stain Kit was used to dye the array and pictures, and original </w:t>
      </w:r>
      <w:r w:rsidR="00410F21">
        <w:rPr>
          <w:rFonts w:ascii="Book Antiqua" w:hAnsi="Book Antiqua"/>
          <w:color w:val="000000" w:themeColor="text1"/>
          <w:sz w:val="24"/>
        </w:rPr>
        <w:t>data were obtained by scanning.</w:t>
      </w:r>
    </w:p>
    <w:p w14:paraId="0CEC0DAF" w14:textId="77777777" w:rsidR="00410F21" w:rsidRPr="005F429F" w:rsidRDefault="00410F21" w:rsidP="005F429F">
      <w:pPr>
        <w:adjustRightInd w:val="0"/>
        <w:snapToGrid w:val="0"/>
        <w:spacing w:line="360" w:lineRule="auto"/>
        <w:rPr>
          <w:rFonts w:ascii="Book Antiqua" w:hAnsi="Book Antiqua"/>
          <w:color w:val="000000" w:themeColor="text1"/>
          <w:sz w:val="24"/>
        </w:rPr>
      </w:pPr>
    </w:p>
    <w:p w14:paraId="56D59D0F" w14:textId="77777777" w:rsidR="000D59A6" w:rsidRPr="005F429F" w:rsidRDefault="00410F21" w:rsidP="00DE4C97">
      <w:pPr>
        <w:adjustRightInd w:val="0"/>
        <w:snapToGrid w:val="0"/>
        <w:spacing w:line="360" w:lineRule="auto"/>
        <w:outlineLvl w:val="0"/>
        <w:rPr>
          <w:rFonts w:ascii="Book Antiqua" w:hAnsi="Book Antiqua"/>
          <w:b/>
          <w:bCs/>
          <w:i/>
          <w:iCs/>
          <w:color w:val="000000" w:themeColor="text1"/>
          <w:sz w:val="24"/>
        </w:rPr>
      </w:pPr>
      <w:r>
        <w:rPr>
          <w:rFonts w:ascii="Book Antiqua" w:hAnsi="Book Antiqua"/>
          <w:b/>
          <w:bCs/>
          <w:i/>
          <w:iCs/>
          <w:color w:val="000000" w:themeColor="text1"/>
          <w:sz w:val="24"/>
        </w:rPr>
        <w:t>Bioinformatic analysi</w:t>
      </w:r>
      <w:r w:rsidR="00E30FC2" w:rsidRPr="005F429F">
        <w:rPr>
          <w:rFonts w:ascii="Book Antiqua" w:hAnsi="Book Antiqua"/>
          <w:b/>
          <w:bCs/>
          <w:i/>
          <w:iCs/>
          <w:color w:val="000000" w:themeColor="text1"/>
          <w:sz w:val="24"/>
        </w:rPr>
        <w:t>s</w:t>
      </w:r>
    </w:p>
    <w:p w14:paraId="5BF721EA"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Differentially expressed miRNA were selected at </w:t>
      </w:r>
      <w:proofErr w:type="spellStart"/>
      <w:r w:rsidRPr="005F429F">
        <w:rPr>
          <w:rFonts w:ascii="Book Antiqua" w:hAnsi="Book Antiqua"/>
          <w:color w:val="000000" w:themeColor="text1"/>
          <w:sz w:val="24"/>
        </w:rPr>
        <w:t>logFC</w:t>
      </w:r>
      <w:proofErr w:type="spellEnd"/>
      <w:r w:rsidRPr="005F429F">
        <w:rPr>
          <w:rFonts w:ascii="Book Antiqua" w:hAnsi="Book Antiqua"/>
          <w:color w:val="000000" w:themeColor="text1"/>
          <w:sz w:val="24"/>
        </w:rPr>
        <w:t xml:space="preserve"> &gt; 2. The microRNA target prediction was performed with three databases, </w:t>
      </w:r>
      <w:proofErr w:type="spellStart"/>
      <w:r w:rsidRPr="005F429F">
        <w:rPr>
          <w:rFonts w:ascii="Book Antiqua" w:hAnsi="Book Antiqua"/>
          <w:color w:val="000000" w:themeColor="text1"/>
          <w:sz w:val="24"/>
        </w:rPr>
        <w:t>TargetScan</w:t>
      </w:r>
      <w:proofErr w:type="spellEnd"/>
      <w:r w:rsidRPr="005F429F">
        <w:rPr>
          <w:rFonts w:ascii="Book Antiqua" w:hAnsi="Book Antiqua"/>
          <w:color w:val="000000" w:themeColor="text1"/>
          <w:sz w:val="24"/>
        </w:rPr>
        <w:t xml:space="preserve">, microRNA.ORG, and </w:t>
      </w:r>
      <w:proofErr w:type="spellStart"/>
      <w:r w:rsidRPr="005F429F">
        <w:rPr>
          <w:rFonts w:ascii="Book Antiqua" w:hAnsi="Book Antiqua"/>
          <w:color w:val="000000" w:themeColor="text1"/>
          <w:sz w:val="24"/>
        </w:rPr>
        <w:t>miRDB</w:t>
      </w:r>
      <w:proofErr w:type="spellEnd"/>
      <w:r w:rsidRPr="005F429F">
        <w:rPr>
          <w:rFonts w:ascii="Book Antiqua" w:hAnsi="Book Antiqua"/>
          <w:color w:val="000000" w:themeColor="text1"/>
          <w:sz w:val="24"/>
        </w:rPr>
        <w:t>, and the common target genes were obtained. We conducted pathway analysis, followed by enrichment analysis in accordance with the gene information from KEGG and BIOCARTA pathways and showing t</w:t>
      </w:r>
      <w:r w:rsidR="00410F21">
        <w:rPr>
          <w:rFonts w:ascii="Book Antiqua" w:hAnsi="Book Antiqua"/>
          <w:color w:val="000000" w:themeColor="text1"/>
          <w:sz w:val="24"/>
        </w:rPr>
        <w:t xml:space="preserve">he results in order of </w:t>
      </w:r>
      <w:r w:rsidR="00410F21" w:rsidRPr="00410F21">
        <w:rPr>
          <w:rFonts w:ascii="Book Antiqua" w:hAnsi="Book Antiqua"/>
          <w:i/>
          <w:color w:val="000000" w:themeColor="text1"/>
          <w:sz w:val="24"/>
        </w:rPr>
        <w:t>P</w:t>
      </w:r>
      <w:r w:rsidR="00410F21">
        <w:rPr>
          <w:rFonts w:ascii="Book Antiqua" w:hAnsi="Book Antiqua"/>
          <w:color w:val="000000" w:themeColor="text1"/>
          <w:sz w:val="24"/>
        </w:rPr>
        <w:t>-value.</w:t>
      </w:r>
    </w:p>
    <w:p w14:paraId="32DCE334" w14:textId="77777777" w:rsidR="00410F21" w:rsidRPr="005F429F" w:rsidRDefault="00410F21" w:rsidP="005F429F">
      <w:pPr>
        <w:adjustRightInd w:val="0"/>
        <w:snapToGrid w:val="0"/>
        <w:spacing w:line="360" w:lineRule="auto"/>
        <w:rPr>
          <w:rFonts w:ascii="Book Antiqua" w:hAnsi="Book Antiqua"/>
          <w:color w:val="000000" w:themeColor="text1"/>
          <w:sz w:val="24"/>
        </w:rPr>
      </w:pPr>
    </w:p>
    <w:p w14:paraId="5F050985" w14:textId="77777777" w:rsidR="000D59A6" w:rsidRPr="00410F21" w:rsidRDefault="00410F21" w:rsidP="005F429F">
      <w:pPr>
        <w:adjustRightInd w:val="0"/>
        <w:snapToGrid w:val="0"/>
        <w:spacing w:line="360" w:lineRule="auto"/>
        <w:rPr>
          <w:rFonts w:ascii="Book Antiqua" w:hAnsi="Book Antiqua"/>
          <w:b/>
          <w:color w:val="000000" w:themeColor="text1"/>
          <w:sz w:val="24"/>
        </w:rPr>
      </w:pPr>
      <w:r>
        <w:rPr>
          <w:rFonts w:ascii="Book Antiqua" w:hAnsi="Book Antiqua"/>
          <w:b/>
          <w:bCs/>
          <w:i/>
          <w:iCs/>
          <w:color w:val="000000" w:themeColor="text1"/>
          <w:sz w:val="24"/>
        </w:rPr>
        <w:t>miRNA</w:t>
      </w:r>
      <w:r w:rsidR="00E30FC2" w:rsidRPr="005F429F">
        <w:rPr>
          <w:rFonts w:ascii="Book Antiqua" w:hAnsi="Book Antiqua"/>
          <w:b/>
          <w:bCs/>
          <w:i/>
          <w:iCs/>
          <w:color w:val="000000" w:themeColor="text1"/>
          <w:sz w:val="24"/>
        </w:rPr>
        <w:t xml:space="preserve"> </w:t>
      </w:r>
      <w:r w:rsidR="00E30FC2" w:rsidRPr="00410F21">
        <w:rPr>
          <w:rFonts w:ascii="Book Antiqua" w:hAnsi="Book Antiqua"/>
          <w:b/>
          <w:i/>
          <w:iCs/>
          <w:color w:val="000000" w:themeColor="text1"/>
          <w:sz w:val="24"/>
        </w:rPr>
        <w:t>RT-qPCR verification</w:t>
      </w:r>
    </w:p>
    <w:p w14:paraId="5F4B2608"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Total RNA was extracted from 200 </w:t>
      </w:r>
      <w:proofErr w:type="spellStart"/>
      <w:r w:rsidR="00410F21">
        <w:rPr>
          <w:rFonts w:ascii="Book Antiqua" w:hAnsi="Book Antiqua"/>
          <w:color w:val="000000" w:themeColor="text1"/>
          <w:sz w:val="24"/>
        </w:rPr>
        <w:t>μ</w:t>
      </w:r>
      <w:r w:rsidRPr="005F429F">
        <w:rPr>
          <w:rFonts w:ascii="Book Antiqua" w:hAnsi="Book Antiqua"/>
          <w:color w:val="000000" w:themeColor="text1"/>
          <w:sz w:val="24"/>
        </w:rPr>
        <w:t>L</w:t>
      </w:r>
      <w:proofErr w:type="spellEnd"/>
      <w:r w:rsidRPr="005F429F">
        <w:rPr>
          <w:rFonts w:ascii="Book Antiqua" w:hAnsi="Book Antiqua"/>
          <w:color w:val="000000" w:themeColor="text1"/>
          <w:sz w:val="24"/>
        </w:rPr>
        <w:t xml:space="preserve"> plasma using </w:t>
      </w:r>
      <w:proofErr w:type="spellStart"/>
      <w:r w:rsidRPr="005F429F">
        <w:rPr>
          <w:rFonts w:ascii="Book Antiqua" w:hAnsi="Book Antiqua"/>
          <w:color w:val="000000" w:themeColor="text1"/>
          <w:sz w:val="24"/>
        </w:rPr>
        <w:t>TRIzol</w:t>
      </w:r>
      <w:proofErr w:type="spellEnd"/>
      <w:r w:rsidRPr="005F429F">
        <w:rPr>
          <w:rFonts w:ascii="Book Antiqua" w:hAnsi="Book Antiqua"/>
          <w:color w:val="000000" w:themeColor="text1"/>
          <w:sz w:val="24"/>
        </w:rPr>
        <w:t xml:space="preserve">, and another 3 referential plasma samples were used for comparison. Synthetic short sequences of reference spike-in 1 (ID3EAL Spike-in control for Isolation, </w:t>
      </w:r>
      <w:proofErr w:type="spellStart"/>
      <w:r w:rsidRPr="005F429F">
        <w:rPr>
          <w:rFonts w:ascii="Book Antiqua" w:hAnsi="Book Antiqua"/>
          <w:color w:val="000000" w:themeColor="text1"/>
          <w:sz w:val="24"/>
        </w:rPr>
        <w:t>MiRXES</w:t>
      </w:r>
      <w:proofErr w:type="spellEnd"/>
      <w:r w:rsidRPr="005F429F">
        <w:rPr>
          <w:rFonts w:ascii="Book Antiqua" w:hAnsi="Book Antiqua"/>
          <w:color w:val="000000" w:themeColor="text1"/>
          <w:sz w:val="24"/>
        </w:rPr>
        <w:t xml:space="preserve">, Singapore) RNA were put into lysis buffer. This process was </w:t>
      </w:r>
      <w:r w:rsidRPr="005F429F">
        <w:rPr>
          <w:rFonts w:ascii="Book Antiqua" w:hAnsi="Book Antiqua"/>
          <w:color w:val="000000" w:themeColor="text1"/>
          <w:sz w:val="24"/>
        </w:rPr>
        <w:lastRenderedPageBreak/>
        <w:t xml:space="preserve">considered quality control for the whole experiment, including extracting RNA, reverse transcription, pre-amplification, and the real-time fluorescent PCR. A target miRNAs sequence was obtained from </w:t>
      </w:r>
      <w:proofErr w:type="spellStart"/>
      <w:r w:rsidRPr="005F429F">
        <w:rPr>
          <w:rFonts w:ascii="Book Antiqua" w:hAnsi="Book Antiqua"/>
          <w:color w:val="000000" w:themeColor="text1"/>
          <w:sz w:val="24"/>
        </w:rPr>
        <w:t>miRBase</w:t>
      </w:r>
      <w:proofErr w:type="spellEnd"/>
      <w:r w:rsidRPr="005F429F">
        <w:rPr>
          <w:rFonts w:ascii="Book Antiqua" w:hAnsi="Book Antiqua"/>
          <w:color w:val="000000" w:themeColor="text1"/>
          <w:sz w:val="24"/>
        </w:rPr>
        <w:t xml:space="preserve"> 21 to design SYBR Green reverse transcription primers, while reverse transcription and miRNA pre-amplification were performed as described above. SYBR Green real-time fluorescent PCR provided the relative transcription and two technical duplications of </w:t>
      </w:r>
      <w:r w:rsidR="00410F21">
        <w:rPr>
          <w:rFonts w:ascii="Book Antiqua" w:hAnsi="Book Antiqua"/>
          <w:color w:val="000000" w:themeColor="text1"/>
          <w:sz w:val="24"/>
        </w:rPr>
        <w:t>every miRNAs in every specimen.</w:t>
      </w:r>
    </w:p>
    <w:p w14:paraId="60FEDE44" w14:textId="77777777" w:rsidR="00410F21" w:rsidRPr="005F429F" w:rsidRDefault="00410F21" w:rsidP="005F429F">
      <w:pPr>
        <w:adjustRightInd w:val="0"/>
        <w:snapToGrid w:val="0"/>
        <w:spacing w:line="360" w:lineRule="auto"/>
        <w:rPr>
          <w:rFonts w:ascii="Book Antiqua" w:hAnsi="Book Antiqua"/>
          <w:color w:val="000000" w:themeColor="text1"/>
          <w:sz w:val="24"/>
        </w:rPr>
      </w:pPr>
    </w:p>
    <w:p w14:paraId="2CA1BCFB" w14:textId="77777777" w:rsidR="000D59A6" w:rsidRPr="005F429F" w:rsidRDefault="00E30FC2" w:rsidP="00DE4C97">
      <w:pPr>
        <w:adjustRightInd w:val="0"/>
        <w:snapToGrid w:val="0"/>
        <w:spacing w:line="360" w:lineRule="auto"/>
        <w:outlineLvl w:val="0"/>
        <w:rPr>
          <w:rFonts w:ascii="Book Antiqua" w:hAnsi="Book Antiqua"/>
          <w:color w:val="000000" w:themeColor="text1"/>
          <w:sz w:val="24"/>
        </w:rPr>
      </w:pPr>
      <w:r w:rsidRPr="005F429F">
        <w:rPr>
          <w:rFonts w:ascii="Book Antiqua" w:hAnsi="Book Antiqua"/>
          <w:b/>
          <w:bCs/>
          <w:i/>
          <w:iCs/>
          <w:color w:val="000000" w:themeColor="text1"/>
          <w:sz w:val="24"/>
        </w:rPr>
        <w:t>Statistical analysis</w:t>
      </w:r>
    </w:p>
    <w:p w14:paraId="53DBC0B3"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The Ct attenuation value of each type of miRNA in each of the samples was corrected by the internal reference spike-in 1 and three housekeeping genes, miR-454-3p, miR-423-3p, and miR-191-5p, which are stably expressed in humans. The normalized Ct values of the miRNAs are expressed as the mean ± standard deviation. The Wilcoxon rank sum test was used for comparison between the two groups. Receiver-operating characteristics (ROC) curves were used to evaluate the diagnostic value of miRNAs, and logistic regression was used to calculate the weighting coefficients of miRNAs. </w:t>
      </w:r>
      <w:r w:rsidRPr="00410F21">
        <w:rPr>
          <w:rFonts w:ascii="Book Antiqua" w:hAnsi="Book Antiqua"/>
          <w:i/>
          <w:color w:val="000000" w:themeColor="text1"/>
          <w:sz w:val="24"/>
        </w:rPr>
        <w:t>P</w:t>
      </w:r>
      <w:r w:rsidRPr="005F429F">
        <w:rPr>
          <w:rFonts w:ascii="Book Antiqua" w:hAnsi="Book Antiqua"/>
          <w:color w:val="000000" w:themeColor="text1"/>
          <w:sz w:val="24"/>
        </w:rPr>
        <w:t xml:space="preserve"> &lt; 0.05 was considered to be statistically significant. The software uses SPSS 20.0.</w:t>
      </w:r>
    </w:p>
    <w:p w14:paraId="307C72DD" w14:textId="77777777" w:rsidR="00410F21" w:rsidRPr="005F429F" w:rsidRDefault="00410F21" w:rsidP="005F429F">
      <w:pPr>
        <w:adjustRightInd w:val="0"/>
        <w:snapToGrid w:val="0"/>
        <w:spacing w:line="360" w:lineRule="auto"/>
        <w:rPr>
          <w:rFonts w:ascii="Book Antiqua" w:hAnsi="Book Antiqua"/>
          <w:color w:val="000000" w:themeColor="text1"/>
          <w:sz w:val="24"/>
        </w:rPr>
      </w:pPr>
    </w:p>
    <w:p w14:paraId="314F47FA" w14:textId="77777777" w:rsidR="000D59A6" w:rsidRPr="005F429F" w:rsidRDefault="00E30FC2" w:rsidP="00DE4C97">
      <w:pPr>
        <w:adjustRightInd w:val="0"/>
        <w:snapToGrid w:val="0"/>
        <w:spacing w:line="360" w:lineRule="auto"/>
        <w:outlineLvl w:val="0"/>
        <w:rPr>
          <w:rFonts w:ascii="Book Antiqua" w:hAnsi="Book Antiqua"/>
          <w:b/>
          <w:bCs/>
          <w:color w:val="000000" w:themeColor="text1"/>
          <w:sz w:val="24"/>
        </w:rPr>
      </w:pPr>
      <w:r w:rsidRPr="005F429F">
        <w:rPr>
          <w:rFonts w:ascii="Book Antiqua" w:hAnsi="Book Antiqua"/>
          <w:b/>
          <w:bCs/>
          <w:color w:val="000000" w:themeColor="text1"/>
          <w:sz w:val="24"/>
        </w:rPr>
        <w:t>RESULTS</w:t>
      </w:r>
    </w:p>
    <w:p w14:paraId="4989046E" w14:textId="77777777" w:rsidR="000D59A6" w:rsidRPr="005F429F" w:rsidRDefault="00E30FC2" w:rsidP="00DE4C97">
      <w:pPr>
        <w:adjustRightInd w:val="0"/>
        <w:snapToGrid w:val="0"/>
        <w:spacing w:line="360" w:lineRule="auto"/>
        <w:outlineLvl w:val="0"/>
        <w:rPr>
          <w:rFonts w:ascii="Book Antiqua" w:hAnsi="Book Antiqua"/>
          <w:b/>
          <w:bCs/>
          <w:i/>
          <w:iCs/>
          <w:color w:val="000000" w:themeColor="text1"/>
          <w:sz w:val="24"/>
        </w:rPr>
      </w:pPr>
      <w:r w:rsidRPr="005F429F">
        <w:rPr>
          <w:rFonts w:ascii="Book Antiqua" w:hAnsi="Book Antiqua"/>
          <w:b/>
          <w:bCs/>
          <w:i/>
          <w:iCs/>
          <w:color w:val="000000" w:themeColor="text1"/>
          <w:sz w:val="24"/>
        </w:rPr>
        <w:t>Clinical characteristics of the patients</w:t>
      </w:r>
    </w:p>
    <w:p w14:paraId="287BDC29" w14:textId="77777777" w:rsidR="00410F21"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Experiments were conducted with the miRNA chip expression profiles of the plasma of 30 patients with EGC, AGC, and BG. The validation set was based on the plasma RT-qPCR test results of 20 EGC patients, 22 AGC patients, 40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 xml:space="preserve">-negative gastritis (Control-1) patients, and 40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-positive atrophic gastritis (Control-2) patients (Table 1).</w:t>
      </w:r>
    </w:p>
    <w:p w14:paraId="32B9CF76" w14:textId="77777777" w:rsidR="000D59A6" w:rsidRPr="005F429F"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w:t>
      </w:r>
    </w:p>
    <w:p w14:paraId="1D58AF0C" w14:textId="77777777" w:rsidR="000D59A6" w:rsidRPr="005F429F" w:rsidRDefault="00E30FC2" w:rsidP="00DE4C97">
      <w:pPr>
        <w:adjustRightInd w:val="0"/>
        <w:snapToGrid w:val="0"/>
        <w:spacing w:line="360" w:lineRule="auto"/>
        <w:outlineLvl w:val="0"/>
        <w:rPr>
          <w:rFonts w:ascii="Book Antiqua" w:hAnsi="Book Antiqua"/>
          <w:b/>
          <w:bCs/>
          <w:i/>
          <w:iCs/>
          <w:color w:val="000000" w:themeColor="text1"/>
          <w:sz w:val="24"/>
        </w:rPr>
      </w:pPr>
      <w:r w:rsidRPr="005F429F">
        <w:rPr>
          <w:rFonts w:ascii="Book Antiqua" w:hAnsi="Book Antiqua"/>
          <w:b/>
          <w:bCs/>
          <w:i/>
          <w:iCs/>
          <w:color w:val="000000" w:themeColor="text1"/>
          <w:sz w:val="24"/>
        </w:rPr>
        <w:t>Bioinformatics analysis of miRNA chip expression profiles</w:t>
      </w:r>
    </w:p>
    <w:p w14:paraId="6E401648" w14:textId="77777777" w:rsidR="000D59A6"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The </w:t>
      </w:r>
      <w:proofErr w:type="spellStart"/>
      <w:r w:rsidRPr="005F429F">
        <w:rPr>
          <w:rFonts w:ascii="Book Antiqua" w:hAnsi="Book Antiqua"/>
          <w:color w:val="000000" w:themeColor="text1"/>
          <w:sz w:val="24"/>
        </w:rPr>
        <w:t>logFC</w:t>
      </w:r>
      <w:proofErr w:type="spellEnd"/>
      <w:r w:rsidRPr="005F429F">
        <w:rPr>
          <w:rFonts w:ascii="Book Antiqua" w:hAnsi="Book Antiqua"/>
          <w:color w:val="000000" w:themeColor="text1"/>
          <w:sz w:val="24"/>
        </w:rPr>
        <w:t xml:space="preserve"> value of the chip expression profiles of the miRNAs from patients with EGC, AGC, and BG had to be larger than 2 (</w:t>
      </w:r>
      <w:proofErr w:type="spellStart"/>
      <w:r w:rsidRPr="005F429F">
        <w:rPr>
          <w:rFonts w:ascii="Book Antiqua" w:hAnsi="Book Antiqua"/>
          <w:color w:val="000000" w:themeColor="text1"/>
          <w:sz w:val="24"/>
        </w:rPr>
        <w:t>logFC</w:t>
      </w:r>
      <w:proofErr w:type="spellEnd"/>
      <w:r w:rsidRPr="005F429F">
        <w:rPr>
          <w:rFonts w:ascii="Book Antiqua" w:hAnsi="Book Antiqua"/>
          <w:color w:val="000000" w:themeColor="text1"/>
          <w:sz w:val="24"/>
        </w:rPr>
        <w:t xml:space="preserve"> &gt; 2). Differential expression was found in 117 miRNAs of the three groups of miRNA chips. The miRNAs with the biggest differential multiple were screened to identify the </w:t>
      </w:r>
      <w:r w:rsidRPr="005F429F">
        <w:rPr>
          <w:rFonts w:ascii="Book Antiqua" w:hAnsi="Book Antiqua"/>
          <w:color w:val="000000" w:themeColor="text1"/>
          <w:sz w:val="24"/>
        </w:rPr>
        <w:lastRenderedPageBreak/>
        <w:t>target gene pred</w:t>
      </w:r>
      <w:r w:rsidR="006C113D">
        <w:rPr>
          <w:rFonts w:ascii="Book Antiqua" w:hAnsi="Book Antiqua"/>
          <w:color w:val="000000" w:themeColor="text1"/>
          <w:sz w:val="24"/>
        </w:rPr>
        <w:t xml:space="preserve">ictions in the three databases: </w:t>
      </w:r>
      <w:proofErr w:type="spellStart"/>
      <w:r w:rsidRPr="005F429F">
        <w:rPr>
          <w:rFonts w:ascii="Book Antiqua" w:hAnsi="Book Antiqua"/>
          <w:color w:val="000000" w:themeColor="text1"/>
          <w:sz w:val="24"/>
        </w:rPr>
        <w:t>TargetScan</w:t>
      </w:r>
      <w:proofErr w:type="spellEnd"/>
      <w:r w:rsidRPr="005F429F">
        <w:rPr>
          <w:rFonts w:ascii="Book Antiqua" w:hAnsi="Book Antiqua"/>
          <w:color w:val="000000" w:themeColor="text1"/>
          <w:sz w:val="24"/>
        </w:rPr>
        <w:t xml:space="preserve">, microRNA.ORG, and </w:t>
      </w:r>
      <w:proofErr w:type="spellStart"/>
      <w:r w:rsidRPr="005F429F">
        <w:rPr>
          <w:rFonts w:ascii="Book Antiqua" w:hAnsi="Book Antiqua"/>
          <w:color w:val="000000" w:themeColor="text1"/>
          <w:sz w:val="24"/>
        </w:rPr>
        <w:t>miRDB</w:t>
      </w:r>
      <w:proofErr w:type="spellEnd"/>
      <w:r w:rsidRPr="005F429F">
        <w:rPr>
          <w:rFonts w:ascii="Book Antiqua" w:hAnsi="Book Antiqua"/>
          <w:color w:val="000000" w:themeColor="text1"/>
          <w:sz w:val="24"/>
        </w:rPr>
        <w:t>. A total of 30 miRNAs passed the target gene predictions. Based on previous findings reported in the literature, 14 po</w:t>
      </w:r>
      <w:r w:rsidR="006C113D">
        <w:rPr>
          <w:rFonts w:ascii="Book Antiqua" w:hAnsi="Book Antiqua"/>
          <w:color w:val="000000" w:themeColor="text1"/>
          <w:sz w:val="24"/>
        </w:rPr>
        <w:t>tential miRNAs were screened.</w:t>
      </w:r>
    </w:p>
    <w:p w14:paraId="2BA3A777" w14:textId="77777777" w:rsidR="006C113D" w:rsidRPr="005F429F" w:rsidRDefault="006C113D" w:rsidP="005F429F">
      <w:pPr>
        <w:adjustRightInd w:val="0"/>
        <w:snapToGrid w:val="0"/>
        <w:spacing w:line="360" w:lineRule="auto"/>
        <w:rPr>
          <w:rFonts w:ascii="Book Antiqua" w:hAnsi="Book Antiqua"/>
          <w:color w:val="000000" w:themeColor="text1"/>
          <w:sz w:val="24"/>
        </w:rPr>
      </w:pPr>
    </w:p>
    <w:p w14:paraId="405C5BDE" w14:textId="77777777" w:rsidR="000D59A6" w:rsidRPr="005F429F" w:rsidRDefault="00E30FC2" w:rsidP="00DE4C97">
      <w:pPr>
        <w:adjustRightInd w:val="0"/>
        <w:snapToGrid w:val="0"/>
        <w:spacing w:line="360" w:lineRule="auto"/>
        <w:outlineLvl w:val="0"/>
        <w:rPr>
          <w:rFonts w:ascii="Book Antiqua" w:hAnsi="Book Antiqua"/>
          <w:b/>
          <w:bCs/>
          <w:i/>
          <w:iCs/>
          <w:color w:val="000000" w:themeColor="text1"/>
          <w:sz w:val="24"/>
        </w:rPr>
      </w:pPr>
      <w:r w:rsidRPr="005F429F">
        <w:rPr>
          <w:rFonts w:ascii="Book Antiqua" w:hAnsi="Book Antiqua"/>
          <w:b/>
          <w:bCs/>
          <w:i/>
          <w:iCs/>
          <w:color w:val="000000" w:themeColor="text1"/>
          <w:sz w:val="24"/>
        </w:rPr>
        <w:t>RT-qPCR verification results of the potential miRNAs</w:t>
      </w:r>
    </w:p>
    <w:p w14:paraId="323D331C" w14:textId="77777777" w:rsidR="000D59A6" w:rsidRPr="005F429F"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RT-qPCR tests were run for identification of 14 potential miRNAs, 3 housekeeping genes (miR-454-3p, miR-423-3p, and miR-191-5p), and a spike-in 1 of the internal references using the plasma of 20 EGC, 22 AGC, 40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 xml:space="preserve">-negative gastritis (Control-1), and 40 </w:t>
      </w:r>
      <w:r w:rsidR="00B93781" w:rsidRPr="00B93781">
        <w:rPr>
          <w:rFonts w:ascii="Book Antiqua" w:hAnsi="Book Antiqua"/>
          <w:i/>
          <w:color w:val="000000" w:themeColor="text1"/>
          <w:sz w:val="24"/>
        </w:rPr>
        <w:t>H. pylori</w:t>
      </w:r>
      <w:r w:rsidRPr="005F429F">
        <w:rPr>
          <w:rFonts w:ascii="Book Antiqua" w:hAnsi="Book Antiqua"/>
          <w:color w:val="000000" w:themeColor="text1"/>
          <w:sz w:val="24"/>
        </w:rPr>
        <w:t>-positive atrophic gastritis (Control-2) patients. Reverse transcription and advanced amplification of 18 miRNAs mentioned above and the relative expression of miRNAs was read by real-time fluorescence PCR. The results indicated that no obvious differences were available between Control-1 and Control-2 in the relative expression of the 14 miRNAs with differential expression. The P-values were larger than 0.05 on the average. Thus, they were c</w:t>
      </w:r>
      <w:r w:rsidR="006C113D">
        <w:rPr>
          <w:rFonts w:ascii="Book Antiqua" w:hAnsi="Book Antiqua"/>
          <w:color w:val="000000" w:themeColor="text1"/>
          <w:sz w:val="24"/>
        </w:rPr>
        <w:t>lassified as the Control group.</w:t>
      </w:r>
    </w:p>
    <w:p w14:paraId="70DE7C61" w14:textId="77777777" w:rsidR="000D59A6" w:rsidRPr="005F429F" w:rsidRDefault="006C113D" w:rsidP="005F429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Four miRNAs distinguished the </w:t>
      </w:r>
      <w:r w:rsidR="00E30FC2">
        <w:rPr>
          <w:rFonts w:ascii="Book Antiqua" w:hAnsi="Book Antiqua"/>
          <w:color w:val="000000" w:themeColor="text1"/>
          <w:sz w:val="24"/>
        </w:rPr>
        <w:t>GC</w:t>
      </w:r>
      <w:r w:rsidR="00E30FC2" w:rsidRPr="005F429F">
        <w:rPr>
          <w:rFonts w:ascii="Book Antiqua" w:hAnsi="Book Antiqua"/>
          <w:color w:val="000000" w:themeColor="text1"/>
          <w:sz w:val="24"/>
        </w:rPr>
        <w:t xml:space="preserve"> group (EGC + AGC) from the Control group, whose </w:t>
      </w:r>
      <w:r w:rsidR="00E30FC2" w:rsidRPr="006C113D">
        <w:rPr>
          <w:rFonts w:ascii="Book Antiqua" w:hAnsi="Book Antiqua"/>
          <w:i/>
          <w:color w:val="000000" w:themeColor="text1"/>
          <w:sz w:val="24"/>
        </w:rPr>
        <w:t>P</w:t>
      </w:r>
      <w:r w:rsidR="00E30FC2" w:rsidRPr="005F429F">
        <w:rPr>
          <w:rFonts w:ascii="Book Antiqua" w:hAnsi="Book Antiqua"/>
          <w:color w:val="000000" w:themeColor="text1"/>
          <w:sz w:val="24"/>
        </w:rPr>
        <w:t>-values, sensitivity, and specificity were as follows, respectively: miR-7641 (</w:t>
      </w:r>
      <w:r w:rsidR="00E30FC2" w:rsidRPr="006C113D">
        <w:rPr>
          <w:rFonts w:ascii="Book Antiqua" w:hAnsi="Book Antiqua"/>
          <w:i/>
          <w:color w:val="000000" w:themeColor="text1"/>
          <w:sz w:val="24"/>
        </w:rPr>
        <w:t>P</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0.006, 76.2%, 60.0%), miR-425-5p (</w:t>
      </w:r>
      <w:r w:rsidR="00E30FC2" w:rsidRPr="006C113D">
        <w:rPr>
          <w:rFonts w:ascii="Book Antiqua" w:hAnsi="Book Antiqua"/>
          <w:i/>
          <w:color w:val="000000" w:themeColor="text1"/>
          <w:sz w:val="24"/>
        </w:rPr>
        <w:t>P</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0.021, 66.7%, 65.0%), miR-1180-3p (</w:t>
      </w:r>
      <w:r w:rsidR="00E30FC2" w:rsidRPr="006C113D">
        <w:rPr>
          <w:rFonts w:ascii="Book Antiqua" w:hAnsi="Book Antiqua"/>
          <w:i/>
          <w:color w:val="000000" w:themeColor="text1"/>
          <w:sz w:val="24"/>
        </w:rPr>
        <w:t>P</w:t>
      </w:r>
      <w:r>
        <w:rPr>
          <w:rFonts w:ascii="Book Antiqua" w:hAnsi="Book Antiqua"/>
          <w:color w:val="000000" w:themeColor="text1"/>
          <w:sz w:val="24"/>
        </w:rPr>
        <w:t xml:space="preserve"> </w:t>
      </w:r>
      <w:r w:rsidR="00E30FC2" w:rsidRPr="005F429F">
        <w:rPr>
          <w:rFonts w:ascii="Book Antiqua" w:hAnsi="Book Antiqua"/>
          <w:color w:val="000000" w:themeColor="text1"/>
          <w:sz w:val="24"/>
        </w:rPr>
        <w:t>= 0.001, 81.0%, 60.0%) and miR-122-5p (</w:t>
      </w:r>
      <w:r w:rsidR="00E30FC2" w:rsidRPr="006C113D">
        <w:rPr>
          <w:rFonts w:ascii="Book Antiqua" w:hAnsi="Book Antiqua"/>
          <w:i/>
          <w:color w:val="000000" w:themeColor="text1"/>
          <w:sz w:val="24"/>
        </w:rPr>
        <w:t>P</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0.026, 71.4%, 60.0%). The equation was </w:t>
      </w:r>
      <w:r w:rsidR="00186FFF">
        <w:rPr>
          <w:rFonts w:ascii="Book Antiqua" w:hAnsi="Book Antiqua"/>
          <w:color w:val="000000" w:themeColor="text1"/>
          <w:sz w:val="24"/>
        </w:rPr>
        <w:t>risk score factor (</w:t>
      </w:r>
      <w:r w:rsidR="00E30FC2" w:rsidRPr="005F429F">
        <w:rPr>
          <w:rFonts w:ascii="Book Antiqua" w:hAnsi="Book Antiqua"/>
          <w:color w:val="000000" w:themeColor="text1"/>
          <w:sz w:val="24"/>
        </w:rPr>
        <w:t>RSF</w:t>
      </w:r>
      <w:r w:rsidR="00186FF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1.569</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miR-7641</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1.312</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miR-425-5p</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1.852</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miR-1180-3p</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1.322</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miR-122-5p (Figure</w:t>
      </w:r>
      <w:r>
        <w:rPr>
          <w:rFonts w:ascii="Book Antiqua" w:hAnsi="Book Antiqua"/>
          <w:color w:val="000000" w:themeColor="text1"/>
          <w:sz w:val="24"/>
        </w:rPr>
        <w:t xml:space="preserve"> 2), and the area under the curve (AUC) was 0.799 [95% confidence interval (</w:t>
      </w:r>
      <w:r w:rsidR="00E30FC2" w:rsidRPr="005F429F">
        <w:rPr>
          <w:rFonts w:ascii="Book Antiqua" w:hAnsi="Book Antiqua"/>
          <w:color w:val="000000" w:themeColor="text1"/>
          <w:sz w:val="24"/>
        </w:rPr>
        <w:t>CI</w:t>
      </w:r>
      <w:r>
        <w:rPr>
          <w:rFonts w:ascii="Book Antiqua" w:hAnsi="Book Antiqua"/>
          <w:color w:val="000000" w:themeColor="text1"/>
          <w:sz w:val="24"/>
        </w:rPr>
        <w:t xml:space="preserve">): 0.691-0.908, </w:t>
      </w:r>
      <w:r w:rsidRPr="006C113D">
        <w:rPr>
          <w:rFonts w:ascii="Book Antiqua" w:hAnsi="Book Antiqua"/>
          <w:i/>
          <w:color w:val="000000" w:themeColor="text1"/>
          <w:sz w:val="24"/>
        </w:rPr>
        <w:t xml:space="preserve">P </w:t>
      </w:r>
      <w:r>
        <w:rPr>
          <w:rFonts w:ascii="Book Antiqua" w:hAnsi="Book Antiqua"/>
          <w:color w:val="000000" w:themeColor="text1"/>
          <w:sz w:val="24"/>
        </w:rPr>
        <w:t>&lt; 0.001]</w:t>
      </w:r>
      <w:r w:rsidR="00E30FC2" w:rsidRPr="005F429F">
        <w:rPr>
          <w:rFonts w:ascii="Book Antiqua" w:hAnsi="Book Antiqua"/>
          <w:color w:val="000000" w:themeColor="text1"/>
          <w:sz w:val="24"/>
        </w:rPr>
        <w:t xml:space="preserve">. Additionally, four miRNAs distinguished EGC from the Control group, whose </w:t>
      </w:r>
      <w:r w:rsidR="00E30FC2" w:rsidRPr="006C113D">
        <w:rPr>
          <w:rFonts w:ascii="Book Antiqua" w:hAnsi="Book Antiqua"/>
          <w:i/>
          <w:color w:val="000000" w:themeColor="text1"/>
          <w:sz w:val="24"/>
        </w:rPr>
        <w:t>P</w:t>
      </w:r>
      <w:r w:rsidR="00E30FC2" w:rsidRPr="005F429F">
        <w:rPr>
          <w:rFonts w:ascii="Book Antiqua" w:hAnsi="Book Antiqua"/>
          <w:color w:val="000000" w:themeColor="text1"/>
          <w:sz w:val="24"/>
        </w:rPr>
        <w:t>-values, sensitivity, and specificity were as follows, respectively: miR-425-5p (</w:t>
      </w:r>
      <w:r w:rsidR="00E30FC2" w:rsidRPr="006C113D">
        <w:rPr>
          <w:rFonts w:ascii="Book Antiqua" w:hAnsi="Book Antiqua"/>
          <w:i/>
          <w:color w:val="000000" w:themeColor="text1"/>
          <w:sz w:val="24"/>
        </w:rPr>
        <w:t>P</w:t>
      </w:r>
      <w:r>
        <w:rPr>
          <w:rFonts w:ascii="Book Antiqua" w:hAnsi="Book Antiqua"/>
          <w:color w:val="000000" w:themeColor="text1"/>
          <w:sz w:val="24"/>
        </w:rPr>
        <w:t xml:space="preserve"> </w:t>
      </w:r>
      <w:r w:rsidR="00E30FC2" w:rsidRPr="005F429F">
        <w:rPr>
          <w:rFonts w:ascii="Book Antiqua" w:hAnsi="Book Antiqua"/>
          <w:color w:val="000000" w:themeColor="text1"/>
          <w:sz w:val="24"/>
        </w:rPr>
        <w:t>=</w:t>
      </w:r>
      <w:r>
        <w:rPr>
          <w:rFonts w:ascii="Book Antiqua" w:hAnsi="Book Antiqua"/>
          <w:color w:val="000000" w:themeColor="text1"/>
          <w:sz w:val="24"/>
        </w:rPr>
        <w:t xml:space="preserve"> </w:t>
      </w:r>
      <w:r w:rsidR="00E30FC2" w:rsidRPr="005F429F">
        <w:rPr>
          <w:rFonts w:ascii="Book Antiqua" w:hAnsi="Book Antiqua"/>
          <w:color w:val="000000" w:themeColor="text1"/>
          <w:sz w:val="24"/>
        </w:rPr>
        <w:t>0.012, 80.0%, 67.5%), miR-24-3p (</w:t>
      </w:r>
      <w:r w:rsidR="00E30FC2" w:rsidRPr="00337B16">
        <w:rPr>
          <w:rFonts w:ascii="Book Antiqua" w:hAnsi="Book Antiqua"/>
          <w:i/>
          <w:color w:val="000000" w:themeColor="text1"/>
          <w:sz w:val="24"/>
        </w:rPr>
        <w:t>P</w:t>
      </w:r>
      <w:r w:rsidR="00337B16">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337B16">
        <w:rPr>
          <w:rFonts w:ascii="Book Antiqua" w:hAnsi="Book Antiqua"/>
          <w:color w:val="000000" w:themeColor="text1"/>
          <w:sz w:val="24"/>
        </w:rPr>
        <w:t xml:space="preserve"> </w:t>
      </w:r>
      <w:r w:rsidR="00E30FC2" w:rsidRPr="005F429F">
        <w:rPr>
          <w:rFonts w:ascii="Book Antiqua" w:hAnsi="Book Antiqua"/>
          <w:color w:val="000000" w:themeColor="text1"/>
          <w:sz w:val="24"/>
        </w:rPr>
        <w:t>0.031, 70.0%, 80.0%), miR-1180-3p (</w:t>
      </w:r>
      <w:r w:rsidR="00E30FC2" w:rsidRPr="00337B16">
        <w:rPr>
          <w:rFonts w:ascii="Book Antiqua" w:hAnsi="Book Antiqua"/>
          <w:i/>
          <w:color w:val="000000" w:themeColor="text1"/>
          <w:sz w:val="24"/>
        </w:rPr>
        <w:t>P</w:t>
      </w:r>
      <w:r w:rsidR="00337B16">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337B16">
        <w:rPr>
          <w:rFonts w:ascii="Book Antiqua" w:hAnsi="Book Antiqua"/>
          <w:color w:val="000000" w:themeColor="text1"/>
          <w:sz w:val="24"/>
        </w:rPr>
        <w:t xml:space="preserve"> </w:t>
      </w:r>
      <w:r w:rsidR="00E30FC2" w:rsidRPr="005F429F">
        <w:rPr>
          <w:rFonts w:ascii="Book Antiqua" w:hAnsi="Book Antiqua"/>
          <w:color w:val="000000" w:themeColor="text1"/>
          <w:sz w:val="24"/>
        </w:rPr>
        <w:t>0.007, 80.0%, 65.0%), miR-122-5p (</w:t>
      </w:r>
      <w:r w:rsidR="00E30FC2" w:rsidRPr="00337B16">
        <w:rPr>
          <w:rFonts w:ascii="Book Antiqua" w:hAnsi="Book Antiqua"/>
          <w:i/>
          <w:color w:val="000000" w:themeColor="text1"/>
          <w:sz w:val="24"/>
        </w:rPr>
        <w:t>P</w:t>
      </w:r>
      <w:r w:rsidR="00337B16" w:rsidRPr="00337B16">
        <w:rPr>
          <w:rFonts w:ascii="Book Antiqua" w:hAnsi="Book Antiqua"/>
          <w:i/>
          <w:color w:val="000000" w:themeColor="text1"/>
          <w:sz w:val="24"/>
        </w:rPr>
        <w:t xml:space="preserve"> </w:t>
      </w:r>
      <w:r w:rsidR="00E30FC2" w:rsidRPr="005F429F">
        <w:rPr>
          <w:rFonts w:ascii="Book Antiqua" w:hAnsi="Book Antiqua"/>
          <w:color w:val="000000" w:themeColor="text1"/>
          <w:sz w:val="24"/>
        </w:rPr>
        <w:t>=</w:t>
      </w:r>
      <w:r w:rsidR="00337B16">
        <w:rPr>
          <w:rFonts w:ascii="Book Antiqua" w:hAnsi="Book Antiqua"/>
          <w:color w:val="000000" w:themeColor="text1"/>
          <w:sz w:val="24"/>
        </w:rPr>
        <w:t xml:space="preserve"> </w:t>
      </w:r>
      <w:r w:rsidR="00E30FC2" w:rsidRPr="005F429F">
        <w:rPr>
          <w:rFonts w:ascii="Book Antiqua" w:hAnsi="Book Antiqua"/>
          <w:color w:val="000000" w:themeColor="text1"/>
          <w:sz w:val="24"/>
        </w:rPr>
        <w:t>0.021, 80.0%, 60.0%). The equation was RSF</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2.117</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miR-425-5p</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2.234</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miR-24-3p</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2.005</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miR-1180-3p</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1.792</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miR-122-5p (Figure 3), and the value of AUC was 0.829 </w:t>
      </w:r>
      <w:r w:rsidR="00451928">
        <w:rPr>
          <w:rFonts w:ascii="Book Antiqua" w:hAnsi="Book Antiqua"/>
          <w:color w:val="000000" w:themeColor="text1"/>
          <w:sz w:val="24"/>
        </w:rPr>
        <w:t>(95%</w:t>
      </w:r>
      <w:r w:rsidR="00E30FC2" w:rsidRPr="005F429F">
        <w:rPr>
          <w:rFonts w:ascii="Book Antiqua" w:hAnsi="Book Antiqua"/>
          <w:color w:val="000000" w:themeColor="text1"/>
          <w:sz w:val="24"/>
        </w:rPr>
        <w:t xml:space="preserve">CI: 0.657-1.000, </w:t>
      </w:r>
      <w:r w:rsidR="00E30FC2" w:rsidRPr="00451928">
        <w:rPr>
          <w:rFonts w:ascii="Book Antiqua" w:hAnsi="Book Antiqua"/>
          <w:i/>
          <w:color w:val="000000" w:themeColor="text1"/>
          <w:sz w:val="24"/>
        </w:rPr>
        <w:t>P</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0.001). In addition, miR-24-3p and miR-4632-5p were used to distinguish EGC and AGC (</w:t>
      </w:r>
      <w:r w:rsidR="00E30FC2" w:rsidRPr="00451928">
        <w:rPr>
          <w:rFonts w:ascii="Book Antiqua" w:hAnsi="Book Antiqua"/>
          <w:i/>
          <w:color w:val="000000" w:themeColor="text1"/>
          <w:sz w:val="24"/>
        </w:rPr>
        <w:t>P</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0.029, 70.0%, 90.0% and </w:t>
      </w:r>
      <w:r w:rsidR="00E30FC2" w:rsidRPr="00451928">
        <w:rPr>
          <w:rFonts w:ascii="Book Antiqua" w:hAnsi="Book Antiqua"/>
          <w:i/>
          <w:color w:val="000000" w:themeColor="text1"/>
          <w:sz w:val="24"/>
        </w:rPr>
        <w:t>P</w:t>
      </w:r>
      <w:r w:rsidR="00451928" w:rsidRPr="00451928">
        <w:rPr>
          <w:rFonts w:ascii="Book Antiqua" w:hAnsi="Book Antiqua"/>
          <w:i/>
          <w:color w:val="000000" w:themeColor="text1"/>
          <w:sz w:val="24"/>
        </w:rPr>
        <w:t xml:space="preserve"> </w:t>
      </w:r>
      <w:r w:rsidR="00E30FC2"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00E30FC2" w:rsidRPr="005F429F">
        <w:rPr>
          <w:rFonts w:ascii="Book Antiqua" w:hAnsi="Book Antiqua"/>
          <w:color w:val="000000" w:themeColor="text1"/>
          <w:sz w:val="24"/>
        </w:rPr>
        <w:t>0.024, 81.8%, 70.0%</w:t>
      </w:r>
      <w:r w:rsidR="00451928">
        <w:rPr>
          <w:rFonts w:ascii="Book Antiqua" w:hAnsi="Book Antiqua"/>
          <w:color w:val="000000" w:themeColor="text1"/>
          <w:sz w:val="24"/>
        </w:rPr>
        <w:t>)</w:t>
      </w:r>
      <w:r w:rsidR="00E30FC2" w:rsidRPr="005F429F">
        <w:rPr>
          <w:rFonts w:ascii="Book Antiqua" w:hAnsi="Book Antiqua"/>
          <w:color w:val="000000" w:themeColor="text1"/>
          <w:sz w:val="24"/>
        </w:rPr>
        <w:t xml:space="preserve"> (Figure 4).</w:t>
      </w:r>
    </w:p>
    <w:p w14:paraId="225692D2" w14:textId="77777777" w:rsidR="000D59A6" w:rsidRDefault="00E30FC2" w:rsidP="008C54AA">
      <w:pPr>
        <w:adjustRightInd w:val="0"/>
        <w:snapToGrid w:val="0"/>
        <w:spacing w:line="360" w:lineRule="auto"/>
        <w:ind w:firstLine="240"/>
        <w:rPr>
          <w:rFonts w:ascii="Book Antiqua" w:hAnsi="Book Antiqua"/>
          <w:color w:val="000000" w:themeColor="text1"/>
          <w:sz w:val="24"/>
        </w:rPr>
      </w:pPr>
      <w:r w:rsidRPr="005F429F">
        <w:rPr>
          <w:rFonts w:ascii="Book Antiqua" w:hAnsi="Book Antiqua"/>
          <w:color w:val="000000" w:themeColor="text1"/>
          <w:sz w:val="24"/>
        </w:rPr>
        <w:t>The relative expressions of miR-7641, miR-425-5p, miR-1180-3p and miR-</w:t>
      </w:r>
      <w:r w:rsidRPr="005F429F">
        <w:rPr>
          <w:rFonts w:ascii="Book Antiqua" w:hAnsi="Book Antiqua"/>
          <w:color w:val="000000" w:themeColor="text1"/>
          <w:sz w:val="24"/>
        </w:rPr>
        <w:lastRenderedPageBreak/>
        <w:t xml:space="preserve">122-5p in the </w:t>
      </w:r>
      <w:r>
        <w:rPr>
          <w:rFonts w:ascii="Book Antiqua" w:hAnsi="Book Antiqua"/>
          <w:color w:val="000000" w:themeColor="text1"/>
          <w:sz w:val="24"/>
        </w:rPr>
        <w:t>GC</w:t>
      </w:r>
      <w:r w:rsidRPr="005F429F">
        <w:rPr>
          <w:rFonts w:ascii="Book Antiqua" w:hAnsi="Book Antiqua"/>
          <w:color w:val="000000" w:themeColor="text1"/>
          <w:sz w:val="24"/>
        </w:rPr>
        <w:t xml:space="preserve"> group (EGC + AGC) were lower than those in the Control (</w:t>
      </w:r>
      <w:r w:rsidRPr="00451928">
        <w:rPr>
          <w:rFonts w:ascii="Book Antiqua" w:hAnsi="Book Antiqua"/>
          <w:i/>
          <w:color w:val="000000" w:themeColor="text1"/>
          <w:sz w:val="24"/>
        </w:rPr>
        <w:t>P</w:t>
      </w:r>
      <w:r w:rsidR="00451928">
        <w:rPr>
          <w:rFonts w:ascii="Book Antiqua" w:hAnsi="Book Antiqua"/>
          <w:color w:val="000000" w:themeColor="text1"/>
          <w:sz w:val="24"/>
        </w:rPr>
        <w:t xml:space="preserve"> </w:t>
      </w:r>
      <w:r w:rsidRPr="005F429F">
        <w:rPr>
          <w:rFonts w:ascii="Book Antiqua" w:hAnsi="Book Antiqua"/>
          <w:color w:val="000000" w:themeColor="text1"/>
          <w:sz w:val="24"/>
        </w:rPr>
        <w:t>&lt;</w:t>
      </w:r>
      <w:r w:rsidR="00451928">
        <w:rPr>
          <w:rFonts w:ascii="Book Antiqua" w:hAnsi="Book Antiqua"/>
          <w:color w:val="000000" w:themeColor="text1"/>
          <w:sz w:val="24"/>
        </w:rPr>
        <w:t xml:space="preserve"> </w:t>
      </w:r>
      <w:r w:rsidRPr="005F429F">
        <w:rPr>
          <w:rFonts w:ascii="Book Antiqua" w:hAnsi="Book Antiqua"/>
          <w:color w:val="000000" w:themeColor="text1"/>
          <w:sz w:val="24"/>
        </w:rPr>
        <w:t xml:space="preserve">0.05), with miR-7641 (AUC </w:t>
      </w:r>
      <w:r w:rsidR="00451928">
        <w:rPr>
          <w:rFonts w:ascii="Book Antiqua" w:hAnsi="Book Antiqua"/>
          <w:color w:val="000000" w:themeColor="text1"/>
          <w:sz w:val="24"/>
        </w:rPr>
        <w:t>= 0.714, 95%CI:</w:t>
      </w:r>
      <w:r w:rsidRPr="005F429F">
        <w:rPr>
          <w:rFonts w:ascii="Book Antiqua" w:hAnsi="Book Antiqua"/>
          <w:color w:val="000000" w:themeColor="text1"/>
          <w:sz w:val="24"/>
        </w:rPr>
        <w:t xml:space="preserve"> 0.563-0.865, </w:t>
      </w:r>
      <w:r w:rsidRPr="00451928">
        <w:rPr>
          <w:rFonts w:ascii="Book Antiqua" w:hAnsi="Book Antiqua"/>
          <w:i/>
          <w:color w:val="000000" w:themeColor="text1"/>
          <w:sz w:val="24"/>
        </w:rPr>
        <w:t>P</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 xml:space="preserve">0.006, sensitivity 76.2%, specificity 60.0%), miR-425-5p (AUC </w:t>
      </w:r>
      <w:r w:rsidR="00451928">
        <w:rPr>
          <w:rFonts w:ascii="Book Antiqua" w:hAnsi="Book Antiqua"/>
          <w:color w:val="000000" w:themeColor="text1"/>
          <w:sz w:val="24"/>
        </w:rPr>
        <w:t>= 0.681, 95%</w:t>
      </w:r>
      <w:r w:rsidRPr="005F429F">
        <w:rPr>
          <w:rFonts w:ascii="Book Antiqua" w:hAnsi="Book Antiqua"/>
          <w:color w:val="000000" w:themeColor="text1"/>
          <w:sz w:val="24"/>
        </w:rPr>
        <w:t>CI</w:t>
      </w:r>
      <w:r w:rsidR="00451928">
        <w:rPr>
          <w:rFonts w:ascii="Book Antiqua" w:hAnsi="Book Antiqua"/>
          <w:color w:val="000000" w:themeColor="text1"/>
          <w:sz w:val="24"/>
        </w:rPr>
        <w:t>:</w:t>
      </w:r>
      <w:r w:rsidRPr="005F429F">
        <w:rPr>
          <w:rFonts w:ascii="Book Antiqua" w:hAnsi="Book Antiqua"/>
          <w:color w:val="000000" w:themeColor="text1"/>
          <w:sz w:val="24"/>
        </w:rPr>
        <w:t xml:space="preserve"> 0.534-0.828, </w:t>
      </w:r>
      <w:r w:rsidRPr="00451928">
        <w:rPr>
          <w:rFonts w:ascii="Book Antiqua" w:hAnsi="Book Antiqua"/>
          <w:i/>
          <w:color w:val="000000" w:themeColor="text1"/>
          <w:sz w:val="24"/>
        </w:rPr>
        <w:t>P</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 xml:space="preserve">0.021, sensitivity 66.7%, specificity 65.0%), miR-1180-3p (AUC </w:t>
      </w:r>
      <w:r w:rsidR="00451928">
        <w:rPr>
          <w:rFonts w:ascii="Book Antiqua" w:hAnsi="Book Antiqua"/>
          <w:color w:val="000000" w:themeColor="text1"/>
          <w:sz w:val="24"/>
        </w:rPr>
        <w:t>= 0.767, 95%</w:t>
      </w:r>
      <w:r w:rsidRPr="005F429F">
        <w:rPr>
          <w:rFonts w:ascii="Book Antiqua" w:hAnsi="Book Antiqua"/>
          <w:color w:val="000000" w:themeColor="text1"/>
          <w:sz w:val="24"/>
        </w:rPr>
        <w:t>CI</w:t>
      </w:r>
      <w:r w:rsidR="00451928">
        <w:rPr>
          <w:rFonts w:ascii="Book Antiqua" w:hAnsi="Book Antiqua"/>
          <w:color w:val="000000" w:themeColor="text1"/>
          <w:sz w:val="24"/>
        </w:rPr>
        <w:t>:</w:t>
      </w:r>
      <w:r w:rsidRPr="005F429F">
        <w:rPr>
          <w:rFonts w:ascii="Book Antiqua" w:hAnsi="Book Antiqua"/>
          <w:color w:val="000000" w:themeColor="text1"/>
          <w:sz w:val="24"/>
        </w:rPr>
        <w:t xml:space="preserve"> 0.635-0.899, </w:t>
      </w:r>
      <w:r w:rsidRPr="00451928">
        <w:rPr>
          <w:rFonts w:ascii="Book Antiqua" w:hAnsi="Book Antiqua"/>
          <w:i/>
          <w:color w:val="000000" w:themeColor="text1"/>
          <w:sz w:val="24"/>
        </w:rPr>
        <w:t>P</w:t>
      </w:r>
      <w:r w:rsidR="00451928" w:rsidRPr="00451928">
        <w:rPr>
          <w:rFonts w:ascii="Book Antiqua" w:hAnsi="Book Antiqua"/>
          <w:i/>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 xml:space="preserve">0.001, sensitivity 81.0%, specificity 60.0%) and miR-122-5p (AUC </w:t>
      </w:r>
      <w:r w:rsidR="00451928">
        <w:rPr>
          <w:rFonts w:ascii="Book Antiqua" w:hAnsi="Book Antiqua"/>
          <w:color w:val="000000" w:themeColor="text1"/>
          <w:sz w:val="24"/>
        </w:rPr>
        <w:t>= 0.675, 95%</w:t>
      </w:r>
      <w:r w:rsidRPr="005F429F">
        <w:rPr>
          <w:rFonts w:ascii="Book Antiqua" w:hAnsi="Book Antiqua"/>
          <w:color w:val="000000" w:themeColor="text1"/>
          <w:sz w:val="24"/>
        </w:rPr>
        <w:t>CI</w:t>
      </w:r>
      <w:r w:rsidR="00451928">
        <w:rPr>
          <w:rFonts w:ascii="Book Antiqua" w:hAnsi="Book Antiqua"/>
          <w:color w:val="000000" w:themeColor="text1"/>
          <w:sz w:val="24"/>
        </w:rPr>
        <w:t>:</w:t>
      </w:r>
      <w:r w:rsidRPr="005F429F">
        <w:rPr>
          <w:rFonts w:ascii="Book Antiqua" w:hAnsi="Book Antiqua"/>
          <w:color w:val="000000" w:themeColor="text1"/>
          <w:sz w:val="24"/>
        </w:rPr>
        <w:t xml:space="preserve"> 0.515-0.835,</w:t>
      </w:r>
      <w:r w:rsidRPr="00451928">
        <w:rPr>
          <w:rFonts w:ascii="Book Antiqua" w:hAnsi="Book Antiqua"/>
          <w:i/>
          <w:color w:val="000000" w:themeColor="text1"/>
          <w:sz w:val="24"/>
        </w:rPr>
        <w:t xml:space="preserve"> P</w:t>
      </w:r>
      <w:r w:rsidR="00451928" w:rsidRPr="00451928">
        <w:rPr>
          <w:rFonts w:ascii="Book Antiqua" w:hAnsi="Book Antiqua"/>
          <w:i/>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 xml:space="preserve">0.026, sensitivity 71.4%, specificity 60.0%), The AUC was significantly increased after combining the four miRNAs (AUC </w:t>
      </w:r>
      <w:r w:rsidR="00451928">
        <w:rPr>
          <w:rFonts w:ascii="Book Antiqua" w:hAnsi="Book Antiqua"/>
          <w:color w:val="000000" w:themeColor="text1"/>
          <w:sz w:val="24"/>
        </w:rPr>
        <w:t>= 0.799, 95%</w:t>
      </w:r>
      <w:r w:rsidRPr="005F429F">
        <w:rPr>
          <w:rFonts w:ascii="Book Antiqua" w:hAnsi="Book Antiqua"/>
          <w:color w:val="000000" w:themeColor="text1"/>
          <w:sz w:val="24"/>
        </w:rPr>
        <w:t>CI</w:t>
      </w:r>
      <w:r w:rsidR="00451928">
        <w:rPr>
          <w:rFonts w:ascii="Book Antiqua" w:hAnsi="Book Antiqua"/>
          <w:color w:val="000000" w:themeColor="text1"/>
          <w:sz w:val="24"/>
        </w:rPr>
        <w:t>:</w:t>
      </w:r>
      <w:r w:rsidRPr="005F429F">
        <w:rPr>
          <w:rFonts w:ascii="Book Antiqua" w:hAnsi="Book Antiqua"/>
          <w:color w:val="000000" w:themeColor="text1"/>
          <w:sz w:val="24"/>
        </w:rPr>
        <w:t xml:space="preserve"> 0.691-0.908, </w:t>
      </w:r>
      <w:r w:rsidRPr="00451928">
        <w:rPr>
          <w:rFonts w:ascii="Book Antiqua" w:hAnsi="Book Antiqua"/>
          <w:i/>
          <w:color w:val="000000" w:themeColor="text1"/>
          <w:sz w:val="24"/>
        </w:rPr>
        <w:t>P</w:t>
      </w:r>
      <w:r w:rsidR="00451928" w:rsidRPr="00451928">
        <w:rPr>
          <w:rFonts w:ascii="Book Antiqua" w:hAnsi="Book Antiqua"/>
          <w:i/>
          <w:color w:val="000000" w:themeColor="text1"/>
          <w:sz w:val="24"/>
        </w:rPr>
        <w:t xml:space="preserve"> </w:t>
      </w:r>
      <w:r w:rsidRPr="005F429F">
        <w:rPr>
          <w:rFonts w:ascii="Book Antiqua" w:hAnsi="Book Antiqua"/>
          <w:color w:val="000000" w:themeColor="text1"/>
          <w:sz w:val="24"/>
        </w:rPr>
        <w:t>&lt;</w:t>
      </w:r>
      <w:r w:rsidR="00451928">
        <w:rPr>
          <w:rFonts w:ascii="Book Antiqua" w:hAnsi="Book Antiqua"/>
          <w:color w:val="000000" w:themeColor="text1"/>
          <w:sz w:val="24"/>
        </w:rPr>
        <w:t xml:space="preserve"> </w:t>
      </w:r>
      <w:r w:rsidRPr="005F429F">
        <w:rPr>
          <w:rFonts w:ascii="Book Antiqua" w:hAnsi="Book Antiqua"/>
          <w:color w:val="000000" w:themeColor="text1"/>
          <w:sz w:val="24"/>
        </w:rPr>
        <w:t>0.001), and the equation was RSF</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1.569</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miR-7641</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1.312</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miR-425-5p</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1.852</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miR-1180-3p</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1.322</w:t>
      </w:r>
      <w:r w:rsidR="00451928">
        <w:rPr>
          <w:rFonts w:ascii="Book Antiqua" w:hAnsi="Book Antiqua"/>
          <w:color w:val="000000" w:themeColor="text1"/>
          <w:sz w:val="24"/>
        </w:rPr>
        <w:t xml:space="preserve"> </w:t>
      </w:r>
      <w:r w:rsidRPr="005F429F">
        <w:rPr>
          <w:rFonts w:ascii="Book Antiqua" w:hAnsi="Book Antiqua"/>
          <w:color w:val="000000" w:themeColor="text1"/>
          <w:sz w:val="24"/>
        </w:rPr>
        <w:t>×</w:t>
      </w:r>
      <w:r w:rsidR="00451928">
        <w:rPr>
          <w:rFonts w:ascii="Book Antiqua" w:hAnsi="Book Antiqua"/>
          <w:color w:val="000000" w:themeColor="text1"/>
          <w:sz w:val="24"/>
        </w:rPr>
        <w:t xml:space="preserve"> </w:t>
      </w:r>
      <w:r w:rsidRPr="005F429F">
        <w:rPr>
          <w:rFonts w:ascii="Book Antiqua" w:hAnsi="Book Antiqua"/>
          <w:color w:val="000000" w:themeColor="text1"/>
          <w:sz w:val="24"/>
        </w:rPr>
        <w:t xml:space="preserve">miR-122-5p. The relative expression levels of miR-425-5p, miR-24-3p, miR-1180-3p and miR-122-5p in the EGC were lower than those in the Control Group, and combining the miRNAs significantly improved the diagnostic value (AUC </w:t>
      </w:r>
      <w:r w:rsidR="008C54AA">
        <w:rPr>
          <w:rFonts w:ascii="Book Antiqua" w:hAnsi="Book Antiqua"/>
          <w:color w:val="000000" w:themeColor="text1"/>
          <w:sz w:val="24"/>
        </w:rPr>
        <w:t>= 0.829, 95%</w:t>
      </w:r>
      <w:r w:rsidRPr="005F429F">
        <w:rPr>
          <w:rFonts w:ascii="Book Antiqua" w:hAnsi="Book Antiqua"/>
          <w:color w:val="000000" w:themeColor="text1"/>
          <w:sz w:val="24"/>
        </w:rPr>
        <w:t>CI</w:t>
      </w:r>
      <w:r w:rsidR="008C54AA">
        <w:rPr>
          <w:rFonts w:ascii="Book Antiqua" w:hAnsi="Book Antiqua"/>
          <w:color w:val="000000" w:themeColor="text1"/>
          <w:sz w:val="24"/>
        </w:rPr>
        <w:t>:</w:t>
      </w:r>
      <w:r w:rsidRPr="005F429F">
        <w:rPr>
          <w:rFonts w:ascii="Book Antiqua" w:hAnsi="Book Antiqua"/>
          <w:color w:val="000000" w:themeColor="text1"/>
          <w:sz w:val="24"/>
        </w:rPr>
        <w:t xml:space="preserve"> 0.657-1.000, </w:t>
      </w:r>
      <w:r w:rsidRPr="008C54AA">
        <w:rPr>
          <w:rFonts w:ascii="Book Antiqua" w:hAnsi="Book Antiqua"/>
          <w:i/>
          <w:color w:val="000000" w:themeColor="text1"/>
          <w:sz w:val="24"/>
        </w:rPr>
        <w:t>P</w:t>
      </w:r>
      <w:r w:rsidR="008C54AA" w:rsidRPr="008C54AA">
        <w:rPr>
          <w:rFonts w:ascii="Book Antiqua" w:hAnsi="Book Antiqua"/>
          <w:i/>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0.001). The equation was RSF</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2.117</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miR-425-5p</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2.234</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miR-24-3p</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2.005</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miR-1180-3p</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1.792</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 xml:space="preserve">miR-122-5p. The expression of miR-24-3p in the EGC group was significantly lower than that in the AGC group (AUC </w:t>
      </w:r>
      <w:r w:rsidR="008C54AA">
        <w:rPr>
          <w:rFonts w:ascii="Book Antiqua" w:hAnsi="Book Antiqua"/>
          <w:color w:val="000000" w:themeColor="text1"/>
          <w:sz w:val="24"/>
        </w:rPr>
        <w:t>= 0.782, 95%</w:t>
      </w:r>
      <w:r w:rsidRPr="005F429F">
        <w:rPr>
          <w:rFonts w:ascii="Book Antiqua" w:hAnsi="Book Antiqua"/>
          <w:color w:val="000000" w:themeColor="text1"/>
          <w:sz w:val="24"/>
        </w:rPr>
        <w:t>CI</w:t>
      </w:r>
      <w:r w:rsidR="008C54AA">
        <w:rPr>
          <w:rFonts w:ascii="Book Antiqua" w:hAnsi="Book Antiqua"/>
          <w:color w:val="000000" w:themeColor="text1"/>
          <w:sz w:val="24"/>
        </w:rPr>
        <w:t>:</w:t>
      </w:r>
      <w:r w:rsidRPr="005F429F">
        <w:rPr>
          <w:rFonts w:ascii="Book Antiqua" w:hAnsi="Book Antiqua"/>
          <w:color w:val="000000" w:themeColor="text1"/>
          <w:sz w:val="24"/>
        </w:rPr>
        <w:t xml:space="preserve"> 0.571-0.993, </w:t>
      </w:r>
      <w:r w:rsidRPr="008C54AA">
        <w:rPr>
          <w:rFonts w:ascii="Book Antiqua" w:hAnsi="Book Antiqua"/>
          <w:i/>
          <w:color w:val="000000" w:themeColor="text1"/>
          <w:sz w:val="24"/>
        </w:rPr>
        <w:t>P</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 xml:space="preserve">0.029). The expression of miR-4632-5p in the EGC group was significantly higher than that in the AGC (AUC </w:t>
      </w:r>
      <w:r w:rsidR="008C54AA">
        <w:rPr>
          <w:rFonts w:ascii="Book Antiqua" w:hAnsi="Book Antiqua"/>
          <w:color w:val="000000" w:themeColor="text1"/>
          <w:sz w:val="24"/>
        </w:rPr>
        <w:t>= 0.791, 95%</w:t>
      </w:r>
      <w:r w:rsidRPr="005F429F">
        <w:rPr>
          <w:rFonts w:ascii="Book Antiqua" w:hAnsi="Book Antiqua"/>
          <w:color w:val="000000" w:themeColor="text1"/>
          <w:sz w:val="24"/>
        </w:rPr>
        <w:t>CI</w:t>
      </w:r>
      <w:r w:rsidR="008C54AA">
        <w:rPr>
          <w:rFonts w:ascii="Book Antiqua" w:hAnsi="Book Antiqua"/>
          <w:color w:val="000000" w:themeColor="text1"/>
          <w:sz w:val="24"/>
        </w:rPr>
        <w:t>:</w:t>
      </w:r>
      <w:r w:rsidRPr="005F429F">
        <w:rPr>
          <w:rFonts w:ascii="Book Antiqua" w:hAnsi="Book Antiqua"/>
          <w:color w:val="000000" w:themeColor="text1"/>
          <w:sz w:val="24"/>
        </w:rPr>
        <w:t xml:space="preserve"> 0.574-1.000, </w:t>
      </w:r>
      <w:r w:rsidRPr="008C54AA">
        <w:rPr>
          <w:rFonts w:ascii="Book Antiqua" w:hAnsi="Book Antiqua"/>
          <w:i/>
          <w:color w:val="000000" w:themeColor="text1"/>
          <w:sz w:val="24"/>
        </w:rPr>
        <w:t>P</w:t>
      </w:r>
      <w:r w:rsidR="008C54AA">
        <w:rPr>
          <w:rFonts w:ascii="Book Antiqua" w:hAnsi="Book Antiqua"/>
          <w:color w:val="000000" w:themeColor="text1"/>
          <w:sz w:val="24"/>
        </w:rPr>
        <w:t xml:space="preserve"> </w:t>
      </w:r>
      <w:r w:rsidRPr="005F429F">
        <w:rPr>
          <w:rFonts w:ascii="Book Antiqua" w:hAnsi="Book Antiqua"/>
          <w:color w:val="000000" w:themeColor="text1"/>
          <w:sz w:val="24"/>
        </w:rPr>
        <w:t>=</w:t>
      </w:r>
      <w:r w:rsidR="008C54AA">
        <w:rPr>
          <w:rFonts w:ascii="Book Antiqua" w:hAnsi="Book Antiqua"/>
          <w:color w:val="000000" w:themeColor="text1"/>
          <w:sz w:val="24"/>
        </w:rPr>
        <w:t xml:space="preserve"> </w:t>
      </w:r>
      <w:r w:rsidRPr="005F429F">
        <w:rPr>
          <w:rFonts w:ascii="Book Antiqua" w:hAnsi="Book Antiqua"/>
          <w:color w:val="000000" w:themeColor="text1"/>
          <w:sz w:val="24"/>
        </w:rPr>
        <w:t>0.024).</w:t>
      </w:r>
    </w:p>
    <w:p w14:paraId="6E4B463F" w14:textId="77777777" w:rsidR="008C54AA" w:rsidRPr="005F429F" w:rsidRDefault="008C54AA" w:rsidP="008C54AA">
      <w:pPr>
        <w:adjustRightInd w:val="0"/>
        <w:snapToGrid w:val="0"/>
        <w:spacing w:line="360" w:lineRule="auto"/>
        <w:ind w:firstLine="240"/>
        <w:rPr>
          <w:rFonts w:ascii="Book Antiqua" w:hAnsi="Book Antiqua"/>
          <w:color w:val="000000" w:themeColor="text1"/>
          <w:sz w:val="24"/>
        </w:rPr>
      </w:pPr>
    </w:p>
    <w:p w14:paraId="58D2D56C" w14:textId="77777777" w:rsidR="000D59A6" w:rsidRPr="005F429F" w:rsidRDefault="00E30FC2" w:rsidP="00DE4C97">
      <w:pPr>
        <w:adjustRightInd w:val="0"/>
        <w:snapToGrid w:val="0"/>
        <w:spacing w:line="360" w:lineRule="auto"/>
        <w:outlineLvl w:val="0"/>
        <w:rPr>
          <w:rFonts w:ascii="Book Antiqua" w:hAnsi="Book Antiqua"/>
          <w:b/>
          <w:bCs/>
          <w:color w:val="000000" w:themeColor="text1"/>
          <w:sz w:val="24"/>
        </w:rPr>
      </w:pPr>
      <w:r w:rsidRPr="005F429F">
        <w:rPr>
          <w:rFonts w:ascii="Book Antiqua" w:hAnsi="Book Antiqua"/>
          <w:b/>
          <w:bCs/>
          <w:color w:val="000000" w:themeColor="text1"/>
          <w:sz w:val="24"/>
        </w:rPr>
        <w:t>DISCUSSION</w:t>
      </w:r>
    </w:p>
    <w:p w14:paraId="2B5277DD" w14:textId="77777777" w:rsidR="000D59A6" w:rsidRPr="005F429F"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According to clinical data for Singapore, just one patient is diagnosed with </w:t>
      </w:r>
      <w:r>
        <w:rPr>
          <w:rFonts w:ascii="Book Antiqua" w:hAnsi="Book Antiqua"/>
          <w:color w:val="000000" w:themeColor="text1"/>
          <w:sz w:val="24"/>
        </w:rPr>
        <w:t>GC</w:t>
      </w:r>
      <w:r w:rsidRPr="005F429F">
        <w:rPr>
          <w:rFonts w:ascii="Book Antiqua" w:hAnsi="Book Antiqua"/>
          <w:color w:val="000000" w:themeColor="text1"/>
          <w:sz w:val="24"/>
        </w:rPr>
        <w:t xml:space="preserve"> out of every 170 patients who are subjected to gastroscopy. Due to its large population and unbalanced development of the medical career, China provides no universal screening programs or early cancer screening activities in medical institutions at the primary level. Liquid biopsy is used to identify related markers from blood and various body fluid samples inst</w:t>
      </w:r>
      <w:r w:rsidR="008C54AA">
        <w:rPr>
          <w:rFonts w:ascii="Book Antiqua" w:hAnsi="Book Antiqua"/>
          <w:color w:val="000000" w:themeColor="text1"/>
          <w:sz w:val="24"/>
        </w:rPr>
        <w:t xml:space="preserve">ead of invasive tests or </w:t>
      </w:r>
      <w:proofErr w:type="gramStart"/>
      <w:r w:rsidR="008C54AA">
        <w:rPr>
          <w:rFonts w:ascii="Book Antiqua" w:hAnsi="Book Antiqua"/>
          <w:color w:val="000000" w:themeColor="text1"/>
          <w:sz w:val="24"/>
        </w:rPr>
        <w:t>biopsy</w:t>
      </w:r>
      <w:r w:rsidRPr="008C54AA">
        <w:rPr>
          <w:rFonts w:ascii="Book Antiqua" w:hAnsi="Book Antiqua"/>
          <w:color w:val="000000" w:themeColor="text1"/>
          <w:sz w:val="24"/>
          <w:vertAlign w:val="superscript"/>
        </w:rPr>
        <w:t>[</w:t>
      </w:r>
      <w:proofErr w:type="gramEnd"/>
      <w:r w:rsidRPr="008C54AA">
        <w:rPr>
          <w:rFonts w:ascii="Book Antiqua" w:hAnsi="Book Antiqua"/>
          <w:color w:val="000000" w:themeColor="text1"/>
          <w:sz w:val="24"/>
          <w:vertAlign w:val="superscript"/>
        </w:rPr>
        <w:t>7]</w:t>
      </w:r>
      <w:r w:rsidRPr="005F429F">
        <w:rPr>
          <w:rFonts w:ascii="Book Antiqua" w:hAnsi="Book Antiqua"/>
          <w:color w:val="000000" w:themeColor="text1"/>
          <w:sz w:val="24"/>
        </w:rPr>
        <w:t xml:space="preserve">. The risk of gastric mucosa lesion can be found through a test of small quantities of a few bodily fluids, such as 2 mL of venous blood. No classical symptoms are evident in most </w:t>
      </w:r>
      <w:r w:rsidR="00DE4C97">
        <w:rPr>
          <w:rFonts w:ascii="Book Antiqua" w:hAnsi="Book Antiqua"/>
          <w:color w:val="000000" w:themeColor="text1"/>
          <w:sz w:val="24"/>
        </w:rPr>
        <w:t>EGC</w:t>
      </w:r>
      <w:r w:rsidRPr="005F429F">
        <w:rPr>
          <w:rFonts w:ascii="Book Antiqua" w:hAnsi="Book Antiqua"/>
          <w:color w:val="000000" w:themeColor="text1"/>
          <w:sz w:val="24"/>
        </w:rPr>
        <w:t xml:space="preserve"> patients. Thus, high-risk patients can be detected through liquid biopsy as early as possible and then subjected to meticulous gastroscopy. Meticulous examinations such as magnifying endoscopy and dye gastroscopy should be used. In addition to comprehensive </w:t>
      </w:r>
      <w:r w:rsidRPr="005F429F">
        <w:rPr>
          <w:rFonts w:ascii="Book Antiqua" w:hAnsi="Book Antiqua"/>
          <w:color w:val="000000" w:themeColor="text1"/>
          <w:sz w:val="24"/>
        </w:rPr>
        <w:lastRenderedPageBreak/>
        <w:t xml:space="preserve">pathological examination, the diagnosis rate of EGC will be improved. Therefore, the use of liquid biopsy in EGC screening is minimally invasive, safe, economical, and convenient. In addition, it is suitable for the screening of a wide range of people, which makes it valuable for the improvement </w:t>
      </w:r>
      <w:r w:rsidR="008C54AA">
        <w:rPr>
          <w:rFonts w:ascii="Book Antiqua" w:hAnsi="Book Antiqua"/>
          <w:color w:val="000000" w:themeColor="text1"/>
          <w:sz w:val="24"/>
        </w:rPr>
        <w:t>of EGC diagnosis and treatment.</w:t>
      </w:r>
    </w:p>
    <w:p w14:paraId="15CD14C8" w14:textId="77777777" w:rsidR="000D59A6" w:rsidRPr="005F429F" w:rsidRDefault="008C54AA" w:rsidP="005F429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In a previous study, Li </w:t>
      </w:r>
      <w:r w:rsidRPr="008C54AA">
        <w:rPr>
          <w:rFonts w:ascii="Book Antiqua" w:hAnsi="Book Antiqua"/>
          <w:i/>
          <w:color w:val="000000" w:themeColor="text1"/>
          <w:sz w:val="24"/>
        </w:rPr>
        <w:t xml:space="preserve">et </w:t>
      </w:r>
      <w:proofErr w:type="gramStart"/>
      <w:r w:rsidRPr="008C54AA">
        <w:rPr>
          <w:rFonts w:ascii="Book Antiqua" w:hAnsi="Book Antiqua"/>
          <w:i/>
          <w:color w:val="000000" w:themeColor="text1"/>
          <w:sz w:val="24"/>
        </w:rPr>
        <w:t>al</w:t>
      </w:r>
      <w:r w:rsidRPr="008C54AA">
        <w:rPr>
          <w:rFonts w:ascii="Book Antiqua" w:hAnsi="Book Antiqua"/>
          <w:color w:val="000000" w:themeColor="text1"/>
          <w:sz w:val="24"/>
          <w:vertAlign w:val="superscript"/>
        </w:rPr>
        <w:t>[</w:t>
      </w:r>
      <w:proofErr w:type="gramEnd"/>
      <w:r w:rsidRPr="008C54AA">
        <w:rPr>
          <w:rFonts w:ascii="Book Antiqua" w:hAnsi="Book Antiqua"/>
          <w:color w:val="000000" w:themeColor="text1"/>
          <w:sz w:val="24"/>
          <w:vertAlign w:val="superscript"/>
        </w:rPr>
        <w:t>8]</w:t>
      </w:r>
      <w:r>
        <w:rPr>
          <w:rFonts w:ascii="Book Antiqua" w:hAnsi="Book Antiqua"/>
          <w:color w:val="000000" w:themeColor="text1"/>
          <w:sz w:val="24"/>
          <w:vertAlign w:val="superscript"/>
        </w:rPr>
        <w:t xml:space="preserve"> </w:t>
      </w:r>
      <w:r w:rsidR="00E30FC2" w:rsidRPr="005F429F">
        <w:rPr>
          <w:rFonts w:ascii="Book Antiqua" w:hAnsi="Book Antiqua"/>
          <w:color w:val="000000" w:themeColor="text1"/>
          <w:sz w:val="24"/>
        </w:rPr>
        <w:t xml:space="preserve">used a miRNA microarray chip analysis with GC patients and discovered the simultaneous presence of upregulated and downregulated miRNA expression profiles. In addition, Tsai </w:t>
      </w:r>
      <w:r w:rsidRPr="008C54AA">
        <w:rPr>
          <w:rFonts w:ascii="Book Antiqua" w:hAnsi="Book Antiqua"/>
          <w:i/>
          <w:color w:val="000000" w:themeColor="text1"/>
          <w:sz w:val="24"/>
        </w:rPr>
        <w:t xml:space="preserve">et </w:t>
      </w:r>
      <w:proofErr w:type="gramStart"/>
      <w:r w:rsidRPr="008C54AA">
        <w:rPr>
          <w:rFonts w:ascii="Book Antiqua" w:hAnsi="Book Antiqua"/>
          <w:i/>
          <w:color w:val="000000" w:themeColor="text1"/>
          <w:sz w:val="24"/>
        </w:rPr>
        <w:t>al</w:t>
      </w:r>
      <w:r w:rsidRPr="008C54AA">
        <w:rPr>
          <w:rFonts w:ascii="Book Antiqua" w:hAnsi="Book Antiqua"/>
          <w:color w:val="000000" w:themeColor="text1"/>
          <w:sz w:val="24"/>
          <w:vertAlign w:val="superscript"/>
        </w:rPr>
        <w:t>[</w:t>
      </w:r>
      <w:proofErr w:type="gramEnd"/>
      <w:r w:rsidRPr="008C54AA">
        <w:rPr>
          <w:rFonts w:ascii="Book Antiqua" w:hAnsi="Book Antiqua"/>
          <w:color w:val="000000" w:themeColor="text1"/>
          <w:sz w:val="24"/>
          <w:vertAlign w:val="superscript"/>
        </w:rPr>
        <w:t>9]</w:t>
      </w:r>
      <w:r>
        <w:rPr>
          <w:rFonts w:ascii="Book Antiqua" w:hAnsi="Book Antiqua"/>
          <w:color w:val="000000" w:themeColor="text1"/>
          <w:sz w:val="24"/>
          <w:vertAlign w:val="superscript"/>
        </w:rPr>
        <w:t xml:space="preserve"> </w:t>
      </w:r>
      <w:r w:rsidR="00E30FC2" w:rsidRPr="005F429F">
        <w:rPr>
          <w:rFonts w:ascii="Book Antiqua" w:hAnsi="Book Antiqua"/>
          <w:color w:val="000000" w:themeColor="text1"/>
          <w:sz w:val="24"/>
        </w:rPr>
        <w:t xml:space="preserve">reported that miR-196a/b was upregulated in both the plasma and tissue of GC patients. Moreover, Fang </w:t>
      </w:r>
      <w:r w:rsidRPr="008C54AA">
        <w:rPr>
          <w:rFonts w:ascii="Book Antiqua" w:hAnsi="Book Antiqua"/>
          <w:i/>
          <w:color w:val="000000" w:themeColor="text1"/>
          <w:sz w:val="24"/>
        </w:rPr>
        <w:t xml:space="preserve">et </w:t>
      </w:r>
      <w:proofErr w:type="gramStart"/>
      <w:r w:rsidRPr="008C54AA">
        <w:rPr>
          <w:rFonts w:ascii="Book Antiqua" w:hAnsi="Book Antiqua"/>
          <w:i/>
          <w:color w:val="000000" w:themeColor="text1"/>
          <w:sz w:val="24"/>
        </w:rPr>
        <w:t>al</w:t>
      </w:r>
      <w:r w:rsidRPr="008C54AA">
        <w:rPr>
          <w:rFonts w:ascii="Book Antiqua" w:hAnsi="Book Antiqua"/>
          <w:color w:val="000000" w:themeColor="text1"/>
          <w:sz w:val="24"/>
          <w:vertAlign w:val="superscript"/>
        </w:rPr>
        <w:t>[</w:t>
      </w:r>
      <w:proofErr w:type="gramEnd"/>
      <w:r w:rsidRPr="008C54AA">
        <w:rPr>
          <w:rFonts w:ascii="Book Antiqua" w:hAnsi="Book Antiqua"/>
          <w:color w:val="000000" w:themeColor="text1"/>
          <w:sz w:val="24"/>
          <w:vertAlign w:val="superscript"/>
        </w:rPr>
        <w:t>10]</w:t>
      </w:r>
      <w:r>
        <w:rPr>
          <w:rFonts w:ascii="Book Antiqua" w:hAnsi="Book Antiqua"/>
          <w:color w:val="000000" w:themeColor="text1"/>
          <w:sz w:val="24"/>
          <w:vertAlign w:val="superscript"/>
        </w:rPr>
        <w:t xml:space="preserve"> </w:t>
      </w:r>
      <w:r w:rsidR="00E30FC2" w:rsidRPr="005F429F">
        <w:rPr>
          <w:rFonts w:ascii="Book Antiqua" w:hAnsi="Book Antiqua"/>
          <w:color w:val="000000" w:themeColor="text1"/>
          <w:sz w:val="24"/>
        </w:rPr>
        <w:t xml:space="preserve">found that some carcinogenesis-related miRNAs (miR-10b, miR-21, miR-223, and miR-338) and tumor suppressor miRNAs (miR-30a-5p, miR-126, and let-7a) can be used as prognosis markers in GC patients. The findings from Zhou </w:t>
      </w:r>
      <w:r w:rsidRPr="008C54AA">
        <w:rPr>
          <w:rFonts w:ascii="Book Antiqua" w:hAnsi="Book Antiqua"/>
          <w:i/>
          <w:color w:val="000000" w:themeColor="text1"/>
          <w:sz w:val="24"/>
        </w:rPr>
        <w:t xml:space="preserve">et </w:t>
      </w:r>
      <w:proofErr w:type="gramStart"/>
      <w:r w:rsidRPr="008C54AA">
        <w:rPr>
          <w:rFonts w:ascii="Book Antiqua" w:hAnsi="Book Antiqua"/>
          <w:i/>
          <w:color w:val="000000" w:themeColor="text1"/>
          <w:sz w:val="24"/>
        </w:rPr>
        <w:t>al</w:t>
      </w:r>
      <w:r w:rsidRPr="008C54AA">
        <w:rPr>
          <w:rFonts w:ascii="Book Antiqua" w:hAnsi="Book Antiqua"/>
          <w:color w:val="000000" w:themeColor="text1"/>
          <w:sz w:val="24"/>
          <w:vertAlign w:val="superscript"/>
        </w:rPr>
        <w:t>[</w:t>
      </w:r>
      <w:proofErr w:type="gramEnd"/>
      <w:r w:rsidRPr="008C54AA">
        <w:rPr>
          <w:rFonts w:ascii="Book Antiqua" w:hAnsi="Book Antiqua"/>
          <w:color w:val="000000" w:themeColor="text1"/>
          <w:sz w:val="24"/>
          <w:vertAlign w:val="superscript"/>
        </w:rPr>
        <w:t>11]</w:t>
      </w:r>
      <w:r>
        <w:rPr>
          <w:rFonts w:ascii="Book Antiqua" w:hAnsi="Book Antiqua"/>
          <w:color w:val="000000" w:themeColor="text1"/>
          <w:sz w:val="24"/>
        </w:rPr>
        <w:t xml:space="preserve"> </w:t>
      </w:r>
      <w:r w:rsidR="00E30FC2" w:rsidRPr="005F429F">
        <w:rPr>
          <w:rFonts w:ascii="Book Antiqua" w:hAnsi="Book Antiqua"/>
          <w:color w:val="000000" w:themeColor="text1"/>
          <w:sz w:val="24"/>
        </w:rPr>
        <w:t>show that the differential expression of plasma miRNAs can be utilized as diagnostic markers of GC. Furthermore, plasma miR-106b, miR-20a, and miR-221 can be employed as new types of noninvasive markers for the early diagnosis of GC, whereas miR-21 can be used as a maker of early (stage I) and advanced (stage IV) GC. Jiang detected high expression of miR-421 in EGC and suggested that it cou</w:t>
      </w:r>
      <w:r>
        <w:rPr>
          <w:rFonts w:ascii="Book Antiqua" w:hAnsi="Book Antiqua"/>
          <w:color w:val="000000" w:themeColor="text1"/>
          <w:sz w:val="24"/>
        </w:rPr>
        <w:t xml:space="preserve">ld serve as a diagnostic </w:t>
      </w:r>
      <w:proofErr w:type="gramStart"/>
      <w:r>
        <w:rPr>
          <w:rFonts w:ascii="Book Antiqua" w:hAnsi="Book Antiqua"/>
          <w:color w:val="000000" w:themeColor="text1"/>
          <w:sz w:val="24"/>
        </w:rPr>
        <w:t>marker</w:t>
      </w:r>
      <w:r w:rsidR="00E30FC2" w:rsidRPr="008C54AA">
        <w:rPr>
          <w:rFonts w:ascii="Book Antiqua" w:hAnsi="Book Antiqua"/>
          <w:color w:val="000000" w:themeColor="text1"/>
          <w:sz w:val="24"/>
          <w:vertAlign w:val="superscript"/>
        </w:rPr>
        <w:t>[</w:t>
      </w:r>
      <w:proofErr w:type="gramEnd"/>
      <w:r w:rsidR="00E30FC2" w:rsidRPr="008C54AA">
        <w:rPr>
          <w:rFonts w:ascii="Book Antiqua" w:hAnsi="Book Antiqua"/>
          <w:color w:val="000000" w:themeColor="text1"/>
          <w:sz w:val="24"/>
          <w:vertAlign w:val="superscript"/>
        </w:rPr>
        <w:t>12]</w:t>
      </w:r>
      <w:r w:rsidR="00E30FC2" w:rsidRPr="005F429F">
        <w:rPr>
          <w:rFonts w:ascii="Book Antiqua" w:hAnsi="Book Antiqua"/>
          <w:color w:val="000000" w:themeColor="text1"/>
          <w:sz w:val="24"/>
        </w:rPr>
        <w:t xml:space="preserve">. Additionally, </w:t>
      </w:r>
      <w:proofErr w:type="spellStart"/>
      <w:r w:rsidR="00E30FC2" w:rsidRPr="005F429F">
        <w:rPr>
          <w:rFonts w:ascii="Book Antiqua" w:hAnsi="Book Antiqua"/>
          <w:color w:val="000000" w:themeColor="text1"/>
          <w:sz w:val="24"/>
        </w:rPr>
        <w:t>Fehmida</w:t>
      </w:r>
      <w:proofErr w:type="spellEnd"/>
      <w:r w:rsidR="00E30FC2" w:rsidRPr="005F429F">
        <w:rPr>
          <w:rFonts w:ascii="Book Antiqua" w:hAnsi="Book Antiqua"/>
          <w:color w:val="000000" w:themeColor="text1"/>
          <w:sz w:val="24"/>
        </w:rPr>
        <w:t xml:space="preserve"> </w:t>
      </w:r>
      <w:r w:rsidRPr="008C54AA">
        <w:rPr>
          <w:rFonts w:ascii="Book Antiqua" w:hAnsi="Book Antiqua"/>
          <w:i/>
          <w:color w:val="000000" w:themeColor="text1"/>
          <w:sz w:val="24"/>
        </w:rPr>
        <w:t xml:space="preserve">et </w:t>
      </w:r>
      <w:proofErr w:type="gramStart"/>
      <w:r w:rsidRPr="008C54AA">
        <w:rPr>
          <w:rFonts w:ascii="Book Antiqua" w:hAnsi="Book Antiqua"/>
          <w:i/>
          <w:color w:val="000000" w:themeColor="text1"/>
          <w:sz w:val="24"/>
        </w:rPr>
        <w:t>al</w:t>
      </w:r>
      <w:r w:rsidRPr="008C54AA">
        <w:rPr>
          <w:rFonts w:ascii="Book Antiqua" w:hAnsi="Book Antiqua"/>
          <w:color w:val="000000" w:themeColor="text1"/>
          <w:sz w:val="24"/>
          <w:vertAlign w:val="superscript"/>
        </w:rPr>
        <w:t>[</w:t>
      </w:r>
      <w:proofErr w:type="gramEnd"/>
      <w:r w:rsidRPr="008C54AA">
        <w:rPr>
          <w:rFonts w:ascii="Book Antiqua" w:hAnsi="Book Antiqua"/>
          <w:color w:val="000000" w:themeColor="text1"/>
          <w:sz w:val="24"/>
          <w:vertAlign w:val="superscript"/>
        </w:rPr>
        <w:t>13]</w:t>
      </w:r>
      <w:r>
        <w:rPr>
          <w:rFonts w:ascii="Book Antiqua" w:hAnsi="Book Antiqua"/>
          <w:color w:val="000000" w:themeColor="text1"/>
          <w:sz w:val="24"/>
          <w:vertAlign w:val="superscript"/>
        </w:rPr>
        <w:t xml:space="preserve"> </w:t>
      </w:r>
      <w:r w:rsidR="00E30FC2" w:rsidRPr="005F429F">
        <w:rPr>
          <w:rFonts w:ascii="Book Antiqua" w:hAnsi="Book Antiqua"/>
          <w:color w:val="000000" w:themeColor="text1"/>
          <w:sz w:val="24"/>
        </w:rPr>
        <w:t>discovered that miR-200c-3p was considerably downregulated in EGC tissue, which can be used for early diagnosis of the disease. Racial differences exist in the expression of GC-related miRNAs. It is noteworthy that Li discovered that the level of miRNA-199a-3p in the plasma of EGC patients changed with the treatment, but its expression level was not related</w:t>
      </w:r>
      <w:r>
        <w:rPr>
          <w:rFonts w:ascii="Book Antiqua" w:hAnsi="Book Antiqua"/>
          <w:color w:val="000000" w:themeColor="text1"/>
          <w:sz w:val="24"/>
        </w:rPr>
        <w:t xml:space="preserve"> to depth of tumor </w:t>
      </w:r>
      <w:proofErr w:type="gramStart"/>
      <w:r>
        <w:rPr>
          <w:rFonts w:ascii="Book Antiqua" w:hAnsi="Book Antiqua"/>
          <w:color w:val="000000" w:themeColor="text1"/>
          <w:sz w:val="24"/>
        </w:rPr>
        <w:t>infiltration</w:t>
      </w:r>
      <w:r w:rsidR="00E30FC2" w:rsidRPr="008C54AA">
        <w:rPr>
          <w:rFonts w:ascii="Book Antiqua" w:hAnsi="Book Antiqua"/>
          <w:color w:val="000000" w:themeColor="text1"/>
          <w:sz w:val="24"/>
          <w:vertAlign w:val="superscript"/>
        </w:rPr>
        <w:t>[</w:t>
      </w:r>
      <w:proofErr w:type="gramEnd"/>
      <w:r w:rsidR="00E30FC2" w:rsidRPr="008C54AA">
        <w:rPr>
          <w:rFonts w:ascii="Book Antiqua" w:hAnsi="Book Antiqua"/>
          <w:color w:val="000000" w:themeColor="text1"/>
          <w:sz w:val="24"/>
          <w:vertAlign w:val="superscript"/>
        </w:rPr>
        <w:t>14]</w:t>
      </w:r>
      <w:r w:rsidR="00E30FC2" w:rsidRPr="005F429F">
        <w:rPr>
          <w:rFonts w:ascii="Book Antiqua" w:hAnsi="Book Antiqua"/>
          <w:color w:val="000000" w:themeColor="text1"/>
          <w:sz w:val="24"/>
        </w:rPr>
        <w:t>. In many studies, the use of combinations of circulating miRNAs can lead to high diagnostic accuracy, which is indicated by an area under the ROC curve larger than 0.8. Although, limited research has been conducted, similar diagnostic accuracy was reported using long noncoding RNAs or pro</w:t>
      </w:r>
      <w:r>
        <w:rPr>
          <w:rFonts w:ascii="Book Antiqua" w:hAnsi="Book Antiqua"/>
          <w:color w:val="000000" w:themeColor="text1"/>
          <w:sz w:val="24"/>
        </w:rPr>
        <w:t xml:space="preserve">teins of extracellular </w:t>
      </w:r>
      <w:proofErr w:type="gramStart"/>
      <w:r>
        <w:rPr>
          <w:rFonts w:ascii="Book Antiqua" w:hAnsi="Book Antiqua"/>
          <w:color w:val="000000" w:themeColor="text1"/>
          <w:sz w:val="24"/>
        </w:rPr>
        <w:t>vesicles</w:t>
      </w:r>
      <w:r w:rsidR="00E30FC2" w:rsidRPr="008C54AA">
        <w:rPr>
          <w:rFonts w:ascii="Book Antiqua" w:hAnsi="Book Antiqua"/>
          <w:color w:val="000000" w:themeColor="text1"/>
          <w:sz w:val="24"/>
          <w:vertAlign w:val="superscript"/>
        </w:rPr>
        <w:t>[</w:t>
      </w:r>
      <w:proofErr w:type="gramEnd"/>
      <w:r w:rsidR="00E30FC2" w:rsidRPr="008C54AA">
        <w:rPr>
          <w:rFonts w:ascii="Book Antiqua" w:hAnsi="Book Antiqua"/>
          <w:color w:val="000000" w:themeColor="text1"/>
          <w:sz w:val="24"/>
          <w:vertAlign w:val="superscript"/>
        </w:rPr>
        <w:t>15]</w:t>
      </w:r>
      <w:r w:rsidR="00E30FC2" w:rsidRPr="005F429F">
        <w:rPr>
          <w:rFonts w:ascii="Book Antiqua" w:hAnsi="Book Antiqua"/>
          <w:color w:val="000000" w:themeColor="text1"/>
          <w:sz w:val="24"/>
        </w:rPr>
        <w:t>.</w:t>
      </w:r>
    </w:p>
    <w:p w14:paraId="77A2F8AC" w14:textId="77777777" w:rsidR="000D59A6" w:rsidRPr="005F429F" w:rsidRDefault="008C54AA" w:rsidP="005F429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At present, a number of studies have been carried out on the use of miRNAs in GC patients related to the occurrence, development, diagnosis, treatment, and prognosis of the disease. Therefore, miRNAs can be used as early diagnostic markers of GC. However, substantial discrepancies exist among the </w:t>
      </w:r>
      <w:r w:rsidR="00E30FC2" w:rsidRPr="005F429F">
        <w:rPr>
          <w:rFonts w:ascii="Book Antiqua" w:hAnsi="Book Antiqua"/>
          <w:color w:val="000000" w:themeColor="text1"/>
          <w:sz w:val="24"/>
        </w:rPr>
        <w:lastRenderedPageBreak/>
        <w:t xml:space="preserve">findings of those studies, and there is no consistent conclusion. Relatively few studies have been conducted on the application of miRNAs in the diagnosis and screening of EGC. In the present investigation, we used “The Early Cancer Screening Program of the Upper Gastrointestinal Tract of Gansu Province” biobank. The differences in the expression profiles of the plasma miRNAs in EGC, AGC, and BG patients were established through miRNA chip analysis, and 14 potential miRNAs were screened through bioinformatics analysis. Since </w:t>
      </w:r>
      <w:r w:rsidR="00B93781" w:rsidRPr="00B93781">
        <w:rPr>
          <w:rFonts w:ascii="Book Antiqua" w:hAnsi="Book Antiqua"/>
          <w:i/>
          <w:color w:val="000000" w:themeColor="text1"/>
          <w:sz w:val="24"/>
        </w:rPr>
        <w:t>H. pylori</w:t>
      </w:r>
      <w:r w:rsidR="00E30FC2" w:rsidRPr="005F429F">
        <w:rPr>
          <w:rFonts w:ascii="Book Antiqua" w:hAnsi="Book Antiqua"/>
          <w:color w:val="000000" w:themeColor="text1"/>
          <w:sz w:val="24"/>
        </w:rPr>
        <w:t xml:space="preserve"> infection is a well-known GC carcinogen, and atrophic gastritis is an exceedingly common precancerous disease, EGC screening should eliminate the negative influence of test sensitivity and specificity to which precancerous diseases such as </w:t>
      </w:r>
      <w:r w:rsidR="00B93781" w:rsidRPr="00B93781">
        <w:rPr>
          <w:rFonts w:ascii="Book Antiqua" w:hAnsi="Book Antiqua"/>
          <w:i/>
          <w:color w:val="000000" w:themeColor="text1"/>
          <w:sz w:val="24"/>
        </w:rPr>
        <w:t>H. pylori</w:t>
      </w:r>
      <w:r w:rsidR="00E30FC2" w:rsidRPr="005F429F">
        <w:rPr>
          <w:rFonts w:ascii="Book Antiqua" w:hAnsi="Book Antiqua"/>
          <w:color w:val="000000" w:themeColor="text1"/>
          <w:sz w:val="24"/>
        </w:rPr>
        <w:t xml:space="preserve"> infection, atrophic gastritis, and precancerous lesion might contribute to. Thus, </w:t>
      </w:r>
      <w:r w:rsidR="00B93781" w:rsidRPr="00B93781">
        <w:rPr>
          <w:rFonts w:ascii="Book Antiqua" w:hAnsi="Book Antiqua"/>
          <w:i/>
          <w:color w:val="000000" w:themeColor="text1"/>
          <w:sz w:val="24"/>
        </w:rPr>
        <w:t>H. pylori</w:t>
      </w:r>
      <w:r w:rsidR="00E30FC2" w:rsidRPr="005F429F">
        <w:rPr>
          <w:rFonts w:ascii="Book Antiqua" w:hAnsi="Book Antiqua"/>
          <w:color w:val="000000" w:themeColor="text1"/>
          <w:sz w:val="24"/>
        </w:rPr>
        <w:t xml:space="preserve">-negative gastritis (Control-1) and </w:t>
      </w:r>
      <w:r w:rsidR="00B93781" w:rsidRPr="00B93781">
        <w:rPr>
          <w:rFonts w:ascii="Book Antiqua" w:hAnsi="Book Antiqua"/>
          <w:i/>
          <w:color w:val="000000" w:themeColor="text1"/>
          <w:sz w:val="24"/>
        </w:rPr>
        <w:t>H. pylori</w:t>
      </w:r>
      <w:r w:rsidR="00E30FC2" w:rsidRPr="005F429F">
        <w:rPr>
          <w:rFonts w:ascii="Book Antiqua" w:hAnsi="Book Antiqua"/>
          <w:color w:val="000000" w:themeColor="text1"/>
          <w:sz w:val="24"/>
        </w:rPr>
        <w:t xml:space="preserve">-positive atrophic gastritis (Control-2) groups should be available in the validation set to replace the </w:t>
      </w:r>
      <w:r w:rsidR="00DE4C97">
        <w:rPr>
          <w:rFonts w:ascii="Book Antiqua" w:hAnsi="Book Antiqua"/>
          <w:color w:val="000000" w:themeColor="text1"/>
          <w:sz w:val="24"/>
        </w:rPr>
        <w:t>BG</w:t>
      </w:r>
      <w:r w:rsidR="00E30FC2" w:rsidRPr="005F429F">
        <w:rPr>
          <w:rFonts w:ascii="Book Antiqua" w:hAnsi="Book Antiqua"/>
          <w:color w:val="000000" w:themeColor="text1"/>
          <w:sz w:val="24"/>
        </w:rPr>
        <w:t xml:space="preserve"> group in the discovery set to eliminate the influence that precancerous diseases such as </w:t>
      </w:r>
      <w:r w:rsidR="00B93781" w:rsidRPr="00B93781">
        <w:rPr>
          <w:rFonts w:ascii="Book Antiqua" w:hAnsi="Book Antiqua"/>
          <w:i/>
          <w:color w:val="000000" w:themeColor="text1"/>
          <w:sz w:val="24"/>
        </w:rPr>
        <w:t>H. pylori</w:t>
      </w:r>
      <w:r w:rsidR="00E30FC2" w:rsidRPr="005F429F">
        <w:rPr>
          <w:rFonts w:ascii="Book Antiqua" w:hAnsi="Book Antiqua"/>
          <w:color w:val="000000" w:themeColor="text1"/>
          <w:sz w:val="24"/>
        </w:rPr>
        <w:t xml:space="preserve"> infection and atrophic gastritis </w:t>
      </w:r>
      <w:r>
        <w:rPr>
          <w:rFonts w:ascii="Book Antiqua" w:hAnsi="Book Antiqua"/>
          <w:color w:val="000000" w:themeColor="text1"/>
          <w:sz w:val="24"/>
        </w:rPr>
        <w:t>might have on miRNA metabolism.</w:t>
      </w:r>
    </w:p>
    <w:p w14:paraId="422ACB48" w14:textId="77777777" w:rsidR="000D59A6" w:rsidRPr="005F429F" w:rsidRDefault="008C54AA" w:rsidP="005F429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Initially, this study found no statistically significant difference among the relative expression levels of 14 potential miRNAs from the groups of </w:t>
      </w:r>
      <w:r w:rsidR="00B93781" w:rsidRPr="00B93781">
        <w:rPr>
          <w:rFonts w:ascii="Book Antiqua" w:hAnsi="Book Antiqua"/>
          <w:i/>
          <w:color w:val="000000" w:themeColor="text1"/>
          <w:sz w:val="24"/>
        </w:rPr>
        <w:t>H. pylori</w:t>
      </w:r>
      <w:r w:rsidR="00E30FC2" w:rsidRPr="005F429F">
        <w:rPr>
          <w:rFonts w:ascii="Book Antiqua" w:hAnsi="Book Antiqua"/>
          <w:color w:val="000000" w:themeColor="text1"/>
          <w:sz w:val="24"/>
        </w:rPr>
        <w:t xml:space="preserve">-negative gastritis and </w:t>
      </w:r>
      <w:r w:rsidR="00B93781" w:rsidRPr="00B93781">
        <w:rPr>
          <w:rFonts w:ascii="Book Antiqua" w:hAnsi="Book Antiqua"/>
          <w:i/>
          <w:color w:val="000000" w:themeColor="text1"/>
          <w:sz w:val="24"/>
        </w:rPr>
        <w:t>H. pylori</w:t>
      </w:r>
      <w:r w:rsidR="00E30FC2" w:rsidRPr="005F429F">
        <w:rPr>
          <w:rFonts w:ascii="Book Antiqua" w:hAnsi="Book Antiqua"/>
          <w:color w:val="000000" w:themeColor="text1"/>
          <w:sz w:val="24"/>
        </w:rPr>
        <w:t xml:space="preserve">-positive atrophic gastritis patients. Hence, these patients were combined and classified as a Control group. The combination of miR-7641, miR-425-5p, miR-1180-3p and miR-122-5p distinguished the Cancer group, which included EGC and AGC, from the Control </w:t>
      </w:r>
      <w:r w:rsidR="005149CE">
        <w:rPr>
          <w:rFonts w:ascii="Book Antiqua" w:hAnsi="Book Antiqua"/>
          <w:color w:val="000000" w:themeColor="text1"/>
          <w:sz w:val="24"/>
        </w:rPr>
        <w:t>group, whose AUC was 0.799 (95%</w:t>
      </w:r>
      <w:r w:rsidR="00E30FC2" w:rsidRPr="005F429F">
        <w:rPr>
          <w:rFonts w:ascii="Book Antiqua" w:hAnsi="Book Antiqua"/>
          <w:color w:val="000000" w:themeColor="text1"/>
          <w:sz w:val="24"/>
        </w:rPr>
        <w:t>CI: 0.691</w:t>
      </w:r>
      <w:r w:rsidR="005149CE">
        <w:rPr>
          <w:rFonts w:ascii="Book Antiqua" w:hAnsi="Book Antiqua"/>
          <w:color w:val="000000" w:themeColor="text1"/>
          <w:sz w:val="24"/>
        </w:rPr>
        <w:t>-</w:t>
      </w:r>
      <w:r w:rsidR="00E30FC2" w:rsidRPr="005F429F">
        <w:rPr>
          <w:rFonts w:ascii="Book Antiqua" w:hAnsi="Book Antiqua"/>
          <w:color w:val="000000" w:themeColor="text1"/>
          <w:sz w:val="24"/>
        </w:rPr>
        <w:t xml:space="preserve">0.908, </w:t>
      </w:r>
      <w:r w:rsidR="00E30FC2" w:rsidRPr="005149CE">
        <w:rPr>
          <w:rFonts w:ascii="Book Antiqua" w:hAnsi="Book Antiqua"/>
          <w:i/>
          <w:color w:val="000000" w:themeColor="text1"/>
          <w:sz w:val="24"/>
        </w:rPr>
        <w:t>P</w:t>
      </w:r>
      <w:r w:rsidR="005149CE" w:rsidRPr="005149CE">
        <w:rPr>
          <w:rFonts w:ascii="Book Antiqua" w:hAnsi="Book Antiqua"/>
          <w:i/>
          <w:color w:val="000000" w:themeColor="text1"/>
          <w:sz w:val="24"/>
        </w:rPr>
        <w:t xml:space="preserve"> </w:t>
      </w:r>
      <w:r w:rsidR="00E30FC2" w:rsidRPr="005F429F">
        <w:rPr>
          <w:rFonts w:ascii="Book Antiqua" w:hAnsi="Book Antiqua"/>
          <w:color w:val="000000" w:themeColor="text1"/>
          <w:sz w:val="24"/>
        </w:rPr>
        <w:t>&lt;</w:t>
      </w:r>
      <w:r w:rsidR="005149CE">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0.001). On the other hand, the combination of miR-425-5p, miR-24-3p, miR-1180-3p and miR-122-5p distinguished the EGC group from the Control group. The AUC </w:t>
      </w:r>
      <w:r w:rsidR="005149CE">
        <w:rPr>
          <w:rFonts w:ascii="Book Antiqua" w:hAnsi="Book Antiqua"/>
          <w:color w:val="000000" w:themeColor="text1"/>
          <w:sz w:val="24"/>
        </w:rPr>
        <w:t>was 0.829 (95%</w:t>
      </w:r>
      <w:r w:rsidR="00E30FC2" w:rsidRPr="005F429F">
        <w:rPr>
          <w:rFonts w:ascii="Book Antiqua" w:hAnsi="Book Antiqua"/>
          <w:color w:val="000000" w:themeColor="text1"/>
          <w:sz w:val="24"/>
        </w:rPr>
        <w:t>CI: 0.657</w:t>
      </w:r>
      <w:r w:rsidR="005149CE">
        <w:rPr>
          <w:rFonts w:ascii="Book Antiqua" w:hAnsi="Book Antiqua"/>
          <w:color w:val="000000" w:themeColor="text1"/>
          <w:sz w:val="24"/>
        </w:rPr>
        <w:t>-</w:t>
      </w:r>
      <w:r w:rsidR="00E30FC2" w:rsidRPr="005F429F">
        <w:rPr>
          <w:rFonts w:ascii="Book Antiqua" w:hAnsi="Book Antiqua"/>
          <w:color w:val="000000" w:themeColor="text1"/>
          <w:sz w:val="24"/>
        </w:rPr>
        <w:t xml:space="preserve">1.000, </w:t>
      </w:r>
      <w:r w:rsidR="00E30FC2" w:rsidRPr="005149CE">
        <w:rPr>
          <w:rFonts w:ascii="Book Antiqua" w:hAnsi="Book Antiqua"/>
          <w:i/>
          <w:color w:val="000000" w:themeColor="text1"/>
          <w:sz w:val="24"/>
        </w:rPr>
        <w:t>P</w:t>
      </w:r>
      <w:r w:rsidR="005149CE" w:rsidRPr="005149CE">
        <w:rPr>
          <w:rFonts w:ascii="Book Antiqua" w:hAnsi="Book Antiqua"/>
          <w:i/>
          <w:color w:val="000000" w:themeColor="text1"/>
          <w:sz w:val="24"/>
        </w:rPr>
        <w:t xml:space="preserve"> </w:t>
      </w:r>
      <w:r w:rsidR="00E30FC2" w:rsidRPr="005F429F">
        <w:rPr>
          <w:rFonts w:ascii="Book Antiqua" w:hAnsi="Book Antiqua"/>
          <w:color w:val="000000" w:themeColor="text1"/>
          <w:sz w:val="24"/>
        </w:rPr>
        <w:t>=</w:t>
      </w:r>
      <w:r w:rsidR="005149CE">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0.001). Additionally, miR-24-3p and miR-4632-5p can be used to distinguish EGC from AGC. Of note, screening strategies can be employed during the statistical analysis of the relative expression and pathological results of RT-qPCR testing of target miRNAs. First, miR-7641, miR-425-5p, miR-1180-3p and miR-122-5p should be used to distinguish EGC and AGC from the Control group. In addition, EGC can be compared to and distinguished from the Control group using miR-425-5p, miR-24-3p, miR-1180-3p and miR-122-5p. </w:t>
      </w:r>
      <w:r w:rsidR="00E30FC2" w:rsidRPr="005F429F">
        <w:rPr>
          <w:rFonts w:ascii="Book Antiqua" w:hAnsi="Book Antiqua"/>
          <w:color w:val="000000" w:themeColor="text1"/>
          <w:sz w:val="24"/>
        </w:rPr>
        <w:lastRenderedPageBreak/>
        <w:t>Finally, miR-425-5p, miR-1180-3p and miR-122-5p are shared potential miRNAs, whereas miR-24-3p and miR-4632-5p can distinguish EGC from AGC. Thus, a joint testing mode that contains miR-425-5p, miR-1180-3p, miR-122-5p, miR-24-3p and miR-4632-5p can be established and use</w:t>
      </w:r>
      <w:r w:rsidR="005149CE">
        <w:rPr>
          <w:rFonts w:ascii="Book Antiqua" w:hAnsi="Book Antiqua"/>
          <w:color w:val="000000" w:themeColor="text1"/>
          <w:sz w:val="24"/>
        </w:rPr>
        <w:t>d for predictive EGC diagnosis.</w:t>
      </w:r>
    </w:p>
    <w:p w14:paraId="7EC5591A" w14:textId="77777777" w:rsidR="000D59A6" w:rsidRPr="005F429F" w:rsidRDefault="005149CE" w:rsidP="005F429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No relevant research is present in the existing literature on the value of miRNA as a biomarker for screening and diagnosis of </w:t>
      </w:r>
      <w:r w:rsidR="00DE4C97">
        <w:rPr>
          <w:rFonts w:ascii="Book Antiqua" w:hAnsi="Book Antiqua"/>
          <w:color w:val="000000" w:themeColor="text1"/>
          <w:sz w:val="24"/>
        </w:rPr>
        <w:t>EGC</w:t>
      </w:r>
      <w:r w:rsidR="00E30FC2" w:rsidRPr="005F429F">
        <w:rPr>
          <w:rFonts w:ascii="Book Antiqua" w:hAnsi="Book Antiqua"/>
          <w:color w:val="000000" w:themeColor="text1"/>
          <w:sz w:val="24"/>
        </w:rPr>
        <w:t xml:space="preserve">. At present, the correlation between hsa-miR-1180-3p and hsa-miR-4632-5p and </w:t>
      </w:r>
      <w:r w:rsidR="00E30FC2">
        <w:rPr>
          <w:rFonts w:ascii="Book Antiqua" w:hAnsi="Book Antiqua"/>
          <w:color w:val="000000" w:themeColor="text1"/>
          <w:sz w:val="24"/>
        </w:rPr>
        <w:t>GC</w:t>
      </w:r>
      <w:r w:rsidR="00E30FC2" w:rsidRPr="005F429F">
        <w:rPr>
          <w:rFonts w:ascii="Book Antiqua" w:hAnsi="Book Antiqua"/>
          <w:color w:val="000000" w:themeColor="text1"/>
          <w:sz w:val="24"/>
        </w:rPr>
        <w:t xml:space="preserve">, especially </w:t>
      </w:r>
      <w:r w:rsidR="00DE4C97">
        <w:rPr>
          <w:rFonts w:ascii="Book Antiqua" w:hAnsi="Book Antiqua"/>
          <w:color w:val="000000" w:themeColor="text1"/>
          <w:sz w:val="24"/>
        </w:rPr>
        <w:t>EGC</w:t>
      </w:r>
      <w:r w:rsidR="00E30FC2" w:rsidRPr="005F429F">
        <w:rPr>
          <w:rFonts w:ascii="Book Antiqua" w:hAnsi="Book Antiqua"/>
          <w:color w:val="000000" w:themeColor="text1"/>
          <w:sz w:val="24"/>
        </w:rPr>
        <w:t xml:space="preserve">, has not been reported. miR-425-5p is upregulated in human </w:t>
      </w:r>
      <w:r w:rsidR="00E30FC2">
        <w:rPr>
          <w:rFonts w:ascii="Book Antiqua" w:hAnsi="Book Antiqua"/>
          <w:color w:val="000000" w:themeColor="text1"/>
          <w:sz w:val="24"/>
        </w:rPr>
        <w:t>GC</w:t>
      </w:r>
      <w:r w:rsidR="00E30FC2" w:rsidRPr="005F429F">
        <w:rPr>
          <w:rFonts w:ascii="Book Antiqua" w:hAnsi="Book Antiqua"/>
          <w:color w:val="000000" w:themeColor="text1"/>
          <w:sz w:val="24"/>
        </w:rPr>
        <w:t xml:space="preserve"> and promotes its invasion and metastasis </w:t>
      </w:r>
      <w:r w:rsidR="00E30FC2" w:rsidRPr="005149CE">
        <w:rPr>
          <w:rFonts w:ascii="Book Antiqua" w:hAnsi="Book Antiqua"/>
          <w:i/>
          <w:color w:val="000000" w:themeColor="text1"/>
          <w:sz w:val="24"/>
        </w:rPr>
        <w:t>in vitro</w:t>
      </w:r>
      <w:r w:rsidR="00E30FC2" w:rsidRPr="005F429F">
        <w:rPr>
          <w:rFonts w:ascii="Book Antiqua" w:hAnsi="Book Antiqua"/>
          <w:color w:val="000000" w:themeColor="text1"/>
          <w:sz w:val="24"/>
        </w:rPr>
        <w:t xml:space="preserve"> and </w:t>
      </w:r>
      <w:r w:rsidR="00E30FC2" w:rsidRPr="005149CE">
        <w:rPr>
          <w:rFonts w:ascii="Book Antiqua" w:hAnsi="Book Antiqua"/>
          <w:i/>
          <w:color w:val="000000" w:themeColor="text1"/>
          <w:sz w:val="24"/>
        </w:rPr>
        <w:t>in vivo</w:t>
      </w:r>
      <w:r w:rsidR="00E30FC2" w:rsidRPr="005F429F">
        <w:rPr>
          <w:rFonts w:ascii="Book Antiqua" w:hAnsi="Book Antiqua"/>
          <w:color w:val="000000" w:themeColor="text1"/>
          <w:sz w:val="24"/>
        </w:rPr>
        <w:t xml:space="preserve">, which may serve as a predictor of poor </w:t>
      </w:r>
      <w:proofErr w:type="gramStart"/>
      <w:r w:rsidR="00E30FC2" w:rsidRPr="005F429F">
        <w:rPr>
          <w:rFonts w:ascii="Book Antiqua" w:hAnsi="Book Antiqua"/>
          <w:color w:val="000000" w:themeColor="text1"/>
          <w:sz w:val="24"/>
        </w:rPr>
        <w:t>prognosis</w:t>
      </w:r>
      <w:r w:rsidR="00E30FC2" w:rsidRPr="005149CE">
        <w:rPr>
          <w:rFonts w:ascii="Book Antiqua" w:hAnsi="Book Antiqua"/>
          <w:color w:val="000000" w:themeColor="text1"/>
          <w:sz w:val="24"/>
          <w:vertAlign w:val="superscript"/>
        </w:rPr>
        <w:t>[</w:t>
      </w:r>
      <w:proofErr w:type="gramEnd"/>
      <w:r w:rsidR="00E30FC2" w:rsidRPr="005149CE">
        <w:rPr>
          <w:rFonts w:ascii="Book Antiqua" w:hAnsi="Book Antiqua"/>
          <w:color w:val="000000" w:themeColor="text1"/>
          <w:sz w:val="24"/>
          <w:vertAlign w:val="superscript"/>
        </w:rPr>
        <w:t>16,17]</w:t>
      </w:r>
      <w:r w:rsidR="00E30FC2" w:rsidRPr="005F429F">
        <w:rPr>
          <w:rFonts w:ascii="Book Antiqua" w:hAnsi="Book Antiqua"/>
          <w:color w:val="000000" w:themeColor="text1"/>
          <w:sz w:val="24"/>
        </w:rPr>
        <w:t>. Earlier studies found that miR-425-5p passed the mechanism of ubiquitinating enzyme (CYLD) as an oncogene and promoted the progression of GC, whereas competitive endogenous RNA (</w:t>
      </w:r>
      <w:proofErr w:type="spellStart"/>
      <w:r w:rsidR="00E30FC2" w:rsidRPr="005F429F">
        <w:rPr>
          <w:rFonts w:ascii="Book Antiqua" w:hAnsi="Book Antiqua"/>
          <w:color w:val="000000" w:themeColor="text1"/>
          <w:sz w:val="24"/>
        </w:rPr>
        <w:t>ceRNA</w:t>
      </w:r>
      <w:proofErr w:type="spellEnd"/>
      <w:r w:rsidR="00E30FC2" w:rsidRPr="005F429F">
        <w:rPr>
          <w:rFonts w:ascii="Book Antiqua" w:hAnsi="Book Antiqua"/>
          <w:color w:val="000000" w:themeColor="text1"/>
          <w:sz w:val="24"/>
        </w:rPr>
        <w:t>) targeting miR-425-5p inhibited the development of GC by p53</w:t>
      </w:r>
      <w:r w:rsidR="00E30FC2" w:rsidRPr="005149CE">
        <w:rPr>
          <w:rFonts w:ascii="Book Antiqua" w:hAnsi="Book Antiqua"/>
          <w:color w:val="000000" w:themeColor="text1"/>
          <w:sz w:val="24"/>
          <w:vertAlign w:val="superscript"/>
        </w:rPr>
        <w:t>[18,19]</w:t>
      </w:r>
      <w:r w:rsidR="00E30FC2" w:rsidRPr="005F429F">
        <w:rPr>
          <w:rFonts w:ascii="Book Antiqua" w:hAnsi="Book Antiqua"/>
          <w:color w:val="000000" w:themeColor="text1"/>
          <w:sz w:val="24"/>
        </w:rPr>
        <w:t xml:space="preserve">. Moreover, Xu </w:t>
      </w:r>
      <w:r w:rsidRPr="005149CE">
        <w:rPr>
          <w:rFonts w:ascii="Book Antiqua" w:hAnsi="Book Antiqua"/>
          <w:i/>
          <w:color w:val="000000" w:themeColor="text1"/>
          <w:sz w:val="24"/>
        </w:rPr>
        <w:t xml:space="preserve">et </w:t>
      </w:r>
      <w:proofErr w:type="gramStart"/>
      <w:r w:rsidRPr="005149CE">
        <w:rPr>
          <w:rFonts w:ascii="Book Antiqua" w:hAnsi="Book Antiqua"/>
          <w:i/>
          <w:color w:val="000000" w:themeColor="text1"/>
          <w:sz w:val="24"/>
        </w:rPr>
        <w:t>al</w:t>
      </w:r>
      <w:r w:rsidRPr="005149CE">
        <w:rPr>
          <w:rFonts w:ascii="Book Antiqua" w:hAnsi="Book Antiqua"/>
          <w:color w:val="000000" w:themeColor="text1"/>
          <w:sz w:val="24"/>
          <w:vertAlign w:val="superscript"/>
        </w:rPr>
        <w:t>[</w:t>
      </w:r>
      <w:proofErr w:type="gramEnd"/>
      <w:r w:rsidRPr="005149CE">
        <w:rPr>
          <w:rFonts w:ascii="Book Antiqua" w:hAnsi="Book Antiqua"/>
          <w:color w:val="000000" w:themeColor="text1"/>
          <w:sz w:val="24"/>
          <w:vertAlign w:val="superscript"/>
        </w:rPr>
        <w:t>20]</w:t>
      </w:r>
      <w:r>
        <w:rPr>
          <w:rFonts w:ascii="Book Antiqua" w:hAnsi="Book Antiqua"/>
          <w:color w:val="000000" w:themeColor="text1"/>
          <w:sz w:val="24"/>
          <w:vertAlign w:val="superscript"/>
        </w:rPr>
        <w:t xml:space="preserve"> </w:t>
      </w:r>
      <w:r w:rsidR="00E30FC2" w:rsidRPr="005F429F">
        <w:rPr>
          <w:rFonts w:ascii="Book Antiqua" w:hAnsi="Book Antiqua"/>
          <w:color w:val="000000" w:themeColor="text1"/>
          <w:sz w:val="24"/>
        </w:rPr>
        <w:t xml:space="preserve">discovered that the expression of miR-122-5p was downregulated in </w:t>
      </w:r>
      <w:r w:rsidR="00E30FC2">
        <w:rPr>
          <w:rFonts w:ascii="Book Antiqua" w:hAnsi="Book Antiqua"/>
          <w:color w:val="000000" w:themeColor="text1"/>
          <w:sz w:val="24"/>
        </w:rPr>
        <w:t>GC</w:t>
      </w:r>
      <w:r w:rsidR="00E30FC2" w:rsidRPr="005F429F">
        <w:rPr>
          <w:rFonts w:ascii="Book Antiqua" w:hAnsi="Book Antiqua"/>
          <w:color w:val="000000" w:themeColor="text1"/>
          <w:sz w:val="24"/>
        </w:rPr>
        <w:t xml:space="preserve"> tissues and cells, whereas the overexpression of miR-122-5p inhibited the migration and invasion of GC cells and the occurrence of lung metastases by downregulating DUSP4. These findings indicate that miR-122-5p inhibits GC cell proliferation and induces apoptosis by targeting </w:t>
      </w:r>
      <w:proofErr w:type="gramStart"/>
      <w:r w:rsidR="00E30FC2" w:rsidRPr="005F429F">
        <w:rPr>
          <w:rFonts w:ascii="Book Antiqua" w:hAnsi="Book Antiqua"/>
          <w:color w:val="000000" w:themeColor="text1"/>
          <w:sz w:val="24"/>
        </w:rPr>
        <w:t>MYC</w:t>
      </w:r>
      <w:r w:rsidR="00E30FC2" w:rsidRPr="005149CE">
        <w:rPr>
          <w:rFonts w:ascii="Book Antiqua" w:hAnsi="Book Antiqua"/>
          <w:color w:val="000000" w:themeColor="text1"/>
          <w:sz w:val="24"/>
          <w:vertAlign w:val="superscript"/>
        </w:rPr>
        <w:t>[</w:t>
      </w:r>
      <w:proofErr w:type="gramEnd"/>
      <w:r w:rsidR="00E30FC2" w:rsidRPr="005149CE">
        <w:rPr>
          <w:rFonts w:ascii="Book Antiqua" w:hAnsi="Book Antiqua"/>
          <w:color w:val="000000" w:themeColor="text1"/>
          <w:sz w:val="24"/>
          <w:vertAlign w:val="superscript"/>
        </w:rPr>
        <w:t>21]</w:t>
      </w:r>
      <w:r w:rsidR="00E30FC2" w:rsidRPr="005F429F">
        <w:rPr>
          <w:rFonts w:ascii="Book Antiqua" w:hAnsi="Book Antiqua"/>
          <w:color w:val="000000" w:themeColor="text1"/>
          <w:sz w:val="24"/>
        </w:rPr>
        <w:t xml:space="preserve">. miR-24-3p targets and negatively regulates Prdx-6, which significantly inhibits the growth, migration, and invasion of </w:t>
      </w:r>
      <w:r w:rsidR="00E30FC2">
        <w:rPr>
          <w:rFonts w:ascii="Book Antiqua" w:hAnsi="Book Antiqua"/>
          <w:color w:val="000000" w:themeColor="text1"/>
          <w:sz w:val="24"/>
        </w:rPr>
        <w:t>GC</w:t>
      </w:r>
      <w:r w:rsidR="00E30FC2" w:rsidRPr="005F429F">
        <w:rPr>
          <w:rFonts w:ascii="Book Antiqua" w:hAnsi="Book Antiqua"/>
          <w:color w:val="000000" w:themeColor="text1"/>
          <w:sz w:val="24"/>
        </w:rPr>
        <w:t xml:space="preserve"> cell lines and promotes apoptosis. Of note, </w:t>
      </w:r>
      <w:r w:rsidR="00B93781" w:rsidRPr="00B93781">
        <w:rPr>
          <w:rFonts w:ascii="Book Antiqua" w:hAnsi="Book Antiqua"/>
          <w:i/>
          <w:color w:val="000000" w:themeColor="text1"/>
          <w:sz w:val="24"/>
        </w:rPr>
        <w:t>H. pylori</w:t>
      </w:r>
      <w:r w:rsidR="00E30FC2" w:rsidRPr="005F429F">
        <w:rPr>
          <w:rFonts w:ascii="Book Antiqua" w:hAnsi="Book Antiqua"/>
          <w:color w:val="000000" w:themeColor="text1"/>
          <w:sz w:val="24"/>
        </w:rPr>
        <w:t xml:space="preserve"> infection may decre</w:t>
      </w:r>
      <w:r>
        <w:rPr>
          <w:rFonts w:ascii="Book Antiqua" w:hAnsi="Book Antiqua"/>
          <w:color w:val="000000" w:themeColor="text1"/>
          <w:sz w:val="24"/>
        </w:rPr>
        <w:t>ase the expression of miR-24-3</w:t>
      </w:r>
      <w:proofErr w:type="gramStart"/>
      <w:r>
        <w:rPr>
          <w:rFonts w:ascii="Book Antiqua" w:hAnsi="Book Antiqua"/>
          <w:color w:val="000000" w:themeColor="text1"/>
          <w:sz w:val="24"/>
        </w:rPr>
        <w:t>p</w:t>
      </w:r>
      <w:r w:rsidR="00E30FC2" w:rsidRPr="005149CE">
        <w:rPr>
          <w:rFonts w:ascii="Book Antiqua" w:hAnsi="Book Antiqua"/>
          <w:color w:val="000000" w:themeColor="text1"/>
          <w:sz w:val="24"/>
          <w:vertAlign w:val="superscript"/>
        </w:rPr>
        <w:t>[</w:t>
      </w:r>
      <w:proofErr w:type="gramEnd"/>
      <w:r w:rsidR="00E30FC2" w:rsidRPr="005149CE">
        <w:rPr>
          <w:rFonts w:ascii="Book Antiqua" w:hAnsi="Book Antiqua"/>
          <w:color w:val="000000" w:themeColor="text1"/>
          <w:sz w:val="24"/>
          <w:vertAlign w:val="superscript"/>
        </w:rPr>
        <w:t>22]</w:t>
      </w:r>
      <w:r w:rsidR="00E30FC2" w:rsidRPr="005F429F">
        <w:rPr>
          <w:rFonts w:ascii="Book Antiqua" w:hAnsi="Book Antiqua"/>
          <w:color w:val="000000" w:themeColor="text1"/>
          <w:sz w:val="24"/>
        </w:rPr>
        <w:t>.</w:t>
      </w:r>
    </w:p>
    <w:p w14:paraId="73F83360" w14:textId="77777777" w:rsidR="000D59A6" w:rsidRPr="005F429F" w:rsidRDefault="005149CE" w:rsidP="005F429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In the present investigation, we found that the abnormal expression levels of plasma miR-425-5p, miR-1180-3p, miR-122-5p, miR-24-3p, and miR-4632-5p can be used as a new combination of specific biomarkers for predictive diagnosis of EGC. In addition, we established a predictive diagnosis mode for EGC circulating plasma miRNAs markers, which can be used as a new specific combination of biomarkers for predictive diagnosis of EGC. In such a way, more EGC patients will be diagnosed after combining the application of this mode with gastroscopy, and the strategies for EGC screening will be considerably improved. It has a working mode, in which liquid biopsy can be used to identify high-risk groups and shrink the screening scope, while using </w:t>
      </w:r>
      <w:r w:rsidR="00E30FC2" w:rsidRPr="005F429F">
        <w:rPr>
          <w:rFonts w:ascii="Book Antiqua" w:hAnsi="Book Antiqua"/>
          <w:color w:val="000000" w:themeColor="text1"/>
          <w:sz w:val="24"/>
        </w:rPr>
        <w:lastRenderedPageBreak/>
        <w:t>gastroscopy can be implemented for diagnosis of EGC patients. Moreover, the screening efficiency should be improved, which requires verification of our findings in a larger sample size of people. This replication will be our objective in the next screening project of “The Early Cancer Screening Program of the Upper Gastrointestinal Tract of Gansu Province”.</w:t>
      </w:r>
    </w:p>
    <w:p w14:paraId="13D7F0AD" w14:textId="77777777" w:rsidR="000D59A6" w:rsidRPr="005F429F" w:rsidRDefault="005149CE" w:rsidP="005F429F">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  </w:t>
      </w:r>
      <w:r w:rsidR="00E30FC2" w:rsidRPr="005F429F">
        <w:rPr>
          <w:rFonts w:ascii="Book Antiqua" w:hAnsi="Book Antiqua"/>
          <w:color w:val="000000" w:themeColor="text1"/>
          <w:sz w:val="24"/>
        </w:rPr>
        <w:t xml:space="preserve">In summary, there are increasing demand on early diagnosis of </w:t>
      </w:r>
      <w:r w:rsidR="00E30FC2">
        <w:rPr>
          <w:rFonts w:ascii="Book Antiqua" w:hAnsi="Book Antiqua"/>
          <w:color w:val="000000" w:themeColor="text1"/>
          <w:sz w:val="24"/>
        </w:rPr>
        <w:t>GC</w:t>
      </w:r>
      <w:r w:rsidR="00E30FC2" w:rsidRPr="005F429F">
        <w:rPr>
          <w:rFonts w:ascii="Book Antiqua" w:hAnsi="Book Antiqua"/>
          <w:color w:val="000000" w:themeColor="text1"/>
          <w:sz w:val="24"/>
        </w:rPr>
        <w:t xml:space="preserve">, especially the </w:t>
      </w:r>
      <w:r w:rsidR="00DE4C97">
        <w:rPr>
          <w:rFonts w:ascii="Book Antiqua" w:hAnsi="Book Antiqua"/>
          <w:color w:val="000000" w:themeColor="text1"/>
          <w:sz w:val="24"/>
        </w:rPr>
        <w:t>EGC</w:t>
      </w:r>
      <w:r w:rsidR="00E30FC2" w:rsidRPr="005F429F">
        <w:rPr>
          <w:rFonts w:ascii="Book Antiqua" w:hAnsi="Book Antiqua"/>
          <w:color w:val="000000" w:themeColor="text1"/>
          <w:sz w:val="24"/>
        </w:rPr>
        <w:t xml:space="preserve"> for the more higher survival rate than </w:t>
      </w:r>
      <w:r w:rsidR="00DE4C97">
        <w:rPr>
          <w:rFonts w:ascii="Book Antiqua" w:hAnsi="Book Antiqua"/>
          <w:color w:val="000000" w:themeColor="text1"/>
          <w:sz w:val="24"/>
        </w:rPr>
        <w:t>AGC</w:t>
      </w:r>
      <w:r w:rsidR="00E30FC2" w:rsidRPr="005F429F">
        <w:rPr>
          <w:rFonts w:ascii="Book Antiqua" w:hAnsi="Book Antiqua"/>
          <w:color w:val="000000" w:themeColor="text1"/>
          <w:sz w:val="24"/>
        </w:rPr>
        <w:t xml:space="preserve"> after radical treatment. The stability of miRNAs makes it suitable biomarker in liquid biopsy, and previous and this study showed the miRNAs </w:t>
      </w:r>
      <w:proofErr w:type="spellStart"/>
      <w:r w:rsidR="00E30FC2" w:rsidRPr="005F429F">
        <w:rPr>
          <w:rFonts w:ascii="Book Antiqua" w:hAnsi="Book Antiqua"/>
          <w:color w:val="000000" w:themeColor="text1"/>
          <w:sz w:val="24"/>
        </w:rPr>
        <w:t>pannel</w:t>
      </w:r>
      <w:proofErr w:type="spellEnd"/>
      <w:r w:rsidR="00E30FC2" w:rsidRPr="005F429F">
        <w:rPr>
          <w:rFonts w:ascii="Book Antiqua" w:hAnsi="Book Antiqua"/>
          <w:color w:val="000000" w:themeColor="text1"/>
          <w:sz w:val="24"/>
        </w:rPr>
        <w:t xml:space="preserve"> maybe have better sensitivity and specificity. We first identified that five miRNAs can be used in early detection of </w:t>
      </w:r>
      <w:r w:rsidR="00DE4C97">
        <w:rPr>
          <w:rFonts w:ascii="Book Antiqua" w:hAnsi="Book Antiqua"/>
          <w:color w:val="000000" w:themeColor="text1"/>
          <w:sz w:val="24"/>
        </w:rPr>
        <w:t>EGC</w:t>
      </w:r>
      <w:r w:rsidR="00E30FC2" w:rsidRPr="005F429F">
        <w:rPr>
          <w:rFonts w:ascii="Book Antiqua" w:hAnsi="Book Antiqua"/>
          <w:color w:val="000000" w:themeColor="text1"/>
          <w:sz w:val="24"/>
        </w:rPr>
        <w:t xml:space="preserve">, the </w:t>
      </w:r>
      <w:proofErr w:type="spellStart"/>
      <w:r w:rsidR="00E30FC2" w:rsidRPr="005F429F">
        <w:rPr>
          <w:rFonts w:ascii="Book Antiqua" w:hAnsi="Book Antiqua"/>
          <w:color w:val="000000" w:themeColor="text1"/>
          <w:sz w:val="24"/>
        </w:rPr>
        <w:t>pannel</w:t>
      </w:r>
      <w:proofErr w:type="spellEnd"/>
      <w:r w:rsidR="00E30FC2" w:rsidRPr="005F429F">
        <w:rPr>
          <w:rFonts w:ascii="Book Antiqua" w:hAnsi="Book Antiqua"/>
          <w:color w:val="000000" w:themeColor="text1"/>
          <w:sz w:val="24"/>
        </w:rPr>
        <w:t xml:space="preserve"> will useful to screening high risk population, nevertheless, larger-scale human experiments are still required to confirm our findings.</w:t>
      </w:r>
    </w:p>
    <w:p w14:paraId="5E38C7A1" w14:textId="77777777" w:rsidR="000D59A6" w:rsidRPr="005F429F" w:rsidRDefault="000D59A6" w:rsidP="005F429F">
      <w:pPr>
        <w:adjustRightInd w:val="0"/>
        <w:snapToGrid w:val="0"/>
        <w:spacing w:line="360" w:lineRule="auto"/>
        <w:rPr>
          <w:rFonts w:ascii="Book Antiqua" w:hAnsi="Book Antiqua"/>
          <w:b/>
          <w:bCs/>
          <w:color w:val="000000" w:themeColor="text1"/>
          <w:sz w:val="24"/>
        </w:rPr>
      </w:pPr>
    </w:p>
    <w:p w14:paraId="434F60D3" w14:textId="77777777" w:rsidR="000D59A6" w:rsidRPr="005F429F" w:rsidRDefault="00E30FC2" w:rsidP="00DE4C97">
      <w:pPr>
        <w:adjustRightInd w:val="0"/>
        <w:snapToGrid w:val="0"/>
        <w:spacing w:line="360" w:lineRule="auto"/>
        <w:outlineLvl w:val="0"/>
        <w:rPr>
          <w:rFonts w:ascii="Book Antiqua" w:hAnsi="Book Antiqua"/>
          <w:b/>
          <w:caps/>
          <w:color w:val="000000" w:themeColor="text1"/>
          <w:sz w:val="24"/>
        </w:rPr>
      </w:pPr>
      <w:bookmarkStart w:id="52" w:name="OLE_LINK259"/>
      <w:bookmarkStart w:id="53" w:name="OLE_LINK151"/>
      <w:bookmarkStart w:id="54" w:name="OLE_LINK316"/>
      <w:bookmarkStart w:id="55" w:name="OLE_LINK24"/>
      <w:bookmarkStart w:id="56" w:name="OLE_LINK403"/>
      <w:bookmarkStart w:id="57" w:name="OLE_LINK12"/>
      <w:bookmarkStart w:id="58" w:name="OLE_LINK158"/>
      <w:bookmarkStart w:id="59" w:name="OLE_LINK11"/>
      <w:bookmarkStart w:id="60" w:name="OLE_LINK159"/>
      <w:bookmarkStart w:id="61" w:name="OLE_LINK23"/>
      <w:bookmarkStart w:id="62" w:name="OLE_LINK206"/>
      <w:bookmarkStart w:id="63" w:name="OLE_LINK244"/>
      <w:bookmarkStart w:id="64" w:name="OLE_LINK205"/>
      <w:bookmarkStart w:id="65" w:name="OLE_LINK521"/>
      <w:bookmarkStart w:id="66" w:name="OLE_LINK245"/>
      <w:bookmarkStart w:id="67" w:name="OLE_LINK332"/>
      <w:r w:rsidRPr="005F429F">
        <w:rPr>
          <w:rFonts w:ascii="Book Antiqua" w:hAnsi="Book Antiqua" w:cs="Segoe UI"/>
          <w:b/>
          <w:caps/>
          <w:color w:val="000000" w:themeColor="text1"/>
          <w:sz w:val="24"/>
          <w:shd w:val="clear" w:color="auto" w:fill="FFFFFF"/>
        </w:rPr>
        <w:t>Article Highlights</w:t>
      </w:r>
      <w:r w:rsidR="00903847">
        <w:rPr>
          <w:rFonts w:ascii="Book Antiqua" w:hAnsi="Book Antiqua" w:cs="Segoe UI"/>
          <w:b/>
          <w:caps/>
          <w:color w:val="000000" w:themeColor="text1"/>
          <w:sz w:val="24"/>
          <w:shd w:val="clear" w:color="auto" w:fill="FFFFFF"/>
        </w:rPr>
        <w:t xml:space="preserve"> </w:t>
      </w:r>
    </w:p>
    <w:p w14:paraId="574269B9" w14:textId="77777777" w:rsidR="000D59A6" w:rsidRPr="005F429F" w:rsidRDefault="00E30FC2" w:rsidP="00DE4C97">
      <w:pPr>
        <w:adjustRightInd w:val="0"/>
        <w:snapToGrid w:val="0"/>
        <w:spacing w:line="360" w:lineRule="auto"/>
        <w:outlineLvl w:val="0"/>
        <w:rPr>
          <w:rFonts w:ascii="Book Antiqua" w:hAnsi="Book Antiqua"/>
          <w:b/>
          <w:i/>
          <w:color w:val="000000" w:themeColor="text1"/>
          <w:sz w:val="24"/>
        </w:rPr>
      </w:pPr>
      <w:r w:rsidRPr="005F429F">
        <w:rPr>
          <w:rFonts w:ascii="Book Antiqua" w:hAnsi="Book Antiqua"/>
          <w:b/>
          <w:i/>
          <w:color w:val="000000" w:themeColor="text1"/>
          <w:sz w:val="24"/>
        </w:rPr>
        <w:t>Research background</w:t>
      </w:r>
    </w:p>
    <w:p w14:paraId="29DECDB4" w14:textId="77777777" w:rsidR="000D59A6" w:rsidRDefault="00E30FC2" w:rsidP="005F429F">
      <w:pPr>
        <w:adjustRightInd w:val="0"/>
        <w:snapToGrid w:val="0"/>
        <w:spacing w:line="360" w:lineRule="auto"/>
        <w:rPr>
          <w:rFonts w:ascii="Book Antiqua" w:hAnsi="Book Antiqua"/>
          <w:bCs/>
          <w:iCs/>
          <w:color w:val="000000" w:themeColor="text1"/>
          <w:sz w:val="24"/>
        </w:rPr>
      </w:pPr>
      <w:r w:rsidRPr="005F429F">
        <w:rPr>
          <w:rFonts w:ascii="Book Antiqua" w:hAnsi="Book Antiqua"/>
          <w:bCs/>
          <w:iCs/>
          <w:color w:val="000000" w:themeColor="text1"/>
          <w:sz w:val="24"/>
        </w:rPr>
        <w:t xml:space="preserve">The early gastric cancer means the gastric mucosal lesion and the development of invasion cancer do not reach the submucosa, but their spread is limited to the mucous layer. Compared with advanced gastric cancer, it performs better in prognosis. Yet due to the lack of typical symptoms and biomarkers, the early gastric cancer is hard to be diagnosed and the golden standard is gastroscope. However, due to the patient's acceptance with certain risks and the difficulty in gastroscopic diagnosis, the detection rate of early gastric cancer in China is still low. Some existed research suggests that </w:t>
      </w:r>
      <w:r w:rsidR="005149CE">
        <w:rPr>
          <w:rFonts w:ascii="Book Antiqua" w:hAnsi="Book Antiqua"/>
          <w:bCs/>
          <w:iCs/>
          <w:color w:val="000000" w:themeColor="text1"/>
          <w:sz w:val="24"/>
        </w:rPr>
        <w:t>microRNA (</w:t>
      </w:r>
      <w:r w:rsidRPr="005F429F">
        <w:rPr>
          <w:rFonts w:ascii="Book Antiqua" w:hAnsi="Book Antiqua"/>
          <w:bCs/>
          <w:iCs/>
          <w:color w:val="000000" w:themeColor="text1"/>
          <w:sz w:val="24"/>
        </w:rPr>
        <w:t>miRNA</w:t>
      </w:r>
      <w:r w:rsidR="005149CE">
        <w:rPr>
          <w:rFonts w:ascii="Book Antiqua" w:hAnsi="Book Antiqua"/>
          <w:bCs/>
          <w:iCs/>
          <w:color w:val="000000" w:themeColor="text1"/>
          <w:sz w:val="24"/>
        </w:rPr>
        <w:t>)</w:t>
      </w:r>
      <w:r w:rsidRPr="005F429F">
        <w:rPr>
          <w:rFonts w:ascii="Book Antiqua" w:hAnsi="Book Antiqua"/>
          <w:bCs/>
          <w:iCs/>
          <w:color w:val="000000" w:themeColor="text1"/>
          <w:sz w:val="24"/>
        </w:rPr>
        <w:t xml:space="preserve"> in the peripheral blood can be used as biomarkers in the diagnosis and prognosis of gastric cancer especially for advanced gastric cancer, but few shows whether miRNA can be used as the biomarker for predictive diagnosis of early gastric cancer.</w:t>
      </w:r>
    </w:p>
    <w:p w14:paraId="638630A7" w14:textId="77777777" w:rsidR="005149CE" w:rsidRPr="005F429F" w:rsidRDefault="005149CE" w:rsidP="005F429F">
      <w:pPr>
        <w:adjustRightInd w:val="0"/>
        <w:snapToGrid w:val="0"/>
        <w:spacing w:line="360" w:lineRule="auto"/>
        <w:rPr>
          <w:rFonts w:ascii="Book Antiqua" w:eastAsiaTheme="minorEastAsia" w:hAnsi="Book Antiqua"/>
          <w:color w:val="000000" w:themeColor="text1"/>
          <w:sz w:val="24"/>
        </w:rPr>
      </w:pPr>
    </w:p>
    <w:p w14:paraId="2E0574B3" w14:textId="77777777" w:rsidR="000D59A6" w:rsidRPr="005F429F" w:rsidRDefault="00E30FC2" w:rsidP="00DE4C97">
      <w:pPr>
        <w:adjustRightInd w:val="0"/>
        <w:snapToGrid w:val="0"/>
        <w:spacing w:line="360" w:lineRule="auto"/>
        <w:outlineLvl w:val="0"/>
        <w:rPr>
          <w:rFonts w:ascii="Book Antiqua" w:hAnsi="Book Antiqua"/>
          <w:b/>
          <w:i/>
          <w:color w:val="000000" w:themeColor="text1"/>
          <w:sz w:val="24"/>
        </w:rPr>
      </w:pPr>
      <w:r w:rsidRPr="005F429F">
        <w:rPr>
          <w:rFonts w:ascii="Book Antiqua" w:hAnsi="Book Antiqua"/>
          <w:b/>
          <w:i/>
          <w:color w:val="000000" w:themeColor="text1"/>
          <w:sz w:val="24"/>
        </w:rPr>
        <w:t>Research motivation</w:t>
      </w:r>
    </w:p>
    <w:p w14:paraId="225ABE70" w14:textId="77777777" w:rsidR="000D59A6" w:rsidRDefault="00E30FC2" w:rsidP="005F429F">
      <w:pPr>
        <w:adjustRightInd w:val="0"/>
        <w:snapToGrid w:val="0"/>
        <w:spacing w:line="360" w:lineRule="auto"/>
        <w:rPr>
          <w:rFonts w:ascii="Book Antiqua" w:hAnsi="Book Antiqua"/>
          <w:bCs/>
          <w:color w:val="000000" w:themeColor="text1"/>
          <w:sz w:val="24"/>
        </w:rPr>
      </w:pPr>
      <w:r w:rsidRPr="005F429F">
        <w:rPr>
          <w:rFonts w:ascii="Book Antiqua" w:hAnsi="Book Antiqua"/>
          <w:bCs/>
          <w:color w:val="000000" w:themeColor="text1"/>
          <w:sz w:val="24"/>
        </w:rPr>
        <w:t xml:space="preserve">MiRNA is relatively stable in the circulation system, and the detection technique is simple and easy to popularize. The several combinations of </w:t>
      </w:r>
      <w:r w:rsidRPr="005F429F">
        <w:rPr>
          <w:rFonts w:ascii="Book Antiqua" w:hAnsi="Book Antiqua"/>
          <w:bCs/>
          <w:color w:val="000000" w:themeColor="text1"/>
          <w:sz w:val="24"/>
        </w:rPr>
        <w:lastRenderedPageBreak/>
        <w:t>miRNAs can improve the accuracy of diagnosis which found in kinds of cancers. Through the predictive diagnosis model of the combination of several miRNAs, screening out high-risk or suspect patients and then being confirmed by gastroscopy combined with biopsy, will improve the accuracy and efficiency of gastroscopy, and promote the detection of early gastric cancer and early diagnosis of advanced gastric cancer, thereby improving the overall treatment effect and prognosis of gastric cancer.</w:t>
      </w:r>
    </w:p>
    <w:p w14:paraId="0E488623" w14:textId="77777777" w:rsidR="005149CE" w:rsidRPr="005F429F" w:rsidRDefault="005149CE" w:rsidP="005F429F">
      <w:pPr>
        <w:adjustRightInd w:val="0"/>
        <w:snapToGrid w:val="0"/>
        <w:spacing w:line="360" w:lineRule="auto"/>
        <w:rPr>
          <w:rFonts w:ascii="Book Antiqua" w:eastAsiaTheme="minorEastAsia" w:hAnsi="Book Antiqua"/>
          <w:b/>
          <w:color w:val="000000" w:themeColor="text1"/>
          <w:sz w:val="24"/>
        </w:rPr>
      </w:pPr>
    </w:p>
    <w:p w14:paraId="0F4EB014" w14:textId="77777777" w:rsidR="000D59A6" w:rsidRPr="005F429F" w:rsidRDefault="00E30FC2" w:rsidP="00DE4C97">
      <w:pPr>
        <w:adjustRightInd w:val="0"/>
        <w:snapToGrid w:val="0"/>
        <w:spacing w:line="360" w:lineRule="auto"/>
        <w:outlineLvl w:val="0"/>
        <w:rPr>
          <w:rFonts w:ascii="Book Antiqua" w:hAnsi="Book Antiqua"/>
          <w:b/>
          <w:i/>
          <w:color w:val="000000" w:themeColor="text1"/>
          <w:sz w:val="24"/>
        </w:rPr>
      </w:pPr>
      <w:r w:rsidRPr="005F429F">
        <w:rPr>
          <w:rFonts w:ascii="Book Antiqua" w:hAnsi="Book Antiqua"/>
          <w:b/>
          <w:i/>
          <w:color w:val="000000" w:themeColor="text1"/>
          <w:sz w:val="24"/>
        </w:rPr>
        <w:t>Research objectives</w:t>
      </w:r>
    </w:p>
    <w:p w14:paraId="58C5AE0E" w14:textId="77777777" w:rsidR="000D59A6" w:rsidRDefault="00E30FC2" w:rsidP="005F429F">
      <w:pPr>
        <w:adjustRightInd w:val="0"/>
        <w:snapToGrid w:val="0"/>
        <w:spacing w:line="360" w:lineRule="auto"/>
        <w:rPr>
          <w:rFonts w:ascii="Book Antiqua" w:hAnsi="Book Antiqua"/>
          <w:bCs/>
          <w:color w:val="000000" w:themeColor="text1"/>
          <w:sz w:val="24"/>
        </w:rPr>
      </w:pPr>
      <w:r w:rsidRPr="005F429F">
        <w:rPr>
          <w:rFonts w:ascii="Book Antiqua" w:hAnsi="Book Antiqua"/>
          <w:bCs/>
          <w:color w:val="000000" w:themeColor="text1"/>
          <w:sz w:val="24"/>
        </w:rPr>
        <w:t>The focus of the study is whether miRNA in peripheral blood can be used as sensitive and specific biomarkers for predictive diagnosis of early gastric cancer. First of all, it is to be studied that whether there is one or there are several miRNAs used to diagnose gastric cancer and non-cancer. Furthermore, it is to be known that whether such miRNAs can be used to suggest the occurrence of early gastric cancer. If there are indeed such miRNAs, it needs to be known that whether it can be applied in the screening of early gastric cancer and the sensitivity and specificity as well as influence factors. All these are possibly applied to clinical practice.</w:t>
      </w:r>
    </w:p>
    <w:p w14:paraId="32B3312B" w14:textId="77777777" w:rsidR="005149CE" w:rsidRPr="005F429F" w:rsidRDefault="005149CE" w:rsidP="005F429F">
      <w:pPr>
        <w:adjustRightInd w:val="0"/>
        <w:snapToGrid w:val="0"/>
        <w:spacing w:line="360" w:lineRule="auto"/>
        <w:rPr>
          <w:rFonts w:ascii="Book Antiqua" w:eastAsiaTheme="minorEastAsia" w:hAnsi="Book Antiqua"/>
          <w:b/>
          <w:color w:val="000000" w:themeColor="text1"/>
          <w:sz w:val="24"/>
        </w:rPr>
      </w:pPr>
    </w:p>
    <w:p w14:paraId="1F720F8C" w14:textId="77777777" w:rsidR="000D59A6" w:rsidRPr="005F429F" w:rsidRDefault="00E30FC2" w:rsidP="00DE4C97">
      <w:pPr>
        <w:adjustRightInd w:val="0"/>
        <w:snapToGrid w:val="0"/>
        <w:spacing w:line="360" w:lineRule="auto"/>
        <w:outlineLvl w:val="0"/>
        <w:rPr>
          <w:rFonts w:ascii="Book Antiqua" w:hAnsi="Book Antiqua"/>
          <w:b/>
          <w:i/>
          <w:color w:val="000000" w:themeColor="text1"/>
          <w:sz w:val="24"/>
        </w:rPr>
      </w:pPr>
      <w:r w:rsidRPr="005F429F">
        <w:rPr>
          <w:rFonts w:ascii="Book Antiqua" w:hAnsi="Book Antiqua"/>
          <w:b/>
          <w:i/>
          <w:color w:val="000000" w:themeColor="text1"/>
          <w:sz w:val="24"/>
        </w:rPr>
        <w:t>Research methods</w:t>
      </w:r>
    </w:p>
    <w:p w14:paraId="75CB27ED" w14:textId="77777777" w:rsidR="000D59A6" w:rsidRDefault="00E30FC2" w:rsidP="005F429F">
      <w:pPr>
        <w:adjustRightInd w:val="0"/>
        <w:snapToGrid w:val="0"/>
        <w:spacing w:line="360" w:lineRule="auto"/>
        <w:rPr>
          <w:rFonts w:ascii="Book Antiqua" w:hAnsi="Book Antiqua" w:cs="Segoe UI"/>
          <w:color w:val="000000" w:themeColor="text1"/>
          <w:sz w:val="24"/>
          <w:shd w:val="clear" w:color="auto" w:fill="FFFFFF"/>
        </w:rPr>
      </w:pPr>
      <w:r w:rsidRPr="005F429F">
        <w:rPr>
          <w:rFonts w:ascii="Book Antiqua" w:hAnsi="Book Antiqua"/>
          <w:bCs/>
          <w:color w:val="000000" w:themeColor="text1"/>
          <w:sz w:val="24"/>
        </w:rPr>
        <w:t xml:space="preserve">First, in the </w:t>
      </w:r>
      <w:r w:rsidRPr="005F429F">
        <w:rPr>
          <w:rFonts w:ascii="Book Antiqua" w:hAnsi="Book Antiqua"/>
          <w:color w:val="000000" w:themeColor="text1"/>
          <w:sz w:val="24"/>
        </w:rPr>
        <w:t>discovery set</w:t>
      </w:r>
      <w:r w:rsidRPr="005F429F">
        <w:rPr>
          <w:rFonts w:ascii="Book Antiqua" w:hAnsi="Book Antiqua"/>
          <w:bCs/>
          <w:color w:val="000000" w:themeColor="text1"/>
          <w:sz w:val="24"/>
        </w:rPr>
        <w:t xml:space="preserve">, miRNA array was applied to detect the </w:t>
      </w:r>
      <w:r w:rsidRPr="005F429F">
        <w:rPr>
          <w:rFonts w:ascii="Book Antiqua" w:hAnsi="Book Antiqua" w:cs="Segoe UI"/>
          <w:color w:val="000000" w:themeColor="text1"/>
          <w:sz w:val="24"/>
          <w:shd w:val="clear" w:color="auto" w:fill="FFFFFF"/>
        </w:rPr>
        <w:t>differential expressions of plasma miRNA</w:t>
      </w:r>
      <w:r w:rsidRPr="005F429F">
        <w:rPr>
          <w:rFonts w:ascii="Book Antiqua" w:hAnsi="Book Antiqua"/>
          <w:bCs/>
          <w:color w:val="000000" w:themeColor="text1"/>
          <w:sz w:val="24"/>
        </w:rPr>
        <w:t xml:space="preserve"> in the early and advanced gastric cancer </w:t>
      </w:r>
      <w:r w:rsidRPr="005F429F">
        <w:rPr>
          <w:rFonts w:ascii="Book Antiqua" w:hAnsi="Book Antiqua" w:cs="Segoe UI"/>
          <w:color w:val="000000" w:themeColor="text1"/>
          <w:sz w:val="24"/>
          <w:shd w:val="clear" w:color="auto" w:fill="FFFFFF"/>
        </w:rPr>
        <w:t xml:space="preserve">patients </w:t>
      </w:r>
      <w:r w:rsidRPr="005F429F">
        <w:rPr>
          <w:rFonts w:ascii="Book Antiqua" w:hAnsi="Book Antiqua"/>
          <w:bCs/>
          <w:color w:val="000000" w:themeColor="text1"/>
          <w:sz w:val="24"/>
        </w:rPr>
        <w:t xml:space="preserve">as well as </w:t>
      </w:r>
      <w:r w:rsidRPr="005F429F">
        <w:rPr>
          <w:rFonts w:ascii="Book Antiqua" w:hAnsi="Book Antiqua" w:cs="Segoe UI"/>
          <w:color w:val="000000" w:themeColor="text1"/>
          <w:sz w:val="24"/>
          <w:shd w:val="clear" w:color="auto" w:fill="FFFFFF"/>
        </w:rPr>
        <w:t xml:space="preserve">the control group. Then through the bioinformatics, miRNAs possibly related to disease staging were screened out. In the </w:t>
      </w:r>
      <w:r w:rsidRPr="005F429F">
        <w:rPr>
          <w:rFonts w:ascii="Book Antiqua" w:hAnsi="Book Antiqua"/>
          <w:color w:val="000000" w:themeColor="text1"/>
          <w:sz w:val="24"/>
        </w:rPr>
        <w:t>validation set</w:t>
      </w:r>
      <w:r w:rsidRPr="005F429F">
        <w:rPr>
          <w:rFonts w:ascii="Book Antiqua" w:hAnsi="Book Antiqua" w:cs="Segoe UI"/>
          <w:color w:val="000000" w:themeColor="text1"/>
          <w:sz w:val="24"/>
          <w:shd w:val="clear" w:color="auto" w:fill="FFFFFF"/>
        </w:rPr>
        <w:t xml:space="preserve">, in order to rule out the effects of </w:t>
      </w:r>
      <w:r w:rsidR="00B93781" w:rsidRPr="00B93781">
        <w:rPr>
          <w:rFonts w:ascii="Book Antiqua" w:hAnsi="Book Antiqua" w:cs="Segoe UI"/>
          <w:i/>
          <w:color w:val="000000" w:themeColor="text1"/>
          <w:sz w:val="24"/>
          <w:shd w:val="clear" w:color="auto" w:fill="FFFFFF"/>
        </w:rPr>
        <w:t>Helicobacter pylori</w:t>
      </w:r>
      <w:r w:rsidR="00B93781" w:rsidRPr="00B93781">
        <w:rPr>
          <w:rFonts w:ascii="Book Antiqua" w:hAnsi="Book Antiqua" w:cs="Segoe UI"/>
          <w:color w:val="000000" w:themeColor="text1"/>
          <w:sz w:val="24"/>
          <w:shd w:val="clear" w:color="auto" w:fill="FFFFFF"/>
        </w:rPr>
        <w:t xml:space="preserve"> </w:t>
      </w:r>
      <w:r w:rsidR="00B93781">
        <w:rPr>
          <w:rFonts w:ascii="Book Antiqua" w:hAnsi="Book Antiqua" w:cs="Segoe UI"/>
          <w:color w:val="000000" w:themeColor="text1"/>
          <w:sz w:val="24"/>
          <w:shd w:val="clear" w:color="auto" w:fill="FFFFFF"/>
        </w:rPr>
        <w:t>(</w:t>
      </w:r>
      <w:r w:rsidR="00B93781" w:rsidRPr="00B93781">
        <w:rPr>
          <w:rFonts w:ascii="Book Antiqua" w:hAnsi="Book Antiqua" w:cs="Segoe UI"/>
          <w:i/>
          <w:color w:val="000000" w:themeColor="text1"/>
          <w:sz w:val="24"/>
          <w:shd w:val="clear" w:color="auto" w:fill="FFFFFF"/>
        </w:rPr>
        <w:t>H. pylori</w:t>
      </w:r>
      <w:r w:rsidR="00B93781">
        <w:rPr>
          <w:rFonts w:ascii="Book Antiqua" w:hAnsi="Book Antiqua" w:cs="Segoe UI"/>
          <w:color w:val="000000" w:themeColor="text1"/>
          <w:sz w:val="24"/>
          <w:shd w:val="clear" w:color="auto" w:fill="FFFFFF"/>
        </w:rPr>
        <w:t>)</w:t>
      </w:r>
      <w:r w:rsidRPr="005F429F">
        <w:rPr>
          <w:rFonts w:ascii="Book Antiqua" w:hAnsi="Book Antiqua" w:cs="Segoe UI"/>
          <w:color w:val="000000" w:themeColor="text1"/>
          <w:sz w:val="24"/>
          <w:shd w:val="clear" w:color="auto" w:fill="FFFFFF"/>
        </w:rPr>
        <w:t xml:space="preserve"> infection, atrophic gastritis and other diseases on miRNA, the control group was divided into </w:t>
      </w:r>
      <w:r w:rsidR="00B93781" w:rsidRPr="00B93781">
        <w:rPr>
          <w:rFonts w:ascii="Book Antiqua" w:hAnsi="Book Antiqua" w:cs="Segoe UI"/>
          <w:i/>
          <w:color w:val="000000" w:themeColor="text1"/>
          <w:sz w:val="24"/>
          <w:shd w:val="clear" w:color="auto" w:fill="FFFFFF"/>
        </w:rPr>
        <w:t>H. pylori</w:t>
      </w:r>
      <w:r w:rsidRPr="005F429F">
        <w:rPr>
          <w:rFonts w:ascii="Book Antiqua" w:hAnsi="Book Antiqua" w:cs="Segoe UI"/>
          <w:color w:val="000000" w:themeColor="text1"/>
          <w:sz w:val="24"/>
          <w:shd w:val="clear" w:color="auto" w:fill="FFFFFF"/>
        </w:rPr>
        <w:t xml:space="preserve"> infection with atrophic gastritis and </w:t>
      </w:r>
      <w:r w:rsidR="00B93781" w:rsidRPr="00B93781">
        <w:rPr>
          <w:rFonts w:ascii="Book Antiqua" w:hAnsi="Book Antiqua" w:cs="Segoe UI"/>
          <w:i/>
          <w:color w:val="000000" w:themeColor="text1"/>
          <w:sz w:val="24"/>
          <w:shd w:val="clear" w:color="auto" w:fill="FFFFFF"/>
        </w:rPr>
        <w:t>H. pylori</w:t>
      </w:r>
      <w:r w:rsidRPr="005F429F">
        <w:rPr>
          <w:rFonts w:ascii="Book Antiqua" w:hAnsi="Book Antiqua" w:cs="Segoe UI"/>
          <w:color w:val="000000" w:themeColor="text1"/>
          <w:sz w:val="24"/>
          <w:shd w:val="clear" w:color="auto" w:fill="FFFFFF"/>
        </w:rPr>
        <w:t>-negative superficial gastritis. Then RT-qPCR was used to verify target miRNAs selected in the last stage and miRNAs or combinations that may be used for predictive diagnosis of early gastric cancer are selected.</w:t>
      </w:r>
    </w:p>
    <w:p w14:paraId="0DC7A689" w14:textId="77777777" w:rsidR="005149CE" w:rsidRPr="005F429F" w:rsidRDefault="005149CE" w:rsidP="005F429F">
      <w:pPr>
        <w:adjustRightInd w:val="0"/>
        <w:snapToGrid w:val="0"/>
        <w:spacing w:line="360" w:lineRule="auto"/>
        <w:rPr>
          <w:rFonts w:ascii="Book Antiqua" w:eastAsiaTheme="minorEastAsia" w:hAnsi="Book Antiqua"/>
          <w:b/>
          <w:color w:val="000000" w:themeColor="text1"/>
          <w:sz w:val="24"/>
        </w:rPr>
      </w:pPr>
    </w:p>
    <w:p w14:paraId="3F4C9DED" w14:textId="77777777" w:rsidR="000D59A6" w:rsidRPr="005F429F" w:rsidRDefault="00E30FC2" w:rsidP="00DE4C97">
      <w:pPr>
        <w:adjustRightInd w:val="0"/>
        <w:snapToGrid w:val="0"/>
        <w:spacing w:line="360" w:lineRule="auto"/>
        <w:outlineLvl w:val="0"/>
        <w:rPr>
          <w:rFonts w:ascii="Book Antiqua" w:hAnsi="Book Antiqua"/>
          <w:b/>
          <w:i/>
          <w:color w:val="000000" w:themeColor="text1"/>
          <w:sz w:val="24"/>
        </w:rPr>
      </w:pPr>
      <w:r w:rsidRPr="005F429F">
        <w:rPr>
          <w:rFonts w:ascii="Book Antiqua" w:hAnsi="Book Antiqua"/>
          <w:b/>
          <w:i/>
          <w:color w:val="000000" w:themeColor="text1"/>
          <w:sz w:val="24"/>
        </w:rPr>
        <w:t>Research results</w:t>
      </w:r>
    </w:p>
    <w:p w14:paraId="795363DD" w14:textId="77777777" w:rsidR="000D59A6" w:rsidRDefault="005149CE" w:rsidP="005F429F">
      <w:pPr>
        <w:adjustRightInd w:val="0"/>
        <w:snapToGrid w:val="0"/>
        <w:spacing w:line="360" w:lineRule="auto"/>
        <w:rPr>
          <w:rFonts w:ascii="Book Antiqua" w:hAnsi="Book Antiqua" w:cs="Segoe UI"/>
          <w:color w:val="000000" w:themeColor="text1"/>
          <w:sz w:val="24"/>
          <w:shd w:val="clear" w:color="auto" w:fill="FFFFFF"/>
        </w:rPr>
      </w:pPr>
      <w:r>
        <w:rPr>
          <w:rFonts w:ascii="Book Antiqua" w:hAnsi="Book Antiqua" w:cs="Segoe UI"/>
          <w:color w:val="000000" w:themeColor="text1"/>
          <w:sz w:val="24"/>
          <w:shd w:val="clear" w:color="auto" w:fill="FFFFFF"/>
        </w:rPr>
        <w:lastRenderedPageBreak/>
        <w:t>Fourteen</w:t>
      </w:r>
      <w:r w:rsidR="00E30FC2" w:rsidRPr="005F429F">
        <w:rPr>
          <w:rFonts w:ascii="Book Antiqua" w:hAnsi="Book Antiqua" w:cs="Segoe UI"/>
          <w:color w:val="000000" w:themeColor="text1"/>
          <w:sz w:val="24"/>
          <w:shd w:val="clear" w:color="auto" w:fill="FFFFFF"/>
        </w:rPr>
        <w:t xml:space="preserve"> target miRNAs were screened from the miRNA array by bioinformatics and they show differential expressions in early and advanced gastric cancer and control group. Subsequent </w:t>
      </w:r>
      <w:r>
        <w:rPr>
          <w:rFonts w:ascii="Book Antiqua" w:hAnsi="Book Antiqua"/>
          <w:color w:val="000000" w:themeColor="text1"/>
          <w:sz w:val="24"/>
        </w:rPr>
        <w:t>r</w:t>
      </w:r>
      <w:r w:rsidRPr="005F429F">
        <w:rPr>
          <w:rFonts w:ascii="Book Antiqua" w:hAnsi="Book Antiqua"/>
          <w:color w:val="000000" w:themeColor="text1"/>
          <w:sz w:val="24"/>
        </w:rPr>
        <w:t>everse transcription quantitative real-time polymerase chain reaction</w:t>
      </w:r>
      <w:r w:rsidR="00E30FC2" w:rsidRPr="005F429F">
        <w:rPr>
          <w:rFonts w:ascii="Book Antiqua" w:hAnsi="Book Antiqua" w:cs="Segoe UI"/>
          <w:color w:val="000000" w:themeColor="text1"/>
          <w:sz w:val="24"/>
          <w:shd w:val="clear" w:color="auto" w:fill="FFFFFF"/>
        </w:rPr>
        <w:t xml:space="preserve"> verification suggested that five miRNAs combinations might be used for predictive diagnosis of early and advanced gastric cancer while not being affected by diseases such as </w:t>
      </w:r>
      <w:r w:rsidR="00B93781" w:rsidRPr="00B93781">
        <w:rPr>
          <w:rFonts w:ascii="Book Antiqua" w:hAnsi="Book Antiqua" w:cs="Segoe UI"/>
          <w:i/>
          <w:color w:val="000000" w:themeColor="text1"/>
          <w:sz w:val="24"/>
          <w:shd w:val="clear" w:color="auto" w:fill="FFFFFF"/>
        </w:rPr>
        <w:t>H. pylori</w:t>
      </w:r>
      <w:r w:rsidR="00E30FC2" w:rsidRPr="005F429F">
        <w:rPr>
          <w:rFonts w:ascii="Book Antiqua" w:hAnsi="Book Antiqua" w:cs="Segoe UI"/>
          <w:color w:val="000000" w:themeColor="text1"/>
          <w:sz w:val="24"/>
          <w:shd w:val="clear" w:color="auto" w:fill="FFFFFF"/>
        </w:rPr>
        <w:t xml:space="preserve"> infection and atrophic gastritis.</w:t>
      </w:r>
    </w:p>
    <w:p w14:paraId="0F2AFC2A" w14:textId="77777777" w:rsidR="005149CE" w:rsidRPr="005F429F" w:rsidRDefault="005149CE" w:rsidP="005F429F">
      <w:pPr>
        <w:adjustRightInd w:val="0"/>
        <w:snapToGrid w:val="0"/>
        <w:spacing w:line="360" w:lineRule="auto"/>
        <w:rPr>
          <w:rFonts w:ascii="Book Antiqua" w:eastAsiaTheme="minorEastAsia" w:hAnsi="Book Antiqua" w:cs="Segoe UI"/>
          <w:color w:val="000000" w:themeColor="text1"/>
          <w:sz w:val="24"/>
          <w:shd w:val="clear" w:color="auto" w:fill="FFFFFF"/>
        </w:rPr>
      </w:pPr>
    </w:p>
    <w:p w14:paraId="7F1899DE" w14:textId="77777777" w:rsidR="000D59A6" w:rsidRPr="005F429F" w:rsidRDefault="00E30FC2" w:rsidP="00DE4C97">
      <w:pPr>
        <w:adjustRightInd w:val="0"/>
        <w:snapToGrid w:val="0"/>
        <w:spacing w:line="360" w:lineRule="auto"/>
        <w:outlineLvl w:val="0"/>
        <w:rPr>
          <w:rFonts w:ascii="Book Antiqua" w:hAnsi="Book Antiqua" w:cs="Segoe UI"/>
          <w:b/>
          <w:i/>
          <w:color w:val="000000" w:themeColor="text1"/>
          <w:sz w:val="24"/>
          <w:shd w:val="clear" w:color="auto" w:fill="FFFFFF"/>
        </w:rPr>
      </w:pPr>
      <w:r w:rsidRPr="005F429F">
        <w:rPr>
          <w:rFonts w:ascii="Book Antiqua" w:hAnsi="Book Antiqua"/>
          <w:b/>
          <w:i/>
          <w:color w:val="000000" w:themeColor="text1"/>
          <w:sz w:val="24"/>
        </w:rPr>
        <w:t>Research conclusions</w:t>
      </w:r>
    </w:p>
    <w:p w14:paraId="6DD3C5D8" w14:textId="77777777" w:rsidR="000D59A6" w:rsidRDefault="00E30FC2" w:rsidP="005F429F">
      <w:pPr>
        <w:adjustRightInd w:val="0"/>
        <w:snapToGrid w:val="0"/>
        <w:spacing w:line="360" w:lineRule="auto"/>
        <w:rPr>
          <w:rFonts w:ascii="Book Antiqua" w:hAnsi="Book Antiqua" w:cs="Segoe UI"/>
          <w:color w:val="000000" w:themeColor="text1"/>
          <w:sz w:val="24"/>
          <w:shd w:val="clear" w:color="auto" w:fill="FFFFFF"/>
        </w:rPr>
      </w:pPr>
      <w:r w:rsidRPr="005F429F">
        <w:rPr>
          <w:rFonts w:ascii="Book Antiqua" w:hAnsi="Book Antiqua" w:cs="Segoe UI"/>
          <w:color w:val="000000" w:themeColor="text1"/>
          <w:sz w:val="24"/>
          <w:shd w:val="clear" w:color="auto" w:fill="FFFFFF"/>
        </w:rPr>
        <w:t xml:space="preserve">In this article, we found that miRNAs in early and advanced gastric cancer as well as control group show differential expressions. Through further confirmatory experiment, it is found that combinations of several miRNAs may suggest the occurrence of early and advanced gastric cancer. Gastroscopy combined with biopsy can be used to further confirm the diagnosis and then this combination of miRNAs may </w:t>
      </w:r>
      <w:r w:rsidR="005149CE">
        <w:rPr>
          <w:rFonts w:ascii="Book Antiqua" w:hAnsi="Book Antiqua" w:cs="Segoe UI"/>
          <w:color w:val="000000" w:themeColor="text1"/>
          <w:sz w:val="24"/>
          <w:shd w:val="clear" w:color="auto" w:fill="FFFFFF"/>
        </w:rPr>
        <w:t xml:space="preserve">be </w:t>
      </w:r>
      <w:r w:rsidRPr="005F429F">
        <w:rPr>
          <w:rFonts w:ascii="Book Antiqua" w:hAnsi="Book Antiqua" w:cs="Segoe UI"/>
          <w:color w:val="000000" w:themeColor="text1"/>
          <w:sz w:val="24"/>
          <w:shd w:val="clear" w:color="auto" w:fill="FFFFFF"/>
        </w:rPr>
        <w:t>regarded as the biomarker of predictive diagnosis of early gastric cancer.</w:t>
      </w:r>
    </w:p>
    <w:p w14:paraId="7059D465" w14:textId="77777777" w:rsidR="005149CE" w:rsidRPr="005F429F" w:rsidRDefault="005149CE" w:rsidP="005F429F">
      <w:pPr>
        <w:adjustRightInd w:val="0"/>
        <w:snapToGrid w:val="0"/>
        <w:spacing w:line="360" w:lineRule="auto"/>
        <w:rPr>
          <w:rFonts w:ascii="Book Antiqua" w:eastAsiaTheme="minorEastAsia" w:hAnsi="Book Antiqua" w:cs="Segoe UI"/>
          <w:color w:val="000000" w:themeColor="text1"/>
          <w:sz w:val="24"/>
          <w:shd w:val="clear" w:color="auto" w:fill="FFFFFF"/>
        </w:rPr>
      </w:pPr>
    </w:p>
    <w:p w14:paraId="41361A4E" w14:textId="77777777" w:rsidR="000D59A6" w:rsidRPr="005F429F" w:rsidRDefault="00E30FC2" w:rsidP="00DE4C97">
      <w:pPr>
        <w:adjustRightInd w:val="0"/>
        <w:snapToGrid w:val="0"/>
        <w:spacing w:line="360" w:lineRule="auto"/>
        <w:outlineLvl w:val="0"/>
        <w:rPr>
          <w:rFonts w:ascii="Book Antiqua" w:hAnsi="Book Antiqua" w:cs="Segoe UI"/>
          <w:b/>
          <w:i/>
          <w:color w:val="000000" w:themeColor="text1"/>
          <w:sz w:val="24"/>
          <w:shd w:val="clear" w:color="auto" w:fill="FFFFFF"/>
        </w:rPr>
      </w:pPr>
      <w:r w:rsidRPr="005F429F">
        <w:rPr>
          <w:rFonts w:ascii="Book Antiqua" w:hAnsi="Book Antiqua" w:cs="Segoe UI"/>
          <w:b/>
          <w:i/>
          <w:color w:val="000000" w:themeColor="text1"/>
          <w:sz w:val="24"/>
          <w:shd w:val="clear" w:color="auto" w:fill="FFFFFF"/>
        </w:rPr>
        <w:t>Research perspectives</w:t>
      </w:r>
    </w:p>
    <w:bookmarkEnd w:id="52"/>
    <w:bookmarkEnd w:id="53"/>
    <w:p w14:paraId="539C06AA" w14:textId="77777777" w:rsidR="000D59A6" w:rsidRPr="005F429F" w:rsidRDefault="00E30FC2" w:rsidP="005F429F">
      <w:pPr>
        <w:adjustRightInd w:val="0"/>
        <w:snapToGrid w:val="0"/>
        <w:spacing w:line="360" w:lineRule="auto"/>
        <w:rPr>
          <w:rFonts w:ascii="Book Antiqua" w:hAnsi="Book Antiqua"/>
          <w:b/>
          <w:color w:val="000000" w:themeColor="text1"/>
          <w:sz w:val="24"/>
        </w:rPr>
      </w:pPr>
      <w:r w:rsidRPr="005F429F">
        <w:rPr>
          <w:rFonts w:ascii="Book Antiqua" w:hAnsi="Book Antiqua" w:cs="Segoe UI"/>
          <w:color w:val="000000" w:themeColor="text1"/>
          <w:sz w:val="24"/>
          <w:shd w:val="clear" w:color="auto" w:fill="FFFFFF"/>
        </w:rPr>
        <w:t xml:space="preserve">Currently, there is a lack of effective tumor biomarker in the diagnosis of gastric cancer, which is related to the heterogeneity of tumors. Although gastroscopy and biopsy are the </w:t>
      </w:r>
      <w:r w:rsidRPr="005F429F">
        <w:rPr>
          <w:rFonts w:ascii="Book Antiqua" w:hAnsi="Book Antiqua"/>
          <w:bCs/>
          <w:iCs/>
          <w:color w:val="000000" w:themeColor="text1"/>
          <w:sz w:val="24"/>
        </w:rPr>
        <w:t xml:space="preserve">golden </w:t>
      </w:r>
      <w:r w:rsidRPr="005F429F">
        <w:rPr>
          <w:rFonts w:ascii="Book Antiqua" w:hAnsi="Book Antiqua" w:cs="Segoe UI"/>
          <w:color w:val="000000" w:themeColor="text1"/>
          <w:sz w:val="24"/>
          <w:shd w:val="clear" w:color="auto" w:fill="FFFFFF"/>
        </w:rPr>
        <w:t xml:space="preserve">standards for the diagnosis of gastric cancer, they are currently difficult to spread in China due to the large population. This study hopes to find high-risk patients with early gastric cancer in the population through simple and economical liquid biopsy of new </w:t>
      </w:r>
      <w:r w:rsidR="005149CE">
        <w:rPr>
          <w:rFonts w:ascii="Book Antiqua" w:hAnsi="Book Antiqua" w:cs="Segoe UI"/>
          <w:color w:val="000000" w:themeColor="text1"/>
          <w:sz w:val="24"/>
          <w:shd w:val="clear" w:color="auto" w:fill="FFFFFF"/>
        </w:rPr>
        <w:t xml:space="preserve">miRNA biomarkers. Then </w:t>
      </w:r>
      <w:r w:rsidRPr="005F429F">
        <w:rPr>
          <w:rFonts w:ascii="Book Antiqua" w:hAnsi="Book Antiqua" w:cs="Segoe UI"/>
          <w:color w:val="000000" w:themeColor="text1"/>
          <w:sz w:val="24"/>
          <w:shd w:val="clear" w:color="auto" w:fill="FFFFFF"/>
        </w:rPr>
        <w:t>gastroscope and pathological examination can be used to confirm the diagnosis and treatment of early gastric cancer, and early diagnosis and early treatment to advanced gastric cancer, so as to improve the overall prognosis and curative effect of gastric cancer. Certainly, the new combinations of these miRNAs biomarkers need to be further validated in a larger sample population.</w:t>
      </w:r>
    </w:p>
    <w:bookmarkEnd w:id="54"/>
    <w:bookmarkEnd w:id="55"/>
    <w:bookmarkEnd w:id="56"/>
    <w:bookmarkEnd w:id="57"/>
    <w:bookmarkEnd w:id="58"/>
    <w:bookmarkEnd w:id="59"/>
    <w:bookmarkEnd w:id="60"/>
    <w:bookmarkEnd w:id="61"/>
    <w:bookmarkEnd w:id="62"/>
    <w:bookmarkEnd w:id="63"/>
    <w:bookmarkEnd w:id="64"/>
    <w:bookmarkEnd w:id="65"/>
    <w:bookmarkEnd w:id="66"/>
    <w:bookmarkEnd w:id="67"/>
    <w:p w14:paraId="23B889EA" w14:textId="77777777" w:rsidR="005149CE" w:rsidRDefault="005149CE">
      <w:pPr>
        <w:widowControl/>
        <w:jc w:val="left"/>
        <w:rPr>
          <w:rFonts w:ascii="Book Antiqua" w:hAnsi="Book Antiqua"/>
          <w:b/>
          <w:bCs/>
          <w:color w:val="000000" w:themeColor="text1"/>
          <w:sz w:val="24"/>
        </w:rPr>
      </w:pPr>
      <w:r>
        <w:rPr>
          <w:rFonts w:ascii="Book Antiqua" w:hAnsi="Book Antiqua"/>
          <w:b/>
          <w:bCs/>
          <w:color w:val="000000" w:themeColor="text1"/>
          <w:sz w:val="24"/>
        </w:rPr>
        <w:br w:type="page"/>
      </w:r>
    </w:p>
    <w:p w14:paraId="798FADE5" w14:textId="77777777" w:rsidR="000D59A6" w:rsidRPr="005F429F" w:rsidRDefault="00E30FC2" w:rsidP="00DE4C97">
      <w:pPr>
        <w:adjustRightInd w:val="0"/>
        <w:snapToGrid w:val="0"/>
        <w:spacing w:line="360" w:lineRule="auto"/>
        <w:outlineLvl w:val="0"/>
        <w:rPr>
          <w:rFonts w:ascii="Book Antiqua" w:hAnsi="Book Antiqua"/>
          <w:color w:val="000000" w:themeColor="text1"/>
          <w:sz w:val="24"/>
        </w:rPr>
      </w:pPr>
      <w:r w:rsidRPr="005F429F">
        <w:rPr>
          <w:rFonts w:ascii="Book Antiqua" w:hAnsi="Book Antiqua"/>
          <w:b/>
          <w:bCs/>
          <w:color w:val="000000" w:themeColor="text1"/>
          <w:sz w:val="24"/>
        </w:rPr>
        <w:lastRenderedPageBreak/>
        <w:t>REFERENCES</w:t>
      </w:r>
    </w:p>
    <w:p w14:paraId="180F2CDE"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1 </w:t>
      </w:r>
      <w:r w:rsidRPr="005149CE">
        <w:rPr>
          <w:rFonts w:ascii="Book Antiqua" w:hAnsi="Book Antiqua" w:cs="Calibri"/>
          <w:b/>
          <w:bCs/>
          <w:color w:val="000000" w:themeColor="text1"/>
          <w:sz w:val="24"/>
        </w:rPr>
        <w:t>Siegel RL</w:t>
      </w:r>
      <w:r w:rsidRPr="005149CE">
        <w:rPr>
          <w:rFonts w:ascii="Book Antiqua" w:hAnsi="Book Antiqua" w:cs="Calibri"/>
          <w:color w:val="000000" w:themeColor="text1"/>
          <w:sz w:val="24"/>
        </w:rPr>
        <w:t xml:space="preserve">, Miller KD, </w:t>
      </w:r>
      <w:proofErr w:type="spellStart"/>
      <w:r w:rsidRPr="005149CE">
        <w:rPr>
          <w:rFonts w:ascii="Book Antiqua" w:hAnsi="Book Antiqua" w:cs="Calibri"/>
          <w:color w:val="000000" w:themeColor="text1"/>
          <w:sz w:val="24"/>
        </w:rPr>
        <w:t>Jemal</w:t>
      </w:r>
      <w:proofErr w:type="spellEnd"/>
      <w:r w:rsidRPr="005149CE">
        <w:rPr>
          <w:rFonts w:ascii="Book Antiqua" w:hAnsi="Book Antiqua" w:cs="Calibri"/>
          <w:color w:val="000000" w:themeColor="text1"/>
          <w:sz w:val="24"/>
        </w:rPr>
        <w:t xml:space="preserve"> A. Cancer statistics, 2015. </w:t>
      </w:r>
      <w:r w:rsidRPr="005149CE">
        <w:rPr>
          <w:rFonts w:ascii="Book Antiqua" w:hAnsi="Book Antiqua" w:cs="Calibri"/>
          <w:i/>
          <w:iCs/>
          <w:color w:val="000000" w:themeColor="text1"/>
          <w:sz w:val="24"/>
        </w:rPr>
        <w:t xml:space="preserve">CA Cancer J </w:t>
      </w:r>
      <w:proofErr w:type="spellStart"/>
      <w:r w:rsidRPr="005149CE">
        <w:rPr>
          <w:rFonts w:ascii="Book Antiqua" w:hAnsi="Book Antiqua" w:cs="Calibri"/>
          <w:i/>
          <w:iCs/>
          <w:color w:val="000000" w:themeColor="text1"/>
          <w:sz w:val="24"/>
        </w:rPr>
        <w:t>Clin</w:t>
      </w:r>
      <w:proofErr w:type="spellEnd"/>
      <w:r w:rsidRPr="005149CE">
        <w:rPr>
          <w:rFonts w:ascii="Book Antiqua" w:hAnsi="Book Antiqua" w:cs="Calibri"/>
          <w:color w:val="000000" w:themeColor="text1"/>
          <w:sz w:val="24"/>
        </w:rPr>
        <w:t> 2015; </w:t>
      </w:r>
      <w:r w:rsidRPr="005149CE">
        <w:rPr>
          <w:rFonts w:ascii="Book Antiqua" w:hAnsi="Book Antiqua" w:cs="Calibri"/>
          <w:b/>
          <w:bCs/>
          <w:color w:val="000000" w:themeColor="text1"/>
          <w:sz w:val="24"/>
        </w:rPr>
        <w:t>65</w:t>
      </w:r>
      <w:r w:rsidRPr="005149CE">
        <w:rPr>
          <w:rFonts w:ascii="Book Antiqua" w:hAnsi="Book Antiqua" w:cs="Calibri"/>
          <w:color w:val="000000" w:themeColor="text1"/>
          <w:sz w:val="24"/>
        </w:rPr>
        <w:t>: 5-29 [PMID: 25559415 DOI: 10.3322/caac.21254]</w:t>
      </w:r>
    </w:p>
    <w:p w14:paraId="19391219"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2 </w:t>
      </w:r>
      <w:r w:rsidRPr="005149CE">
        <w:rPr>
          <w:rFonts w:ascii="Book Antiqua" w:hAnsi="Book Antiqua" w:cs="Calibri"/>
          <w:b/>
          <w:bCs/>
          <w:color w:val="000000" w:themeColor="text1"/>
          <w:sz w:val="24"/>
        </w:rPr>
        <w:t>Torre LA</w:t>
      </w:r>
      <w:r w:rsidRPr="005149CE">
        <w:rPr>
          <w:rFonts w:ascii="Book Antiqua" w:hAnsi="Book Antiqua" w:cs="Calibri"/>
          <w:color w:val="000000" w:themeColor="text1"/>
          <w:sz w:val="24"/>
        </w:rPr>
        <w:t xml:space="preserve">, Bray F, Siegel RL, </w:t>
      </w:r>
      <w:proofErr w:type="spellStart"/>
      <w:r w:rsidRPr="005149CE">
        <w:rPr>
          <w:rFonts w:ascii="Book Antiqua" w:hAnsi="Book Antiqua" w:cs="Calibri"/>
          <w:color w:val="000000" w:themeColor="text1"/>
          <w:sz w:val="24"/>
        </w:rPr>
        <w:t>Ferlay</w:t>
      </w:r>
      <w:proofErr w:type="spellEnd"/>
      <w:r w:rsidRPr="005149CE">
        <w:rPr>
          <w:rFonts w:ascii="Book Antiqua" w:hAnsi="Book Antiqua" w:cs="Calibri"/>
          <w:color w:val="000000" w:themeColor="text1"/>
          <w:sz w:val="24"/>
        </w:rPr>
        <w:t xml:space="preserve"> J, </w:t>
      </w:r>
      <w:proofErr w:type="spellStart"/>
      <w:r w:rsidRPr="005149CE">
        <w:rPr>
          <w:rFonts w:ascii="Book Antiqua" w:hAnsi="Book Antiqua" w:cs="Calibri"/>
          <w:color w:val="000000" w:themeColor="text1"/>
          <w:sz w:val="24"/>
        </w:rPr>
        <w:t>Lortet-Tieulent</w:t>
      </w:r>
      <w:proofErr w:type="spellEnd"/>
      <w:r w:rsidRPr="005149CE">
        <w:rPr>
          <w:rFonts w:ascii="Book Antiqua" w:hAnsi="Book Antiqua" w:cs="Calibri"/>
          <w:color w:val="000000" w:themeColor="text1"/>
          <w:sz w:val="24"/>
        </w:rPr>
        <w:t xml:space="preserve"> J, </w:t>
      </w:r>
      <w:proofErr w:type="spellStart"/>
      <w:r w:rsidRPr="005149CE">
        <w:rPr>
          <w:rFonts w:ascii="Book Antiqua" w:hAnsi="Book Antiqua" w:cs="Calibri"/>
          <w:color w:val="000000" w:themeColor="text1"/>
          <w:sz w:val="24"/>
        </w:rPr>
        <w:t>Jemal</w:t>
      </w:r>
      <w:proofErr w:type="spellEnd"/>
      <w:r w:rsidRPr="005149CE">
        <w:rPr>
          <w:rFonts w:ascii="Book Antiqua" w:hAnsi="Book Antiqua" w:cs="Calibri"/>
          <w:color w:val="000000" w:themeColor="text1"/>
          <w:sz w:val="24"/>
        </w:rPr>
        <w:t xml:space="preserve"> A. Global cancer statistics, 2012. </w:t>
      </w:r>
      <w:r w:rsidRPr="005149CE">
        <w:rPr>
          <w:rFonts w:ascii="Book Antiqua" w:hAnsi="Book Antiqua" w:cs="Calibri"/>
          <w:i/>
          <w:iCs/>
          <w:color w:val="000000" w:themeColor="text1"/>
          <w:sz w:val="24"/>
        </w:rPr>
        <w:t xml:space="preserve">CA Cancer J </w:t>
      </w:r>
      <w:proofErr w:type="spellStart"/>
      <w:r w:rsidRPr="005149CE">
        <w:rPr>
          <w:rFonts w:ascii="Book Antiqua" w:hAnsi="Book Antiqua" w:cs="Calibri"/>
          <w:i/>
          <w:iCs/>
          <w:color w:val="000000" w:themeColor="text1"/>
          <w:sz w:val="24"/>
        </w:rPr>
        <w:t>Clin</w:t>
      </w:r>
      <w:proofErr w:type="spellEnd"/>
      <w:r w:rsidRPr="005149CE">
        <w:rPr>
          <w:rFonts w:ascii="Book Antiqua" w:hAnsi="Book Antiqua" w:cs="Calibri"/>
          <w:color w:val="000000" w:themeColor="text1"/>
          <w:sz w:val="24"/>
        </w:rPr>
        <w:t> 2015; </w:t>
      </w:r>
      <w:r w:rsidRPr="005149CE">
        <w:rPr>
          <w:rFonts w:ascii="Book Antiqua" w:hAnsi="Book Antiqua" w:cs="Calibri"/>
          <w:b/>
          <w:bCs/>
          <w:color w:val="000000" w:themeColor="text1"/>
          <w:sz w:val="24"/>
        </w:rPr>
        <w:t>65</w:t>
      </w:r>
      <w:r w:rsidRPr="005149CE">
        <w:rPr>
          <w:rFonts w:ascii="Book Antiqua" w:hAnsi="Book Antiqua" w:cs="Calibri"/>
          <w:color w:val="000000" w:themeColor="text1"/>
          <w:sz w:val="24"/>
        </w:rPr>
        <w:t>: 87-108 [PMID: 25651787 DOI: 10.3322/caac.21262]</w:t>
      </w:r>
    </w:p>
    <w:p w14:paraId="3D780D91"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3 </w:t>
      </w:r>
      <w:r w:rsidRPr="005149CE">
        <w:rPr>
          <w:rFonts w:ascii="Book Antiqua" w:hAnsi="Book Antiqua" w:cs="Calibri"/>
          <w:b/>
          <w:bCs/>
          <w:color w:val="000000" w:themeColor="text1"/>
          <w:sz w:val="24"/>
        </w:rPr>
        <w:t>Liu Y</w:t>
      </w:r>
      <w:r w:rsidRPr="005149CE">
        <w:rPr>
          <w:rFonts w:ascii="Book Antiqua" w:hAnsi="Book Antiqua" w:cs="Calibri"/>
          <w:color w:val="000000" w:themeColor="text1"/>
          <w:sz w:val="24"/>
        </w:rPr>
        <w:t>, Zhang X, Chen L, Zhao Q, Xia X. Cancer incidence and mortality in Gansu province, 2012. </w:t>
      </w:r>
      <w:r w:rsidRPr="005149CE">
        <w:rPr>
          <w:rFonts w:ascii="Book Antiqua" w:hAnsi="Book Antiqua" w:cs="Calibri"/>
          <w:i/>
          <w:iCs/>
          <w:color w:val="000000" w:themeColor="text1"/>
          <w:sz w:val="24"/>
        </w:rPr>
        <w:t>Chin J Cancer Res</w:t>
      </w:r>
      <w:r w:rsidRPr="005149CE">
        <w:rPr>
          <w:rFonts w:ascii="Book Antiqua" w:hAnsi="Book Antiqua" w:cs="Calibri"/>
          <w:color w:val="000000" w:themeColor="text1"/>
          <w:sz w:val="24"/>
        </w:rPr>
        <w:t> 2016; </w:t>
      </w:r>
      <w:r w:rsidRPr="005149CE">
        <w:rPr>
          <w:rFonts w:ascii="Book Antiqua" w:hAnsi="Book Antiqua" w:cs="Calibri"/>
          <w:b/>
          <w:bCs/>
          <w:color w:val="000000" w:themeColor="text1"/>
          <w:sz w:val="24"/>
        </w:rPr>
        <w:t>28</w:t>
      </w:r>
      <w:r w:rsidRPr="005149CE">
        <w:rPr>
          <w:rFonts w:ascii="Book Antiqua" w:hAnsi="Book Antiqua" w:cs="Calibri"/>
          <w:color w:val="000000" w:themeColor="text1"/>
          <w:sz w:val="24"/>
        </w:rPr>
        <w:t>: 301-310 [PMID: 27478315 DOI: 10.21147/j.issn.1000-9604.2016.03.04]</w:t>
      </w:r>
    </w:p>
    <w:p w14:paraId="41AD4E44"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4 </w:t>
      </w:r>
      <w:r w:rsidRPr="005149CE">
        <w:rPr>
          <w:rFonts w:ascii="Book Antiqua" w:hAnsi="Book Antiqua" w:cs="Calibri"/>
          <w:b/>
          <w:bCs/>
          <w:color w:val="000000" w:themeColor="text1"/>
          <w:sz w:val="24"/>
        </w:rPr>
        <w:t>Yang Z</w:t>
      </w:r>
      <w:r w:rsidRPr="005149CE">
        <w:rPr>
          <w:rFonts w:ascii="Book Antiqua" w:hAnsi="Book Antiqua" w:cs="Calibri"/>
          <w:color w:val="000000" w:themeColor="text1"/>
          <w:sz w:val="24"/>
        </w:rPr>
        <w:t>, Zeng H, Xia R, Liu Q, Sun K, Zheng R, Zhang S, Xia C, Li H, Liu S, Zhang Z, Liu Y, Guo G, Song G, Zhu Y, Wu X, Song B, Liao X, Chen Y, Wei W, Zhuang G, Chen W. Annual cost of illness of stomach and esophageal cancer patients in urban and rural areas in China: A multi-center study. </w:t>
      </w:r>
      <w:r w:rsidRPr="005149CE">
        <w:rPr>
          <w:rFonts w:ascii="Book Antiqua" w:hAnsi="Book Antiqua" w:cs="Calibri"/>
          <w:i/>
          <w:iCs/>
          <w:color w:val="000000" w:themeColor="text1"/>
          <w:sz w:val="24"/>
        </w:rPr>
        <w:t>Chin J Cancer Res</w:t>
      </w:r>
      <w:r w:rsidRPr="005149CE">
        <w:rPr>
          <w:rFonts w:ascii="Book Antiqua" w:hAnsi="Book Antiqua" w:cs="Calibri"/>
          <w:color w:val="000000" w:themeColor="text1"/>
          <w:sz w:val="24"/>
        </w:rPr>
        <w:t> 2018; </w:t>
      </w:r>
      <w:r w:rsidRPr="005149CE">
        <w:rPr>
          <w:rFonts w:ascii="Book Antiqua" w:hAnsi="Book Antiqua" w:cs="Calibri"/>
          <w:b/>
          <w:bCs/>
          <w:color w:val="000000" w:themeColor="text1"/>
          <w:sz w:val="24"/>
        </w:rPr>
        <w:t>30</w:t>
      </w:r>
      <w:r w:rsidRPr="005149CE">
        <w:rPr>
          <w:rFonts w:ascii="Book Antiqua" w:hAnsi="Book Antiqua" w:cs="Calibri"/>
          <w:color w:val="000000" w:themeColor="text1"/>
          <w:sz w:val="24"/>
        </w:rPr>
        <w:t>: 439-448 [PMID: 30210224 DOI: 10.21147/j.issn.1000-9604.2018.04.07]</w:t>
      </w:r>
    </w:p>
    <w:p w14:paraId="30A05155"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5 </w:t>
      </w:r>
      <w:r w:rsidRPr="005149CE">
        <w:rPr>
          <w:rFonts w:ascii="Book Antiqua" w:hAnsi="Book Antiqua" w:cs="Calibri"/>
          <w:b/>
          <w:bCs/>
          <w:color w:val="000000" w:themeColor="text1"/>
          <w:sz w:val="24"/>
        </w:rPr>
        <w:t>Cheng G</w:t>
      </w:r>
      <w:r w:rsidRPr="005149CE">
        <w:rPr>
          <w:rFonts w:ascii="Book Antiqua" w:hAnsi="Book Antiqua" w:cs="Calibri"/>
          <w:color w:val="000000" w:themeColor="text1"/>
          <w:sz w:val="24"/>
        </w:rPr>
        <w:t>. Circulating miRNAs: roles in cancer diagnosis, prognosis and therapy. </w:t>
      </w:r>
      <w:r w:rsidRPr="005149CE">
        <w:rPr>
          <w:rFonts w:ascii="Book Antiqua" w:hAnsi="Book Antiqua" w:cs="Calibri"/>
          <w:i/>
          <w:iCs/>
          <w:color w:val="000000" w:themeColor="text1"/>
          <w:sz w:val="24"/>
        </w:rPr>
        <w:t xml:space="preserve">Adv Drug </w:t>
      </w:r>
      <w:proofErr w:type="spellStart"/>
      <w:r w:rsidRPr="005149CE">
        <w:rPr>
          <w:rFonts w:ascii="Book Antiqua" w:hAnsi="Book Antiqua" w:cs="Calibri"/>
          <w:i/>
          <w:iCs/>
          <w:color w:val="000000" w:themeColor="text1"/>
          <w:sz w:val="24"/>
        </w:rPr>
        <w:t>Deliv</w:t>
      </w:r>
      <w:proofErr w:type="spellEnd"/>
      <w:r w:rsidRPr="005149CE">
        <w:rPr>
          <w:rFonts w:ascii="Book Antiqua" w:hAnsi="Book Antiqua" w:cs="Calibri"/>
          <w:i/>
          <w:iCs/>
          <w:color w:val="000000" w:themeColor="text1"/>
          <w:sz w:val="24"/>
        </w:rPr>
        <w:t xml:space="preserve"> Rev</w:t>
      </w:r>
      <w:r w:rsidRPr="005149CE">
        <w:rPr>
          <w:rFonts w:ascii="Book Antiqua" w:hAnsi="Book Antiqua" w:cs="Calibri"/>
          <w:color w:val="000000" w:themeColor="text1"/>
          <w:sz w:val="24"/>
        </w:rPr>
        <w:t> 2015; </w:t>
      </w:r>
      <w:r w:rsidRPr="005149CE">
        <w:rPr>
          <w:rFonts w:ascii="Book Antiqua" w:hAnsi="Book Antiqua" w:cs="Calibri"/>
          <w:b/>
          <w:bCs/>
          <w:color w:val="000000" w:themeColor="text1"/>
          <w:sz w:val="24"/>
        </w:rPr>
        <w:t>81</w:t>
      </w:r>
      <w:r w:rsidRPr="005149CE">
        <w:rPr>
          <w:rFonts w:ascii="Book Antiqua" w:hAnsi="Book Antiqua" w:cs="Calibri"/>
          <w:color w:val="000000" w:themeColor="text1"/>
          <w:sz w:val="24"/>
        </w:rPr>
        <w:t>: 75-93 [PMID: 25220354 DOI: 10.1016/j.addr.2014.09.001]</w:t>
      </w:r>
    </w:p>
    <w:p w14:paraId="115D006D"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6 </w:t>
      </w:r>
      <w:proofErr w:type="spellStart"/>
      <w:r w:rsidRPr="005149CE">
        <w:rPr>
          <w:rFonts w:ascii="Book Antiqua" w:hAnsi="Book Antiqua" w:cs="Calibri"/>
          <w:b/>
          <w:bCs/>
          <w:color w:val="000000" w:themeColor="text1"/>
          <w:sz w:val="24"/>
        </w:rPr>
        <w:t>Schwarzenbach</w:t>
      </w:r>
      <w:proofErr w:type="spellEnd"/>
      <w:r w:rsidRPr="005149CE">
        <w:rPr>
          <w:rFonts w:ascii="Book Antiqua" w:hAnsi="Book Antiqua" w:cs="Calibri"/>
          <w:b/>
          <w:bCs/>
          <w:color w:val="000000" w:themeColor="text1"/>
          <w:sz w:val="24"/>
        </w:rPr>
        <w:t xml:space="preserve"> H</w:t>
      </w:r>
      <w:r w:rsidRPr="005149CE">
        <w:rPr>
          <w:rFonts w:ascii="Book Antiqua" w:hAnsi="Book Antiqua" w:cs="Calibri"/>
          <w:color w:val="000000" w:themeColor="text1"/>
          <w:sz w:val="24"/>
        </w:rPr>
        <w:t xml:space="preserve">, Nishida N, Calin GA, </w:t>
      </w:r>
      <w:proofErr w:type="spellStart"/>
      <w:r w:rsidRPr="005149CE">
        <w:rPr>
          <w:rFonts w:ascii="Book Antiqua" w:hAnsi="Book Antiqua" w:cs="Calibri"/>
          <w:color w:val="000000" w:themeColor="text1"/>
          <w:sz w:val="24"/>
        </w:rPr>
        <w:t>Pantel</w:t>
      </w:r>
      <w:proofErr w:type="spellEnd"/>
      <w:r w:rsidRPr="005149CE">
        <w:rPr>
          <w:rFonts w:ascii="Book Antiqua" w:hAnsi="Book Antiqua" w:cs="Calibri"/>
          <w:color w:val="000000" w:themeColor="text1"/>
          <w:sz w:val="24"/>
        </w:rPr>
        <w:t xml:space="preserve"> K. Clinical relevance of circulating cell-free microRNAs in cancer. </w:t>
      </w:r>
      <w:r w:rsidRPr="005149CE">
        <w:rPr>
          <w:rFonts w:ascii="Book Antiqua" w:hAnsi="Book Antiqua" w:cs="Calibri"/>
          <w:i/>
          <w:iCs/>
          <w:color w:val="000000" w:themeColor="text1"/>
          <w:sz w:val="24"/>
        </w:rPr>
        <w:t xml:space="preserve">Nat Rev </w:t>
      </w:r>
      <w:proofErr w:type="spellStart"/>
      <w:r w:rsidRPr="005149CE">
        <w:rPr>
          <w:rFonts w:ascii="Book Antiqua" w:hAnsi="Book Antiqua" w:cs="Calibri"/>
          <w:i/>
          <w:iCs/>
          <w:color w:val="000000" w:themeColor="text1"/>
          <w:sz w:val="24"/>
        </w:rPr>
        <w:t>Clin</w:t>
      </w:r>
      <w:proofErr w:type="spellEnd"/>
      <w:r w:rsidRPr="005149CE">
        <w:rPr>
          <w:rFonts w:ascii="Book Antiqua" w:hAnsi="Book Antiqua" w:cs="Calibri"/>
          <w:i/>
          <w:iCs/>
          <w:color w:val="000000" w:themeColor="text1"/>
          <w:sz w:val="24"/>
        </w:rPr>
        <w:t xml:space="preserve"> Oncol</w:t>
      </w:r>
      <w:r w:rsidRPr="005149CE">
        <w:rPr>
          <w:rFonts w:ascii="Book Antiqua" w:hAnsi="Book Antiqua" w:cs="Calibri"/>
          <w:color w:val="000000" w:themeColor="text1"/>
          <w:sz w:val="24"/>
        </w:rPr>
        <w:t> 2014; </w:t>
      </w:r>
      <w:r w:rsidRPr="005149CE">
        <w:rPr>
          <w:rFonts w:ascii="Book Antiqua" w:hAnsi="Book Antiqua" w:cs="Calibri"/>
          <w:b/>
          <w:bCs/>
          <w:color w:val="000000" w:themeColor="text1"/>
          <w:sz w:val="24"/>
        </w:rPr>
        <w:t>11</w:t>
      </w:r>
      <w:r w:rsidRPr="005149CE">
        <w:rPr>
          <w:rFonts w:ascii="Book Antiqua" w:hAnsi="Book Antiqua" w:cs="Calibri"/>
          <w:color w:val="000000" w:themeColor="text1"/>
          <w:sz w:val="24"/>
        </w:rPr>
        <w:t>: 145-156 [PMID: 24492836 DOI: 10.1038/nrclinonc.2014.5]</w:t>
      </w:r>
    </w:p>
    <w:p w14:paraId="37E60135"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7 </w:t>
      </w:r>
      <w:proofErr w:type="spellStart"/>
      <w:r w:rsidRPr="005149CE">
        <w:rPr>
          <w:rFonts w:ascii="Book Antiqua" w:hAnsi="Book Antiqua" w:cs="Calibri"/>
          <w:b/>
          <w:bCs/>
          <w:color w:val="000000" w:themeColor="text1"/>
          <w:sz w:val="24"/>
        </w:rPr>
        <w:t>Tsujiura</w:t>
      </w:r>
      <w:proofErr w:type="spellEnd"/>
      <w:r w:rsidRPr="005149CE">
        <w:rPr>
          <w:rFonts w:ascii="Book Antiqua" w:hAnsi="Book Antiqua" w:cs="Calibri"/>
          <w:b/>
          <w:bCs/>
          <w:color w:val="000000" w:themeColor="text1"/>
          <w:sz w:val="24"/>
        </w:rPr>
        <w:t xml:space="preserve"> M</w:t>
      </w:r>
      <w:r w:rsidRPr="005149CE">
        <w:rPr>
          <w:rFonts w:ascii="Book Antiqua" w:hAnsi="Book Antiqua" w:cs="Calibri"/>
          <w:color w:val="000000" w:themeColor="text1"/>
          <w:sz w:val="24"/>
        </w:rPr>
        <w:t xml:space="preserve">, Ichikawa D, </w:t>
      </w:r>
      <w:proofErr w:type="spellStart"/>
      <w:r w:rsidRPr="005149CE">
        <w:rPr>
          <w:rFonts w:ascii="Book Antiqua" w:hAnsi="Book Antiqua" w:cs="Calibri"/>
          <w:color w:val="000000" w:themeColor="text1"/>
          <w:sz w:val="24"/>
        </w:rPr>
        <w:t>Konishi</w:t>
      </w:r>
      <w:proofErr w:type="spellEnd"/>
      <w:r w:rsidRPr="005149CE">
        <w:rPr>
          <w:rFonts w:ascii="Book Antiqua" w:hAnsi="Book Antiqua" w:cs="Calibri"/>
          <w:color w:val="000000" w:themeColor="text1"/>
          <w:sz w:val="24"/>
        </w:rPr>
        <w:t xml:space="preserve"> H, Komatsu S, </w:t>
      </w:r>
      <w:proofErr w:type="spellStart"/>
      <w:r w:rsidRPr="005149CE">
        <w:rPr>
          <w:rFonts w:ascii="Book Antiqua" w:hAnsi="Book Antiqua" w:cs="Calibri"/>
          <w:color w:val="000000" w:themeColor="text1"/>
          <w:sz w:val="24"/>
        </w:rPr>
        <w:t>Shiozaki</w:t>
      </w:r>
      <w:proofErr w:type="spellEnd"/>
      <w:r w:rsidRPr="005149CE">
        <w:rPr>
          <w:rFonts w:ascii="Book Antiqua" w:hAnsi="Book Antiqua" w:cs="Calibri"/>
          <w:color w:val="000000" w:themeColor="text1"/>
          <w:sz w:val="24"/>
        </w:rPr>
        <w:t xml:space="preserve"> A, </w:t>
      </w:r>
      <w:proofErr w:type="spellStart"/>
      <w:r w:rsidRPr="005149CE">
        <w:rPr>
          <w:rFonts w:ascii="Book Antiqua" w:hAnsi="Book Antiqua" w:cs="Calibri"/>
          <w:color w:val="000000" w:themeColor="text1"/>
          <w:sz w:val="24"/>
        </w:rPr>
        <w:t>Otsuji</w:t>
      </w:r>
      <w:proofErr w:type="spellEnd"/>
      <w:r w:rsidRPr="005149CE">
        <w:rPr>
          <w:rFonts w:ascii="Book Antiqua" w:hAnsi="Book Antiqua" w:cs="Calibri"/>
          <w:color w:val="000000" w:themeColor="text1"/>
          <w:sz w:val="24"/>
        </w:rPr>
        <w:t xml:space="preserve"> E. Liquid biopsy of gastric cancer patients: circulating tumor cells and cell-free nucleic acids. </w:t>
      </w:r>
      <w:r w:rsidRPr="005149CE">
        <w:rPr>
          <w:rFonts w:ascii="Book Antiqua" w:hAnsi="Book Antiqua" w:cs="Calibri"/>
          <w:i/>
          <w:iCs/>
          <w:color w:val="000000" w:themeColor="text1"/>
          <w:sz w:val="24"/>
        </w:rPr>
        <w:t>World J Gastroenterol</w:t>
      </w:r>
      <w:r w:rsidRPr="005149CE">
        <w:rPr>
          <w:rFonts w:ascii="Book Antiqua" w:hAnsi="Book Antiqua" w:cs="Calibri"/>
          <w:color w:val="000000" w:themeColor="text1"/>
          <w:sz w:val="24"/>
        </w:rPr>
        <w:t> 2014; </w:t>
      </w:r>
      <w:r w:rsidRPr="005149CE">
        <w:rPr>
          <w:rFonts w:ascii="Book Antiqua" w:hAnsi="Book Antiqua" w:cs="Calibri"/>
          <w:b/>
          <w:bCs/>
          <w:color w:val="000000" w:themeColor="text1"/>
          <w:sz w:val="24"/>
        </w:rPr>
        <w:t>20</w:t>
      </w:r>
      <w:r w:rsidRPr="005149CE">
        <w:rPr>
          <w:rFonts w:ascii="Book Antiqua" w:hAnsi="Book Antiqua" w:cs="Calibri"/>
          <w:color w:val="000000" w:themeColor="text1"/>
          <w:sz w:val="24"/>
        </w:rPr>
        <w:t>: 3265-3286 [PMID: 24696609 DOI: 10.3748/wjg.v20.i12.3265]</w:t>
      </w:r>
    </w:p>
    <w:p w14:paraId="0DC91D28"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8 </w:t>
      </w:r>
      <w:r w:rsidRPr="005149CE">
        <w:rPr>
          <w:rFonts w:ascii="Book Antiqua" w:hAnsi="Book Antiqua" w:cs="Calibri"/>
          <w:b/>
          <w:bCs/>
          <w:color w:val="000000" w:themeColor="text1"/>
          <w:sz w:val="24"/>
        </w:rPr>
        <w:t>Li X</w:t>
      </w:r>
      <w:r w:rsidRPr="005149CE">
        <w:rPr>
          <w:rFonts w:ascii="Book Antiqua" w:hAnsi="Book Antiqua" w:cs="Calibri"/>
          <w:color w:val="000000" w:themeColor="text1"/>
          <w:sz w:val="24"/>
        </w:rPr>
        <w:t>, Luo F, Li Q, Xu M, Feng D, Zhang G, Wu W. Identification of new aberrantly expressed miRNAs in intestinal-type gastric cancer and its clinical significance. </w:t>
      </w:r>
      <w:r w:rsidRPr="005149CE">
        <w:rPr>
          <w:rFonts w:ascii="Book Antiqua" w:hAnsi="Book Antiqua" w:cs="Calibri"/>
          <w:i/>
          <w:iCs/>
          <w:color w:val="000000" w:themeColor="text1"/>
          <w:sz w:val="24"/>
        </w:rPr>
        <w:t>Oncol Rep</w:t>
      </w:r>
      <w:r w:rsidRPr="005149CE">
        <w:rPr>
          <w:rFonts w:ascii="Book Antiqua" w:hAnsi="Book Antiqua" w:cs="Calibri"/>
          <w:color w:val="000000" w:themeColor="text1"/>
          <w:sz w:val="24"/>
        </w:rPr>
        <w:t>2011; </w:t>
      </w:r>
      <w:r w:rsidRPr="005149CE">
        <w:rPr>
          <w:rFonts w:ascii="Book Antiqua" w:hAnsi="Book Antiqua" w:cs="Calibri"/>
          <w:b/>
          <w:bCs/>
          <w:color w:val="000000" w:themeColor="text1"/>
          <w:sz w:val="24"/>
        </w:rPr>
        <w:t>26</w:t>
      </w:r>
      <w:r w:rsidRPr="005149CE">
        <w:rPr>
          <w:rFonts w:ascii="Book Antiqua" w:hAnsi="Book Antiqua" w:cs="Calibri"/>
          <w:color w:val="000000" w:themeColor="text1"/>
          <w:sz w:val="24"/>
        </w:rPr>
        <w:t>: 1431-1439 [PMID: 21874264 DOI: 10.3892/or.2011.1437]</w:t>
      </w:r>
    </w:p>
    <w:p w14:paraId="77704545"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9 </w:t>
      </w:r>
      <w:r w:rsidRPr="005149CE">
        <w:rPr>
          <w:rFonts w:ascii="Book Antiqua" w:hAnsi="Book Antiqua" w:cs="Calibri"/>
          <w:b/>
          <w:bCs/>
          <w:color w:val="000000" w:themeColor="text1"/>
          <w:sz w:val="24"/>
        </w:rPr>
        <w:t>Tsai MM</w:t>
      </w:r>
      <w:r w:rsidRPr="005149CE">
        <w:rPr>
          <w:rFonts w:ascii="Book Antiqua" w:hAnsi="Book Antiqua" w:cs="Calibri"/>
          <w:color w:val="000000" w:themeColor="text1"/>
          <w:sz w:val="24"/>
        </w:rPr>
        <w:t xml:space="preserve">, Wang CS, Tsai CY, Huang CG, Lee KF, Huang HW, Lin YH, Chi HC, </w:t>
      </w:r>
      <w:proofErr w:type="spellStart"/>
      <w:r w:rsidRPr="005149CE">
        <w:rPr>
          <w:rFonts w:ascii="Book Antiqua" w:hAnsi="Book Antiqua" w:cs="Calibri"/>
          <w:color w:val="000000" w:themeColor="text1"/>
          <w:sz w:val="24"/>
        </w:rPr>
        <w:t>Kuo</w:t>
      </w:r>
      <w:proofErr w:type="spellEnd"/>
      <w:r w:rsidRPr="005149CE">
        <w:rPr>
          <w:rFonts w:ascii="Book Antiqua" w:hAnsi="Book Antiqua" w:cs="Calibri"/>
          <w:color w:val="000000" w:themeColor="text1"/>
          <w:sz w:val="24"/>
        </w:rPr>
        <w:t xml:space="preserve"> LM, Lu PH, Lin KH. Circulating microRNA-196a/b are novel biomarkers associated with metastatic gastric cancer. </w:t>
      </w:r>
      <w:proofErr w:type="spellStart"/>
      <w:r w:rsidRPr="005149CE">
        <w:rPr>
          <w:rFonts w:ascii="Book Antiqua" w:hAnsi="Book Antiqua" w:cs="Calibri"/>
          <w:i/>
          <w:iCs/>
          <w:color w:val="000000" w:themeColor="text1"/>
          <w:sz w:val="24"/>
        </w:rPr>
        <w:t>Eur</w:t>
      </w:r>
      <w:proofErr w:type="spellEnd"/>
      <w:r w:rsidRPr="005149CE">
        <w:rPr>
          <w:rFonts w:ascii="Book Antiqua" w:hAnsi="Book Antiqua" w:cs="Calibri"/>
          <w:i/>
          <w:iCs/>
          <w:color w:val="000000" w:themeColor="text1"/>
          <w:sz w:val="24"/>
        </w:rPr>
        <w:t xml:space="preserve"> J Cancer</w:t>
      </w:r>
      <w:r w:rsidRPr="005149CE">
        <w:rPr>
          <w:rFonts w:ascii="Book Antiqua" w:hAnsi="Book Antiqua" w:cs="Calibri"/>
          <w:color w:val="000000" w:themeColor="text1"/>
          <w:sz w:val="24"/>
        </w:rPr>
        <w:t> 2016; </w:t>
      </w:r>
      <w:r w:rsidRPr="005149CE">
        <w:rPr>
          <w:rFonts w:ascii="Book Antiqua" w:hAnsi="Book Antiqua" w:cs="Calibri"/>
          <w:b/>
          <w:bCs/>
          <w:color w:val="000000" w:themeColor="text1"/>
          <w:sz w:val="24"/>
        </w:rPr>
        <w:t>64</w:t>
      </w:r>
      <w:r w:rsidRPr="005149CE">
        <w:rPr>
          <w:rFonts w:ascii="Book Antiqua" w:hAnsi="Book Antiqua" w:cs="Calibri"/>
          <w:color w:val="000000" w:themeColor="text1"/>
          <w:sz w:val="24"/>
        </w:rPr>
        <w:t>: 137-</w:t>
      </w:r>
      <w:r w:rsidRPr="005149CE">
        <w:rPr>
          <w:rFonts w:ascii="Book Antiqua" w:hAnsi="Book Antiqua" w:cs="Calibri"/>
          <w:color w:val="000000" w:themeColor="text1"/>
          <w:sz w:val="24"/>
        </w:rPr>
        <w:lastRenderedPageBreak/>
        <w:t>148 [PMID: 27420607 DOI: 10.1016/j.ejca.2016.05.007]</w:t>
      </w:r>
    </w:p>
    <w:p w14:paraId="291E5BAF"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10 </w:t>
      </w:r>
      <w:r w:rsidRPr="005149CE">
        <w:rPr>
          <w:rFonts w:ascii="Book Antiqua" w:hAnsi="Book Antiqua" w:cs="Calibri"/>
          <w:b/>
          <w:bCs/>
          <w:color w:val="000000" w:themeColor="text1"/>
          <w:sz w:val="24"/>
        </w:rPr>
        <w:t>Fang Y</w:t>
      </w:r>
      <w:r w:rsidRPr="005149CE">
        <w:rPr>
          <w:rFonts w:ascii="Book Antiqua" w:hAnsi="Book Antiqua" w:cs="Calibri"/>
          <w:color w:val="000000" w:themeColor="text1"/>
          <w:sz w:val="24"/>
        </w:rPr>
        <w:t xml:space="preserve">, Shen H, Li H, Cao Y, Qin R, Long L, Zhu X, </w:t>
      </w:r>
      <w:proofErr w:type="spellStart"/>
      <w:r w:rsidRPr="005149CE">
        <w:rPr>
          <w:rFonts w:ascii="Book Antiqua" w:hAnsi="Book Antiqua" w:cs="Calibri"/>
          <w:color w:val="000000" w:themeColor="text1"/>
          <w:sz w:val="24"/>
        </w:rPr>
        <w:t>Xie</w:t>
      </w:r>
      <w:proofErr w:type="spellEnd"/>
      <w:r w:rsidRPr="005149CE">
        <w:rPr>
          <w:rFonts w:ascii="Book Antiqua" w:hAnsi="Book Antiqua" w:cs="Calibri"/>
          <w:color w:val="000000" w:themeColor="text1"/>
          <w:sz w:val="24"/>
        </w:rPr>
        <w:t xml:space="preserve"> C, Xu W. miR-106a confers cisplatin resistance by regulating PTEN/</w:t>
      </w:r>
      <w:proofErr w:type="spellStart"/>
      <w:r w:rsidRPr="005149CE">
        <w:rPr>
          <w:rFonts w:ascii="Book Antiqua" w:hAnsi="Book Antiqua" w:cs="Calibri"/>
          <w:color w:val="000000" w:themeColor="text1"/>
          <w:sz w:val="24"/>
        </w:rPr>
        <w:t>Akt</w:t>
      </w:r>
      <w:proofErr w:type="spellEnd"/>
      <w:r w:rsidRPr="005149CE">
        <w:rPr>
          <w:rFonts w:ascii="Book Antiqua" w:hAnsi="Book Antiqua" w:cs="Calibri"/>
          <w:color w:val="000000" w:themeColor="text1"/>
          <w:sz w:val="24"/>
        </w:rPr>
        <w:t xml:space="preserve"> pathway in gastric cancer cells. </w:t>
      </w:r>
      <w:r w:rsidRPr="005149CE">
        <w:rPr>
          <w:rFonts w:ascii="Book Antiqua" w:hAnsi="Book Antiqua" w:cs="Calibri"/>
          <w:i/>
          <w:iCs/>
          <w:color w:val="000000" w:themeColor="text1"/>
          <w:sz w:val="24"/>
        </w:rPr>
        <w:t xml:space="preserve">Acta </w:t>
      </w:r>
      <w:proofErr w:type="spellStart"/>
      <w:r w:rsidRPr="005149CE">
        <w:rPr>
          <w:rFonts w:ascii="Book Antiqua" w:hAnsi="Book Antiqua" w:cs="Calibri"/>
          <w:i/>
          <w:iCs/>
          <w:color w:val="000000" w:themeColor="text1"/>
          <w:sz w:val="24"/>
        </w:rPr>
        <w:t>Biochim</w:t>
      </w:r>
      <w:proofErr w:type="spellEnd"/>
      <w:r w:rsidRPr="005149CE">
        <w:rPr>
          <w:rFonts w:ascii="Book Antiqua" w:hAnsi="Book Antiqua" w:cs="Calibri"/>
          <w:i/>
          <w:iCs/>
          <w:color w:val="000000" w:themeColor="text1"/>
          <w:sz w:val="24"/>
        </w:rPr>
        <w:t xml:space="preserve"> </w:t>
      </w:r>
      <w:proofErr w:type="spellStart"/>
      <w:r w:rsidRPr="005149CE">
        <w:rPr>
          <w:rFonts w:ascii="Book Antiqua" w:hAnsi="Book Antiqua" w:cs="Calibri"/>
          <w:i/>
          <w:iCs/>
          <w:color w:val="000000" w:themeColor="text1"/>
          <w:sz w:val="24"/>
        </w:rPr>
        <w:t>Biophys</w:t>
      </w:r>
      <w:proofErr w:type="spellEnd"/>
      <w:r w:rsidRPr="005149CE">
        <w:rPr>
          <w:rFonts w:ascii="Book Antiqua" w:hAnsi="Book Antiqua" w:cs="Calibri"/>
          <w:i/>
          <w:iCs/>
          <w:color w:val="000000" w:themeColor="text1"/>
          <w:sz w:val="24"/>
        </w:rPr>
        <w:t xml:space="preserve"> Sin </w:t>
      </w:r>
      <w:r w:rsidRPr="00683D32">
        <w:rPr>
          <w:rFonts w:ascii="Book Antiqua" w:hAnsi="Book Antiqua" w:cs="Calibri"/>
          <w:iCs/>
          <w:color w:val="000000" w:themeColor="text1"/>
          <w:sz w:val="24"/>
        </w:rPr>
        <w:t>(Shanghai)</w:t>
      </w:r>
      <w:r w:rsidRPr="00683D32">
        <w:rPr>
          <w:rFonts w:ascii="Book Antiqua" w:hAnsi="Book Antiqua" w:cs="Calibri"/>
          <w:color w:val="000000" w:themeColor="text1"/>
          <w:sz w:val="24"/>
        </w:rPr>
        <w:t> </w:t>
      </w:r>
      <w:r w:rsidRPr="005149CE">
        <w:rPr>
          <w:rFonts w:ascii="Book Antiqua" w:hAnsi="Book Antiqua" w:cs="Calibri"/>
          <w:color w:val="000000" w:themeColor="text1"/>
          <w:sz w:val="24"/>
        </w:rPr>
        <w:t>2013; </w:t>
      </w:r>
      <w:r w:rsidRPr="005149CE">
        <w:rPr>
          <w:rFonts w:ascii="Book Antiqua" w:hAnsi="Book Antiqua" w:cs="Calibri"/>
          <w:b/>
          <w:bCs/>
          <w:color w:val="000000" w:themeColor="text1"/>
          <w:sz w:val="24"/>
        </w:rPr>
        <w:t>45</w:t>
      </w:r>
      <w:r w:rsidRPr="005149CE">
        <w:rPr>
          <w:rFonts w:ascii="Book Antiqua" w:hAnsi="Book Antiqua" w:cs="Calibri"/>
          <w:color w:val="000000" w:themeColor="text1"/>
          <w:sz w:val="24"/>
        </w:rPr>
        <w:t>: 963-972 [PMID: 24108762 DOI: 10.1093/</w:t>
      </w:r>
      <w:proofErr w:type="spellStart"/>
      <w:r w:rsidRPr="005149CE">
        <w:rPr>
          <w:rFonts w:ascii="Book Antiqua" w:hAnsi="Book Antiqua" w:cs="Calibri"/>
          <w:color w:val="000000" w:themeColor="text1"/>
          <w:sz w:val="24"/>
        </w:rPr>
        <w:t>abbs</w:t>
      </w:r>
      <w:proofErr w:type="spellEnd"/>
      <w:r w:rsidRPr="005149CE">
        <w:rPr>
          <w:rFonts w:ascii="Book Antiqua" w:hAnsi="Book Antiqua" w:cs="Calibri"/>
          <w:color w:val="000000" w:themeColor="text1"/>
          <w:sz w:val="24"/>
        </w:rPr>
        <w:t>/gmt106]</w:t>
      </w:r>
    </w:p>
    <w:p w14:paraId="0CB0068B"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11 </w:t>
      </w:r>
      <w:r w:rsidRPr="005149CE">
        <w:rPr>
          <w:rFonts w:ascii="Book Antiqua" w:hAnsi="Book Antiqua" w:cs="Calibri"/>
          <w:b/>
          <w:bCs/>
          <w:color w:val="000000" w:themeColor="text1"/>
          <w:sz w:val="24"/>
        </w:rPr>
        <w:t>Zhou X</w:t>
      </w:r>
      <w:r w:rsidRPr="005149CE">
        <w:rPr>
          <w:rFonts w:ascii="Book Antiqua" w:hAnsi="Book Antiqua" w:cs="Calibri"/>
          <w:color w:val="000000" w:themeColor="text1"/>
          <w:sz w:val="24"/>
        </w:rPr>
        <w:t>, Zhu W, Li H, Wen W, Cheng W, Wang F, Wu Y, Qi L, Fan Y, Chen Y, Ding Y, Xu J, Qian J, Huang Z, Wang T, Zhu D, Shu Y, Liu P. Diagnostic value of a plasma microRNA signature in gastric cancer: a microRNA expression analysis. </w:t>
      </w:r>
      <w:r w:rsidRPr="005149CE">
        <w:rPr>
          <w:rFonts w:ascii="Book Antiqua" w:hAnsi="Book Antiqua" w:cs="Calibri"/>
          <w:i/>
          <w:iCs/>
          <w:color w:val="000000" w:themeColor="text1"/>
          <w:sz w:val="24"/>
        </w:rPr>
        <w:t>Sci Rep</w:t>
      </w:r>
      <w:r w:rsidRPr="005149CE">
        <w:rPr>
          <w:rFonts w:ascii="Book Antiqua" w:hAnsi="Book Antiqua" w:cs="Calibri"/>
          <w:color w:val="000000" w:themeColor="text1"/>
          <w:sz w:val="24"/>
        </w:rPr>
        <w:t> 2015; </w:t>
      </w:r>
      <w:r w:rsidRPr="005149CE">
        <w:rPr>
          <w:rFonts w:ascii="Book Antiqua" w:hAnsi="Book Antiqua" w:cs="Calibri"/>
          <w:b/>
          <w:bCs/>
          <w:color w:val="000000" w:themeColor="text1"/>
          <w:sz w:val="24"/>
        </w:rPr>
        <w:t>5</w:t>
      </w:r>
      <w:r w:rsidRPr="005149CE">
        <w:rPr>
          <w:rFonts w:ascii="Book Antiqua" w:hAnsi="Book Antiqua" w:cs="Calibri"/>
          <w:color w:val="000000" w:themeColor="text1"/>
          <w:sz w:val="24"/>
        </w:rPr>
        <w:t>: 11251 [PMID: 26059512 DOI: 10.1038/srep11251]</w:t>
      </w:r>
    </w:p>
    <w:p w14:paraId="57F7BE4A"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12 </w:t>
      </w:r>
      <w:r w:rsidRPr="005149CE">
        <w:rPr>
          <w:rFonts w:ascii="Book Antiqua" w:hAnsi="Book Antiqua" w:cs="Calibri"/>
          <w:b/>
          <w:bCs/>
          <w:color w:val="000000" w:themeColor="text1"/>
          <w:sz w:val="24"/>
        </w:rPr>
        <w:t>Jiang Z</w:t>
      </w:r>
      <w:r w:rsidRPr="005149CE">
        <w:rPr>
          <w:rFonts w:ascii="Book Antiqua" w:hAnsi="Book Antiqua" w:cs="Calibri"/>
          <w:color w:val="000000" w:themeColor="text1"/>
          <w:sz w:val="24"/>
        </w:rPr>
        <w:t>, Guo J, Xiao B, Miao Y, Huang R, Li D, Zhang Y. Increased expression of miR-421 in human gastric carcinoma and its clinical association. </w:t>
      </w:r>
      <w:r w:rsidRPr="005149CE">
        <w:rPr>
          <w:rFonts w:ascii="Book Antiqua" w:hAnsi="Book Antiqua" w:cs="Calibri"/>
          <w:i/>
          <w:iCs/>
          <w:color w:val="000000" w:themeColor="text1"/>
          <w:sz w:val="24"/>
        </w:rPr>
        <w:t>J Gastroenterol</w:t>
      </w:r>
      <w:r w:rsidRPr="005149CE">
        <w:rPr>
          <w:rFonts w:ascii="Book Antiqua" w:hAnsi="Book Antiqua" w:cs="Calibri"/>
          <w:color w:val="000000" w:themeColor="text1"/>
          <w:sz w:val="24"/>
        </w:rPr>
        <w:t> 2010; </w:t>
      </w:r>
      <w:r w:rsidRPr="005149CE">
        <w:rPr>
          <w:rFonts w:ascii="Book Antiqua" w:hAnsi="Book Antiqua" w:cs="Calibri"/>
          <w:b/>
          <w:bCs/>
          <w:color w:val="000000" w:themeColor="text1"/>
          <w:sz w:val="24"/>
        </w:rPr>
        <w:t>45</w:t>
      </w:r>
      <w:r w:rsidRPr="005149CE">
        <w:rPr>
          <w:rFonts w:ascii="Book Antiqua" w:hAnsi="Book Antiqua" w:cs="Calibri"/>
          <w:color w:val="000000" w:themeColor="text1"/>
          <w:sz w:val="24"/>
        </w:rPr>
        <w:t>: 17-23 [PMID: 19802518 DOI: 10.1007/s00535-009-0135-6]</w:t>
      </w:r>
    </w:p>
    <w:p w14:paraId="564BF4C6"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13 </w:t>
      </w:r>
      <w:r w:rsidRPr="005149CE">
        <w:rPr>
          <w:rFonts w:ascii="Book Antiqua" w:hAnsi="Book Antiqua" w:cs="Calibri"/>
          <w:b/>
          <w:bCs/>
          <w:color w:val="000000" w:themeColor="text1"/>
          <w:sz w:val="24"/>
        </w:rPr>
        <w:t>Bibi F</w:t>
      </w:r>
      <w:r w:rsidRPr="005149CE">
        <w:rPr>
          <w:rFonts w:ascii="Book Antiqua" w:hAnsi="Book Antiqua" w:cs="Calibri"/>
          <w:color w:val="000000" w:themeColor="text1"/>
          <w:sz w:val="24"/>
        </w:rPr>
        <w:t xml:space="preserve">, Naseer MI, </w:t>
      </w:r>
      <w:proofErr w:type="spellStart"/>
      <w:r w:rsidRPr="005149CE">
        <w:rPr>
          <w:rFonts w:ascii="Book Antiqua" w:hAnsi="Book Antiqua" w:cs="Calibri"/>
          <w:color w:val="000000" w:themeColor="text1"/>
          <w:sz w:val="24"/>
        </w:rPr>
        <w:t>Alvi</w:t>
      </w:r>
      <w:proofErr w:type="spellEnd"/>
      <w:r w:rsidRPr="005149CE">
        <w:rPr>
          <w:rFonts w:ascii="Book Antiqua" w:hAnsi="Book Antiqua" w:cs="Calibri"/>
          <w:color w:val="000000" w:themeColor="text1"/>
          <w:sz w:val="24"/>
        </w:rPr>
        <w:t xml:space="preserve"> SA, Yasir M, </w:t>
      </w:r>
      <w:proofErr w:type="spellStart"/>
      <w:r w:rsidRPr="005149CE">
        <w:rPr>
          <w:rFonts w:ascii="Book Antiqua" w:hAnsi="Book Antiqua" w:cs="Calibri"/>
          <w:color w:val="000000" w:themeColor="text1"/>
          <w:sz w:val="24"/>
        </w:rPr>
        <w:t>Jiman-Fatani</w:t>
      </w:r>
      <w:proofErr w:type="spellEnd"/>
      <w:r w:rsidRPr="005149CE">
        <w:rPr>
          <w:rFonts w:ascii="Book Antiqua" w:hAnsi="Book Antiqua" w:cs="Calibri"/>
          <w:color w:val="000000" w:themeColor="text1"/>
          <w:sz w:val="24"/>
        </w:rPr>
        <w:t xml:space="preserve"> AA, </w:t>
      </w:r>
      <w:proofErr w:type="spellStart"/>
      <w:r w:rsidRPr="005149CE">
        <w:rPr>
          <w:rFonts w:ascii="Book Antiqua" w:hAnsi="Book Antiqua" w:cs="Calibri"/>
          <w:color w:val="000000" w:themeColor="text1"/>
          <w:sz w:val="24"/>
        </w:rPr>
        <w:t>Sawan</w:t>
      </w:r>
      <w:proofErr w:type="spellEnd"/>
      <w:r w:rsidRPr="005149CE">
        <w:rPr>
          <w:rFonts w:ascii="Book Antiqua" w:hAnsi="Book Antiqua" w:cs="Calibri"/>
          <w:color w:val="000000" w:themeColor="text1"/>
          <w:sz w:val="24"/>
        </w:rPr>
        <w:t xml:space="preserve"> A, </w:t>
      </w:r>
      <w:proofErr w:type="spellStart"/>
      <w:r w:rsidRPr="005149CE">
        <w:rPr>
          <w:rFonts w:ascii="Book Antiqua" w:hAnsi="Book Antiqua" w:cs="Calibri"/>
          <w:color w:val="000000" w:themeColor="text1"/>
          <w:sz w:val="24"/>
        </w:rPr>
        <w:t>Abuzenadah</w:t>
      </w:r>
      <w:proofErr w:type="spellEnd"/>
      <w:r w:rsidRPr="005149CE">
        <w:rPr>
          <w:rFonts w:ascii="Book Antiqua" w:hAnsi="Book Antiqua" w:cs="Calibri"/>
          <w:color w:val="000000" w:themeColor="text1"/>
          <w:sz w:val="24"/>
        </w:rPr>
        <w:t xml:space="preserve"> AM, Al-Qahtani MH, </w:t>
      </w:r>
      <w:proofErr w:type="spellStart"/>
      <w:r w:rsidRPr="005149CE">
        <w:rPr>
          <w:rFonts w:ascii="Book Antiqua" w:hAnsi="Book Antiqua" w:cs="Calibri"/>
          <w:color w:val="000000" w:themeColor="text1"/>
          <w:sz w:val="24"/>
        </w:rPr>
        <w:t>Azhar</w:t>
      </w:r>
      <w:proofErr w:type="spellEnd"/>
      <w:r w:rsidRPr="005149CE">
        <w:rPr>
          <w:rFonts w:ascii="Book Antiqua" w:hAnsi="Book Antiqua" w:cs="Calibri"/>
          <w:color w:val="000000" w:themeColor="text1"/>
          <w:sz w:val="24"/>
        </w:rPr>
        <w:t xml:space="preserve"> EI. microRNA analysis of gastric cancer patients from Saudi Arabian population. </w:t>
      </w:r>
      <w:r w:rsidRPr="005149CE">
        <w:rPr>
          <w:rFonts w:ascii="Book Antiqua" w:hAnsi="Book Antiqua" w:cs="Calibri"/>
          <w:i/>
          <w:iCs/>
          <w:color w:val="000000" w:themeColor="text1"/>
          <w:sz w:val="24"/>
        </w:rPr>
        <w:t>BMC Genomics</w:t>
      </w:r>
      <w:r w:rsidRPr="005149CE">
        <w:rPr>
          <w:rFonts w:ascii="Book Antiqua" w:hAnsi="Book Antiqua" w:cs="Calibri"/>
          <w:color w:val="000000" w:themeColor="text1"/>
          <w:sz w:val="24"/>
        </w:rPr>
        <w:t> 2016; </w:t>
      </w:r>
      <w:r w:rsidRPr="005149CE">
        <w:rPr>
          <w:rFonts w:ascii="Book Antiqua" w:hAnsi="Book Antiqua" w:cs="Calibri"/>
          <w:b/>
          <w:bCs/>
          <w:color w:val="000000" w:themeColor="text1"/>
          <w:sz w:val="24"/>
        </w:rPr>
        <w:t>17</w:t>
      </w:r>
      <w:r w:rsidRPr="005149CE">
        <w:rPr>
          <w:rFonts w:ascii="Book Antiqua" w:hAnsi="Book Antiqua" w:cs="Calibri"/>
          <w:color w:val="000000" w:themeColor="text1"/>
          <w:sz w:val="24"/>
        </w:rPr>
        <w:t>: 751 [PMID: 27766962 DOI: 10.1186/s12864-016-3090-7]</w:t>
      </w:r>
    </w:p>
    <w:p w14:paraId="3AFA2C3E"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14 </w:t>
      </w:r>
      <w:r w:rsidRPr="005149CE">
        <w:rPr>
          <w:rFonts w:ascii="Book Antiqua" w:hAnsi="Book Antiqua" w:cs="Calibri"/>
          <w:b/>
          <w:bCs/>
          <w:color w:val="000000" w:themeColor="text1"/>
          <w:sz w:val="24"/>
        </w:rPr>
        <w:t>Li C</w:t>
      </w:r>
      <w:r w:rsidRPr="005149CE">
        <w:rPr>
          <w:rFonts w:ascii="Book Antiqua" w:hAnsi="Book Antiqua" w:cs="Calibri"/>
          <w:color w:val="000000" w:themeColor="text1"/>
          <w:sz w:val="24"/>
        </w:rPr>
        <w:t xml:space="preserve">, Li JF, Cai Q, </w:t>
      </w:r>
      <w:proofErr w:type="spellStart"/>
      <w:r w:rsidRPr="005149CE">
        <w:rPr>
          <w:rFonts w:ascii="Book Antiqua" w:hAnsi="Book Antiqua" w:cs="Calibri"/>
          <w:color w:val="000000" w:themeColor="text1"/>
          <w:sz w:val="24"/>
        </w:rPr>
        <w:t>Qiu</w:t>
      </w:r>
      <w:proofErr w:type="spellEnd"/>
      <w:r w:rsidRPr="005149CE">
        <w:rPr>
          <w:rFonts w:ascii="Book Antiqua" w:hAnsi="Book Antiqua" w:cs="Calibri"/>
          <w:color w:val="000000" w:themeColor="text1"/>
          <w:sz w:val="24"/>
        </w:rPr>
        <w:t xml:space="preserve"> QQ, Yan M, Liu BY, Zhu ZG. MiRNA-199a-3p: A potential circulating diagnostic biomarker for early gastric cancer. </w:t>
      </w:r>
      <w:r w:rsidRPr="005149CE">
        <w:rPr>
          <w:rFonts w:ascii="Book Antiqua" w:hAnsi="Book Antiqua" w:cs="Calibri"/>
          <w:i/>
          <w:iCs/>
          <w:color w:val="000000" w:themeColor="text1"/>
          <w:sz w:val="24"/>
        </w:rPr>
        <w:t xml:space="preserve">J </w:t>
      </w:r>
      <w:proofErr w:type="spellStart"/>
      <w:r w:rsidRPr="005149CE">
        <w:rPr>
          <w:rFonts w:ascii="Book Antiqua" w:hAnsi="Book Antiqua" w:cs="Calibri"/>
          <w:i/>
          <w:iCs/>
          <w:color w:val="000000" w:themeColor="text1"/>
          <w:sz w:val="24"/>
        </w:rPr>
        <w:t>Surg</w:t>
      </w:r>
      <w:proofErr w:type="spellEnd"/>
      <w:r w:rsidRPr="005149CE">
        <w:rPr>
          <w:rFonts w:ascii="Book Antiqua" w:hAnsi="Book Antiqua" w:cs="Calibri"/>
          <w:i/>
          <w:iCs/>
          <w:color w:val="000000" w:themeColor="text1"/>
          <w:sz w:val="24"/>
        </w:rPr>
        <w:t xml:space="preserve"> Oncol</w:t>
      </w:r>
      <w:r w:rsidRPr="005149CE">
        <w:rPr>
          <w:rFonts w:ascii="Book Antiqua" w:hAnsi="Book Antiqua" w:cs="Calibri"/>
          <w:color w:val="000000" w:themeColor="text1"/>
          <w:sz w:val="24"/>
        </w:rPr>
        <w:t> 2013; </w:t>
      </w:r>
      <w:r w:rsidRPr="005149CE">
        <w:rPr>
          <w:rFonts w:ascii="Book Antiqua" w:hAnsi="Book Antiqua" w:cs="Calibri"/>
          <w:b/>
          <w:bCs/>
          <w:color w:val="000000" w:themeColor="text1"/>
          <w:sz w:val="24"/>
        </w:rPr>
        <w:t>108</w:t>
      </w:r>
      <w:r w:rsidRPr="005149CE">
        <w:rPr>
          <w:rFonts w:ascii="Book Antiqua" w:hAnsi="Book Antiqua" w:cs="Calibri"/>
          <w:color w:val="000000" w:themeColor="text1"/>
          <w:sz w:val="24"/>
        </w:rPr>
        <w:t>: 89-92 [PMID: 23733518 DOI: 10.1002/jso.23358]</w:t>
      </w:r>
    </w:p>
    <w:p w14:paraId="2A8017F9"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15 </w:t>
      </w:r>
      <w:proofErr w:type="spellStart"/>
      <w:r w:rsidRPr="005149CE">
        <w:rPr>
          <w:rFonts w:ascii="Book Antiqua" w:hAnsi="Book Antiqua" w:cs="Calibri"/>
          <w:b/>
          <w:bCs/>
          <w:color w:val="000000" w:themeColor="text1"/>
          <w:sz w:val="24"/>
        </w:rPr>
        <w:t>Matsuzaki</w:t>
      </w:r>
      <w:proofErr w:type="spellEnd"/>
      <w:r w:rsidRPr="005149CE">
        <w:rPr>
          <w:rFonts w:ascii="Book Antiqua" w:hAnsi="Book Antiqua" w:cs="Calibri"/>
          <w:b/>
          <w:bCs/>
          <w:color w:val="000000" w:themeColor="text1"/>
          <w:sz w:val="24"/>
        </w:rPr>
        <w:t xml:space="preserve"> J</w:t>
      </w:r>
      <w:r w:rsidRPr="005149CE">
        <w:rPr>
          <w:rFonts w:ascii="Book Antiqua" w:hAnsi="Book Antiqua" w:cs="Calibri"/>
          <w:color w:val="000000" w:themeColor="text1"/>
          <w:sz w:val="24"/>
        </w:rPr>
        <w:t xml:space="preserve">, </w:t>
      </w:r>
      <w:proofErr w:type="spellStart"/>
      <w:r w:rsidRPr="005149CE">
        <w:rPr>
          <w:rFonts w:ascii="Book Antiqua" w:hAnsi="Book Antiqua" w:cs="Calibri"/>
          <w:color w:val="000000" w:themeColor="text1"/>
          <w:sz w:val="24"/>
        </w:rPr>
        <w:t>Ochiya</w:t>
      </w:r>
      <w:proofErr w:type="spellEnd"/>
      <w:r w:rsidRPr="005149CE">
        <w:rPr>
          <w:rFonts w:ascii="Book Antiqua" w:hAnsi="Book Antiqua" w:cs="Calibri"/>
          <w:color w:val="000000" w:themeColor="text1"/>
          <w:sz w:val="24"/>
        </w:rPr>
        <w:t xml:space="preserve"> T. Circulating microRNAs and extracellular vesicles as potential cancer biomarkers: a systematic review. </w:t>
      </w:r>
      <w:proofErr w:type="spellStart"/>
      <w:r w:rsidRPr="005149CE">
        <w:rPr>
          <w:rFonts w:ascii="Book Antiqua" w:hAnsi="Book Antiqua" w:cs="Calibri"/>
          <w:i/>
          <w:iCs/>
          <w:color w:val="000000" w:themeColor="text1"/>
          <w:sz w:val="24"/>
        </w:rPr>
        <w:t>Int</w:t>
      </w:r>
      <w:proofErr w:type="spellEnd"/>
      <w:r w:rsidRPr="005149CE">
        <w:rPr>
          <w:rFonts w:ascii="Book Antiqua" w:hAnsi="Book Antiqua" w:cs="Calibri"/>
          <w:i/>
          <w:iCs/>
          <w:color w:val="000000" w:themeColor="text1"/>
          <w:sz w:val="24"/>
        </w:rPr>
        <w:t xml:space="preserve"> J </w:t>
      </w:r>
      <w:proofErr w:type="spellStart"/>
      <w:r w:rsidRPr="005149CE">
        <w:rPr>
          <w:rFonts w:ascii="Book Antiqua" w:hAnsi="Book Antiqua" w:cs="Calibri"/>
          <w:i/>
          <w:iCs/>
          <w:color w:val="000000" w:themeColor="text1"/>
          <w:sz w:val="24"/>
        </w:rPr>
        <w:t>Clin</w:t>
      </w:r>
      <w:proofErr w:type="spellEnd"/>
      <w:r w:rsidRPr="005149CE">
        <w:rPr>
          <w:rFonts w:ascii="Book Antiqua" w:hAnsi="Book Antiqua" w:cs="Calibri"/>
          <w:i/>
          <w:iCs/>
          <w:color w:val="000000" w:themeColor="text1"/>
          <w:sz w:val="24"/>
        </w:rPr>
        <w:t xml:space="preserve"> Oncol</w:t>
      </w:r>
      <w:r w:rsidRPr="005149CE">
        <w:rPr>
          <w:rFonts w:ascii="Book Antiqua" w:hAnsi="Book Antiqua" w:cs="Calibri"/>
          <w:color w:val="000000" w:themeColor="text1"/>
          <w:sz w:val="24"/>
        </w:rPr>
        <w:t> 2017; </w:t>
      </w:r>
      <w:r w:rsidRPr="005149CE">
        <w:rPr>
          <w:rFonts w:ascii="Book Antiqua" w:hAnsi="Book Antiqua" w:cs="Calibri"/>
          <w:b/>
          <w:bCs/>
          <w:color w:val="000000" w:themeColor="text1"/>
          <w:sz w:val="24"/>
        </w:rPr>
        <w:t>22</w:t>
      </w:r>
      <w:r w:rsidRPr="005149CE">
        <w:rPr>
          <w:rFonts w:ascii="Book Antiqua" w:hAnsi="Book Antiqua" w:cs="Calibri"/>
          <w:color w:val="000000" w:themeColor="text1"/>
          <w:sz w:val="24"/>
        </w:rPr>
        <w:t>: 413-420 [PMID: 28243946 DOI: 10.1007/s10147-017-1104-3]</w:t>
      </w:r>
    </w:p>
    <w:p w14:paraId="0F246FF2"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16 </w:t>
      </w:r>
      <w:r w:rsidRPr="005149CE">
        <w:rPr>
          <w:rFonts w:ascii="Book Antiqua" w:hAnsi="Book Antiqua" w:cs="Calibri"/>
          <w:b/>
          <w:bCs/>
          <w:color w:val="000000" w:themeColor="text1"/>
          <w:sz w:val="24"/>
        </w:rPr>
        <w:t>Zhang Z</w:t>
      </w:r>
      <w:r w:rsidRPr="005149CE">
        <w:rPr>
          <w:rFonts w:ascii="Book Antiqua" w:hAnsi="Book Antiqua" w:cs="Calibri"/>
          <w:color w:val="000000" w:themeColor="text1"/>
          <w:sz w:val="24"/>
        </w:rPr>
        <w:t>, Li Y, Fan L, Zhao Q, Tan B, Li Z, Zang A. microRNA-425-5p is upregulated in human gastric cancer and contributes to invasion and metastasis</w:t>
      </w:r>
      <w:r w:rsidRPr="00683D32">
        <w:rPr>
          <w:rFonts w:ascii="Book Antiqua" w:hAnsi="Book Antiqua" w:cs="Calibri"/>
          <w:i/>
          <w:color w:val="000000" w:themeColor="text1"/>
          <w:sz w:val="24"/>
        </w:rPr>
        <w:t xml:space="preserve"> in vitro</w:t>
      </w:r>
      <w:r w:rsidRPr="005149CE">
        <w:rPr>
          <w:rFonts w:ascii="Book Antiqua" w:hAnsi="Book Antiqua" w:cs="Calibri"/>
          <w:color w:val="000000" w:themeColor="text1"/>
          <w:sz w:val="24"/>
        </w:rPr>
        <w:t xml:space="preserve"> and </w:t>
      </w:r>
      <w:r w:rsidRPr="00683D32">
        <w:rPr>
          <w:rFonts w:ascii="Book Antiqua" w:hAnsi="Book Antiqua" w:cs="Calibri"/>
          <w:i/>
          <w:color w:val="000000" w:themeColor="text1"/>
          <w:sz w:val="24"/>
        </w:rPr>
        <w:t>in vivo</w:t>
      </w:r>
      <w:r w:rsidRPr="005149CE">
        <w:rPr>
          <w:rFonts w:ascii="Book Antiqua" w:hAnsi="Book Antiqua" w:cs="Calibri"/>
          <w:color w:val="000000" w:themeColor="text1"/>
          <w:sz w:val="24"/>
        </w:rPr>
        <w:t>. </w:t>
      </w:r>
      <w:proofErr w:type="spellStart"/>
      <w:r w:rsidRPr="005149CE">
        <w:rPr>
          <w:rFonts w:ascii="Book Antiqua" w:hAnsi="Book Antiqua" w:cs="Calibri"/>
          <w:i/>
          <w:iCs/>
          <w:color w:val="000000" w:themeColor="text1"/>
          <w:sz w:val="24"/>
        </w:rPr>
        <w:t>Exp</w:t>
      </w:r>
      <w:proofErr w:type="spellEnd"/>
      <w:r w:rsidRPr="005149CE">
        <w:rPr>
          <w:rFonts w:ascii="Book Antiqua" w:hAnsi="Book Antiqua" w:cs="Calibri"/>
          <w:i/>
          <w:iCs/>
          <w:color w:val="000000" w:themeColor="text1"/>
          <w:sz w:val="24"/>
        </w:rPr>
        <w:t xml:space="preserve"> </w:t>
      </w:r>
      <w:proofErr w:type="spellStart"/>
      <w:r w:rsidRPr="005149CE">
        <w:rPr>
          <w:rFonts w:ascii="Book Antiqua" w:hAnsi="Book Antiqua" w:cs="Calibri"/>
          <w:i/>
          <w:iCs/>
          <w:color w:val="000000" w:themeColor="text1"/>
          <w:sz w:val="24"/>
        </w:rPr>
        <w:t>Ther</w:t>
      </w:r>
      <w:proofErr w:type="spellEnd"/>
      <w:r w:rsidRPr="005149CE">
        <w:rPr>
          <w:rFonts w:ascii="Book Antiqua" w:hAnsi="Book Antiqua" w:cs="Calibri"/>
          <w:i/>
          <w:iCs/>
          <w:color w:val="000000" w:themeColor="text1"/>
          <w:sz w:val="24"/>
        </w:rPr>
        <w:t xml:space="preserve"> Med</w:t>
      </w:r>
      <w:r w:rsidRPr="005149CE">
        <w:rPr>
          <w:rFonts w:ascii="Book Antiqua" w:hAnsi="Book Antiqua" w:cs="Calibri"/>
          <w:color w:val="000000" w:themeColor="text1"/>
          <w:sz w:val="24"/>
        </w:rPr>
        <w:t> 2015; </w:t>
      </w:r>
      <w:r w:rsidRPr="005149CE">
        <w:rPr>
          <w:rFonts w:ascii="Book Antiqua" w:hAnsi="Book Antiqua" w:cs="Calibri"/>
          <w:b/>
          <w:bCs/>
          <w:color w:val="000000" w:themeColor="text1"/>
          <w:sz w:val="24"/>
        </w:rPr>
        <w:t>9</w:t>
      </w:r>
      <w:r w:rsidRPr="005149CE">
        <w:rPr>
          <w:rFonts w:ascii="Book Antiqua" w:hAnsi="Book Antiqua" w:cs="Calibri"/>
          <w:color w:val="000000" w:themeColor="text1"/>
          <w:sz w:val="24"/>
        </w:rPr>
        <w:t>: 1617-1622 [PMID: 26136868 DOI: 10.3892/etm.2015.2318]</w:t>
      </w:r>
    </w:p>
    <w:p w14:paraId="03E74B25"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17 </w:t>
      </w:r>
      <w:r w:rsidRPr="005149CE">
        <w:rPr>
          <w:rFonts w:ascii="Book Antiqua" w:hAnsi="Book Antiqua" w:cs="Calibri"/>
          <w:b/>
          <w:bCs/>
          <w:color w:val="000000" w:themeColor="text1"/>
          <w:sz w:val="24"/>
        </w:rPr>
        <w:t>Zhang Z</w:t>
      </w:r>
      <w:r w:rsidRPr="005149CE">
        <w:rPr>
          <w:rFonts w:ascii="Book Antiqua" w:hAnsi="Book Antiqua" w:cs="Calibri"/>
          <w:color w:val="000000" w:themeColor="text1"/>
          <w:sz w:val="24"/>
        </w:rPr>
        <w:t>, Wen M, Guo J, Shi J, Wang Z, Tan B, Zhang G, Zheng X, Zhang A. Clinical value of miR-425-5p detection and its association with cell proliferation and apoptosis of gastric cancer. </w:t>
      </w:r>
      <w:proofErr w:type="spellStart"/>
      <w:r w:rsidRPr="005149CE">
        <w:rPr>
          <w:rFonts w:ascii="Book Antiqua" w:hAnsi="Book Antiqua" w:cs="Calibri"/>
          <w:i/>
          <w:iCs/>
          <w:color w:val="000000" w:themeColor="text1"/>
          <w:sz w:val="24"/>
        </w:rPr>
        <w:t>Pathol</w:t>
      </w:r>
      <w:proofErr w:type="spellEnd"/>
      <w:r w:rsidRPr="005149CE">
        <w:rPr>
          <w:rFonts w:ascii="Book Antiqua" w:hAnsi="Book Antiqua" w:cs="Calibri"/>
          <w:i/>
          <w:iCs/>
          <w:color w:val="000000" w:themeColor="text1"/>
          <w:sz w:val="24"/>
        </w:rPr>
        <w:t xml:space="preserve"> Res </w:t>
      </w:r>
      <w:proofErr w:type="spellStart"/>
      <w:r w:rsidRPr="005149CE">
        <w:rPr>
          <w:rFonts w:ascii="Book Antiqua" w:hAnsi="Book Antiqua" w:cs="Calibri"/>
          <w:i/>
          <w:iCs/>
          <w:color w:val="000000" w:themeColor="text1"/>
          <w:sz w:val="24"/>
        </w:rPr>
        <w:t>Pract</w:t>
      </w:r>
      <w:proofErr w:type="spellEnd"/>
      <w:r w:rsidRPr="005149CE">
        <w:rPr>
          <w:rFonts w:ascii="Book Antiqua" w:hAnsi="Book Antiqua" w:cs="Calibri"/>
          <w:color w:val="000000" w:themeColor="text1"/>
          <w:sz w:val="24"/>
        </w:rPr>
        <w:t> 2017; </w:t>
      </w:r>
      <w:r w:rsidRPr="005149CE">
        <w:rPr>
          <w:rFonts w:ascii="Book Antiqua" w:hAnsi="Book Antiqua" w:cs="Calibri"/>
          <w:b/>
          <w:bCs/>
          <w:color w:val="000000" w:themeColor="text1"/>
          <w:sz w:val="24"/>
        </w:rPr>
        <w:t>213</w:t>
      </w:r>
      <w:r w:rsidRPr="005149CE">
        <w:rPr>
          <w:rFonts w:ascii="Book Antiqua" w:hAnsi="Book Antiqua" w:cs="Calibri"/>
          <w:color w:val="000000" w:themeColor="text1"/>
          <w:sz w:val="24"/>
        </w:rPr>
        <w:t>: 929-937 [PMID: 28647207 DOI: 10.1016/j.prp.2017.05.009]</w:t>
      </w:r>
    </w:p>
    <w:p w14:paraId="5B3A6EB5"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18 </w:t>
      </w:r>
      <w:r w:rsidRPr="005149CE">
        <w:rPr>
          <w:rFonts w:ascii="Book Antiqua" w:hAnsi="Book Antiqua" w:cs="Calibri"/>
          <w:b/>
          <w:bCs/>
          <w:color w:val="000000" w:themeColor="text1"/>
          <w:sz w:val="24"/>
        </w:rPr>
        <w:t>Yan YF</w:t>
      </w:r>
      <w:r w:rsidRPr="005149CE">
        <w:rPr>
          <w:rFonts w:ascii="Book Antiqua" w:hAnsi="Book Antiqua" w:cs="Calibri"/>
          <w:color w:val="000000" w:themeColor="text1"/>
          <w:sz w:val="24"/>
        </w:rPr>
        <w:t xml:space="preserve">, Gong FM, Wang BS, Zheng W. MiR-425-5p promotes tumor </w:t>
      </w:r>
      <w:r w:rsidRPr="005149CE">
        <w:rPr>
          <w:rFonts w:ascii="Book Antiqua" w:hAnsi="Book Antiqua" w:cs="Calibri"/>
          <w:color w:val="000000" w:themeColor="text1"/>
          <w:sz w:val="24"/>
        </w:rPr>
        <w:lastRenderedPageBreak/>
        <w:t>progression via modulation of CYLD in gastric cancer. </w:t>
      </w:r>
      <w:proofErr w:type="spellStart"/>
      <w:r w:rsidRPr="005149CE">
        <w:rPr>
          <w:rFonts w:ascii="Book Antiqua" w:hAnsi="Book Antiqua" w:cs="Calibri"/>
          <w:i/>
          <w:iCs/>
          <w:color w:val="000000" w:themeColor="text1"/>
          <w:sz w:val="24"/>
        </w:rPr>
        <w:t>Eur</w:t>
      </w:r>
      <w:proofErr w:type="spellEnd"/>
      <w:r w:rsidRPr="005149CE">
        <w:rPr>
          <w:rFonts w:ascii="Book Antiqua" w:hAnsi="Book Antiqua" w:cs="Calibri"/>
          <w:i/>
          <w:iCs/>
          <w:color w:val="000000" w:themeColor="text1"/>
          <w:sz w:val="24"/>
        </w:rPr>
        <w:t xml:space="preserve"> Rev Med </w:t>
      </w:r>
      <w:proofErr w:type="spellStart"/>
      <w:r w:rsidRPr="005149CE">
        <w:rPr>
          <w:rFonts w:ascii="Book Antiqua" w:hAnsi="Book Antiqua" w:cs="Calibri"/>
          <w:i/>
          <w:iCs/>
          <w:color w:val="000000" w:themeColor="text1"/>
          <w:sz w:val="24"/>
        </w:rPr>
        <w:t>Pharmacol</w:t>
      </w:r>
      <w:proofErr w:type="spellEnd"/>
      <w:r w:rsidRPr="005149CE">
        <w:rPr>
          <w:rFonts w:ascii="Book Antiqua" w:hAnsi="Book Antiqua" w:cs="Calibri"/>
          <w:i/>
          <w:iCs/>
          <w:color w:val="000000" w:themeColor="text1"/>
          <w:sz w:val="24"/>
        </w:rPr>
        <w:t xml:space="preserve"> Sci</w:t>
      </w:r>
      <w:r w:rsidRPr="005149CE">
        <w:rPr>
          <w:rFonts w:ascii="Book Antiqua" w:hAnsi="Book Antiqua" w:cs="Calibri"/>
          <w:color w:val="000000" w:themeColor="text1"/>
          <w:sz w:val="24"/>
        </w:rPr>
        <w:t> 2017; </w:t>
      </w:r>
      <w:r w:rsidRPr="005149CE">
        <w:rPr>
          <w:rFonts w:ascii="Book Antiqua" w:hAnsi="Book Antiqua" w:cs="Calibri"/>
          <w:b/>
          <w:bCs/>
          <w:color w:val="000000" w:themeColor="text1"/>
          <w:sz w:val="24"/>
        </w:rPr>
        <w:t>21</w:t>
      </w:r>
      <w:r w:rsidRPr="005149CE">
        <w:rPr>
          <w:rFonts w:ascii="Book Antiqua" w:hAnsi="Book Antiqua" w:cs="Calibri"/>
          <w:color w:val="000000" w:themeColor="text1"/>
          <w:sz w:val="24"/>
        </w:rPr>
        <w:t>: 2130-2136 [PMID: 28537672]</w:t>
      </w:r>
    </w:p>
    <w:p w14:paraId="6BB5EC4B"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19 </w:t>
      </w:r>
      <w:r w:rsidRPr="005149CE">
        <w:rPr>
          <w:rFonts w:ascii="Book Antiqua" w:hAnsi="Book Antiqua" w:cs="Calibri"/>
          <w:b/>
          <w:bCs/>
          <w:color w:val="000000" w:themeColor="text1"/>
          <w:sz w:val="24"/>
        </w:rPr>
        <w:t>Chen Z</w:t>
      </w:r>
      <w:r w:rsidRPr="005149CE">
        <w:rPr>
          <w:rFonts w:ascii="Book Antiqua" w:hAnsi="Book Antiqua" w:cs="Calibri"/>
          <w:color w:val="000000" w:themeColor="text1"/>
          <w:sz w:val="24"/>
        </w:rPr>
        <w:t xml:space="preserve">, Ju H, Yu S, Zhao T, Jing X, Li P, Jia J, Li N, Tan B, Li Y. Prader-Willi region non-protein coding RNA 1 suppressed gastric cancer growth as a competing endogenous RNA of </w:t>
      </w:r>
      <w:r w:rsidRPr="00683D32">
        <w:rPr>
          <w:rFonts w:ascii="Book Antiqua" w:hAnsi="Book Antiqua" w:cs="Calibri"/>
          <w:i/>
          <w:color w:val="000000" w:themeColor="text1"/>
          <w:sz w:val="24"/>
        </w:rPr>
        <w:t>miR-425-5p</w:t>
      </w:r>
      <w:r w:rsidRPr="005149CE">
        <w:rPr>
          <w:rFonts w:ascii="Book Antiqua" w:hAnsi="Book Antiqua" w:cs="Calibri"/>
          <w:color w:val="000000" w:themeColor="text1"/>
          <w:sz w:val="24"/>
        </w:rPr>
        <w:t>. </w:t>
      </w:r>
      <w:proofErr w:type="spellStart"/>
      <w:r w:rsidRPr="005149CE">
        <w:rPr>
          <w:rFonts w:ascii="Book Antiqua" w:hAnsi="Book Antiqua" w:cs="Calibri"/>
          <w:i/>
          <w:iCs/>
          <w:color w:val="000000" w:themeColor="text1"/>
          <w:sz w:val="24"/>
        </w:rPr>
        <w:t>Clin</w:t>
      </w:r>
      <w:proofErr w:type="spellEnd"/>
      <w:r w:rsidRPr="005149CE">
        <w:rPr>
          <w:rFonts w:ascii="Book Antiqua" w:hAnsi="Book Antiqua" w:cs="Calibri"/>
          <w:i/>
          <w:iCs/>
          <w:color w:val="000000" w:themeColor="text1"/>
          <w:sz w:val="24"/>
        </w:rPr>
        <w:t xml:space="preserve"> Sci </w:t>
      </w:r>
      <w:r w:rsidRPr="00683D32">
        <w:rPr>
          <w:rFonts w:ascii="Book Antiqua" w:hAnsi="Book Antiqua" w:cs="Calibri"/>
          <w:iCs/>
          <w:color w:val="000000" w:themeColor="text1"/>
          <w:sz w:val="24"/>
        </w:rPr>
        <w:t>(</w:t>
      </w:r>
      <w:proofErr w:type="spellStart"/>
      <w:r w:rsidRPr="00683D32">
        <w:rPr>
          <w:rFonts w:ascii="Book Antiqua" w:hAnsi="Book Antiqua" w:cs="Calibri"/>
          <w:iCs/>
          <w:color w:val="000000" w:themeColor="text1"/>
          <w:sz w:val="24"/>
        </w:rPr>
        <w:t>Lond</w:t>
      </w:r>
      <w:proofErr w:type="spellEnd"/>
      <w:r w:rsidRPr="00683D32">
        <w:rPr>
          <w:rFonts w:ascii="Book Antiqua" w:hAnsi="Book Antiqua" w:cs="Calibri"/>
          <w:iCs/>
          <w:color w:val="000000" w:themeColor="text1"/>
          <w:sz w:val="24"/>
        </w:rPr>
        <w:t>)</w:t>
      </w:r>
      <w:r w:rsidRPr="005149CE">
        <w:rPr>
          <w:rFonts w:ascii="Book Antiqua" w:hAnsi="Book Antiqua" w:cs="Calibri"/>
          <w:color w:val="000000" w:themeColor="text1"/>
          <w:sz w:val="24"/>
        </w:rPr>
        <w:t> 2018; </w:t>
      </w:r>
      <w:r w:rsidRPr="005149CE">
        <w:rPr>
          <w:rFonts w:ascii="Book Antiqua" w:hAnsi="Book Antiqua" w:cs="Calibri"/>
          <w:b/>
          <w:bCs/>
          <w:color w:val="000000" w:themeColor="text1"/>
          <w:sz w:val="24"/>
        </w:rPr>
        <w:t>132</w:t>
      </w:r>
      <w:r w:rsidRPr="005149CE">
        <w:rPr>
          <w:rFonts w:ascii="Book Antiqua" w:hAnsi="Book Antiqua" w:cs="Calibri"/>
          <w:color w:val="000000" w:themeColor="text1"/>
          <w:sz w:val="24"/>
        </w:rPr>
        <w:t>: 1003-1019 [PMID: 29535266 DOI: 10.1042/CS20171588]</w:t>
      </w:r>
    </w:p>
    <w:p w14:paraId="3D36F195"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20 </w:t>
      </w:r>
      <w:r w:rsidRPr="005149CE">
        <w:rPr>
          <w:rFonts w:ascii="Book Antiqua" w:hAnsi="Book Antiqua" w:cs="Calibri"/>
          <w:b/>
          <w:bCs/>
          <w:color w:val="000000" w:themeColor="text1"/>
          <w:sz w:val="24"/>
        </w:rPr>
        <w:t>Xu X</w:t>
      </w:r>
      <w:r w:rsidRPr="005149CE">
        <w:rPr>
          <w:rFonts w:ascii="Book Antiqua" w:hAnsi="Book Antiqua" w:cs="Calibri"/>
          <w:color w:val="000000" w:themeColor="text1"/>
          <w:sz w:val="24"/>
        </w:rPr>
        <w:t>, Gao F, Wang J, Tao L, Ye J, Ding L, Ji W, Chen X. MiR-122-5p inhibits cell migration and invasion in gastric cancer by down-regulating DUSP4. </w:t>
      </w:r>
      <w:r w:rsidRPr="005149CE">
        <w:rPr>
          <w:rFonts w:ascii="Book Antiqua" w:hAnsi="Book Antiqua" w:cs="Calibri"/>
          <w:i/>
          <w:iCs/>
          <w:color w:val="000000" w:themeColor="text1"/>
          <w:sz w:val="24"/>
        </w:rPr>
        <w:t xml:space="preserve">Cancer </w:t>
      </w:r>
      <w:proofErr w:type="spellStart"/>
      <w:r w:rsidRPr="005149CE">
        <w:rPr>
          <w:rFonts w:ascii="Book Antiqua" w:hAnsi="Book Antiqua" w:cs="Calibri"/>
          <w:i/>
          <w:iCs/>
          <w:color w:val="000000" w:themeColor="text1"/>
          <w:sz w:val="24"/>
        </w:rPr>
        <w:t>Biol</w:t>
      </w:r>
      <w:proofErr w:type="spellEnd"/>
      <w:r w:rsidRPr="005149CE">
        <w:rPr>
          <w:rFonts w:ascii="Book Antiqua" w:hAnsi="Book Antiqua" w:cs="Calibri"/>
          <w:i/>
          <w:iCs/>
          <w:color w:val="000000" w:themeColor="text1"/>
          <w:sz w:val="24"/>
        </w:rPr>
        <w:t xml:space="preserve"> </w:t>
      </w:r>
      <w:proofErr w:type="spellStart"/>
      <w:r w:rsidRPr="005149CE">
        <w:rPr>
          <w:rFonts w:ascii="Book Antiqua" w:hAnsi="Book Antiqua" w:cs="Calibri"/>
          <w:i/>
          <w:iCs/>
          <w:color w:val="000000" w:themeColor="text1"/>
          <w:sz w:val="24"/>
        </w:rPr>
        <w:t>Ther</w:t>
      </w:r>
      <w:proofErr w:type="spellEnd"/>
      <w:r w:rsidRPr="005149CE">
        <w:rPr>
          <w:rFonts w:ascii="Book Antiqua" w:hAnsi="Book Antiqua" w:cs="Calibri"/>
          <w:color w:val="000000" w:themeColor="text1"/>
          <w:sz w:val="24"/>
        </w:rPr>
        <w:t> 2018; </w:t>
      </w:r>
      <w:r w:rsidRPr="005149CE">
        <w:rPr>
          <w:rFonts w:ascii="Book Antiqua" w:hAnsi="Book Antiqua" w:cs="Calibri"/>
          <w:b/>
          <w:bCs/>
          <w:color w:val="000000" w:themeColor="text1"/>
          <w:sz w:val="24"/>
        </w:rPr>
        <w:t>19</w:t>
      </w:r>
      <w:r w:rsidRPr="005149CE">
        <w:rPr>
          <w:rFonts w:ascii="Book Antiqua" w:hAnsi="Book Antiqua" w:cs="Calibri"/>
          <w:color w:val="000000" w:themeColor="text1"/>
          <w:sz w:val="24"/>
        </w:rPr>
        <w:t>: 427-435 [PMID: 29509059 DOI: 10.1080/15384047.2018.1423925]</w:t>
      </w:r>
    </w:p>
    <w:p w14:paraId="7FDEB02D"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21 </w:t>
      </w:r>
      <w:r w:rsidRPr="005149CE">
        <w:rPr>
          <w:rFonts w:ascii="Book Antiqua" w:hAnsi="Book Antiqua" w:cs="Calibri"/>
          <w:b/>
          <w:bCs/>
          <w:color w:val="000000" w:themeColor="text1"/>
          <w:sz w:val="24"/>
        </w:rPr>
        <w:t>Pei ZJ</w:t>
      </w:r>
      <w:r w:rsidRPr="005149CE">
        <w:rPr>
          <w:rFonts w:ascii="Book Antiqua" w:hAnsi="Book Antiqua" w:cs="Calibri"/>
          <w:color w:val="000000" w:themeColor="text1"/>
          <w:sz w:val="24"/>
        </w:rPr>
        <w:t>, Zhang ZG, Hu AX, Yang F, Gai Y. miR-122-5p inhibits tumor cell proliferation and induces apoptosis by targeting MYC in gastric cancer cells. </w:t>
      </w:r>
      <w:proofErr w:type="spellStart"/>
      <w:r w:rsidRPr="005149CE">
        <w:rPr>
          <w:rFonts w:ascii="Book Antiqua" w:hAnsi="Book Antiqua" w:cs="Calibri"/>
          <w:i/>
          <w:iCs/>
          <w:color w:val="000000" w:themeColor="text1"/>
          <w:sz w:val="24"/>
        </w:rPr>
        <w:t>Pharmazie</w:t>
      </w:r>
      <w:proofErr w:type="spellEnd"/>
      <w:r w:rsidRPr="005149CE">
        <w:rPr>
          <w:rFonts w:ascii="Book Antiqua" w:hAnsi="Book Antiqua" w:cs="Calibri"/>
          <w:color w:val="000000" w:themeColor="text1"/>
          <w:sz w:val="24"/>
        </w:rPr>
        <w:t> 2017; </w:t>
      </w:r>
      <w:r w:rsidRPr="005149CE">
        <w:rPr>
          <w:rFonts w:ascii="Book Antiqua" w:hAnsi="Book Antiqua" w:cs="Calibri"/>
          <w:b/>
          <w:bCs/>
          <w:color w:val="000000" w:themeColor="text1"/>
          <w:sz w:val="24"/>
        </w:rPr>
        <w:t>72</w:t>
      </w:r>
      <w:r w:rsidRPr="005149CE">
        <w:rPr>
          <w:rFonts w:ascii="Book Antiqua" w:hAnsi="Book Antiqua" w:cs="Calibri"/>
          <w:color w:val="000000" w:themeColor="text1"/>
          <w:sz w:val="24"/>
        </w:rPr>
        <w:t>: 344-347 [PMID: 29442023 DOI: 10.1691/ph.2017.6404]</w:t>
      </w:r>
    </w:p>
    <w:p w14:paraId="1D19A064" w14:textId="77777777" w:rsidR="005149CE" w:rsidRPr="005149CE" w:rsidRDefault="005149CE" w:rsidP="005149CE">
      <w:pPr>
        <w:adjustRightInd w:val="0"/>
        <w:snapToGrid w:val="0"/>
        <w:spacing w:line="360" w:lineRule="auto"/>
        <w:rPr>
          <w:rFonts w:ascii="Book Antiqua" w:hAnsi="Book Antiqua" w:cs="Calibri"/>
          <w:color w:val="000000" w:themeColor="text1"/>
          <w:sz w:val="24"/>
        </w:rPr>
      </w:pPr>
      <w:r w:rsidRPr="005149CE">
        <w:rPr>
          <w:rFonts w:ascii="Book Antiqua" w:hAnsi="Book Antiqua" w:cs="Calibri"/>
          <w:color w:val="000000" w:themeColor="text1"/>
          <w:sz w:val="24"/>
        </w:rPr>
        <w:t>22 </w:t>
      </w:r>
      <w:r w:rsidRPr="005149CE">
        <w:rPr>
          <w:rFonts w:ascii="Book Antiqua" w:hAnsi="Book Antiqua" w:cs="Calibri"/>
          <w:b/>
          <w:bCs/>
          <w:color w:val="000000" w:themeColor="text1"/>
          <w:sz w:val="24"/>
        </w:rPr>
        <w:t>Li Q</w:t>
      </w:r>
      <w:r w:rsidRPr="005149CE">
        <w:rPr>
          <w:rFonts w:ascii="Book Antiqua" w:hAnsi="Book Antiqua" w:cs="Calibri"/>
          <w:color w:val="000000" w:themeColor="text1"/>
          <w:sz w:val="24"/>
        </w:rPr>
        <w:t>, Wang N, Wei H, Li C, Wu J, Yang G. miR-24-3p Regulates Progression of Gastric Mucosal Lesions and Suppresses Proliferation and Invasiveness of N87 Via Peroxiredoxin 6. </w:t>
      </w:r>
      <w:r w:rsidRPr="005149CE">
        <w:rPr>
          <w:rFonts w:ascii="Book Antiqua" w:hAnsi="Book Antiqua" w:cs="Calibri"/>
          <w:i/>
          <w:iCs/>
          <w:color w:val="000000" w:themeColor="text1"/>
          <w:sz w:val="24"/>
        </w:rPr>
        <w:t>Dig Dis Sci</w:t>
      </w:r>
      <w:r w:rsidRPr="005149CE">
        <w:rPr>
          <w:rFonts w:ascii="Book Antiqua" w:hAnsi="Book Antiqua" w:cs="Calibri"/>
          <w:color w:val="000000" w:themeColor="text1"/>
          <w:sz w:val="24"/>
        </w:rPr>
        <w:t> 2016; </w:t>
      </w:r>
      <w:r w:rsidRPr="005149CE">
        <w:rPr>
          <w:rFonts w:ascii="Book Antiqua" w:hAnsi="Book Antiqua" w:cs="Calibri"/>
          <w:b/>
          <w:bCs/>
          <w:color w:val="000000" w:themeColor="text1"/>
          <w:sz w:val="24"/>
        </w:rPr>
        <w:t>61</w:t>
      </w:r>
      <w:r w:rsidRPr="005149CE">
        <w:rPr>
          <w:rFonts w:ascii="Book Antiqua" w:hAnsi="Book Antiqua" w:cs="Calibri"/>
          <w:color w:val="000000" w:themeColor="text1"/>
          <w:sz w:val="24"/>
        </w:rPr>
        <w:t>: 3486-3497 [PMID: 27743162 DOI: 10.1007/s10620-016-4309-9]</w:t>
      </w:r>
    </w:p>
    <w:p w14:paraId="371944FD" w14:textId="77777777" w:rsidR="00683D32" w:rsidRPr="00683D32" w:rsidRDefault="00683D32" w:rsidP="00683D32">
      <w:pPr>
        <w:widowControl/>
        <w:wordWrap w:val="0"/>
        <w:snapToGrid w:val="0"/>
        <w:spacing w:line="360" w:lineRule="auto"/>
        <w:jc w:val="right"/>
        <w:rPr>
          <w:rFonts w:ascii="Book Antiqua" w:hAnsi="Book Antiqua"/>
          <w:b/>
          <w:bCs/>
          <w:kern w:val="0"/>
          <w:sz w:val="24"/>
        </w:rPr>
      </w:pPr>
      <w:bookmarkStart w:id="68" w:name="OLE_LINK148"/>
      <w:bookmarkStart w:id="69" w:name="OLE_LINK320"/>
      <w:bookmarkStart w:id="70" w:name="OLE_LINK387"/>
      <w:bookmarkStart w:id="71" w:name="OLE_LINK254"/>
      <w:bookmarkStart w:id="72" w:name="OLE_LINK149"/>
      <w:bookmarkStart w:id="73" w:name="OLE_LINK225"/>
      <w:bookmarkStart w:id="74" w:name="OLE_LINK207"/>
      <w:bookmarkStart w:id="75" w:name="OLE_LINK226"/>
      <w:bookmarkStart w:id="76" w:name="OLE_LINK212"/>
      <w:bookmarkStart w:id="77" w:name="OLE_LINK250"/>
      <w:bookmarkStart w:id="78" w:name="OLE_LINK281"/>
      <w:bookmarkStart w:id="79" w:name="OLE_LINK282"/>
      <w:bookmarkStart w:id="80" w:name="OLE_LINK313"/>
      <w:bookmarkStart w:id="81" w:name="OLE_LINK304"/>
      <w:bookmarkStart w:id="82" w:name="OLE_LINK321"/>
      <w:bookmarkStart w:id="83" w:name="OLE_LINK385"/>
      <w:bookmarkStart w:id="84" w:name="OLE_LINK400"/>
      <w:bookmarkStart w:id="85" w:name="OLE_LINK346"/>
      <w:bookmarkStart w:id="86" w:name="OLE_LINK371"/>
      <w:bookmarkStart w:id="87" w:name="OLE_LINK334"/>
      <w:bookmarkStart w:id="88" w:name="OLE_LINK1830"/>
      <w:bookmarkStart w:id="89" w:name="OLE_LINK457"/>
      <w:bookmarkStart w:id="90" w:name="OLE_LINK288"/>
      <w:bookmarkStart w:id="91" w:name="OLE_LINK384"/>
      <w:bookmarkStart w:id="92" w:name="OLE_LINK379"/>
      <w:bookmarkStart w:id="93" w:name="OLE_LINK303"/>
      <w:bookmarkStart w:id="94" w:name="OLE_LINK450"/>
      <w:bookmarkStart w:id="95" w:name="OLE_LINK489"/>
      <w:bookmarkStart w:id="96" w:name="OLE_LINK535"/>
      <w:bookmarkStart w:id="97" w:name="OLE_LINK648"/>
      <w:bookmarkStart w:id="98" w:name="OLE_LINK686"/>
      <w:bookmarkStart w:id="99" w:name="OLE_LINK471"/>
      <w:bookmarkStart w:id="100" w:name="OLE_LINK462"/>
      <w:bookmarkStart w:id="101" w:name="OLE_LINK519"/>
      <w:bookmarkStart w:id="102" w:name="OLE_LINK575"/>
      <w:bookmarkStart w:id="103" w:name="OLE_LINK491"/>
      <w:bookmarkStart w:id="104" w:name="OLE_LINK532"/>
      <w:bookmarkStart w:id="105" w:name="OLE_LINK572"/>
      <w:bookmarkStart w:id="106" w:name="OLE_LINK574"/>
      <w:bookmarkStart w:id="107" w:name="OLE_LINK480"/>
      <w:bookmarkStart w:id="108" w:name="OLE_LINK567"/>
      <w:bookmarkStart w:id="109" w:name="OLE_LINK2700"/>
      <w:bookmarkStart w:id="110" w:name="OLE_LINK581"/>
      <w:bookmarkStart w:id="111" w:name="OLE_LINK639"/>
      <w:bookmarkStart w:id="112" w:name="OLE_LINK688"/>
      <w:bookmarkStart w:id="113" w:name="OLE_LINK722"/>
      <w:bookmarkStart w:id="114" w:name="OLE_LINK542"/>
      <w:bookmarkStart w:id="115" w:name="OLE_LINK589"/>
      <w:bookmarkStart w:id="116" w:name="OLE_LINK582"/>
      <w:bookmarkStart w:id="117" w:name="OLE_LINK640"/>
      <w:bookmarkStart w:id="118" w:name="OLE_LINK714"/>
      <w:bookmarkStart w:id="119" w:name="OLE_LINK593"/>
      <w:bookmarkStart w:id="120" w:name="OLE_LINK716"/>
      <w:bookmarkStart w:id="121" w:name="OLE_LINK770"/>
      <w:bookmarkStart w:id="122" w:name="OLE_LINK801"/>
      <w:bookmarkStart w:id="123" w:name="OLE_LINK660"/>
      <w:bookmarkStart w:id="124" w:name="OLE_LINK781"/>
      <w:bookmarkStart w:id="125" w:name="OLE_LINK833"/>
      <w:bookmarkStart w:id="126" w:name="OLE_LINK642"/>
      <w:bookmarkStart w:id="127" w:name="OLE_LINK700"/>
      <w:bookmarkStart w:id="128" w:name="OLE_LINK792"/>
      <w:bookmarkStart w:id="129" w:name="OLE_LINK2882"/>
      <w:bookmarkStart w:id="130" w:name="OLE_LINK836"/>
      <w:bookmarkStart w:id="131" w:name="OLE_LINK889"/>
      <w:bookmarkStart w:id="132" w:name="OLE_LINK782"/>
      <w:bookmarkStart w:id="133" w:name="OLE_LINK826"/>
      <w:bookmarkStart w:id="134" w:name="OLE_LINK865"/>
      <w:bookmarkStart w:id="135" w:name="OLE_LINK856"/>
      <w:bookmarkStart w:id="136" w:name="OLE_LINK908"/>
      <w:bookmarkStart w:id="137" w:name="OLE_LINK980"/>
      <w:bookmarkStart w:id="138" w:name="OLE_LINK1018"/>
      <w:bookmarkStart w:id="139" w:name="OLE_LINK1049"/>
      <w:bookmarkStart w:id="140" w:name="OLE_LINK1076"/>
      <w:bookmarkStart w:id="141" w:name="OLE_LINK1106"/>
      <w:bookmarkStart w:id="142" w:name="OLE_LINK891"/>
      <w:bookmarkStart w:id="143" w:name="OLE_LINK943"/>
      <w:bookmarkStart w:id="144" w:name="OLE_LINK981"/>
      <w:bookmarkStart w:id="145" w:name="OLE_LINK1030"/>
      <w:bookmarkStart w:id="146" w:name="OLE_LINK847"/>
      <w:bookmarkStart w:id="147" w:name="OLE_LINK909"/>
      <w:bookmarkStart w:id="148" w:name="OLE_LINK906"/>
      <w:bookmarkStart w:id="149" w:name="OLE_LINK992"/>
      <w:bookmarkStart w:id="150" w:name="OLE_LINK993"/>
      <w:bookmarkStart w:id="151" w:name="OLE_LINK1052"/>
      <w:bookmarkStart w:id="152" w:name="OLE_LINK946"/>
      <w:bookmarkStart w:id="153" w:name="OLE_LINK911"/>
      <w:bookmarkStart w:id="154" w:name="OLE_LINK930"/>
      <w:bookmarkStart w:id="155" w:name="OLE_LINK1059"/>
      <w:bookmarkStart w:id="156" w:name="OLE_LINK1174"/>
      <w:bookmarkStart w:id="157" w:name="OLE_LINK1137"/>
      <w:bookmarkStart w:id="158" w:name="OLE_LINK1167"/>
      <w:bookmarkStart w:id="159" w:name="OLE_LINK1200"/>
      <w:bookmarkStart w:id="160" w:name="OLE_LINK1241"/>
      <w:bookmarkStart w:id="161" w:name="OLE_LINK1288"/>
      <w:bookmarkStart w:id="162" w:name="OLE_LINK1056"/>
      <w:bookmarkStart w:id="163" w:name="OLE_LINK1158"/>
      <w:bookmarkStart w:id="164" w:name="OLE_LINK1175"/>
      <w:bookmarkStart w:id="165" w:name="OLE_LINK1074"/>
      <w:bookmarkStart w:id="166" w:name="OLE_LINK1169"/>
      <w:bookmarkStart w:id="167" w:name="OLE_LINK386"/>
      <w:bookmarkStart w:id="168" w:name="OLE_LINK33"/>
      <w:bookmarkStart w:id="169" w:name="OLE_LINK34"/>
      <w:r w:rsidRPr="00683D32">
        <w:rPr>
          <w:rFonts w:ascii="Book Antiqua" w:hAnsi="Book Antiqua"/>
          <w:b/>
          <w:bCs/>
          <w:kern w:val="0"/>
          <w:sz w:val="24"/>
        </w:rPr>
        <w:t>P-Reviewer:</w:t>
      </w:r>
      <w:r w:rsidRPr="00683D32">
        <w:rPr>
          <w:rFonts w:ascii="Book Antiqua" w:hAnsi="Book Antiqua" w:hint="eastAsia"/>
          <w:b/>
          <w:bCs/>
          <w:kern w:val="0"/>
          <w:sz w:val="24"/>
        </w:rPr>
        <w:t xml:space="preserve"> </w:t>
      </w:r>
      <w:proofErr w:type="spellStart"/>
      <w:r>
        <w:rPr>
          <w:rFonts w:ascii="Book Antiqua" w:hAnsi="Book Antiqua"/>
          <w:bCs/>
          <w:kern w:val="0"/>
          <w:sz w:val="24"/>
        </w:rPr>
        <w:t>Burada</w:t>
      </w:r>
      <w:proofErr w:type="spellEnd"/>
      <w:r>
        <w:rPr>
          <w:rFonts w:ascii="Book Antiqua" w:hAnsi="Book Antiqua"/>
          <w:bCs/>
          <w:kern w:val="0"/>
          <w:sz w:val="24"/>
        </w:rPr>
        <w:t xml:space="preserve"> F</w:t>
      </w:r>
    </w:p>
    <w:p w14:paraId="5F7869F6" w14:textId="77777777" w:rsidR="00683D32" w:rsidRPr="00683D32" w:rsidRDefault="00683D32" w:rsidP="00683D32">
      <w:pPr>
        <w:widowControl/>
        <w:snapToGrid w:val="0"/>
        <w:spacing w:line="360" w:lineRule="auto"/>
        <w:jc w:val="right"/>
        <w:rPr>
          <w:rFonts w:ascii="Book Antiqua" w:hAnsi="Book Antiqua"/>
          <w:kern w:val="0"/>
          <w:sz w:val="24"/>
        </w:rPr>
      </w:pPr>
      <w:r w:rsidRPr="00683D32">
        <w:rPr>
          <w:rFonts w:ascii="Book Antiqua" w:hAnsi="Book Antiqua"/>
          <w:b/>
          <w:bCs/>
          <w:kern w:val="0"/>
          <w:sz w:val="24"/>
        </w:rPr>
        <w:t>S-Editor:</w:t>
      </w:r>
      <w:r w:rsidRPr="00683D32">
        <w:rPr>
          <w:rFonts w:ascii="Book Antiqua" w:hAnsi="Book Antiqua" w:hint="eastAsia"/>
          <w:kern w:val="0"/>
          <w:sz w:val="24"/>
        </w:rPr>
        <w:t xml:space="preserve"> </w:t>
      </w:r>
      <w:r w:rsidRPr="00683D32">
        <w:rPr>
          <w:rFonts w:ascii="Book Antiqua" w:hAnsi="Book Antiqua"/>
          <w:kern w:val="0"/>
          <w:sz w:val="24"/>
        </w:rPr>
        <w:t>Ma</w:t>
      </w:r>
      <w:r w:rsidRPr="00683D32">
        <w:rPr>
          <w:rFonts w:ascii="Book Antiqua" w:hAnsi="Book Antiqua" w:hint="eastAsia"/>
          <w:kern w:val="0"/>
          <w:sz w:val="24"/>
        </w:rPr>
        <w:t xml:space="preserve"> </w:t>
      </w:r>
      <w:r w:rsidRPr="00683D32">
        <w:rPr>
          <w:rFonts w:ascii="Book Antiqua" w:hAnsi="Book Antiqua"/>
          <w:kern w:val="0"/>
          <w:sz w:val="24"/>
        </w:rPr>
        <w:t>RY</w:t>
      </w:r>
      <w:r w:rsidRPr="00683D32">
        <w:rPr>
          <w:rFonts w:ascii="Book Antiqua" w:hAnsi="Book Antiqua" w:hint="eastAsia"/>
          <w:kern w:val="0"/>
          <w:sz w:val="24"/>
        </w:rPr>
        <w:t xml:space="preserve"> </w:t>
      </w:r>
      <w:r w:rsidRPr="00683D32">
        <w:rPr>
          <w:rFonts w:ascii="Book Antiqua" w:hAnsi="Book Antiqua"/>
          <w:b/>
          <w:bCs/>
          <w:kern w:val="0"/>
          <w:sz w:val="24"/>
        </w:rPr>
        <w:t>L-Editor:</w:t>
      </w:r>
      <w:r w:rsidRPr="00683D32">
        <w:rPr>
          <w:rFonts w:ascii="Book Antiqua" w:hAnsi="Book Antiqua"/>
          <w:kern w:val="0"/>
          <w:sz w:val="24"/>
        </w:rPr>
        <w:t xml:space="preserve"> </w:t>
      </w:r>
      <w:r w:rsidRPr="00683D32">
        <w:rPr>
          <w:rFonts w:ascii="Book Antiqua" w:hAnsi="Book Antiqua"/>
          <w:b/>
          <w:bCs/>
          <w:kern w:val="0"/>
          <w:sz w:val="24"/>
        </w:rPr>
        <w:t>E-Editor:</w:t>
      </w:r>
    </w:p>
    <w:p w14:paraId="2985EA38" w14:textId="77777777" w:rsidR="00683D32" w:rsidRPr="00683D32" w:rsidRDefault="00683D32" w:rsidP="00683D32">
      <w:pPr>
        <w:widowControl/>
        <w:shd w:val="clear" w:color="auto" w:fill="FFFFFF"/>
        <w:snapToGrid w:val="0"/>
        <w:spacing w:line="360" w:lineRule="auto"/>
        <w:rPr>
          <w:rFonts w:ascii="Book Antiqua" w:hAnsi="Book Antiqua" w:cs="Helvetica"/>
          <w:b/>
          <w:kern w:val="0"/>
          <w:sz w:val="24"/>
        </w:rPr>
      </w:pPr>
      <w:bookmarkStart w:id="170" w:name="OLE_LINK880"/>
      <w:bookmarkStart w:id="171" w:name="OLE_LINK88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683D32">
        <w:rPr>
          <w:rFonts w:ascii="Book Antiqua" w:hAnsi="Book Antiqua" w:cs="Helvetica"/>
          <w:b/>
          <w:kern w:val="0"/>
          <w:sz w:val="24"/>
        </w:rPr>
        <w:t xml:space="preserve">Specialty type: </w:t>
      </w:r>
      <w:r w:rsidRPr="00683D32">
        <w:rPr>
          <w:rFonts w:ascii="Book Antiqua" w:hAnsi="Book Antiqua" w:cs="Helvetica"/>
          <w:kern w:val="0"/>
          <w:sz w:val="24"/>
        </w:rPr>
        <w:t>Gastroenterology and</w:t>
      </w:r>
      <w:r w:rsidRPr="00683D32">
        <w:rPr>
          <w:rFonts w:ascii="Book Antiqua" w:hAnsi="Book Antiqua" w:cs="Helvetica" w:hint="eastAsia"/>
          <w:kern w:val="0"/>
          <w:sz w:val="24"/>
        </w:rPr>
        <w:t xml:space="preserve"> </w:t>
      </w:r>
      <w:r w:rsidRPr="00683D32">
        <w:rPr>
          <w:rFonts w:ascii="Book Antiqua" w:hAnsi="Book Antiqua" w:cs="Helvetica"/>
          <w:kern w:val="0"/>
          <w:sz w:val="24"/>
        </w:rPr>
        <w:t>hepatology</w:t>
      </w:r>
    </w:p>
    <w:p w14:paraId="117736BF" w14:textId="77777777" w:rsidR="00683D32" w:rsidRPr="00683D32" w:rsidRDefault="00683D32" w:rsidP="00683D32">
      <w:pPr>
        <w:widowControl/>
        <w:shd w:val="clear" w:color="auto" w:fill="FFFFFF"/>
        <w:snapToGrid w:val="0"/>
        <w:spacing w:line="360" w:lineRule="auto"/>
        <w:rPr>
          <w:rFonts w:ascii="Book Antiqua" w:hAnsi="Book Antiqua" w:cs="Helvetica"/>
          <w:b/>
          <w:kern w:val="0"/>
          <w:sz w:val="24"/>
        </w:rPr>
      </w:pPr>
      <w:r w:rsidRPr="00683D32">
        <w:rPr>
          <w:rFonts w:ascii="Book Antiqua" w:hAnsi="Book Antiqua" w:cs="Helvetica"/>
          <w:b/>
          <w:kern w:val="0"/>
          <w:sz w:val="24"/>
        </w:rPr>
        <w:t xml:space="preserve">Country of origin: </w:t>
      </w:r>
      <w:r w:rsidRPr="00683D32">
        <w:rPr>
          <w:rFonts w:ascii="Book Antiqua" w:hAnsi="Book Antiqua" w:cs="Helvetica"/>
          <w:kern w:val="0"/>
          <w:sz w:val="24"/>
        </w:rPr>
        <w:t>China</w:t>
      </w:r>
    </w:p>
    <w:p w14:paraId="257BED0B" w14:textId="77777777" w:rsidR="00683D32" w:rsidRPr="00683D32" w:rsidRDefault="00683D32" w:rsidP="00683D32">
      <w:pPr>
        <w:widowControl/>
        <w:shd w:val="clear" w:color="auto" w:fill="FFFFFF"/>
        <w:snapToGrid w:val="0"/>
        <w:spacing w:line="360" w:lineRule="auto"/>
        <w:rPr>
          <w:rFonts w:ascii="Book Antiqua" w:hAnsi="Book Antiqua" w:cs="Helvetica"/>
          <w:b/>
          <w:kern w:val="0"/>
          <w:sz w:val="24"/>
        </w:rPr>
      </w:pPr>
      <w:r w:rsidRPr="00683D32">
        <w:rPr>
          <w:rFonts w:ascii="Book Antiqua" w:hAnsi="Book Antiqua" w:cs="Helvetica"/>
          <w:b/>
          <w:kern w:val="0"/>
          <w:sz w:val="24"/>
        </w:rPr>
        <w:t>Peer-review report classification</w:t>
      </w:r>
    </w:p>
    <w:p w14:paraId="1E41868E" w14:textId="77777777" w:rsidR="00683D32" w:rsidRPr="00683D32" w:rsidRDefault="00683D32" w:rsidP="00683D32">
      <w:pPr>
        <w:widowControl/>
        <w:shd w:val="clear" w:color="auto" w:fill="FFFFFF"/>
        <w:snapToGrid w:val="0"/>
        <w:spacing w:line="360" w:lineRule="auto"/>
        <w:rPr>
          <w:rFonts w:ascii="Book Antiqua" w:hAnsi="Book Antiqua" w:cs="Helvetica"/>
          <w:kern w:val="0"/>
          <w:sz w:val="24"/>
        </w:rPr>
      </w:pPr>
      <w:r w:rsidRPr="00683D32">
        <w:rPr>
          <w:rFonts w:ascii="Book Antiqua" w:hAnsi="Book Antiqua" w:cs="Helvetica"/>
          <w:kern w:val="0"/>
          <w:sz w:val="24"/>
        </w:rPr>
        <w:t xml:space="preserve">Grade A (Excellent): </w:t>
      </w:r>
      <w:r w:rsidRPr="00683D32">
        <w:rPr>
          <w:rFonts w:ascii="Book Antiqua" w:hAnsi="Book Antiqua" w:cs="Helvetica" w:hint="eastAsia"/>
          <w:kern w:val="0"/>
          <w:sz w:val="24"/>
        </w:rPr>
        <w:t>0</w:t>
      </w:r>
    </w:p>
    <w:p w14:paraId="52D3BAF8" w14:textId="77777777" w:rsidR="00683D32" w:rsidRPr="00683D32" w:rsidRDefault="00683D32" w:rsidP="00683D32">
      <w:pPr>
        <w:widowControl/>
        <w:shd w:val="clear" w:color="auto" w:fill="FFFFFF"/>
        <w:snapToGrid w:val="0"/>
        <w:spacing w:line="360" w:lineRule="auto"/>
        <w:rPr>
          <w:rFonts w:ascii="Book Antiqua" w:hAnsi="Book Antiqua" w:cs="Helvetica"/>
          <w:kern w:val="0"/>
          <w:sz w:val="24"/>
        </w:rPr>
      </w:pPr>
      <w:r w:rsidRPr="00683D32">
        <w:rPr>
          <w:rFonts w:ascii="Book Antiqua" w:hAnsi="Book Antiqua" w:cs="Helvetica"/>
          <w:kern w:val="0"/>
          <w:sz w:val="24"/>
        </w:rPr>
        <w:t xml:space="preserve">Grade B (Very good): </w:t>
      </w:r>
      <w:r>
        <w:rPr>
          <w:rFonts w:ascii="Book Antiqua" w:hAnsi="Book Antiqua" w:cs="Helvetica" w:hint="eastAsia"/>
          <w:kern w:val="0"/>
          <w:sz w:val="24"/>
        </w:rPr>
        <w:t>0</w:t>
      </w:r>
    </w:p>
    <w:p w14:paraId="1FB89D94" w14:textId="77777777" w:rsidR="00683D32" w:rsidRPr="00683D32" w:rsidRDefault="00683D32" w:rsidP="00683D32">
      <w:pPr>
        <w:widowControl/>
        <w:shd w:val="clear" w:color="auto" w:fill="FFFFFF"/>
        <w:snapToGrid w:val="0"/>
        <w:spacing w:line="360" w:lineRule="auto"/>
        <w:rPr>
          <w:rFonts w:ascii="Book Antiqua" w:hAnsi="Book Antiqua" w:cs="Helvetica"/>
          <w:kern w:val="0"/>
          <w:sz w:val="24"/>
        </w:rPr>
      </w:pPr>
      <w:r w:rsidRPr="00683D32">
        <w:rPr>
          <w:rFonts w:ascii="Book Antiqua" w:hAnsi="Book Antiqua" w:cs="Helvetica"/>
          <w:kern w:val="0"/>
          <w:sz w:val="24"/>
        </w:rPr>
        <w:t xml:space="preserve">Grade C (Good): </w:t>
      </w:r>
      <w:r>
        <w:rPr>
          <w:rFonts w:ascii="Book Antiqua" w:hAnsi="Book Antiqua" w:cs="Helvetica" w:hint="eastAsia"/>
          <w:kern w:val="0"/>
          <w:sz w:val="24"/>
        </w:rPr>
        <w:t>C</w:t>
      </w:r>
    </w:p>
    <w:p w14:paraId="0881F64F" w14:textId="77777777" w:rsidR="00683D32" w:rsidRPr="00683D32" w:rsidRDefault="00683D32" w:rsidP="00683D32">
      <w:pPr>
        <w:widowControl/>
        <w:shd w:val="clear" w:color="auto" w:fill="FFFFFF"/>
        <w:snapToGrid w:val="0"/>
        <w:spacing w:line="360" w:lineRule="auto"/>
        <w:rPr>
          <w:rFonts w:ascii="Book Antiqua" w:hAnsi="Book Antiqua" w:cs="Helvetica"/>
          <w:kern w:val="0"/>
          <w:sz w:val="24"/>
        </w:rPr>
      </w:pPr>
      <w:r w:rsidRPr="00683D32">
        <w:rPr>
          <w:rFonts w:ascii="Book Antiqua" w:hAnsi="Book Antiqua" w:cs="Helvetica"/>
          <w:kern w:val="0"/>
          <w:sz w:val="24"/>
        </w:rPr>
        <w:t xml:space="preserve">Grade D (Fair): </w:t>
      </w:r>
      <w:r w:rsidRPr="00683D32">
        <w:rPr>
          <w:rFonts w:ascii="Book Antiqua" w:hAnsi="Book Antiqua" w:cs="Helvetica" w:hint="eastAsia"/>
          <w:kern w:val="0"/>
          <w:sz w:val="24"/>
        </w:rPr>
        <w:t>0</w:t>
      </w:r>
    </w:p>
    <w:p w14:paraId="7CD2E95F" w14:textId="77777777" w:rsidR="00683D32" w:rsidRPr="00683D32" w:rsidRDefault="00683D32" w:rsidP="00683D32">
      <w:pPr>
        <w:widowControl/>
        <w:snapToGrid w:val="0"/>
        <w:spacing w:line="360" w:lineRule="auto"/>
        <w:rPr>
          <w:rFonts w:ascii="Book Antiqua" w:hAnsi="Book Antiqua"/>
          <w:b/>
          <w:iCs/>
          <w:kern w:val="0"/>
          <w:sz w:val="24"/>
        </w:rPr>
      </w:pPr>
      <w:r w:rsidRPr="00683D32">
        <w:rPr>
          <w:rFonts w:ascii="Book Antiqua" w:hAnsi="Book Antiqua" w:cs="Helvetica"/>
          <w:kern w:val="0"/>
          <w:sz w:val="24"/>
        </w:rPr>
        <w:t xml:space="preserve">Grade E (Poor): </w:t>
      </w:r>
      <w:r w:rsidRPr="00683D32">
        <w:rPr>
          <w:rFonts w:ascii="Book Antiqua" w:hAnsi="Book Antiqua" w:cs="Helvetica" w:hint="eastAsia"/>
          <w:kern w:val="0"/>
          <w:sz w:val="24"/>
        </w:rPr>
        <w:t>0</w:t>
      </w:r>
      <w:bookmarkEnd w:id="167"/>
      <w:bookmarkEnd w:id="170"/>
      <w:bookmarkEnd w:id="171"/>
    </w:p>
    <w:bookmarkEnd w:id="168"/>
    <w:bookmarkEnd w:id="169"/>
    <w:p w14:paraId="424FD5F3" w14:textId="77777777" w:rsidR="00683D32" w:rsidRPr="005F429F" w:rsidRDefault="00683D32" w:rsidP="005149CE">
      <w:pPr>
        <w:adjustRightInd w:val="0"/>
        <w:snapToGrid w:val="0"/>
        <w:spacing w:line="360" w:lineRule="auto"/>
        <w:rPr>
          <w:rFonts w:ascii="Book Antiqua" w:hAnsi="Book Antiqua" w:cs="Calibri"/>
          <w:color w:val="000000" w:themeColor="text1"/>
          <w:sz w:val="24"/>
        </w:rPr>
      </w:pPr>
    </w:p>
    <w:p w14:paraId="3990AF77" w14:textId="77777777" w:rsidR="000D59A6" w:rsidRPr="005F429F" w:rsidRDefault="00683D32" w:rsidP="005F429F">
      <w:pPr>
        <w:adjustRightInd w:val="0"/>
        <w:snapToGrid w:val="0"/>
        <w:spacing w:line="360" w:lineRule="auto"/>
        <w:rPr>
          <w:rFonts w:ascii="Book Antiqua" w:hAnsi="Book Antiqua"/>
          <w:color w:val="000000" w:themeColor="text1"/>
          <w:sz w:val="24"/>
        </w:rPr>
      </w:pPr>
      <w:r w:rsidRPr="005F429F">
        <w:rPr>
          <w:rFonts w:ascii="Book Antiqua" w:hAnsi="Book Antiqua"/>
          <w:noProof/>
          <w:color w:val="000000" w:themeColor="text1"/>
          <w:sz w:val="24"/>
        </w:rPr>
        <w:lastRenderedPageBreak/>
        <w:drawing>
          <wp:inline distT="0" distB="0" distL="114300" distR="114300" wp14:anchorId="25821E1E" wp14:editId="0BCA3034">
            <wp:extent cx="3060065" cy="4601210"/>
            <wp:effectExtent l="0" t="0" r="635" b="8890"/>
            <wp:docPr id="1" name="图片 1" descr="HMKVCWGM_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MKVCWGM_Fig1"/>
                    <pic:cNvPicPr>
                      <a:picLocks noChangeAspect="1"/>
                    </pic:cNvPicPr>
                  </pic:nvPicPr>
                  <pic:blipFill>
                    <a:blip r:embed="rId9"/>
                    <a:stretch>
                      <a:fillRect/>
                    </a:stretch>
                  </pic:blipFill>
                  <pic:spPr>
                    <a:xfrm>
                      <a:off x="0" y="0"/>
                      <a:ext cx="3060065" cy="4601210"/>
                    </a:xfrm>
                    <a:prstGeom prst="rect">
                      <a:avLst/>
                    </a:prstGeom>
                  </pic:spPr>
                </pic:pic>
              </a:graphicData>
            </a:graphic>
          </wp:inline>
        </w:drawing>
      </w:r>
    </w:p>
    <w:p w14:paraId="7EA8401E" w14:textId="77777777" w:rsidR="000D59A6" w:rsidRPr="005F429F" w:rsidRDefault="00E30FC2" w:rsidP="005F429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t>Figure 1 Overview of the study design.</w:t>
      </w:r>
      <w:r w:rsidRPr="005F429F">
        <w:rPr>
          <w:rFonts w:ascii="Book Antiqua" w:hAnsi="Book Antiqua"/>
          <w:color w:val="000000" w:themeColor="text1"/>
          <w:sz w:val="24"/>
        </w:rPr>
        <w:t xml:space="preserve"> </w:t>
      </w:r>
      <w:r w:rsidR="00683D32">
        <w:rPr>
          <w:rFonts w:ascii="Book Antiqua" w:hAnsi="Book Antiqua"/>
          <w:color w:val="000000" w:themeColor="text1"/>
          <w:sz w:val="24"/>
        </w:rPr>
        <w:t>EGC: E</w:t>
      </w:r>
      <w:r w:rsidRPr="005F429F">
        <w:rPr>
          <w:rFonts w:ascii="Book Antiqua" w:hAnsi="Book Antiqua"/>
          <w:color w:val="000000" w:themeColor="text1"/>
          <w:sz w:val="24"/>
        </w:rPr>
        <w:t>ar</w:t>
      </w:r>
      <w:r w:rsidR="00683D32">
        <w:rPr>
          <w:rFonts w:ascii="Book Antiqua" w:hAnsi="Book Antiqua"/>
          <w:color w:val="000000" w:themeColor="text1"/>
          <w:sz w:val="24"/>
        </w:rPr>
        <w:t>ly gastric cancer; AGC: Advanced gastric cancer; BG: Benign gastritis;</w:t>
      </w:r>
      <w:r w:rsidRPr="005F429F">
        <w:rPr>
          <w:rFonts w:ascii="Book Antiqua" w:hAnsi="Book Antiqua"/>
          <w:color w:val="000000" w:themeColor="text1"/>
          <w:sz w:val="24"/>
        </w:rPr>
        <w:t xml:space="preserve"> Control-1</w:t>
      </w:r>
      <w:r w:rsidR="00683D32">
        <w:rPr>
          <w:rFonts w:ascii="Book Antiqua" w:hAnsi="Book Antiqua"/>
          <w:color w:val="000000" w:themeColor="text1"/>
          <w:sz w:val="24"/>
        </w:rPr>
        <w:t xml:space="preserve">: </w:t>
      </w:r>
      <w:r w:rsidR="00186FFF" w:rsidRPr="00186FFF">
        <w:rPr>
          <w:rFonts w:ascii="Book Antiqua" w:hAnsi="Book Antiqua"/>
          <w:i/>
          <w:color w:val="000000" w:themeColor="text1"/>
          <w:sz w:val="24"/>
        </w:rPr>
        <w:t>Helicobacter</w:t>
      </w:r>
      <w:r w:rsidR="00B93781" w:rsidRPr="00B93781">
        <w:rPr>
          <w:rFonts w:ascii="Book Antiqua" w:hAnsi="Book Antiqua"/>
          <w:i/>
          <w:color w:val="000000" w:themeColor="text1"/>
          <w:sz w:val="24"/>
        </w:rPr>
        <w:t xml:space="preserve"> pylori</w:t>
      </w:r>
      <w:r w:rsidR="00186FFF">
        <w:rPr>
          <w:rFonts w:ascii="Book Antiqua" w:hAnsi="Book Antiqua"/>
          <w:color w:val="000000" w:themeColor="text1"/>
          <w:sz w:val="24"/>
        </w:rPr>
        <w:t>-negative gastritis;</w:t>
      </w:r>
      <w:r w:rsidRPr="005F429F">
        <w:rPr>
          <w:rFonts w:ascii="Book Antiqua" w:hAnsi="Book Antiqua"/>
          <w:color w:val="000000" w:themeColor="text1"/>
          <w:sz w:val="24"/>
        </w:rPr>
        <w:t xml:space="preserve"> Control-2</w:t>
      </w:r>
      <w:r w:rsidR="00186FFF">
        <w:rPr>
          <w:rFonts w:ascii="Book Antiqua" w:hAnsi="Book Antiqua"/>
          <w:color w:val="000000" w:themeColor="text1"/>
          <w:sz w:val="24"/>
        </w:rPr>
        <w:t xml:space="preserve">: </w:t>
      </w:r>
      <w:r w:rsidR="00186FFF" w:rsidRPr="00186FFF">
        <w:rPr>
          <w:rFonts w:ascii="Book Antiqua" w:hAnsi="Book Antiqua"/>
          <w:i/>
          <w:color w:val="000000" w:themeColor="text1"/>
          <w:sz w:val="24"/>
        </w:rPr>
        <w:t>Helicobacter</w:t>
      </w:r>
      <w:r w:rsidR="00B93781" w:rsidRPr="00B93781">
        <w:rPr>
          <w:rFonts w:ascii="Book Antiqua" w:hAnsi="Book Antiqua"/>
          <w:i/>
          <w:color w:val="000000" w:themeColor="text1"/>
          <w:sz w:val="24"/>
        </w:rPr>
        <w:t xml:space="preserve"> pylori</w:t>
      </w:r>
      <w:r w:rsidR="00186FFF">
        <w:rPr>
          <w:rFonts w:ascii="Book Antiqua" w:hAnsi="Book Antiqua"/>
          <w:color w:val="000000" w:themeColor="text1"/>
          <w:sz w:val="24"/>
        </w:rPr>
        <w:t>-positive atrophic gastritis; RT-qPCR: R</w:t>
      </w:r>
      <w:r w:rsidRPr="005F429F">
        <w:rPr>
          <w:rFonts w:ascii="Book Antiqua" w:hAnsi="Book Antiqua"/>
          <w:color w:val="000000" w:themeColor="text1"/>
          <w:sz w:val="24"/>
        </w:rPr>
        <w:t>everse transcription quantitative real-time polymerase chain reaction.</w:t>
      </w:r>
    </w:p>
    <w:p w14:paraId="17B0C193" w14:textId="77777777" w:rsidR="000D59A6" w:rsidRPr="005F429F" w:rsidRDefault="000D59A6" w:rsidP="005F429F">
      <w:pPr>
        <w:adjustRightInd w:val="0"/>
        <w:snapToGrid w:val="0"/>
        <w:spacing w:line="360" w:lineRule="auto"/>
        <w:rPr>
          <w:rFonts w:ascii="Book Antiqua" w:hAnsi="Book Antiqua"/>
          <w:color w:val="000000" w:themeColor="text1"/>
          <w:sz w:val="24"/>
        </w:rPr>
      </w:pPr>
    </w:p>
    <w:p w14:paraId="72FEF5D9" w14:textId="77777777" w:rsidR="000D59A6" w:rsidRPr="005F429F" w:rsidRDefault="000D59A6" w:rsidP="005F429F">
      <w:pPr>
        <w:adjustRightInd w:val="0"/>
        <w:snapToGrid w:val="0"/>
        <w:spacing w:line="360" w:lineRule="auto"/>
        <w:rPr>
          <w:rFonts w:ascii="Book Antiqua" w:hAnsi="Book Antiqua"/>
          <w:color w:val="000000" w:themeColor="text1"/>
          <w:sz w:val="24"/>
        </w:rPr>
      </w:pPr>
    </w:p>
    <w:p w14:paraId="3A2A70AE" w14:textId="77777777" w:rsidR="00951BE9" w:rsidRDefault="00951BE9">
      <w:pPr>
        <w:widowControl/>
        <w:jc w:val="left"/>
        <w:rPr>
          <w:rFonts w:ascii="Book Antiqua" w:hAnsi="Book Antiqua"/>
          <w:noProof/>
          <w:color w:val="000000" w:themeColor="text1"/>
          <w:sz w:val="24"/>
        </w:rPr>
      </w:pPr>
      <w:r>
        <w:rPr>
          <w:rFonts w:ascii="Book Antiqua" w:hAnsi="Book Antiqua"/>
          <w:noProof/>
          <w:color w:val="000000" w:themeColor="text1"/>
          <w:sz w:val="24"/>
        </w:rPr>
        <w:br w:type="page"/>
      </w:r>
    </w:p>
    <w:p w14:paraId="09319DF4" w14:textId="77777777" w:rsidR="000D59A6" w:rsidRPr="005F429F" w:rsidRDefault="00951BE9" w:rsidP="005F429F">
      <w:pPr>
        <w:adjustRightInd w:val="0"/>
        <w:snapToGrid w:val="0"/>
        <w:spacing w:line="360" w:lineRule="auto"/>
        <w:rPr>
          <w:rFonts w:ascii="Book Antiqua" w:hAnsi="Book Antiqua"/>
          <w:color w:val="000000" w:themeColor="text1"/>
          <w:sz w:val="24"/>
        </w:rPr>
      </w:pPr>
      <w:r>
        <w:rPr>
          <w:rFonts w:ascii="Book Antiqua" w:hAnsi="Book Antiqua"/>
          <w:noProof/>
          <w:color w:val="000000" w:themeColor="text1"/>
          <w:sz w:val="24"/>
        </w:rPr>
        <w:lastRenderedPageBreak/>
        <w:drawing>
          <wp:inline distT="0" distB="0" distL="0" distR="0" wp14:anchorId="66A8036B" wp14:editId="5698197B">
            <wp:extent cx="5270500" cy="2997200"/>
            <wp:effectExtent l="0" t="0" r="12700" b="0"/>
            <wp:docPr id="5" name="图片 5" descr="../../Library/Containers/com.tencent.qq/Data/Library/Application%20Support/QQ/Users/2466846217/QQ/Temp.db/371137FB-2E1C-4EFE-9486-33C64229F4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qq/Data/Library/Application%20Support/QQ/Users/2466846217/QQ/Temp.db/371137FB-2E1C-4EFE-9486-33C64229F4C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500" cy="2997200"/>
                    </a:xfrm>
                    <a:prstGeom prst="rect">
                      <a:avLst/>
                    </a:prstGeom>
                    <a:noFill/>
                    <a:ln>
                      <a:noFill/>
                    </a:ln>
                  </pic:spPr>
                </pic:pic>
              </a:graphicData>
            </a:graphic>
          </wp:inline>
        </w:drawing>
      </w:r>
    </w:p>
    <w:p w14:paraId="4F854BD8" w14:textId="77777777" w:rsidR="000D59A6" w:rsidRPr="005F429F" w:rsidRDefault="00186FFF" w:rsidP="005F429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t>Figure 2 Expression of the four identified mi</w:t>
      </w:r>
      <w:r>
        <w:rPr>
          <w:rFonts w:ascii="Book Antiqua" w:hAnsi="Book Antiqua"/>
          <w:b/>
          <w:bCs/>
          <w:color w:val="000000" w:themeColor="text1"/>
          <w:sz w:val="24"/>
        </w:rPr>
        <w:t>cro</w:t>
      </w:r>
      <w:r w:rsidRPr="005F429F">
        <w:rPr>
          <w:rFonts w:ascii="Book Antiqua" w:hAnsi="Book Antiqua"/>
          <w:b/>
          <w:bCs/>
          <w:color w:val="000000" w:themeColor="text1"/>
          <w:sz w:val="24"/>
        </w:rPr>
        <w:t>RNAs between the control (Cont</w:t>
      </w:r>
      <w:r>
        <w:rPr>
          <w:rFonts w:ascii="Book Antiqua" w:hAnsi="Book Antiqua"/>
          <w:b/>
          <w:bCs/>
          <w:color w:val="000000" w:themeColor="text1"/>
          <w:sz w:val="24"/>
        </w:rPr>
        <w:t>rol-1 + Control-2) and cancer (</w:t>
      </w:r>
      <w:r w:rsidRPr="00186FFF">
        <w:rPr>
          <w:rFonts w:ascii="Book Antiqua" w:hAnsi="Book Antiqua"/>
          <w:b/>
          <w:bCs/>
          <w:color w:val="000000" w:themeColor="text1"/>
          <w:sz w:val="24"/>
        </w:rPr>
        <w:t>early gastric cancer</w:t>
      </w:r>
      <w:r w:rsidRPr="005F429F">
        <w:rPr>
          <w:rFonts w:ascii="Book Antiqua" w:hAnsi="Book Antiqua"/>
          <w:b/>
          <w:bCs/>
          <w:color w:val="000000" w:themeColor="text1"/>
          <w:sz w:val="24"/>
        </w:rPr>
        <w:t xml:space="preserve"> + </w:t>
      </w:r>
      <w:r w:rsidRPr="00186FFF">
        <w:rPr>
          <w:rFonts w:ascii="Book Antiqua" w:hAnsi="Book Antiqua"/>
          <w:b/>
          <w:bCs/>
          <w:color w:val="000000" w:themeColor="text1"/>
          <w:sz w:val="24"/>
        </w:rPr>
        <w:t>advanced gastric cancer</w:t>
      </w:r>
      <w:r w:rsidRPr="005F429F">
        <w:rPr>
          <w:rFonts w:ascii="Book Antiqua" w:hAnsi="Book Antiqua"/>
          <w:b/>
          <w:bCs/>
          <w:color w:val="000000" w:themeColor="text1"/>
          <w:sz w:val="24"/>
        </w:rPr>
        <w:t>) groups.</w:t>
      </w:r>
      <w:r w:rsidRPr="005F429F">
        <w:rPr>
          <w:rFonts w:ascii="Book Antiqua" w:hAnsi="Book Antiqua"/>
          <w:color w:val="000000" w:themeColor="text1"/>
          <w:sz w:val="24"/>
        </w:rPr>
        <w:t xml:space="preserve"> To assess the diagnostic utility of miR-7641, miR-425-5p, miR-1180-3p and miR-122-5p, a linear combination of the risk score of the four miRNAs weighted by the regression coef</w:t>
      </w:r>
      <w:r>
        <w:rPr>
          <w:rFonts w:ascii="Book Antiqua" w:hAnsi="Book Antiqua"/>
          <w:color w:val="000000" w:themeColor="text1"/>
          <w:sz w:val="24"/>
        </w:rPr>
        <w:t>ficient was used to calculate a</w:t>
      </w:r>
      <w:r w:rsidRPr="005F429F">
        <w:rPr>
          <w:rFonts w:ascii="Book Antiqua" w:hAnsi="Book Antiqua"/>
          <w:color w:val="000000" w:themeColor="text1"/>
          <w:sz w:val="24"/>
        </w:rPr>
        <w:t xml:space="preserve"> risk score factor </w:t>
      </w:r>
      <w:r>
        <w:rPr>
          <w:rFonts w:ascii="Book Antiqua" w:hAnsi="Book Antiqua"/>
          <w:color w:val="000000" w:themeColor="text1"/>
          <w:sz w:val="24"/>
        </w:rPr>
        <w:t>(</w:t>
      </w:r>
      <w:r w:rsidRPr="005F429F">
        <w:rPr>
          <w:rFonts w:ascii="Book Antiqua" w:hAnsi="Book Antiqua"/>
          <w:color w:val="000000" w:themeColor="text1"/>
          <w:sz w:val="24"/>
        </w:rPr>
        <w:t>RSF</w:t>
      </w:r>
      <w:r>
        <w:rPr>
          <w:rFonts w:ascii="Book Antiqua" w:hAnsi="Book Antiqua"/>
          <w:color w:val="000000" w:themeColor="text1"/>
          <w:sz w:val="24"/>
        </w:rPr>
        <w:t>)</w:t>
      </w:r>
      <w:r w:rsidRPr="005F429F">
        <w:rPr>
          <w:rFonts w:ascii="Book Antiqua" w:hAnsi="Book Antiqua"/>
          <w:color w:val="000000" w:themeColor="text1"/>
          <w:sz w:val="24"/>
        </w:rPr>
        <w:t xml:space="preserve"> for the four-mi</w:t>
      </w:r>
      <w:r>
        <w:rPr>
          <w:rFonts w:ascii="Book Antiqua" w:hAnsi="Book Antiqua"/>
          <w:color w:val="000000" w:themeColor="text1"/>
          <w:sz w:val="24"/>
        </w:rPr>
        <w:t>cro</w:t>
      </w:r>
      <w:r w:rsidRPr="005F429F">
        <w:rPr>
          <w:rFonts w:ascii="Book Antiqua" w:hAnsi="Book Antiqua"/>
          <w:color w:val="000000" w:themeColor="text1"/>
          <w:sz w:val="24"/>
        </w:rPr>
        <w:t>RNA panel for each subject. The RSF was calculated as follows: RSF</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1.569</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miR-7641</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1.312</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miR-425-5p</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1.852</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miR-1180-3p</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1.322</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miR-1</w:t>
      </w:r>
      <w:r>
        <w:rPr>
          <w:rFonts w:ascii="Book Antiqua" w:hAnsi="Book Antiqua"/>
          <w:color w:val="000000" w:themeColor="text1"/>
          <w:sz w:val="24"/>
        </w:rPr>
        <w:t>22-5p. A</w:t>
      </w:r>
      <w:r w:rsidRPr="005F429F">
        <w:rPr>
          <w:rFonts w:ascii="Book Antiqua" w:hAnsi="Book Antiqua"/>
          <w:color w:val="000000" w:themeColor="text1"/>
          <w:sz w:val="24"/>
        </w:rPr>
        <w:t>rea under curve</w:t>
      </w:r>
      <w:r>
        <w:rPr>
          <w:rFonts w:ascii="Book Antiqua" w:hAnsi="Book Antiqua"/>
          <w:color w:val="000000" w:themeColor="text1"/>
          <w:sz w:val="24"/>
        </w:rPr>
        <w:t xml:space="preserve"> = </w:t>
      </w:r>
      <w:r w:rsidRPr="005F429F">
        <w:rPr>
          <w:rFonts w:ascii="Book Antiqua" w:hAnsi="Book Antiqua"/>
          <w:color w:val="000000" w:themeColor="text1"/>
          <w:sz w:val="24"/>
        </w:rPr>
        <w:t xml:space="preserve">0.799, 95% </w:t>
      </w:r>
      <w:r>
        <w:rPr>
          <w:rFonts w:ascii="Book Antiqua" w:hAnsi="Book Antiqua"/>
          <w:color w:val="000000" w:themeColor="text1"/>
          <w:sz w:val="24"/>
        </w:rPr>
        <w:t>confidence interval</w:t>
      </w:r>
      <w:r w:rsidRPr="005F429F">
        <w:rPr>
          <w:rFonts w:ascii="Book Antiqua" w:hAnsi="Book Antiqua"/>
          <w:color w:val="000000" w:themeColor="text1"/>
          <w:sz w:val="24"/>
        </w:rPr>
        <w:t xml:space="preserve">: 0.691-0.908, </w:t>
      </w:r>
      <w:r w:rsidRPr="00186FFF">
        <w:rPr>
          <w:rFonts w:ascii="Book Antiqua" w:hAnsi="Book Antiqua"/>
          <w:i/>
          <w:color w:val="000000" w:themeColor="text1"/>
          <w:sz w:val="24"/>
        </w:rPr>
        <w:t xml:space="preserve">P </w:t>
      </w:r>
      <w:r w:rsidRPr="005F429F">
        <w:rPr>
          <w:rFonts w:ascii="Book Antiqua" w:hAnsi="Book Antiqua"/>
          <w:color w:val="000000" w:themeColor="text1"/>
          <w:sz w:val="24"/>
        </w:rPr>
        <w:t>&lt;</w:t>
      </w:r>
      <w:r>
        <w:rPr>
          <w:rFonts w:ascii="Book Antiqua" w:hAnsi="Book Antiqua"/>
          <w:color w:val="000000" w:themeColor="text1"/>
          <w:sz w:val="24"/>
        </w:rPr>
        <w:t xml:space="preserve"> </w:t>
      </w:r>
      <w:r w:rsidRPr="005F429F">
        <w:rPr>
          <w:rFonts w:ascii="Book Antiqua" w:hAnsi="Book Antiqua"/>
          <w:color w:val="000000" w:themeColor="text1"/>
          <w:sz w:val="24"/>
        </w:rPr>
        <w:t xml:space="preserve">0.001. </w:t>
      </w:r>
      <w:r>
        <w:rPr>
          <w:rFonts w:ascii="Book Antiqua" w:hAnsi="Book Antiqua"/>
          <w:color w:val="000000" w:themeColor="text1"/>
          <w:sz w:val="24"/>
        </w:rPr>
        <w:t>AUC: Area under curve; CI: Confidence interval; miRNA: MicroRNA.</w:t>
      </w:r>
    </w:p>
    <w:p w14:paraId="47BB6BC5" w14:textId="77777777" w:rsidR="00186FFF" w:rsidRDefault="00186FFF">
      <w:pPr>
        <w:widowControl/>
        <w:jc w:val="left"/>
        <w:rPr>
          <w:rFonts w:ascii="Book Antiqua" w:hAnsi="Book Antiqua"/>
          <w:color w:val="000000" w:themeColor="text1"/>
          <w:sz w:val="24"/>
        </w:rPr>
      </w:pPr>
      <w:r>
        <w:rPr>
          <w:rFonts w:ascii="Book Antiqua" w:hAnsi="Book Antiqua"/>
          <w:color w:val="000000" w:themeColor="text1"/>
          <w:sz w:val="24"/>
        </w:rPr>
        <w:br w:type="page"/>
      </w:r>
    </w:p>
    <w:p w14:paraId="47AFD9BD" w14:textId="77777777" w:rsidR="000D59A6" w:rsidRPr="005F429F" w:rsidRDefault="00951BE9" w:rsidP="005F429F">
      <w:pPr>
        <w:adjustRightInd w:val="0"/>
        <w:snapToGrid w:val="0"/>
        <w:spacing w:line="360" w:lineRule="auto"/>
        <w:rPr>
          <w:rFonts w:ascii="Book Antiqua" w:hAnsi="Book Antiqua"/>
          <w:color w:val="000000" w:themeColor="text1"/>
          <w:sz w:val="24"/>
        </w:rPr>
      </w:pPr>
      <w:r>
        <w:rPr>
          <w:rFonts w:ascii="Book Antiqua" w:hAnsi="Book Antiqua"/>
          <w:noProof/>
          <w:color w:val="000000" w:themeColor="text1"/>
          <w:sz w:val="24"/>
        </w:rPr>
        <w:lastRenderedPageBreak/>
        <w:drawing>
          <wp:inline distT="0" distB="0" distL="0" distR="0" wp14:anchorId="241655F5" wp14:editId="07EC5C6B">
            <wp:extent cx="5270500" cy="3060700"/>
            <wp:effectExtent l="0" t="0" r="12700" b="12700"/>
            <wp:docPr id="6" name="图片 6" descr="../../Library/Containers/com.tencent.qq/Data/Library/Application%20Support/QQ/Users/2466846217/QQ/Temp.db/15807333-57E8-496F-B719-EFF82117B1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tencent.qq/Data/Library/Application%20Support/QQ/Users/2466846217/QQ/Temp.db/15807333-57E8-496F-B719-EFF82117B1A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0500" cy="3060700"/>
                    </a:xfrm>
                    <a:prstGeom prst="rect">
                      <a:avLst/>
                    </a:prstGeom>
                    <a:noFill/>
                    <a:ln>
                      <a:noFill/>
                    </a:ln>
                  </pic:spPr>
                </pic:pic>
              </a:graphicData>
            </a:graphic>
          </wp:inline>
        </w:drawing>
      </w:r>
    </w:p>
    <w:p w14:paraId="404108FE" w14:textId="77777777" w:rsidR="00186FFF" w:rsidRPr="005F429F" w:rsidRDefault="00186FFF" w:rsidP="00186FF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t>Figure 3 Expression of the four identified mi</w:t>
      </w:r>
      <w:r>
        <w:rPr>
          <w:rFonts w:ascii="Book Antiqua" w:hAnsi="Book Antiqua"/>
          <w:b/>
          <w:bCs/>
          <w:color w:val="000000" w:themeColor="text1"/>
          <w:sz w:val="24"/>
        </w:rPr>
        <w:t>cro</w:t>
      </w:r>
      <w:r w:rsidRPr="005F429F">
        <w:rPr>
          <w:rFonts w:ascii="Book Antiqua" w:hAnsi="Book Antiqua"/>
          <w:b/>
          <w:bCs/>
          <w:color w:val="000000" w:themeColor="text1"/>
          <w:sz w:val="24"/>
        </w:rPr>
        <w:t>RNAs between the control (Control-1 + Control-2) and early gastric cancer groups.</w:t>
      </w:r>
      <w:r w:rsidRPr="005F429F">
        <w:rPr>
          <w:rFonts w:ascii="Book Antiqua" w:hAnsi="Book Antiqua"/>
          <w:color w:val="000000" w:themeColor="text1"/>
          <w:sz w:val="24"/>
        </w:rPr>
        <w:t xml:space="preserve"> To assess the diagnostic utility of miR-425-5p, miR-24-3p, miR-1180-3p and miR-122-5p, a linear combination of the risk score of the four </w:t>
      </w:r>
      <w:r>
        <w:rPr>
          <w:rFonts w:ascii="Book Antiqua" w:hAnsi="Book Antiqua"/>
          <w:color w:val="000000" w:themeColor="text1"/>
          <w:sz w:val="24"/>
        </w:rPr>
        <w:t>microRNAs (</w:t>
      </w:r>
      <w:r w:rsidRPr="005F429F">
        <w:rPr>
          <w:rFonts w:ascii="Book Antiqua" w:hAnsi="Book Antiqua"/>
          <w:color w:val="000000" w:themeColor="text1"/>
          <w:sz w:val="24"/>
        </w:rPr>
        <w:t>miRNAs</w:t>
      </w:r>
      <w:r>
        <w:rPr>
          <w:rFonts w:ascii="Book Antiqua" w:hAnsi="Book Antiqua"/>
          <w:color w:val="000000" w:themeColor="text1"/>
          <w:sz w:val="24"/>
        </w:rPr>
        <w:t>)</w:t>
      </w:r>
      <w:r w:rsidRPr="005F429F">
        <w:rPr>
          <w:rFonts w:ascii="Book Antiqua" w:hAnsi="Book Antiqua"/>
          <w:color w:val="000000" w:themeColor="text1"/>
          <w:sz w:val="24"/>
        </w:rPr>
        <w:t xml:space="preserve"> weighted by the regression coef</w:t>
      </w:r>
      <w:r>
        <w:rPr>
          <w:rFonts w:ascii="Book Antiqua" w:hAnsi="Book Antiqua"/>
          <w:color w:val="000000" w:themeColor="text1"/>
          <w:sz w:val="24"/>
        </w:rPr>
        <w:t>ficient was used to calculate a</w:t>
      </w:r>
      <w:r w:rsidRPr="005F429F">
        <w:rPr>
          <w:rFonts w:ascii="Book Antiqua" w:hAnsi="Book Antiqua"/>
          <w:color w:val="000000" w:themeColor="text1"/>
          <w:sz w:val="24"/>
        </w:rPr>
        <w:t xml:space="preserve"> risk score factor </w:t>
      </w:r>
      <w:r>
        <w:rPr>
          <w:rFonts w:ascii="Book Antiqua" w:hAnsi="Book Antiqua"/>
          <w:color w:val="000000" w:themeColor="text1"/>
          <w:sz w:val="24"/>
        </w:rPr>
        <w:t>(</w:t>
      </w:r>
      <w:r w:rsidRPr="005F429F">
        <w:rPr>
          <w:rFonts w:ascii="Book Antiqua" w:hAnsi="Book Antiqua"/>
          <w:color w:val="000000" w:themeColor="text1"/>
          <w:sz w:val="24"/>
        </w:rPr>
        <w:t>RSF</w:t>
      </w:r>
      <w:r>
        <w:rPr>
          <w:rFonts w:ascii="Book Antiqua" w:hAnsi="Book Antiqua"/>
          <w:color w:val="000000" w:themeColor="text1"/>
          <w:sz w:val="24"/>
        </w:rPr>
        <w:t>)</w:t>
      </w:r>
      <w:r w:rsidRPr="005F429F">
        <w:rPr>
          <w:rFonts w:ascii="Book Antiqua" w:hAnsi="Book Antiqua"/>
          <w:color w:val="000000" w:themeColor="text1"/>
          <w:sz w:val="24"/>
        </w:rPr>
        <w:t xml:space="preserve"> for the four-miRNA panel for each subject. The RSF was calculated as follows: RSF</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2.117</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miR-425-5p</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2.234</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miR-24-3p</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2.005</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miR-1180-3p</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1.792</w:t>
      </w:r>
      <w:r>
        <w:rPr>
          <w:rFonts w:ascii="Book Antiqua" w:hAnsi="Book Antiqua"/>
          <w:color w:val="000000" w:themeColor="text1"/>
          <w:sz w:val="24"/>
        </w:rPr>
        <w:t xml:space="preserve"> </w:t>
      </w:r>
      <w:r w:rsidRPr="005F429F">
        <w:rPr>
          <w:rFonts w:ascii="Book Antiqua" w:hAnsi="Book Antiqua"/>
          <w:color w:val="000000" w:themeColor="text1"/>
          <w:sz w:val="24"/>
        </w:rPr>
        <w:t>×</w:t>
      </w:r>
      <w:r>
        <w:rPr>
          <w:rFonts w:ascii="Book Antiqua" w:hAnsi="Book Antiqua"/>
          <w:color w:val="000000" w:themeColor="text1"/>
          <w:sz w:val="24"/>
        </w:rPr>
        <w:t xml:space="preserve"> miR-122-5p. A</w:t>
      </w:r>
      <w:r w:rsidRPr="005F429F">
        <w:rPr>
          <w:rFonts w:ascii="Book Antiqua" w:hAnsi="Book Antiqua"/>
          <w:color w:val="000000" w:themeColor="text1"/>
          <w:sz w:val="24"/>
        </w:rPr>
        <w:t>rea under curve</w:t>
      </w:r>
      <w:r>
        <w:rPr>
          <w:rFonts w:ascii="Book Antiqua" w:hAnsi="Book Antiqua"/>
          <w:color w:val="000000" w:themeColor="text1"/>
          <w:sz w:val="24"/>
        </w:rPr>
        <w:t xml:space="preserve"> = </w:t>
      </w:r>
      <w:r w:rsidRPr="005F429F">
        <w:rPr>
          <w:rFonts w:ascii="Book Antiqua" w:hAnsi="Book Antiqua"/>
          <w:color w:val="000000" w:themeColor="text1"/>
          <w:sz w:val="24"/>
        </w:rPr>
        <w:t xml:space="preserve">0.829, 95% </w:t>
      </w:r>
      <w:r>
        <w:rPr>
          <w:rFonts w:ascii="Book Antiqua" w:hAnsi="Book Antiqua"/>
          <w:color w:val="000000" w:themeColor="text1"/>
          <w:sz w:val="24"/>
        </w:rPr>
        <w:t>confidence interval</w:t>
      </w:r>
      <w:r w:rsidRPr="005F429F">
        <w:rPr>
          <w:rFonts w:ascii="Book Antiqua" w:hAnsi="Book Antiqua"/>
          <w:color w:val="000000" w:themeColor="text1"/>
          <w:sz w:val="24"/>
        </w:rPr>
        <w:t xml:space="preserve">: 0.657-1.000, </w:t>
      </w:r>
      <w:r w:rsidRPr="00186FFF">
        <w:rPr>
          <w:rFonts w:ascii="Book Antiqua" w:hAnsi="Book Antiqua"/>
          <w:i/>
          <w:color w:val="000000" w:themeColor="text1"/>
          <w:sz w:val="24"/>
        </w:rPr>
        <w:t xml:space="preserve">P </w:t>
      </w:r>
      <w:r w:rsidRPr="005F429F">
        <w:rPr>
          <w:rFonts w:ascii="Book Antiqua" w:hAnsi="Book Antiqua"/>
          <w:color w:val="000000" w:themeColor="text1"/>
          <w:sz w:val="24"/>
        </w:rPr>
        <w:t>=</w:t>
      </w:r>
      <w:r>
        <w:rPr>
          <w:rFonts w:ascii="Book Antiqua" w:hAnsi="Book Antiqua"/>
          <w:color w:val="000000" w:themeColor="text1"/>
          <w:sz w:val="24"/>
        </w:rPr>
        <w:t xml:space="preserve"> </w:t>
      </w:r>
      <w:r w:rsidRPr="005F429F">
        <w:rPr>
          <w:rFonts w:ascii="Book Antiqua" w:hAnsi="Book Antiqua"/>
          <w:color w:val="000000" w:themeColor="text1"/>
          <w:sz w:val="24"/>
        </w:rPr>
        <w:t xml:space="preserve">0.001. </w:t>
      </w:r>
      <w:r>
        <w:rPr>
          <w:rFonts w:ascii="Book Antiqua" w:hAnsi="Book Antiqua"/>
          <w:color w:val="000000" w:themeColor="text1"/>
          <w:sz w:val="24"/>
        </w:rPr>
        <w:t>AUC: Area under curve; CI: Confi</w:t>
      </w:r>
      <w:r w:rsidR="00951BE9">
        <w:rPr>
          <w:rFonts w:ascii="Book Antiqua" w:hAnsi="Book Antiqua"/>
          <w:color w:val="000000" w:themeColor="text1"/>
          <w:sz w:val="24"/>
        </w:rPr>
        <w:t>dence interval; miRNA: MicroRNA; EGC: Early gastric cancer.</w:t>
      </w:r>
    </w:p>
    <w:p w14:paraId="1A02D03E" w14:textId="77777777" w:rsidR="00186FFF" w:rsidRDefault="00186FFF">
      <w:pPr>
        <w:widowControl/>
        <w:jc w:val="left"/>
        <w:rPr>
          <w:rFonts w:ascii="Book Antiqua" w:hAnsi="Book Antiqua"/>
          <w:color w:val="000000" w:themeColor="text1"/>
          <w:sz w:val="24"/>
        </w:rPr>
      </w:pPr>
      <w:r>
        <w:rPr>
          <w:rFonts w:ascii="Book Antiqua" w:hAnsi="Book Antiqua"/>
          <w:color w:val="000000" w:themeColor="text1"/>
          <w:sz w:val="24"/>
        </w:rPr>
        <w:br w:type="page"/>
      </w:r>
    </w:p>
    <w:p w14:paraId="66ED9760" w14:textId="77777777" w:rsidR="000D59A6" w:rsidRPr="005F429F" w:rsidRDefault="00951BE9" w:rsidP="005F429F">
      <w:pPr>
        <w:adjustRightInd w:val="0"/>
        <w:snapToGrid w:val="0"/>
        <w:spacing w:line="360" w:lineRule="auto"/>
        <w:rPr>
          <w:rFonts w:ascii="Book Antiqua" w:hAnsi="Book Antiqua"/>
          <w:color w:val="000000" w:themeColor="text1"/>
          <w:sz w:val="24"/>
        </w:rPr>
      </w:pPr>
      <w:r>
        <w:rPr>
          <w:rFonts w:ascii="Book Antiqua" w:hAnsi="Book Antiqua"/>
          <w:noProof/>
          <w:color w:val="000000" w:themeColor="text1"/>
          <w:sz w:val="24"/>
        </w:rPr>
        <w:lastRenderedPageBreak/>
        <w:drawing>
          <wp:inline distT="0" distB="0" distL="0" distR="0" wp14:anchorId="11A22222" wp14:editId="14041ABE">
            <wp:extent cx="5270500" cy="2971800"/>
            <wp:effectExtent l="0" t="0" r="12700" b="0"/>
            <wp:docPr id="7" name="图片 7" descr="../../Library/Containers/com.tencent.qq/Data/Library/Application%20Support/QQ/Users/2466846217/QQ/Temp.db/5216678B-BC1A-4FBE-BD19-ECCBDD0922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Containers/com.tencent.qq/Data/Library/Application%20Support/QQ/Users/2466846217/QQ/Temp.db/5216678B-BC1A-4FBE-BD19-ECCBDD0922D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0500" cy="2971800"/>
                    </a:xfrm>
                    <a:prstGeom prst="rect">
                      <a:avLst/>
                    </a:prstGeom>
                    <a:noFill/>
                    <a:ln>
                      <a:noFill/>
                    </a:ln>
                  </pic:spPr>
                </pic:pic>
              </a:graphicData>
            </a:graphic>
          </wp:inline>
        </w:drawing>
      </w:r>
    </w:p>
    <w:p w14:paraId="43D52919" w14:textId="77777777" w:rsidR="000D59A6" w:rsidRPr="00186FFF" w:rsidRDefault="00186FFF" w:rsidP="005F429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t xml:space="preserve">Figure 4 </w:t>
      </w:r>
      <w:r>
        <w:rPr>
          <w:rFonts w:ascii="Book Antiqua" w:hAnsi="Book Antiqua"/>
          <w:b/>
          <w:bCs/>
          <w:color w:val="000000" w:themeColor="text1"/>
          <w:sz w:val="24"/>
        </w:rPr>
        <w:t xml:space="preserve">Expression of the two </w:t>
      </w:r>
      <w:r w:rsidRPr="005F429F">
        <w:rPr>
          <w:rFonts w:ascii="Book Antiqua" w:hAnsi="Book Antiqua"/>
          <w:b/>
          <w:bCs/>
          <w:color w:val="000000" w:themeColor="text1"/>
          <w:sz w:val="24"/>
        </w:rPr>
        <w:t>mi</w:t>
      </w:r>
      <w:r>
        <w:rPr>
          <w:rFonts w:ascii="Book Antiqua" w:hAnsi="Book Antiqua"/>
          <w:b/>
          <w:bCs/>
          <w:color w:val="000000" w:themeColor="text1"/>
          <w:sz w:val="24"/>
        </w:rPr>
        <w:t>cro</w:t>
      </w:r>
      <w:r w:rsidRPr="005F429F">
        <w:rPr>
          <w:rFonts w:ascii="Book Antiqua" w:hAnsi="Book Antiqua"/>
          <w:b/>
          <w:bCs/>
          <w:color w:val="000000" w:themeColor="text1"/>
          <w:sz w:val="24"/>
        </w:rPr>
        <w:t xml:space="preserve">RNAs between the </w:t>
      </w:r>
      <w:r>
        <w:rPr>
          <w:rFonts w:ascii="Book Antiqua" w:hAnsi="Book Antiqua"/>
          <w:b/>
          <w:bCs/>
          <w:color w:val="000000" w:themeColor="text1"/>
          <w:sz w:val="24"/>
        </w:rPr>
        <w:t>advanced</w:t>
      </w:r>
      <w:r w:rsidRPr="005F429F">
        <w:rPr>
          <w:rFonts w:ascii="Book Antiqua" w:hAnsi="Book Antiqua"/>
          <w:b/>
          <w:bCs/>
          <w:color w:val="000000" w:themeColor="text1"/>
          <w:sz w:val="24"/>
        </w:rPr>
        <w:t xml:space="preserve"> and early gastric cancer groups.</w:t>
      </w:r>
      <w:r>
        <w:rPr>
          <w:rFonts w:ascii="Book Antiqua" w:hAnsi="Book Antiqua"/>
          <w:b/>
          <w:bCs/>
          <w:color w:val="000000" w:themeColor="text1"/>
          <w:sz w:val="24"/>
        </w:rPr>
        <w:t xml:space="preserve"> </w:t>
      </w:r>
      <w:r w:rsidRPr="00186FFF">
        <w:rPr>
          <w:rFonts w:ascii="Book Antiqua" w:hAnsi="Book Antiqua"/>
          <w:bCs/>
          <w:color w:val="000000" w:themeColor="text1"/>
          <w:sz w:val="24"/>
        </w:rPr>
        <w:t xml:space="preserve">The expression of miR-24-3p in the </w:t>
      </w:r>
      <w:r w:rsidRPr="00186FFF">
        <w:rPr>
          <w:rFonts w:ascii="Book Antiqua" w:hAnsi="Book Antiqua"/>
          <w:color w:val="000000" w:themeColor="text1"/>
          <w:sz w:val="24"/>
        </w:rPr>
        <w:t>early gastric cancer</w:t>
      </w:r>
      <w:r w:rsidRPr="00186FFF">
        <w:rPr>
          <w:rFonts w:ascii="Book Antiqua" w:hAnsi="Book Antiqua"/>
          <w:bCs/>
          <w:color w:val="000000" w:themeColor="text1"/>
          <w:sz w:val="24"/>
        </w:rPr>
        <w:t xml:space="preserve"> </w:t>
      </w:r>
      <w:r>
        <w:rPr>
          <w:rFonts w:ascii="Book Antiqua" w:hAnsi="Book Antiqua"/>
          <w:bCs/>
          <w:color w:val="000000" w:themeColor="text1"/>
          <w:sz w:val="24"/>
        </w:rPr>
        <w:t>(</w:t>
      </w:r>
      <w:r w:rsidRPr="00186FFF">
        <w:rPr>
          <w:rFonts w:ascii="Book Antiqua" w:hAnsi="Book Antiqua"/>
          <w:bCs/>
          <w:color w:val="000000" w:themeColor="text1"/>
          <w:sz w:val="24"/>
        </w:rPr>
        <w:t>EGC</w:t>
      </w:r>
      <w:r>
        <w:rPr>
          <w:rFonts w:ascii="Book Antiqua" w:hAnsi="Book Antiqua"/>
          <w:bCs/>
          <w:color w:val="000000" w:themeColor="text1"/>
          <w:sz w:val="24"/>
        </w:rPr>
        <w:t>)</w:t>
      </w:r>
      <w:r w:rsidRPr="00186FFF">
        <w:rPr>
          <w:rFonts w:ascii="Book Antiqua" w:hAnsi="Book Antiqua"/>
          <w:bCs/>
          <w:color w:val="000000" w:themeColor="text1"/>
          <w:sz w:val="24"/>
        </w:rPr>
        <w:t xml:space="preserve"> group was significantly lower than that in the </w:t>
      </w:r>
      <w:r w:rsidRPr="00186FFF">
        <w:rPr>
          <w:rFonts w:ascii="Book Antiqua" w:hAnsi="Book Antiqua"/>
          <w:color w:val="000000" w:themeColor="text1"/>
          <w:sz w:val="24"/>
        </w:rPr>
        <w:t>advanced gastric cancer</w:t>
      </w:r>
      <w:r w:rsidRPr="00186FFF">
        <w:rPr>
          <w:rFonts w:ascii="Book Antiqua" w:hAnsi="Book Antiqua"/>
          <w:bCs/>
          <w:color w:val="000000" w:themeColor="text1"/>
          <w:sz w:val="24"/>
        </w:rPr>
        <w:t xml:space="preserve"> </w:t>
      </w:r>
      <w:r>
        <w:rPr>
          <w:rFonts w:ascii="Book Antiqua" w:hAnsi="Book Antiqua"/>
          <w:bCs/>
          <w:color w:val="000000" w:themeColor="text1"/>
          <w:sz w:val="24"/>
        </w:rPr>
        <w:t>(</w:t>
      </w:r>
      <w:r w:rsidRPr="00186FFF">
        <w:rPr>
          <w:rFonts w:ascii="Book Antiqua" w:hAnsi="Book Antiqua"/>
          <w:bCs/>
          <w:color w:val="000000" w:themeColor="text1"/>
          <w:sz w:val="24"/>
        </w:rPr>
        <w:t>AGC</w:t>
      </w:r>
      <w:r>
        <w:rPr>
          <w:rFonts w:ascii="Book Antiqua" w:hAnsi="Book Antiqua"/>
          <w:bCs/>
          <w:color w:val="000000" w:themeColor="text1"/>
          <w:sz w:val="24"/>
        </w:rPr>
        <w:t>)</w:t>
      </w:r>
      <w:r w:rsidRPr="00186FFF">
        <w:rPr>
          <w:rFonts w:ascii="Book Antiqua" w:hAnsi="Book Antiqua"/>
          <w:bCs/>
          <w:color w:val="000000" w:themeColor="text1"/>
          <w:sz w:val="24"/>
        </w:rPr>
        <w:t xml:space="preserve"> </w:t>
      </w:r>
      <w:r>
        <w:rPr>
          <w:rFonts w:ascii="Book Antiqua" w:hAnsi="Book Antiqua"/>
          <w:color w:val="000000" w:themeColor="text1"/>
          <w:sz w:val="24"/>
        </w:rPr>
        <w:t>[</w:t>
      </w:r>
      <w:r w:rsidRPr="00186FFF">
        <w:rPr>
          <w:rFonts w:ascii="Book Antiqua" w:hAnsi="Book Antiqua"/>
          <w:color w:val="000000" w:themeColor="text1"/>
          <w:sz w:val="24"/>
        </w:rPr>
        <w:t xml:space="preserve">area under curve </w:t>
      </w:r>
      <w:r>
        <w:rPr>
          <w:rFonts w:ascii="Book Antiqua" w:hAnsi="Book Antiqua"/>
          <w:color w:val="000000" w:themeColor="text1"/>
          <w:sz w:val="24"/>
        </w:rPr>
        <w:t>(</w:t>
      </w:r>
      <w:r w:rsidRPr="00186FFF">
        <w:rPr>
          <w:rFonts w:ascii="Book Antiqua" w:hAnsi="Book Antiqua"/>
          <w:color w:val="000000" w:themeColor="text1"/>
          <w:sz w:val="24"/>
        </w:rPr>
        <w:t>AUC</w:t>
      </w:r>
      <w:r>
        <w:rPr>
          <w:rFonts w:ascii="Book Antiqua" w:hAnsi="Book Antiqua"/>
          <w:color w:val="000000" w:themeColor="text1"/>
          <w:sz w:val="24"/>
        </w:rPr>
        <w:t>) =</w:t>
      </w:r>
      <w:r w:rsidRPr="00186FFF">
        <w:rPr>
          <w:rFonts w:ascii="Book Antiqua" w:hAnsi="Book Antiqua"/>
          <w:color w:val="000000" w:themeColor="text1"/>
          <w:sz w:val="24"/>
        </w:rPr>
        <w:t xml:space="preserve"> 0.782, 95% </w:t>
      </w:r>
      <w:r>
        <w:rPr>
          <w:rFonts w:ascii="Book Antiqua" w:hAnsi="Book Antiqua"/>
          <w:color w:val="000000" w:themeColor="text1"/>
          <w:sz w:val="24"/>
        </w:rPr>
        <w:t>confidence interval (</w:t>
      </w:r>
      <w:r w:rsidRPr="00186FFF">
        <w:rPr>
          <w:rFonts w:ascii="Book Antiqua" w:hAnsi="Book Antiqua"/>
          <w:color w:val="000000" w:themeColor="text1"/>
          <w:sz w:val="24"/>
        </w:rPr>
        <w:t>CI</w:t>
      </w:r>
      <w:r>
        <w:rPr>
          <w:rFonts w:ascii="Book Antiqua" w:hAnsi="Book Antiqua"/>
          <w:color w:val="000000" w:themeColor="text1"/>
          <w:sz w:val="24"/>
        </w:rPr>
        <w:t>):</w:t>
      </w:r>
      <w:r w:rsidRPr="00186FFF">
        <w:rPr>
          <w:rFonts w:ascii="Book Antiqua" w:hAnsi="Book Antiqua"/>
          <w:color w:val="000000" w:themeColor="text1"/>
          <w:sz w:val="24"/>
        </w:rPr>
        <w:t xml:space="preserve"> 0.571-0.993, </w:t>
      </w:r>
      <w:r w:rsidRPr="00186FFF">
        <w:rPr>
          <w:rFonts w:ascii="Book Antiqua" w:hAnsi="Book Antiqua"/>
          <w:i/>
          <w:color w:val="000000" w:themeColor="text1"/>
          <w:sz w:val="24"/>
        </w:rPr>
        <w:t>P</w:t>
      </w:r>
      <w:r>
        <w:rPr>
          <w:rFonts w:ascii="Book Antiqua" w:hAnsi="Book Antiqua"/>
          <w:color w:val="000000" w:themeColor="text1"/>
          <w:sz w:val="24"/>
        </w:rPr>
        <w:t xml:space="preserve"> </w:t>
      </w:r>
      <w:r w:rsidRPr="00186FFF">
        <w:rPr>
          <w:rFonts w:ascii="Book Antiqua" w:hAnsi="Book Antiqua"/>
          <w:color w:val="000000" w:themeColor="text1"/>
          <w:sz w:val="24"/>
        </w:rPr>
        <w:t>=</w:t>
      </w:r>
      <w:r>
        <w:rPr>
          <w:rFonts w:ascii="Book Antiqua" w:hAnsi="Book Antiqua"/>
          <w:color w:val="000000" w:themeColor="text1"/>
          <w:sz w:val="24"/>
        </w:rPr>
        <w:t xml:space="preserve"> 0.029]</w:t>
      </w:r>
      <w:r w:rsidRPr="00186FFF">
        <w:rPr>
          <w:rFonts w:ascii="Book Antiqua" w:hAnsi="Book Antiqua"/>
          <w:bCs/>
          <w:color w:val="000000" w:themeColor="text1"/>
          <w:sz w:val="24"/>
        </w:rPr>
        <w:t xml:space="preserve"> group. The expression of miR-4632-5p in the EGC group was significantly higher than that in the AGC </w:t>
      </w:r>
      <w:r w:rsidRPr="00186FFF">
        <w:rPr>
          <w:rFonts w:ascii="Book Antiqua" w:hAnsi="Book Antiqua"/>
          <w:color w:val="000000" w:themeColor="text1"/>
          <w:sz w:val="24"/>
        </w:rPr>
        <w:t xml:space="preserve">(AUC </w:t>
      </w:r>
      <w:r>
        <w:rPr>
          <w:rFonts w:ascii="Book Antiqua" w:hAnsi="Book Antiqua"/>
          <w:color w:val="000000" w:themeColor="text1"/>
          <w:sz w:val="24"/>
        </w:rPr>
        <w:t>= 0.791, 95%</w:t>
      </w:r>
      <w:r w:rsidRPr="00186FFF">
        <w:rPr>
          <w:rFonts w:ascii="Book Antiqua" w:hAnsi="Book Antiqua"/>
          <w:color w:val="000000" w:themeColor="text1"/>
          <w:sz w:val="24"/>
        </w:rPr>
        <w:t>CI</w:t>
      </w:r>
      <w:r>
        <w:rPr>
          <w:rFonts w:ascii="Book Antiqua" w:hAnsi="Book Antiqua"/>
          <w:color w:val="000000" w:themeColor="text1"/>
          <w:sz w:val="24"/>
        </w:rPr>
        <w:t>:</w:t>
      </w:r>
      <w:r w:rsidRPr="00186FFF">
        <w:rPr>
          <w:rFonts w:ascii="Book Antiqua" w:hAnsi="Book Antiqua"/>
          <w:color w:val="000000" w:themeColor="text1"/>
          <w:sz w:val="24"/>
        </w:rPr>
        <w:t xml:space="preserve"> 0.574-1.000, </w:t>
      </w:r>
      <w:r w:rsidRPr="00186FFF">
        <w:rPr>
          <w:rFonts w:ascii="Book Antiqua" w:hAnsi="Book Antiqua"/>
          <w:i/>
          <w:color w:val="000000" w:themeColor="text1"/>
          <w:sz w:val="24"/>
        </w:rPr>
        <w:t>P</w:t>
      </w:r>
      <w:r>
        <w:rPr>
          <w:rFonts w:ascii="Book Antiqua" w:hAnsi="Book Antiqua"/>
          <w:color w:val="000000" w:themeColor="text1"/>
          <w:sz w:val="24"/>
        </w:rPr>
        <w:t xml:space="preserve"> </w:t>
      </w:r>
      <w:r w:rsidRPr="00186FFF">
        <w:rPr>
          <w:rFonts w:ascii="Book Antiqua" w:hAnsi="Book Antiqua"/>
          <w:color w:val="000000" w:themeColor="text1"/>
          <w:sz w:val="24"/>
        </w:rPr>
        <w:t>=</w:t>
      </w:r>
      <w:r>
        <w:rPr>
          <w:rFonts w:ascii="Book Antiqua" w:hAnsi="Book Antiqua"/>
          <w:color w:val="000000" w:themeColor="text1"/>
          <w:sz w:val="24"/>
        </w:rPr>
        <w:t xml:space="preserve"> </w:t>
      </w:r>
      <w:r w:rsidRPr="00186FFF">
        <w:rPr>
          <w:rFonts w:ascii="Book Antiqua" w:hAnsi="Book Antiqua"/>
          <w:color w:val="000000" w:themeColor="text1"/>
          <w:sz w:val="24"/>
        </w:rPr>
        <w:t>0.024)</w:t>
      </w:r>
      <w:r w:rsidRPr="00186FFF">
        <w:rPr>
          <w:rFonts w:ascii="Book Antiqua" w:hAnsi="Book Antiqua"/>
          <w:bCs/>
          <w:color w:val="000000" w:themeColor="text1"/>
          <w:sz w:val="24"/>
        </w:rPr>
        <w:t xml:space="preserve"> group.</w:t>
      </w:r>
      <w:r w:rsidRPr="00186FFF">
        <w:rPr>
          <w:rFonts w:ascii="Book Antiqua" w:hAnsi="Book Antiqua"/>
          <w:color w:val="000000" w:themeColor="text1"/>
          <w:sz w:val="24"/>
        </w:rPr>
        <w:t xml:space="preserve"> </w:t>
      </w:r>
      <w:r w:rsidR="00A52AC2">
        <w:rPr>
          <w:rFonts w:ascii="Book Antiqua" w:hAnsi="Book Antiqua"/>
          <w:color w:val="000000" w:themeColor="text1"/>
          <w:sz w:val="24"/>
        </w:rPr>
        <w:t>AUC: Area under curve; CI: Confidence interval; miRNA: MicroRNA.</w:t>
      </w:r>
    </w:p>
    <w:p w14:paraId="63967B26" w14:textId="77777777" w:rsidR="00186FFF" w:rsidRPr="00186FFF" w:rsidRDefault="00186FFF">
      <w:pPr>
        <w:widowControl/>
        <w:jc w:val="left"/>
        <w:rPr>
          <w:rFonts w:ascii="Book Antiqua" w:hAnsi="Book Antiqua"/>
          <w:color w:val="000000" w:themeColor="text1"/>
          <w:sz w:val="24"/>
        </w:rPr>
      </w:pPr>
      <w:r w:rsidRPr="00186FFF">
        <w:rPr>
          <w:rFonts w:ascii="Book Antiqua" w:hAnsi="Book Antiqua"/>
          <w:color w:val="000000" w:themeColor="text1"/>
          <w:sz w:val="24"/>
        </w:rPr>
        <w:br w:type="page"/>
      </w:r>
    </w:p>
    <w:p w14:paraId="1EFF3D32" w14:textId="77777777" w:rsidR="00186FFF" w:rsidRPr="005F429F" w:rsidRDefault="00186FFF" w:rsidP="00186FFF">
      <w:pPr>
        <w:adjustRightInd w:val="0"/>
        <w:snapToGrid w:val="0"/>
        <w:spacing w:line="360" w:lineRule="auto"/>
        <w:rPr>
          <w:rFonts w:ascii="Book Antiqua" w:hAnsi="Book Antiqua"/>
          <w:color w:val="000000" w:themeColor="text1"/>
          <w:sz w:val="24"/>
        </w:rPr>
      </w:pPr>
      <w:r w:rsidRPr="005F429F">
        <w:rPr>
          <w:rFonts w:ascii="Book Antiqua" w:hAnsi="Book Antiqua"/>
          <w:b/>
          <w:bCs/>
          <w:color w:val="000000" w:themeColor="text1"/>
          <w:sz w:val="24"/>
        </w:rPr>
        <w:lastRenderedPageBreak/>
        <w:t xml:space="preserve">Table 1 Characteristics of the </w:t>
      </w:r>
      <w:r w:rsidR="00A52AC2">
        <w:rPr>
          <w:rFonts w:ascii="Book Antiqua" w:hAnsi="Book Antiqua"/>
          <w:b/>
          <w:bCs/>
          <w:color w:val="000000" w:themeColor="text1"/>
          <w:sz w:val="24"/>
        </w:rPr>
        <w:t>subjects included in this study</w:t>
      </w:r>
    </w:p>
    <w:tbl>
      <w:tblPr>
        <w:tblW w:w="9696" w:type="dxa"/>
        <w:tblInd w:w="-318" w:type="dxa"/>
        <w:tblBorders>
          <w:top w:val="single" w:sz="4" w:space="0" w:color="auto"/>
          <w:bottom w:val="single" w:sz="4" w:space="0" w:color="auto"/>
        </w:tblBorders>
        <w:tblLayout w:type="fixed"/>
        <w:tblLook w:val="04A0" w:firstRow="1" w:lastRow="0" w:firstColumn="1" w:lastColumn="0" w:noHBand="0" w:noVBand="1"/>
      </w:tblPr>
      <w:tblGrid>
        <w:gridCol w:w="2552"/>
        <w:gridCol w:w="902"/>
        <w:gridCol w:w="902"/>
        <w:gridCol w:w="991"/>
        <w:gridCol w:w="990"/>
        <w:gridCol w:w="990"/>
        <w:gridCol w:w="1184"/>
        <w:gridCol w:w="1185"/>
      </w:tblGrid>
      <w:tr w:rsidR="00186FFF" w:rsidRPr="005F429F" w14:paraId="1FC82CF4" w14:textId="77777777" w:rsidTr="00357223">
        <w:trPr>
          <w:trHeight w:val="408"/>
        </w:trPr>
        <w:tc>
          <w:tcPr>
            <w:tcW w:w="2552" w:type="dxa"/>
            <w:vMerge w:val="restart"/>
            <w:tcBorders>
              <w:top w:val="single" w:sz="4" w:space="0" w:color="auto"/>
            </w:tcBorders>
            <w:vAlign w:val="center"/>
          </w:tcPr>
          <w:p w14:paraId="40DB5937" w14:textId="77777777" w:rsidR="00186FFF" w:rsidRPr="00A52AC2" w:rsidRDefault="00186FFF" w:rsidP="00644106">
            <w:pPr>
              <w:adjustRightInd w:val="0"/>
              <w:snapToGrid w:val="0"/>
              <w:spacing w:line="360" w:lineRule="auto"/>
              <w:rPr>
                <w:rFonts w:ascii="Book Antiqua" w:hAnsi="Book Antiqua"/>
                <w:b/>
                <w:color w:val="000000" w:themeColor="text1"/>
                <w:sz w:val="24"/>
              </w:rPr>
            </w:pPr>
            <w:r w:rsidRPr="00A52AC2">
              <w:rPr>
                <w:rFonts w:ascii="Book Antiqua" w:hAnsi="Book Antiqua"/>
                <w:b/>
                <w:color w:val="000000" w:themeColor="text1"/>
                <w:sz w:val="24"/>
              </w:rPr>
              <w:t>Characteristics</w:t>
            </w:r>
          </w:p>
        </w:tc>
        <w:tc>
          <w:tcPr>
            <w:tcW w:w="2795" w:type="dxa"/>
            <w:gridSpan w:val="3"/>
            <w:tcBorders>
              <w:top w:val="single" w:sz="4" w:space="0" w:color="auto"/>
              <w:bottom w:val="single" w:sz="4" w:space="0" w:color="auto"/>
            </w:tcBorders>
          </w:tcPr>
          <w:p w14:paraId="39FA79B5" w14:textId="77777777" w:rsidR="00186FFF" w:rsidRPr="00A52AC2" w:rsidRDefault="00186FFF" w:rsidP="00A52AC2">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Discovery set (</w:t>
            </w:r>
            <w:bookmarkStart w:id="172" w:name="OLE_LINK570"/>
            <w:bookmarkStart w:id="173" w:name="OLE_LINK571"/>
            <w:r w:rsidRPr="00A52AC2">
              <w:rPr>
                <w:rFonts w:ascii="Book Antiqua" w:hAnsi="Book Antiqua"/>
                <w:b/>
                <w:i/>
                <w:color w:val="000000" w:themeColor="text1"/>
                <w:sz w:val="24"/>
              </w:rPr>
              <w:t>n</w:t>
            </w:r>
            <w:bookmarkEnd w:id="172"/>
            <w:bookmarkEnd w:id="173"/>
            <w:r w:rsidR="00A52AC2" w:rsidRPr="00A52AC2">
              <w:rPr>
                <w:rFonts w:ascii="Book Antiqua" w:hAnsi="Book Antiqua"/>
                <w:b/>
                <w:color w:val="000000" w:themeColor="text1"/>
                <w:sz w:val="24"/>
              </w:rPr>
              <w:t xml:space="preserve"> </w:t>
            </w:r>
            <w:r w:rsidRPr="00A52AC2">
              <w:rPr>
                <w:rFonts w:ascii="Book Antiqua" w:hAnsi="Book Antiqua"/>
                <w:b/>
                <w:color w:val="000000" w:themeColor="text1"/>
                <w:sz w:val="24"/>
              </w:rPr>
              <w:t>=</w:t>
            </w:r>
            <w:r w:rsidR="00A52AC2" w:rsidRPr="00A52AC2">
              <w:rPr>
                <w:rFonts w:ascii="Book Antiqua" w:hAnsi="Book Antiqua"/>
                <w:b/>
                <w:color w:val="000000" w:themeColor="text1"/>
                <w:sz w:val="24"/>
              </w:rPr>
              <w:t xml:space="preserve"> </w:t>
            </w:r>
            <w:r w:rsidRPr="00A52AC2">
              <w:rPr>
                <w:rFonts w:ascii="Book Antiqua" w:hAnsi="Book Antiqua"/>
                <w:b/>
                <w:color w:val="000000" w:themeColor="text1"/>
                <w:sz w:val="24"/>
              </w:rPr>
              <w:t>30)</w:t>
            </w:r>
          </w:p>
        </w:tc>
        <w:tc>
          <w:tcPr>
            <w:tcW w:w="4349" w:type="dxa"/>
            <w:gridSpan w:val="4"/>
            <w:tcBorders>
              <w:top w:val="single" w:sz="4" w:space="0" w:color="auto"/>
              <w:bottom w:val="single" w:sz="4" w:space="0" w:color="auto"/>
            </w:tcBorders>
          </w:tcPr>
          <w:p w14:paraId="591BEFB7" w14:textId="77777777" w:rsidR="00186FFF" w:rsidRPr="00A52AC2" w:rsidRDefault="00186FFF" w:rsidP="00A52AC2">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Validation set (</w:t>
            </w:r>
            <w:r w:rsidRPr="00A52AC2">
              <w:rPr>
                <w:rFonts w:ascii="Book Antiqua" w:hAnsi="Book Antiqua"/>
                <w:b/>
                <w:i/>
                <w:color w:val="000000" w:themeColor="text1"/>
                <w:sz w:val="24"/>
              </w:rPr>
              <w:t>n</w:t>
            </w:r>
            <w:r w:rsidR="00A52AC2" w:rsidRPr="00A52AC2">
              <w:rPr>
                <w:rFonts w:ascii="Book Antiqua" w:hAnsi="Book Antiqua"/>
                <w:b/>
                <w:i/>
                <w:color w:val="000000" w:themeColor="text1"/>
                <w:sz w:val="24"/>
              </w:rPr>
              <w:t xml:space="preserve"> </w:t>
            </w:r>
            <w:r w:rsidRPr="00A52AC2">
              <w:rPr>
                <w:rFonts w:ascii="Book Antiqua" w:hAnsi="Book Antiqua"/>
                <w:b/>
                <w:color w:val="000000" w:themeColor="text1"/>
                <w:sz w:val="24"/>
              </w:rPr>
              <w:t>=</w:t>
            </w:r>
            <w:r w:rsidR="00A52AC2" w:rsidRPr="00A52AC2">
              <w:rPr>
                <w:rFonts w:ascii="Book Antiqua" w:hAnsi="Book Antiqua"/>
                <w:b/>
                <w:color w:val="000000" w:themeColor="text1"/>
                <w:sz w:val="24"/>
              </w:rPr>
              <w:t xml:space="preserve"> </w:t>
            </w:r>
            <w:r w:rsidRPr="00A52AC2">
              <w:rPr>
                <w:rFonts w:ascii="Book Antiqua" w:hAnsi="Book Antiqua"/>
                <w:b/>
                <w:color w:val="000000" w:themeColor="text1"/>
                <w:sz w:val="24"/>
              </w:rPr>
              <w:t>122)</w:t>
            </w:r>
          </w:p>
        </w:tc>
      </w:tr>
      <w:tr w:rsidR="00186FFF" w:rsidRPr="005F429F" w14:paraId="0AD4A647" w14:textId="77777777" w:rsidTr="00357223">
        <w:trPr>
          <w:trHeight w:val="143"/>
        </w:trPr>
        <w:tc>
          <w:tcPr>
            <w:tcW w:w="2552" w:type="dxa"/>
            <w:vMerge/>
            <w:tcBorders>
              <w:bottom w:val="single" w:sz="4" w:space="0" w:color="auto"/>
            </w:tcBorders>
          </w:tcPr>
          <w:p w14:paraId="5D714E93" w14:textId="77777777" w:rsidR="00186FFF" w:rsidRPr="00A52AC2" w:rsidRDefault="00186FFF" w:rsidP="00644106">
            <w:pPr>
              <w:adjustRightInd w:val="0"/>
              <w:snapToGrid w:val="0"/>
              <w:spacing w:line="360" w:lineRule="auto"/>
              <w:rPr>
                <w:rFonts w:ascii="Book Antiqua" w:hAnsi="Book Antiqua"/>
                <w:b/>
                <w:color w:val="000000" w:themeColor="text1"/>
                <w:sz w:val="24"/>
              </w:rPr>
            </w:pPr>
          </w:p>
        </w:tc>
        <w:tc>
          <w:tcPr>
            <w:tcW w:w="902" w:type="dxa"/>
            <w:tcBorders>
              <w:top w:val="single" w:sz="4" w:space="0" w:color="auto"/>
              <w:bottom w:val="single" w:sz="4" w:space="0" w:color="auto"/>
            </w:tcBorders>
          </w:tcPr>
          <w:p w14:paraId="5EE0579C" w14:textId="77777777" w:rsidR="00186FFF" w:rsidRPr="00A52AC2" w:rsidRDefault="00186FFF" w:rsidP="00A52AC2">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EGC</w:t>
            </w:r>
          </w:p>
        </w:tc>
        <w:tc>
          <w:tcPr>
            <w:tcW w:w="902" w:type="dxa"/>
            <w:tcBorders>
              <w:top w:val="single" w:sz="4" w:space="0" w:color="auto"/>
              <w:bottom w:val="single" w:sz="4" w:space="0" w:color="auto"/>
            </w:tcBorders>
          </w:tcPr>
          <w:p w14:paraId="5F8DDF53" w14:textId="77777777" w:rsidR="00186FFF" w:rsidRPr="00A52AC2" w:rsidRDefault="00186FFF" w:rsidP="00A52AC2">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AGC</w:t>
            </w:r>
          </w:p>
        </w:tc>
        <w:tc>
          <w:tcPr>
            <w:tcW w:w="991" w:type="dxa"/>
            <w:tcBorders>
              <w:top w:val="single" w:sz="4" w:space="0" w:color="auto"/>
              <w:bottom w:val="single" w:sz="4" w:space="0" w:color="auto"/>
            </w:tcBorders>
          </w:tcPr>
          <w:p w14:paraId="60BD6351" w14:textId="77777777" w:rsidR="00186FFF" w:rsidRPr="00A52AC2" w:rsidRDefault="00186FFF" w:rsidP="00A52AC2">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BG</w:t>
            </w:r>
          </w:p>
        </w:tc>
        <w:tc>
          <w:tcPr>
            <w:tcW w:w="990" w:type="dxa"/>
            <w:tcBorders>
              <w:top w:val="single" w:sz="4" w:space="0" w:color="auto"/>
              <w:bottom w:val="single" w:sz="4" w:space="0" w:color="auto"/>
            </w:tcBorders>
          </w:tcPr>
          <w:p w14:paraId="5C981768" w14:textId="77777777" w:rsidR="00186FFF" w:rsidRPr="00A52AC2" w:rsidRDefault="00186FFF" w:rsidP="00A52AC2">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EGC</w:t>
            </w:r>
          </w:p>
        </w:tc>
        <w:tc>
          <w:tcPr>
            <w:tcW w:w="990" w:type="dxa"/>
            <w:tcBorders>
              <w:top w:val="single" w:sz="4" w:space="0" w:color="auto"/>
              <w:bottom w:val="single" w:sz="4" w:space="0" w:color="auto"/>
            </w:tcBorders>
          </w:tcPr>
          <w:p w14:paraId="51C6C9B8" w14:textId="77777777" w:rsidR="00186FFF" w:rsidRPr="00A52AC2" w:rsidRDefault="00186FFF" w:rsidP="00A52AC2">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AGC</w:t>
            </w:r>
          </w:p>
        </w:tc>
        <w:tc>
          <w:tcPr>
            <w:tcW w:w="1184" w:type="dxa"/>
            <w:tcBorders>
              <w:top w:val="single" w:sz="4" w:space="0" w:color="auto"/>
              <w:bottom w:val="single" w:sz="4" w:space="0" w:color="auto"/>
            </w:tcBorders>
          </w:tcPr>
          <w:p w14:paraId="523588FC" w14:textId="77777777" w:rsidR="00186FFF" w:rsidRPr="00A52AC2" w:rsidRDefault="00186FFF" w:rsidP="00A52AC2">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Control-1</w:t>
            </w:r>
          </w:p>
        </w:tc>
        <w:tc>
          <w:tcPr>
            <w:tcW w:w="1185" w:type="dxa"/>
            <w:tcBorders>
              <w:top w:val="single" w:sz="4" w:space="0" w:color="auto"/>
              <w:bottom w:val="single" w:sz="4" w:space="0" w:color="auto"/>
            </w:tcBorders>
          </w:tcPr>
          <w:p w14:paraId="6AD51006" w14:textId="77777777" w:rsidR="00186FFF" w:rsidRPr="00A52AC2" w:rsidRDefault="00186FFF" w:rsidP="00A52AC2">
            <w:pPr>
              <w:adjustRightInd w:val="0"/>
              <w:snapToGrid w:val="0"/>
              <w:spacing w:line="360" w:lineRule="auto"/>
              <w:jc w:val="center"/>
              <w:rPr>
                <w:rFonts w:ascii="Book Antiqua" w:hAnsi="Book Antiqua"/>
                <w:b/>
                <w:color w:val="000000" w:themeColor="text1"/>
                <w:sz w:val="24"/>
              </w:rPr>
            </w:pPr>
            <w:r w:rsidRPr="00A52AC2">
              <w:rPr>
                <w:rFonts w:ascii="Book Antiqua" w:hAnsi="Book Antiqua"/>
                <w:b/>
                <w:color w:val="000000" w:themeColor="text1"/>
                <w:sz w:val="24"/>
              </w:rPr>
              <w:t>Control-2</w:t>
            </w:r>
          </w:p>
        </w:tc>
      </w:tr>
      <w:tr w:rsidR="00186FFF" w:rsidRPr="005F429F" w14:paraId="1862D851" w14:textId="77777777" w:rsidTr="00357223">
        <w:trPr>
          <w:trHeight w:val="431"/>
        </w:trPr>
        <w:tc>
          <w:tcPr>
            <w:tcW w:w="2552" w:type="dxa"/>
            <w:tcBorders>
              <w:top w:val="single" w:sz="4" w:space="0" w:color="auto"/>
            </w:tcBorders>
          </w:tcPr>
          <w:p w14:paraId="1AFB9B15" w14:textId="77777777" w:rsidR="00186FFF" w:rsidRPr="005F429F" w:rsidRDefault="00186FFF" w:rsidP="00644106">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Number</w:t>
            </w:r>
          </w:p>
        </w:tc>
        <w:tc>
          <w:tcPr>
            <w:tcW w:w="902" w:type="dxa"/>
            <w:tcBorders>
              <w:top w:val="single" w:sz="4" w:space="0" w:color="auto"/>
            </w:tcBorders>
          </w:tcPr>
          <w:p w14:paraId="41792B54"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10</w:t>
            </w:r>
          </w:p>
        </w:tc>
        <w:tc>
          <w:tcPr>
            <w:tcW w:w="902" w:type="dxa"/>
            <w:tcBorders>
              <w:top w:val="single" w:sz="4" w:space="0" w:color="auto"/>
            </w:tcBorders>
          </w:tcPr>
          <w:p w14:paraId="607FFFEB"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10</w:t>
            </w:r>
          </w:p>
        </w:tc>
        <w:tc>
          <w:tcPr>
            <w:tcW w:w="991" w:type="dxa"/>
            <w:tcBorders>
              <w:top w:val="single" w:sz="4" w:space="0" w:color="auto"/>
            </w:tcBorders>
          </w:tcPr>
          <w:p w14:paraId="2989C260"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10</w:t>
            </w:r>
          </w:p>
        </w:tc>
        <w:tc>
          <w:tcPr>
            <w:tcW w:w="990" w:type="dxa"/>
            <w:tcBorders>
              <w:top w:val="single" w:sz="4" w:space="0" w:color="auto"/>
            </w:tcBorders>
          </w:tcPr>
          <w:p w14:paraId="24F294D9"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20</w:t>
            </w:r>
          </w:p>
        </w:tc>
        <w:tc>
          <w:tcPr>
            <w:tcW w:w="990" w:type="dxa"/>
            <w:tcBorders>
              <w:top w:val="single" w:sz="4" w:space="0" w:color="auto"/>
            </w:tcBorders>
          </w:tcPr>
          <w:p w14:paraId="0945169C"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22</w:t>
            </w:r>
          </w:p>
        </w:tc>
        <w:tc>
          <w:tcPr>
            <w:tcW w:w="1184" w:type="dxa"/>
            <w:tcBorders>
              <w:top w:val="single" w:sz="4" w:space="0" w:color="auto"/>
            </w:tcBorders>
          </w:tcPr>
          <w:p w14:paraId="3A8126FA"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40</w:t>
            </w:r>
          </w:p>
        </w:tc>
        <w:tc>
          <w:tcPr>
            <w:tcW w:w="1185" w:type="dxa"/>
            <w:tcBorders>
              <w:top w:val="single" w:sz="4" w:space="0" w:color="auto"/>
            </w:tcBorders>
          </w:tcPr>
          <w:p w14:paraId="07C12987"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40</w:t>
            </w:r>
          </w:p>
        </w:tc>
      </w:tr>
      <w:tr w:rsidR="00186FFF" w:rsidRPr="005F429F" w14:paraId="19046A49" w14:textId="77777777" w:rsidTr="00357223">
        <w:trPr>
          <w:trHeight w:val="892"/>
        </w:trPr>
        <w:tc>
          <w:tcPr>
            <w:tcW w:w="2552" w:type="dxa"/>
          </w:tcPr>
          <w:p w14:paraId="23115EB7" w14:textId="77777777" w:rsidR="00186FFF" w:rsidRPr="005F429F" w:rsidRDefault="00186FFF" w:rsidP="00644106">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Age (</w:t>
            </w:r>
            <w:proofErr w:type="spellStart"/>
            <w:r w:rsidRPr="005F429F">
              <w:rPr>
                <w:rFonts w:ascii="Book Antiqua" w:hAnsi="Book Antiqua"/>
                <w:color w:val="000000" w:themeColor="text1"/>
                <w:sz w:val="24"/>
              </w:rPr>
              <w:t>yr</w:t>
            </w:r>
            <w:proofErr w:type="spellEnd"/>
            <w:r w:rsidRPr="005F429F">
              <w:rPr>
                <w:rFonts w:ascii="Book Antiqua" w:hAnsi="Book Antiqua"/>
                <w:color w:val="000000" w:themeColor="text1"/>
                <w:sz w:val="24"/>
              </w:rPr>
              <w:t>) (Mean ± SD)</w:t>
            </w:r>
          </w:p>
        </w:tc>
        <w:tc>
          <w:tcPr>
            <w:tcW w:w="902" w:type="dxa"/>
          </w:tcPr>
          <w:p w14:paraId="6C6B4A4D"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53.4 ± 2.6</w:t>
            </w:r>
          </w:p>
        </w:tc>
        <w:tc>
          <w:tcPr>
            <w:tcW w:w="902" w:type="dxa"/>
          </w:tcPr>
          <w:p w14:paraId="6B0E522C"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57.0 ± 7.5</w:t>
            </w:r>
          </w:p>
        </w:tc>
        <w:tc>
          <w:tcPr>
            <w:tcW w:w="991" w:type="dxa"/>
          </w:tcPr>
          <w:p w14:paraId="1F7358E6"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51.4 ± 10.0</w:t>
            </w:r>
          </w:p>
        </w:tc>
        <w:tc>
          <w:tcPr>
            <w:tcW w:w="990" w:type="dxa"/>
          </w:tcPr>
          <w:p w14:paraId="27262D39"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63.3 ± 10.1</w:t>
            </w:r>
          </w:p>
        </w:tc>
        <w:tc>
          <w:tcPr>
            <w:tcW w:w="990" w:type="dxa"/>
          </w:tcPr>
          <w:p w14:paraId="7EA1A9FC"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55.6 ± 13.9</w:t>
            </w:r>
          </w:p>
        </w:tc>
        <w:tc>
          <w:tcPr>
            <w:tcW w:w="1184" w:type="dxa"/>
          </w:tcPr>
          <w:p w14:paraId="1B03374A"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50.2 ± 10.3</w:t>
            </w:r>
          </w:p>
        </w:tc>
        <w:tc>
          <w:tcPr>
            <w:tcW w:w="1185" w:type="dxa"/>
          </w:tcPr>
          <w:p w14:paraId="656CC668"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56.1 ± 11.3</w:t>
            </w:r>
          </w:p>
        </w:tc>
      </w:tr>
      <w:tr w:rsidR="00186FFF" w:rsidRPr="005F429F" w14:paraId="156BB291" w14:textId="77777777" w:rsidTr="00357223">
        <w:trPr>
          <w:trHeight w:val="446"/>
        </w:trPr>
        <w:tc>
          <w:tcPr>
            <w:tcW w:w="2552" w:type="dxa"/>
          </w:tcPr>
          <w:p w14:paraId="596E3894" w14:textId="77777777" w:rsidR="00186FFF" w:rsidRPr="005F429F" w:rsidRDefault="00186FFF" w:rsidP="00644106">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Gender</w:t>
            </w:r>
          </w:p>
        </w:tc>
        <w:tc>
          <w:tcPr>
            <w:tcW w:w="902" w:type="dxa"/>
          </w:tcPr>
          <w:p w14:paraId="747D593C"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02" w:type="dxa"/>
          </w:tcPr>
          <w:p w14:paraId="07D539FA"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1" w:type="dxa"/>
          </w:tcPr>
          <w:p w14:paraId="1A1DE3F2"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07BE7044"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2FE5A0C5"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4" w:type="dxa"/>
          </w:tcPr>
          <w:p w14:paraId="175564A9"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5" w:type="dxa"/>
          </w:tcPr>
          <w:p w14:paraId="4203589F"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r>
      <w:tr w:rsidR="00186FFF" w:rsidRPr="005F429F" w14:paraId="64A8CF1D" w14:textId="77777777" w:rsidTr="00357223">
        <w:trPr>
          <w:trHeight w:val="431"/>
        </w:trPr>
        <w:tc>
          <w:tcPr>
            <w:tcW w:w="2552" w:type="dxa"/>
          </w:tcPr>
          <w:p w14:paraId="5FAE203E" w14:textId="77777777" w:rsidR="00186FFF" w:rsidRPr="005F429F" w:rsidRDefault="00186FFF" w:rsidP="00644106">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Male </w:t>
            </w:r>
          </w:p>
        </w:tc>
        <w:tc>
          <w:tcPr>
            <w:tcW w:w="902" w:type="dxa"/>
          </w:tcPr>
          <w:p w14:paraId="3617D3E0"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w:t>
            </w:r>
          </w:p>
        </w:tc>
        <w:tc>
          <w:tcPr>
            <w:tcW w:w="902" w:type="dxa"/>
          </w:tcPr>
          <w:p w14:paraId="4B27FAB0"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w:t>
            </w:r>
          </w:p>
        </w:tc>
        <w:tc>
          <w:tcPr>
            <w:tcW w:w="991" w:type="dxa"/>
          </w:tcPr>
          <w:p w14:paraId="57C90242"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w:t>
            </w:r>
          </w:p>
        </w:tc>
        <w:tc>
          <w:tcPr>
            <w:tcW w:w="990" w:type="dxa"/>
          </w:tcPr>
          <w:p w14:paraId="55689363"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9</w:t>
            </w:r>
          </w:p>
        </w:tc>
        <w:tc>
          <w:tcPr>
            <w:tcW w:w="990" w:type="dxa"/>
          </w:tcPr>
          <w:p w14:paraId="27EB2F02"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12</w:t>
            </w:r>
          </w:p>
        </w:tc>
        <w:tc>
          <w:tcPr>
            <w:tcW w:w="1184" w:type="dxa"/>
          </w:tcPr>
          <w:p w14:paraId="047724BD"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20</w:t>
            </w:r>
          </w:p>
        </w:tc>
        <w:tc>
          <w:tcPr>
            <w:tcW w:w="1185" w:type="dxa"/>
          </w:tcPr>
          <w:p w14:paraId="69C9254C"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22</w:t>
            </w:r>
          </w:p>
        </w:tc>
      </w:tr>
      <w:tr w:rsidR="00186FFF" w:rsidRPr="005F429F" w14:paraId="0053B632" w14:textId="77777777" w:rsidTr="00357223">
        <w:trPr>
          <w:trHeight w:val="446"/>
        </w:trPr>
        <w:tc>
          <w:tcPr>
            <w:tcW w:w="2552" w:type="dxa"/>
          </w:tcPr>
          <w:p w14:paraId="3B1E8B10" w14:textId="77777777" w:rsidR="00186FFF" w:rsidRPr="005F429F" w:rsidRDefault="00186FFF" w:rsidP="00644106">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Female </w:t>
            </w:r>
          </w:p>
        </w:tc>
        <w:tc>
          <w:tcPr>
            <w:tcW w:w="902" w:type="dxa"/>
          </w:tcPr>
          <w:p w14:paraId="1DC9C480"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02" w:type="dxa"/>
          </w:tcPr>
          <w:p w14:paraId="60841440"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91" w:type="dxa"/>
          </w:tcPr>
          <w:p w14:paraId="4609CC77"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5</w:t>
            </w:r>
          </w:p>
        </w:tc>
        <w:tc>
          <w:tcPr>
            <w:tcW w:w="990" w:type="dxa"/>
          </w:tcPr>
          <w:p w14:paraId="00F5DCAF"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11</w:t>
            </w:r>
          </w:p>
        </w:tc>
        <w:tc>
          <w:tcPr>
            <w:tcW w:w="990" w:type="dxa"/>
          </w:tcPr>
          <w:p w14:paraId="731FC4D1"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10</w:t>
            </w:r>
          </w:p>
        </w:tc>
        <w:tc>
          <w:tcPr>
            <w:tcW w:w="1184" w:type="dxa"/>
          </w:tcPr>
          <w:p w14:paraId="24CE7C51"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20</w:t>
            </w:r>
          </w:p>
        </w:tc>
        <w:tc>
          <w:tcPr>
            <w:tcW w:w="1185" w:type="dxa"/>
          </w:tcPr>
          <w:p w14:paraId="2083EE25"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18</w:t>
            </w:r>
          </w:p>
        </w:tc>
      </w:tr>
      <w:tr w:rsidR="00186FFF" w:rsidRPr="005F429F" w14:paraId="04EAE52A" w14:textId="77777777" w:rsidTr="00357223">
        <w:trPr>
          <w:trHeight w:val="446"/>
        </w:trPr>
        <w:tc>
          <w:tcPr>
            <w:tcW w:w="2552" w:type="dxa"/>
          </w:tcPr>
          <w:p w14:paraId="26814AD9" w14:textId="77777777" w:rsidR="00186FFF" w:rsidRPr="00B93781" w:rsidRDefault="00186FFF" w:rsidP="00644106">
            <w:pPr>
              <w:adjustRightInd w:val="0"/>
              <w:snapToGrid w:val="0"/>
              <w:spacing w:line="360" w:lineRule="auto"/>
              <w:rPr>
                <w:rFonts w:ascii="Book Antiqua" w:hAnsi="Book Antiqua"/>
                <w:i/>
                <w:color w:val="000000" w:themeColor="text1"/>
                <w:sz w:val="24"/>
              </w:rPr>
            </w:pPr>
            <w:r w:rsidRPr="00B93781">
              <w:rPr>
                <w:rFonts w:ascii="Book Antiqua" w:hAnsi="Book Antiqua"/>
                <w:i/>
                <w:color w:val="000000" w:themeColor="text1"/>
                <w:sz w:val="24"/>
              </w:rPr>
              <w:t>H. pylori</w:t>
            </w:r>
          </w:p>
        </w:tc>
        <w:tc>
          <w:tcPr>
            <w:tcW w:w="902" w:type="dxa"/>
          </w:tcPr>
          <w:p w14:paraId="49212087"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02" w:type="dxa"/>
          </w:tcPr>
          <w:p w14:paraId="16E9BE07"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1" w:type="dxa"/>
          </w:tcPr>
          <w:p w14:paraId="202BC3FF"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4A0AE2FB"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1EB28CC1"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4" w:type="dxa"/>
          </w:tcPr>
          <w:p w14:paraId="42CE8C39"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w:t>
            </w:r>
          </w:p>
        </w:tc>
        <w:tc>
          <w:tcPr>
            <w:tcW w:w="1185" w:type="dxa"/>
          </w:tcPr>
          <w:p w14:paraId="08E644D2"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w:t>
            </w:r>
          </w:p>
        </w:tc>
      </w:tr>
      <w:tr w:rsidR="00186FFF" w:rsidRPr="005F429F" w14:paraId="3A8850FA" w14:textId="77777777" w:rsidTr="00357223">
        <w:trPr>
          <w:trHeight w:val="446"/>
        </w:trPr>
        <w:tc>
          <w:tcPr>
            <w:tcW w:w="2552" w:type="dxa"/>
          </w:tcPr>
          <w:p w14:paraId="42662A90" w14:textId="77777777" w:rsidR="00186FFF" w:rsidRPr="005F429F" w:rsidRDefault="00186FFF" w:rsidP="00644106">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Pathology</w:t>
            </w:r>
          </w:p>
        </w:tc>
        <w:tc>
          <w:tcPr>
            <w:tcW w:w="902" w:type="dxa"/>
          </w:tcPr>
          <w:p w14:paraId="647BB9E4"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02" w:type="dxa"/>
          </w:tcPr>
          <w:p w14:paraId="79974906"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1" w:type="dxa"/>
          </w:tcPr>
          <w:p w14:paraId="3BD96C48"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1F1BDECC"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0B3F0D62"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4" w:type="dxa"/>
          </w:tcPr>
          <w:p w14:paraId="0CF110D7"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5" w:type="dxa"/>
          </w:tcPr>
          <w:p w14:paraId="171FD057"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r>
      <w:tr w:rsidR="00186FFF" w:rsidRPr="005F429F" w14:paraId="45BCF8A7" w14:textId="77777777" w:rsidTr="00357223">
        <w:trPr>
          <w:trHeight w:val="446"/>
        </w:trPr>
        <w:tc>
          <w:tcPr>
            <w:tcW w:w="2552" w:type="dxa"/>
          </w:tcPr>
          <w:p w14:paraId="1A976994" w14:textId="77777777" w:rsidR="00186FFF" w:rsidRPr="005F429F" w:rsidRDefault="00186FFF" w:rsidP="00644106">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HGIN</w:t>
            </w:r>
          </w:p>
        </w:tc>
        <w:tc>
          <w:tcPr>
            <w:tcW w:w="902" w:type="dxa"/>
          </w:tcPr>
          <w:p w14:paraId="3DBA15AD"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02" w:type="dxa"/>
          </w:tcPr>
          <w:p w14:paraId="26DE6F8E"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1" w:type="dxa"/>
          </w:tcPr>
          <w:p w14:paraId="3E6A6F08"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14325495"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13</w:t>
            </w:r>
          </w:p>
        </w:tc>
        <w:tc>
          <w:tcPr>
            <w:tcW w:w="990" w:type="dxa"/>
          </w:tcPr>
          <w:p w14:paraId="69E3A753"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4" w:type="dxa"/>
          </w:tcPr>
          <w:p w14:paraId="5D971B21"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5" w:type="dxa"/>
          </w:tcPr>
          <w:p w14:paraId="08F8A41F"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r>
      <w:tr w:rsidR="00186FFF" w:rsidRPr="005F429F" w14:paraId="7C51248C" w14:textId="77777777" w:rsidTr="00357223">
        <w:trPr>
          <w:trHeight w:val="877"/>
        </w:trPr>
        <w:tc>
          <w:tcPr>
            <w:tcW w:w="2552" w:type="dxa"/>
          </w:tcPr>
          <w:p w14:paraId="7D9BEBC4" w14:textId="77777777" w:rsidR="00186FFF" w:rsidRPr="005F429F" w:rsidRDefault="00186FFF" w:rsidP="00644106">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w:t>
            </w:r>
            <w:proofErr w:type="spellStart"/>
            <w:r w:rsidRPr="005F429F">
              <w:rPr>
                <w:rFonts w:ascii="Book Antiqua" w:hAnsi="Book Antiqua"/>
                <w:color w:val="000000" w:themeColor="text1"/>
                <w:sz w:val="24"/>
              </w:rPr>
              <w:t>Intramucosal</w:t>
            </w:r>
            <w:proofErr w:type="spellEnd"/>
            <w:r w:rsidRPr="005F429F">
              <w:rPr>
                <w:rFonts w:ascii="Book Antiqua" w:hAnsi="Book Antiqua"/>
                <w:color w:val="000000" w:themeColor="text1"/>
                <w:sz w:val="24"/>
              </w:rPr>
              <w:t xml:space="preserve"> cancer</w:t>
            </w:r>
          </w:p>
        </w:tc>
        <w:tc>
          <w:tcPr>
            <w:tcW w:w="902" w:type="dxa"/>
          </w:tcPr>
          <w:p w14:paraId="61B0BAE2"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w:t>
            </w:r>
          </w:p>
        </w:tc>
        <w:tc>
          <w:tcPr>
            <w:tcW w:w="902" w:type="dxa"/>
          </w:tcPr>
          <w:p w14:paraId="53FE5388"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1" w:type="dxa"/>
          </w:tcPr>
          <w:p w14:paraId="5ED763AB"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08177A1B"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7</w:t>
            </w:r>
          </w:p>
        </w:tc>
        <w:tc>
          <w:tcPr>
            <w:tcW w:w="990" w:type="dxa"/>
          </w:tcPr>
          <w:p w14:paraId="07B40F44"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4" w:type="dxa"/>
          </w:tcPr>
          <w:p w14:paraId="21BA52AF"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5" w:type="dxa"/>
          </w:tcPr>
          <w:p w14:paraId="0402D925"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r>
      <w:tr w:rsidR="00186FFF" w:rsidRPr="005F429F" w14:paraId="2AC351DB" w14:textId="77777777" w:rsidTr="00357223">
        <w:trPr>
          <w:trHeight w:val="446"/>
        </w:trPr>
        <w:tc>
          <w:tcPr>
            <w:tcW w:w="2552" w:type="dxa"/>
          </w:tcPr>
          <w:p w14:paraId="4FF41355" w14:textId="77777777" w:rsidR="00186FFF" w:rsidRPr="005F429F" w:rsidRDefault="00186FFF" w:rsidP="00644106">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TNM</w:t>
            </w:r>
          </w:p>
        </w:tc>
        <w:tc>
          <w:tcPr>
            <w:tcW w:w="902" w:type="dxa"/>
          </w:tcPr>
          <w:p w14:paraId="6196831C"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02" w:type="dxa"/>
          </w:tcPr>
          <w:p w14:paraId="6630C434"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1" w:type="dxa"/>
          </w:tcPr>
          <w:p w14:paraId="77E3E278"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7C73FECA"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09028C7D"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4" w:type="dxa"/>
          </w:tcPr>
          <w:p w14:paraId="41D449B0"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5" w:type="dxa"/>
          </w:tcPr>
          <w:p w14:paraId="081BBA36"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r>
      <w:tr w:rsidR="00186FFF" w:rsidRPr="005F429F" w14:paraId="46D3BFE5" w14:textId="77777777" w:rsidTr="00357223">
        <w:trPr>
          <w:trHeight w:val="446"/>
        </w:trPr>
        <w:tc>
          <w:tcPr>
            <w:tcW w:w="2552" w:type="dxa"/>
          </w:tcPr>
          <w:p w14:paraId="222806CB" w14:textId="77777777" w:rsidR="00186FFF" w:rsidRPr="005F429F" w:rsidRDefault="00186FFF" w:rsidP="00644106">
            <w:pPr>
              <w:adjustRightInd w:val="0"/>
              <w:snapToGrid w:val="0"/>
              <w:spacing w:line="360" w:lineRule="auto"/>
              <w:ind w:firstLineChars="50" w:firstLine="120"/>
              <w:rPr>
                <w:rFonts w:ascii="Book Antiqua" w:hAnsi="Book Antiqua"/>
                <w:color w:val="000000" w:themeColor="text1"/>
                <w:sz w:val="24"/>
              </w:rPr>
            </w:pPr>
            <w:r w:rsidRPr="005F429F">
              <w:rPr>
                <w:rFonts w:ascii="Book Antiqua" w:hAnsi="Book Antiqua"/>
                <w:color w:val="000000" w:themeColor="text1"/>
                <w:sz w:val="24"/>
              </w:rPr>
              <w:t>HGIN</w:t>
            </w:r>
          </w:p>
        </w:tc>
        <w:tc>
          <w:tcPr>
            <w:tcW w:w="902" w:type="dxa"/>
          </w:tcPr>
          <w:p w14:paraId="7499511D"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02" w:type="dxa"/>
          </w:tcPr>
          <w:p w14:paraId="38C9CEA8"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1" w:type="dxa"/>
          </w:tcPr>
          <w:p w14:paraId="3109C618"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5F014FFF"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13</w:t>
            </w:r>
          </w:p>
        </w:tc>
        <w:tc>
          <w:tcPr>
            <w:tcW w:w="990" w:type="dxa"/>
          </w:tcPr>
          <w:p w14:paraId="5066DC34"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4" w:type="dxa"/>
          </w:tcPr>
          <w:p w14:paraId="151A8651"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5" w:type="dxa"/>
          </w:tcPr>
          <w:p w14:paraId="359F9995"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r>
      <w:tr w:rsidR="00186FFF" w:rsidRPr="005F429F" w14:paraId="62C3228D" w14:textId="77777777" w:rsidTr="00357223">
        <w:trPr>
          <w:trHeight w:val="446"/>
        </w:trPr>
        <w:tc>
          <w:tcPr>
            <w:tcW w:w="2552" w:type="dxa"/>
          </w:tcPr>
          <w:p w14:paraId="44759B11" w14:textId="77777777" w:rsidR="00186FFF" w:rsidRPr="005F429F" w:rsidRDefault="00186FFF" w:rsidP="00644106">
            <w:pPr>
              <w:adjustRightInd w:val="0"/>
              <w:snapToGrid w:val="0"/>
              <w:spacing w:line="360" w:lineRule="auto"/>
              <w:ind w:firstLineChars="50" w:firstLine="120"/>
              <w:rPr>
                <w:rFonts w:ascii="Book Antiqua" w:hAnsi="Book Antiqua"/>
                <w:color w:val="000000" w:themeColor="text1"/>
                <w:sz w:val="24"/>
              </w:rPr>
            </w:pPr>
            <w:r w:rsidRPr="005F429F">
              <w:rPr>
                <w:rFonts w:ascii="Book Antiqua" w:hAnsi="Book Antiqua"/>
                <w:color w:val="000000" w:themeColor="text1"/>
                <w:sz w:val="24"/>
              </w:rPr>
              <w:t>T1a</w:t>
            </w:r>
          </w:p>
        </w:tc>
        <w:tc>
          <w:tcPr>
            <w:tcW w:w="902" w:type="dxa"/>
          </w:tcPr>
          <w:p w14:paraId="6ECAC413"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w:t>
            </w:r>
          </w:p>
        </w:tc>
        <w:tc>
          <w:tcPr>
            <w:tcW w:w="902" w:type="dxa"/>
          </w:tcPr>
          <w:p w14:paraId="73D0F221"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1" w:type="dxa"/>
          </w:tcPr>
          <w:p w14:paraId="31E5C51D"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56C7BD61"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7</w:t>
            </w:r>
          </w:p>
        </w:tc>
        <w:tc>
          <w:tcPr>
            <w:tcW w:w="990" w:type="dxa"/>
          </w:tcPr>
          <w:p w14:paraId="47B915E5"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4" w:type="dxa"/>
          </w:tcPr>
          <w:p w14:paraId="2289BBFF"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5" w:type="dxa"/>
          </w:tcPr>
          <w:p w14:paraId="18FDFC42"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r>
      <w:tr w:rsidR="00186FFF" w:rsidRPr="005F429F" w14:paraId="4A9CF1BF" w14:textId="77777777" w:rsidTr="00357223">
        <w:trPr>
          <w:trHeight w:val="446"/>
        </w:trPr>
        <w:tc>
          <w:tcPr>
            <w:tcW w:w="2552" w:type="dxa"/>
          </w:tcPr>
          <w:p w14:paraId="73116C5D" w14:textId="77777777" w:rsidR="00186FFF" w:rsidRPr="005F429F" w:rsidRDefault="00186FFF" w:rsidP="00644106">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w:t>
            </w:r>
          </w:p>
        </w:tc>
        <w:tc>
          <w:tcPr>
            <w:tcW w:w="902" w:type="dxa"/>
          </w:tcPr>
          <w:p w14:paraId="7E771043"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02" w:type="dxa"/>
          </w:tcPr>
          <w:p w14:paraId="38B7CA82"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1" w:type="dxa"/>
          </w:tcPr>
          <w:p w14:paraId="7DE0B3EA"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30631E48"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658D76D0"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4" w:type="dxa"/>
          </w:tcPr>
          <w:p w14:paraId="7F13EE6A"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5" w:type="dxa"/>
          </w:tcPr>
          <w:p w14:paraId="3AAE4514"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r>
      <w:tr w:rsidR="00186FFF" w:rsidRPr="005F429F" w14:paraId="0DCDD8EE" w14:textId="77777777" w:rsidTr="00357223">
        <w:trPr>
          <w:trHeight w:val="431"/>
        </w:trPr>
        <w:tc>
          <w:tcPr>
            <w:tcW w:w="2552" w:type="dxa"/>
          </w:tcPr>
          <w:p w14:paraId="01F3124B" w14:textId="77777777" w:rsidR="00186FFF" w:rsidRPr="005F429F" w:rsidRDefault="00186FFF" w:rsidP="00644106">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T4N2M0</w:t>
            </w:r>
          </w:p>
        </w:tc>
        <w:tc>
          <w:tcPr>
            <w:tcW w:w="902" w:type="dxa"/>
          </w:tcPr>
          <w:p w14:paraId="65117BEB"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02" w:type="dxa"/>
          </w:tcPr>
          <w:p w14:paraId="6ACBDACF"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w:t>
            </w:r>
          </w:p>
        </w:tc>
        <w:tc>
          <w:tcPr>
            <w:tcW w:w="991" w:type="dxa"/>
          </w:tcPr>
          <w:p w14:paraId="29963262"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0217A4C2"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60186112"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2</w:t>
            </w:r>
          </w:p>
        </w:tc>
        <w:tc>
          <w:tcPr>
            <w:tcW w:w="1184" w:type="dxa"/>
          </w:tcPr>
          <w:p w14:paraId="2250CB08"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5" w:type="dxa"/>
          </w:tcPr>
          <w:p w14:paraId="1089B412"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r>
      <w:tr w:rsidR="00186FFF" w:rsidRPr="005F429F" w14:paraId="13E09B84" w14:textId="77777777" w:rsidTr="00357223">
        <w:trPr>
          <w:trHeight w:val="446"/>
        </w:trPr>
        <w:tc>
          <w:tcPr>
            <w:tcW w:w="2552" w:type="dxa"/>
          </w:tcPr>
          <w:p w14:paraId="2D07D364" w14:textId="77777777" w:rsidR="00186FFF" w:rsidRPr="005F429F" w:rsidRDefault="00186FFF" w:rsidP="00644106">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T4N3M0</w:t>
            </w:r>
          </w:p>
        </w:tc>
        <w:tc>
          <w:tcPr>
            <w:tcW w:w="902" w:type="dxa"/>
          </w:tcPr>
          <w:p w14:paraId="20456E42"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02" w:type="dxa"/>
          </w:tcPr>
          <w:p w14:paraId="22A3A608"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91" w:type="dxa"/>
          </w:tcPr>
          <w:p w14:paraId="7B254264"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5F70ED16"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0A446174"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14</w:t>
            </w:r>
          </w:p>
        </w:tc>
        <w:tc>
          <w:tcPr>
            <w:tcW w:w="1184" w:type="dxa"/>
          </w:tcPr>
          <w:p w14:paraId="7C5B474D"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5" w:type="dxa"/>
          </w:tcPr>
          <w:p w14:paraId="54CB3C99"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r>
      <w:tr w:rsidR="00186FFF" w:rsidRPr="005F429F" w14:paraId="4DACB3D4" w14:textId="77777777" w:rsidTr="00357223">
        <w:trPr>
          <w:trHeight w:val="461"/>
        </w:trPr>
        <w:tc>
          <w:tcPr>
            <w:tcW w:w="2552" w:type="dxa"/>
          </w:tcPr>
          <w:p w14:paraId="2ABAD9F1" w14:textId="77777777" w:rsidR="00186FFF" w:rsidRPr="005F429F" w:rsidRDefault="00186FFF" w:rsidP="00644106">
            <w:pPr>
              <w:adjustRightInd w:val="0"/>
              <w:snapToGrid w:val="0"/>
              <w:spacing w:line="360" w:lineRule="auto"/>
              <w:rPr>
                <w:rFonts w:ascii="Book Antiqua" w:hAnsi="Book Antiqua"/>
                <w:color w:val="000000" w:themeColor="text1"/>
                <w:sz w:val="24"/>
              </w:rPr>
            </w:pPr>
            <w:r w:rsidRPr="005F429F">
              <w:rPr>
                <w:rFonts w:ascii="Book Antiqua" w:hAnsi="Book Antiqua"/>
                <w:color w:val="000000" w:themeColor="text1"/>
                <w:sz w:val="24"/>
              </w:rPr>
              <w:t xml:space="preserve"> T4N3M1</w:t>
            </w:r>
          </w:p>
        </w:tc>
        <w:tc>
          <w:tcPr>
            <w:tcW w:w="902" w:type="dxa"/>
          </w:tcPr>
          <w:p w14:paraId="5D47B4DC"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02" w:type="dxa"/>
          </w:tcPr>
          <w:p w14:paraId="22F2529C"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4</w:t>
            </w:r>
          </w:p>
        </w:tc>
        <w:tc>
          <w:tcPr>
            <w:tcW w:w="991" w:type="dxa"/>
          </w:tcPr>
          <w:p w14:paraId="4557F9B9"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5B13F9E2"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990" w:type="dxa"/>
          </w:tcPr>
          <w:p w14:paraId="28663E7A"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r w:rsidRPr="005F429F">
              <w:rPr>
                <w:rFonts w:ascii="Book Antiqua" w:hAnsi="Book Antiqua"/>
                <w:color w:val="000000" w:themeColor="text1"/>
                <w:sz w:val="24"/>
              </w:rPr>
              <w:t>6</w:t>
            </w:r>
          </w:p>
        </w:tc>
        <w:tc>
          <w:tcPr>
            <w:tcW w:w="1184" w:type="dxa"/>
          </w:tcPr>
          <w:p w14:paraId="75778CF5"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c>
          <w:tcPr>
            <w:tcW w:w="1185" w:type="dxa"/>
          </w:tcPr>
          <w:p w14:paraId="06678D84" w14:textId="77777777" w:rsidR="00186FFF" w:rsidRPr="005F429F" w:rsidRDefault="00186FFF" w:rsidP="00A52AC2">
            <w:pPr>
              <w:adjustRightInd w:val="0"/>
              <w:snapToGrid w:val="0"/>
              <w:spacing w:line="360" w:lineRule="auto"/>
              <w:jc w:val="center"/>
              <w:rPr>
                <w:rFonts w:ascii="Book Antiqua" w:hAnsi="Book Antiqua"/>
                <w:color w:val="000000" w:themeColor="text1"/>
                <w:sz w:val="24"/>
              </w:rPr>
            </w:pPr>
          </w:p>
        </w:tc>
      </w:tr>
    </w:tbl>
    <w:p w14:paraId="757BB2AA" w14:textId="77777777" w:rsidR="000D59A6" w:rsidRPr="00A52AC2" w:rsidRDefault="00A52AC2" w:rsidP="00A52AC2">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 xml:space="preserve">EGC: Early gastric cancer; AGC: Advanced gastric cancer; BG: Benign gastritis; </w:t>
      </w:r>
      <w:r w:rsidRPr="005F429F">
        <w:rPr>
          <w:rFonts w:ascii="Book Antiqua" w:hAnsi="Book Antiqua"/>
          <w:color w:val="000000" w:themeColor="text1"/>
          <w:sz w:val="24"/>
        </w:rPr>
        <w:t>Control-1</w:t>
      </w:r>
      <w:r>
        <w:rPr>
          <w:rFonts w:ascii="Book Antiqua" w:hAnsi="Book Antiqua"/>
          <w:color w:val="000000" w:themeColor="text1"/>
          <w:sz w:val="24"/>
        </w:rPr>
        <w:t xml:space="preserve">: </w:t>
      </w:r>
      <w:r w:rsidRPr="00A52AC2">
        <w:rPr>
          <w:rFonts w:ascii="Book Antiqua" w:hAnsi="Book Antiqua"/>
          <w:i/>
          <w:color w:val="000000" w:themeColor="text1"/>
          <w:sz w:val="24"/>
        </w:rPr>
        <w:t>Helicobacter</w:t>
      </w:r>
      <w:r w:rsidRPr="00B93781">
        <w:rPr>
          <w:rFonts w:ascii="Book Antiqua" w:hAnsi="Book Antiqua"/>
          <w:i/>
          <w:color w:val="000000" w:themeColor="text1"/>
          <w:sz w:val="24"/>
        </w:rPr>
        <w:t xml:space="preserve"> pylori</w:t>
      </w:r>
      <w:r>
        <w:rPr>
          <w:rFonts w:ascii="Book Antiqua" w:hAnsi="Book Antiqua"/>
          <w:color w:val="000000" w:themeColor="text1"/>
          <w:sz w:val="24"/>
        </w:rPr>
        <w:t xml:space="preserve">-negative gastritis; </w:t>
      </w:r>
      <w:r w:rsidRPr="005F429F">
        <w:rPr>
          <w:rFonts w:ascii="Book Antiqua" w:hAnsi="Book Antiqua"/>
          <w:color w:val="000000" w:themeColor="text1"/>
          <w:sz w:val="24"/>
        </w:rPr>
        <w:t>Control-2</w:t>
      </w:r>
      <w:r>
        <w:rPr>
          <w:rFonts w:ascii="Book Antiqua" w:hAnsi="Book Antiqua"/>
          <w:color w:val="000000" w:themeColor="text1"/>
          <w:sz w:val="24"/>
        </w:rPr>
        <w:t xml:space="preserve">: </w:t>
      </w:r>
      <w:r w:rsidRPr="00A52AC2">
        <w:rPr>
          <w:rFonts w:ascii="Book Antiqua" w:hAnsi="Book Antiqua"/>
          <w:i/>
          <w:color w:val="000000" w:themeColor="text1"/>
          <w:sz w:val="24"/>
        </w:rPr>
        <w:t>Helicobacter</w:t>
      </w:r>
      <w:r w:rsidRPr="00B93781">
        <w:rPr>
          <w:rFonts w:ascii="Book Antiqua" w:hAnsi="Book Antiqua"/>
          <w:i/>
          <w:color w:val="000000" w:themeColor="text1"/>
          <w:sz w:val="24"/>
        </w:rPr>
        <w:t xml:space="preserve"> pylori</w:t>
      </w:r>
      <w:r w:rsidRPr="005F429F">
        <w:rPr>
          <w:rFonts w:ascii="Book Antiqua" w:hAnsi="Book Antiqua"/>
          <w:color w:val="000000" w:themeColor="text1"/>
          <w:sz w:val="24"/>
        </w:rPr>
        <w:t>-positive atrophic gastritis</w:t>
      </w:r>
      <w:r>
        <w:rPr>
          <w:rFonts w:ascii="Book Antiqua" w:hAnsi="Book Antiqua"/>
          <w:color w:val="000000" w:themeColor="text1"/>
          <w:sz w:val="24"/>
        </w:rPr>
        <w:t xml:space="preserve">; </w:t>
      </w:r>
      <w:r w:rsidRPr="00B93781">
        <w:rPr>
          <w:rFonts w:ascii="Book Antiqua" w:hAnsi="Book Antiqua"/>
          <w:i/>
          <w:color w:val="000000" w:themeColor="text1"/>
          <w:sz w:val="24"/>
        </w:rPr>
        <w:t>H. pylori</w:t>
      </w:r>
      <w:r>
        <w:rPr>
          <w:rFonts w:ascii="Book Antiqua" w:hAnsi="Book Antiqua"/>
          <w:color w:val="000000" w:themeColor="text1"/>
          <w:sz w:val="24"/>
        </w:rPr>
        <w:t xml:space="preserve">: </w:t>
      </w:r>
      <w:r w:rsidRPr="00A52AC2">
        <w:rPr>
          <w:rFonts w:ascii="Book Antiqua" w:hAnsi="Book Antiqua"/>
          <w:i/>
          <w:color w:val="000000" w:themeColor="text1"/>
          <w:sz w:val="24"/>
        </w:rPr>
        <w:t>Helicobacter pylori</w:t>
      </w:r>
      <w:r>
        <w:rPr>
          <w:rFonts w:ascii="Book Antiqua" w:hAnsi="Book Antiqua"/>
          <w:color w:val="000000" w:themeColor="text1"/>
          <w:sz w:val="24"/>
        </w:rPr>
        <w:t xml:space="preserve">; HGIN: </w:t>
      </w:r>
      <w:r w:rsidRPr="005F429F">
        <w:rPr>
          <w:rFonts w:ascii="Book Antiqua" w:hAnsi="Book Antiqua"/>
          <w:color w:val="000000" w:themeColor="text1"/>
          <w:sz w:val="24"/>
        </w:rPr>
        <w:t>High Grade Intraepithelial Neoplasia.</w:t>
      </w:r>
    </w:p>
    <w:sectPr w:rsidR="000D59A6" w:rsidRPr="00A52AC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47207" w14:textId="77777777" w:rsidR="00C9050F" w:rsidRDefault="00C9050F">
      <w:r>
        <w:separator/>
      </w:r>
    </w:p>
  </w:endnote>
  <w:endnote w:type="continuationSeparator" w:id="0">
    <w:p w14:paraId="22409673" w14:textId="77777777" w:rsidR="00C9050F" w:rsidRDefault="00C9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dvOTfbba3ace . B">
    <w:altName w:val="Microsoft YaHei"/>
    <w:panose1 w:val="020B0604020202020204"/>
    <w:charset w:val="00"/>
    <w:family w:val="auto"/>
    <w:pitch w:val="default"/>
    <w:sig w:usb0="00000000" w:usb1="00000000" w:usb2="00000000" w:usb3="00000000" w:csb0="00040001" w:csb1="00000000"/>
  </w:font>
  <w:font w:name="TimesNewRomanPSMT">
    <w:altName w:val="Times New Roman"/>
    <w:panose1 w:val="020B0604020202020204"/>
    <w:charset w:val="00"/>
    <w:family w:val="auto"/>
    <w:pitch w:val="default"/>
    <w:sig w:usb0="00000000" w:usb1="00000000" w:usb2="00000000" w:usb3="00000000" w:csb0="00040001" w:csb1="00000000"/>
  </w:font>
  <w:font w:name="Helvetica">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ouYuan">
    <w:altName w:val="Arial Unicode MS"/>
    <w:panose1 w:val="020B0604020202020204"/>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8C441" w14:textId="77777777" w:rsidR="00C9050F" w:rsidRDefault="00C9050F">
      <w:r>
        <w:separator/>
      </w:r>
    </w:p>
  </w:footnote>
  <w:footnote w:type="continuationSeparator" w:id="0">
    <w:p w14:paraId="508AB49F" w14:textId="77777777" w:rsidR="00C9050F" w:rsidRDefault="00C90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0AE054"/>
    <w:multiLevelType w:val="singleLevel"/>
    <w:tmpl w:val="DB0AE054"/>
    <w:lvl w:ilvl="0">
      <w:start w:val="1"/>
      <w:numFmt w:val="decimal"/>
      <w:lvlText w:val="%1."/>
      <w:lvlJc w:val="left"/>
      <w:pPr>
        <w:tabs>
          <w:tab w:val="left" w:pos="312"/>
        </w:tabs>
      </w:pPr>
    </w:lvl>
  </w:abstractNum>
  <w:abstractNum w:abstractNumId="1" w15:restartNumberingAfterBreak="0">
    <w:nsid w:val="6B834856"/>
    <w:multiLevelType w:val="hybridMultilevel"/>
    <w:tmpl w:val="BE2C4E62"/>
    <w:lvl w:ilvl="0" w:tplc="7A86F2B4">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2C"/>
    <w:rsid w:val="000D59A6"/>
    <w:rsid w:val="000F7BA7"/>
    <w:rsid w:val="00160FF5"/>
    <w:rsid w:val="00162328"/>
    <w:rsid w:val="00186FFF"/>
    <w:rsid w:val="002F1EAF"/>
    <w:rsid w:val="002F7AE3"/>
    <w:rsid w:val="00337B16"/>
    <w:rsid w:val="00357223"/>
    <w:rsid w:val="00410F21"/>
    <w:rsid w:val="00451928"/>
    <w:rsid w:val="00512826"/>
    <w:rsid w:val="005149CE"/>
    <w:rsid w:val="005F429F"/>
    <w:rsid w:val="00683D32"/>
    <w:rsid w:val="006C113D"/>
    <w:rsid w:val="007D55D6"/>
    <w:rsid w:val="008C54AA"/>
    <w:rsid w:val="008D7E4F"/>
    <w:rsid w:val="00903847"/>
    <w:rsid w:val="00951BE9"/>
    <w:rsid w:val="00A52AC2"/>
    <w:rsid w:val="00AB475C"/>
    <w:rsid w:val="00AE0B83"/>
    <w:rsid w:val="00B93781"/>
    <w:rsid w:val="00BC1893"/>
    <w:rsid w:val="00BE7C2C"/>
    <w:rsid w:val="00C9050F"/>
    <w:rsid w:val="00CC7865"/>
    <w:rsid w:val="00D71199"/>
    <w:rsid w:val="00DC280E"/>
    <w:rsid w:val="00DE4C97"/>
    <w:rsid w:val="00E13481"/>
    <w:rsid w:val="00E251EA"/>
    <w:rsid w:val="00E30FC2"/>
    <w:rsid w:val="06CF2BED"/>
    <w:rsid w:val="09D063CD"/>
    <w:rsid w:val="0C303AB1"/>
    <w:rsid w:val="0F67241C"/>
    <w:rsid w:val="14A84BCB"/>
    <w:rsid w:val="19964A1F"/>
    <w:rsid w:val="1A1865B6"/>
    <w:rsid w:val="1B1E77E1"/>
    <w:rsid w:val="24D17492"/>
    <w:rsid w:val="28EE4F66"/>
    <w:rsid w:val="291D1469"/>
    <w:rsid w:val="31276E41"/>
    <w:rsid w:val="34E866C6"/>
    <w:rsid w:val="352B6A53"/>
    <w:rsid w:val="3F6E3475"/>
    <w:rsid w:val="457527A6"/>
    <w:rsid w:val="461F64D0"/>
    <w:rsid w:val="462B75C4"/>
    <w:rsid w:val="469C7116"/>
    <w:rsid w:val="473B4E42"/>
    <w:rsid w:val="4A6D019D"/>
    <w:rsid w:val="4B8D6A6E"/>
    <w:rsid w:val="4D696FB3"/>
    <w:rsid w:val="504F6D99"/>
    <w:rsid w:val="5BF7347A"/>
    <w:rsid w:val="5F5C4CBE"/>
    <w:rsid w:val="5FCF372B"/>
    <w:rsid w:val="5FF32988"/>
    <w:rsid w:val="61597275"/>
    <w:rsid w:val="62320F65"/>
    <w:rsid w:val="63AB0A17"/>
    <w:rsid w:val="649613C1"/>
    <w:rsid w:val="668A7148"/>
    <w:rsid w:val="6C977378"/>
    <w:rsid w:val="71573C0C"/>
    <w:rsid w:val="71B42FD2"/>
    <w:rsid w:val="779F4D0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97B0E"/>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Calibri" w:hAnsi="Calibr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widowControl/>
      <w:spacing w:line="276" w:lineRule="auto"/>
      <w:jc w:val="left"/>
    </w:pPr>
    <w:rPr>
      <w:rFonts w:ascii="Arial" w:hAnsi="Arial" w:cs="Arial"/>
      <w:color w:val="000000"/>
      <w:kern w:val="0"/>
      <w:sz w:val="22"/>
      <w:szCs w:val="20"/>
      <w:lang w:val="pl-PL" w:eastAsia="pl-PL"/>
    </w:rPr>
  </w:style>
  <w:style w:type="paragraph" w:styleId="BalloonText">
    <w:name w:val="Balloon Text"/>
    <w:basedOn w:val="Normal"/>
    <w:link w:val="BalloonTextChar"/>
    <w:rPr>
      <w:rFonts w:ascii="SimSun"/>
      <w:sz w:val="18"/>
      <w:szCs w:val="18"/>
    </w:rPr>
  </w:style>
  <w:style w:type="paragraph" w:styleId="Footer">
    <w:name w:val="footer"/>
    <w:basedOn w:val="Normal"/>
    <w:uiPriority w:val="99"/>
    <w:qFormat/>
    <w:pPr>
      <w:tabs>
        <w:tab w:val="center" w:pos="4680"/>
        <w:tab w:val="right" w:pos="9360"/>
      </w:tabs>
    </w:pPr>
  </w:style>
  <w:style w:type="paragraph" w:styleId="CommentSubject">
    <w:name w:val="annotation subject"/>
    <w:basedOn w:val="CommentText"/>
    <w:next w:val="CommentText"/>
    <w:link w:val="CommentSubjectChar"/>
    <w:qFormat/>
    <w:pPr>
      <w:widowControl w:val="0"/>
      <w:spacing w:line="240" w:lineRule="auto"/>
    </w:pPr>
    <w:rPr>
      <w:rFonts w:ascii="Calibri" w:hAnsi="Calibri" w:cs="Times New Roman"/>
      <w:b/>
      <w:bCs/>
      <w:color w:val="auto"/>
      <w:kern w:val="2"/>
      <w:sz w:val="21"/>
      <w:szCs w:val="24"/>
      <w:lang w:val="en-US" w:eastAsia="zh-CN"/>
    </w:rPr>
  </w:style>
  <w:style w:type="character" w:styleId="Hyperlink">
    <w:name w:val="Hyperlink"/>
    <w:basedOn w:val="DefaultParagraphFont"/>
    <w:qFormat/>
    <w:rPr>
      <w:color w:val="0000FF"/>
      <w:u w:val="single"/>
    </w:rPr>
  </w:style>
  <w:style w:type="character" w:styleId="CommentReference">
    <w:name w:val="annotation reference"/>
    <w:basedOn w:val="DefaultParagraphFont"/>
    <w:uiPriority w:val="99"/>
    <w:qFormat/>
    <w:rPr>
      <w:sz w:val="16"/>
      <w:szCs w:val="16"/>
    </w:rPr>
  </w:style>
  <w:style w:type="character" w:customStyle="1" w:styleId="fontstyle01">
    <w:name w:val="fontstyle01"/>
    <w:qFormat/>
    <w:rPr>
      <w:rFonts w:ascii="AdvOTfbba3ace . B" w:eastAsia="AdvOTfbba3ace . B" w:hAnsi="AdvOTfbba3ace . B" w:cs="AdvOTfbba3ace . B"/>
      <w:color w:val="231F20"/>
      <w:sz w:val="40"/>
      <w:szCs w:val="40"/>
    </w:rPr>
  </w:style>
  <w:style w:type="paragraph" w:customStyle="1" w:styleId="1">
    <w:name w:val="无间隔1"/>
    <w:uiPriority w:val="1"/>
    <w:qFormat/>
    <w:pPr>
      <w:widowControl w:val="0"/>
      <w:jc w:val="both"/>
    </w:pPr>
    <w:rPr>
      <w:rFonts w:ascii="Calibri" w:hAnsi="Calibri"/>
      <w:kern w:val="2"/>
      <w:sz w:val="21"/>
      <w:szCs w:val="22"/>
    </w:rPr>
  </w:style>
  <w:style w:type="character" w:customStyle="1" w:styleId="fontstyle21">
    <w:name w:val="fontstyle21"/>
    <w:basedOn w:val="DefaultParagraphFont"/>
    <w:rPr>
      <w:rFonts w:ascii="TimesNewRomanPSMT" w:eastAsia="TimesNewRomanPSMT" w:hAnsi="TimesNewRomanPSMT" w:cs="TimesNewRomanPSMT"/>
      <w:color w:val="000000"/>
      <w:sz w:val="22"/>
      <w:szCs w:val="22"/>
    </w:rPr>
  </w:style>
  <w:style w:type="paragraph" w:customStyle="1" w:styleId="EndNoteBibliography">
    <w:name w:val="EndNote Bibliography"/>
    <w:basedOn w:val="Normal"/>
    <w:qFormat/>
    <w:rPr>
      <w:rFonts w:cs="Calibri"/>
      <w:sz w:val="20"/>
    </w:rPr>
  </w:style>
  <w:style w:type="paragraph" w:customStyle="1" w:styleId="10">
    <w:name w:val="正文1"/>
    <w:uiPriority w:val="99"/>
    <w:pPr>
      <w:spacing w:line="276" w:lineRule="auto"/>
    </w:pPr>
    <w:rPr>
      <w:rFonts w:ascii="Arial" w:hAnsi="Arial" w:cs="Arial"/>
      <w:color w:val="000000"/>
      <w:sz w:val="22"/>
      <w:lang w:val="pl-PL" w:eastAsia="pl-PL"/>
    </w:rPr>
  </w:style>
  <w:style w:type="character" w:customStyle="1" w:styleId="CommentTextChar">
    <w:name w:val="Comment Text Char"/>
    <w:basedOn w:val="DefaultParagraphFont"/>
    <w:link w:val="CommentText"/>
    <w:uiPriority w:val="99"/>
    <w:rPr>
      <w:rFonts w:ascii="Arial" w:hAnsi="Arial" w:cs="Arial"/>
      <w:color w:val="000000"/>
      <w:sz w:val="22"/>
      <w:lang w:val="pl-PL" w:eastAsia="pl-PL"/>
    </w:rPr>
  </w:style>
  <w:style w:type="paragraph" w:customStyle="1" w:styleId="p1">
    <w:name w:val="p1"/>
    <w:basedOn w:val="Normal"/>
    <w:pPr>
      <w:widowControl/>
      <w:jc w:val="left"/>
    </w:pPr>
    <w:rPr>
      <w:rFonts w:ascii="Helvetica" w:eastAsiaTheme="minorEastAsia" w:hAnsi="Helvetica"/>
      <w:kern w:val="0"/>
      <w:sz w:val="18"/>
      <w:szCs w:val="18"/>
    </w:rPr>
  </w:style>
  <w:style w:type="character" w:customStyle="1" w:styleId="BalloonTextChar">
    <w:name w:val="Balloon Text Char"/>
    <w:basedOn w:val="DefaultParagraphFont"/>
    <w:link w:val="BalloonText"/>
    <w:rPr>
      <w:rFonts w:ascii="SimSun" w:hAnsi="Calibri"/>
      <w:kern w:val="2"/>
      <w:sz w:val="18"/>
      <w:szCs w:val="18"/>
    </w:rPr>
  </w:style>
  <w:style w:type="character" w:customStyle="1" w:styleId="CommentSubjectChar">
    <w:name w:val="Comment Subject Char"/>
    <w:basedOn w:val="CommentTextChar"/>
    <w:link w:val="CommentSubject"/>
    <w:rPr>
      <w:rFonts w:ascii="Calibri" w:hAnsi="Calibri" w:cs="Arial"/>
      <w:b/>
      <w:bCs/>
      <w:color w:val="000000"/>
      <w:kern w:val="2"/>
      <w:sz w:val="21"/>
      <w:szCs w:val="24"/>
      <w:lang w:val="pl-PL" w:eastAsia="pl-PL"/>
    </w:rPr>
  </w:style>
  <w:style w:type="paragraph" w:styleId="ListParagraph">
    <w:name w:val="List Paragraph"/>
    <w:basedOn w:val="Normal"/>
    <w:uiPriority w:val="34"/>
    <w:qFormat/>
    <w:pPr>
      <w:ind w:firstLineChars="200" w:firstLine="420"/>
    </w:pPr>
    <w:rPr>
      <w:rFonts w:asciiTheme="minorHAnsi" w:eastAsiaTheme="minorEastAsia" w:hAnsiTheme="minorHAnsi" w:cstheme="minorBidi"/>
      <w:szCs w:val="22"/>
    </w:rPr>
  </w:style>
  <w:style w:type="paragraph" w:styleId="Header">
    <w:name w:val="header"/>
    <w:basedOn w:val="Normal"/>
    <w:link w:val="HeaderChar"/>
    <w:rsid w:val="00E1348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1348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23298">
      <w:bodyDiv w:val="1"/>
      <w:marLeft w:val="0"/>
      <w:marRight w:val="0"/>
      <w:marTop w:val="0"/>
      <w:marBottom w:val="0"/>
      <w:divBdr>
        <w:top w:val="none" w:sz="0" w:space="0" w:color="auto"/>
        <w:left w:val="none" w:sz="0" w:space="0" w:color="auto"/>
        <w:bottom w:val="none" w:sz="0" w:space="0" w:color="auto"/>
        <w:right w:val="none" w:sz="0" w:space="0" w:color="auto"/>
      </w:divBdr>
    </w:div>
    <w:div w:id="700861160">
      <w:bodyDiv w:val="1"/>
      <w:marLeft w:val="0"/>
      <w:marRight w:val="0"/>
      <w:marTop w:val="0"/>
      <w:marBottom w:val="0"/>
      <w:divBdr>
        <w:top w:val="none" w:sz="0" w:space="0" w:color="auto"/>
        <w:left w:val="none" w:sz="0" w:space="0" w:color="auto"/>
        <w:bottom w:val="none" w:sz="0" w:space="0" w:color="auto"/>
        <w:right w:val="none" w:sz="0" w:space="0" w:color="auto"/>
      </w:divBdr>
    </w:div>
    <w:div w:id="1397239914">
      <w:bodyDiv w:val="1"/>
      <w:marLeft w:val="0"/>
      <w:marRight w:val="0"/>
      <w:marTop w:val="0"/>
      <w:marBottom w:val="0"/>
      <w:divBdr>
        <w:top w:val="none" w:sz="0" w:space="0" w:color="auto"/>
        <w:left w:val="none" w:sz="0" w:space="0" w:color="auto"/>
        <w:bottom w:val="none" w:sz="0" w:space="0" w:color="auto"/>
        <w:right w:val="none" w:sz="0" w:space="0" w:color="auto"/>
      </w:divBdr>
    </w:div>
    <w:div w:id="1692219432">
      <w:bodyDiv w:val="1"/>
      <w:marLeft w:val="0"/>
      <w:marRight w:val="0"/>
      <w:marTop w:val="0"/>
      <w:marBottom w:val="0"/>
      <w:divBdr>
        <w:top w:val="none" w:sz="0" w:space="0" w:color="auto"/>
        <w:left w:val="none" w:sz="0" w:space="0" w:color="auto"/>
        <w:bottom w:val="none" w:sz="0" w:space="0" w:color="auto"/>
        <w:right w:val="none" w:sz="0" w:space="0" w:color="auto"/>
      </w:divBdr>
    </w:div>
    <w:div w:id="1773815813">
      <w:bodyDiv w:val="1"/>
      <w:marLeft w:val="0"/>
      <w:marRight w:val="0"/>
      <w:marTop w:val="0"/>
      <w:marBottom w:val="0"/>
      <w:divBdr>
        <w:top w:val="none" w:sz="0" w:space="0" w:color="auto"/>
        <w:left w:val="none" w:sz="0" w:space="0" w:color="auto"/>
        <w:bottom w:val="none" w:sz="0" w:space="0" w:color="auto"/>
        <w:right w:val="none" w:sz="0" w:space="0" w:color="auto"/>
      </w:divBdr>
    </w:div>
    <w:div w:id="182512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6158</Words>
  <Characters>36087</Characters>
  <Application>Microsoft Office Word</Application>
  <DocSecurity>0</DocSecurity>
  <Lines>801</Lines>
  <Paragraphs>267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Li Ma</cp:lastModifiedBy>
  <cp:revision>3</cp:revision>
  <dcterms:created xsi:type="dcterms:W3CDTF">2019-03-12T02:51:00Z</dcterms:created>
  <dcterms:modified xsi:type="dcterms:W3CDTF">2019-03-12T02:56:00Z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